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tiff" ContentType="image/tiff"/>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51D7" w14:textId="62FCE8DE" w:rsidR="001336E0" w:rsidRDefault="000E10B6" w:rsidP="000E10B6">
      <w:pPr>
        <w:pStyle w:val="PublicationTitle"/>
        <w:jc w:val="left"/>
      </w:pPr>
      <w:bookmarkStart w:id="0" w:name="_Hlk140140410"/>
      <w:r>
        <w:t>Early detection and management of cardiovascular disease risk factors and chronic disease markers in community pharmacy</w:t>
      </w:r>
      <w:bookmarkEnd w:id="0"/>
    </w:p>
    <w:p w14:paraId="30BAA51D" w14:textId="50DB1804" w:rsidR="0037471D" w:rsidRDefault="001B0DB4" w:rsidP="00A67F49">
      <w:pPr>
        <w:pStyle w:val="Date"/>
        <w:spacing w:after="240"/>
      </w:pPr>
      <w:r>
        <w:t>June</w:t>
      </w:r>
      <w:r w:rsidR="00C812F9">
        <w:t xml:space="preserve"> 2023</w:t>
      </w:r>
    </w:p>
    <w:p w14:paraId="71D956EA" w14:textId="77777777" w:rsidR="0037471D" w:rsidRPr="001A0EA1" w:rsidRDefault="0037471D" w:rsidP="001A0EA1">
      <w:r w:rsidRPr="001A0EA1">
        <w:br w:type="page"/>
      </w:r>
    </w:p>
    <w:p w14:paraId="5FD28D14" w14:textId="616EFCFE" w:rsidR="005723D6" w:rsidRPr="005723D6" w:rsidRDefault="000870B6" w:rsidP="009043BF">
      <w:pPr>
        <w:pStyle w:val="Sub-title"/>
        <w:spacing w:before="2400"/>
        <w:ind w:left="5812"/>
      </w:pPr>
      <w:r w:rsidRPr="00CE28E3">
        <w:lastRenderedPageBreak/>
        <w:t>MSAC application</w:t>
      </w:r>
      <w:r w:rsidR="009043BF">
        <w:t xml:space="preserve"> </w:t>
      </w:r>
      <w:r w:rsidRPr="00CE28E3">
        <w:t>Assessment report</w:t>
      </w:r>
    </w:p>
    <w:p w14:paraId="3C653593" w14:textId="7ECF1F39" w:rsidR="00620E5A" w:rsidRPr="00CE28E3" w:rsidRDefault="00620E5A" w:rsidP="005723D6">
      <w:bookmarkStart w:id="1" w:name="_Hlk140143729"/>
      <w:r w:rsidRPr="00CE28E3">
        <w:t xml:space="preserve">© </w:t>
      </w:r>
      <w:r w:rsidR="00183A98">
        <w:t xml:space="preserve">Black Swan Health </w:t>
      </w:r>
      <w:r w:rsidR="00C812F9">
        <w:t>2023</w:t>
      </w:r>
    </w:p>
    <w:bookmarkEnd w:id="1"/>
    <w:p w14:paraId="59444990" w14:textId="7606164F" w:rsidR="00620E5A" w:rsidRPr="00CE28E3" w:rsidRDefault="00620E5A" w:rsidP="005723D6">
      <w:r w:rsidRPr="00CE28E3">
        <w:t xml:space="preserve">Enquiries about the content of the report should be emailed to </w:t>
      </w:r>
      <w:r w:rsidR="00183A98">
        <w:t>sarah.tadier@blackswanhealth.com.au</w:t>
      </w:r>
    </w:p>
    <w:p w14:paraId="64B61538" w14:textId="1D4F62BC" w:rsidR="00620E5A" w:rsidRPr="00CE28E3" w:rsidRDefault="00620E5A" w:rsidP="005723D6">
      <w:r w:rsidRPr="00CE28E3">
        <w:t xml:space="preserve">The technical information in this document is used by the Medical Services Advisory Committee (MSAC) to inform its deliberations. MSAC is an independent committee established to provide advice to the Minister for Health on the strength of evidence available on new and existing medical technologies and procedures in terms of their safety, </w:t>
      </w:r>
      <w:proofErr w:type="gramStart"/>
      <w:r w:rsidRPr="00CE28E3">
        <w:t>effectiveness</w:t>
      </w:r>
      <w:proofErr w:type="gramEnd"/>
      <w:r w:rsidRPr="00CE28E3">
        <w:t xml:space="preserve"> and cost</w:t>
      </w:r>
      <w:r w:rsidR="004D3897">
        <w:t>-</w:t>
      </w:r>
      <w:r w:rsidRPr="00CE28E3">
        <w:t xml:space="preserve">effectiveness. This advice will help to inform government decisions about which medical services should attract funding </w:t>
      </w:r>
      <w:r w:rsidR="001875D1">
        <w:t>through the Medicare Benefits Schedule (MBS) or alternative funding programs/arrangements.</w:t>
      </w:r>
    </w:p>
    <w:p w14:paraId="734BB956" w14:textId="77777777" w:rsidR="00620E5A" w:rsidRPr="005723D6" w:rsidRDefault="00620E5A" w:rsidP="005723D6">
      <w:pPr>
        <w:rPr>
          <w:rStyle w:val="Strong"/>
        </w:rPr>
      </w:pPr>
      <w:r w:rsidRPr="005723D6">
        <w:rPr>
          <w:rStyle w:val="Strong"/>
        </w:rPr>
        <w:t>MSAC’s advice does not necessarily reflect the views of all individuals who participated in the MSAC evaluation.</w:t>
      </w:r>
    </w:p>
    <w:p w14:paraId="41AB20EA" w14:textId="02E32C4B" w:rsidR="002714E8" w:rsidRDefault="00620E5A" w:rsidP="00A67F49">
      <w:r w:rsidRPr="00CE28E3">
        <w:t xml:space="preserve">This report was prepared by </w:t>
      </w:r>
      <w:r w:rsidR="00183A98">
        <w:t xml:space="preserve">Sarah </w:t>
      </w:r>
      <w:proofErr w:type="spellStart"/>
      <w:r w:rsidR="00183A98">
        <w:t>Tadier</w:t>
      </w:r>
      <w:proofErr w:type="spellEnd"/>
      <w:r w:rsidRPr="00CE28E3">
        <w:t xml:space="preserve"> from </w:t>
      </w:r>
      <w:r w:rsidR="00183A98">
        <w:t>Black</w:t>
      </w:r>
      <w:r w:rsidRPr="00CE28E3">
        <w:t xml:space="preserve"> </w:t>
      </w:r>
      <w:r w:rsidR="00183A98">
        <w:t>Swan Health</w:t>
      </w:r>
    </w:p>
    <w:p w14:paraId="149ACB0E" w14:textId="77777777" w:rsidR="002714E8" w:rsidRPr="00CE28E3" w:rsidRDefault="002714E8" w:rsidP="002714E8"/>
    <w:p w14:paraId="74AE1D95" w14:textId="43517C9E" w:rsidR="005723D6" w:rsidRPr="003251C2" w:rsidRDefault="005723D6" w:rsidP="00997BA8">
      <w:pPr>
        <w:pStyle w:val="Instructionaltext"/>
        <w:sectPr w:rsidR="005723D6" w:rsidRPr="003251C2">
          <w:footerReference w:type="even" r:id="rId8"/>
          <w:footerReference w:type="default" r:id="rId9"/>
          <w:pgSz w:w="11906" w:h="16838"/>
          <w:pgMar w:top="1440" w:right="1440" w:bottom="1440" w:left="1440" w:header="708" w:footer="708" w:gutter="0"/>
          <w:cols w:space="708"/>
          <w:docGrid w:linePitch="360"/>
        </w:sectPr>
      </w:pPr>
    </w:p>
    <w:p w14:paraId="17EF59EB" w14:textId="7CAFA0D6" w:rsidR="00AD60EA" w:rsidRPr="00CE28E3" w:rsidRDefault="00AD60EA" w:rsidP="0088445B">
      <w:pPr>
        <w:pStyle w:val="Heading1"/>
        <w:numPr>
          <w:ilvl w:val="0"/>
          <w:numId w:val="0"/>
        </w:numPr>
        <w:ind w:left="357" w:hanging="357"/>
      </w:pPr>
      <w:bookmarkStart w:id="2" w:name="_Toc54254748"/>
      <w:bookmarkStart w:id="3" w:name="_Toc129952317"/>
      <w:bookmarkStart w:id="4" w:name="_Toc131163500"/>
      <w:bookmarkStart w:id="5" w:name="_Toc131164820"/>
      <w:bookmarkStart w:id="6" w:name="_Toc137535725"/>
      <w:r w:rsidRPr="00CE28E3">
        <w:lastRenderedPageBreak/>
        <w:t>Contents</w:t>
      </w:r>
      <w:bookmarkEnd w:id="2"/>
      <w:bookmarkEnd w:id="3"/>
      <w:bookmarkEnd w:id="4"/>
      <w:bookmarkEnd w:id="5"/>
      <w:bookmarkEnd w:id="6"/>
    </w:p>
    <w:sdt>
      <w:sdtPr>
        <w:rPr>
          <w:rFonts w:ascii="Franklin Gothic Book" w:hAnsi="Franklin Gothic Book"/>
          <w:b w:val="0"/>
        </w:rPr>
        <w:id w:val="-18239310"/>
        <w:docPartObj>
          <w:docPartGallery w:val="Table of Contents"/>
          <w:docPartUnique/>
        </w:docPartObj>
      </w:sdtPr>
      <w:sdtEndPr>
        <w:rPr>
          <w:bCs/>
          <w:noProof/>
        </w:rPr>
      </w:sdtEndPr>
      <w:sdtContent>
        <w:p w14:paraId="38539AAF" w14:textId="0E75E15F" w:rsidR="0060615B" w:rsidRDefault="00967A3B">
          <w:pPr>
            <w:pStyle w:val="TOC1"/>
            <w:rPr>
              <w:rFonts w:eastAsiaTheme="minorEastAsia"/>
              <w:b w:val="0"/>
              <w:noProof/>
              <w:kern w:val="2"/>
              <w:lang w:eastAsia="en-AU"/>
              <w14:ligatures w14:val="standardContextual"/>
            </w:rPr>
          </w:pPr>
          <w:r>
            <w:rPr>
              <w:rFonts w:asciiTheme="majorHAnsi" w:eastAsiaTheme="majorEastAsia" w:hAnsiTheme="majorHAnsi" w:cstheme="majorBidi"/>
              <w:color w:val="2E74B5" w:themeColor="accent1" w:themeShade="BF"/>
              <w:sz w:val="32"/>
              <w:szCs w:val="32"/>
              <w:lang w:val="en-US"/>
            </w:rPr>
            <w:fldChar w:fldCharType="begin"/>
          </w:r>
          <w:r>
            <w:instrText xml:space="preserve"> TOC \o "1-3" \h \z \u </w:instrText>
          </w:r>
          <w:r>
            <w:rPr>
              <w:rFonts w:asciiTheme="majorHAnsi" w:eastAsiaTheme="majorEastAsia" w:hAnsiTheme="majorHAnsi" w:cstheme="majorBidi"/>
              <w:color w:val="2E74B5" w:themeColor="accent1" w:themeShade="BF"/>
              <w:sz w:val="32"/>
              <w:szCs w:val="32"/>
              <w:lang w:val="en-US"/>
            </w:rPr>
            <w:fldChar w:fldCharType="separate"/>
          </w:r>
        </w:p>
        <w:p w14:paraId="7A620C61" w14:textId="7FCFCCD8" w:rsidR="0060615B" w:rsidRDefault="00C4615D">
          <w:pPr>
            <w:pStyle w:val="TOC1"/>
            <w:rPr>
              <w:rFonts w:eastAsiaTheme="minorEastAsia"/>
              <w:b w:val="0"/>
              <w:noProof/>
              <w:kern w:val="2"/>
              <w:lang w:eastAsia="en-AU"/>
              <w14:ligatures w14:val="standardContextual"/>
            </w:rPr>
          </w:pPr>
          <w:hyperlink w:anchor="_Toc137535726" w:history="1">
            <w:r w:rsidR="0060615B" w:rsidRPr="006F3E5D">
              <w:rPr>
                <w:rStyle w:val="Hyperlink"/>
                <w:rFonts w:ascii="Arial" w:hAnsi="Arial" w:cs="Arial"/>
                <w:noProof/>
              </w:rPr>
              <w:t>ADAR Executive Summary</w:t>
            </w:r>
            <w:r w:rsidR="0060615B">
              <w:rPr>
                <w:noProof/>
                <w:webHidden/>
              </w:rPr>
              <w:tab/>
            </w:r>
            <w:r w:rsidR="0060615B">
              <w:rPr>
                <w:noProof/>
                <w:webHidden/>
              </w:rPr>
              <w:fldChar w:fldCharType="begin"/>
            </w:r>
            <w:r w:rsidR="0060615B">
              <w:rPr>
                <w:noProof/>
                <w:webHidden/>
              </w:rPr>
              <w:instrText xml:space="preserve"> PAGEREF _Toc137535726 \h </w:instrText>
            </w:r>
            <w:r w:rsidR="0060615B">
              <w:rPr>
                <w:noProof/>
                <w:webHidden/>
              </w:rPr>
            </w:r>
            <w:r w:rsidR="0060615B">
              <w:rPr>
                <w:noProof/>
                <w:webHidden/>
              </w:rPr>
              <w:fldChar w:fldCharType="separate"/>
            </w:r>
            <w:r w:rsidR="00013620">
              <w:rPr>
                <w:noProof/>
                <w:webHidden/>
              </w:rPr>
              <w:t>6</w:t>
            </w:r>
            <w:r w:rsidR="0060615B">
              <w:rPr>
                <w:noProof/>
                <w:webHidden/>
              </w:rPr>
              <w:fldChar w:fldCharType="end"/>
            </w:r>
          </w:hyperlink>
        </w:p>
        <w:p w14:paraId="1E81D928" w14:textId="6D6D3A73" w:rsidR="0060615B" w:rsidRDefault="00C4615D">
          <w:pPr>
            <w:pStyle w:val="TOC3"/>
            <w:rPr>
              <w:rFonts w:asciiTheme="minorHAnsi" w:eastAsiaTheme="minorEastAsia" w:hAnsiTheme="minorHAnsi"/>
              <w:kern w:val="2"/>
              <w:lang w:eastAsia="en-AU"/>
              <w14:ligatures w14:val="standardContextual"/>
            </w:rPr>
          </w:pPr>
          <w:hyperlink w:anchor="_Toc137535727" w:history="1">
            <w:r w:rsidR="0060615B" w:rsidRPr="006F3E5D">
              <w:rPr>
                <w:rStyle w:val="Hyperlink"/>
                <w:rFonts w:cs="Arial"/>
                <w:b/>
                <w:bCs/>
              </w:rPr>
              <w:t>Table 1: Summary PICO Table</w:t>
            </w:r>
            <w:r w:rsidR="0060615B">
              <w:rPr>
                <w:webHidden/>
              </w:rPr>
              <w:tab/>
            </w:r>
            <w:r w:rsidR="0060615B">
              <w:rPr>
                <w:webHidden/>
              </w:rPr>
              <w:fldChar w:fldCharType="begin"/>
            </w:r>
            <w:r w:rsidR="0060615B">
              <w:rPr>
                <w:webHidden/>
              </w:rPr>
              <w:instrText xml:space="preserve"> PAGEREF _Toc137535727 \h </w:instrText>
            </w:r>
            <w:r w:rsidR="0060615B">
              <w:rPr>
                <w:webHidden/>
              </w:rPr>
            </w:r>
            <w:r w:rsidR="0060615B">
              <w:rPr>
                <w:webHidden/>
              </w:rPr>
              <w:fldChar w:fldCharType="separate"/>
            </w:r>
            <w:r w:rsidR="00013620">
              <w:rPr>
                <w:webHidden/>
              </w:rPr>
              <w:t>8</w:t>
            </w:r>
            <w:r w:rsidR="0060615B">
              <w:rPr>
                <w:webHidden/>
              </w:rPr>
              <w:fldChar w:fldCharType="end"/>
            </w:r>
          </w:hyperlink>
        </w:p>
        <w:p w14:paraId="76748701" w14:textId="457ED3A0" w:rsidR="0060615B" w:rsidRDefault="00C4615D">
          <w:pPr>
            <w:pStyle w:val="TOC1"/>
            <w:rPr>
              <w:rFonts w:eastAsiaTheme="minorEastAsia"/>
              <w:b w:val="0"/>
              <w:noProof/>
              <w:kern w:val="2"/>
              <w:lang w:eastAsia="en-AU"/>
              <w14:ligatures w14:val="standardContextual"/>
            </w:rPr>
          </w:pPr>
          <w:hyperlink w:anchor="_Toc137535728" w:history="1">
            <w:r w:rsidR="0060615B" w:rsidRPr="006F3E5D">
              <w:rPr>
                <w:rStyle w:val="Hyperlink"/>
                <w:rFonts w:ascii="Arial" w:hAnsi="Arial" w:cs="Arial"/>
                <w:noProof/>
              </w:rPr>
              <w:t>Acronyms and abbreviations</w:t>
            </w:r>
            <w:r w:rsidR="0060615B">
              <w:rPr>
                <w:noProof/>
                <w:webHidden/>
              </w:rPr>
              <w:tab/>
            </w:r>
            <w:r w:rsidR="0060615B">
              <w:rPr>
                <w:noProof/>
                <w:webHidden/>
              </w:rPr>
              <w:fldChar w:fldCharType="begin"/>
            </w:r>
            <w:r w:rsidR="0060615B">
              <w:rPr>
                <w:noProof/>
                <w:webHidden/>
              </w:rPr>
              <w:instrText xml:space="preserve"> PAGEREF _Toc137535728 \h </w:instrText>
            </w:r>
            <w:r w:rsidR="0060615B">
              <w:rPr>
                <w:noProof/>
                <w:webHidden/>
              </w:rPr>
            </w:r>
            <w:r w:rsidR="0060615B">
              <w:rPr>
                <w:noProof/>
                <w:webHidden/>
              </w:rPr>
              <w:fldChar w:fldCharType="separate"/>
            </w:r>
            <w:r w:rsidR="00013620">
              <w:rPr>
                <w:noProof/>
                <w:webHidden/>
              </w:rPr>
              <w:t>13</w:t>
            </w:r>
            <w:r w:rsidR="0060615B">
              <w:rPr>
                <w:noProof/>
                <w:webHidden/>
              </w:rPr>
              <w:fldChar w:fldCharType="end"/>
            </w:r>
          </w:hyperlink>
        </w:p>
        <w:p w14:paraId="6F6C2965" w14:textId="0CE3570E" w:rsidR="0060615B" w:rsidRDefault="00C4615D">
          <w:pPr>
            <w:pStyle w:val="TOC1"/>
            <w:rPr>
              <w:rFonts w:eastAsiaTheme="minorEastAsia"/>
              <w:b w:val="0"/>
              <w:noProof/>
              <w:kern w:val="2"/>
              <w:lang w:eastAsia="en-AU"/>
              <w14:ligatures w14:val="standardContextual"/>
            </w:rPr>
          </w:pPr>
          <w:hyperlink w:anchor="_Toc137535729" w:history="1">
            <w:r w:rsidR="0060615B" w:rsidRPr="006F3E5D">
              <w:rPr>
                <w:rStyle w:val="Hyperlink"/>
                <w:rFonts w:ascii="Arial" w:hAnsi="Arial" w:cs="Arial"/>
                <w:bCs/>
                <w:noProof/>
              </w:rPr>
              <w:t>Section 1</w:t>
            </w:r>
            <w:r w:rsidR="0060615B">
              <w:rPr>
                <w:rFonts w:eastAsiaTheme="minorEastAsia"/>
                <w:b w:val="0"/>
                <w:noProof/>
                <w:kern w:val="2"/>
                <w:lang w:eastAsia="en-AU"/>
                <w14:ligatures w14:val="standardContextual"/>
              </w:rPr>
              <w:tab/>
            </w:r>
            <w:r w:rsidR="0060615B" w:rsidRPr="006F3E5D">
              <w:rPr>
                <w:rStyle w:val="Hyperlink"/>
                <w:rFonts w:ascii="Arial" w:hAnsi="Arial" w:cs="Arial"/>
                <w:bCs/>
                <w:noProof/>
              </w:rPr>
              <w:t>Context</w:t>
            </w:r>
            <w:r w:rsidR="0060615B">
              <w:rPr>
                <w:noProof/>
                <w:webHidden/>
              </w:rPr>
              <w:tab/>
            </w:r>
            <w:r w:rsidR="0060615B">
              <w:rPr>
                <w:noProof/>
                <w:webHidden/>
              </w:rPr>
              <w:fldChar w:fldCharType="begin"/>
            </w:r>
            <w:r w:rsidR="0060615B">
              <w:rPr>
                <w:noProof/>
                <w:webHidden/>
              </w:rPr>
              <w:instrText xml:space="preserve"> PAGEREF _Toc137535729 \h </w:instrText>
            </w:r>
            <w:r w:rsidR="0060615B">
              <w:rPr>
                <w:noProof/>
                <w:webHidden/>
              </w:rPr>
            </w:r>
            <w:r w:rsidR="0060615B">
              <w:rPr>
                <w:noProof/>
                <w:webHidden/>
              </w:rPr>
              <w:fldChar w:fldCharType="separate"/>
            </w:r>
            <w:r w:rsidR="00013620">
              <w:rPr>
                <w:noProof/>
                <w:webHidden/>
              </w:rPr>
              <w:t>14</w:t>
            </w:r>
            <w:r w:rsidR="0060615B">
              <w:rPr>
                <w:noProof/>
                <w:webHidden/>
              </w:rPr>
              <w:fldChar w:fldCharType="end"/>
            </w:r>
          </w:hyperlink>
        </w:p>
        <w:p w14:paraId="237D0799" w14:textId="0070B1E5" w:rsidR="0060615B" w:rsidRDefault="00C4615D">
          <w:pPr>
            <w:pStyle w:val="TOC2"/>
            <w:rPr>
              <w:rFonts w:eastAsiaTheme="minorEastAsia"/>
              <w:noProof/>
              <w:kern w:val="2"/>
              <w:lang w:eastAsia="en-AU"/>
              <w14:ligatures w14:val="standardContextual"/>
            </w:rPr>
          </w:pPr>
          <w:hyperlink w:anchor="_Toc137535730" w:history="1">
            <w:r w:rsidR="0060615B" w:rsidRPr="006F3E5D">
              <w:rPr>
                <w:rStyle w:val="Hyperlink"/>
                <w:rFonts w:ascii="Arial" w:hAnsi="Arial" w:cs="Arial"/>
                <w:b/>
                <w:bCs/>
                <w:noProof/>
                <w14:scene3d>
                  <w14:camera w14:prst="orthographicFront"/>
                  <w14:lightRig w14:rig="threePt" w14:dir="t">
                    <w14:rot w14:lat="0" w14:lon="0" w14:rev="0"/>
                  </w14:lightRig>
                </w14:scene3d>
              </w:rPr>
              <w:t>1.1</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Purpose of application</w:t>
            </w:r>
            <w:r w:rsidR="0060615B">
              <w:rPr>
                <w:noProof/>
                <w:webHidden/>
              </w:rPr>
              <w:tab/>
            </w:r>
            <w:r w:rsidR="0060615B">
              <w:rPr>
                <w:noProof/>
                <w:webHidden/>
              </w:rPr>
              <w:fldChar w:fldCharType="begin"/>
            </w:r>
            <w:r w:rsidR="0060615B">
              <w:rPr>
                <w:noProof/>
                <w:webHidden/>
              </w:rPr>
              <w:instrText xml:space="preserve"> PAGEREF _Toc137535730 \h </w:instrText>
            </w:r>
            <w:r w:rsidR="0060615B">
              <w:rPr>
                <w:noProof/>
                <w:webHidden/>
              </w:rPr>
            </w:r>
            <w:r w:rsidR="0060615B">
              <w:rPr>
                <w:noProof/>
                <w:webHidden/>
              </w:rPr>
              <w:fldChar w:fldCharType="separate"/>
            </w:r>
            <w:r w:rsidR="00013620">
              <w:rPr>
                <w:noProof/>
                <w:webHidden/>
              </w:rPr>
              <w:t>14</w:t>
            </w:r>
            <w:r w:rsidR="0060615B">
              <w:rPr>
                <w:noProof/>
                <w:webHidden/>
              </w:rPr>
              <w:fldChar w:fldCharType="end"/>
            </w:r>
          </w:hyperlink>
        </w:p>
        <w:p w14:paraId="0E992E75" w14:textId="0E7C8FFF" w:rsidR="0060615B" w:rsidRDefault="00C4615D">
          <w:pPr>
            <w:pStyle w:val="TOC2"/>
            <w:rPr>
              <w:rFonts w:eastAsiaTheme="minorEastAsia"/>
              <w:noProof/>
              <w:kern w:val="2"/>
              <w:lang w:eastAsia="en-AU"/>
              <w14:ligatures w14:val="standardContextual"/>
            </w:rPr>
          </w:pPr>
          <w:hyperlink w:anchor="_Toc137535731" w:history="1">
            <w:r w:rsidR="0060615B" w:rsidRPr="006F3E5D">
              <w:rPr>
                <w:rStyle w:val="Hyperlink"/>
                <w:rFonts w:ascii="Arial" w:hAnsi="Arial" w:cs="Arial"/>
                <w:b/>
                <w:bCs/>
                <w:noProof/>
                <w14:scene3d>
                  <w14:camera w14:prst="orthographicFront"/>
                  <w14:lightRig w14:rig="threePt" w14:dir="t">
                    <w14:rot w14:lat="0" w14:lon="0" w14:rev="0"/>
                  </w14:lightRig>
                </w14:scene3d>
              </w:rPr>
              <w:t>1.2</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Background</w:t>
            </w:r>
            <w:r w:rsidR="0060615B">
              <w:rPr>
                <w:noProof/>
                <w:webHidden/>
              </w:rPr>
              <w:tab/>
            </w:r>
            <w:r w:rsidR="0060615B">
              <w:rPr>
                <w:noProof/>
                <w:webHidden/>
              </w:rPr>
              <w:fldChar w:fldCharType="begin"/>
            </w:r>
            <w:r w:rsidR="0060615B">
              <w:rPr>
                <w:noProof/>
                <w:webHidden/>
              </w:rPr>
              <w:instrText xml:space="preserve"> PAGEREF _Toc137535731 \h </w:instrText>
            </w:r>
            <w:r w:rsidR="0060615B">
              <w:rPr>
                <w:noProof/>
                <w:webHidden/>
              </w:rPr>
            </w:r>
            <w:r w:rsidR="0060615B">
              <w:rPr>
                <w:noProof/>
                <w:webHidden/>
              </w:rPr>
              <w:fldChar w:fldCharType="separate"/>
            </w:r>
            <w:r w:rsidR="00013620">
              <w:rPr>
                <w:noProof/>
                <w:webHidden/>
              </w:rPr>
              <w:t>15</w:t>
            </w:r>
            <w:r w:rsidR="0060615B">
              <w:rPr>
                <w:noProof/>
                <w:webHidden/>
              </w:rPr>
              <w:fldChar w:fldCharType="end"/>
            </w:r>
          </w:hyperlink>
        </w:p>
        <w:p w14:paraId="259808FC" w14:textId="14FE4CEE" w:rsidR="0060615B" w:rsidRDefault="00C4615D">
          <w:pPr>
            <w:pStyle w:val="TOC2"/>
            <w:rPr>
              <w:rFonts w:eastAsiaTheme="minorEastAsia"/>
              <w:noProof/>
              <w:kern w:val="2"/>
              <w:lang w:eastAsia="en-AU"/>
              <w14:ligatures w14:val="standardContextual"/>
            </w:rPr>
          </w:pPr>
          <w:hyperlink w:anchor="_Toc137535732" w:history="1">
            <w:r w:rsidR="0060615B" w:rsidRPr="006F3E5D">
              <w:rPr>
                <w:rStyle w:val="Hyperlink"/>
                <w:rFonts w:ascii="Arial" w:hAnsi="Arial" w:cs="Arial"/>
                <w:b/>
                <w:bCs/>
                <w:noProof/>
                <w14:scene3d>
                  <w14:camera w14:prst="orthographicFront"/>
                  <w14:lightRig w14:rig="threePt" w14:dir="t">
                    <w14:rot w14:lat="0" w14:lon="0" w14:rev="0"/>
                  </w14:lightRig>
                </w14:scene3d>
              </w:rPr>
              <w:t>1.3</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Prerequisites to implementation of any funding advice</w:t>
            </w:r>
            <w:r w:rsidR="0060615B">
              <w:rPr>
                <w:noProof/>
                <w:webHidden/>
              </w:rPr>
              <w:tab/>
            </w:r>
            <w:r w:rsidR="0060615B">
              <w:rPr>
                <w:noProof/>
                <w:webHidden/>
              </w:rPr>
              <w:fldChar w:fldCharType="begin"/>
            </w:r>
            <w:r w:rsidR="0060615B">
              <w:rPr>
                <w:noProof/>
                <w:webHidden/>
              </w:rPr>
              <w:instrText xml:space="preserve"> PAGEREF _Toc137535732 \h </w:instrText>
            </w:r>
            <w:r w:rsidR="0060615B">
              <w:rPr>
                <w:noProof/>
                <w:webHidden/>
              </w:rPr>
            </w:r>
            <w:r w:rsidR="0060615B">
              <w:rPr>
                <w:noProof/>
                <w:webHidden/>
              </w:rPr>
              <w:fldChar w:fldCharType="separate"/>
            </w:r>
            <w:r w:rsidR="00013620">
              <w:rPr>
                <w:noProof/>
                <w:webHidden/>
              </w:rPr>
              <w:t>15</w:t>
            </w:r>
            <w:r w:rsidR="0060615B">
              <w:rPr>
                <w:noProof/>
                <w:webHidden/>
              </w:rPr>
              <w:fldChar w:fldCharType="end"/>
            </w:r>
          </w:hyperlink>
        </w:p>
        <w:p w14:paraId="549D7427" w14:textId="186FF130" w:rsidR="0060615B" w:rsidRDefault="00C4615D">
          <w:pPr>
            <w:pStyle w:val="TOC2"/>
            <w:rPr>
              <w:rFonts w:eastAsiaTheme="minorEastAsia"/>
              <w:noProof/>
              <w:kern w:val="2"/>
              <w:lang w:eastAsia="en-AU"/>
              <w14:ligatures w14:val="standardContextual"/>
            </w:rPr>
          </w:pPr>
          <w:hyperlink w:anchor="_Toc137535733" w:history="1">
            <w:r w:rsidR="0060615B" w:rsidRPr="006F3E5D">
              <w:rPr>
                <w:rStyle w:val="Hyperlink"/>
                <w:rFonts w:ascii="Arial" w:hAnsi="Arial" w:cs="Arial"/>
                <w:b/>
                <w:bCs/>
                <w:noProof/>
                <w14:scene3d>
                  <w14:camera w14:prst="orthographicFront"/>
                  <w14:lightRig w14:rig="threePt" w14:dir="t">
                    <w14:rot w14:lat="0" w14:lon="0" w14:rev="0"/>
                  </w14:lightRig>
                </w14:scene3d>
              </w:rPr>
              <w:t>1.4</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Population</w:t>
            </w:r>
            <w:r w:rsidR="0060615B">
              <w:rPr>
                <w:noProof/>
                <w:webHidden/>
              </w:rPr>
              <w:tab/>
            </w:r>
            <w:r w:rsidR="0060615B">
              <w:rPr>
                <w:noProof/>
                <w:webHidden/>
              </w:rPr>
              <w:fldChar w:fldCharType="begin"/>
            </w:r>
            <w:r w:rsidR="0060615B">
              <w:rPr>
                <w:noProof/>
                <w:webHidden/>
              </w:rPr>
              <w:instrText xml:space="preserve"> PAGEREF _Toc137535733 \h </w:instrText>
            </w:r>
            <w:r w:rsidR="0060615B">
              <w:rPr>
                <w:noProof/>
                <w:webHidden/>
              </w:rPr>
            </w:r>
            <w:r w:rsidR="0060615B">
              <w:rPr>
                <w:noProof/>
                <w:webHidden/>
              </w:rPr>
              <w:fldChar w:fldCharType="separate"/>
            </w:r>
            <w:r w:rsidR="00013620">
              <w:rPr>
                <w:noProof/>
                <w:webHidden/>
              </w:rPr>
              <w:t>15</w:t>
            </w:r>
            <w:r w:rsidR="0060615B">
              <w:rPr>
                <w:noProof/>
                <w:webHidden/>
              </w:rPr>
              <w:fldChar w:fldCharType="end"/>
            </w:r>
          </w:hyperlink>
        </w:p>
        <w:p w14:paraId="377DD662" w14:textId="0BB9512A" w:rsidR="0060615B" w:rsidRDefault="00C4615D">
          <w:pPr>
            <w:pStyle w:val="TOC2"/>
            <w:rPr>
              <w:rFonts w:eastAsiaTheme="minorEastAsia"/>
              <w:noProof/>
              <w:kern w:val="2"/>
              <w:lang w:eastAsia="en-AU"/>
              <w14:ligatures w14:val="standardContextual"/>
            </w:rPr>
          </w:pPr>
          <w:hyperlink w:anchor="_Toc137535734" w:history="1">
            <w:r w:rsidR="0060615B" w:rsidRPr="006F3E5D">
              <w:rPr>
                <w:rStyle w:val="Hyperlink"/>
                <w:rFonts w:ascii="Arial" w:hAnsi="Arial" w:cs="Arial"/>
                <w:b/>
                <w:bCs/>
                <w:noProof/>
                <w14:scene3d>
                  <w14:camera w14:prst="orthographicFront"/>
                  <w14:lightRig w14:rig="threePt" w14:dir="t">
                    <w14:rot w14:lat="0" w14:lon="0" w14:rev="0"/>
                  </w14:lightRig>
                </w14:scene3d>
              </w:rPr>
              <w:t>1.5</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Intervention</w:t>
            </w:r>
            <w:r w:rsidR="0060615B">
              <w:rPr>
                <w:noProof/>
                <w:webHidden/>
              </w:rPr>
              <w:tab/>
            </w:r>
            <w:r w:rsidR="0060615B">
              <w:rPr>
                <w:noProof/>
                <w:webHidden/>
              </w:rPr>
              <w:fldChar w:fldCharType="begin"/>
            </w:r>
            <w:r w:rsidR="0060615B">
              <w:rPr>
                <w:noProof/>
                <w:webHidden/>
              </w:rPr>
              <w:instrText xml:space="preserve"> PAGEREF _Toc137535734 \h </w:instrText>
            </w:r>
            <w:r w:rsidR="0060615B">
              <w:rPr>
                <w:noProof/>
                <w:webHidden/>
              </w:rPr>
            </w:r>
            <w:r w:rsidR="0060615B">
              <w:rPr>
                <w:noProof/>
                <w:webHidden/>
              </w:rPr>
              <w:fldChar w:fldCharType="separate"/>
            </w:r>
            <w:r w:rsidR="00013620">
              <w:rPr>
                <w:noProof/>
                <w:webHidden/>
              </w:rPr>
              <w:t>15</w:t>
            </w:r>
            <w:r w:rsidR="0060615B">
              <w:rPr>
                <w:noProof/>
                <w:webHidden/>
              </w:rPr>
              <w:fldChar w:fldCharType="end"/>
            </w:r>
          </w:hyperlink>
        </w:p>
        <w:p w14:paraId="71963BC0" w14:textId="34FA3506" w:rsidR="0060615B" w:rsidRDefault="00C4615D">
          <w:pPr>
            <w:pStyle w:val="TOC2"/>
            <w:rPr>
              <w:rFonts w:eastAsiaTheme="minorEastAsia"/>
              <w:noProof/>
              <w:kern w:val="2"/>
              <w:lang w:eastAsia="en-AU"/>
              <w14:ligatures w14:val="standardContextual"/>
            </w:rPr>
          </w:pPr>
          <w:hyperlink w:anchor="_Toc137535735" w:history="1">
            <w:r w:rsidR="0060615B" w:rsidRPr="006F3E5D">
              <w:rPr>
                <w:rStyle w:val="Hyperlink"/>
                <w:rFonts w:ascii="Arial" w:hAnsi="Arial" w:cs="Arial"/>
                <w:b/>
                <w:bCs/>
                <w:noProof/>
                <w14:scene3d>
                  <w14:camera w14:prst="orthographicFront"/>
                  <w14:lightRig w14:rig="threePt" w14:dir="t">
                    <w14:rot w14:lat="0" w14:lon="0" w14:rev="0"/>
                  </w14:lightRig>
                </w14:scene3d>
              </w:rPr>
              <w:t>1.6</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Comparator(s)</w:t>
            </w:r>
            <w:r w:rsidR="0060615B">
              <w:rPr>
                <w:noProof/>
                <w:webHidden/>
              </w:rPr>
              <w:tab/>
            </w:r>
            <w:r w:rsidR="0060615B">
              <w:rPr>
                <w:noProof/>
                <w:webHidden/>
              </w:rPr>
              <w:fldChar w:fldCharType="begin"/>
            </w:r>
            <w:r w:rsidR="0060615B">
              <w:rPr>
                <w:noProof/>
                <w:webHidden/>
              </w:rPr>
              <w:instrText xml:space="preserve"> PAGEREF _Toc137535735 \h </w:instrText>
            </w:r>
            <w:r w:rsidR="0060615B">
              <w:rPr>
                <w:noProof/>
                <w:webHidden/>
              </w:rPr>
            </w:r>
            <w:r w:rsidR="0060615B">
              <w:rPr>
                <w:noProof/>
                <w:webHidden/>
              </w:rPr>
              <w:fldChar w:fldCharType="separate"/>
            </w:r>
            <w:r w:rsidR="00013620">
              <w:rPr>
                <w:noProof/>
                <w:webHidden/>
              </w:rPr>
              <w:t>17</w:t>
            </w:r>
            <w:r w:rsidR="0060615B">
              <w:rPr>
                <w:noProof/>
                <w:webHidden/>
              </w:rPr>
              <w:fldChar w:fldCharType="end"/>
            </w:r>
          </w:hyperlink>
        </w:p>
        <w:p w14:paraId="2B7F1FE6" w14:textId="55F2F08E" w:rsidR="0060615B" w:rsidRDefault="00C4615D">
          <w:pPr>
            <w:pStyle w:val="TOC2"/>
            <w:rPr>
              <w:rFonts w:eastAsiaTheme="minorEastAsia"/>
              <w:noProof/>
              <w:kern w:val="2"/>
              <w:lang w:eastAsia="en-AU"/>
              <w14:ligatures w14:val="standardContextual"/>
            </w:rPr>
          </w:pPr>
          <w:hyperlink w:anchor="_Toc137535736" w:history="1">
            <w:r w:rsidR="0060615B" w:rsidRPr="006F3E5D">
              <w:rPr>
                <w:rStyle w:val="Hyperlink"/>
                <w:rFonts w:ascii="Arial" w:hAnsi="Arial" w:cs="Arial"/>
                <w:b/>
                <w:bCs/>
                <w:noProof/>
                <w14:scene3d>
                  <w14:camera w14:prst="orthographicFront"/>
                  <w14:lightRig w14:rig="threePt" w14:dir="t">
                    <w14:rot w14:lat="0" w14:lon="0" w14:rev="0"/>
                  </w14:lightRig>
                </w14:scene3d>
              </w:rPr>
              <w:t>1.7</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Summary of the PICO criteria</w:t>
            </w:r>
            <w:r w:rsidR="0060615B">
              <w:rPr>
                <w:noProof/>
                <w:webHidden/>
              </w:rPr>
              <w:tab/>
            </w:r>
            <w:r w:rsidR="0060615B">
              <w:rPr>
                <w:noProof/>
                <w:webHidden/>
              </w:rPr>
              <w:fldChar w:fldCharType="begin"/>
            </w:r>
            <w:r w:rsidR="0060615B">
              <w:rPr>
                <w:noProof/>
                <w:webHidden/>
              </w:rPr>
              <w:instrText xml:space="preserve"> PAGEREF _Toc137535736 \h </w:instrText>
            </w:r>
            <w:r w:rsidR="0060615B">
              <w:rPr>
                <w:noProof/>
                <w:webHidden/>
              </w:rPr>
            </w:r>
            <w:r w:rsidR="0060615B">
              <w:rPr>
                <w:noProof/>
                <w:webHidden/>
              </w:rPr>
              <w:fldChar w:fldCharType="separate"/>
            </w:r>
            <w:r w:rsidR="00013620">
              <w:rPr>
                <w:noProof/>
                <w:webHidden/>
              </w:rPr>
              <w:t>17</w:t>
            </w:r>
            <w:r w:rsidR="0060615B">
              <w:rPr>
                <w:noProof/>
                <w:webHidden/>
              </w:rPr>
              <w:fldChar w:fldCharType="end"/>
            </w:r>
          </w:hyperlink>
        </w:p>
        <w:p w14:paraId="46F78ACE" w14:textId="726DE531" w:rsidR="0060615B" w:rsidRDefault="00C4615D">
          <w:pPr>
            <w:pStyle w:val="TOC3"/>
            <w:rPr>
              <w:rFonts w:asciiTheme="minorHAnsi" w:eastAsiaTheme="minorEastAsia" w:hAnsiTheme="minorHAnsi"/>
              <w:kern w:val="2"/>
              <w:lang w:eastAsia="en-AU"/>
              <w14:ligatures w14:val="standardContextual"/>
            </w:rPr>
          </w:pPr>
          <w:hyperlink w:anchor="_Toc137535737" w:history="1">
            <w:r w:rsidR="0060615B" w:rsidRPr="006F3E5D">
              <w:rPr>
                <w:rStyle w:val="Hyperlink"/>
                <w:b/>
                <w:bCs/>
              </w:rPr>
              <w:t>Table 2: PICO criteria for assessing early detection and management of cardiovascular disease risk factors in community pharmacy</w:t>
            </w:r>
            <w:r w:rsidR="0060615B">
              <w:rPr>
                <w:webHidden/>
              </w:rPr>
              <w:tab/>
            </w:r>
            <w:r w:rsidR="0060615B">
              <w:rPr>
                <w:webHidden/>
              </w:rPr>
              <w:fldChar w:fldCharType="begin"/>
            </w:r>
            <w:r w:rsidR="0060615B">
              <w:rPr>
                <w:webHidden/>
              </w:rPr>
              <w:instrText xml:space="preserve"> PAGEREF _Toc137535737 \h </w:instrText>
            </w:r>
            <w:r w:rsidR="0060615B">
              <w:rPr>
                <w:webHidden/>
              </w:rPr>
            </w:r>
            <w:r w:rsidR="0060615B">
              <w:rPr>
                <w:webHidden/>
              </w:rPr>
              <w:fldChar w:fldCharType="separate"/>
            </w:r>
            <w:r w:rsidR="00013620">
              <w:rPr>
                <w:webHidden/>
              </w:rPr>
              <w:t>18</w:t>
            </w:r>
            <w:r w:rsidR="0060615B">
              <w:rPr>
                <w:webHidden/>
              </w:rPr>
              <w:fldChar w:fldCharType="end"/>
            </w:r>
          </w:hyperlink>
        </w:p>
        <w:p w14:paraId="2194C8EB" w14:textId="4B34049C" w:rsidR="0060615B" w:rsidRDefault="00C4615D">
          <w:pPr>
            <w:pStyle w:val="TOC2"/>
            <w:rPr>
              <w:rFonts w:eastAsiaTheme="minorEastAsia"/>
              <w:noProof/>
              <w:kern w:val="2"/>
              <w:lang w:eastAsia="en-AU"/>
              <w14:ligatures w14:val="standardContextual"/>
            </w:rPr>
          </w:pPr>
          <w:hyperlink w:anchor="_Toc137535738" w:history="1">
            <w:r w:rsidR="0060615B" w:rsidRPr="006F3E5D">
              <w:rPr>
                <w:rStyle w:val="Hyperlink"/>
                <w:rFonts w:ascii="Arial" w:hAnsi="Arial" w:cs="Arial"/>
                <w:b/>
                <w:bCs/>
                <w:noProof/>
                <w14:scene3d>
                  <w14:camera w14:prst="orthographicFront"/>
                  <w14:lightRig w14:rig="threePt" w14:dir="t">
                    <w14:rot w14:lat="0" w14:lon="0" w14:rev="0"/>
                  </w14:lightRig>
                </w14:scene3d>
              </w:rPr>
              <w:t>1.8</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Alignment with the PICO confirmation</w:t>
            </w:r>
            <w:r w:rsidR="0060615B">
              <w:rPr>
                <w:noProof/>
                <w:webHidden/>
              </w:rPr>
              <w:tab/>
            </w:r>
            <w:r w:rsidR="0060615B">
              <w:rPr>
                <w:noProof/>
                <w:webHidden/>
              </w:rPr>
              <w:fldChar w:fldCharType="begin"/>
            </w:r>
            <w:r w:rsidR="0060615B">
              <w:rPr>
                <w:noProof/>
                <w:webHidden/>
              </w:rPr>
              <w:instrText xml:space="preserve"> PAGEREF _Toc137535738 \h </w:instrText>
            </w:r>
            <w:r w:rsidR="0060615B">
              <w:rPr>
                <w:noProof/>
                <w:webHidden/>
              </w:rPr>
            </w:r>
            <w:r w:rsidR="0060615B">
              <w:rPr>
                <w:noProof/>
                <w:webHidden/>
              </w:rPr>
              <w:fldChar w:fldCharType="separate"/>
            </w:r>
            <w:r w:rsidR="00013620">
              <w:rPr>
                <w:noProof/>
                <w:webHidden/>
              </w:rPr>
              <w:t>18</w:t>
            </w:r>
            <w:r w:rsidR="0060615B">
              <w:rPr>
                <w:noProof/>
                <w:webHidden/>
              </w:rPr>
              <w:fldChar w:fldCharType="end"/>
            </w:r>
          </w:hyperlink>
        </w:p>
        <w:p w14:paraId="63ECAF2B" w14:textId="4900CE9F" w:rsidR="0060615B" w:rsidRDefault="00C4615D">
          <w:pPr>
            <w:pStyle w:val="TOC2"/>
            <w:rPr>
              <w:rFonts w:eastAsiaTheme="minorEastAsia"/>
              <w:noProof/>
              <w:kern w:val="2"/>
              <w:lang w:eastAsia="en-AU"/>
              <w14:ligatures w14:val="standardContextual"/>
            </w:rPr>
          </w:pPr>
          <w:hyperlink w:anchor="_Toc137535739" w:history="1">
            <w:r w:rsidR="0060615B" w:rsidRPr="006F3E5D">
              <w:rPr>
                <w:rStyle w:val="Hyperlink"/>
                <w:rFonts w:ascii="Arial" w:hAnsi="Arial" w:cs="Arial"/>
                <w:b/>
                <w:bCs/>
                <w:noProof/>
                <w14:scene3d>
                  <w14:camera w14:prst="orthographicFront"/>
                  <w14:lightRig w14:rig="threePt" w14:dir="t">
                    <w14:rot w14:lat="0" w14:lon="0" w14:rev="0"/>
                  </w14:lightRig>
                </w14:scene3d>
              </w:rPr>
              <w:t>1.9</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Clinical Management Algorithms</w:t>
            </w:r>
            <w:r w:rsidR="0060615B">
              <w:rPr>
                <w:noProof/>
                <w:webHidden/>
              </w:rPr>
              <w:tab/>
            </w:r>
            <w:r w:rsidR="0060615B">
              <w:rPr>
                <w:noProof/>
                <w:webHidden/>
              </w:rPr>
              <w:fldChar w:fldCharType="begin"/>
            </w:r>
            <w:r w:rsidR="0060615B">
              <w:rPr>
                <w:noProof/>
                <w:webHidden/>
              </w:rPr>
              <w:instrText xml:space="preserve"> PAGEREF _Toc137535739 \h </w:instrText>
            </w:r>
            <w:r w:rsidR="0060615B">
              <w:rPr>
                <w:noProof/>
                <w:webHidden/>
              </w:rPr>
            </w:r>
            <w:r w:rsidR="0060615B">
              <w:rPr>
                <w:noProof/>
                <w:webHidden/>
              </w:rPr>
              <w:fldChar w:fldCharType="separate"/>
            </w:r>
            <w:r w:rsidR="00013620">
              <w:rPr>
                <w:noProof/>
                <w:webHidden/>
              </w:rPr>
              <w:t>19</w:t>
            </w:r>
            <w:r w:rsidR="0060615B">
              <w:rPr>
                <w:noProof/>
                <w:webHidden/>
              </w:rPr>
              <w:fldChar w:fldCharType="end"/>
            </w:r>
          </w:hyperlink>
        </w:p>
        <w:p w14:paraId="0A08EF9F" w14:textId="040D85EF" w:rsidR="0060615B" w:rsidRDefault="00C4615D">
          <w:pPr>
            <w:pStyle w:val="TOC3"/>
            <w:rPr>
              <w:rFonts w:asciiTheme="minorHAnsi" w:eastAsiaTheme="minorEastAsia" w:hAnsiTheme="minorHAnsi"/>
              <w:kern w:val="2"/>
              <w:lang w:eastAsia="en-AU"/>
              <w14:ligatures w14:val="standardContextual"/>
            </w:rPr>
          </w:pPr>
          <w:hyperlink w:anchor="_Toc137535740" w:history="1">
            <w:r w:rsidR="0060615B" w:rsidRPr="006F3E5D">
              <w:rPr>
                <w:rStyle w:val="Hyperlink"/>
                <w:b/>
                <w:bCs/>
              </w:rPr>
              <w:t>Figure 1: Clinical management algorithm</w:t>
            </w:r>
            <w:r w:rsidR="0060615B">
              <w:rPr>
                <w:webHidden/>
              </w:rPr>
              <w:tab/>
            </w:r>
            <w:r w:rsidR="0060615B">
              <w:rPr>
                <w:webHidden/>
              </w:rPr>
              <w:fldChar w:fldCharType="begin"/>
            </w:r>
            <w:r w:rsidR="0060615B">
              <w:rPr>
                <w:webHidden/>
              </w:rPr>
              <w:instrText xml:space="preserve"> PAGEREF _Toc137535740 \h </w:instrText>
            </w:r>
            <w:r w:rsidR="0060615B">
              <w:rPr>
                <w:webHidden/>
              </w:rPr>
            </w:r>
            <w:r w:rsidR="0060615B">
              <w:rPr>
                <w:webHidden/>
              </w:rPr>
              <w:fldChar w:fldCharType="separate"/>
            </w:r>
            <w:r w:rsidR="00013620">
              <w:rPr>
                <w:webHidden/>
              </w:rPr>
              <w:t>19</w:t>
            </w:r>
            <w:r w:rsidR="0060615B">
              <w:rPr>
                <w:webHidden/>
              </w:rPr>
              <w:fldChar w:fldCharType="end"/>
            </w:r>
          </w:hyperlink>
        </w:p>
        <w:p w14:paraId="13DD68ED" w14:textId="12868F03" w:rsidR="0060615B" w:rsidRDefault="00C4615D">
          <w:pPr>
            <w:pStyle w:val="TOC2"/>
            <w:tabs>
              <w:tab w:val="left" w:pos="1540"/>
            </w:tabs>
            <w:rPr>
              <w:rFonts w:eastAsiaTheme="minorEastAsia"/>
              <w:noProof/>
              <w:kern w:val="2"/>
              <w:lang w:eastAsia="en-AU"/>
              <w14:ligatures w14:val="standardContextual"/>
            </w:rPr>
          </w:pPr>
          <w:hyperlink w:anchor="_Toc137535741" w:history="1">
            <w:r w:rsidR="0060615B" w:rsidRPr="006F3E5D">
              <w:rPr>
                <w:rStyle w:val="Hyperlink"/>
                <w:rFonts w:ascii="Arial" w:hAnsi="Arial" w:cs="Arial"/>
                <w:b/>
                <w:bCs/>
                <w:noProof/>
                <w14:scene3d>
                  <w14:camera w14:prst="orthographicFront"/>
                  <w14:lightRig w14:rig="threePt" w14:dir="t">
                    <w14:rot w14:lat="0" w14:lon="0" w14:rev="0"/>
                  </w14:lightRig>
                </w14:scene3d>
              </w:rPr>
              <w:t>1.10</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Proposal for Public Funding</w:t>
            </w:r>
            <w:r w:rsidR="0060615B">
              <w:rPr>
                <w:noProof/>
                <w:webHidden/>
              </w:rPr>
              <w:tab/>
            </w:r>
            <w:r w:rsidR="0060615B">
              <w:rPr>
                <w:noProof/>
                <w:webHidden/>
              </w:rPr>
              <w:fldChar w:fldCharType="begin"/>
            </w:r>
            <w:r w:rsidR="0060615B">
              <w:rPr>
                <w:noProof/>
                <w:webHidden/>
              </w:rPr>
              <w:instrText xml:space="preserve"> PAGEREF _Toc137535741 \h </w:instrText>
            </w:r>
            <w:r w:rsidR="0060615B">
              <w:rPr>
                <w:noProof/>
                <w:webHidden/>
              </w:rPr>
            </w:r>
            <w:r w:rsidR="0060615B">
              <w:rPr>
                <w:noProof/>
                <w:webHidden/>
              </w:rPr>
              <w:fldChar w:fldCharType="separate"/>
            </w:r>
            <w:r w:rsidR="00013620">
              <w:rPr>
                <w:noProof/>
                <w:webHidden/>
              </w:rPr>
              <w:t>19</w:t>
            </w:r>
            <w:r w:rsidR="0060615B">
              <w:rPr>
                <w:noProof/>
                <w:webHidden/>
              </w:rPr>
              <w:fldChar w:fldCharType="end"/>
            </w:r>
          </w:hyperlink>
        </w:p>
        <w:p w14:paraId="300F0E7C" w14:textId="782B114F" w:rsidR="0060615B" w:rsidRDefault="00C4615D">
          <w:pPr>
            <w:pStyle w:val="TOC1"/>
            <w:rPr>
              <w:rFonts w:eastAsiaTheme="minorEastAsia"/>
              <w:b w:val="0"/>
              <w:noProof/>
              <w:kern w:val="2"/>
              <w:lang w:eastAsia="en-AU"/>
              <w14:ligatures w14:val="standardContextual"/>
            </w:rPr>
          </w:pPr>
          <w:hyperlink w:anchor="_Toc137535742" w:history="1">
            <w:r w:rsidR="0060615B" w:rsidRPr="006F3E5D">
              <w:rPr>
                <w:rStyle w:val="Hyperlink"/>
                <w:rFonts w:ascii="Arial" w:hAnsi="Arial" w:cs="Arial"/>
                <w:bCs/>
                <w:noProof/>
              </w:rPr>
              <w:t>Section 2B</w:t>
            </w:r>
            <w:r w:rsidR="0060615B">
              <w:rPr>
                <w:rFonts w:eastAsiaTheme="minorEastAsia"/>
                <w:b w:val="0"/>
                <w:noProof/>
                <w:kern w:val="2"/>
                <w:lang w:eastAsia="en-AU"/>
                <w14:ligatures w14:val="standardContextual"/>
              </w:rPr>
              <w:tab/>
            </w:r>
            <w:r w:rsidR="0060615B" w:rsidRPr="006F3E5D">
              <w:rPr>
                <w:rStyle w:val="Hyperlink"/>
                <w:rFonts w:ascii="Arial" w:hAnsi="Arial" w:cs="Arial"/>
                <w:bCs/>
                <w:noProof/>
              </w:rPr>
              <w:t xml:space="preserve"> Clinical evaluation of investigative technologies</w:t>
            </w:r>
            <w:r w:rsidR="0060615B">
              <w:rPr>
                <w:noProof/>
                <w:webHidden/>
              </w:rPr>
              <w:tab/>
            </w:r>
            <w:r w:rsidR="0060615B">
              <w:rPr>
                <w:noProof/>
                <w:webHidden/>
              </w:rPr>
              <w:fldChar w:fldCharType="begin"/>
            </w:r>
            <w:r w:rsidR="0060615B">
              <w:rPr>
                <w:noProof/>
                <w:webHidden/>
              </w:rPr>
              <w:instrText xml:space="preserve"> PAGEREF _Toc137535742 \h </w:instrText>
            </w:r>
            <w:r w:rsidR="0060615B">
              <w:rPr>
                <w:noProof/>
                <w:webHidden/>
              </w:rPr>
            </w:r>
            <w:r w:rsidR="0060615B">
              <w:rPr>
                <w:noProof/>
                <w:webHidden/>
              </w:rPr>
              <w:fldChar w:fldCharType="separate"/>
            </w:r>
            <w:r w:rsidR="00013620">
              <w:rPr>
                <w:noProof/>
                <w:webHidden/>
              </w:rPr>
              <w:t>21</w:t>
            </w:r>
            <w:r w:rsidR="0060615B">
              <w:rPr>
                <w:noProof/>
                <w:webHidden/>
              </w:rPr>
              <w:fldChar w:fldCharType="end"/>
            </w:r>
          </w:hyperlink>
        </w:p>
        <w:p w14:paraId="4CAB8256" w14:textId="756DDCA6" w:rsidR="0060615B" w:rsidRDefault="00C4615D">
          <w:pPr>
            <w:pStyle w:val="TOC2"/>
            <w:rPr>
              <w:rFonts w:eastAsiaTheme="minorEastAsia"/>
              <w:noProof/>
              <w:kern w:val="2"/>
              <w:lang w:eastAsia="en-AU"/>
              <w14:ligatures w14:val="standardContextual"/>
            </w:rPr>
          </w:pPr>
          <w:hyperlink w:anchor="_Toc137535743" w:history="1">
            <w:r w:rsidR="0060615B" w:rsidRPr="006F3E5D">
              <w:rPr>
                <w:rStyle w:val="Hyperlink"/>
                <w:rFonts w:ascii="Arial" w:hAnsi="Arial" w:cs="Arial"/>
                <w:b/>
                <w:bCs/>
                <w:noProof/>
              </w:rPr>
              <w:t>Methods for undertaking the assessment</w:t>
            </w:r>
            <w:r w:rsidR="0060615B">
              <w:rPr>
                <w:noProof/>
                <w:webHidden/>
              </w:rPr>
              <w:tab/>
            </w:r>
            <w:r w:rsidR="0060615B">
              <w:rPr>
                <w:noProof/>
                <w:webHidden/>
              </w:rPr>
              <w:fldChar w:fldCharType="begin"/>
            </w:r>
            <w:r w:rsidR="0060615B">
              <w:rPr>
                <w:noProof/>
                <w:webHidden/>
              </w:rPr>
              <w:instrText xml:space="preserve"> PAGEREF _Toc137535743 \h </w:instrText>
            </w:r>
            <w:r w:rsidR="0060615B">
              <w:rPr>
                <w:noProof/>
                <w:webHidden/>
              </w:rPr>
            </w:r>
            <w:r w:rsidR="0060615B">
              <w:rPr>
                <w:noProof/>
                <w:webHidden/>
              </w:rPr>
              <w:fldChar w:fldCharType="separate"/>
            </w:r>
            <w:r w:rsidR="00013620">
              <w:rPr>
                <w:noProof/>
                <w:webHidden/>
              </w:rPr>
              <w:t>21</w:t>
            </w:r>
            <w:r w:rsidR="0060615B">
              <w:rPr>
                <w:noProof/>
                <w:webHidden/>
              </w:rPr>
              <w:fldChar w:fldCharType="end"/>
            </w:r>
          </w:hyperlink>
        </w:p>
        <w:p w14:paraId="6AB40E88" w14:textId="068BEE89" w:rsidR="0060615B" w:rsidRDefault="00C4615D">
          <w:pPr>
            <w:pStyle w:val="TOC2"/>
            <w:rPr>
              <w:rFonts w:eastAsiaTheme="minorEastAsia"/>
              <w:noProof/>
              <w:kern w:val="2"/>
              <w:lang w:eastAsia="en-AU"/>
              <w14:ligatures w14:val="standardContextual"/>
            </w:rPr>
          </w:pPr>
          <w:hyperlink w:anchor="_Toc137535744" w:history="1">
            <w:r w:rsidR="0060615B" w:rsidRPr="006F3E5D">
              <w:rPr>
                <w:rStyle w:val="Hyperlink"/>
                <w:rFonts w:ascii="Arial" w:hAnsi="Arial" w:cs="Arial"/>
                <w:b/>
                <w:bCs/>
                <w:noProof/>
              </w:rPr>
              <w:t>Assessment framework</w:t>
            </w:r>
            <w:r w:rsidR="0060615B">
              <w:rPr>
                <w:noProof/>
                <w:webHidden/>
              </w:rPr>
              <w:tab/>
            </w:r>
            <w:r w:rsidR="0060615B">
              <w:rPr>
                <w:noProof/>
                <w:webHidden/>
              </w:rPr>
              <w:fldChar w:fldCharType="begin"/>
            </w:r>
            <w:r w:rsidR="0060615B">
              <w:rPr>
                <w:noProof/>
                <w:webHidden/>
              </w:rPr>
              <w:instrText xml:space="preserve"> PAGEREF _Toc137535744 \h </w:instrText>
            </w:r>
            <w:r w:rsidR="0060615B">
              <w:rPr>
                <w:noProof/>
                <w:webHidden/>
              </w:rPr>
            </w:r>
            <w:r w:rsidR="0060615B">
              <w:rPr>
                <w:noProof/>
                <w:webHidden/>
              </w:rPr>
              <w:fldChar w:fldCharType="separate"/>
            </w:r>
            <w:r w:rsidR="00013620">
              <w:rPr>
                <w:noProof/>
                <w:webHidden/>
              </w:rPr>
              <w:t>21</w:t>
            </w:r>
            <w:r w:rsidR="0060615B">
              <w:rPr>
                <w:noProof/>
                <w:webHidden/>
              </w:rPr>
              <w:fldChar w:fldCharType="end"/>
            </w:r>
          </w:hyperlink>
        </w:p>
        <w:p w14:paraId="189E69D3" w14:textId="6AEB9F22" w:rsidR="0060615B" w:rsidRDefault="00C4615D">
          <w:pPr>
            <w:pStyle w:val="TOC3"/>
            <w:rPr>
              <w:rFonts w:asciiTheme="minorHAnsi" w:eastAsiaTheme="minorEastAsia" w:hAnsiTheme="minorHAnsi"/>
              <w:kern w:val="2"/>
              <w:lang w:eastAsia="en-AU"/>
              <w14:ligatures w14:val="standardContextual"/>
            </w:rPr>
          </w:pPr>
          <w:hyperlink w:anchor="_Toc137535745" w:history="1">
            <w:r w:rsidR="0060615B" w:rsidRPr="006F3E5D">
              <w:rPr>
                <w:rStyle w:val="Hyperlink"/>
                <w:b/>
                <w:bCs/>
              </w:rPr>
              <w:t>Figure 2: Evidence approach</w:t>
            </w:r>
            <w:r w:rsidR="0060615B">
              <w:rPr>
                <w:webHidden/>
              </w:rPr>
              <w:tab/>
            </w:r>
            <w:r w:rsidR="0060615B">
              <w:rPr>
                <w:webHidden/>
              </w:rPr>
              <w:fldChar w:fldCharType="begin"/>
            </w:r>
            <w:r w:rsidR="0060615B">
              <w:rPr>
                <w:webHidden/>
              </w:rPr>
              <w:instrText xml:space="preserve"> PAGEREF _Toc137535745 \h </w:instrText>
            </w:r>
            <w:r w:rsidR="0060615B">
              <w:rPr>
                <w:webHidden/>
              </w:rPr>
            </w:r>
            <w:r w:rsidR="0060615B">
              <w:rPr>
                <w:webHidden/>
              </w:rPr>
              <w:fldChar w:fldCharType="separate"/>
            </w:r>
            <w:r w:rsidR="00013620">
              <w:rPr>
                <w:webHidden/>
              </w:rPr>
              <w:t>21</w:t>
            </w:r>
            <w:r w:rsidR="0060615B">
              <w:rPr>
                <w:webHidden/>
              </w:rPr>
              <w:fldChar w:fldCharType="end"/>
            </w:r>
          </w:hyperlink>
        </w:p>
        <w:p w14:paraId="104E8525" w14:textId="24E4B395" w:rsidR="0060615B" w:rsidRDefault="00C4615D">
          <w:pPr>
            <w:pStyle w:val="TOC2"/>
            <w:tabs>
              <w:tab w:val="left" w:pos="1540"/>
            </w:tabs>
            <w:rPr>
              <w:rFonts w:eastAsiaTheme="minorEastAsia"/>
              <w:noProof/>
              <w:kern w:val="2"/>
              <w:lang w:eastAsia="en-AU"/>
              <w14:ligatures w14:val="standardContextual"/>
            </w:rPr>
          </w:pPr>
          <w:hyperlink w:anchor="_Toc137535746" w:history="1">
            <w:r w:rsidR="0060615B" w:rsidRPr="006F3E5D">
              <w:rPr>
                <w:rStyle w:val="Hyperlink"/>
                <w:rFonts w:ascii="Arial" w:hAnsi="Arial" w:cs="Arial"/>
                <w:b/>
                <w:bCs/>
                <w:noProof/>
              </w:rPr>
              <w:t>2B.1</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Direct from Test to Health Outcomes Evidence</w:t>
            </w:r>
            <w:r w:rsidR="0060615B">
              <w:rPr>
                <w:noProof/>
                <w:webHidden/>
              </w:rPr>
              <w:tab/>
            </w:r>
            <w:r w:rsidR="0060615B">
              <w:rPr>
                <w:noProof/>
                <w:webHidden/>
              </w:rPr>
              <w:fldChar w:fldCharType="begin"/>
            </w:r>
            <w:r w:rsidR="0060615B">
              <w:rPr>
                <w:noProof/>
                <w:webHidden/>
              </w:rPr>
              <w:instrText xml:space="preserve"> PAGEREF _Toc137535746 \h </w:instrText>
            </w:r>
            <w:r w:rsidR="0060615B">
              <w:rPr>
                <w:noProof/>
                <w:webHidden/>
              </w:rPr>
            </w:r>
            <w:r w:rsidR="0060615B">
              <w:rPr>
                <w:noProof/>
                <w:webHidden/>
              </w:rPr>
              <w:fldChar w:fldCharType="separate"/>
            </w:r>
            <w:r w:rsidR="00013620">
              <w:rPr>
                <w:noProof/>
                <w:webHidden/>
              </w:rPr>
              <w:t>22</w:t>
            </w:r>
            <w:r w:rsidR="0060615B">
              <w:rPr>
                <w:noProof/>
                <w:webHidden/>
              </w:rPr>
              <w:fldChar w:fldCharType="end"/>
            </w:r>
          </w:hyperlink>
        </w:p>
        <w:p w14:paraId="2F56867A" w14:textId="0C3C6152" w:rsidR="0060615B" w:rsidRDefault="00C4615D">
          <w:pPr>
            <w:pStyle w:val="TOC3"/>
            <w:rPr>
              <w:rFonts w:asciiTheme="minorHAnsi" w:eastAsiaTheme="minorEastAsia" w:hAnsiTheme="minorHAnsi"/>
              <w:kern w:val="2"/>
              <w:lang w:eastAsia="en-AU"/>
              <w14:ligatures w14:val="standardContextual"/>
            </w:rPr>
          </w:pPr>
          <w:hyperlink w:anchor="_Toc137535747" w:history="1">
            <w:r w:rsidR="0060615B" w:rsidRPr="006F3E5D">
              <w:rPr>
                <w:rStyle w:val="Hyperlink"/>
                <w:rFonts w:ascii="Arial" w:hAnsi="Arial" w:cs="Arial"/>
                <w:b/>
                <w:bCs/>
              </w:rPr>
              <w:t>2B.1.1</w:t>
            </w:r>
            <w:r w:rsidR="0060615B">
              <w:rPr>
                <w:rFonts w:asciiTheme="minorHAnsi" w:eastAsiaTheme="minorEastAsia" w:hAnsiTheme="minorHAnsi"/>
                <w:kern w:val="2"/>
                <w:lang w:eastAsia="en-AU"/>
                <w14:ligatures w14:val="standardContextual"/>
              </w:rPr>
              <w:tab/>
            </w:r>
            <w:r w:rsidR="0060615B" w:rsidRPr="006F3E5D">
              <w:rPr>
                <w:rStyle w:val="Hyperlink"/>
                <w:rFonts w:ascii="Arial" w:hAnsi="Arial" w:cs="Arial"/>
                <w:b/>
                <w:bCs/>
              </w:rPr>
              <w:t>Methods for Undertaking the Assessment</w:t>
            </w:r>
            <w:r w:rsidR="0060615B">
              <w:rPr>
                <w:webHidden/>
              </w:rPr>
              <w:tab/>
            </w:r>
            <w:r w:rsidR="0060615B">
              <w:rPr>
                <w:webHidden/>
              </w:rPr>
              <w:fldChar w:fldCharType="begin"/>
            </w:r>
            <w:r w:rsidR="0060615B">
              <w:rPr>
                <w:webHidden/>
              </w:rPr>
              <w:instrText xml:space="preserve"> PAGEREF _Toc137535747 \h </w:instrText>
            </w:r>
            <w:r w:rsidR="0060615B">
              <w:rPr>
                <w:webHidden/>
              </w:rPr>
            </w:r>
            <w:r w:rsidR="0060615B">
              <w:rPr>
                <w:webHidden/>
              </w:rPr>
              <w:fldChar w:fldCharType="separate"/>
            </w:r>
            <w:r w:rsidR="00013620">
              <w:rPr>
                <w:webHidden/>
              </w:rPr>
              <w:t>22</w:t>
            </w:r>
            <w:r w:rsidR="0060615B">
              <w:rPr>
                <w:webHidden/>
              </w:rPr>
              <w:fldChar w:fldCharType="end"/>
            </w:r>
          </w:hyperlink>
        </w:p>
        <w:p w14:paraId="2571CC57" w14:textId="385C01C1" w:rsidR="0060615B" w:rsidRDefault="00C4615D">
          <w:pPr>
            <w:pStyle w:val="TOC3"/>
            <w:rPr>
              <w:rFonts w:asciiTheme="minorHAnsi" w:eastAsiaTheme="minorEastAsia" w:hAnsiTheme="minorHAnsi"/>
              <w:kern w:val="2"/>
              <w:lang w:eastAsia="en-AU"/>
              <w14:ligatures w14:val="standardContextual"/>
            </w:rPr>
          </w:pPr>
          <w:hyperlink w:anchor="_Toc137535748" w:history="1">
            <w:r w:rsidR="0060615B" w:rsidRPr="006F3E5D">
              <w:rPr>
                <w:rStyle w:val="Hyperlink"/>
                <w:rFonts w:ascii="Arial" w:hAnsi="Arial" w:cs="Arial"/>
                <w:b/>
                <w:bCs/>
              </w:rPr>
              <w:t>2B.1.2</w:t>
            </w:r>
            <w:r w:rsidR="0060615B">
              <w:rPr>
                <w:rFonts w:asciiTheme="minorHAnsi" w:eastAsiaTheme="minorEastAsia" w:hAnsiTheme="minorHAnsi"/>
                <w:kern w:val="2"/>
                <w:lang w:eastAsia="en-AU"/>
                <w14:ligatures w14:val="standardContextual"/>
              </w:rPr>
              <w:tab/>
            </w:r>
            <w:r w:rsidR="0060615B" w:rsidRPr="006F3E5D">
              <w:rPr>
                <w:rStyle w:val="Hyperlink"/>
                <w:rFonts w:ascii="Arial" w:hAnsi="Arial" w:cs="Arial"/>
                <w:b/>
                <w:bCs/>
              </w:rPr>
              <w:t>Characteristics of the evidence base</w:t>
            </w:r>
            <w:r w:rsidR="0060615B">
              <w:rPr>
                <w:webHidden/>
              </w:rPr>
              <w:tab/>
            </w:r>
            <w:r w:rsidR="0060615B">
              <w:rPr>
                <w:webHidden/>
              </w:rPr>
              <w:fldChar w:fldCharType="begin"/>
            </w:r>
            <w:r w:rsidR="0060615B">
              <w:rPr>
                <w:webHidden/>
              </w:rPr>
              <w:instrText xml:space="preserve"> PAGEREF _Toc137535748 \h </w:instrText>
            </w:r>
            <w:r w:rsidR="0060615B">
              <w:rPr>
                <w:webHidden/>
              </w:rPr>
            </w:r>
            <w:r w:rsidR="0060615B">
              <w:rPr>
                <w:webHidden/>
              </w:rPr>
              <w:fldChar w:fldCharType="separate"/>
            </w:r>
            <w:r w:rsidR="00013620">
              <w:rPr>
                <w:webHidden/>
              </w:rPr>
              <w:t>22</w:t>
            </w:r>
            <w:r w:rsidR="0060615B">
              <w:rPr>
                <w:webHidden/>
              </w:rPr>
              <w:fldChar w:fldCharType="end"/>
            </w:r>
          </w:hyperlink>
        </w:p>
        <w:p w14:paraId="19B8ED2A" w14:textId="15D29C21" w:rsidR="0060615B" w:rsidRDefault="00C4615D">
          <w:pPr>
            <w:pStyle w:val="TOC3"/>
            <w:rPr>
              <w:rFonts w:asciiTheme="minorHAnsi" w:eastAsiaTheme="minorEastAsia" w:hAnsiTheme="minorHAnsi"/>
              <w:kern w:val="2"/>
              <w:lang w:eastAsia="en-AU"/>
              <w14:ligatures w14:val="standardContextual"/>
            </w:rPr>
          </w:pPr>
          <w:hyperlink w:anchor="_Toc137535749" w:history="1">
            <w:r w:rsidR="0060615B" w:rsidRPr="006F3E5D">
              <w:rPr>
                <w:rStyle w:val="Hyperlink"/>
                <w:b/>
                <w:bCs/>
              </w:rPr>
              <w:t>Table 3: Characteristics of evidence base</w:t>
            </w:r>
            <w:r w:rsidR="0060615B">
              <w:rPr>
                <w:webHidden/>
              </w:rPr>
              <w:tab/>
            </w:r>
            <w:r w:rsidR="0060615B">
              <w:rPr>
                <w:webHidden/>
              </w:rPr>
              <w:fldChar w:fldCharType="begin"/>
            </w:r>
            <w:r w:rsidR="0060615B">
              <w:rPr>
                <w:webHidden/>
              </w:rPr>
              <w:instrText xml:space="preserve"> PAGEREF _Toc137535749 \h </w:instrText>
            </w:r>
            <w:r w:rsidR="0060615B">
              <w:rPr>
                <w:webHidden/>
              </w:rPr>
            </w:r>
            <w:r w:rsidR="0060615B">
              <w:rPr>
                <w:webHidden/>
              </w:rPr>
              <w:fldChar w:fldCharType="separate"/>
            </w:r>
            <w:r w:rsidR="00013620">
              <w:rPr>
                <w:webHidden/>
              </w:rPr>
              <w:t>23</w:t>
            </w:r>
            <w:r w:rsidR="0060615B">
              <w:rPr>
                <w:webHidden/>
              </w:rPr>
              <w:fldChar w:fldCharType="end"/>
            </w:r>
          </w:hyperlink>
        </w:p>
        <w:p w14:paraId="666F29A4" w14:textId="14EF787D" w:rsidR="0060615B" w:rsidRDefault="00C4615D">
          <w:pPr>
            <w:pStyle w:val="TOC3"/>
            <w:rPr>
              <w:rFonts w:asciiTheme="minorHAnsi" w:eastAsiaTheme="minorEastAsia" w:hAnsiTheme="minorHAnsi"/>
              <w:kern w:val="2"/>
              <w:lang w:eastAsia="en-AU"/>
              <w14:ligatures w14:val="standardContextual"/>
            </w:rPr>
          </w:pPr>
          <w:hyperlink w:anchor="_Toc137535750" w:history="1">
            <w:r w:rsidR="0060615B" w:rsidRPr="006F3E5D">
              <w:rPr>
                <w:rStyle w:val="Hyperlink"/>
                <w:b/>
                <w:bCs/>
              </w:rPr>
              <w:t>Table 4: Key features of the included evidence comparing CVD Risk Assessment in Community Pharmacy with usual care</w:t>
            </w:r>
            <w:r w:rsidR="0060615B">
              <w:rPr>
                <w:webHidden/>
              </w:rPr>
              <w:tab/>
            </w:r>
            <w:r w:rsidR="0060615B">
              <w:rPr>
                <w:webHidden/>
              </w:rPr>
              <w:fldChar w:fldCharType="begin"/>
            </w:r>
            <w:r w:rsidR="0060615B">
              <w:rPr>
                <w:webHidden/>
              </w:rPr>
              <w:instrText xml:space="preserve"> PAGEREF _Toc137535750 \h </w:instrText>
            </w:r>
            <w:r w:rsidR="0060615B">
              <w:rPr>
                <w:webHidden/>
              </w:rPr>
            </w:r>
            <w:r w:rsidR="0060615B">
              <w:rPr>
                <w:webHidden/>
              </w:rPr>
              <w:fldChar w:fldCharType="separate"/>
            </w:r>
            <w:r w:rsidR="00013620">
              <w:rPr>
                <w:webHidden/>
              </w:rPr>
              <w:t>24</w:t>
            </w:r>
            <w:r w:rsidR="0060615B">
              <w:rPr>
                <w:webHidden/>
              </w:rPr>
              <w:fldChar w:fldCharType="end"/>
            </w:r>
          </w:hyperlink>
        </w:p>
        <w:p w14:paraId="519D5A0F" w14:textId="64C735E9" w:rsidR="0060615B" w:rsidRDefault="00C4615D">
          <w:pPr>
            <w:pStyle w:val="TOC3"/>
            <w:rPr>
              <w:rFonts w:asciiTheme="minorHAnsi" w:eastAsiaTheme="minorEastAsia" w:hAnsiTheme="minorHAnsi"/>
              <w:kern w:val="2"/>
              <w:lang w:eastAsia="en-AU"/>
              <w14:ligatures w14:val="standardContextual"/>
            </w:rPr>
          </w:pPr>
          <w:hyperlink w:anchor="_Toc137535751" w:history="1">
            <w:r w:rsidR="0060615B" w:rsidRPr="006F3E5D">
              <w:rPr>
                <w:rStyle w:val="Hyperlink"/>
                <w:rFonts w:ascii="Arial" w:hAnsi="Arial" w:cs="Arial"/>
                <w:b/>
                <w:bCs/>
              </w:rPr>
              <w:t>2B.1.3</w:t>
            </w:r>
            <w:r w:rsidR="0060615B">
              <w:rPr>
                <w:rFonts w:asciiTheme="minorHAnsi" w:eastAsiaTheme="minorEastAsia" w:hAnsiTheme="minorHAnsi"/>
                <w:kern w:val="2"/>
                <w:lang w:eastAsia="en-AU"/>
                <w14:ligatures w14:val="standardContextual"/>
              </w:rPr>
              <w:tab/>
            </w:r>
            <w:r w:rsidR="0060615B" w:rsidRPr="006F3E5D">
              <w:rPr>
                <w:rStyle w:val="Hyperlink"/>
                <w:rFonts w:ascii="Arial" w:hAnsi="Arial" w:cs="Arial"/>
                <w:b/>
                <w:bCs/>
              </w:rPr>
              <w:t>Results</w:t>
            </w:r>
            <w:r w:rsidR="0060615B">
              <w:rPr>
                <w:webHidden/>
              </w:rPr>
              <w:tab/>
            </w:r>
            <w:r w:rsidR="0060615B">
              <w:rPr>
                <w:webHidden/>
              </w:rPr>
              <w:fldChar w:fldCharType="begin"/>
            </w:r>
            <w:r w:rsidR="0060615B">
              <w:rPr>
                <w:webHidden/>
              </w:rPr>
              <w:instrText xml:space="preserve"> PAGEREF _Toc137535751 \h </w:instrText>
            </w:r>
            <w:r w:rsidR="0060615B">
              <w:rPr>
                <w:webHidden/>
              </w:rPr>
            </w:r>
            <w:r w:rsidR="0060615B">
              <w:rPr>
                <w:webHidden/>
              </w:rPr>
              <w:fldChar w:fldCharType="separate"/>
            </w:r>
            <w:r w:rsidR="00013620">
              <w:rPr>
                <w:webHidden/>
              </w:rPr>
              <w:t>25</w:t>
            </w:r>
            <w:r w:rsidR="0060615B">
              <w:rPr>
                <w:webHidden/>
              </w:rPr>
              <w:fldChar w:fldCharType="end"/>
            </w:r>
          </w:hyperlink>
        </w:p>
        <w:p w14:paraId="1C94D75B" w14:textId="51182C56" w:rsidR="0060615B" w:rsidRDefault="00C4615D">
          <w:pPr>
            <w:pStyle w:val="TOC3"/>
            <w:rPr>
              <w:rFonts w:asciiTheme="minorHAnsi" w:eastAsiaTheme="minorEastAsia" w:hAnsiTheme="minorHAnsi"/>
              <w:kern w:val="2"/>
              <w:lang w:eastAsia="en-AU"/>
              <w14:ligatures w14:val="standardContextual"/>
            </w:rPr>
          </w:pPr>
          <w:hyperlink w:anchor="_Toc137535752" w:history="1">
            <w:r w:rsidR="0060615B" w:rsidRPr="006F3E5D">
              <w:rPr>
                <w:rStyle w:val="Hyperlink"/>
                <w:b/>
                <w:bCs/>
              </w:rPr>
              <w:t>Table 5: Percentage of screened individuals identified with disease risk factor (by risk category) at Baseline Assessment (time 0).</w:t>
            </w:r>
            <w:r w:rsidR="0060615B">
              <w:rPr>
                <w:webHidden/>
              </w:rPr>
              <w:tab/>
            </w:r>
            <w:r w:rsidR="0060615B">
              <w:rPr>
                <w:webHidden/>
              </w:rPr>
              <w:fldChar w:fldCharType="begin"/>
            </w:r>
            <w:r w:rsidR="0060615B">
              <w:rPr>
                <w:webHidden/>
              </w:rPr>
              <w:instrText xml:space="preserve"> PAGEREF _Toc137535752 \h </w:instrText>
            </w:r>
            <w:r w:rsidR="0060615B">
              <w:rPr>
                <w:webHidden/>
              </w:rPr>
            </w:r>
            <w:r w:rsidR="0060615B">
              <w:rPr>
                <w:webHidden/>
              </w:rPr>
              <w:fldChar w:fldCharType="separate"/>
            </w:r>
            <w:r w:rsidR="00013620">
              <w:rPr>
                <w:webHidden/>
              </w:rPr>
              <w:t>27</w:t>
            </w:r>
            <w:r w:rsidR="0060615B">
              <w:rPr>
                <w:webHidden/>
              </w:rPr>
              <w:fldChar w:fldCharType="end"/>
            </w:r>
          </w:hyperlink>
        </w:p>
        <w:p w14:paraId="151672BC" w14:textId="2101C8DE" w:rsidR="0060615B" w:rsidRDefault="00C4615D">
          <w:pPr>
            <w:pStyle w:val="TOC3"/>
            <w:rPr>
              <w:rFonts w:asciiTheme="minorHAnsi" w:eastAsiaTheme="minorEastAsia" w:hAnsiTheme="minorHAnsi"/>
              <w:kern w:val="2"/>
              <w:lang w:eastAsia="en-AU"/>
              <w14:ligatures w14:val="standardContextual"/>
            </w:rPr>
          </w:pPr>
          <w:hyperlink w:anchor="_Toc137535753" w:history="1">
            <w:r w:rsidR="0060615B" w:rsidRPr="006F3E5D">
              <w:rPr>
                <w:rStyle w:val="Hyperlink"/>
                <w:b/>
                <w:bCs/>
              </w:rPr>
              <w:t>Table 6: Percentage of screened population referred on to primary care services at Baseline Assessment</w:t>
            </w:r>
            <w:r w:rsidR="0060615B">
              <w:rPr>
                <w:webHidden/>
              </w:rPr>
              <w:tab/>
            </w:r>
            <w:r w:rsidR="0060615B">
              <w:rPr>
                <w:webHidden/>
              </w:rPr>
              <w:fldChar w:fldCharType="begin"/>
            </w:r>
            <w:r w:rsidR="0060615B">
              <w:rPr>
                <w:webHidden/>
              </w:rPr>
              <w:instrText xml:space="preserve"> PAGEREF _Toc137535753 \h </w:instrText>
            </w:r>
            <w:r w:rsidR="0060615B">
              <w:rPr>
                <w:webHidden/>
              </w:rPr>
            </w:r>
            <w:r w:rsidR="0060615B">
              <w:rPr>
                <w:webHidden/>
              </w:rPr>
              <w:fldChar w:fldCharType="separate"/>
            </w:r>
            <w:r w:rsidR="00013620">
              <w:rPr>
                <w:webHidden/>
              </w:rPr>
              <w:t>27</w:t>
            </w:r>
            <w:r w:rsidR="0060615B">
              <w:rPr>
                <w:webHidden/>
              </w:rPr>
              <w:fldChar w:fldCharType="end"/>
            </w:r>
          </w:hyperlink>
        </w:p>
        <w:p w14:paraId="193C6460" w14:textId="43D31892" w:rsidR="0060615B" w:rsidRDefault="00C4615D">
          <w:pPr>
            <w:pStyle w:val="TOC3"/>
            <w:rPr>
              <w:rFonts w:asciiTheme="minorHAnsi" w:eastAsiaTheme="minorEastAsia" w:hAnsiTheme="minorHAnsi"/>
              <w:kern w:val="2"/>
              <w:lang w:eastAsia="en-AU"/>
              <w14:ligatures w14:val="standardContextual"/>
            </w:rPr>
          </w:pPr>
          <w:hyperlink w:anchor="_Toc137535754" w:history="1">
            <w:r w:rsidR="0060615B" w:rsidRPr="006F3E5D">
              <w:rPr>
                <w:rStyle w:val="Hyperlink"/>
                <w:b/>
                <w:bCs/>
              </w:rPr>
              <w:t>Table 7: Screening participants adherence to pharmacy advice and uptake of primary care referral at 6 and 12 month assessments (General Practice)</w:t>
            </w:r>
            <w:r w:rsidR="0060615B">
              <w:rPr>
                <w:webHidden/>
              </w:rPr>
              <w:tab/>
            </w:r>
            <w:r w:rsidR="0060615B">
              <w:rPr>
                <w:webHidden/>
              </w:rPr>
              <w:fldChar w:fldCharType="begin"/>
            </w:r>
            <w:r w:rsidR="0060615B">
              <w:rPr>
                <w:webHidden/>
              </w:rPr>
              <w:instrText xml:space="preserve"> PAGEREF _Toc137535754 \h </w:instrText>
            </w:r>
            <w:r w:rsidR="0060615B">
              <w:rPr>
                <w:webHidden/>
              </w:rPr>
            </w:r>
            <w:r w:rsidR="0060615B">
              <w:rPr>
                <w:webHidden/>
              </w:rPr>
              <w:fldChar w:fldCharType="separate"/>
            </w:r>
            <w:r w:rsidR="00013620">
              <w:rPr>
                <w:webHidden/>
              </w:rPr>
              <w:t>28</w:t>
            </w:r>
            <w:r w:rsidR="0060615B">
              <w:rPr>
                <w:webHidden/>
              </w:rPr>
              <w:fldChar w:fldCharType="end"/>
            </w:r>
          </w:hyperlink>
        </w:p>
        <w:p w14:paraId="3CE374B1" w14:textId="1CE155D0" w:rsidR="0060615B" w:rsidRDefault="00C4615D">
          <w:pPr>
            <w:pStyle w:val="TOC3"/>
            <w:rPr>
              <w:rFonts w:asciiTheme="minorHAnsi" w:eastAsiaTheme="minorEastAsia" w:hAnsiTheme="minorHAnsi"/>
              <w:kern w:val="2"/>
              <w:lang w:eastAsia="en-AU"/>
              <w14:ligatures w14:val="standardContextual"/>
            </w:rPr>
          </w:pPr>
          <w:hyperlink w:anchor="_Toc137535755" w:history="1">
            <w:r w:rsidR="0060615B" w:rsidRPr="006F3E5D">
              <w:rPr>
                <w:rStyle w:val="Hyperlink"/>
                <w:b/>
                <w:bCs/>
              </w:rPr>
              <w:t>Table 8: Screening participants adherence to pharmacy advice and uptake of primary care referral at 6 and 12 month assessments (community lifestyle modification programs)</w:t>
            </w:r>
            <w:r w:rsidR="0060615B">
              <w:rPr>
                <w:webHidden/>
              </w:rPr>
              <w:tab/>
            </w:r>
            <w:r w:rsidR="0060615B">
              <w:rPr>
                <w:webHidden/>
              </w:rPr>
              <w:fldChar w:fldCharType="begin"/>
            </w:r>
            <w:r w:rsidR="0060615B">
              <w:rPr>
                <w:webHidden/>
              </w:rPr>
              <w:instrText xml:space="preserve"> PAGEREF _Toc137535755 \h </w:instrText>
            </w:r>
            <w:r w:rsidR="0060615B">
              <w:rPr>
                <w:webHidden/>
              </w:rPr>
            </w:r>
            <w:r w:rsidR="0060615B">
              <w:rPr>
                <w:webHidden/>
              </w:rPr>
              <w:fldChar w:fldCharType="separate"/>
            </w:r>
            <w:r w:rsidR="00013620">
              <w:rPr>
                <w:webHidden/>
              </w:rPr>
              <w:t>28</w:t>
            </w:r>
            <w:r w:rsidR="0060615B">
              <w:rPr>
                <w:webHidden/>
              </w:rPr>
              <w:fldChar w:fldCharType="end"/>
            </w:r>
          </w:hyperlink>
        </w:p>
        <w:p w14:paraId="7D007E84" w14:textId="7400EC0E" w:rsidR="0060615B" w:rsidRDefault="00C4615D">
          <w:pPr>
            <w:pStyle w:val="TOC3"/>
            <w:rPr>
              <w:rFonts w:asciiTheme="minorHAnsi" w:eastAsiaTheme="minorEastAsia" w:hAnsiTheme="minorHAnsi"/>
              <w:kern w:val="2"/>
              <w:lang w:eastAsia="en-AU"/>
              <w14:ligatures w14:val="standardContextual"/>
            </w:rPr>
          </w:pPr>
          <w:hyperlink w:anchor="_Toc137535756" w:history="1">
            <w:r w:rsidR="0060615B" w:rsidRPr="006F3E5D">
              <w:rPr>
                <w:rStyle w:val="Hyperlink"/>
                <w:b/>
                <w:bCs/>
              </w:rPr>
              <w:t>Table 8a: Screening participants who were referred to Lifestyle Modification Programs and commenced another Lifestyle Modification Program on completion of the first program</w:t>
            </w:r>
            <w:r w:rsidR="0060615B">
              <w:rPr>
                <w:webHidden/>
              </w:rPr>
              <w:tab/>
            </w:r>
            <w:r w:rsidR="0060615B">
              <w:rPr>
                <w:webHidden/>
              </w:rPr>
              <w:fldChar w:fldCharType="begin"/>
            </w:r>
            <w:r w:rsidR="0060615B">
              <w:rPr>
                <w:webHidden/>
              </w:rPr>
              <w:instrText xml:space="preserve"> PAGEREF _Toc137535756 \h </w:instrText>
            </w:r>
            <w:r w:rsidR="0060615B">
              <w:rPr>
                <w:webHidden/>
              </w:rPr>
            </w:r>
            <w:r w:rsidR="0060615B">
              <w:rPr>
                <w:webHidden/>
              </w:rPr>
              <w:fldChar w:fldCharType="separate"/>
            </w:r>
            <w:r w:rsidR="00013620">
              <w:rPr>
                <w:webHidden/>
              </w:rPr>
              <w:t>28</w:t>
            </w:r>
            <w:r w:rsidR="0060615B">
              <w:rPr>
                <w:webHidden/>
              </w:rPr>
              <w:fldChar w:fldCharType="end"/>
            </w:r>
          </w:hyperlink>
        </w:p>
        <w:p w14:paraId="17029474" w14:textId="048A0645" w:rsidR="0060615B" w:rsidRDefault="00C4615D">
          <w:pPr>
            <w:pStyle w:val="TOC3"/>
            <w:rPr>
              <w:rFonts w:asciiTheme="minorHAnsi" w:eastAsiaTheme="minorEastAsia" w:hAnsiTheme="minorHAnsi"/>
              <w:kern w:val="2"/>
              <w:lang w:eastAsia="en-AU"/>
              <w14:ligatures w14:val="standardContextual"/>
            </w:rPr>
          </w:pPr>
          <w:hyperlink w:anchor="_Toc137535757" w:history="1">
            <w:r w:rsidR="0060615B" w:rsidRPr="006F3E5D">
              <w:rPr>
                <w:rStyle w:val="Hyperlink"/>
                <w:b/>
                <w:bCs/>
              </w:rPr>
              <w:t>Table 9: Screening satisfaction of participants with pharmacy-based services.</w:t>
            </w:r>
            <w:r w:rsidR="0060615B">
              <w:rPr>
                <w:webHidden/>
              </w:rPr>
              <w:tab/>
            </w:r>
            <w:r w:rsidR="0060615B">
              <w:rPr>
                <w:webHidden/>
              </w:rPr>
              <w:fldChar w:fldCharType="begin"/>
            </w:r>
            <w:r w:rsidR="0060615B">
              <w:rPr>
                <w:webHidden/>
              </w:rPr>
              <w:instrText xml:space="preserve"> PAGEREF _Toc137535757 \h </w:instrText>
            </w:r>
            <w:r w:rsidR="0060615B">
              <w:rPr>
                <w:webHidden/>
              </w:rPr>
            </w:r>
            <w:r w:rsidR="0060615B">
              <w:rPr>
                <w:webHidden/>
              </w:rPr>
              <w:fldChar w:fldCharType="separate"/>
            </w:r>
            <w:r w:rsidR="00013620">
              <w:rPr>
                <w:webHidden/>
              </w:rPr>
              <w:t>28</w:t>
            </w:r>
            <w:r w:rsidR="0060615B">
              <w:rPr>
                <w:webHidden/>
              </w:rPr>
              <w:fldChar w:fldCharType="end"/>
            </w:r>
          </w:hyperlink>
        </w:p>
        <w:p w14:paraId="5905DB6A" w14:textId="50F3C535" w:rsidR="0060615B" w:rsidRDefault="00C4615D">
          <w:pPr>
            <w:pStyle w:val="TOC2"/>
            <w:tabs>
              <w:tab w:val="left" w:pos="1540"/>
            </w:tabs>
            <w:rPr>
              <w:rFonts w:eastAsiaTheme="minorEastAsia"/>
              <w:noProof/>
              <w:kern w:val="2"/>
              <w:lang w:eastAsia="en-AU"/>
              <w14:ligatures w14:val="standardContextual"/>
            </w:rPr>
          </w:pPr>
          <w:hyperlink w:anchor="_Toc137535758" w:history="1">
            <w:r w:rsidR="0060615B" w:rsidRPr="006F3E5D">
              <w:rPr>
                <w:rStyle w:val="Hyperlink"/>
                <w:rFonts w:ascii="Arial" w:hAnsi="Arial" w:cs="Arial"/>
                <w:b/>
                <w:bCs/>
                <w:noProof/>
              </w:rPr>
              <w:t>2B.5</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 xml:space="preserve"> Conclusion</w:t>
            </w:r>
            <w:r w:rsidR="0060615B">
              <w:rPr>
                <w:noProof/>
                <w:webHidden/>
              </w:rPr>
              <w:tab/>
            </w:r>
            <w:r w:rsidR="0060615B">
              <w:rPr>
                <w:noProof/>
                <w:webHidden/>
              </w:rPr>
              <w:fldChar w:fldCharType="begin"/>
            </w:r>
            <w:r w:rsidR="0060615B">
              <w:rPr>
                <w:noProof/>
                <w:webHidden/>
              </w:rPr>
              <w:instrText xml:space="preserve"> PAGEREF _Toc137535758 \h </w:instrText>
            </w:r>
            <w:r w:rsidR="0060615B">
              <w:rPr>
                <w:noProof/>
                <w:webHidden/>
              </w:rPr>
            </w:r>
            <w:r w:rsidR="0060615B">
              <w:rPr>
                <w:noProof/>
                <w:webHidden/>
              </w:rPr>
              <w:fldChar w:fldCharType="separate"/>
            </w:r>
            <w:r w:rsidR="00013620">
              <w:rPr>
                <w:noProof/>
                <w:webHidden/>
              </w:rPr>
              <w:t>29</w:t>
            </w:r>
            <w:r w:rsidR="0060615B">
              <w:rPr>
                <w:noProof/>
                <w:webHidden/>
              </w:rPr>
              <w:fldChar w:fldCharType="end"/>
            </w:r>
          </w:hyperlink>
        </w:p>
        <w:p w14:paraId="50BF50F7" w14:textId="0C0F6574" w:rsidR="0060615B" w:rsidRDefault="00C4615D">
          <w:pPr>
            <w:pStyle w:val="TOC3"/>
            <w:rPr>
              <w:rFonts w:asciiTheme="minorHAnsi" w:eastAsiaTheme="minorEastAsia" w:hAnsiTheme="minorHAnsi"/>
              <w:kern w:val="2"/>
              <w:lang w:eastAsia="en-AU"/>
              <w14:ligatures w14:val="standardContextual"/>
            </w:rPr>
          </w:pPr>
          <w:hyperlink w:anchor="_Toc137535759" w:history="1">
            <w:r w:rsidR="0060615B" w:rsidRPr="006F3E5D">
              <w:rPr>
                <w:rStyle w:val="Hyperlink"/>
                <w:rFonts w:ascii="Arial" w:hAnsi="Arial" w:cs="Arial"/>
                <w:b/>
                <w:bCs/>
              </w:rPr>
              <w:t>2B.5.1</w:t>
            </w:r>
            <w:r w:rsidR="0060615B">
              <w:rPr>
                <w:rFonts w:asciiTheme="minorHAnsi" w:eastAsiaTheme="minorEastAsia" w:hAnsiTheme="minorHAnsi"/>
                <w:kern w:val="2"/>
                <w:lang w:eastAsia="en-AU"/>
                <w14:ligatures w14:val="standardContextual"/>
              </w:rPr>
              <w:tab/>
            </w:r>
            <w:r w:rsidR="0060615B" w:rsidRPr="006F3E5D">
              <w:rPr>
                <w:rStyle w:val="Hyperlink"/>
                <w:rFonts w:ascii="Arial" w:hAnsi="Arial" w:cs="Arial"/>
                <w:b/>
                <w:bCs/>
              </w:rPr>
              <w:t>Evidence Interpretation</w:t>
            </w:r>
            <w:r w:rsidR="0060615B">
              <w:rPr>
                <w:webHidden/>
              </w:rPr>
              <w:tab/>
            </w:r>
            <w:r w:rsidR="0060615B">
              <w:rPr>
                <w:webHidden/>
              </w:rPr>
              <w:fldChar w:fldCharType="begin"/>
            </w:r>
            <w:r w:rsidR="0060615B">
              <w:rPr>
                <w:webHidden/>
              </w:rPr>
              <w:instrText xml:space="preserve"> PAGEREF _Toc137535759 \h </w:instrText>
            </w:r>
            <w:r w:rsidR="0060615B">
              <w:rPr>
                <w:webHidden/>
              </w:rPr>
            </w:r>
            <w:r w:rsidR="0060615B">
              <w:rPr>
                <w:webHidden/>
              </w:rPr>
              <w:fldChar w:fldCharType="separate"/>
            </w:r>
            <w:r w:rsidR="00013620">
              <w:rPr>
                <w:webHidden/>
              </w:rPr>
              <w:t>29</w:t>
            </w:r>
            <w:r w:rsidR="0060615B">
              <w:rPr>
                <w:webHidden/>
              </w:rPr>
              <w:fldChar w:fldCharType="end"/>
            </w:r>
          </w:hyperlink>
        </w:p>
        <w:p w14:paraId="5691FD4E" w14:textId="2095CD71" w:rsidR="0060615B" w:rsidRDefault="00C4615D">
          <w:pPr>
            <w:pStyle w:val="TOC3"/>
            <w:rPr>
              <w:rFonts w:asciiTheme="minorHAnsi" w:eastAsiaTheme="minorEastAsia" w:hAnsiTheme="minorHAnsi"/>
              <w:kern w:val="2"/>
              <w:lang w:eastAsia="en-AU"/>
              <w14:ligatures w14:val="standardContextual"/>
            </w:rPr>
          </w:pPr>
          <w:hyperlink w:anchor="_Toc137535760" w:history="1">
            <w:r w:rsidR="0060615B" w:rsidRPr="006F3E5D">
              <w:rPr>
                <w:rStyle w:val="Hyperlink"/>
                <w:b/>
                <w:bCs/>
              </w:rPr>
              <w:t>Table</w:t>
            </w:r>
            <w:r w:rsidR="00A85BF7">
              <w:rPr>
                <w:rStyle w:val="Hyperlink"/>
                <w:b/>
                <w:bCs/>
              </w:rPr>
              <w:t xml:space="preserve"> </w:t>
            </w:r>
            <w:r w:rsidR="0060615B" w:rsidRPr="006F3E5D">
              <w:rPr>
                <w:rStyle w:val="Hyperlink"/>
                <w:b/>
                <w:bCs/>
              </w:rPr>
              <w:t>10: Assessments completed</w:t>
            </w:r>
            <w:r w:rsidR="0060615B">
              <w:rPr>
                <w:webHidden/>
              </w:rPr>
              <w:tab/>
            </w:r>
            <w:r w:rsidR="0060615B">
              <w:rPr>
                <w:webHidden/>
              </w:rPr>
              <w:fldChar w:fldCharType="begin"/>
            </w:r>
            <w:r w:rsidR="0060615B">
              <w:rPr>
                <w:webHidden/>
              </w:rPr>
              <w:instrText xml:space="preserve"> PAGEREF _Toc137535760 \h </w:instrText>
            </w:r>
            <w:r w:rsidR="0060615B">
              <w:rPr>
                <w:webHidden/>
              </w:rPr>
            </w:r>
            <w:r w:rsidR="0060615B">
              <w:rPr>
                <w:webHidden/>
              </w:rPr>
              <w:fldChar w:fldCharType="separate"/>
            </w:r>
            <w:r w:rsidR="00013620">
              <w:rPr>
                <w:webHidden/>
              </w:rPr>
              <w:t>30</w:t>
            </w:r>
            <w:r w:rsidR="0060615B">
              <w:rPr>
                <w:webHidden/>
              </w:rPr>
              <w:fldChar w:fldCharType="end"/>
            </w:r>
          </w:hyperlink>
        </w:p>
        <w:p w14:paraId="39AF708E" w14:textId="344413F8" w:rsidR="0060615B" w:rsidRDefault="00C4615D">
          <w:pPr>
            <w:pStyle w:val="TOC3"/>
            <w:rPr>
              <w:rFonts w:asciiTheme="minorHAnsi" w:eastAsiaTheme="minorEastAsia" w:hAnsiTheme="minorHAnsi"/>
              <w:kern w:val="2"/>
              <w:lang w:eastAsia="en-AU"/>
              <w14:ligatures w14:val="standardContextual"/>
            </w:rPr>
          </w:pPr>
          <w:hyperlink w:anchor="_Toc137535761" w:history="1">
            <w:r w:rsidR="0060615B" w:rsidRPr="006F3E5D">
              <w:rPr>
                <w:rStyle w:val="Hyperlink"/>
                <w:b/>
                <w:bCs/>
              </w:rPr>
              <w:t>Table 11: Participant CVD Risk Rating</w:t>
            </w:r>
            <w:r w:rsidR="0060615B">
              <w:rPr>
                <w:webHidden/>
              </w:rPr>
              <w:tab/>
            </w:r>
            <w:r w:rsidR="0060615B">
              <w:rPr>
                <w:webHidden/>
              </w:rPr>
              <w:fldChar w:fldCharType="begin"/>
            </w:r>
            <w:r w:rsidR="0060615B">
              <w:rPr>
                <w:webHidden/>
              </w:rPr>
              <w:instrText xml:space="preserve"> PAGEREF _Toc137535761 \h </w:instrText>
            </w:r>
            <w:r w:rsidR="0060615B">
              <w:rPr>
                <w:webHidden/>
              </w:rPr>
            </w:r>
            <w:r w:rsidR="0060615B">
              <w:rPr>
                <w:webHidden/>
              </w:rPr>
              <w:fldChar w:fldCharType="separate"/>
            </w:r>
            <w:r w:rsidR="00013620">
              <w:rPr>
                <w:webHidden/>
              </w:rPr>
              <w:t>30</w:t>
            </w:r>
            <w:r w:rsidR="0060615B">
              <w:rPr>
                <w:webHidden/>
              </w:rPr>
              <w:fldChar w:fldCharType="end"/>
            </w:r>
          </w:hyperlink>
        </w:p>
        <w:p w14:paraId="1A7DBB8C" w14:textId="5EDDA04D" w:rsidR="0060615B" w:rsidRDefault="00C4615D">
          <w:pPr>
            <w:pStyle w:val="TOC3"/>
            <w:rPr>
              <w:rFonts w:asciiTheme="minorHAnsi" w:eastAsiaTheme="minorEastAsia" w:hAnsiTheme="minorHAnsi"/>
              <w:kern w:val="2"/>
              <w:lang w:eastAsia="en-AU"/>
              <w14:ligatures w14:val="standardContextual"/>
            </w:rPr>
          </w:pPr>
          <w:hyperlink w:anchor="_Toc137535762" w:history="1">
            <w:r w:rsidR="0060615B" w:rsidRPr="006F3E5D">
              <w:rPr>
                <w:rStyle w:val="Hyperlink"/>
                <w:b/>
                <w:bCs/>
              </w:rPr>
              <w:t>Table 12: Risk rating change</w:t>
            </w:r>
            <w:r w:rsidR="0060615B">
              <w:rPr>
                <w:webHidden/>
              </w:rPr>
              <w:tab/>
            </w:r>
            <w:r w:rsidR="0060615B">
              <w:rPr>
                <w:webHidden/>
              </w:rPr>
              <w:fldChar w:fldCharType="begin"/>
            </w:r>
            <w:r w:rsidR="0060615B">
              <w:rPr>
                <w:webHidden/>
              </w:rPr>
              <w:instrText xml:space="preserve"> PAGEREF _Toc137535762 \h </w:instrText>
            </w:r>
            <w:r w:rsidR="0060615B">
              <w:rPr>
                <w:webHidden/>
              </w:rPr>
            </w:r>
            <w:r w:rsidR="0060615B">
              <w:rPr>
                <w:webHidden/>
              </w:rPr>
              <w:fldChar w:fldCharType="separate"/>
            </w:r>
            <w:r w:rsidR="00013620">
              <w:rPr>
                <w:webHidden/>
              </w:rPr>
              <w:t>31</w:t>
            </w:r>
            <w:r w:rsidR="0060615B">
              <w:rPr>
                <w:webHidden/>
              </w:rPr>
              <w:fldChar w:fldCharType="end"/>
            </w:r>
          </w:hyperlink>
        </w:p>
        <w:p w14:paraId="6490BA08" w14:textId="0D582EAD" w:rsidR="0060615B" w:rsidRDefault="00C4615D">
          <w:pPr>
            <w:pStyle w:val="TOC3"/>
            <w:rPr>
              <w:rFonts w:asciiTheme="minorHAnsi" w:eastAsiaTheme="minorEastAsia" w:hAnsiTheme="minorHAnsi"/>
              <w:kern w:val="2"/>
              <w:lang w:eastAsia="en-AU"/>
              <w14:ligatures w14:val="standardContextual"/>
            </w:rPr>
          </w:pPr>
          <w:hyperlink w:anchor="_Toc137535763" w:history="1">
            <w:r w:rsidR="0060615B" w:rsidRPr="006F3E5D">
              <w:rPr>
                <w:rStyle w:val="Hyperlink"/>
                <w:rFonts w:ascii="Arial" w:hAnsi="Arial" w:cs="Arial"/>
                <w:b/>
                <w:bCs/>
              </w:rPr>
              <w:t>2B.5.2</w:t>
            </w:r>
            <w:r w:rsidR="0060615B">
              <w:rPr>
                <w:rFonts w:asciiTheme="minorHAnsi" w:eastAsiaTheme="minorEastAsia" w:hAnsiTheme="minorHAnsi"/>
                <w:kern w:val="2"/>
                <w:lang w:eastAsia="en-AU"/>
                <w14:ligatures w14:val="standardContextual"/>
              </w:rPr>
              <w:tab/>
            </w:r>
            <w:r w:rsidR="0060615B" w:rsidRPr="006F3E5D">
              <w:rPr>
                <w:rStyle w:val="Hyperlink"/>
                <w:rFonts w:ascii="Arial" w:hAnsi="Arial" w:cs="Arial"/>
                <w:b/>
                <w:bCs/>
              </w:rPr>
              <w:t>Conclusion of the Clinical Claim</w:t>
            </w:r>
            <w:r w:rsidR="0060615B">
              <w:rPr>
                <w:webHidden/>
              </w:rPr>
              <w:tab/>
            </w:r>
            <w:r w:rsidR="0060615B">
              <w:rPr>
                <w:webHidden/>
              </w:rPr>
              <w:fldChar w:fldCharType="begin"/>
            </w:r>
            <w:r w:rsidR="0060615B">
              <w:rPr>
                <w:webHidden/>
              </w:rPr>
              <w:instrText xml:space="preserve"> PAGEREF _Toc137535763 \h </w:instrText>
            </w:r>
            <w:r w:rsidR="0060615B">
              <w:rPr>
                <w:webHidden/>
              </w:rPr>
            </w:r>
            <w:r w:rsidR="0060615B">
              <w:rPr>
                <w:webHidden/>
              </w:rPr>
              <w:fldChar w:fldCharType="separate"/>
            </w:r>
            <w:r w:rsidR="00013620">
              <w:rPr>
                <w:webHidden/>
              </w:rPr>
              <w:t>31</w:t>
            </w:r>
            <w:r w:rsidR="0060615B">
              <w:rPr>
                <w:webHidden/>
              </w:rPr>
              <w:fldChar w:fldCharType="end"/>
            </w:r>
          </w:hyperlink>
        </w:p>
        <w:p w14:paraId="1F3DAC62" w14:textId="1C35A741" w:rsidR="0060615B" w:rsidRDefault="00C4615D">
          <w:pPr>
            <w:pStyle w:val="TOC1"/>
            <w:rPr>
              <w:rFonts w:eastAsiaTheme="minorEastAsia"/>
              <w:b w:val="0"/>
              <w:noProof/>
              <w:kern w:val="2"/>
              <w:lang w:eastAsia="en-AU"/>
              <w14:ligatures w14:val="standardContextual"/>
            </w:rPr>
          </w:pPr>
          <w:hyperlink w:anchor="_Toc137535764" w:history="1">
            <w:r w:rsidR="0060615B" w:rsidRPr="006F3E5D">
              <w:rPr>
                <w:rStyle w:val="Hyperlink"/>
                <w:rFonts w:ascii="Arial" w:hAnsi="Arial" w:cs="Arial"/>
                <w:bCs/>
                <w:noProof/>
              </w:rPr>
              <w:t>Section 3A</w:t>
            </w:r>
            <w:r w:rsidR="0060615B">
              <w:rPr>
                <w:rFonts w:eastAsiaTheme="minorEastAsia"/>
                <w:b w:val="0"/>
                <w:noProof/>
                <w:kern w:val="2"/>
                <w:lang w:eastAsia="en-AU"/>
                <w14:ligatures w14:val="standardContextual"/>
              </w:rPr>
              <w:tab/>
            </w:r>
            <w:r w:rsidR="0060615B" w:rsidRPr="006F3E5D">
              <w:rPr>
                <w:rStyle w:val="Hyperlink"/>
                <w:rFonts w:ascii="Arial" w:hAnsi="Arial" w:cs="Arial"/>
                <w:bCs/>
                <w:noProof/>
              </w:rPr>
              <w:t>Cost-effectiveness Analysis</w:t>
            </w:r>
            <w:r w:rsidR="0060615B">
              <w:rPr>
                <w:noProof/>
                <w:webHidden/>
              </w:rPr>
              <w:tab/>
            </w:r>
            <w:r w:rsidR="0060615B">
              <w:rPr>
                <w:noProof/>
                <w:webHidden/>
              </w:rPr>
              <w:fldChar w:fldCharType="begin"/>
            </w:r>
            <w:r w:rsidR="0060615B">
              <w:rPr>
                <w:noProof/>
                <w:webHidden/>
              </w:rPr>
              <w:instrText xml:space="preserve"> PAGEREF _Toc137535764 \h </w:instrText>
            </w:r>
            <w:r w:rsidR="0060615B">
              <w:rPr>
                <w:noProof/>
                <w:webHidden/>
              </w:rPr>
            </w:r>
            <w:r w:rsidR="0060615B">
              <w:rPr>
                <w:noProof/>
                <w:webHidden/>
              </w:rPr>
              <w:fldChar w:fldCharType="separate"/>
            </w:r>
            <w:r w:rsidR="00013620">
              <w:rPr>
                <w:noProof/>
                <w:webHidden/>
              </w:rPr>
              <w:t>33</w:t>
            </w:r>
            <w:r w:rsidR="0060615B">
              <w:rPr>
                <w:noProof/>
                <w:webHidden/>
              </w:rPr>
              <w:fldChar w:fldCharType="end"/>
            </w:r>
          </w:hyperlink>
        </w:p>
        <w:p w14:paraId="1C0AFF86" w14:textId="25BB49C0" w:rsidR="0060615B" w:rsidRDefault="00C4615D">
          <w:pPr>
            <w:pStyle w:val="TOC2"/>
            <w:tabs>
              <w:tab w:val="left" w:pos="1540"/>
            </w:tabs>
            <w:rPr>
              <w:rFonts w:eastAsiaTheme="minorEastAsia"/>
              <w:noProof/>
              <w:kern w:val="2"/>
              <w:lang w:eastAsia="en-AU"/>
              <w14:ligatures w14:val="standardContextual"/>
            </w:rPr>
          </w:pPr>
          <w:hyperlink w:anchor="_Toc137535765" w:history="1">
            <w:r w:rsidR="0060615B" w:rsidRPr="006F3E5D">
              <w:rPr>
                <w:rStyle w:val="Hyperlink"/>
                <w:rFonts w:ascii="Arial" w:hAnsi="Arial" w:cs="Arial"/>
                <w:b/>
                <w:bCs/>
                <w:noProof/>
              </w:rPr>
              <w:t>3A.1</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Overview and rationale of the economic evaluation</w:t>
            </w:r>
            <w:r w:rsidR="0060615B">
              <w:rPr>
                <w:noProof/>
                <w:webHidden/>
              </w:rPr>
              <w:tab/>
            </w:r>
            <w:r w:rsidR="0060615B">
              <w:rPr>
                <w:noProof/>
                <w:webHidden/>
              </w:rPr>
              <w:fldChar w:fldCharType="begin"/>
            </w:r>
            <w:r w:rsidR="0060615B">
              <w:rPr>
                <w:noProof/>
                <w:webHidden/>
              </w:rPr>
              <w:instrText xml:space="preserve"> PAGEREF _Toc137535765 \h </w:instrText>
            </w:r>
            <w:r w:rsidR="0060615B">
              <w:rPr>
                <w:noProof/>
                <w:webHidden/>
              </w:rPr>
            </w:r>
            <w:r w:rsidR="0060615B">
              <w:rPr>
                <w:noProof/>
                <w:webHidden/>
              </w:rPr>
              <w:fldChar w:fldCharType="separate"/>
            </w:r>
            <w:r w:rsidR="00013620">
              <w:rPr>
                <w:noProof/>
                <w:webHidden/>
              </w:rPr>
              <w:t>33</w:t>
            </w:r>
            <w:r w:rsidR="0060615B">
              <w:rPr>
                <w:noProof/>
                <w:webHidden/>
              </w:rPr>
              <w:fldChar w:fldCharType="end"/>
            </w:r>
          </w:hyperlink>
        </w:p>
        <w:p w14:paraId="6CF97BF0" w14:textId="7E277C11" w:rsidR="0060615B" w:rsidRDefault="00C4615D">
          <w:pPr>
            <w:pStyle w:val="TOC2"/>
            <w:tabs>
              <w:tab w:val="left" w:pos="1540"/>
            </w:tabs>
            <w:rPr>
              <w:rFonts w:eastAsiaTheme="minorEastAsia"/>
              <w:noProof/>
              <w:kern w:val="2"/>
              <w:lang w:eastAsia="en-AU"/>
              <w14:ligatures w14:val="standardContextual"/>
            </w:rPr>
          </w:pPr>
          <w:hyperlink w:anchor="_Toc137535766" w:history="1">
            <w:r w:rsidR="0060615B" w:rsidRPr="006F3E5D">
              <w:rPr>
                <w:rStyle w:val="Hyperlink"/>
                <w:rFonts w:ascii="Arial" w:hAnsi="Arial" w:cs="Arial"/>
                <w:b/>
                <w:bCs/>
                <w:noProof/>
              </w:rPr>
              <w:t>3A.2</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Methods</w:t>
            </w:r>
            <w:r w:rsidR="0060615B">
              <w:rPr>
                <w:noProof/>
                <w:webHidden/>
              </w:rPr>
              <w:tab/>
            </w:r>
            <w:r w:rsidR="0060615B">
              <w:rPr>
                <w:noProof/>
                <w:webHidden/>
              </w:rPr>
              <w:fldChar w:fldCharType="begin"/>
            </w:r>
            <w:r w:rsidR="0060615B">
              <w:rPr>
                <w:noProof/>
                <w:webHidden/>
              </w:rPr>
              <w:instrText xml:space="preserve"> PAGEREF _Toc137535766 \h </w:instrText>
            </w:r>
            <w:r w:rsidR="0060615B">
              <w:rPr>
                <w:noProof/>
                <w:webHidden/>
              </w:rPr>
            </w:r>
            <w:r w:rsidR="0060615B">
              <w:rPr>
                <w:noProof/>
                <w:webHidden/>
              </w:rPr>
              <w:fldChar w:fldCharType="separate"/>
            </w:r>
            <w:r w:rsidR="00013620">
              <w:rPr>
                <w:noProof/>
                <w:webHidden/>
              </w:rPr>
              <w:t>33</w:t>
            </w:r>
            <w:r w:rsidR="0060615B">
              <w:rPr>
                <w:noProof/>
                <w:webHidden/>
              </w:rPr>
              <w:fldChar w:fldCharType="end"/>
            </w:r>
          </w:hyperlink>
        </w:p>
        <w:p w14:paraId="3A14923C" w14:textId="72FC36AD" w:rsidR="0060615B" w:rsidRDefault="00C4615D">
          <w:pPr>
            <w:pStyle w:val="TOC3"/>
            <w:rPr>
              <w:rFonts w:asciiTheme="minorHAnsi" w:eastAsiaTheme="minorEastAsia" w:hAnsiTheme="minorHAnsi"/>
              <w:kern w:val="2"/>
              <w:lang w:eastAsia="en-AU"/>
              <w14:ligatures w14:val="standardContextual"/>
            </w:rPr>
          </w:pPr>
          <w:hyperlink w:anchor="_Toc137535767" w:history="1">
            <w:r w:rsidR="0060615B" w:rsidRPr="006F3E5D">
              <w:rPr>
                <w:rStyle w:val="Hyperlink"/>
                <w:rFonts w:ascii="Arial" w:hAnsi="Arial" w:cs="Arial"/>
                <w:b/>
                <w:bCs/>
              </w:rPr>
              <w:t>3A.2.1</w:t>
            </w:r>
            <w:r w:rsidR="0060615B">
              <w:rPr>
                <w:rFonts w:asciiTheme="minorHAnsi" w:eastAsiaTheme="minorEastAsia" w:hAnsiTheme="minorHAnsi"/>
                <w:kern w:val="2"/>
                <w:lang w:eastAsia="en-AU"/>
                <w14:ligatures w14:val="standardContextual"/>
              </w:rPr>
              <w:tab/>
            </w:r>
            <w:r w:rsidR="0060615B" w:rsidRPr="006F3E5D">
              <w:rPr>
                <w:rStyle w:val="Hyperlink"/>
                <w:rFonts w:ascii="Arial" w:hAnsi="Arial" w:cs="Arial"/>
                <w:b/>
                <w:bCs/>
              </w:rPr>
              <w:t>Summary table</w:t>
            </w:r>
            <w:r w:rsidR="0060615B">
              <w:rPr>
                <w:webHidden/>
              </w:rPr>
              <w:tab/>
            </w:r>
            <w:r w:rsidR="0060615B">
              <w:rPr>
                <w:webHidden/>
              </w:rPr>
              <w:fldChar w:fldCharType="begin"/>
            </w:r>
            <w:r w:rsidR="0060615B">
              <w:rPr>
                <w:webHidden/>
              </w:rPr>
              <w:instrText xml:space="preserve"> PAGEREF _Toc137535767 \h </w:instrText>
            </w:r>
            <w:r w:rsidR="0060615B">
              <w:rPr>
                <w:webHidden/>
              </w:rPr>
            </w:r>
            <w:r w:rsidR="0060615B">
              <w:rPr>
                <w:webHidden/>
              </w:rPr>
              <w:fldChar w:fldCharType="separate"/>
            </w:r>
            <w:r w:rsidR="00013620">
              <w:rPr>
                <w:webHidden/>
              </w:rPr>
              <w:t>33</w:t>
            </w:r>
            <w:r w:rsidR="0060615B">
              <w:rPr>
                <w:webHidden/>
              </w:rPr>
              <w:fldChar w:fldCharType="end"/>
            </w:r>
          </w:hyperlink>
        </w:p>
        <w:p w14:paraId="423ADEF0" w14:textId="0439EF93" w:rsidR="0060615B" w:rsidRDefault="00C4615D">
          <w:pPr>
            <w:pStyle w:val="TOC3"/>
            <w:rPr>
              <w:rFonts w:asciiTheme="minorHAnsi" w:eastAsiaTheme="minorEastAsia" w:hAnsiTheme="minorHAnsi"/>
              <w:kern w:val="2"/>
              <w:lang w:eastAsia="en-AU"/>
              <w14:ligatures w14:val="standardContextual"/>
            </w:rPr>
          </w:pPr>
          <w:hyperlink w:anchor="_Toc137535768" w:history="1">
            <w:r w:rsidR="0060615B" w:rsidRPr="006F3E5D">
              <w:rPr>
                <w:rStyle w:val="Hyperlink"/>
                <w:b/>
                <w:bCs/>
              </w:rPr>
              <w:t>Table 13: Summary of the economic evaluation</w:t>
            </w:r>
            <w:r w:rsidR="0060615B">
              <w:rPr>
                <w:webHidden/>
              </w:rPr>
              <w:tab/>
            </w:r>
            <w:r w:rsidR="0060615B">
              <w:rPr>
                <w:webHidden/>
              </w:rPr>
              <w:fldChar w:fldCharType="begin"/>
            </w:r>
            <w:r w:rsidR="0060615B">
              <w:rPr>
                <w:webHidden/>
              </w:rPr>
              <w:instrText xml:space="preserve"> PAGEREF _Toc137535768 \h </w:instrText>
            </w:r>
            <w:r w:rsidR="0060615B">
              <w:rPr>
                <w:webHidden/>
              </w:rPr>
            </w:r>
            <w:r w:rsidR="0060615B">
              <w:rPr>
                <w:webHidden/>
              </w:rPr>
              <w:fldChar w:fldCharType="separate"/>
            </w:r>
            <w:r w:rsidR="00013620">
              <w:rPr>
                <w:webHidden/>
              </w:rPr>
              <w:t>33</w:t>
            </w:r>
            <w:r w:rsidR="0060615B">
              <w:rPr>
                <w:webHidden/>
              </w:rPr>
              <w:fldChar w:fldCharType="end"/>
            </w:r>
          </w:hyperlink>
        </w:p>
        <w:p w14:paraId="6787808A" w14:textId="084ECBC8" w:rsidR="0060615B" w:rsidRDefault="00C4615D">
          <w:pPr>
            <w:pStyle w:val="TOC3"/>
            <w:rPr>
              <w:rFonts w:asciiTheme="minorHAnsi" w:eastAsiaTheme="minorEastAsia" w:hAnsiTheme="minorHAnsi"/>
              <w:kern w:val="2"/>
              <w:lang w:eastAsia="en-AU"/>
              <w14:ligatures w14:val="standardContextual"/>
            </w:rPr>
          </w:pPr>
          <w:hyperlink w:anchor="_Toc137535769" w:history="1">
            <w:r w:rsidR="0060615B" w:rsidRPr="006F3E5D">
              <w:rPr>
                <w:rStyle w:val="Hyperlink"/>
                <w:rFonts w:ascii="Arial" w:hAnsi="Arial" w:cs="Arial"/>
                <w:b/>
                <w:bCs/>
              </w:rPr>
              <w:t>3A.2.2</w:t>
            </w:r>
            <w:r w:rsidR="0060615B">
              <w:rPr>
                <w:rFonts w:asciiTheme="minorHAnsi" w:eastAsiaTheme="minorEastAsia" w:hAnsiTheme="minorHAnsi"/>
                <w:kern w:val="2"/>
                <w:lang w:eastAsia="en-AU"/>
                <w14:ligatures w14:val="standardContextual"/>
              </w:rPr>
              <w:tab/>
            </w:r>
            <w:r w:rsidR="0060615B" w:rsidRPr="006F3E5D">
              <w:rPr>
                <w:rStyle w:val="Hyperlink"/>
                <w:rFonts w:ascii="Arial" w:hAnsi="Arial" w:cs="Arial"/>
                <w:b/>
                <w:bCs/>
              </w:rPr>
              <w:t>Structure of the economic evaluation</w:t>
            </w:r>
            <w:r w:rsidR="0060615B">
              <w:rPr>
                <w:webHidden/>
              </w:rPr>
              <w:tab/>
            </w:r>
            <w:r w:rsidR="0060615B">
              <w:rPr>
                <w:webHidden/>
              </w:rPr>
              <w:fldChar w:fldCharType="begin"/>
            </w:r>
            <w:r w:rsidR="0060615B">
              <w:rPr>
                <w:webHidden/>
              </w:rPr>
              <w:instrText xml:space="preserve"> PAGEREF _Toc137535769 \h </w:instrText>
            </w:r>
            <w:r w:rsidR="0060615B">
              <w:rPr>
                <w:webHidden/>
              </w:rPr>
            </w:r>
            <w:r w:rsidR="0060615B">
              <w:rPr>
                <w:webHidden/>
              </w:rPr>
              <w:fldChar w:fldCharType="separate"/>
            </w:r>
            <w:r w:rsidR="00013620">
              <w:rPr>
                <w:webHidden/>
              </w:rPr>
              <w:t>33</w:t>
            </w:r>
            <w:r w:rsidR="0060615B">
              <w:rPr>
                <w:webHidden/>
              </w:rPr>
              <w:fldChar w:fldCharType="end"/>
            </w:r>
          </w:hyperlink>
        </w:p>
        <w:p w14:paraId="545B28CA" w14:textId="76ED9C7A" w:rsidR="0060615B" w:rsidRDefault="00C4615D">
          <w:pPr>
            <w:pStyle w:val="TOC3"/>
            <w:rPr>
              <w:rFonts w:asciiTheme="minorHAnsi" w:eastAsiaTheme="minorEastAsia" w:hAnsiTheme="minorHAnsi"/>
              <w:kern w:val="2"/>
              <w:lang w:eastAsia="en-AU"/>
              <w14:ligatures w14:val="standardContextual"/>
            </w:rPr>
          </w:pPr>
          <w:hyperlink w:anchor="_Toc137535770" w:history="1">
            <w:r w:rsidR="0060615B" w:rsidRPr="006F3E5D">
              <w:rPr>
                <w:rStyle w:val="Hyperlink"/>
                <w:rFonts w:ascii="Arial" w:hAnsi="Arial" w:cs="Arial"/>
                <w:b/>
                <w:bCs/>
              </w:rPr>
              <w:t>3A.2.3</w:t>
            </w:r>
            <w:r w:rsidR="0060615B">
              <w:rPr>
                <w:rFonts w:asciiTheme="minorHAnsi" w:eastAsiaTheme="minorEastAsia" w:hAnsiTheme="minorHAnsi"/>
                <w:kern w:val="2"/>
                <w:lang w:eastAsia="en-AU"/>
                <w14:ligatures w14:val="standardContextual"/>
              </w:rPr>
              <w:tab/>
            </w:r>
            <w:r w:rsidR="0060615B" w:rsidRPr="006F3E5D">
              <w:rPr>
                <w:rStyle w:val="Hyperlink"/>
                <w:rFonts w:ascii="Arial" w:hAnsi="Arial" w:cs="Arial"/>
                <w:b/>
                <w:bCs/>
              </w:rPr>
              <w:t>Model population and setting</w:t>
            </w:r>
            <w:r w:rsidR="0060615B">
              <w:rPr>
                <w:webHidden/>
              </w:rPr>
              <w:tab/>
            </w:r>
            <w:r w:rsidR="0060615B">
              <w:rPr>
                <w:webHidden/>
              </w:rPr>
              <w:fldChar w:fldCharType="begin"/>
            </w:r>
            <w:r w:rsidR="0060615B">
              <w:rPr>
                <w:webHidden/>
              </w:rPr>
              <w:instrText xml:space="preserve"> PAGEREF _Toc137535770 \h </w:instrText>
            </w:r>
            <w:r w:rsidR="0060615B">
              <w:rPr>
                <w:webHidden/>
              </w:rPr>
            </w:r>
            <w:r w:rsidR="0060615B">
              <w:rPr>
                <w:webHidden/>
              </w:rPr>
              <w:fldChar w:fldCharType="separate"/>
            </w:r>
            <w:r w:rsidR="00013620">
              <w:rPr>
                <w:webHidden/>
              </w:rPr>
              <w:t>34</w:t>
            </w:r>
            <w:r w:rsidR="0060615B">
              <w:rPr>
                <w:webHidden/>
              </w:rPr>
              <w:fldChar w:fldCharType="end"/>
            </w:r>
          </w:hyperlink>
        </w:p>
        <w:p w14:paraId="4838B47C" w14:textId="486E4715" w:rsidR="0060615B" w:rsidRDefault="00C4615D">
          <w:pPr>
            <w:pStyle w:val="TOC2"/>
            <w:tabs>
              <w:tab w:val="left" w:pos="1540"/>
            </w:tabs>
            <w:rPr>
              <w:rFonts w:eastAsiaTheme="minorEastAsia"/>
              <w:noProof/>
              <w:kern w:val="2"/>
              <w:lang w:eastAsia="en-AU"/>
              <w14:ligatures w14:val="standardContextual"/>
            </w:rPr>
          </w:pPr>
          <w:hyperlink w:anchor="_Toc137535771" w:history="1">
            <w:r w:rsidR="0060615B" w:rsidRPr="006F3E5D">
              <w:rPr>
                <w:rStyle w:val="Hyperlink"/>
                <w:rFonts w:ascii="Arial" w:hAnsi="Arial" w:cs="Arial"/>
                <w:b/>
                <w:bCs/>
                <w:noProof/>
              </w:rPr>
              <w:t>3A.3</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Results</w:t>
            </w:r>
            <w:r w:rsidR="0060615B">
              <w:rPr>
                <w:noProof/>
                <w:webHidden/>
              </w:rPr>
              <w:tab/>
            </w:r>
            <w:r w:rsidR="0060615B">
              <w:rPr>
                <w:noProof/>
                <w:webHidden/>
              </w:rPr>
              <w:fldChar w:fldCharType="begin"/>
            </w:r>
            <w:r w:rsidR="0060615B">
              <w:rPr>
                <w:noProof/>
                <w:webHidden/>
              </w:rPr>
              <w:instrText xml:space="preserve"> PAGEREF _Toc137535771 \h </w:instrText>
            </w:r>
            <w:r w:rsidR="0060615B">
              <w:rPr>
                <w:noProof/>
                <w:webHidden/>
              </w:rPr>
            </w:r>
            <w:r w:rsidR="0060615B">
              <w:rPr>
                <w:noProof/>
                <w:webHidden/>
              </w:rPr>
              <w:fldChar w:fldCharType="separate"/>
            </w:r>
            <w:r w:rsidR="00013620">
              <w:rPr>
                <w:noProof/>
                <w:webHidden/>
              </w:rPr>
              <w:t>34</w:t>
            </w:r>
            <w:r w:rsidR="0060615B">
              <w:rPr>
                <w:noProof/>
                <w:webHidden/>
              </w:rPr>
              <w:fldChar w:fldCharType="end"/>
            </w:r>
          </w:hyperlink>
        </w:p>
        <w:p w14:paraId="4270D07D" w14:textId="12504931" w:rsidR="0060615B" w:rsidRDefault="00C4615D">
          <w:pPr>
            <w:pStyle w:val="TOC3"/>
            <w:rPr>
              <w:rFonts w:asciiTheme="minorHAnsi" w:eastAsiaTheme="minorEastAsia" w:hAnsiTheme="minorHAnsi"/>
              <w:kern w:val="2"/>
              <w:lang w:eastAsia="en-AU"/>
              <w14:ligatures w14:val="standardContextual"/>
            </w:rPr>
          </w:pPr>
          <w:hyperlink w:anchor="_Toc137535772" w:history="1">
            <w:r w:rsidR="0060615B" w:rsidRPr="006F3E5D">
              <w:rPr>
                <w:rStyle w:val="Hyperlink"/>
                <w:rFonts w:ascii="Arial" w:hAnsi="Arial" w:cs="Arial"/>
                <w:b/>
                <w:bCs/>
              </w:rPr>
              <w:t>3A.3.1</w:t>
            </w:r>
            <w:r w:rsidR="0060615B">
              <w:rPr>
                <w:rFonts w:asciiTheme="minorHAnsi" w:eastAsiaTheme="minorEastAsia" w:hAnsiTheme="minorHAnsi"/>
                <w:kern w:val="2"/>
                <w:lang w:eastAsia="en-AU"/>
                <w14:ligatures w14:val="standardContextual"/>
              </w:rPr>
              <w:tab/>
            </w:r>
            <w:r w:rsidR="0060615B" w:rsidRPr="006F3E5D">
              <w:rPr>
                <w:rStyle w:val="Hyperlink"/>
                <w:rFonts w:ascii="Arial" w:hAnsi="Arial" w:cs="Arial"/>
                <w:b/>
                <w:bCs/>
              </w:rPr>
              <w:t>Base-case analysis</w:t>
            </w:r>
            <w:r w:rsidR="0060615B">
              <w:rPr>
                <w:webHidden/>
              </w:rPr>
              <w:tab/>
            </w:r>
            <w:r w:rsidR="0060615B">
              <w:rPr>
                <w:webHidden/>
              </w:rPr>
              <w:fldChar w:fldCharType="begin"/>
            </w:r>
            <w:r w:rsidR="0060615B">
              <w:rPr>
                <w:webHidden/>
              </w:rPr>
              <w:instrText xml:space="preserve"> PAGEREF _Toc137535772 \h </w:instrText>
            </w:r>
            <w:r w:rsidR="0060615B">
              <w:rPr>
                <w:webHidden/>
              </w:rPr>
            </w:r>
            <w:r w:rsidR="0060615B">
              <w:rPr>
                <w:webHidden/>
              </w:rPr>
              <w:fldChar w:fldCharType="separate"/>
            </w:r>
            <w:r w:rsidR="00013620">
              <w:rPr>
                <w:webHidden/>
              </w:rPr>
              <w:t>34</w:t>
            </w:r>
            <w:r w:rsidR="0060615B">
              <w:rPr>
                <w:webHidden/>
              </w:rPr>
              <w:fldChar w:fldCharType="end"/>
            </w:r>
          </w:hyperlink>
        </w:p>
        <w:p w14:paraId="7CFB2446" w14:textId="0896A97A" w:rsidR="0060615B" w:rsidRDefault="00C4615D">
          <w:pPr>
            <w:pStyle w:val="TOC3"/>
            <w:rPr>
              <w:rFonts w:asciiTheme="minorHAnsi" w:eastAsiaTheme="minorEastAsia" w:hAnsiTheme="minorHAnsi"/>
              <w:kern w:val="2"/>
              <w:lang w:eastAsia="en-AU"/>
              <w14:ligatures w14:val="standardContextual"/>
            </w:rPr>
          </w:pPr>
          <w:hyperlink w:anchor="_Toc137535773" w:history="1">
            <w:r w:rsidR="0060615B" w:rsidRPr="006F3E5D">
              <w:rPr>
                <w:rStyle w:val="Hyperlink"/>
                <w:b/>
                <w:bCs/>
              </w:rPr>
              <w:t>Table 14: Baseline characteristics of participants allocated to the brief and comprehensive intervention arms</w:t>
            </w:r>
            <w:r w:rsidR="0060615B">
              <w:rPr>
                <w:webHidden/>
              </w:rPr>
              <w:tab/>
            </w:r>
            <w:r w:rsidR="0060615B">
              <w:rPr>
                <w:webHidden/>
              </w:rPr>
              <w:fldChar w:fldCharType="begin"/>
            </w:r>
            <w:r w:rsidR="0060615B">
              <w:rPr>
                <w:webHidden/>
              </w:rPr>
              <w:instrText xml:space="preserve"> PAGEREF _Toc137535773 \h </w:instrText>
            </w:r>
            <w:r w:rsidR="0060615B">
              <w:rPr>
                <w:webHidden/>
              </w:rPr>
            </w:r>
            <w:r w:rsidR="0060615B">
              <w:rPr>
                <w:webHidden/>
              </w:rPr>
              <w:fldChar w:fldCharType="separate"/>
            </w:r>
            <w:r w:rsidR="00013620">
              <w:rPr>
                <w:webHidden/>
              </w:rPr>
              <w:t>35</w:t>
            </w:r>
            <w:r w:rsidR="0060615B">
              <w:rPr>
                <w:webHidden/>
              </w:rPr>
              <w:fldChar w:fldCharType="end"/>
            </w:r>
          </w:hyperlink>
        </w:p>
        <w:p w14:paraId="49AB7B9A" w14:textId="3A64B5DD" w:rsidR="0060615B" w:rsidRDefault="00C4615D">
          <w:pPr>
            <w:pStyle w:val="TOC3"/>
            <w:rPr>
              <w:rFonts w:asciiTheme="minorHAnsi" w:eastAsiaTheme="minorEastAsia" w:hAnsiTheme="minorHAnsi"/>
              <w:kern w:val="2"/>
              <w:lang w:eastAsia="en-AU"/>
              <w14:ligatures w14:val="standardContextual"/>
            </w:rPr>
          </w:pPr>
          <w:hyperlink w:anchor="_Toc137535774" w:history="1">
            <w:r w:rsidR="0060615B" w:rsidRPr="006F3E5D">
              <w:rPr>
                <w:rStyle w:val="Hyperlink"/>
                <w:b/>
                <w:bCs/>
              </w:rPr>
              <w:t>Figure 3: Distribution of the SF-6D scores for the brief and comprehensive intervention arms at baseline.</w:t>
            </w:r>
            <w:r w:rsidR="0060615B">
              <w:rPr>
                <w:webHidden/>
              </w:rPr>
              <w:tab/>
            </w:r>
            <w:r w:rsidR="00A85BF7">
              <w:rPr>
                <w:webHidden/>
              </w:rPr>
              <w:t xml:space="preserve">                                                                      </w:t>
            </w:r>
            <w:r w:rsidR="00DA5159">
              <w:rPr>
                <w:webHidden/>
              </w:rPr>
              <w:t xml:space="preserve"> </w:t>
            </w:r>
            <w:r w:rsidR="0060615B">
              <w:rPr>
                <w:webHidden/>
              </w:rPr>
              <w:fldChar w:fldCharType="begin"/>
            </w:r>
            <w:r w:rsidR="0060615B">
              <w:rPr>
                <w:webHidden/>
              </w:rPr>
              <w:instrText xml:space="preserve"> PAGEREF _Toc137535774 \h </w:instrText>
            </w:r>
            <w:r w:rsidR="0060615B">
              <w:rPr>
                <w:webHidden/>
              </w:rPr>
            </w:r>
            <w:r w:rsidR="0060615B">
              <w:rPr>
                <w:webHidden/>
              </w:rPr>
              <w:fldChar w:fldCharType="separate"/>
            </w:r>
            <w:r w:rsidR="00013620">
              <w:rPr>
                <w:webHidden/>
              </w:rPr>
              <w:t>35</w:t>
            </w:r>
            <w:r w:rsidR="0060615B">
              <w:rPr>
                <w:webHidden/>
              </w:rPr>
              <w:fldChar w:fldCharType="end"/>
            </w:r>
          </w:hyperlink>
        </w:p>
        <w:p w14:paraId="52B1AB9F" w14:textId="063990A4" w:rsidR="0060615B" w:rsidRDefault="00C4615D">
          <w:pPr>
            <w:pStyle w:val="TOC3"/>
            <w:rPr>
              <w:rFonts w:asciiTheme="minorHAnsi" w:eastAsiaTheme="minorEastAsia" w:hAnsiTheme="minorHAnsi"/>
              <w:kern w:val="2"/>
              <w:lang w:eastAsia="en-AU"/>
              <w14:ligatures w14:val="standardContextual"/>
            </w:rPr>
          </w:pPr>
          <w:hyperlink w:anchor="_Toc137535775" w:history="1">
            <w:r w:rsidR="0060615B" w:rsidRPr="006F3E5D">
              <w:rPr>
                <w:rStyle w:val="Hyperlink"/>
                <w:b/>
                <w:bCs/>
              </w:rPr>
              <w:t>Table 15: Outcomes for participants in the brief intervention arm with non-missing data</w:t>
            </w:r>
            <w:r w:rsidR="0060615B">
              <w:rPr>
                <w:webHidden/>
              </w:rPr>
              <w:tab/>
            </w:r>
            <w:r w:rsidR="0060615B">
              <w:rPr>
                <w:webHidden/>
              </w:rPr>
              <w:fldChar w:fldCharType="begin"/>
            </w:r>
            <w:r w:rsidR="0060615B">
              <w:rPr>
                <w:webHidden/>
              </w:rPr>
              <w:instrText xml:space="preserve"> PAGEREF _Toc137535775 \h </w:instrText>
            </w:r>
            <w:r w:rsidR="0060615B">
              <w:rPr>
                <w:webHidden/>
              </w:rPr>
            </w:r>
            <w:r w:rsidR="0060615B">
              <w:rPr>
                <w:webHidden/>
              </w:rPr>
              <w:fldChar w:fldCharType="separate"/>
            </w:r>
            <w:r w:rsidR="00013620">
              <w:rPr>
                <w:webHidden/>
              </w:rPr>
              <w:t>36</w:t>
            </w:r>
            <w:r w:rsidR="0060615B">
              <w:rPr>
                <w:webHidden/>
              </w:rPr>
              <w:fldChar w:fldCharType="end"/>
            </w:r>
          </w:hyperlink>
        </w:p>
        <w:p w14:paraId="0511C317" w14:textId="66543A17" w:rsidR="0060615B" w:rsidRDefault="00C4615D">
          <w:pPr>
            <w:pStyle w:val="TOC3"/>
            <w:rPr>
              <w:rFonts w:asciiTheme="minorHAnsi" w:eastAsiaTheme="minorEastAsia" w:hAnsiTheme="minorHAnsi"/>
              <w:kern w:val="2"/>
              <w:lang w:eastAsia="en-AU"/>
              <w14:ligatures w14:val="standardContextual"/>
            </w:rPr>
          </w:pPr>
          <w:hyperlink w:anchor="_Toc137535776" w:history="1">
            <w:r w:rsidR="0060615B" w:rsidRPr="006F3E5D">
              <w:rPr>
                <w:rStyle w:val="Hyperlink"/>
                <w:b/>
                <w:bCs/>
              </w:rPr>
              <w:t>Table 16: Outcomes for participants in the comprehensive intervention arm with non-missing data.</w:t>
            </w:r>
            <w:r w:rsidR="0060615B">
              <w:rPr>
                <w:webHidden/>
              </w:rPr>
              <w:tab/>
            </w:r>
            <w:r w:rsidR="00A85BF7">
              <w:rPr>
                <w:webHidden/>
              </w:rPr>
              <w:t xml:space="preserve">                                                                      </w:t>
            </w:r>
            <w:r w:rsidR="00DA5159">
              <w:rPr>
                <w:webHidden/>
              </w:rPr>
              <w:t xml:space="preserve"> </w:t>
            </w:r>
            <w:r w:rsidR="0060615B">
              <w:rPr>
                <w:webHidden/>
              </w:rPr>
              <w:fldChar w:fldCharType="begin"/>
            </w:r>
            <w:r w:rsidR="0060615B">
              <w:rPr>
                <w:webHidden/>
              </w:rPr>
              <w:instrText xml:space="preserve"> PAGEREF _Toc137535776 \h </w:instrText>
            </w:r>
            <w:r w:rsidR="0060615B">
              <w:rPr>
                <w:webHidden/>
              </w:rPr>
            </w:r>
            <w:r w:rsidR="0060615B">
              <w:rPr>
                <w:webHidden/>
              </w:rPr>
              <w:fldChar w:fldCharType="separate"/>
            </w:r>
            <w:r w:rsidR="00013620">
              <w:rPr>
                <w:webHidden/>
              </w:rPr>
              <w:t>37</w:t>
            </w:r>
            <w:r w:rsidR="0060615B">
              <w:rPr>
                <w:webHidden/>
              </w:rPr>
              <w:fldChar w:fldCharType="end"/>
            </w:r>
          </w:hyperlink>
        </w:p>
        <w:p w14:paraId="1575F20B" w14:textId="46822C9B" w:rsidR="0060615B" w:rsidRDefault="00C4615D">
          <w:pPr>
            <w:pStyle w:val="TOC3"/>
            <w:rPr>
              <w:rFonts w:asciiTheme="minorHAnsi" w:eastAsiaTheme="minorEastAsia" w:hAnsiTheme="minorHAnsi"/>
              <w:kern w:val="2"/>
              <w:lang w:eastAsia="en-AU"/>
              <w14:ligatures w14:val="standardContextual"/>
            </w:rPr>
          </w:pPr>
          <w:hyperlink w:anchor="_Toc137535777" w:history="1">
            <w:r w:rsidR="0060615B" w:rsidRPr="006F3E5D">
              <w:rPr>
                <w:rStyle w:val="Hyperlink"/>
                <w:b/>
                <w:bCs/>
              </w:rPr>
              <w:t>Table 17: Summary of expenses incurred by the pharmacist in conducting the assessments</w:t>
            </w:r>
            <w:r w:rsidR="0060615B">
              <w:rPr>
                <w:webHidden/>
              </w:rPr>
              <w:tab/>
            </w:r>
            <w:r w:rsidR="0060615B">
              <w:rPr>
                <w:webHidden/>
              </w:rPr>
              <w:fldChar w:fldCharType="begin"/>
            </w:r>
            <w:r w:rsidR="0060615B">
              <w:rPr>
                <w:webHidden/>
              </w:rPr>
              <w:instrText xml:space="preserve"> PAGEREF _Toc137535777 \h </w:instrText>
            </w:r>
            <w:r w:rsidR="0060615B">
              <w:rPr>
                <w:webHidden/>
              </w:rPr>
            </w:r>
            <w:r w:rsidR="0060615B">
              <w:rPr>
                <w:webHidden/>
              </w:rPr>
              <w:fldChar w:fldCharType="separate"/>
            </w:r>
            <w:r w:rsidR="00013620">
              <w:rPr>
                <w:webHidden/>
              </w:rPr>
              <w:t>37</w:t>
            </w:r>
            <w:r w:rsidR="0060615B">
              <w:rPr>
                <w:webHidden/>
              </w:rPr>
              <w:fldChar w:fldCharType="end"/>
            </w:r>
          </w:hyperlink>
        </w:p>
        <w:p w14:paraId="68D35BAC" w14:textId="1DB0C9A6" w:rsidR="0060615B" w:rsidRDefault="00C4615D">
          <w:pPr>
            <w:pStyle w:val="TOC3"/>
            <w:rPr>
              <w:rFonts w:asciiTheme="minorHAnsi" w:eastAsiaTheme="minorEastAsia" w:hAnsiTheme="minorHAnsi"/>
              <w:kern w:val="2"/>
              <w:lang w:eastAsia="en-AU"/>
              <w14:ligatures w14:val="standardContextual"/>
            </w:rPr>
          </w:pPr>
          <w:hyperlink w:anchor="_Toc137535778" w:history="1">
            <w:r w:rsidR="0060615B" w:rsidRPr="006F3E5D">
              <w:rPr>
                <w:rStyle w:val="Hyperlink"/>
                <w:b/>
                <w:bCs/>
              </w:rPr>
              <w:t>Table 18: Healthcare costs (MBS/PBS) of study participants</w:t>
            </w:r>
            <w:r w:rsidR="0060615B">
              <w:rPr>
                <w:webHidden/>
              </w:rPr>
              <w:tab/>
            </w:r>
            <w:r w:rsidR="0060615B">
              <w:rPr>
                <w:webHidden/>
              </w:rPr>
              <w:fldChar w:fldCharType="begin"/>
            </w:r>
            <w:r w:rsidR="0060615B">
              <w:rPr>
                <w:webHidden/>
              </w:rPr>
              <w:instrText xml:space="preserve"> PAGEREF _Toc137535778 \h </w:instrText>
            </w:r>
            <w:r w:rsidR="0060615B">
              <w:rPr>
                <w:webHidden/>
              </w:rPr>
            </w:r>
            <w:r w:rsidR="0060615B">
              <w:rPr>
                <w:webHidden/>
              </w:rPr>
              <w:fldChar w:fldCharType="separate"/>
            </w:r>
            <w:r w:rsidR="00013620">
              <w:rPr>
                <w:webHidden/>
              </w:rPr>
              <w:t>38</w:t>
            </w:r>
            <w:r w:rsidR="0060615B">
              <w:rPr>
                <w:webHidden/>
              </w:rPr>
              <w:fldChar w:fldCharType="end"/>
            </w:r>
          </w:hyperlink>
        </w:p>
        <w:p w14:paraId="0F70C0DC" w14:textId="0BBCBEAB" w:rsidR="0060615B" w:rsidRDefault="00C4615D">
          <w:pPr>
            <w:pStyle w:val="TOC3"/>
            <w:rPr>
              <w:rFonts w:asciiTheme="minorHAnsi" w:eastAsiaTheme="minorEastAsia" w:hAnsiTheme="minorHAnsi"/>
              <w:kern w:val="2"/>
              <w:lang w:eastAsia="en-AU"/>
              <w14:ligatures w14:val="standardContextual"/>
            </w:rPr>
          </w:pPr>
          <w:hyperlink w:anchor="_Toc137535779" w:history="1">
            <w:r w:rsidR="0060615B" w:rsidRPr="006F3E5D">
              <w:rPr>
                <w:rStyle w:val="Hyperlink"/>
                <w:b/>
                <w:bCs/>
              </w:rPr>
              <w:t>Figure 4: Distribution of costs (MBS and PBS) for brief and intervention arm inflated to 2021 dollars.</w:t>
            </w:r>
            <w:r w:rsidR="0060615B">
              <w:rPr>
                <w:webHidden/>
              </w:rPr>
              <w:tab/>
            </w:r>
            <w:r w:rsidR="00A85BF7">
              <w:rPr>
                <w:webHidden/>
              </w:rPr>
              <w:t xml:space="preserve">                                                                      </w:t>
            </w:r>
            <w:r w:rsidR="004775D5">
              <w:rPr>
                <w:webHidden/>
              </w:rPr>
              <w:t xml:space="preserve"> </w:t>
            </w:r>
            <w:r w:rsidR="0060615B">
              <w:rPr>
                <w:webHidden/>
              </w:rPr>
              <w:fldChar w:fldCharType="begin"/>
            </w:r>
            <w:r w:rsidR="0060615B">
              <w:rPr>
                <w:webHidden/>
              </w:rPr>
              <w:instrText xml:space="preserve"> PAGEREF _Toc137535779 \h </w:instrText>
            </w:r>
            <w:r w:rsidR="0060615B">
              <w:rPr>
                <w:webHidden/>
              </w:rPr>
            </w:r>
            <w:r w:rsidR="0060615B">
              <w:rPr>
                <w:webHidden/>
              </w:rPr>
              <w:fldChar w:fldCharType="separate"/>
            </w:r>
            <w:r w:rsidR="00013620">
              <w:rPr>
                <w:webHidden/>
              </w:rPr>
              <w:t>39</w:t>
            </w:r>
            <w:r w:rsidR="0060615B">
              <w:rPr>
                <w:webHidden/>
              </w:rPr>
              <w:fldChar w:fldCharType="end"/>
            </w:r>
          </w:hyperlink>
        </w:p>
        <w:p w14:paraId="73A3768F" w14:textId="5534AD13" w:rsidR="0060615B" w:rsidRDefault="00C4615D">
          <w:pPr>
            <w:pStyle w:val="TOC3"/>
            <w:rPr>
              <w:rFonts w:asciiTheme="minorHAnsi" w:eastAsiaTheme="minorEastAsia" w:hAnsiTheme="minorHAnsi"/>
              <w:kern w:val="2"/>
              <w:lang w:eastAsia="en-AU"/>
              <w14:ligatures w14:val="standardContextual"/>
            </w:rPr>
          </w:pPr>
          <w:hyperlink w:anchor="_Toc137535780" w:history="1">
            <w:r w:rsidR="0060615B" w:rsidRPr="006F3E5D">
              <w:rPr>
                <w:rStyle w:val="Hyperlink"/>
                <w:b/>
                <w:bCs/>
              </w:rPr>
              <w:t>Figure 5: Distribution of total costs (MBS+PBS) for the brief and intervention arms.</w:t>
            </w:r>
            <w:r w:rsidR="0060615B">
              <w:rPr>
                <w:webHidden/>
              </w:rPr>
              <w:tab/>
            </w:r>
            <w:r w:rsidR="0060615B">
              <w:rPr>
                <w:webHidden/>
              </w:rPr>
              <w:fldChar w:fldCharType="begin"/>
            </w:r>
            <w:r w:rsidR="0060615B">
              <w:rPr>
                <w:webHidden/>
              </w:rPr>
              <w:instrText xml:space="preserve"> PAGEREF _Toc137535780 \h </w:instrText>
            </w:r>
            <w:r w:rsidR="0060615B">
              <w:rPr>
                <w:webHidden/>
              </w:rPr>
            </w:r>
            <w:r w:rsidR="0060615B">
              <w:rPr>
                <w:webHidden/>
              </w:rPr>
              <w:fldChar w:fldCharType="separate"/>
            </w:r>
            <w:r w:rsidR="00013620">
              <w:rPr>
                <w:webHidden/>
              </w:rPr>
              <w:t>39</w:t>
            </w:r>
            <w:r w:rsidR="0060615B">
              <w:rPr>
                <w:webHidden/>
              </w:rPr>
              <w:fldChar w:fldCharType="end"/>
            </w:r>
          </w:hyperlink>
        </w:p>
        <w:p w14:paraId="61084675" w14:textId="71896AA8" w:rsidR="0060615B" w:rsidRDefault="00C4615D">
          <w:pPr>
            <w:pStyle w:val="TOC3"/>
            <w:rPr>
              <w:rFonts w:asciiTheme="minorHAnsi" w:eastAsiaTheme="minorEastAsia" w:hAnsiTheme="minorHAnsi"/>
              <w:kern w:val="2"/>
              <w:lang w:eastAsia="en-AU"/>
              <w14:ligatures w14:val="standardContextual"/>
            </w:rPr>
          </w:pPr>
          <w:hyperlink w:anchor="_Toc137535781" w:history="1">
            <w:r w:rsidR="0060615B" w:rsidRPr="006F3E5D">
              <w:rPr>
                <w:rStyle w:val="Hyperlink"/>
                <w:b/>
                <w:bCs/>
              </w:rPr>
              <w:t>Table 19: Quality Adjusted Life Years (QALYs) for the brief and comprehensive intervention arms</w:t>
            </w:r>
            <w:r w:rsidR="0060615B">
              <w:rPr>
                <w:webHidden/>
              </w:rPr>
              <w:tab/>
            </w:r>
            <w:r w:rsidR="00A85BF7">
              <w:rPr>
                <w:webHidden/>
              </w:rPr>
              <w:t xml:space="preserve">                                                                      </w:t>
            </w:r>
            <w:r w:rsidR="00986ECC">
              <w:rPr>
                <w:webHidden/>
              </w:rPr>
              <w:t xml:space="preserve"> </w:t>
            </w:r>
            <w:r w:rsidR="0060615B">
              <w:rPr>
                <w:webHidden/>
              </w:rPr>
              <w:fldChar w:fldCharType="begin"/>
            </w:r>
            <w:r w:rsidR="0060615B">
              <w:rPr>
                <w:webHidden/>
              </w:rPr>
              <w:instrText xml:space="preserve"> PAGEREF _Toc137535781 \h </w:instrText>
            </w:r>
            <w:r w:rsidR="0060615B">
              <w:rPr>
                <w:webHidden/>
              </w:rPr>
            </w:r>
            <w:r w:rsidR="0060615B">
              <w:rPr>
                <w:webHidden/>
              </w:rPr>
              <w:fldChar w:fldCharType="separate"/>
            </w:r>
            <w:r w:rsidR="00013620">
              <w:rPr>
                <w:webHidden/>
              </w:rPr>
              <w:t>40</w:t>
            </w:r>
            <w:r w:rsidR="0060615B">
              <w:rPr>
                <w:webHidden/>
              </w:rPr>
              <w:fldChar w:fldCharType="end"/>
            </w:r>
          </w:hyperlink>
        </w:p>
        <w:p w14:paraId="1583CFBF" w14:textId="0B3D7B5E" w:rsidR="0060615B" w:rsidRDefault="00C4615D">
          <w:pPr>
            <w:pStyle w:val="TOC3"/>
            <w:rPr>
              <w:rFonts w:asciiTheme="minorHAnsi" w:eastAsiaTheme="minorEastAsia" w:hAnsiTheme="minorHAnsi"/>
              <w:kern w:val="2"/>
              <w:lang w:eastAsia="en-AU"/>
              <w14:ligatures w14:val="standardContextual"/>
            </w:rPr>
          </w:pPr>
          <w:hyperlink w:anchor="_Toc137535782" w:history="1">
            <w:r w:rsidR="0060615B" w:rsidRPr="006F3E5D">
              <w:rPr>
                <w:rStyle w:val="Hyperlink"/>
                <w:b/>
                <w:bCs/>
              </w:rPr>
              <w:t>Table 20: One-way sensitivity analysis: Summary of the expenses incurred by the pharmacist in conducting the assessments.</w:t>
            </w:r>
            <w:r w:rsidR="0060615B">
              <w:rPr>
                <w:webHidden/>
              </w:rPr>
              <w:tab/>
            </w:r>
            <w:r w:rsidR="0060615B">
              <w:rPr>
                <w:webHidden/>
              </w:rPr>
              <w:fldChar w:fldCharType="begin"/>
            </w:r>
            <w:r w:rsidR="0060615B">
              <w:rPr>
                <w:webHidden/>
              </w:rPr>
              <w:instrText xml:space="preserve"> PAGEREF _Toc137535782 \h </w:instrText>
            </w:r>
            <w:r w:rsidR="0060615B">
              <w:rPr>
                <w:webHidden/>
              </w:rPr>
            </w:r>
            <w:r w:rsidR="0060615B">
              <w:rPr>
                <w:webHidden/>
              </w:rPr>
              <w:fldChar w:fldCharType="separate"/>
            </w:r>
            <w:r w:rsidR="00013620">
              <w:rPr>
                <w:webHidden/>
              </w:rPr>
              <w:t>41</w:t>
            </w:r>
            <w:r w:rsidR="0060615B">
              <w:rPr>
                <w:webHidden/>
              </w:rPr>
              <w:fldChar w:fldCharType="end"/>
            </w:r>
          </w:hyperlink>
        </w:p>
        <w:p w14:paraId="7CC592AC" w14:textId="676EBEF4" w:rsidR="0060615B" w:rsidRDefault="00C4615D">
          <w:pPr>
            <w:pStyle w:val="TOC3"/>
            <w:rPr>
              <w:rFonts w:asciiTheme="minorHAnsi" w:eastAsiaTheme="minorEastAsia" w:hAnsiTheme="minorHAnsi"/>
              <w:kern w:val="2"/>
              <w:lang w:eastAsia="en-AU"/>
              <w14:ligatures w14:val="standardContextual"/>
            </w:rPr>
          </w:pPr>
          <w:hyperlink w:anchor="_Toc137535783" w:history="1">
            <w:r w:rsidR="0060615B" w:rsidRPr="006F3E5D">
              <w:rPr>
                <w:rStyle w:val="Hyperlink"/>
                <w:b/>
                <w:bCs/>
              </w:rPr>
              <w:t>Table 21: Quality Adjusted Life Years (QALYs) [95% CI) for the brief and comprehensive intervention arms</w:t>
            </w:r>
            <w:r w:rsidR="0060615B">
              <w:rPr>
                <w:webHidden/>
              </w:rPr>
              <w:tab/>
            </w:r>
            <w:r w:rsidR="0060615B">
              <w:rPr>
                <w:webHidden/>
              </w:rPr>
              <w:fldChar w:fldCharType="begin"/>
            </w:r>
            <w:r w:rsidR="0060615B">
              <w:rPr>
                <w:webHidden/>
              </w:rPr>
              <w:instrText xml:space="preserve"> PAGEREF _Toc137535783 \h </w:instrText>
            </w:r>
            <w:r w:rsidR="0060615B">
              <w:rPr>
                <w:webHidden/>
              </w:rPr>
            </w:r>
            <w:r w:rsidR="0060615B">
              <w:rPr>
                <w:webHidden/>
              </w:rPr>
              <w:fldChar w:fldCharType="separate"/>
            </w:r>
            <w:r w:rsidR="00013620">
              <w:rPr>
                <w:webHidden/>
              </w:rPr>
              <w:t>41</w:t>
            </w:r>
            <w:r w:rsidR="0060615B">
              <w:rPr>
                <w:webHidden/>
              </w:rPr>
              <w:fldChar w:fldCharType="end"/>
            </w:r>
          </w:hyperlink>
        </w:p>
        <w:p w14:paraId="4298CAD8" w14:textId="0F2CCC26" w:rsidR="0060615B" w:rsidRDefault="00C4615D">
          <w:pPr>
            <w:pStyle w:val="TOC2"/>
            <w:tabs>
              <w:tab w:val="left" w:pos="1540"/>
            </w:tabs>
            <w:rPr>
              <w:rFonts w:eastAsiaTheme="minorEastAsia"/>
              <w:noProof/>
              <w:kern w:val="2"/>
              <w:lang w:eastAsia="en-AU"/>
              <w14:ligatures w14:val="standardContextual"/>
            </w:rPr>
          </w:pPr>
          <w:hyperlink w:anchor="_Toc137535784" w:history="1">
            <w:r w:rsidR="0060615B" w:rsidRPr="006F3E5D">
              <w:rPr>
                <w:rStyle w:val="Hyperlink"/>
                <w:rFonts w:ascii="Arial" w:hAnsi="Arial" w:cs="Arial"/>
                <w:b/>
                <w:bCs/>
                <w:noProof/>
              </w:rPr>
              <w:t>3A.4</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Conclusions</w:t>
            </w:r>
            <w:r w:rsidR="0060615B">
              <w:rPr>
                <w:noProof/>
                <w:webHidden/>
              </w:rPr>
              <w:tab/>
            </w:r>
            <w:r w:rsidR="0060615B">
              <w:rPr>
                <w:noProof/>
                <w:webHidden/>
              </w:rPr>
              <w:fldChar w:fldCharType="begin"/>
            </w:r>
            <w:r w:rsidR="0060615B">
              <w:rPr>
                <w:noProof/>
                <w:webHidden/>
              </w:rPr>
              <w:instrText xml:space="preserve"> PAGEREF _Toc137535784 \h </w:instrText>
            </w:r>
            <w:r w:rsidR="0060615B">
              <w:rPr>
                <w:noProof/>
                <w:webHidden/>
              </w:rPr>
            </w:r>
            <w:r w:rsidR="0060615B">
              <w:rPr>
                <w:noProof/>
                <w:webHidden/>
              </w:rPr>
              <w:fldChar w:fldCharType="separate"/>
            </w:r>
            <w:r w:rsidR="00013620">
              <w:rPr>
                <w:noProof/>
                <w:webHidden/>
              </w:rPr>
              <w:t>42</w:t>
            </w:r>
            <w:r w:rsidR="0060615B">
              <w:rPr>
                <w:noProof/>
                <w:webHidden/>
              </w:rPr>
              <w:fldChar w:fldCharType="end"/>
            </w:r>
          </w:hyperlink>
        </w:p>
        <w:p w14:paraId="7AAA8BC5" w14:textId="51273E33" w:rsidR="0060615B" w:rsidRDefault="00C4615D">
          <w:pPr>
            <w:pStyle w:val="TOC1"/>
            <w:rPr>
              <w:rFonts w:eastAsiaTheme="minorEastAsia"/>
              <w:b w:val="0"/>
              <w:noProof/>
              <w:kern w:val="2"/>
              <w:lang w:eastAsia="en-AU"/>
              <w14:ligatures w14:val="standardContextual"/>
            </w:rPr>
          </w:pPr>
          <w:hyperlink w:anchor="_Toc137535785" w:history="1">
            <w:r w:rsidR="0060615B" w:rsidRPr="006F3E5D">
              <w:rPr>
                <w:rStyle w:val="Hyperlink"/>
                <w:rFonts w:ascii="Arial" w:hAnsi="Arial" w:cs="Arial"/>
                <w:bCs/>
                <w:noProof/>
              </w:rPr>
              <w:t>Section 4</w:t>
            </w:r>
            <w:r w:rsidR="0060615B">
              <w:rPr>
                <w:rFonts w:eastAsiaTheme="minorEastAsia"/>
                <w:b w:val="0"/>
                <w:noProof/>
                <w:kern w:val="2"/>
                <w:lang w:eastAsia="en-AU"/>
                <w14:ligatures w14:val="standardContextual"/>
              </w:rPr>
              <w:tab/>
            </w:r>
            <w:r w:rsidR="00A85BF7">
              <w:rPr>
                <w:rStyle w:val="Hyperlink"/>
                <w:rFonts w:ascii="Arial" w:hAnsi="Arial" w:cs="Arial"/>
                <w:bCs/>
                <w:noProof/>
              </w:rPr>
              <w:t xml:space="preserve"> </w:t>
            </w:r>
            <w:r w:rsidR="0060615B" w:rsidRPr="006F3E5D">
              <w:rPr>
                <w:rStyle w:val="Hyperlink"/>
                <w:rFonts w:ascii="Arial" w:hAnsi="Arial" w:cs="Arial"/>
                <w:bCs/>
                <w:noProof/>
              </w:rPr>
              <w:t>Use of the health technology in practice</w:t>
            </w:r>
            <w:r w:rsidR="0060615B">
              <w:rPr>
                <w:noProof/>
                <w:webHidden/>
              </w:rPr>
              <w:tab/>
            </w:r>
            <w:r w:rsidR="0060615B">
              <w:rPr>
                <w:noProof/>
                <w:webHidden/>
              </w:rPr>
              <w:fldChar w:fldCharType="begin"/>
            </w:r>
            <w:r w:rsidR="0060615B">
              <w:rPr>
                <w:noProof/>
                <w:webHidden/>
              </w:rPr>
              <w:instrText xml:space="preserve"> PAGEREF _Toc137535785 \h </w:instrText>
            </w:r>
            <w:r w:rsidR="0060615B">
              <w:rPr>
                <w:noProof/>
                <w:webHidden/>
              </w:rPr>
            </w:r>
            <w:r w:rsidR="0060615B">
              <w:rPr>
                <w:noProof/>
                <w:webHidden/>
              </w:rPr>
              <w:fldChar w:fldCharType="separate"/>
            </w:r>
            <w:r w:rsidR="00013620">
              <w:rPr>
                <w:noProof/>
                <w:webHidden/>
              </w:rPr>
              <w:t>43</w:t>
            </w:r>
            <w:r w:rsidR="0060615B">
              <w:rPr>
                <w:noProof/>
                <w:webHidden/>
              </w:rPr>
              <w:fldChar w:fldCharType="end"/>
            </w:r>
          </w:hyperlink>
        </w:p>
        <w:p w14:paraId="7BC0F375" w14:textId="68F198AD" w:rsidR="0060615B" w:rsidRDefault="00C4615D">
          <w:pPr>
            <w:pStyle w:val="TOC2"/>
            <w:rPr>
              <w:rFonts w:eastAsiaTheme="minorEastAsia"/>
              <w:noProof/>
              <w:kern w:val="2"/>
              <w:lang w:eastAsia="en-AU"/>
              <w14:ligatures w14:val="standardContextual"/>
            </w:rPr>
          </w:pPr>
          <w:hyperlink w:anchor="_Toc137535786" w:history="1">
            <w:r w:rsidR="0060615B" w:rsidRPr="006F3E5D">
              <w:rPr>
                <w:rStyle w:val="Hyperlink"/>
                <w:rFonts w:ascii="Arial" w:hAnsi="Arial" w:cs="Arial"/>
                <w:b/>
                <w:bCs/>
                <w:noProof/>
              </w:rPr>
              <w:t>4.1</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Justification of the selection of approach and data sources</w:t>
            </w:r>
            <w:r w:rsidR="0060615B">
              <w:rPr>
                <w:noProof/>
                <w:webHidden/>
              </w:rPr>
              <w:tab/>
            </w:r>
            <w:r w:rsidR="0060615B">
              <w:rPr>
                <w:noProof/>
                <w:webHidden/>
              </w:rPr>
              <w:fldChar w:fldCharType="begin"/>
            </w:r>
            <w:r w:rsidR="0060615B">
              <w:rPr>
                <w:noProof/>
                <w:webHidden/>
              </w:rPr>
              <w:instrText xml:space="preserve"> PAGEREF _Toc137535786 \h </w:instrText>
            </w:r>
            <w:r w:rsidR="0060615B">
              <w:rPr>
                <w:noProof/>
                <w:webHidden/>
              </w:rPr>
            </w:r>
            <w:r w:rsidR="0060615B">
              <w:rPr>
                <w:noProof/>
                <w:webHidden/>
              </w:rPr>
              <w:fldChar w:fldCharType="separate"/>
            </w:r>
            <w:r w:rsidR="00013620">
              <w:rPr>
                <w:noProof/>
                <w:webHidden/>
              </w:rPr>
              <w:t>43</w:t>
            </w:r>
            <w:r w:rsidR="0060615B">
              <w:rPr>
                <w:noProof/>
                <w:webHidden/>
              </w:rPr>
              <w:fldChar w:fldCharType="end"/>
            </w:r>
          </w:hyperlink>
        </w:p>
        <w:p w14:paraId="3448C91D" w14:textId="69747EF6" w:rsidR="0060615B" w:rsidRDefault="00C4615D">
          <w:pPr>
            <w:pStyle w:val="TOC3"/>
            <w:rPr>
              <w:rFonts w:asciiTheme="minorHAnsi" w:eastAsiaTheme="minorEastAsia" w:hAnsiTheme="minorHAnsi"/>
              <w:kern w:val="2"/>
              <w:lang w:eastAsia="en-AU"/>
              <w14:ligatures w14:val="standardContextual"/>
            </w:rPr>
          </w:pPr>
          <w:hyperlink w:anchor="_Toc137535787" w:history="1">
            <w:r w:rsidR="0060615B" w:rsidRPr="006F3E5D">
              <w:rPr>
                <w:rStyle w:val="Hyperlink"/>
                <w:b/>
                <w:bCs/>
              </w:rPr>
              <w:t>Table 22: Data sources and parameter values applied in the utilisation and financial estimates</w:t>
            </w:r>
            <w:r w:rsidR="0060615B">
              <w:rPr>
                <w:webHidden/>
              </w:rPr>
              <w:tab/>
            </w:r>
            <w:r w:rsidR="0060615B">
              <w:rPr>
                <w:webHidden/>
              </w:rPr>
              <w:fldChar w:fldCharType="begin"/>
            </w:r>
            <w:r w:rsidR="0060615B">
              <w:rPr>
                <w:webHidden/>
              </w:rPr>
              <w:instrText xml:space="preserve"> PAGEREF _Toc137535787 \h </w:instrText>
            </w:r>
            <w:r w:rsidR="0060615B">
              <w:rPr>
                <w:webHidden/>
              </w:rPr>
            </w:r>
            <w:r w:rsidR="0060615B">
              <w:rPr>
                <w:webHidden/>
              </w:rPr>
              <w:fldChar w:fldCharType="separate"/>
            </w:r>
            <w:r w:rsidR="00013620">
              <w:rPr>
                <w:webHidden/>
              </w:rPr>
              <w:t>43</w:t>
            </w:r>
            <w:r w:rsidR="0060615B">
              <w:rPr>
                <w:webHidden/>
              </w:rPr>
              <w:fldChar w:fldCharType="end"/>
            </w:r>
          </w:hyperlink>
        </w:p>
        <w:p w14:paraId="67582FE1" w14:textId="322EEDDA" w:rsidR="0060615B" w:rsidRDefault="00C4615D">
          <w:pPr>
            <w:pStyle w:val="TOC2"/>
            <w:rPr>
              <w:rFonts w:eastAsiaTheme="minorEastAsia"/>
              <w:noProof/>
              <w:kern w:val="2"/>
              <w:lang w:eastAsia="en-AU"/>
              <w14:ligatures w14:val="standardContextual"/>
            </w:rPr>
          </w:pPr>
          <w:hyperlink w:anchor="_Toc137535788" w:history="1">
            <w:r w:rsidR="0060615B" w:rsidRPr="006F3E5D">
              <w:rPr>
                <w:rStyle w:val="Hyperlink"/>
                <w:rFonts w:ascii="Arial" w:hAnsi="Arial" w:cs="Arial"/>
                <w:b/>
                <w:bCs/>
                <w:noProof/>
              </w:rPr>
              <w:t>4.2</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Estimation of use and financial impact of the proposed health technology</w:t>
            </w:r>
            <w:r w:rsidR="0060615B">
              <w:rPr>
                <w:noProof/>
                <w:webHidden/>
              </w:rPr>
              <w:tab/>
            </w:r>
            <w:r w:rsidR="0060615B">
              <w:rPr>
                <w:noProof/>
                <w:webHidden/>
              </w:rPr>
              <w:fldChar w:fldCharType="begin"/>
            </w:r>
            <w:r w:rsidR="0060615B">
              <w:rPr>
                <w:noProof/>
                <w:webHidden/>
              </w:rPr>
              <w:instrText xml:space="preserve"> PAGEREF _Toc137535788 \h </w:instrText>
            </w:r>
            <w:r w:rsidR="0060615B">
              <w:rPr>
                <w:noProof/>
                <w:webHidden/>
              </w:rPr>
            </w:r>
            <w:r w:rsidR="0060615B">
              <w:rPr>
                <w:noProof/>
                <w:webHidden/>
              </w:rPr>
              <w:fldChar w:fldCharType="separate"/>
            </w:r>
            <w:r w:rsidR="00013620">
              <w:rPr>
                <w:noProof/>
                <w:webHidden/>
              </w:rPr>
              <w:t>44</w:t>
            </w:r>
            <w:r w:rsidR="0060615B">
              <w:rPr>
                <w:noProof/>
                <w:webHidden/>
              </w:rPr>
              <w:fldChar w:fldCharType="end"/>
            </w:r>
          </w:hyperlink>
        </w:p>
        <w:p w14:paraId="3D31BC7B" w14:textId="17D976F7" w:rsidR="0060615B" w:rsidRDefault="00C4615D">
          <w:pPr>
            <w:pStyle w:val="TOC2"/>
            <w:rPr>
              <w:rFonts w:eastAsiaTheme="minorEastAsia"/>
              <w:noProof/>
              <w:kern w:val="2"/>
              <w:lang w:eastAsia="en-AU"/>
              <w14:ligatures w14:val="standardContextual"/>
            </w:rPr>
          </w:pPr>
          <w:hyperlink w:anchor="_Toc137535789" w:history="1">
            <w:r w:rsidR="0060615B" w:rsidRPr="006F3E5D">
              <w:rPr>
                <w:rStyle w:val="Hyperlink"/>
                <w:rFonts w:ascii="Arial" w:hAnsi="Arial" w:cs="Arial"/>
                <w:b/>
                <w:bCs/>
                <w:noProof/>
              </w:rPr>
              <w:t>4.3</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Estimation of changes in use and financial impact of other health technologies</w:t>
            </w:r>
            <w:r w:rsidR="0060615B">
              <w:rPr>
                <w:noProof/>
                <w:webHidden/>
              </w:rPr>
              <w:tab/>
            </w:r>
            <w:r w:rsidR="0060615B">
              <w:rPr>
                <w:noProof/>
                <w:webHidden/>
              </w:rPr>
              <w:fldChar w:fldCharType="begin"/>
            </w:r>
            <w:r w:rsidR="0060615B">
              <w:rPr>
                <w:noProof/>
                <w:webHidden/>
              </w:rPr>
              <w:instrText xml:space="preserve"> PAGEREF _Toc137535789 \h </w:instrText>
            </w:r>
            <w:r w:rsidR="0060615B">
              <w:rPr>
                <w:noProof/>
                <w:webHidden/>
              </w:rPr>
            </w:r>
            <w:r w:rsidR="0060615B">
              <w:rPr>
                <w:noProof/>
                <w:webHidden/>
              </w:rPr>
              <w:fldChar w:fldCharType="separate"/>
            </w:r>
            <w:r w:rsidR="00013620">
              <w:rPr>
                <w:noProof/>
                <w:webHidden/>
              </w:rPr>
              <w:t>45</w:t>
            </w:r>
            <w:r w:rsidR="0060615B">
              <w:rPr>
                <w:noProof/>
                <w:webHidden/>
              </w:rPr>
              <w:fldChar w:fldCharType="end"/>
            </w:r>
          </w:hyperlink>
        </w:p>
        <w:p w14:paraId="38188A2F" w14:textId="30713E2A" w:rsidR="0060615B" w:rsidRDefault="00C4615D">
          <w:pPr>
            <w:pStyle w:val="TOC2"/>
            <w:rPr>
              <w:rFonts w:eastAsiaTheme="minorEastAsia"/>
              <w:noProof/>
              <w:kern w:val="2"/>
              <w:lang w:eastAsia="en-AU"/>
              <w14:ligatures w14:val="standardContextual"/>
            </w:rPr>
          </w:pPr>
          <w:hyperlink w:anchor="_Toc137535790" w:history="1">
            <w:r w:rsidR="0060615B" w:rsidRPr="006F3E5D">
              <w:rPr>
                <w:rStyle w:val="Hyperlink"/>
                <w:rFonts w:ascii="Arial" w:hAnsi="Arial" w:cs="Arial"/>
                <w:b/>
                <w:bCs/>
                <w:noProof/>
              </w:rPr>
              <w:t>4.4</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Net financial impact</w:t>
            </w:r>
            <w:r w:rsidR="0060615B">
              <w:rPr>
                <w:noProof/>
                <w:webHidden/>
              </w:rPr>
              <w:tab/>
            </w:r>
            <w:r w:rsidR="0060615B">
              <w:rPr>
                <w:noProof/>
                <w:webHidden/>
              </w:rPr>
              <w:fldChar w:fldCharType="begin"/>
            </w:r>
            <w:r w:rsidR="0060615B">
              <w:rPr>
                <w:noProof/>
                <w:webHidden/>
              </w:rPr>
              <w:instrText xml:space="preserve"> PAGEREF _Toc137535790 \h </w:instrText>
            </w:r>
            <w:r w:rsidR="0060615B">
              <w:rPr>
                <w:noProof/>
                <w:webHidden/>
              </w:rPr>
            </w:r>
            <w:r w:rsidR="0060615B">
              <w:rPr>
                <w:noProof/>
                <w:webHidden/>
              </w:rPr>
              <w:fldChar w:fldCharType="separate"/>
            </w:r>
            <w:r w:rsidR="00013620">
              <w:rPr>
                <w:noProof/>
                <w:webHidden/>
              </w:rPr>
              <w:t>45</w:t>
            </w:r>
            <w:r w:rsidR="0060615B">
              <w:rPr>
                <w:noProof/>
                <w:webHidden/>
              </w:rPr>
              <w:fldChar w:fldCharType="end"/>
            </w:r>
          </w:hyperlink>
        </w:p>
        <w:p w14:paraId="2079FC33" w14:textId="2C0508D8" w:rsidR="0060615B" w:rsidRDefault="00C4615D">
          <w:pPr>
            <w:pStyle w:val="TOC2"/>
            <w:rPr>
              <w:rFonts w:eastAsiaTheme="minorEastAsia"/>
              <w:noProof/>
              <w:kern w:val="2"/>
              <w:lang w:eastAsia="en-AU"/>
              <w14:ligatures w14:val="standardContextual"/>
            </w:rPr>
          </w:pPr>
          <w:hyperlink w:anchor="_Toc137535791" w:history="1">
            <w:r w:rsidR="0060615B" w:rsidRPr="006F3E5D">
              <w:rPr>
                <w:rStyle w:val="Hyperlink"/>
                <w:rFonts w:ascii="Arial" w:hAnsi="Arial" w:cs="Arial"/>
                <w:b/>
                <w:bCs/>
                <w:noProof/>
              </w:rPr>
              <w:t>4.5</w:t>
            </w:r>
            <w:r w:rsidR="0060615B">
              <w:rPr>
                <w:rFonts w:eastAsiaTheme="minorEastAsia"/>
                <w:noProof/>
                <w:kern w:val="2"/>
                <w:lang w:eastAsia="en-AU"/>
                <w14:ligatures w14:val="standardContextual"/>
              </w:rPr>
              <w:tab/>
            </w:r>
            <w:r w:rsidR="0060615B" w:rsidRPr="006F3E5D">
              <w:rPr>
                <w:rStyle w:val="Hyperlink"/>
                <w:rFonts w:ascii="Arial" w:hAnsi="Arial" w:cs="Arial"/>
                <w:b/>
                <w:bCs/>
                <w:noProof/>
              </w:rPr>
              <w:t>Net financial impact to other health budgets</w:t>
            </w:r>
            <w:r w:rsidR="0060615B">
              <w:rPr>
                <w:noProof/>
                <w:webHidden/>
              </w:rPr>
              <w:tab/>
            </w:r>
            <w:r w:rsidR="0060615B">
              <w:rPr>
                <w:noProof/>
                <w:webHidden/>
              </w:rPr>
              <w:fldChar w:fldCharType="begin"/>
            </w:r>
            <w:r w:rsidR="0060615B">
              <w:rPr>
                <w:noProof/>
                <w:webHidden/>
              </w:rPr>
              <w:instrText xml:space="preserve"> PAGEREF _Toc137535791 \h </w:instrText>
            </w:r>
            <w:r w:rsidR="0060615B">
              <w:rPr>
                <w:noProof/>
                <w:webHidden/>
              </w:rPr>
            </w:r>
            <w:r w:rsidR="0060615B">
              <w:rPr>
                <w:noProof/>
                <w:webHidden/>
              </w:rPr>
              <w:fldChar w:fldCharType="separate"/>
            </w:r>
            <w:r w:rsidR="00013620">
              <w:rPr>
                <w:noProof/>
                <w:webHidden/>
              </w:rPr>
              <w:t>45</w:t>
            </w:r>
            <w:r w:rsidR="0060615B">
              <w:rPr>
                <w:noProof/>
                <w:webHidden/>
              </w:rPr>
              <w:fldChar w:fldCharType="end"/>
            </w:r>
          </w:hyperlink>
        </w:p>
        <w:p w14:paraId="02CD032D" w14:textId="6EB453C0" w:rsidR="0060615B" w:rsidRDefault="00C4615D">
          <w:pPr>
            <w:pStyle w:val="TOC1"/>
            <w:rPr>
              <w:rFonts w:eastAsiaTheme="minorEastAsia"/>
              <w:b w:val="0"/>
              <w:noProof/>
              <w:kern w:val="2"/>
              <w:lang w:eastAsia="en-AU"/>
              <w14:ligatures w14:val="standardContextual"/>
            </w:rPr>
          </w:pPr>
          <w:hyperlink w:anchor="_Toc137535792" w:history="1">
            <w:r w:rsidR="0060615B" w:rsidRPr="006F3E5D">
              <w:rPr>
                <w:rStyle w:val="Hyperlink"/>
                <w:rFonts w:ascii="Arial" w:hAnsi="Arial" w:cs="Arial"/>
                <w:bCs/>
                <w:noProof/>
              </w:rPr>
              <w:t>Appendix A</w:t>
            </w:r>
            <w:r w:rsidR="0060615B">
              <w:rPr>
                <w:rFonts w:eastAsiaTheme="minorEastAsia"/>
                <w:b w:val="0"/>
                <w:noProof/>
                <w:kern w:val="2"/>
                <w:lang w:eastAsia="en-AU"/>
                <w14:ligatures w14:val="standardContextual"/>
              </w:rPr>
              <w:tab/>
            </w:r>
            <w:r w:rsidR="0060615B" w:rsidRPr="006F3E5D">
              <w:rPr>
                <w:rStyle w:val="Hyperlink"/>
                <w:rFonts w:ascii="Arial" w:hAnsi="Arial" w:cs="Arial"/>
                <w:bCs/>
                <w:noProof/>
              </w:rPr>
              <w:t>Systematic review methods</w:t>
            </w:r>
            <w:r w:rsidR="0060615B">
              <w:rPr>
                <w:noProof/>
                <w:webHidden/>
              </w:rPr>
              <w:tab/>
            </w:r>
            <w:r w:rsidR="0060615B">
              <w:rPr>
                <w:noProof/>
                <w:webHidden/>
              </w:rPr>
              <w:fldChar w:fldCharType="begin"/>
            </w:r>
            <w:r w:rsidR="0060615B">
              <w:rPr>
                <w:noProof/>
                <w:webHidden/>
              </w:rPr>
              <w:instrText xml:space="preserve"> PAGEREF _Toc137535792 \h </w:instrText>
            </w:r>
            <w:r w:rsidR="0060615B">
              <w:rPr>
                <w:noProof/>
                <w:webHidden/>
              </w:rPr>
            </w:r>
            <w:r w:rsidR="0060615B">
              <w:rPr>
                <w:noProof/>
                <w:webHidden/>
              </w:rPr>
              <w:fldChar w:fldCharType="separate"/>
            </w:r>
            <w:r w:rsidR="00013620">
              <w:rPr>
                <w:noProof/>
                <w:webHidden/>
              </w:rPr>
              <w:t>46</w:t>
            </w:r>
            <w:r w:rsidR="0060615B">
              <w:rPr>
                <w:noProof/>
                <w:webHidden/>
              </w:rPr>
              <w:fldChar w:fldCharType="end"/>
            </w:r>
          </w:hyperlink>
        </w:p>
        <w:p w14:paraId="0DFF963D" w14:textId="23420360" w:rsidR="0060615B" w:rsidRDefault="00C4615D">
          <w:pPr>
            <w:pStyle w:val="TOC2"/>
            <w:rPr>
              <w:rFonts w:eastAsiaTheme="minorEastAsia"/>
              <w:noProof/>
              <w:kern w:val="2"/>
              <w:lang w:eastAsia="en-AU"/>
              <w14:ligatures w14:val="standardContextual"/>
            </w:rPr>
          </w:pPr>
          <w:hyperlink w:anchor="_Toc137535793" w:history="1">
            <w:r w:rsidR="0060615B" w:rsidRPr="006F3E5D">
              <w:rPr>
                <w:rStyle w:val="Hyperlink"/>
                <w:rFonts w:ascii="Arial" w:hAnsi="Arial" w:cs="Arial"/>
                <w:b/>
                <w:bCs/>
                <w:noProof/>
              </w:rPr>
              <w:t>Method of assessment and research questions</w:t>
            </w:r>
            <w:r w:rsidR="0060615B">
              <w:rPr>
                <w:noProof/>
                <w:webHidden/>
              </w:rPr>
              <w:tab/>
            </w:r>
            <w:r w:rsidR="0060615B">
              <w:rPr>
                <w:noProof/>
                <w:webHidden/>
              </w:rPr>
              <w:fldChar w:fldCharType="begin"/>
            </w:r>
            <w:r w:rsidR="0060615B">
              <w:rPr>
                <w:noProof/>
                <w:webHidden/>
              </w:rPr>
              <w:instrText xml:space="preserve"> PAGEREF _Toc137535793 \h </w:instrText>
            </w:r>
            <w:r w:rsidR="0060615B">
              <w:rPr>
                <w:noProof/>
                <w:webHidden/>
              </w:rPr>
            </w:r>
            <w:r w:rsidR="0060615B">
              <w:rPr>
                <w:noProof/>
                <w:webHidden/>
              </w:rPr>
              <w:fldChar w:fldCharType="separate"/>
            </w:r>
            <w:r w:rsidR="00013620">
              <w:rPr>
                <w:noProof/>
                <w:webHidden/>
              </w:rPr>
              <w:t>46</w:t>
            </w:r>
            <w:r w:rsidR="0060615B">
              <w:rPr>
                <w:noProof/>
                <w:webHidden/>
              </w:rPr>
              <w:fldChar w:fldCharType="end"/>
            </w:r>
          </w:hyperlink>
        </w:p>
        <w:p w14:paraId="2133612E" w14:textId="26624C44" w:rsidR="0060615B" w:rsidRDefault="00C4615D">
          <w:pPr>
            <w:pStyle w:val="TOC3"/>
            <w:rPr>
              <w:rFonts w:asciiTheme="minorHAnsi" w:eastAsiaTheme="minorEastAsia" w:hAnsiTheme="minorHAnsi"/>
              <w:kern w:val="2"/>
              <w:lang w:eastAsia="en-AU"/>
              <w14:ligatures w14:val="standardContextual"/>
            </w:rPr>
          </w:pPr>
          <w:hyperlink w:anchor="_Toc137535794" w:history="1">
            <w:r w:rsidR="0060615B" w:rsidRPr="006F3E5D">
              <w:rPr>
                <w:rStyle w:val="Hyperlink"/>
                <w:b/>
                <w:bCs/>
              </w:rPr>
              <w:t>Figure 6: Assessment framework for evaluation of risk identification of CVD in community pharmacy</w:t>
            </w:r>
            <w:r w:rsidR="0060615B">
              <w:rPr>
                <w:webHidden/>
              </w:rPr>
              <w:tab/>
            </w:r>
            <w:r w:rsidR="0060615B">
              <w:rPr>
                <w:webHidden/>
              </w:rPr>
              <w:fldChar w:fldCharType="begin"/>
            </w:r>
            <w:r w:rsidR="0060615B">
              <w:rPr>
                <w:webHidden/>
              </w:rPr>
              <w:instrText xml:space="preserve"> PAGEREF _Toc137535794 \h </w:instrText>
            </w:r>
            <w:r w:rsidR="0060615B">
              <w:rPr>
                <w:webHidden/>
              </w:rPr>
            </w:r>
            <w:r w:rsidR="0060615B">
              <w:rPr>
                <w:webHidden/>
              </w:rPr>
              <w:fldChar w:fldCharType="separate"/>
            </w:r>
            <w:r w:rsidR="00013620">
              <w:rPr>
                <w:webHidden/>
              </w:rPr>
              <w:t>46</w:t>
            </w:r>
            <w:r w:rsidR="0060615B">
              <w:rPr>
                <w:webHidden/>
              </w:rPr>
              <w:fldChar w:fldCharType="end"/>
            </w:r>
          </w:hyperlink>
        </w:p>
        <w:p w14:paraId="4B23E2F9" w14:textId="46AD9B06" w:rsidR="0060615B" w:rsidRDefault="00C4615D">
          <w:pPr>
            <w:pStyle w:val="TOC2"/>
            <w:rPr>
              <w:rFonts w:eastAsiaTheme="minorEastAsia"/>
              <w:noProof/>
              <w:kern w:val="2"/>
              <w:lang w:eastAsia="en-AU"/>
              <w14:ligatures w14:val="standardContextual"/>
            </w:rPr>
          </w:pPr>
          <w:hyperlink w:anchor="_Toc137535795" w:history="1">
            <w:r w:rsidR="0060615B" w:rsidRPr="006F3E5D">
              <w:rPr>
                <w:rStyle w:val="Hyperlink"/>
                <w:rFonts w:ascii="Arial" w:hAnsi="Arial" w:cs="Arial"/>
                <w:b/>
                <w:bCs/>
                <w:noProof/>
              </w:rPr>
              <w:t>Development of a research protocol</w:t>
            </w:r>
            <w:r w:rsidR="0060615B">
              <w:rPr>
                <w:noProof/>
                <w:webHidden/>
              </w:rPr>
              <w:tab/>
            </w:r>
            <w:r w:rsidR="0060615B">
              <w:rPr>
                <w:noProof/>
                <w:webHidden/>
              </w:rPr>
              <w:fldChar w:fldCharType="begin"/>
            </w:r>
            <w:r w:rsidR="0060615B">
              <w:rPr>
                <w:noProof/>
                <w:webHidden/>
              </w:rPr>
              <w:instrText xml:space="preserve"> PAGEREF _Toc137535795 \h </w:instrText>
            </w:r>
            <w:r w:rsidR="0060615B">
              <w:rPr>
                <w:noProof/>
                <w:webHidden/>
              </w:rPr>
            </w:r>
            <w:r w:rsidR="0060615B">
              <w:rPr>
                <w:noProof/>
                <w:webHidden/>
              </w:rPr>
              <w:fldChar w:fldCharType="separate"/>
            </w:r>
            <w:r w:rsidR="00013620">
              <w:rPr>
                <w:noProof/>
                <w:webHidden/>
              </w:rPr>
              <w:t>46</w:t>
            </w:r>
            <w:r w:rsidR="0060615B">
              <w:rPr>
                <w:noProof/>
                <w:webHidden/>
              </w:rPr>
              <w:fldChar w:fldCharType="end"/>
            </w:r>
          </w:hyperlink>
        </w:p>
        <w:p w14:paraId="3AC74C50" w14:textId="46757991" w:rsidR="0060615B" w:rsidRDefault="00C4615D">
          <w:pPr>
            <w:pStyle w:val="TOC2"/>
            <w:rPr>
              <w:rFonts w:eastAsiaTheme="minorEastAsia"/>
              <w:noProof/>
              <w:kern w:val="2"/>
              <w:lang w:eastAsia="en-AU"/>
              <w14:ligatures w14:val="standardContextual"/>
            </w:rPr>
          </w:pPr>
          <w:hyperlink w:anchor="_Toc137535796" w:history="1">
            <w:r w:rsidR="0060615B" w:rsidRPr="006F3E5D">
              <w:rPr>
                <w:rStyle w:val="Hyperlink"/>
                <w:rFonts w:ascii="Arial" w:hAnsi="Arial" w:cs="Arial"/>
                <w:b/>
                <w:bCs/>
                <w:noProof/>
              </w:rPr>
              <w:t>PICO criteria</w:t>
            </w:r>
            <w:r w:rsidR="0060615B">
              <w:rPr>
                <w:noProof/>
                <w:webHidden/>
              </w:rPr>
              <w:tab/>
            </w:r>
            <w:r w:rsidR="0060615B">
              <w:rPr>
                <w:noProof/>
                <w:webHidden/>
              </w:rPr>
              <w:fldChar w:fldCharType="begin"/>
            </w:r>
            <w:r w:rsidR="0060615B">
              <w:rPr>
                <w:noProof/>
                <w:webHidden/>
              </w:rPr>
              <w:instrText xml:space="preserve"> PAGEREF _Toc137535796 \h </w:instrText>
            </w:r>
            <w:r w:rsidR="0060615B">
              <w:rPr>
                <w:noProof/>
                <w:webHidden/>
              </w:rPr>
            </w:r>
            <w:r w:rsidR="0060615B">
              <w:rPr>
                <w:noProof/>
                <w:webHidden/>
              </w:rPr>
              <w:fldChar w:fldCharType="separate"/>
            </w:r>
            <w:r w:rsidR="00013620">
              <w:rPr>
                <w:noProof/>
                <w:webHidden/>
              </w:rPr>
              <w:t>47</w:t>
            </w:r>
            <w:r w:rsidR="0060615B">
              <w:rPr>
                <w:noProof/>
                <w:webHidden/>
              </w:rPr>
              <w:fldChar w:fldCharType="end"/>
            </w:r>
          </w:hyperlink>
        </w:p>
        <w:p w14:paraId="0AC77B72" w14:textId="6F165DA5" w:rsidR="0060615B" w:rsidRDefault="00C4615D">
          <w:pPr>
            <w:pStyle w:val="TOC3"/>
            <w:rPr>
              <w:rFonts w:asciiTheme="minorHAnsi" w:eastAsiaTheme="minorEastAsia" w:hAnsiTheme="minorHAnsi"/>
              <w:kern w:val="2"/>
              <w:lang w:eastAsia="en-AU"/>
              <w14:ligatures w14:val="standardContextual"/>
            </w:rPr>
          </w:pPr>
          <w:hyperlink w:anchor="_Toc137535797" w:history="1">
            <w:r w:rsidR="0060615B" w:rsidRPr="006F3E5D">
              <w:rPr>
                <w:rStyle w:val="Hyperlink"/>
                <w:b/>
                <w:bCs/>
              </w:rPr>
              <w:t>Table 23: PICO criteria for assessing early detection and management of cardiovascular disease risk factors in community pharmacy</w:t>
            </w:r>
            <w:r w:rsidR="0060615B">
              <w:rPr>
                <w:webHidden/>
              </w:rPr>
              <w:tab/>
            </w:r>
            <w:r w:rsidR="0060615B">
              <w:rPr>
                <w:webHidden/>
              </w:rPr>
              <w:fldChar w:fldCharType="begin"/>
            </w:r>
            <w:r w:rsidR="0060615B">
              <w:rPr>
                <w:webHidden/>
              </w:rPr>
              <w:instrText xml:space="preserve"> PAGEREF _Toc137535797 \h </w:instrText>
            </w:r>
            <w:r w:rsidR="0060615B">
              <w:rPr>
                <w:webHidden/>
              </w:rPr>
            </w:r>
            <w:r w:rsidR="0060615B">
              <w:rPr>
                <w:webHidden/>
              </w:rPr>
              <w:fldChar w:fldCharType="separate"/>
            </w:r>
            <w:r w:rsidR="00013620">
              <w:rPr>
                <w:webHidden/>
              </w:rPr>
              <w:t>47</w:t>
            </w:r>
            <w:r w:rsidR="0060615B">
              <w:rPr>
                <w:webHidden/>
              </w:rPr>
              <w:fldChar w:fldCharType="end"/>
            </w:r>
          </w:hyperlink>
        </w:p>
        <w:p w14:paraId="21D78AD9" w14:textId="2D47EEE3" w:rsidR="0060615B" w:rsidRDefault="00C4615D">
          <w:pPr>
            <w:pStyle w:val="TOC2"/>
            <w:rPr>
              <w:rFonts w:eastAsiaTheme="minorEastAsia"/>
              <w:noProof/>
              <w:kern w:val="2"/>
              <w:lang w:eastAsia="en-AU"/>
              <w14:ligatures w14:val="standardContextual"/>
            </w:rPr>
          </w:pPr>
          <w:hyperlink w:anchor="_Toc137535798" w:history="1">
            <w:r w:rsidR="0060615B" w:rsidRPr="006F3E5D">
              <w:rPr>
                <w:rStyle w:val="Hyperlink"/>
                <w:rFonts w:ascii="Arial" w:hAnsi="Arial" w:cs="Arial"/>
                <w:b/>
                <w:bCs/>
                <w:noProof/>
              </w:rPr>
              <w:t>Literature sources and search strategies</w:t>
            </w:r>
            <w:r w:rsidR="0060615B">
              <w:rPr>
                <w:noProof/>
                <w:webHidden/>
              </w:rPr>
              <w:tab/>
            </w:r>
            <w:r w:rsidR="0060615B">
              <w:rPr>
                <w:noProof/>
                <w:webHidden/>
              </w:rPr>
              <w:fldChar w:fldCharType="begin"/>
            </w:r>
            <w:r w:rsidR="0060615B">
              <w:rPr>
                <w:noProof/>
                <w:webHidden/>
              </w:rPr>
              <w:instrText xml:space="preserve"> PAGEREF _Toc137535798 \h </w:instrText>
            </w:r>
            <w:r w:rsidR="0060615B">
              <w:rPr>
                <w:noProof/>
                <w:webHidden/>
              </w:rPr>
            </w:r>
            <w:r w:rsidR="0060615B">
              <w:rPr>
                <w:noProof/>
                <w:webHidden/>
              </w:rPr>
              <w:fldChar w:fldCharType="separate"/>
            </w:r>
            <w:r w:rsidR="00013620">
              <w:rPr>
                <w:noProof/>
                <w:webHidden/>
              </w:rPr>
              <w:t>47</w:t>
            </w:r>
            <w:r w:rsidR="0060615B">
              <w:rPr>
                <w:noProof/>
                <w:webHidden/>
              </w:rPr>
              <w:fldChar w:fldCharType="end"/>
            </w:r>
          </w:hyperlink>
        </w:p>
        <w:p w14:paraId="64F676C7" w14:textId="25CDD95A" w:rsidR="0060615B" w:rsidRDefault="00C4615D">
          <w:pPr>
            <w:pStyle w:val="TOC3"/>
            <w:rPr>
              <w:rFonts w:asciiTheme="minorHAnsi" w:eastAsiaTheme="minorEastAsia" w:hAnsiTheme="minorHAnsi"/>
              <w:kern w:val="2"/>
              <w:lang w:eastAsia="en-AU"/>
              <w14:ligatures w14:val="standardContextual"/>
            </w:rPr>
          </w:pPr>
          <w:hyperlink w:anchor="_Toc137535799" w:history="1">
            <w:r w:rsidR="0060615B" w:rsidRPr="006F3E5D">
              <w:rPr>
                <w:rStyle w:val="Hyperlink"/>
                <w:b/>
                <w:bCs/>
              </w:rPr>
              <w:t>Table 24: Literature sources and search strategies</w:t>
            </w:r>
            <w:r w:rsidR="0060615B">
              <w:rPr>
                <w:webHidden/>
              </w:rPr>
              <w:tab/>
            </w:r>
            <w:r w:rsidR="0060615B">
              <w:rPr>
                <w:webHidden/>
              </w:rPr>
              <w:fldChar w:fldCharType="begin"/>
            </w:r>
            <w:r w:rsidR="0060615B">
              <w:rPr>
                <w:webHidden/>
              </w:rPr>
              <w:instrText xml:space="preserve"> PAGEREF _Toc137535799 \h </w:instrText>
            </w:r>
            <w:r w:rsidR="0060615B">
              <w:rPr>
                <w:webHidden/>
              </w:rPr>
            </w:r>
            <w:r w:rsidR="0060615B">
              <w:rPr>
                <w:webHidden/>
              </w:rPr>
              <w:fldChar w:fldCharType="separate"/>
            </w:r>
            <w:r w:rsidR="00013620">
              <w:rPr>
                <w:webHidden/>
              </w:rPr>
              <w:t>48</w:t>
            </w:r>
            <w:r w:rsidR="0060615B">
              <w:rPr>
                <w:webHidden/>
              </w:rPr>
              <w:fldChar w:fldCharType="end"/>
            </w:r>
          </w:hyperlink>
        </w:p>
        <w:p w14:paraId="5E37A93A" w14:textId="5669F922" w:rsidR="0060615B" w:rsidRDefault="00C4615D">
          <w:pPr>
            <w:pStyle w:val="TOC1"/>
            <w:rPr>
              <w:rFonts w:eastAsiaTheme="minorEastAsia"/>
              <w:b w:val="0"/>
              <w:noProof/>
              <w:kern w:val="2"/>
              <w:lang w:eastAsia="en-AU"/>
              <w14:ligatures w14:val="standardContextual"/>
            </w:rPr>
          </w:pPr>
          <w:hyperlink w:anchor="_Toc137535800" w:history="1">
            <w:r w:rsidR="0060615B" w:rsidRPr="006F3E5D">
              <w:rPr>
                <w:rStyle w:val="Hyperlink"/>
                <w:noProof/>
              </w:rPr>
              <w:t>References</w:t>
            </w:r>
            <w:r w:rsidR="0060615B">
              <w:rPr>
                <w:noProof/>
                <w:webHidden/>
              </w:rPr>
              <w:tab/>
            </w:r>
            <w:r w:rsidR="00A85BF7">
              <w:rPr>
                <w:noProof/>
                <w:webHidden/>
              </w:rPr>
              <w:t xml:space="preserve">                                                                             </w:t>
            </w:r>
            <w:r w:rsidR="00986ECC">
              <w:rPr>
                <w:noProof/>
                <w:webHidden/>
              </w:rPr>
              <w:t xml:space="preserve"> </w:t>
            </w:r>
            <w:r w:rsidR="0060615B">
              <w:rPr>
                <w:noProof/>
                <w:webHidden/>
              </w:rPr>
              <w:fldChar w:fldCharType="begin"/>
            </w:r>
            <w:r w:rsidR="0060615B">
              <w:rPr>
                <w:noProof/>
                <w:webHidden/>
              </w:rPr>
              <w:instrText xml:space="preserve"> PAGEREF _Toc137535800 \h </w:instrText>
            </w:r>
            <w:r w:rsidR="0060615B">
              <w:rPr>
                <w:noProof/>
                <w:webHidden/>
              </w:rPr>
            </w:r>
            <w:r w:rsidR="0060615B">
              <w:rPr>
                <w:noProof/>
                <w:webHidden/>
              </w:rPr>
              <w:fldChar w:fldCharType="separate"/>
            </w:r>
            <w:r w:rsidR="00013620">
              <w:rPr>
                <w:noProof/>
                <w:webHidden/>
              </w:rPr>
              <w:t>49</w:t>
            </w:r>
            <w:r w:rsidR="0060615B">
              <w:rPr>
                <w:noProof/>
                <w:webHidden/>
              </w:rPr>
              <w:fldChar w:fldCharType="end"/>
            </w:r>
          </w:hyperlink>
        </w:p>
        <w:p w14:paraId="45D56DD2" w14:textId="1863F65B" w:rsidR="00967A3B" w:rsidRDefault="00967A3B">
          <w:r>
            <w:rPr>
              <w:b/>
              <w:bCs/>
              <w:noProof/>
            </w:rPr>
            <w:fldChar w:fldCharType="end"/>
          </w:r>
        </w:p>
      </w:sdtContent>
    </w:sdt>
    <w:p w14:paraId="6582AE80" w14:textId="1EF04C5A" w:rsidR="00AE3A1C" w:rsidRPr="001A0EA1" w:rsidRDefault="00AE3A1C" w:rsidP="001A0EA1">
      <w:r w:rsidRPr="001A0EA1">
        <w:br w:type="page"/>
      </w:r>
    </w:p>
    <w:p w14:paraId="0B784B40" w14:textId="7BAD569E" w:rsidR="00C72177" w:rsidRPr="00F95B71" w:rsidRDefault="002714E8" w:rsidP="00F95B71">
      <w:pPr>
        <w:pStyle w:val="Heading1"/>
        <w:numPr>
          <w:ilvl w:val="0"/>
          <w:numId w:val="0"/>
        </w:numPr>
        <w:spacing w:before="0" w:after="0"/>
        <w:ind w:left="357" w:hanging="357"/>
        <w:rPr>
          <w:rFonts w:ascii="Arial" w:hAnsi="Arial" w:cs="Arial"/>
        </w:rPr>
      </w:pPr>
      <w:bookmarkStart w:id="7" w:name="_Toc137535726"/>
      <w:bookmarkStart w:id="8" w:name="_Hlk69734226"/>
      <w:r w:rsidRPr="00F95B71">
        <w:rPr>
          <w:rFonts w:ascii="Arial" w:hAnsi="Arial" w:cs="Arial"/>
        </w:rPr>
        <w:lastRenderedPageBreak/>
        <w:t>ADAR Executive Summary</w:t>
      </w:r>
      <w:bookmarkEnd w:id="7"/>
    </w:p>
    <w:bookmarkEnd w:id="8"/>
    <w:p w14:paraId="2FDAFBA9" w14:textId="7C7E48BC" w:rsidR="0037471D" w:rsidRDefault="00134622" w:rsidP="00A85BF7">
      <w:pPr>
        <w:spacing w:before="0" w:line="240" w:lineRule="auto"/>
        <w:rPr>
          <w:rFonts w:ascii="Arial" w:hAnsi="Arial" w:cs="Arial"/>
        </w:rPr>
      </w:pPr>
      <w:r w:rsidRPr="00F95B71">
        <w:rPr>
          <w:rFonts w:ascii="Arial" w:hAnsi="Arial" w:cs="Arial"/>
        </w:rPr>
        <w:t>It is widely accepted that delayed diagnosis of most diseases can lead to poorer health outcomes. Community screening is one way of detecting asymptomatic clinical markers and risk factors that precipitate the onset and progression of disease.</w:t>
      </w:r>
    </w:p>
    <w:p w14:paraId="7C13200C" w14:textId="2DC51D90" w:rsidR="00134622" w:rsidRPr="00F95B71" w:rsidRDefault="00134622" w:rsidP="00A85BF7">
      <w:pPr>
        <w:spacing w:before="0" w:line="240" w:lineRule="auto"/>
        <w:rPr>
          <w:rFonts w:ascii="Arial" w:hAnsi="Arial" w:cs="Arial"/>
        </w:rPr>
      </w:pPr>
      <w:r w:rsidRPr="00F95B71">
        <w:rPr>
          <w:rFonts w:ascii="Arial" w:hAnsi="Arial" w:cs="Arial"/>
        </w:rPr>
        <w:t>Cardiovascular disease (CVD) is one of Australia’s biggest</w:t>
      </w:r>
      <w:r w:rsidR="00C5063A" w:rsidRPr="00F95B71">
        <w:rPr>
          <w:rFonts w:ascii="Arial" w:hAnsi="Arial" w:cs="Arial"/>
        </w:rPr>
        <w:t xml:space="preserve"> </w:t>
      </w:r>
      <w:r w:rsidRPr="00F95B71">
        <w:rPr>
          <w:rFonts w:ascii="Arial" w:hAnsi="Arial" w:cs="Arial"/>
        </w:rPr>
        <w:t xml:space="preserve">killers. It accounts for much of the health and economic burden within our healthcare system and has a highly interrelated nature with other vascular diseases such as diabetes and chronic kidney disease. The burden of CVD can be reduced through intervention at earlier points along the disease continuum including at prevention and early diagnosis. Many people at high risk of developing CVD, particularly those from the lower socioeconomic groups, are often unaware of risk factors, their own risk </w:t>
      </w:r>
      <w:proofErr w:type="gramStart"/>
      <w:r w:rsidRPr="00F95B71">
        <w:rPr>
          <w:rFonts w:ascii="Arial" w:hAnsi="Arial" w:cs="Arial"/>
        </w:rPr>
        <w:t>profile</w:t>
      </w:r>
      <w:proofErr w:type="gramEnd"/>
      <w:r w:rsidRPr="00F95B71">
        <w:rPr>
          <w:rFonts w:ascii="Arial" w:hAnsi="Arial" w:cs="Arial"/>
        </w:rPr>
        <w:t xml:space="preserve"> and actions to take for risk reduction.</w:t>
      </w:r>
      <w:r w:rsidR="002E2C82">
        <w:rPr>
          <w:rFonts w:ascii="Arial" w:hAnsi="Arial" w:cs="Arial"/>
        </w:rPr>
        <w:t xml:space="preserve"> Further, due to financial barriers and limited access to bulk-billing General Practice many of these people engage with community pharmacy for health care needs.</w:t>
      </w:r>
    </w:p>
    <w:p w14:paraId="2A85F3EC" w14:textId="004D3A60" w:rsidR="00FA54BC" w:rsidRPr="00F95B71" w:rsidRDefault="00FA54BC" w:rsidP="00A85BF7">
      <w:pPr>
        <w:pStyle w:val="Instructionaltext"/>
        <w:spacing w:before="0" w:line="240" w:lineRule="auto"/>
        <w:rPr>
          <w:rFonts w:ascii="Arial" w:hAnsi="Arial" w:cs="Arial"/>
          <w:color w:val="auto"/>
          <w:lang w:eastAsia="en-AU"/>
        </w:rPr>
      </w:pPr>
      <w:r w:rsidRPr="00F95B71">
        <w:rPr>
          <w:rFonts w:ascii="Arial" w:hAnsi="Arial" w:cs="Arial"/>
          <w:color w:val="auto"/>
          <w:lang w:eastAsia="en-AU"/>
        </w:rPr>
        <w:t>A 2016 Australian study that implemented the Absolute CVD Risk in a broader age group suggested that around 2.6% of the population aged 18-44 years (about 230 000 people) and 60.6% of those aged 75 years or more (about 850 000 people) were at high absolute risk of a future CVD event</w:t>
      </w:r>
      <w:r w:rsidRPr="00205484">
        <w:rPr>
          <w:rFonts w:ascii="Arial" w:hAnsi="Arial" w:cs="Arial"/>
          <w:color w:val="auto"/>
          <w:vertAlign w:val="superscript"/>
          <w:lang w:eastAsia="en-AU"/>
        </w:rPr>
        <w:endnoteReference w:id="2"/>
      </w:r>
      <w:r w:rsidRPr="00205484">
        <w:rPr>
          <w:rFonts w:ascii="Arial" w:hAnsi="Arial" w:cs="Arial"/>
          <w:color w:val="auto"/>
          <w:lang w:eastAsia="en-AU"/>
        </w:rPr>
        <w:t>.</w:t>
      </w:r>
    </w:p>
    <w:p w14:paraId="34250FF6" w14:textId="00479C95" w:rsidR="00FA54BC" w:rsidRPr="00F95B71" w:rsidRDefault="00FA54BC" w:rsidP="00A85BF7">
      <w:pPr>
        <w:widowControl w:val="0"/>
        <w:autoSpaceDE w:val="0"/>
        <w:autoSpaceDN w:val="0"/>
        <w:adjustRightInd w:val="0"/>
        <w:spacing w:before="0" w:line="240" w:lineRule="auto"/>
        <w:rPr>
          <w:rFonts w:ascii="Arial" w:hAnsi="Arial" w:cs="Arial"/>
        </w:rPr>
      </w:pPr>
      <w:r w:rsidRPr="00F95B71">
        <w:rPr>
          <w:rFonts w:ascii="Arial" w:hAnsi="Arial" w:cs="Arial"/>
        </w:rPr>
        <w:t>CVD remains the underlying cause of 30% (or 43,946) of all Australian deaths (2012)</w:t>
      </w:r>
      <w:r w:rsidRPr="00205484">
        <w:rPr>
          <w:rStyle w:val="EndnoteReference"/>
          <w:rFonts w:ascii="Arial" w:hAnsi="Arial" w:cs="Arial"/>
        </w:rPr>
        <w:endnoteReference w:id="3"/>
      </w:r>
      <w:r w:rsidR="00A85BF7">
        <w:rPr>
          <w:rFonts w:ascii="Arial" w:hAnsi="Arial" w:cs="Arial"/>
        </w:rPr>
        <w:t xml:space="preserve"> </w:t>
      </w:r>
      <w:r w:rsidRPr="00F95B71">
        <w:rPr>
          <w:rFonts w:ascii="Arial" w:hAnsi="Arial" w:cs="Arial"/>
        </w:rPr>
        <w:t>and an expensive disease treated nationally, accounting for 11% of direct healthcare expenditure.</w:t>
      </w:r>
    </w:p>
    <w:p w14:paraId="0CE21AA0" w14:textId="77777777" w:rsidR="00FA54BC" w:rsidRPr="00F95B71" w:rsidRDefault="00FA54BC" w:rsidP="00581479">
      <w:pPr>
        <w:widowControl w:val="0"/>
        <w:autoSpaceDE w:val="0"/>
        <w:autoSpaceDN w:val="0"/>
        <w:adjustRightInd w:val="0"/>
        <w:spacing w:before="0" w:after="0" w:line="240" w:lineRule="auto"/>
        <w:rPr>
          <w:rFonts w:ascii="Arial" w:hAnsi="Arial" w:cs="Arial"/>
        </w:rPr>
      </w:pPr>
      <w:r w:rsidRPr="00F95B71">
        <w:rPr>
          <w:rFonts w:ascii="Arial" w:hAnsi="Arial" w:cs="Arial"/>
        </w:rPr>
        <w:t>Further to this:</w:t>
      </w:r>
    </w:p>
    <w:p w14:paraId="59241FD3" w14:textId="564EC117" w:rsidR="00FA54BC" w:rsidRPr="00F95B71" w:rsidRDefault="00FA54BC" w:rsidP="00581479">
      <w:pPr>
        <w:pStyle w:val="ListParagraph"/>
        <w:numPr>
          <w:ilvl w:val="0"/>
          <w:numId w:val="16"/>
        </w:numPr>
        <w:spacing w:before="0" w:after="0" w:line="240" w:lineRule="auto"/>
        <w:ind w:left="714" w:hanging="357"/>
        <w:contextualSpacing w:val="0"/>
        <w:rPr>
          <w:rFonts w:ascii="Arial" w:hAnsi="Arial" w:cs="Arial"/>
        </w:rPr>
      </w:pPr>
      <w:r w:rsidRPr="00F95B71">
        <w:rPr>
          <w:rFonts w:ascii="Arial" w:eastAsiaTheme="minorEastAsia" w:hAnsi="Arial" w:cs="Arial"/>
          <w:bCs/>
        </w:rPr>
        <w:t xml:space="preserve">1 in 5 Australian adults (22%), about 3.7 million people, had CVD in 2011-12 based on self-reported </w:t>
      </w:r>
      <w:r w:rsidR="00AD7B66" w:rsidRPr="00F95B71">
        <w:rPr>
          <w:rFonts w:ascii="Arial" w:eastAsiaTheme="minorEastAsia" w:hAnsi="Arial" w:cs="Arial"/>
          <w:bCs/>
        </w:rPr>
        <w:t>data.</w:t>
      </w:r>
    </w:p>
    <w:p w14:paraId="59E5C83A" w14:textId="25C60A90" w:rsidR="00FA54BC" w:rsidRPr="00F95B71" w:rsidRDefault="00105FFE" w:rsidP="00581479">
      <w:pPr>
        <w:pStyle w:val="ListParagraph"/>
        <w:numPr>
          <w:ilvl w:val="0"/>
          <w:numId w:val="16"/>
        </w:numPr>
        <w:spacing w:before="0" w:after="0" w:line="240" w:lineRule="auto"/>
        <w:ind w:left="714" w:hanging="357"/>
        <w:contextualSpacing w:val="0"/>
        <w:rPr>
          <w:rFonts w:ascii="Arial" w:hAnsi="Arial" w:cs="Arial"/>
        </w:rPr>
      </w:pPr>
      <w:r w:rsidRPr="00F95B71">
        <w:rPr>
          <w:rFonts w:ascii="Arial" w:eastAsiaTheme="minorEastAsia" w:hAnsi="Arial" w:cs="Arial"/>
        </w:rPr>
        <w:t xml:space="preserve">CVD was the principle and/or the additional diagnosis </w:t>
      </w:r>
      <w:r>
        <w:rPr>
          <w:rFonts w:ascii="Arial" w:eastAsiaTheme="minorEastAsia" w:hAnsi="Arial" w:cs="Arial"/>
        </w:rPr>
        <w:t xml:space="preserve">in </w:t>
      </w:r>
      <w:r w:rsidR="00FA54BC" w:rsidRPr="00F95B71">
        <w:rPr>
          <w:rFonts w:ascii="Arial" w:eastAsiaTheme="minorEastAsia" w:hAnsi="Arial" w:cs="Arial"/>
        </w:rPr>
        <w:t>1.1 million hospitalisations, 11% of all hospitalisations</w:t>
      </w:r>
      <w:r>
        <w:rPr>
          <w:rFonts w:ascii="Arial" w:eastAsiaTheme="minorEastAsia" w:hAnsi="Arial" w:cs="Arial"/>
        </w:rPr>
        <w:t>,</w:t>
      </w:r>
      <w:r w:rsidR="00FA54BC" w:rsidRPr="00F95B71">
        <w:rPr>
          <w:rFonts w:ascii="Arial" w:eastAsiaTheme="minorEastAsia" w:hAnsi="Arial" w:cs="Arial"/>
        </w:rPr>
        <w:t xml:space="preserve"> in 2013-14</w:t>
      </w:r>
      <w:r w:rsidR="00AD7B66" w:rsidRPr="00F95B71">
        <w:rPr>
          <w:rFonts w:ascii="Arial" w:eastAsiaTheme="minorEastAsia" w:hAnsi="Arial" w:cs="Arial"/>
        </w:rPr>
        <w:t>.</w:t>
      </w:r>
    </w:p>
    <w:p w14:paraId="5F3F4C75" w14:textId="051D3D6D" w:rsidR="00FA54BC" w:rsidRPr="00F95B71" w:rsidRDefault="00FA54BC" w:rsidP="00581479">
      <w:pPr>
        <w:pStyle w:val="ListParagraph"/>
        <w:numPr>
          <w:ilvl w:val="0"/>
          <w:numId w:val="16"/>
        </w:numPr>
        <w:spacing w:before="0" w:after="0" w:line="240" w:lineRule="auto"/>
        <w:ind w:left="714" w:hanging="357"/>
        <w:contextualSpacing w:val="0"/>
        <w:rPr>
          <w:rFonts w:ascii="Arial" w:hAnsi="Arial" w:cs="Arial"/>
        </w:rPr>
      </w:pPr>
      <w:r w:rsidRPr="00F95B71">
        <w:rPr>
          <w:rFonts w:ascii="Arial" w:eastAsiaTheme="minorEastAsia" w:hAnsi="Arial" w:cs="Arial"/>
        </w:rPr>
        <w:t xml:space="preserve">CVD death rates were 30% higher and hospitalisation rates twice as high for Aboriginal and Torres Strait Islander peoples compared to other </w:t>
      </w:r>
      <w:r w:rsidR="00AD7B66" w:rsidRPr="00F95B71">
        <w:rPr>
          <w:rFonts w:ascii="Arial" w:eastAsiaTheme="minorEastAsia" w:hAnsi="Arial" w:cs="Arial"/>
        </w:rPr>
        <w:t>Australians.</w:t>
      </w:r>
    </w:p>
    <w:p w14:paraId="022AEBA2" w14:textId="2994F5C8" w:rsidR="00411E48" w:rsidRPr="00411E48" w:rsidRDefault="00FA54BC" w:rsidP="00411E48">
      <w:pPr>
        <w:pStyle w:val="ListParagraph"/>
        <w:numPr>
          <w:ilvl w:val="0"/>
          <w:numId w:val="16"/>
        </w:numPr>
        <w:spacing w:before="0" w:after="200" w:line="240" w:lineRule="auto"/>
        <w:ind w:left="714" w:hanging="357"/>
        <w:contextualSpacing w:val="0"/>
        <w:rPr>
          <w:rFonts w:ascii="Arial" w:hAnsi="Arial" w:cs="Arial"/>
        </w:rPr>
      </w:pPr>
      <w:r w:rsidRPr="00F95B71">
        <w:rPr>
          <w:rFonts w:ascii="Arial" w:eastAsiaTheme="minorEastAsia" w:hAnsi="Arial" w:cs="Arial"/>
        </w:rPr>
        <w:t xml:space="preserve">CVD death rates were 50% higher in the lowest socioeconomic group compared with the highest group. </w:t>
      </w:r>
      <w:r w:rsidRPr="00F95B71">
        <w:rPr>
          <w:rFonts w:ascii="Arial" w:hAnsi="Arial" w:cs="Arial"/>
        </w:rPr>
        <w:t>Similarly, 20% higher for CVD hospitalisation rates</w:t>
      </w:r>
      <w:r w:rsidR="00105FFE">
        <w:rPr>
          <w:rFonts w:ascii="Arial" w:hAnsi="Arial" w:cs="Arial"/>
        </w:rPr>
        <w:t>.</w:t>
      </w:r>
    </w:p>
    <w:p w14:paraId="4E477EBF" w14:textId="439E4EFD" w:rsidR="00FA54BC" w:rsidRPr="00F95B71" w:rsidRDefault="00FA54BC" w:rsidP="00411E48">
      <w:pPr>
        <w:pStyle w:val="Instructionaltext"/>
        <w:spacing w:before="0" w:line="240" w:lineRule="auto"/>
        <w:rPr>
          <w:rFonts w:ascii="Arial" w:hAnsi="Arial" w:cs="Arial"/>
          <w:color w:val="auto"/>
        </w:rPr>
      </w:pPr>
      <w:r w:rsidRPr="00F95B71">
        <w:rPr>
          <w:rFonts w:ascii="Arial" w:hAnsi="Arial" w:cs="Arial"/>
          <w:color w:val="auto"/>
        </w:rPr>
        <w:t xml:space="preserve">Many people at high risk of developing CVD, particularly those from the lower socioeconomic groups, are often unaware of risk factors, their own risk </w:t>
      </w:r>
      <w:proofErr w:type="gramStart"/>
      <w:r w:rsidRPr="00F95B71">
        <w:rPr>
          <w:rFonts w:ascii="Arial" w:hAnsi="Arial" w:cs="Arial"/>
          <w:color w:val="auto"/>
        </w:rPr>
        <w:t>profile</w:t>
      </w:r>
      <w:proofErr w:type="gramEnd"/>
      <w:r w:rsidRPr="00F95B71">
        <w:rPr>
          <w:rFonts w:ascii="Arial" w:hAnsi="Arial" w:cs="Arial"/>
          <w:color w:val="auto"/>
        </w:rPr>
        <w:t xml:space="preserve"> and actions to take for risk reduction. Pharmacists are among the most readily accessible and trusted health professionals. They are well placed to implement population-based CVD screening, deliver key health promotion </w:t>
      </w:r>
      <w:proofErr w:type="gramStart"/>
      <w:r w:rsidRPr="00F95B71">
        <w:rPr>
          <w:rFonts w:ascii="Arial" w:hAnsi="Arial" w:cs="Arial"/>
          <w:color w:val="auto"/>
        </w:rPr>
        <w:t>messages</w:t>
      </w:r>
      <w:proofErr w:type="gramEnd"/>
      <w:r w:rsidRPr="00F95B71">
        <w:rPr>
          <w:rFonts w:ascii="Arial" w:hAnsi="Arial" w:cs="Arial"/>
          <w:color w:val="auto"/>
        </w:rPr>
        <w:t xml:space="preserve"> and facilitate prompt and appropriate onward referral</w:t>
      </w:r>
      <w:r>
        <w:rPr>
          <w:rFonts w:ascii="Arial" w:hAnsi="Arial" w:cs="Arial"/>
          <w:color w:val="auto"/>
        </w:rPr>
        <w:t xml:space="preserve"> to General Practice or Allied Health providers</w:t>
      </w:r>
      <w:r w:rsidRPr="00F95B71">
        <w:rPr>
          <w:rFonts w:ascii="Arial" w:hAnsi="Arial" w:cs="Arial"/>
          <w:color w:val="auto"/>
        </w:rPr>
        <w:t>.</w:t>
      </w:r>
    </w:p>
    <w:p w14:paraId="640D45AB" w14:textId="2B490F0A" w:rsidR="00FA54BC" w:rsidRPr="00F95B71" w:rsidRDefault="00FA54BC" w:rsidP="00411E48">
      <w:pPr>
        <w:pStyle w:val="Instructionaltext"/>
        <w:spacing w:before="0" w:line="240" w:lineRule="auto"/>
        <w:rPr>
          <w:rFonts w:ascii="Arial" w:hAnsi="Arial" w:cs="Arial"/>
          <w:color w:val="auto"/>
        </w:rPr>
      </w:pPr>
      <w:r w:rsidRPr="00F95B71">
        <w:rPr>
          <w:rFonts w:ascii="Arial" w:hAnsi="Arial" w:cs="Arial"/>
          <w:color w:val="auto"/>
        </w:rPr>
        <w:t>For the benefits of early intervention to be maximised, positively screened individuals need to comply with advice given and seek follow up on referrals. Much study suggests there is significant gap in health seeking behaviour here and an opportunity to influence participant actions and improve referral uptake and compliance with advice in screened individuals.</w:t>
      </w:r>
    </w:p>
    <w:p w14:paraId="6C36984C" w14:textId="77777777" w:rsidR="00FA54BC" w:rsidRPr="00147FCF" w:rsidRDefault="00FA54BC" w:rsidP="00581479">
      <w:pPr>
        <w:spacing w:before="0" w:after="0" w:line="240" w:lineRule="auto"/>
        <w:rPr>
          <w:rFonts w:ascii="Arial" w:hAnsi="Arial" w:cs="Arial"/>
          <w:b/>
          <w:bCs/>
        </w:rPr>
      </w:pPr>
      <w:r w:rsidRPr="00147FCF">
        <w:rPr>
          <w:rFonts w:ascii="Arial" w:hAnsi="Arial" w:cs="Arial"/>
          <w:b/>
          <w:bCs/>
        </w:rPr>
        <w:t>Intervention</w:t>
      </w:r>
    </w:p>
    <w:p w14:paraId="057D7A06" w14:textId="77777777" w:rsidR="00FA54BC" w:rsidRDefault="00FA54BC" w:rsidP="00581479">
      <w:pPr>
        <w:autoSpaceDE w:val="0"/>
        <w:autoSpaceDN w:val="0"/>
        <w:adjustRightInd w:val="0"/>
        <w:spacing w:before="0" w:after="0" w:line="240" w:lineRule="auto"/>
        <w:rPr>
          <w:rFonts w:ascii="Arial" w:hAnsi="Arial" w:cs="Arial"/>
        </w:rPr>
      </w:pPr>
      <w:r>
        <w:rPr>
          <w:rFonts w:ascii="Arial" w:hAnsi="Arial" w:cs="Arial"/>
        </w:rPr>
        <w:t>This trial aimed to compare the effectiveness and cost-effectiveness of two community pharmacy-based approaches to cardiovascular disease (CVD) screening in a previously undiagnosed population. Specifically:</w:t>
      </w:r>
    </w:p>
    <w:p w14:paraId="39BEE690" w14:textId="77777777" w:rsidR="00FA54BC" w:rsidRPr="00E92374" w:rsidRDefault="00FA54BC" w:rsidP="00581479">
      <w:pPr>
        <w:pStyle w:val="ListParagraph"/>
        <w:numPr>
          <w:ilvl w:val="0"/>
          <w:numId w:val="25"/>
        </w:numPr>
        <w:autoSpaceDE w:val="0"/>
        <w:autoSpaceDN w:val="0"/>
        <w:adjustRightInd w:val="0"/>
        <w:spacing w:before="0" w:after="0" w:line="240" w:lineRule="auto"/>
        <w:rPr>
          <w:rFonts w:ascii="Arial" w:hAnsi="Arial" w:cs="Arial"/>
        </w:rPr>
      </w:pPr>
      <w:r w:rsidRPr="00E92374">
        <w:rPr>
          <w:rFonts w:ascii="Arial" w:hAnsi="Arial" w:cs="Arial"/>
        </w:rPr>
        <w:t>Expand the role of Community Pharmacy in screening for people at elevated cardiovascular risk and facilitated referral for appropriate intervention.</w:t>
      </w:r>
    </w:p>
    <w:p w14:paraId="705A7B36" w14:textId="1E573F90" w:rsidR="00FA54BC" w:rsidRPr="001E27BC" w:rsidRDefault="00FA54BC" w:rsidP="001E27BC">
      <w:pPr>
        <w:pStyle w:val="ListParagraph"/>
        <w:numPr>
          <w:ilvl w:val="0"/>
          <w:numId w:val="25"/>
        </w:numPr>
        <w:autoSpaceDE w:val="0"/>
        <w:autoSpaceDN w:val="0"/>
        <w:adjustRightInd w:val="0"/>
        <w:spacing w:before="0" w:after="0" w:line="240" w:lineRule="auto"/>
        <w:rPr>
          <w:rFonts w:ascii="Arial" w:hAnsi="Arial" w:cs="Arial"/>
        </w:rPr>
      </w:pPr>
      <w:r w:rsidRPr="001E27BC">
        <w:rPr>
          <w:rFonts w:ascii="Arial" w:hAnsi="Arial" w:cs="Arial"/>
        </w:rPr>
        <w:t xml:space="preserve">Adopt an easily accessible, cost-effective early intervention approach that offers effective CVD screening to facilitate increased risk identification, </w:t>
      </w:r>
      <w:proofErr w:type="gramStart"/>
      <w:r w:rsidRPr="001E27BC">
        <w:rPr>
          <w:rFonts w:ascii="Arial" w:hAnsi="Arial" w:cs="Arial"/>
        </w:rPr>
        <w:t>detection</w:t>
      </w:r>
      <w:proofErr w:type="gramEnd"/>
      <w:r w:rsidRPr="001E27BC">
        <w:rPr>
          <w:rFonts w:ascii="Arial" w:hAnsi="Arial" w:cs="Arial"/>
        </w:rPr>
        <w:t xml:space="preserve"> and preventative </w:t>
      </w:r>
      <w:r w:rsidR="00AD7B66" w:rsidRPr="001E27BC">
        <w:rPr>
          <w:rFonts w:ascii="Arial" w:hAnsi="Arial" w:cs="Arial"/>
        </w:rPr>
        <w:t>risk</w:t>
      </w:r>
      <w:r w:rsidR="001E27BC" w:rsidRPr="001E27BC">
        <w:rPr>
          <w:rFonts w:ascii="Arial" w:hAnsi="Arial" w:cs="Arial"/>
        </w:rPr>
        <w:t xml:space="preserve"> </w:t>
      </w:r>
      <w:r w:rsidRPr="001E27BC">
        <w:rPr>
          <w:rFonts w:ascii="Arial" w:hAnsi="Arial" w:cs="Arial"/>
        </w:rPr>
        <w:t>management in undiagnosed individuals.</w:t>
      </w:r>
    </w:p>
    <w:p w14:paraId="5C4CF5B5" w14:textId="422AF3CB" w:rsidR="00FA54BC" w:rsidRPr="00B918CB" w:rsidRDefault="00FA54BC" w:rsidP="00B918CB">
      <w:pPr>
        <w:pStyle w:val="ListParagraph"/>
        <w:numPr>
          <w:ilvl w:val="0"/>
          <w:numId w:val="25"/>
        </w:numPr>
        <w:autoSpaceDE w:val="0"/>
        <w:autoSpaceDN w:val="0"/>
        <w:adjustRightInd w:val="0"/>
        <w:spacing w:before="0" w:after="220" w:line="240" w:lineRule="auto"/>
        <w:rPr>
          <w:rFonts w:ascii="Arial" w:hAnsi="Arial" w:cs="Arial"/>
          <w:shd w:val="clear" w:color="auto" w:fill="FFFFFF"/>
        </w:rPr>
      </w:pPr>
      <w:r w:rsidRPr="00E92374">
        <w:rPr>
          <w:rFonts w:ascii="Arial" w:hAnsi="Arial" w:cs="Arial"/>
        </w:rPr>
        <w:lastRenderedPageBreak/>
        <w:t>Strengthen local clinical referral pathways for timely and appropriate access to services by at risk groups and overall better health outcomes for the general population.</w:t>
      </w:r>
    </w:p>
    <w:p w14:paraId="25D4D7A3" w14:textId="2EF7050A" w:rsidR="00D77275" w:rsidRPr="00B918CB" w:rsidRDefault="00FA54BC" w:rsidP="00B918CB">
      <w:pPr>
        <w:pStyle w:val="Instructionaltext"/>
        <w:spacing w:before="0" w:after="220" w:line="240" w:lineRule="auto"/>
        <w:rPr>
          <w:rFonts w:ascii="Arial" w:hAnsi="Arial" w:cs="Arial"/>
          <w:color w:val="auto"/>
        </w:rPr>
      </w:pPr>
      <w:r w:rsidRPr="00F95B71">
        <w:rPr>
          <w:rFonts w:ascii="Arial" w:hAnsi="Arial" w:cs="Arial"/>
          <w:color w:val="auto"/>
        </w:rPr>
        <w:t xml:space="preserve">The intervention is the provision of a CVD risk assessment by community pharmacy, supporting people identified as being at risk of CVD to engage in early intervention activities to prevent disease onset and progression. </w:t>
      </w:r>
      <w:r w:rsidRPr="00B014F9">
        <w:rPr>
          <w:rFonts w:ascii="Arial" w:hAnsi="Arial" w:cs="Arial"/>
          <w:color w:val="auto"/>
        </w:rPr>
        <w:t>Th</w:t>
      </w:r>
      <w:r>
        <w:rPr>
          <w:rFonts w:ascii="Arial" w:hAnsi="Arial" w:cs="Arial"/>
          <w:color w:val="auto"/>
        </w:rPr>
        <w:t>e</w:t>
      </w:r>
      <w:r w:rsidRPr="00B014F9">
        <w:rPr>
          <w:rFonts w:ascii="Arial" w:hAnsi="Arial" w:cs="Arial"/>
          <w:color w:val="auto"/>
        </w:rPr>
        <w:t xml:space="preserve"> trial compared the clinical and cost effectiveness of a Brief Intervention CVD Risk Assessment and a Comprehensive Intervention CVD Risk Assessment delivered in community pharmacy in a previously undiagnosed population.</w:t>
      </w:r>
    </w:p>
    <w:p w14:paraId="00B35D0C" w14:textId="5819320C" w:rsidR="003E37D2" w:rsidRPr="000F778E" w:rsidRDefault="003E37D2" w:rsidP="00411E48">
      <w:pPr>
        <w:spacing w:before="0" w:after="220" w:line="240" w:lineRule="auto"/>
        <w:rPr>
          <w:rFonts w:ascii="Arial" w:hAnsi="Arial" w:cs="Arial"/>
        </w:rPr>
      </w:pPr>
      <w:r>
        <w:rPr>
          <w:rFonts w:ascii="Arial" w:hAnsi="Arial" w:cs="Arial"/>
        </w:rPr>
        <w:t>Participating c</w:t>
      </w:r>
      <w:r w:rsidRPr="000F778E">
        <w:rPr>
          <w:rFonts w:ascii="Arial" w:hAnsi="Arial" w:cs="Arial"/>
        </w:rPr>
        <w:t>ommunity pharmacies were randomly allocated to either the Brief CVD Risk Assessment or the Comprehensive CVD Risk Assessment. Participants joining the trial underwent the risk assessment (Brief or Comprehensive) assigned to the pharmacy attended.</w:t>
      </w:r>
    </w:p>
    <w:p w14:paraId="7C053DAB" w14:textId="77777777" w:rsidR="003E37D2" w:rsidRPr="00650C4B" w:rsidRDefault="003E37D2" w:rsidP="00581479">
      <w:pPr>
        <w:pStyle w:val="ListParagraph"/>
        <w:numPr>
          <w:ilvl w:val="0"/>
          <w:numId w:val="26"/>
        </w:numPr>
        <w:autoSpaceDE w:val="0"/>
        <w:autoSpaceDN w:val="0"/>
        <w:adjustRightInd w:val="0"/>
        <w:spacing w:before="0" w:after="0" w:line="240" w:lineRule="auto"/>
        <w:rPr>
          <w:rFonts w:ascii="Arial" w:hAnsi="Arial" w:cs="Arial"/>
        </w:rPr>
      </w:pPr>
      <w:r w:rsidRPr="00650C4B">
        <w:rPr>
          <w:rFonts w:ascii="Arial" w:hAnsi="Arial" w:cs="Arial"/>
        </w:rPr>
        <w:t>Brief Risk Assessment: A combination of demographic information (age, gender, ethnicity, country of birth), subjective health measures (physical activity level, smoking status, nutrition, health history, lifestyle questions) and waist measurement; collected by AUSDRISK assessment tool and questionnaire.</w:t>
      </w:r>
    </w:p>
    <w:p w14:paraId="701BBEAF" w14:textId="77777777" w:rsidR="003E37D2" w:rsidRDefault="003E37D2" w:rsidP="00581479">
      <w:pPr>
        <w:autoSpaceDE w:val="0"/>
        <w:autoSpaceDN w:val="0"/>
        <w:adjustRightInd w:val="0"/>
        <w:spacing w:before="0" w:after="0" w:line="240" w:lineRule="auto"/>
        <w:rPr>
          <w:rFonts w:ascii="Arial" w:hAnsi="Arial" w:cs="Arial"/>
        </w:rPr>
      </w:pPr>
    </w:p>
    <w:p w14:paraId="736F24CD" w14:textId="77777777" w:rsidR="003E37D2" w:rsidRPr="00650C4B" w:rsidRDefault="003E37D2" w:rsidP="00581479">
      <w:pPr>
        <w:pStyle w:val="ListParagraph"/>
        <w:autoSpaceDE w:val="0"/>
        <w:autoSpaceDN w:val="0"/>
        <w:adjustRightInd w:val="0"/>
        <w:spacing w:before="0" w:after="0" w:line="240" w:lineRule="auto"/>
        <w:rPr>
          <w:rFonts w:ascii="Arial" w:hAnsi="Arial" w:cs="Arial"/>
        </w:rPr>
      </w:pPr>
      <w:r w:rsidRPr="00650C4B">
        <w:rPr>
          <w:rFonts w:ascii="Arial" w:hAnsi="Arial" w:cs="Arial"/>
        </w:rPr>
        <w:t>The Brief Risk Assessment included non-invasive Point of Care assessment of blood pressure; systolic and diastolic. Opportunistic assessment of risk of cerebrovascular disease will be undertaken through non-invasive Point of Care screening of irregular heartbeat using the available technology for blood pressure measurement. The Brief Assessment was estimated to take 15-20 minutes.</w:t>
      </w:r>
    </w:p>
    <w:p w14:paraId="09E3B59A" w14:textId="77777777" w:rsidR="003E37D2" w:rsidRDefault="003E37D2" w:rsidP="00581479">
      <w:pPr>
        <w:autoSpaceDE w:val="0"/>
        <w:autoSpaceDN w:val="0"/>
        <w:adjustRightInd w:val="0"/>
        <w:spacing w:before="0" w:after="0" w:line="240" w:lineRule="auto"/>
        <w:rPr>
          <w:rFonts w:ascii="Arial" w:hAnsi="Arial" w:cs="Arial"/>
        </w:rPr>
      </w:pPr>
    </w:p>
    <w:p w14:paraId="7FBA826C" w14:textId="77777777" w:rsidR="003E37D2" w:rsidRPr="00650C4B" w:rsidRDefault="003E37D2" w:rsidP="00581479">
      <w:pPr>
        <w:pStyle w:val="ListParagraph"/>
        <w:numPr>
          <w:ilvl w:val="0"/>
          <w:numId w:val="26"/>
        </w:numPr>
        <w:autoSpaceDE w:val="0"/>
        <w:autoSpaceDN w:val="0"/>
        <w:adjustRightInd w:val="0"/>
        <w:spacing w:before="0" w:after="0" w:line="240" w:lineRule="auto"/>
        <w:rPr>
          <w:rFonts w:ascii="Arial" w:hAnsi="Arial" w:cs="Arial"/>
        </w:rPr>
      </w:pPr>
      <w:r w:rsidRPr="00650C4B">
        <w:rPr>
          <w:rFonts w:ascii="Arial" w:hAnsi="Arial" w:cs="Arial"/>
        </w:rPr>
        <w:t>Comprehensive Risk Assessment: A combination of demographic information (age, gender), subjective health measures (smoking status, lifestyle questions); collected by questionnaire.</w:t>
      </w:r>
    </w:p>
    <w:p w14:paraId="312A7341" w14:textId="77777777" w:rsidR="003E37D2" w:rsidRDefault="003E37D2" w:rsidP="00581479">
      <w:pPr>
        <w:autoSpaceDE w:val="0"/>
        <w:autoSpaceDN w:val="0"/>
        <w:adjustRightInd w:val="0"/>
        <w:spacing w:before="0" w:after="0" w:line="240" w:lineRule="auto"/>
        <w:rPr>
          <w:rFonts w:ascii="Arial" w:hAnsi="Arial" w:cs="Arial"/>
        </w:rPr>
      </w:pPr>
    </w:p>
    <w:p w14:paraId="0896F53C" w14:textId="704AFAA8" w:rsidR="003E37D2" w:rsidRPr="00650C4B" w:rsidRDefault="003E37D2" w:rsidP="003D538D">
      <w:pPr>
        <w:pStyle w:val="ListParagraph"/>
        <w:autoSpaceDE w:val="0"/>
        <w:autoSpaceDN w:val="0"/>
        <w:adjustRightInd w:val="0"/>
        <w:spacing w:before="0" w:after="0" w:line="240" w:lineRule="auto"/>
        <w:rPr>
          <w:rFonts w:ascii="Arial" w:hAnsi="Arial" w:cs="Arial"/>
        </w:rPr>
      </w:pPr>
      <w:r w:rsidRPr="00650C4B">
        <w:rPr>
          <w:rFonts w:ascii="Arial" w:hAnsi="Arial" w:cs="Arial"/>
        </w:rPr>
        <w:t>The Comprehensive Risk Assessment included non-invasive Point of Care assessment of blood pressure; systolic and diastolic. Opportunistic assessment of risk of cerebrovascular</w:t>
      </w:r>
      <w:r w:rsidR="00105FFE">
        <w:rPr>
          <w:rFonts w:ascii="Arial" w:hAnsi="Arial" w:cs="Arial"/>
        </w:rPr>
        <w:t xml:space="preserve"> </w:t>
      </w:r>
      <w:r w:rsidRPr="00650C4B">
        <w:rPr>
          <w:rFonts w:ascii="Arial" w:hAnsi="Arial" w:cs="Arial"/>
        </w:rPr>
        <w:t>disease will be undertaken through non-invasive Point of Care screening of irregular heartbeat using the available technology for blood pressure measurement.</w:t>
      </w:r>
    </w:p>
    <w:p w14:paraId="224AA922" w14:textId="77777777" w:rsidR="003E37D2" w:rsidRDefault="003E37D2" w:rsidP="00411E48">
      <w:pPr>
        <w:autoSpaceDE w:val="0"/>
        <w:autoSpaceDN w:val="0"/>
        <w:adjustRightInd w:val="0"/>
        <w:spacing w:before="0" w:after="0" w:line="240" w:lineRule="auto"/>
        <w:rPr>
          <w:rFonts w:ascii="Arial" w:hAnsi="Arial" w:cs="Arial"/>
        </w:rPr>
      </w:pPr>
    </w:p>
    <w:p w14:paraId="3AC3BD2D" w14:textId="1E674F2A" w:rsidR="003E37D2" w:rsidRDefault="003E37D2" w:rsidP="00411E48">
      <w:pPr>
        <w:pStyle w:val="ListParagraph"/>
        <w:autoSpaceDE w:val="0"/>
        <w:autoSpaceDN w:val="0"/>
        <w:adjustRightInd w:val="0"/>
        <w:spacing w:before="0" w:after="0" w:line="240" w:lineRule="auto"/>
        <w:rPr>
          <w:rFonts w:ascii="Arial" w:hAnsi="Arial" w:cs="Arial"/>
        </w:rPr>
      </w:pPr>
      <w:r w:rsidRPr="00650C4B">
        <w:rPr>
          <w:rFonts w:ascii="Arial" w:hAnsi="Arial" w:cs="Arial"/>
        </w:rPr>
        <w:t>The Comprehensive Risk Assessment included biometric information; serum lipid levels, HbA1C levels measured using medical point of care devices involving finger-prick testing. Comprehensive intensity risk assessment was estimated to take 25-30 minutes.</w:t>
      </w:r>
    </w:p>
    <w:p w14:paraId="002360D5" w14:textId="7C54C4C3" w:rsidR="003E37D2" w:rsidRDefault="003E37D2" w:rsidP="00411E48">
      <w:pPr>
        <w:autoSpaceDE w:val="0"/>
        <w:autoSpaceDN w:val="0"/>
        <w:adjustRightInd w:val="0"/>
        <w:spacing w:before="160" w:line="240" w:lineRule="auto"/>
        <w:rPr>
          <w:rFonts w:ascii="Arial" w:hAnsi="Arial" w:cs="Arial"/>
        </w:rPr>
      </w:pPr>
      <w:r>
        <w:rPr>
          <w:rFonts w:ascii="Arial" w:hAnsi="Arial" w:cs="Arial"/>
        </w:rPr>
        <w:t xml:space="preserve">Collected measures were used to calculate participant risk level (low, </w:t>
      </w:r>
      <w:proofErr w:type="gramStart"/>
      <w:r>
        <w:rPr>
          <w:rFonts w:ascii="Arial" w:hAnsi="Arial" w:cs="Arial"/>
        </w:rPr>
        <w:t>medium</w:t>
      </w:r>
      <w:proofErr w:type="gramEnd"/>
      <w:r>
        <w:rPr>
          <w:rFonts w:ascii="Arial" w:hAnsi="Arial" w:cs="Arial"/>
        </w:rPr>
        <w:t xml:space="preserve"> or high) using screening algorithms based on risk predicted equations. All participants were offered appropriate patient education including printed resources and/or lifestyle advice.</w:t>
      </w:r>
    </w:p>
    <w:p w14:paraId="7471D53B" w14:textId="5B0D6A1E" w:rsidR="003E37D2" w:rsidRDefault="003E37D2" w:rsidP="00411E48">
      <w:pPr>
        <w:autoSpaceDE w:val="0"/>
        <w:autoSpaceDN w:val="0"/>
        <w:adjustRightInd w:val="0"/>
        <w:spacing w:before="160" w:line="240" w:lineRule="auto"/>
        <w:rPr>
          <w:rFonts w:ascii="Arial" w:hAnsi="Arial" w:cs="Arial"/>
        </w:rPr>
      </w:pPr>
      <w:r>
        <w:rPr>
          <w:rFonts w:ascii="Arial" w:hAnsi="Arial" w:cs="Arial"/>
        </w:rPr>
        <w:t>Participants assessed as being at medium or high risk were referred to their regular GP for further investigation (recommended consultation within 4 weeks or 7 days</w:t>
      </w:r>
      <w:r w:rsidR="001E27BC">
        <w:rPr>
          <w:rFonts w:ascii="Arial" w:hAnsi="Arial" w:cs="Arial"/>
        </w:rPr>
        <w:t>,</w:t>
      </w:r>
      <w:r>
        <w:rPr>
          <w:rFonts w:ascii="Arial" w:hAnsi="Arial" w:cs="Arial"/>
        </w:rPr>
        <w:t xml:space="preserve"> respectively) and to community-based lifestyle modification programs in the local area.</w:t>
      </w:r>
    </w:p>
    <w:p w14:paraId="13C1E9D4" w14:textId="2CACF5B7" w:rsidR="003E37D2" w:rsidRPr="00411E48" w:rsidRDefault="003E37D2" w:rsidP="00411E48">
      <w:pPr>
        <w:autoSpaceDE w:val="0"/>
        <w:autoSpaceDN w:val="0"/>
        <w:adjustRightInd w:val="0"/>
        <w:spacing w:before="160" w:line="240" w:lineRule="auto"/>
        <w:rPr>
          <w:rFonts w:ascii="Arial" w:hAnsi="Arial" w:cs="Arial"/>
        </w:rPr>
      </w:pPr>
      <w:r>
        <w:rPr>
          <w:rFonts w:ascii="Arial" w:hAnsi="Arial" w:cs="Arial"/>
        </w:rPr>
        <w:t>Participants were contacted 6 months and 12 months after baseline assessment to undertake a repeat assessment. This allowed sufficient time for any demonstrated measurable effects from the intervention to be observed.</w:t>
      </w:r>
    </w:p>
    <w:p w14:paraId="18285344" w14:textId="0A7A5BBC" w:rsidR="003E37D2" w:rsidRPr="00411E48" w:rsidRDefault="003E37D2" w:rsidP="00411E48">
      <w:pPr>
        <w:pStyle w:val="Instructionaltext"/>
        <w:spacing w:before="0" w:after="0" w:line="240" w:lineRule="auto"/>
        <w:rPr>
          <w:rFonts w:ascii="Arial" w:hAnsi="Arial" w:cs="Arial"/>
          <w:color w:val="auto"/>
          <w:shd w:val="clear" w:color="auto" w:fill="FFFFFF"/>
        </w:rPr>
      </w:pPr>
      <w:r>
        <w:rPr>
          <w:rFonts w:ascii="Arial" w:hAnsi="Arial" w:cs="Arial"/>
          <w:color w:val="auto"/>
          <w:shd w:val="clear" w:color="auto" w:fill="FFFFFF"/>
        </w:rPr>
        <w:t>Participant s</w:t>
      </w:r>
      <w:r w:rsidRPr="00F95B71">
        <w:rPr>
          <w:rFonts w:ascii="Arial" w:hAnsi="Arial" w:cs="Arial"/>
          <w:color w:val="auto"/>
          <w:shd w:val="clear" w:color="auto" w:fill="FFFFFF"/>
        </w:rPr>
        <w:t xml:space="preserve">creening </w:t>
      </w:r>
      <w:r>
        <w:rPr>
          <w:rFonts w:ascii="Arial" w:hAnsi="Arial" w:cs="Arial"/>
          <w:color w:val="auto"/>
          <w:shd w:val="clear" w:color="auto" w:fill="FFFFFF"/>
        </w:rPr>
        <w:t>was</w:t>
      </w:r>
      <w:r w:rsidRPr="00F95B71">
        <w:rPr>
          <w:rFonts w:ascii="Arial" w:hAnsi="Arial" w:cs="Arial"/>
          <w:color w:val="auto"/>
          <w:shd w:val="clear" w:color="auto" w:fill="FFFFFF"/>
        </w:rPr>
        <w:t xml:space="preserve"> opportunistic</w:t>
      </w:r>
      <w:r w:rsidR="00105FFE">
        <w:rPr>
          <w:rFonts w:ascii="Arial" w:hAnsi="Arial" w:cs="Arial"/>
          <w:color w:val="auto"/>
          <w:shd w:val="clear" w:color="auto" w:fill="FFFFFF"/>
        </w:rPr>
        <w:t>,</w:t>
      </w:r>
      <w:r w:rsidRPr="00F95B71">
        <w:rPr>
          <w:rFonts w:ascii="Arial" w:hAnsi="Arial" w:cs="Arial"/>
          <w:color w:val="auto"/>
          <w:shd w:val="clear" w:color="auto" w:fill="FFFFFF"/>
        </w:rPr>
        <w:t xml:space="preserve"> subjectively targeting pharmacy customers within the target age range, overweight or obese</w:t>
      </w:r>
      <w:r w:rsidR="001E27BC">
        <w:rPr>
          <w:rFonts w:ascii="Arial" w:hAnsi="Arial" w:cs="Arial"/>
          <w:color w:val="auto"/>
          <w:shd w:val="clear" w:color="auto" w:fill="FFFFFF"/>
        </w:rPr>
        <w:t>,</w:t>
      </w:r>
      <w:r w:rsidRPr="00F95B71">
        <w:rPr>
          <w:rFonts w:ascii="Arial" w:hAnsi="Arial" w:cs="Arial"/>
          <w:color w:val="auto"/>
          <w:shd w:val="clear" w:color="auto" w:fill="FFFFFF"/>
        </w:rPr>
        <w:t xml:space="preserve"> or present</w:t>
      </w:r>
      <w:r>
        <w:rPr>
          <w:rFonts w:ascii="Arial" w:hAnsi="Arial" w:cs="Arial"/>
          <w:color w:val="auto"/>
          <w:shd w:val="clear" w:color="auto" w:fill="FFFFFF"/>
        </w:rPr>
        <w:t>ing</w:t>
      </w:r>
      <w:r w:rsidRPr="00F95B71">
        <w:rPr>
          <w:rFonts w:ascii="Arial" w:hAnsi="Arial" w:cs="Arial"/>
          <w:color w:val="auto"/>
          <w:shd w:val="clear" w:color="auto" w:fill="FFFFFF"/>
        </w:rPr>
        <w:t xml:space="preserve"> as smokers.</w:t>
      </w:r>
    </w:p>
    <w:p w14:paraId="04407D76" w14:textId="11266EEE" w:rsidR="003E37D2" w:rsidRPr="00F95B71" w:rsidRDefault="003E37D2" w:rsidP="00411E48">
      <w:pPr>
        <w:pStyle w:val="Instructionaltext"/>
        <w:spacing w:before="160" w:line="240" w:lineRule="auto"/>
        <w:rPr>
          <w:rFonts w:ascii="Arial" w:hAnsi="Arial" w:cs="Arial"/>
          <w:color w:val="auto"/>
        </w:rPr>
      </w:pPr>
      <w:r w:rsidRPr="00F95B71">
        <w:rPr>
          <w:rFonts w:ascii="Arial" w:hAnsi="Arial" w:cs="Arial"/>
          <w:color w:val="auto"/>
        </w:rPr>
        <w:lastRenderedPageBreak/>
        <w:t>The target population is those members of the community aged between 45 and 74 years (35 and 74 years for Aboriginal and Torres Strait Islander populations), undiagnosed with cardiovascular disease and engaged with community pharmacy.</w:t>
      </w:r>
    </w:p>
    <w:p w14:paraId="183BB090" w14:textId="729BA2F8" w:rsidR="00F709DC" w:rsidRPr="00A14753" w:rsidRDefault="00D70FA5" w:rsidP="0008506F">
      <w:pPr>
        <w:pStyle w:val="Caption"/>
      </w:pPr>
      <w:bookmarkStart w:id="9" w:name="_Toc137535727"/>
      <w:r w:rsidRPr="006C4D3A">
        <w:t xml:space="preserve">Table </w:t>
      </w:r>
      <w:fldSimple w:instr=" SEQ Table \* ARABIC ">
        <w:r w:rsidR="00013620">
          <w:rPr>
            <w:noProof/>
          </w:rPr>
          <w:t>1</w:t>
        </w:r>
      </w:fldSimple>
      <w:r w:rsidR="004C2720" w:rsidRPr="006C4D3A">
        <w:t>:</w:t>
      </w:r>
      <w:r w:rsidR="005606F4" w:rsidRPr="006C4D3A">
        <w:t xml:space="preserve"> </w:t>
      </w:r>
      <w:r w:rsidR="00BC3E79" w:rsidRPr="006C4D3A">
        <w:t>Summary PICO Table</w:t>
      </w:r>
      <w:bookmarkEnd w:id="9"/>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Table Summary"/>
        <w:tblDescription w:val="Space for a response to the PICO table requirements"/>
      </w:tblPr>
      <w:tblGrid>
        <w:gridCol w:w="1817"/>
        <w:gridCol w:w="7223"/>
      </w:tblGrid>
      <w:tr w:rsidR="00F709DC" w:rsidRPr="00F95B71" w14:paraId="3614395D" w14:textId="77777777" w:rsidTr="00A92B85">
        <w:trPr>
          <w:trHeight w:val="424"/>
          <w:tblHeader/>
        </w:trPr>
        <w:tc>
          <w:tcPr>
            <w:tcW w:w="1005" w:type="pct"/>
            <w:tcBorders>
              <w:top w:val="single" w:sz="4" w:space="0" w:color="auto"/>
              <w:left w:val="single" w:sz="4" w:space="0" w:color="auto"/>
              <w:bottom w:val="single" w:sz="8" w:space="0" w:color="auto"/>
              <w:right w:val="single" w:sz="4" w:space="0" w:color="auto"/>
            </w:tcBorders>
            <w:shd w:val="clear" w:color="auto" w:fill="D9D9D9"/>
          </w:tcPr>
          <w:p w14:paraId="6DC08246" w14:textId="77777777" w:rsidR="00F709DC" w:rsidRPr="00F95B71" w:rsidRDefault="00F709DC" w:rsidP="00581479">
            <w:pPr>
              <w:spacing w:before="0" w:after="0" w:line="240" w:lineRule="auto"/>
              <w:rPr>
                <w:rFonts w:ascii="Arial" w:hAnsi="Arial" w:cs="Arial"/>
                <w:b/>
              </w:rPr>
            </w:pPr>
            <w:r w:rsidRPr="00F95B71">
              <w:rPr>
                <w:rFonts w:ascii="Arial" w:hAnsi="Arial" w:cs="Arial"/>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0D52A1C2" w14:textId="77777777" w:rsidR="00F709DC" w:rsidRPr="00F95B71" w:rsidRDefault="00F709DC" w:rsidP="006C4D3A">
            <w:pPr>
              <w:spacing w:before="0" w:after="0" w:line="240" w:lineRule="auto"/>
              <w:rPr>
                <w:rFonts w:ascii="Arial" w:hAnsi="Arial" w:cs="Arial"/>
                <w:b/>
              </w:rPr>
            </w:pPr>
            <w:r w:rsidRPr="00F95B71">
              <w:rPr>
                <w:rFonts w:ascii="Arial" w:hAnsi="Arial" w:cs="Arial"/>
                <w:b/>
              </w:rPr>
              <w:t>Description</w:t>
            </w:r>
          </w:p>
        </w:tc>
      </w:tr>
      <w:tr w:rsidR="00F709DC" w:rsidRPr="00F95B71" w14:paraId="55E374AB" w14:textId="77777777" w:rsidTr="00A92B85">
        <w:tc>
          <w:tcPr>
            <w:tcW w:w="1005" w:type="pct"/>
            <w:tcBorders>
              <w:top w:val="single" w:sz="8" w:space="0" w:color="auto"/>
              <w:left w:val="single" w:sz="4" w:space="0" w:color="auto"/>
              <w:right w:val="single" w:sz="4" w:space="0" w:color="auto"/>
            </w:tcBorders>
          </w:tcPr>
          <w:p w14:paraId="40E96CDE" w14:textId="601ED6C1" w:rsidR="00F709DC" w:rsidRPr="00F95B71" w:rsidRDefault="00BC3E79" w:rsidP="00581479">
            <w:pPr>
              <w:spacing w:before="0" w:after="0" w:line="240" w:lineRule="auto"/>
              <w:rPr>
                <w:rFonts w:ascii="Arial" w:hAnsi="Arial" w:cs="Arial"/>
              </w:rPr>
            </w:pPr>
            <w:r w:rsidRPr="00F95B71">
              <w:rPr>
                <w:rFonts w:ascii="Arial" w:hAnsi="Arial" w:cs="Arial"/>
              </w:rPr>
              <w:t>Proposed Population</w:t>
            </w:r>
          </w:p>
        </w:tc>
        <w:tc>
          <w:tcPr>
            <w:tcW w:w="3995" w:type="pct"/>
            <w:tcBorders>
              <w:top w:val="single" w:sz="4" w:space="0" w:color="auto"/>
              <w:left w:val="single" w:sz="4" w:space="0" w:color="auto"/>
              <w:bottom w:val="single" w:sz="4" w:space="0" w:color="auto"/>
              <w:right w:val="single" w:sz="4" w:space="0" w:color="auto"/>
            </w:tcBorders>
          </w:tcPr>
          <w:p w14:paraId="7F697AAF" w14:textId="5AA4C8CD" w:rsidR="00D77275" w:rsidRPr="00F95B71" w:rsidRDefault="00D77275" w:rsidP="00581479">
            <w:pPr>
              <w:spacing w:before="0" w:after="0" w:line="240" w:lineRule="auto"/>
              <w:textAlignment w:val="baseline"/>
              <w:rPr>
                <w:rFonts w:ascii="Arial" w:hAnsi="Arial" w:cs="Arial"/>
                <w:color w:val="000000" w:themeColor="text1"/>
              </w:rPr>
            </w:pPr>
            <w:r w:rsidRPr="00F95B71">
              <w:rPr>
                <w:rFonts w:ascii="Arial" w:hAnsi="Arial" w:cs="Arial"/>
                <w:color w:val="000000" w:themeColor="text1"/>
              </w:rPr>
              <w:t xml:space="preserve">Adults aged 45 to 74 years (35 to 74 years for Aboriginal and Torres Strait Islander people) without known history of CVD who engage with community </w:t>
            </w:r>
            <w:r w:rsidR="007B6D23" w:rsidRPr="00F95B71">
              <w:rPr>
                <w:rFonts w:ascii="Arial" w:hAnsi="Arial" w:cs="Arial"/>
                <w:color w:val="000000" w:themeColor="text1"/>
              </w:rPr>
              <w:t>pharmacy.</w:t>
            </w:r>
          </w:p>
          <w:p w14:paraId="31D5106A" w14:textId="270202D5" w:rsidR="00082427" w:rsidRPr="00F95B71" w:rsidRDefault="00082427" w:rsidP="00581479">
            <w:pPr>
              <w:spacing w:before="0" w:after="0" w:line="240" w:lineRule="auto"/>
              <w:textAlignment w:val="baseline"/>
              <w:rPr>
                <w:rFonts w:ascii="Arial" w:hAnsi="Arial" w:cs="Arial"/>
              </w:rPr>
            </w:pPr>
          </w:p>
        </w:tc>
      </w:tr>
      <w:tr w:rsidR="00D77275" w:rsidRPr="00F95B71" w14:paraId="30F148B7" w14:textId="77777777" w:rsidTr="00A92B85">
        <w:tc>
          <w:tcPr>
            <w:tcW w:w="1005" w:type="pct"/>
            <w:tcBorders>
              <w:left w:val="single" w:sz="4" w:space="0" w:color="auto"/>
              <w:right w:val="single" w:sz="4" w:space="0" w:color="auto"/>
            </w:tcBorders>
          </w:tcPr>
          <w:p w14:paraId="2DA7D9C2" w14:textId="03878A35" w:rsidR="00D77275" w:rsidRPr="00F95B71" w:rsidRDefault="00D77275" w:rsidP="00581479">
            <w:pPr>
              <w:spacing w:before="0" w:after="0" w:line="240" w:lineRule="auto"/>
              <w:rPr>
                <w:rFonts w:ascii="Arial" w:hAnsi="Arial" w:cs="Arial"/>
              </w:rPr>
            </w:pPr>
            <w:r w:rsidRPr="00F95B71">
              <w:rPr>
                <w:rFonts w:ascii="Arial" w:hAnsi="Arial" w:cs="Arial"/>
              </w:rPr>
              <w:t>Proposed Technology</w:t>
            </w:r>
          </w:p>
        </w:tc>
        <w:tc>
          <w:tcPr>
            <w:tcW w:w="3995" w:type="pct"/>
            <w:tcBorders>
              <w:top w:val="single" w:sz="4" w:space="0" w:color="auto"/>
              <w:left w:val="single" w:sz="4" w:space="0" w:color="auto"/>
              <w:bottom w:val="single" w:sz="4" w:space="0" w:color="auto"/>
              <w:right w:val="single" w:sz="4" w:space="0" w:color="auto"/>
            </w:tcBorders>
          </w:tcPr>
          <w:p w14:paraId="0BF2C0AD" w14:textId="77777777" w:rsidR="00D77275" w:rsidRPr="00F95B71" w:rsidRDefault="00D77275" w:rsidP="00581479">
            <w:pPr>
              <w:spacing w:before="0" w:after="0" w:line="240" w:lineRule="auto"/>
              <w:rPr>
                <w:rFonts w:ascii="Arial" w:hAnsi="Arial" w:cs="Arial"/>
              </w:rPr>
            </w:pPr>
            <w:r w:rsidRPr="00F95B71">
              <w:rPr>
                <w:rFonts w:ascii="Arial" w:hAnsi="Arial" w:cs="Arial"/>
              </w:rPr>
              <w:t>Integrated health check delivered by pharmacists within community pharmacy to:</w:t>
            </w:r>
          </w:p>
          <w:p w14:paraId="7AD65169" w14:textId="2299214C" w:rsidR="00D77275" w:rsidRPr="00F95B71" w:rsidRDefault="00D77275" w:rsidP="00581479">
            <w:pPr>
              <w:pStyle w:val="ListParagraph"/>
              <w:numPr>
                <w:ilvl w:val="0"/>
                <w:numId w:val="11"/>
              </w:numPr>
              <w:spacing w:before="0" w:after="0" w:line="240" w:lineRule="auto"/>
              <w:rPr>
                <w:rFonts w:ascii="Arial" w:hAnsi="Arial" w:cs="Arial"/>
              </w:rPr>
            </w:pPr>
            <w:r w:rsidRPr="00F95B71">
              <w:rPr>
                <w:rFonts w:ascii="Arial" w:hAnsi="Arial" w:cs="Arial"/>
              </w:rPr>
              <w:t xml:space="preserve">assess the risk of </w:t>
            </w:r>
            <w:r w:rsidR="007B6D23" w:rsidRPr="00F95B71">
              <w:rPr>
                <w:rFonts w:ascii="Arial" w:hAnsi="Arial" w:cs="Arial"/>
              </w:rPr>
              <w:t>CVD</w:t>
            </w:r>
          </w:p>
          <w:p w14:paraId="0AFE1B90" w14:textId="45608347" w:rsidR="00D77275" w:rsidRPr="00F95B71" w:rsidRDefault="00D77275" w:rsidP="00581479">
            <w:pPr>
              <w:pStyle w:val="ListParagraph"/>
              <w:numPr>
                <w:ilvl w:val="0"/>
                <w:numId w:val="11"/>
              </w:numPr>
              <w:spacing w:before="0" w:after="0" w:line="240" w:lineRule="auto"/>
              <w:rPr>
                <w:rFonts w:ascii="Arial" w:hAnsi="Arial" w:cs="Arial"/>
              </w:rPr>
            </w:pPr>
            <w:r w:rsidRPr="00F95B71">
              <w:rPr>
                <w:rFonts w:ascii="Arial" w:hAnsi="Arial" w:cs="Arial"/>
              </w:rPr>
              <w:t xml:space="preserve">screen for clinical markers using point of care testing device for indicative presence of </w:t>
            </w:r>
            <w:r w:rsidR="007B6D23" w:rsidRPr="00F95B71">
              <w:rPr>
                <w:rFonts w:ascii="Arial" w:hAnsi="Arial" w:cs="Arial"/>
              </w:rPr>
              <w:t>CVD</w:t>
            </w:r>
          </w:p>
          <w:p w14:paraId="517424E0" w14:textId="5F9B4197" w:rsidR="00D77275" w:rsidRPr="00F95B71" w:rsidRDefault="00D77275" w:rsidP="00581479">
            <w:pPr>
              <w:pStyle w:val="ListParagraph"/>
              <w:numPr>
                <w:ilvl w:val="0"/>
                <w:numId w:val="11"/>
              </w:numPr>
              <w:spacing w:before="0" w:after="0" w:line="240" w:lineRule="auto"/>
              <w:rPr>
                <w:rFonts w:ascii="Arial" w:hAnsi="Arial" w:cs="Arial"/>
              </w:rPr>
            </w:pPr>
            <w:r w:rsidRPr="00F95B71">
              <w:rPr>
                <w:rFonts w:ascii="Arial" w:hAnsi="Arial" w:cs="Arial"/>
                <w:color w:val="000000" w:themeColor="text1"/>
              </w:rPr>
              <w:t xml:space="preserve">deliver key health promotion </w:t>
            </w:r>
            <w:r w:rsidR="007B6D23" w:rsidRPr="00F95B71">
              <w:rPr>
                <w:rFonts w:ascii="Arial" w:hAnsi="Arial" w:cs="Arial"/>
                <w:color w:val="000000" w:themeColor="text1"/>
              </w:rPr>
              <w:t>messages</w:t>
            </w:r>
          </w:p>
          <w:p w14:paraId="6FB77CBD" w14:textId="62302508" w:rsidR="00D77275" w:rsidRPr="00F95B71" w:rsidRDefault="00D77275" w:rsidP="00581479">
            <w:pPr>
              <w:pStyle w:val="ListParagraph"/>
              <w:numPr>
                <w:ilvl w:val="0"/>
                <w:numId w:val="11"/>
              </w:numPr>
              <w:spacing w:before="0" w:after="0" w:line="240" w:lineRule="auto"/>
              <w:rPr>
                <w:rFonts w:ascii="Arial" w:eastAsia="Arial Unicode MS" w:hAnsi="Arial" w:cs="Arial"/>
                <w:color w:val="000000" w:themeColor="text1"/>
                <w:lang w:eastAsia="en-AU"/>
              </w:rPr>
            </w:pPr>
            <w:r w:rsidRPr="00F95B71">
              <w:rPr>
                <w:rFonts w:ascii="Arial" w:eastAsia="Arial Unicode MS" w:hAnsi="Arial" w:cs="Arial"/>
                <w:color w:val="000000" w:themeColor="text1"/>
                <w:lang w:eastAsia="en-AU"/>
              </w:rPr>
              <w:t>provide referral to local risk reduction and care management services and providers (</w:t>
            </w:r>
            <w:proofErr w:type="gramStart"/>
            <w:r w:rsidR="007E30A9" w:rsidRPr="00F95B71">
              <w:rPr>
                <w:rFonts w:ascii="Arial" w:eastAsia="Arial Unicode MS" w:hAnsi="Arial" w:cs="Arial"/>
                <w:color w:val="000000" w:themeColor="text1"/>
                <w:lang w:eastAsia="en-AU"/>
              </w:rPr>
              <w:t>i.e.</w:t>
            </w:r>
            <w:r w:rsidR="005606F4" w:rsidRPr="00F95B71">
              <w:rPr>
                <w:rFonts w:ascii="Arial" w:eastAsia="Arial Unicode MS" w:hAnsi="Arial" w:cs="Arial"/>
                <w:color w:val="000000" w:themeColor="text1"/>
                <w:lang w:eastAsia="en-AU"/>
              </w:rPr>
              <w:t>;</w:t>
            </w:r>
            <w:proofErr w:type="gramEnd"/>
            <w:r w:rsidRPr="00F95B71">
              <w:rPr>
                <w:rFonts w:ascii="Arial" w:eastAsia="Arial Unicode MS" w:hAnsi="Arial" w:cs="Arial"/>
                <w:color w:val="000000" w:themeColor="text1"/>
                <w:lang w:eastAsia="en-AU"/>
              </w:rPr>
              <w:t xml:space="preserve"> G</w:t>
            </w:r>
            <w:r w:rsidR="005606F4" w:rsidRPr="00F95B71">
              <w:rPr>
                <w:rFonts w:ascii="Arial" w:eastAsia="Arial Unicode MS" w:hAnsi="Arial" w:cs="Arial"/>
                <w:color w:val="000000" w:themeColor="text1"/>
                <w:lang w:eastAsia="en-AU"/>
              </w:rPr>
              <w:t xml:space="preserve">eneral </w:t>
            </w:r>
            <w:r w:rsidRPr="00F95B71">
              <w:rPr>
                <w:rFonts w:ascii="Arial" w:eastAsia="Arial Unicode MS" w:hAnsi="Arial" w:cs="Arial"/>
                <w:color w:val="000000" w:themeColor="text1"/>
                <w:lang w:eastAsia="en-AU"/>
              </w:rPr>
              <w:t>P</w:t>
            </w:r>
            <w:r w:rsidR="005606F4" w:rsidRPr="00F95B71">
              <w:rPr>
                <w:rFonts w:ascii="Arial" w:eastAsia="Arial Unicode MS" w:hAnsi="Arial" w:cs="Arial"/>
                <w:color w:val="000000" w:themeColor="text1"/>
                <w:lang w:eastAsia="en-AU"/>
              </w:rPr>
              <w:t>ractice</w:t>
            </w:r>
            <w:r w:rsidRPr="00F95B71">
              <w:rPr>
                <w:rFonts w:ascii="Arial" w:eastAsia="Arial Unicode MS" w:hAnsi="Arial" w:cs="Arial"/>
                <w:color w:val="000000" w:themeColor="text1"/>
                <w:lang w:eastAsia="en-AU"/>
              </w:rPr>
              <w:t xml:space="preserve">, lifestyle </w:t>
            </w:r>
            <w:r w:rsidR="005606F4" w:rsidRPr="00F95B71">
              <w:rPr>
                <w:rFonts w:ascii="Arial" w:eastAsia="Arial Unicode MS" w:hAnsi="Arial" w:cs="Arial"/>
                <w:color w:val="000000" w:themeColor="text1"/>
                <w:lang w:eastAsia="en-AU"/>
              </w:rPr>
              <w:t>modification</w:t>
            </w:r>
            <w:r w:rsidRPr="00F95B71">
              <w:rPr>
                <w:rFonts w:ascii="Arial" w:eastAsia="Arial Unicode MS" w:hAnsi="Arial" w:cs="Arial"/>
                <w:color w:val="000000" w:themeColor="text1"/>
                <w:lang w:eastAsia="en-AU"/>
              </w:rPr>
              <w:t xml:space="preserve"> programs)</w:t>
            </w:r>
          </w:p>
          <w:p w14:paraId="2F2EC967" w14:textId="36A7BB6B" w:rsidR="00D77275" w:rsidRPr="00F95B71" w:rsidRDefault="00D77275" w:rsidP="00581479">
            <w:pPr>
              <w:pStyle w:val="ListParagraph"/>
              <w:spacing w:before="0" w:after="0" w:line="240" w:lineRule="auto"/>
              <w:rPr>
                <w:rFonts w:ascii="Arial" w:eastAsia="Arial Unicode MS" w:hAnsi="Arial" w:cs="Arial"/>
                <w:color w:val="000000" w:themeColor="text1"/>
                <w:lang w:eastAsia="en-AU"/>
              </w:rPr>
            </w:pPr>
          </w:p>
        </w:tc>
      </w:tr>
      <w:tr w:rsidR="00D77275" w:rsidRPr="00F95B71" w14:paraId="43A06467" w14:textId="77777777" w:rsidTr="00A92B85">
        <w:tc>
          <w:tcPr>
            <w:tcW w:w="1005" w:type="pct"/>
            <w:tcBorders>
              <w:left w:val="single" w:sz="4" w:space="0" w:color="auto"/>
              <w:right w:val="single" w:sz="4" w:space="0" w:color="auto"/>
            </w:tcBorders>
          </w:tcPr>
          <w:p w14:paraId="337F5538" w14:textId="373F9F10" w:rsidR="00D77275" w:rsidRPr="00F95B71" w:rsidRDefault="00D77275" w:rsidP="00581479">
            <w:pPr>
              <w:spacing w:before="0" w:after="0" w:line="240" w:lineRule="auto"/>
              <w:rPr>
                <w:rFonts w:ascii="Arial" w:hAnsi="Arial" w:cs="Arial"/>
              </w:rPr>
            </w:pPr>
            <w:r w:rsidRPr="00F95B71">
              <w:rPr>
                <w:rFonts w:ascii="Arial" w:hAnsi="Arial" w:cs="Arial"/>
              </w:rPr>
              <w:t>Main Comparator</w:t>
            </w:r>
          </w:p>
        </w:tc>
        <w:tc>
          <w:tcPr>
            <w:tcW w:w="3995" w:type="pct"/>
            <w:tcBorders>
              <w:top w:val="single" w:sz="4" w:space="0" w:color="auto"/>
              <w:left w:val="single" w:sz="4" w:space="0" w:color="auto"/>
              <w:bottom w:val="single" w:sz="4" w:space="0" w:color="auto"/>
              <w:right w:val="single" w:sz="4" w:space="0" w:color="auto"/>
            </w:tcBorders>
          </w:tcPr>
          <w:p w14:paraId="4BC863BD" w14:textId="6C098250" w:rsidR="00D77275" w:rsidRPr="00F95B71" w:rsidRDefault="00D77275" w:rsidP="00581479">
            <w:pPr>
              <w:spacing w:before="0" w:after="0" w:line="240" w:lineRule="auto"/>
              <w:rPr>
                <w:rFonts w:ascii="Arial" w:hAnsi="Arial" w:cs="Arial"/>
              </w:rPr>
            </w:pPr>
            <w:r w:rsidRPr="00F95B71">
              <w:rPr>
                <w:rFonts w:ascii="Arial" w:hAnsi="Arial" w:cs="Arial"/>
              </w:rPr>
              <w:t xml:space="preserve">In the absence of </w:t>
            </w:r>
            <w:r w:rsidR="005606F4" w:rsidRPr="00F95B71">
              <w:rPr>
                <w:rFonts w:ascii="Arial" w:hAnsi="Arial" w:cs="Arial"/>
              </w:rPr>
              <w:t xml:space="preserve">an </w:t>
            </w:r>
            <w:proofErr w:type="spellStart"/>
            <w:r w:rsidR="005606F4" w:rsidRPr="00F95B71">
              <w:rPr>
                <w:rFonts w:ascii="Arial" w:hAnsi="Arial" w:cs="Arial"/>
              </w:rPr>
              <w:t>exisiting</w:t>
            </w:r>
            <w:proofErr w:type="spellEnd"/>
            <w:r w:rsidR="005606F4" w:rsidRPr="00F95B71">
              <w:rPr>
                <w:rFonts w:ascii="Arial" w:hAnsi="Arial" w:cs="Arial"/>
              </w:rPr>
              <w:t xml:space="preserve"> c</w:t>
            </w:r>
            <w:r w:rsidRPr="00F95B71">
              <w:rPr>
                <w:rFonts w:ascii="Arial" w:hAnsi="Arial" w:cs="Arial"/>
              </w:rPr>
              <w:t xml:space="preserve">ommunity screening program, </w:t>
            </w:r>
            <w:r w:rsidR="005606F4" w:rsidRPr="00F95B71">
              <w:rPr>
                <w:rFonts w:ascii="Arial" w:hAnsi="Arial" w:cs="Arial"/>
              </w:rPr>
              <w:t xml:space="preserve">the </w:t>
            </w:r>
            <w:r w:rsidRPr="00F95B71">
              <w:rPr>
                <w:rFonts w:ascii="Arial" w:hAnsi="Arial" w:cs="Arial"/>
              </w:rPr>
              <w:t xml:space="preserve">comparator is usual care by </w:t>
            </w:r>
            <w:r w:rsidR="005606F4" w:rsidRPr="00F95B71">
              <w:rPr>
                <w:rFonts w:ascii="Arial" w:hAnsi="Arial" w:cs="Arial"/>
              </w:rPr>
              <w:t xml:space="preserve">a </w:t>
            </w:r>
            <w:r w:rsidRPr="00F95B71">
              <w:rPr>
                <w:rFonts w:ascii="Arial" w:hAnsi="Arial" w:cs="Arial"/>
              </w:rPr>
              <w:t>G</w:t>
            </w:r>
            <w:r w:rsidR="005606F4" w:rsidRPr="00F95B71">
              <w:rPr>
                <w:rFonts w:ascii="Arial" w:hAnsi="Arial" w:cs="Arial"/>
              </w:rPr>
              <w:t xml:space="preserve">eneral </w:t>
            </w:r>
            <w:r w:rsidRPr="00F95B71">
              <w:rPr>
                <w:rFonts w:ascii="Arial" w:hAnsi="Arial" w:cs="Arial"/>
              </w:rPr>
              <w:t>P</w:t>
            </w:r>
            <w:r w:rsidR="005606F4" w:rsidRPr="00F95B71">
              <w:rPr>
                <w:rFonts w:ascii="Arial" w:hAnsi="Arial" w:cs="Arial"/>
              </w:rPr>
              <w:t>ractitioner</w:t>
            </w:r>
            <w:r w:rsidRPr="00F95B71">
              <w:rPr>
                <w:rFonts w:ascii="Arial" w:hAnsi="Arial" w:cs="Arial"/>
              </w:rPr>
              <w:t xml:space="preserve"> in primary clinical practice.</w:t>
            </w:r>
          </w:p>
          <w:p w14:paraId="61A738ED" w14:textId="77777777" w:rsidR="00D77275" w:rsidRPr="00F95B71" w:rsidRDefault="00D77275" w:rsidP="00581479">
            <w:pPr>
              <w:pStyle w:val="TableText"/>
              <w:spacing w:before="0" w:after="0"/>
              <w:rPr>
                <w:rFonts w:ascii="Arial" w:hAnsi="Arial" w:cs="Arial"/>
                <w:sz w:val="22"/>
              </w:rPr>
            </w:pPr>
            <w:r w:rsidRPr="00F95B71">
              <w:rPr>
                <w:rFonts w:ascii="Arial" w:hAnsi="Arial" w:cs="Arial"/>
                <w:sz w:val="22"/>
              </w:rPr>
              <w:t>Screening activities in General Practice are supported by MBS health assessment items, administered on the clinical judgement of the practitioner.</w:t>
            </w:r>
          </w:p>
          <w:p w14:paraId="2F46A122" w14:textId="6D3956EB" w:rsidR="00D77275" w:rsidRPr="00F95B71" w:rsidRDefault="00D77275" w:rsidP="00581479">
            <w:pPr>
              <w:spacing w:before="0" w:after="0" w:line="240" w:lineRule="auto"/>
              <w:rPr>
                <w:rFonts w:ascii="Arial" w:hAnsi="Arial" w:cs="Arial"/>
              </w:rPr>
            </w:pPr>
          </w:p>
        </w:tc>
      </w:tr>
    </w:tbl>
    <w:p w14:paraId="79413156" w14:textId="77777777" w:rsidR="00B07414" w:rsidRPr="00234BDF" w:rsidRDefault="00B07414" w:rsidP="0008506F">
      <w:pPr>
        <w:pStyle w:val="Instructionaltext-bullet"/>
        <w:numPr>
          <w:ilvl w:val="0"/>
          <w:numId w:val="0"/>
        </w:numPr>
        <w:spacing w:before="240" w:line="240" w:lineRule="auto"/>
        <w:rPr>
          <w:rFonts w:ascii="Arial" w:hAnsi="Arial" w:cs="Arial"/>
          <w:b/>
          <w:bCs/>
          <w:color w:val="auto"/>
        </w:rPr>
      </w:pPr>
      <w:r w:rsidRPr="00234BDF">
        <w:rPr>
          <w:rFonts w:ascii="Arial" w:hAnsi="Arial" w:cs="Arial"/>
          <w:b/>
          <w:bCs/>
          <w:color w:val="auto"/>
        </w:rPr>
        <w:t>Proposal for Funding</w:t>
      </w:r>
    </w:p>
    <w:p w14:paraId="2C215ECA" w14:textId="4CEB1876" w:rsidR="00B07414" w:rsidRPr="00234BDF" w:rsidRDefault="00B07414" w:rsidP="00411E48">
      <w:pPr>
        <w:spacing w:before="160" w:line="240" w:lineRule="auto"/>
        <w:rPr>
          <w:rFonts w:ascii="Arial" w:hAnsi="Arial" w:cs="Arial"/>
        </w:rPr>
      </w:pPr>
      <w:r w:rsidRPr="00234BDF">
        <w:rPr>
          <w:rFonts w:ascii="Arial" w:hAnsi="Arial" w:cs="Arial"/>
        </w:rPr>
        <w:t xml:space="preserve">The funding arrangement proposed for the </w:t>
      </w:r>
      <w:r w:rsidR="00FE5239">
        <w:rPr>
          <w:rFonts w:ascii="Arial" w:hAnsi="Arial" w:cs="Arial"/>
        </w:rPr>
        <w:t>“</w:t>
      </w:r>
      <w:r w:rsidRPr="00234BDF">
        <w:rPr>
          <w:rFonts w:ascii="Arial" w:hAnsi="Arial" w:cs="Arial"/>
        </w:rPr>
        <w:t>early detection and management of cardiovascular disease risk factors and chronic disease markers in community pharmacy” is direct financial funding (grant funding) to community pharmacy.</w:t>
      </w:r>
    </w:p>
    <w:p w14:paraId="173E43F3" w14:textId="22CC2F4B" w:rsidR="00B07414" w:rsidRPr="00234BDF" w:rsidRDefault="00B07414" w:rsidP="00411E48">
      <w:pPr>
        <w:pStyle w:val="Instructionaltext-bullet"/>
        <w:numPr>
          <w:ilvl w:val="0"/>
          <w:numId w:val="0"/>
        </w:numPr>
        <w:spacing w:before="160" w:after="160" w:line="240" w:lineRule="auto"/>
        <w:rPr>
          <w:rFonts w:ascii="Arial" w:hAnsi="Arial" w:cs="Arial"/>
          <w:color w:val="auto"/>
        </w:rPr>
      </w:pPr>
      <w:r w:rsidRPr="00234BDF">
        <w:rPr>
          <w:rFonts w:ascii="Arial" w:hAnsi="Arial" w:cs="Arial"/>
          <w:color w:val="auto"/>
        </w:rPr>
        <w:t xml:space="preserve">It is proposed each screening intervention is funded at a level of the equivalent cost of Medicare Benefits Schedule Item 699; </w:t>
      </w:r>
      <w:r w:rsidRPr="00234BDF">
        <w:rPr>
          <w:rFonts w:ascii="Arial" w:hAnsi="Arial" w:cs="Arial"/>
          <w:color w:val="auto"/>
          <w:shd w:val="clear" w:color="auto" w:fill="FFFFFF"/>
        </w:rPr>
        <w:t>Category Health Assessment – Fee $76.95.</w:t>
      </w:r>
      <w:r w:rsidRPr="00234BDF">
        <w:rPr>
          <w:rFonts w:ascii="Arial" w:hAnsi="Arial" w:cs="Arial"/>
          <w:color w:val="auto"/>
        </w:rPr>
        <w:t xml:space="preserve"> The provision of CVD Risk Assessment requirements of pharmacy </w:t>
      </w:r>
      <w:r w:rsidR="007B6D23" w:rsidRPr="00234BDF">
        <w:rPr>
          <w:rFonts w:ascii="Arial" w:hAnsi="Arial" w:cs="Arial"/>
          <w:color w:val="auto"/>
        </w:rPr>
        <w:t>aligns</w:t>
      </w:r>
      <w:r w:rsidRPr="00234BDF">
        <w:rPr>
          <w:rFonts w:ascii="Arial" w:hAnsi="Arial" w:cs="Arial"/>
          <w:color w:val="auto"/>
        </w:rPr>
        <w:t xml:space="preserve"> with the clinical activity required of the hearth health check consultation and time taken by General Practice to complete the consultation (at least 20 minutes).</w:t>
      </w:r>
    </w:p>
    <w:p w14:paraId="4AC18F94" w14:textId="58EFF20D" w:rsidR="00123B26" w:rsidRDefault="00123B26">
      <w:pPr>
        <w:spacing w:before="0"/>
        <w:rPr>
          <w:rFonts w:ascii="Arial" w:hAnsi="Arial" w:cs="Arial"/>
        </w:rPr>
      </w:pPr>
      <w:r>
        <w:rPr>
          <w:rFonts w:ascii="Arial" w:hAnsi="Arial" w:cs="Arial"/>
        </w:rPr>
        <w:br w:type="page"/>
      </w:r>
    </w:p>
    <w:p w14:paraId="7EADF37C" w14:textId="77777777" w:rsidR="00B07414" w:rsidRPr="00147FCF" w:rsidRDefault="00B07414" w:rsidP="00411E48">
      <w:pPr>
        <w:spacing w:before="160" w:line="240" w:lineRule="auto"/>
        <w:rPr>
          <w:rFonts w:ascii="Arial" w:hAnsi="Arial" w:cs="Arial"/>
          <w:b/>
          <w:bCs/>
        </w:rPr>
      </w:pPr>
      <w:r w:rsidRPr="00147FCF">
        <w:rPr>
          <w:rFonts w:ascii="Arial" w:hAnsi="Arial" w:cs="Arial"/>
          <w:b/>
          <w:bCs/>
        </w:rPr>
        <w:lastRenderedPageBreak/>
        <w:t>Comparator to the intervention</w:t>
      </w:r>
    </w:p>
    <w:p w14:paraId="52F67409" w14:textId="725D1D2D" w:rsidR="00B07414" w:rsidRDefault="00B07414" w:rsidP="00411E48">
      <w:pPr>
        <w:spacing w:before="160" w:line="240" w:lineRule="auto"/>
        <w:rPr>
          <w:rFonts w:ascii="Arial" w:hAnsi="Arial" w:cs="Arial"/>
        </w:rPr>
      </w:pPr>
      <w:r w:rsidRPr="00F95B71">
        <w:rPr>
          <w:rFonts w:ascii="Arial" w:hAnsi="Arial" w:cs="Arial"/>
        </w:rPr>
        <w:t>In the absence of an exi</w:t>
      </w:r>
      <w:r w:rsidR="00411E48">
        <w:rPr>
          <w:rFonts w:ascii="Arial" w:hAnsi="Arial" w:cs="Arial"/>
        </w:rPr>
        <w:t>s</w:t>
      </w:r>
      <w:r w:rsidRPr="00F95B71">
        <w:rPr>
          <w:rFonts w:ascii="Arial" w:hAnsi="Arial" w:cs="Arial"/>
        </w:rPr>
        <w:t>ting community screening program, the comparator is usual care by a General Practitioner in primary clinical practice.</w:t>
      </w:r>
    </w:p>
    <w:p w14:paraId="53CE554F" w14:textId="77777777" w:rsidR="00B07414" w:rsidRPr="00147FCF" w:rsidRDefault="00B07414" w:rsidP="00411E48">
      <w:pPr>
        <w:spacing w:before="160" w:line="240" w:lineRule="auto"/>
        <w:rPr>
          <w:rFonts w:ascii="Arial" w:hAnsi="Arial" w:cs="Arial"/>
          <w:b/>
          <w:bCs/>
        </w:rPr>
      </w:pPr>
      <w:r w:rsidRPr="00147FCF">
        <w:rPr>
          <w:rFonts w:ascii="Arial" w:hAnsi="Arial" w:cs="Arial"/>
          <w:b/>
          <w:bCs/>
        </w:rPr>
        <w:t>Comparative safety</w:t>
      </w:r>
    </w:p>
    <w:p w14:paraId="2C70B07C" w14:textId="62EE7DCD" w:rsidR="00B07414" w:rsidRDefault="00B07414" w:rsidP="00411E48">
      <w:pPr>
        <w:spacing w:before="160" w:line="240" w:lineRule="auto"/>
        <w:rPr>
          <w:rFonts w:ascii="Arial" w:hAnsi="Arial" w:cs="Arial"/>
        </w:rPr>
      </w:pPr>
      <w:r w:rsidRPr="000F778E">
        <w:rPr>
          <w:rFonts w:ascii="Arial" w:hAnsi="Arial" w:cs="Arial"/>
        </w:rPr>
        <w:t>The use of CVD risk assessment by community pharmacy in a previously undiagnosed population results in noninferior safety compared with a previously undiagnosed population engaged with General Practice.</w:t>
      </w:r>
    </w:p>
    <w:p w14:paraId="7A2F4A47" w14:textId="77777777" w:rsidR="00B07414" w:rsidRPr="00147FCF" w:rsidRDefault="00B07414" w:rsidP="00411E48">
      <w:pPr>
        <w:spacing w:before="160" w:line="240" w:lineRule="auto"/>
        <w:rPr>
          <w:rFonts w:ascii="Arial" w:hAnsi="Arial" w:cs="Arial"/>
          <w:b/>
          <w:bCs/>
        </w:rPr>
      </w:pPr>
      <w:r w:rsidRPr="00147FCF">
        <w:rPr>
          <w:rFonts w:ascii="Arial" w:hAnsi="Arial" w:cs="Arial"/>
          <w:b/>
          <w:bCs/>
        </w:rPr>
        <w:t>Comparative effectiveness</w:t>
      </w:r>
    </w:p>
    <w:p w14:paraId="02CCE440" w14:textId="019C4422" w:rsidR="00B07414" w:rsidRPr="000F778E" w:rsidRDefault="00B07414" w:rsidP="00411E48">
      <w:pPr>
        <w:spacing w:before="160" w:line="240" w:lineRule="auto"/>
        <w:rPr>
          <w:rFonts w:ascii="Arial" w:hAnsi="Arial" w:cs="Arial"/>
        </w:rPr>
      </w:pPr>
      <w:r w:rsidRPr="000F778E">
        <w:rPr>
          <w:rFonts w:ascii="Arial" w:hAnsi="Arial" w:cs="Arial"/>
        </w:rPr>
        <w:t xml:space="preserve">As expected, (due to non-modifiable factors included in the AUSDRISK screening tool used in the Brief CVD Risk Assessment) a greater proportion of participants were assessed as being at medium or high risk in the Brief CVD Risk Assessment arm than the Comprehensive CVD Risk Assessment arm. This was consistent at each assessment point; Baseline, 6 </w:t>
      </w:r>
      <w:proofErr w:type="gramStart"/>
      <w:r w:rsidRPr="000F778E">
        <w:rPr>
          <w:rFonts w:ascii="Arial" w:hAnsi="Arial" w:cs="Arial"/>
        </w:rPr>
        <w:t>month</w:t>
      </w:r>
      <w:r w:rsidR="00A85BF7">
        <w:rPr>
          <w:rFonts w:ascii="Arial" w:hAnsi="Arial" w:cs="Arial"/>
        </w:rPr>
        <w:t>s</w:t>
      </w:r>
      <w:proofErr w:type="gramEnd"/>
      <w:r w:rsidRPr="000F778E">
        <w:rPr>
          <w:rFonts w:ascii="Arial" w:hAnsi="Arial" w:cs="Arial"/>
        </w:rPr>
        <w:t xml:space="preserve"> and 12 month</w:t>
      </w:r>
      <w:r w:rsidR="00A85BF7">
        <w:rPr>
          <w:rFonts w:ascii="Arial" w:hAnsi="Arial" w:cs="Arial"/>
        </w:rPr>
        <w:t>s</w:t>
      </w:r>
      <w:r w:rsidRPr="000F778E">
        <w:rPr>
          <w:rFonts w:ascii="Arial" w:hAnsi="Arial" w:cs="Arial"/>
        </w:rPr>
        <w:t>.</w:t>
      </w:r>
    </w:p>
    <w:p w14:paraId="558D4170" w14:textId="227BC75F" w:rsidR="00B07414" w:rsidRDefault="00B07414" w:rsidP="00411E48">
      <w:pPr>
        <w:spacing w:before="160" w:line="240" w:lineRule="auto"/>
        <w:rPr>
          <w:rFonts w:ascii="Arial" w:hAnsi="Arial" w:cs="Arial"/>
        </w:rPr>
      </w:pPr>
      <w:r w:rsidRPr="000F778E">
        <w:rPr>
          <w:rFonts w:ascii="Arial" w:hAnsi="Arial" w:cs="Arial"/>
        </w:rPr>
        <w:t>The use of CVD risk assessment by community pharmacy in a previously undiagnosed population results in noninferior effectiveness compared with a previously undiagnosed population engaged with General Practice</w:t>
      </w:r>
      <w:r>
        <w:rPr>
          <w:rFonts w:ascii="Arial" w:hAnsi="Arial" w:cs="Arial"/>
        </w:rPr>
        <w:t>.</w:t>
      </w:r>
    </w:p>
    <w:p w14:paraId="4B9EFA29" w14:textId="77777777" w:rsidR="00EE7D49" w:rsidRPr="00336385" w:rsidRDefault="00EE7D49" w:rsidP="00411E48">
      <w:pPr>
        <w:spacing w:before="160" w:line="240" w:lineRule="auto"/>
        <w:rPr>
          <w:rFonts w:ascii="Arial" w:hAnsi="Arial" w:cs="Arial"/>
          <w:b/>
          <w:bCs/>
        </w:rPr>
      </w:pPr>
      <w:r w:rsidRPr="00336385">
        <w:rPr>
          <w:rFonts w:ascii="Arial" w:hAnsi="Arial" w:cs="Arial"/>
          <w:b/>
          <w:bCs/>
        </w:rPr>
        <w:t>Consumer Impact Statement</w:t>
      </w:r>
    </w:p>
    <w:p w14:paraId="62B46036" w14:textId="23B644D8" w:rsidR="00EE7D49" w:rsidRDefault="00EE7D49" w:rsidP="00411E48">
      <w:pPr>
        <w:spacing w:before="160" w:line="240" w:lineRule="auto"/>
        <w:rPr>
          <w:rFonts w:ascii="Arial" w:hAnsi="Arial" w:cs="Arial"/>
        </w:rPr>
      </w:pPr>
      <w:r w:rsidRPr="00336385">
        <w:rPr>
          <w:rFonts w:ascii="Arial" w:hAnsi="Arial" w:cs="Arial"/>
        </w:rPr>
        <w:t xml:space="preserve">Feedback from trial participants supports community pharmacy as an acceptable location for undertaking CVD risk assessment. Participants noted the convenience and ease in engaging with community pharmacy for the intervention, confidence in community pharmacy performing the intervention and providing health information. At all points of </w:t>
      </w:r>
      <w:r w:rsidR="007B6D23" w:rsidRPr="00336385">
        <w:rPr>
          <w:rFonts w:ascii="Arial" w:hAnsi="Arial" w:cs="Arial"/>
        </w:rPr>
        <w:t>assessment,</w:t>
      </w:r>
      <w:r w:rsidRPr="00336385">
        <w:rPr>
          <w:rFonts w:ascii="Arial" w:hAnsi="Arial" w:cs="Arial"/>
        </w:rPr>
        <w:t xml:space="preserve"> no less than 99% of participants found it appropriate to have a CVD Risk Assessment undertaken in community pharmacy.</w:t>
      </w:r>
    </w:p>
    <w:p w14:paraId="27143C66" w14:textId="77777777" w:rsidR="00B07414" w:rsidRPr="00A6212E" w:rsidRDefault="00B07414" w:rsidP="00411E48">
      <w:pPr>
        <w:spacing w:before="160" w:line="240" w:lineRule="auto"/>
        <w:rPr>
          <w:rFonts w:ascii="Arial" w:hAnsi="Arial" w:cs="Arial"/>
          <w:b/>
          <w:bCs/>
        </w:rPr>
      </w:pPr>
      <w:r>
        <w:rPr>
          <w:rFonts w:ascii="Arial" w:hAnsi="Arial" w:cs="Arial"/>
          <w:b/>
          <w:bCs/>
        </w:rPr>
        <w:t>Outcomes</w:t>
      </w:r>
    </w:p>
    <w:p w14:paraId="4E5DED18" w14:textId="68ED7D0B" w:rsidR="00B07414" w:rsidRDefault="00B07414" w:rsidP="00581479">
      <w:pPr>
        <w:autoSpaceDE w:val="0"/>
        <w:autoSpaceDN w:val="0"/>
        <w:adjustRightInd w:val="0"/>
        <w:spacing w:before="0" w:after="0" w:line="240" w:lineRule="auto"/>
        <w:rPr>
          <w:rFonts w:ascii="Arial" w:hAnsi="Arial" w:cs="Arial"/>
        </w:rPr>
      </w:pPr>
      <w:r>
        <w:rPr>
          <w:rFonts w:ascii="Arial" w:hAnsi="Arial" w:cs="Arial"/>
        </w:rPr>
        <w:t>The expected clinical outcome</w:t>
      </w:r>
      <w:r w:rsidR="00E26E68">
        <w:rPr>
          <w:rFonts w:ascii="Arial" w:hAnsi="Arial" w:cs="Arial"/>
        </w:rPr>
        <w:t>s</w:t>
      </w:r>
      <w:r>
        <w:rPr>
          <w:rFonts w:ascii="Arial" w:hAnsi="Arial" w:cs="Arial"/>
        </w:rPr>
        <w:t xml:space="preserve"> of the grant activity were that pharmacy-led integrated health checks to detect risk, aid diagnosis and enable early interventions:</w:t>
      </w:r>
    </w:p>
    <w:p w14:paraId="045D9BF9" w14:textId="61039986" w:rsidR="00B07414" w:rsidRPr="00F76975" w:rsidRDefault="00B07414" w:rsidP="00581479">
      <w:pPr>
        <w:pStyle w:val="ListParagraph"/>
        <w:numPr>
          <w:ilvl w:val="0"/>
          <w:numId w:val="28"/>
        </w:numPr>
        <w:autoSpaceDE w:val="0"/>
        <w:autoSpaceDN w:val="0"/>
        <w:adjustRightInd w:val="0"/>
        <w:spacing w:before="0" w:after="0" w:line="240" w:lineRule="auto"/>
        <w:rPr>
          <w:rFonts w:ascii="Arial" w:hAnsi="Arial" w:cs="Arial"/>
        </w:rPr>
      </w:pPr>
      <w:r w:rsidRPr="00F76975">
        <w:rPr>
          <w:rFonts w:ascii="Arial" w:hAnsi="Arial" w:cs="Arial"/>
        </w:rPr>
        <w:t xml:space="preserve">reduce, </w:t>
      </w:r>
      <w:proofErr w:type="gramStart"/>
      <w:r w:rsidRPr="00F76975">
        <w:rPr>
          <w:rFonts w:ascii="Arial" w:hAnsi="Arial" w:cs="Arial"/>
        </w:rPr>
        <w:t>delay</w:t>
      </w:r>
      <w:proofErr w:type="gramEnd"/>
      <w:r w:rsidRPr="00F76975">
        <w:rPr>
          <w:rFonts w:ascii="Arial" w:hAnsi="Arial" w:cs="Arial"/>
        </w:rPr>
        <w:t xml:space="preserve"> or prevent CVD and its complications in patients; and</w:t>
      </w:r>
    </w:p>
    <w:p w14:paraId="143D4936" w14:textId="77463CE2" w:rsidR="00B07414" w:rsidRPr="00411E48" w:rsidRDefault="00B07414" w:rsidP="00411E48">
      <w:pPr>
        <w:pStyle w:val="ListParagraph"/>
        <w:numPr>
          <w:ilvl w:val="0"/>
          <w:numId w:val="28"/>
        </w:numPr>
        <w:autoSpaceDE w:val="0"/>
        <w:autoSpaceDN w:val="0"/>
        <w:adjustRightInd w:val="0"/>
        <w:spacing w:before="0" w:after="0" w:line="240" w:lineRule="auto"/>
        <w:rPr>
          <w:rFonts w:ascii="Arial" w:hAnsi="Arial" w:cs="Arial"/>
        </w:rPr>
      </w:pPr>
      <w:r w:rsidRPr="00F76975">
        <w:rPr>
          <w:rFonts w:ascii="Arial" w:hAnsi="Arial" w:cs="Arial"/>
        </w:rPr>
        <w:t xml:space="preserve">improve </w:t>
      </w:r>
      <w:r w:rsidR="00EC58FC">
        <w:rPr>
          <w:rFonts w:ascii="Arial" w:hAnsi="Arial" w:cs="Arial"/>
        </w:rPr>
        <w:t>patients'</w:t>
      </w:r>
      <w:r w:rsidRPr="00F76975">
        <w:rPr>
          <w:rFonts w:ascii="Arial" w:hAnsi="Arial" w:cs="Arial"/>
        </w:rPr>
        <w:t xml:space="preserve"> quality of health care outcomes.</w:t>
      </w:r>
    </w:p>
    <w:p w14:paraId="0E2E49CD" w14:textId="77777777" w:rsidR="00B07414" w:rsidRPr="00F76975" w:rsidRDefault="00B07414" w:rsidP="00411E48">
      <w:pPr>
        <w:autoSpaceDE w:val="0"/>
        <w:autoSpaceDN w:val="0"/>
        <w:adjustRightInd w:val="0"/>
        <w:spacing w:before="160" w:after="0" w:line="240" w:lineRule="auto"/>
        <w:rPr>
          <w:rFonts w:ascii="Arial" w:hAnsi="Arial" w:cs="Arial"/>
        </w:rPr>
      </w:pPr>
      <w:r>
        <w:rPr>
          <w:rFonts w:ascii="Arial" w:hAnsi="Arial" w:cs="Arial"/>
          <w:shd w:val="clear" w:color="auto" w:fill="FFFFFF"/>
        </w:rPr>
        <w:t>The trial sought to answer the following questions:</w:t>
      </w:r>
    </w:p>
    <w:p w14:paraId="20D20542" w14:textId="77777777" w:rsidR="00B07414" w:rsidRPr="00E92374" w:rsidRDefault="00B07414" w:rsidP="00581479">
      <w:pPr>
        <w:pStyle w:val="ListParagraph"/>
        <w:numPr>
          <w:ilvl w:val="0"/>
          <w:numId w:val="27"/>
        </w:numPr>
        <w:autoSpaceDE w:val="0"/>
        <w:autoSpaceDN w:val="0"/>
        <w:adjustRightInd w:val="0"/>
        <w:spacing w:before="0" w:after="0" w:line="240" w:lineRule="auto"/>
        <w:rPr>
          <w:rFonts w:ascii="Arial" w:hAnsi="Arial" w:cs="Arial"/>
        </w:rPr>
      </w:pPr>
      <w:r w:rsidRPr="00E92374">
        <w:rPr>
          <w:rFonts w:ascii="Arial" w:hAnsi="Arial" w:cs="Arial"/>
        </w:rPr>
        <w:t>In the community pharmacy setting, is low intensity risk assessment for CVD non-inferior in identification of at-risk individuals than comprehensive risk assessment?</w:t>
      </w:r>
    </w:p>
    <w:p w14:paraId="342068E7" w14:textId="77777777" w:rsidR="00B07414" w:rsidRPr="00E92374" w:rsidRDefault="00B07414" w:rsidP="00581479">
      <w:pPr>
        <w:pStyle w:val="ListParagraph"/>
        <w:numPr>
          <w:ilvl w:val="0"/>
          <w:numId w:val="27"/>
        </w:numPr>
        <w:autoSpaceDE w:val="0"/>
        <w:autoSpaceDN w:val="0"/>
        <w:adjustRightInd w:val="0"/>
        <w:spacing w:before="0" w:after="0" w:line="240" w:lineRule="auto"/>
        <w:rPr>
          <w:rFonts w:ascii="Arial" w:hAnsi="Arial" w:cs="Arial"/>
        </w:rPr>
      </w:pPr>
      <w:r w:rsidRPr="00E92374">
        <w:rPr>
          <w:rFonts w:ascii="Arial" w:hAnsi="Arial" w:cs="Arial"/>
        </w:rPr>
        <w:t xml:space="preserve">In the community pharmacy setting, is a total CVD risk assessment a greater motivator, for </w:t>
      </w:r>
      <w:r w:rsidRPr="00E92374">
        <w:rPr>
          <w:rFonts w:ascii="Arial" w:eastAsia="ArialMT" w:hAnsi="Arial" w:cs="Arial"/>
        </w:rPr>
        <w:t xml:space="preserve">populations who don’t </w:t>
      </w:r>
      <w:r w:rsidRPr="00E92374">
        <w:rPr>
          <w:rFonts w:ascii="Arial" w:hAnsi="Arial" w:cs="Arial"/>
        </w:rPr>
        <w:t>regularly seek medical advice, to seek health care and maintain improved health than a low intensity risk assessment?</w:t>
      </w:r>
    </w:p>
    <w:p w14:paraId="5A653B09" w14:textId="77777777" w:rsidR="00B07414" w:rsidRPr="00E92374" w:rsidRDefault="00B07414" w:rsidP="00581479">
      <w:pPr>
        <w:pStyle w:val="ListParagraph"/>
        <w:numPr>
          <w:ilvl w:val="0"/>
          <w:numId w:val="27"/>
        </w:numPr>
        <w:autoSpaceDE w:val="0"/>
        <w:autoSpaceDN w:val="0"/>
        <w:adjustRightInd w:val="0"/>
        <w:spacing w:before="0" w:after="0" w:line="240" w:lineRule="auto"/>
        <w:rPr>
          <w:rFonts w:ascii="Arial" w:hAnsi="Arial" w:cs="Arial"/>
          <w:shd w:val="clear" w:color="auto" w:fill="FFFFFF"/>
        </w:rPr>
      </w:pPr>
      <w:r w:rsidRPr="00E92374">
        <w:rPr>
          <w:rFonts w:ascii="Arial" w:hAnsi="Arial" w:cs="Arial"/>
        </w:rPr>
        <w:t>Is community pharmacy-based CVD risk assessment acceptable to patients, pharmacists, and medical practitioners?</w:t>
      </w:r>
    </w:p>
    <w:p w14:paraId="47CFC715" w14:textId="12C0ABF5" w:rsidR="00B07414" w:rsidRPr="00411E48" w:rsidRDefault="00B07414" w:rsidP="00411E48">
      <w:pPr>
        <w:pStyle w:val="ListParagraph"/>
        <w:numPr>
          <w:ilvl w:val="0"/>
          <w:numId w:val="27"/>
        </w:numPr>
        <w:autoSpaceDE w:val="0"/>
        <w:autoSpaceDN w:val="0"/>
        <w:adjustRightInd w:val="0"/>
        <w:spacing w:before="0" w:after="0" w:line="240" w:lineRule="auto"/>
        <w:rPr>
          <w:rFonts w:ascii="Arial" w:hAnsi="Arial" w:cs="Arial"/>
        </w:rPr>
      </w:pPr>
      <w:r w:rsidRPr="00E92374">
        <w:rPr>
          <w:rFonts w:ascii="Arial" w:hAnsi="Arial" w:cs="Arial"/>
        </w:rPr>
        <w:t>Does early intervention in CVD risk factor identification by community pharmacy offer a cost-effective opportunity to reduce burden of disease?</w:t>
      </w:r>
    </w:p>
    <w:p w14:paraId="11552994" w14:textId="049189B5" w:rsidR="00B07414" w:rsidRPr="00411E48" w:rsidRDefault="00B07414" w:rsidP="00411E48">
      <w:pPr>
        <w:autoSpaceDE w:val="0"/>
        <w:autoSpaceDN w:val="0"/>
        <w:adjustRightInd w:val="0"/>
        <w:spacing w:before="160" w:line="240" w:lineRule="auto"/>
        <w:rPr>
          <w:rFonts w:ascii="Arial" w:hAnsi="Arial" w:cs="Arial"/>
          <w:u w:val="single"/>
        </w:rPr>
      </w:pPr>
      <w:r w:rsidRPr="00064DDE">
        <w:rPr>
          <w:rFonts w:ascii="Arial" w:hAnsi="Arial" w:cs="Arial"/>
          <w:u w:val="single"/>
        </w:rPr>
        <w:t>Question 1: In the community pharmacy setting, is low intensity risk assessment for CVD non-inferior in identification of at-risk individuals than comprehensive risk assessment?</w:t>
      </w:r>
    </w:p>
    <w:p w14:paraId="37CB38DE" w14:textId="5E5CA4F7" w:rsidR="00B07414" w:rsidRDefault="00B07414" w:rsidP="00411E48">
      <w:pPr>
        <w:pStyle w:val="Instructionaltext"/>
        <w:spacing w:before="160" w:line="240" w:lineRule="auto"/>
        <w:rPr>
          <w:rFonts w:ascii="Arial" w:hAnsi="Arial" w:cs="Arial"/>
          <w:color w:val="auto"/>
        </w:rPr>
      </w:pPr>
      <w:r w:rsidRPr="00816F4D">
        <w:rPr>
          <w:rFonts w:ascii="Arial" w:hAnsi="Arial" w:cs="Arial"/>
          <w:color w:val="auto"/>
        </w:rPr>
        <w:t>Due to non-modifiable factors</w:t>
      </w:r>
      <w:r>
        <w:rPr>
          <w:rFonts w:ascii="Arial" w:hAnsi="Arial" w:cs="Arial"/>
          <w:color w:val="auto"/>
        </w:rPr>
        <w:t xml:space="preserve"> (such as gender and age) </w:t>
      </w:r>
      <w:r w:rsidRPr="00816F4D">
        <w:rPr>
          <w:rFonts w:ascii="Arial" w:hAnsi="Arial" w:cs="Arial"/>
          <w:color w:val="auto"/>
        </w:rPr>
        <w:t xml:space="preserve">included in the AUSDRISK </w:t>
      </w:r>
      <w:r>
        <w:rPr>
          <w:rFonts w:ascii="Arial" w:hAnsi="Arial" w:cs="Arial"/>
          <w:color w:val="auto"/>
        </w:rPr>
        <w:t>T</w:t>
      </w:r>
      <w:r w:rsidRPr="00816F4D">
        <w:rPr>
          <w:rFonts w:ascii="Arial" w:hAnsi="Arial" w:cs="Arial"/>
          <w:color w:val="auto"/>
        </w:rPr>
        <w:t>ool used in the Brief CVD Risk Assessment</w:t>
      </w:r>
      <w:r w:rsidR="00105FFE">
        <w:rPr>
          <w:rFonts w:ascii="Arial" w:hAnsi="Arial" w:cs="Arial"/>
          <w:color w:val="auto"/>
        </w:rPr>
        <w:t>,</w:t>
      </w:r>
      <w:r w:rsidRPr="00816F4D">
        <w:rPr>
          <w:rFonts w:ascii="Arial" w:hAnsi="Arial" w:cs="Arial"/>
          <w:color w:val="auto"/>
        </w:rPr>
        <w:t xml:space="preserve"> a </w:t>
      </w:r>
      <w:r>
        <w:rPr>
          <w:rFonts w:ascii="Arial" w:hAnsi="Arial" w:cs="Arial"/>
          <w:color w:val="auto"/>
        </w:rPr>
        <w:t xml:space="preserve">considerably </w:t>
      </w:r>
      <w:r w:rsidRPr="00816F4D">
        <w:rPr>
          <w:rFonts w:ascii="Arial" w:hAnsi="Arial" w:cs="Arial"/>
          <w:color w:val="auto"/>
        </w:rPr>
        <w:t>greater proportion of participants were assessed as being at medium or high risk in the Brief CVD Risk Assessment arm than the Comprehensive CVD Risk Assessment arm.</w:t>
      </w:r>
      <w:r>
        <w:rPr>
          <w:rFonts w:ascii="Arial" w:hAnsi="Arial" w:cs="Arial"/>
          <w:color w:val="auto"/>
        </w:rPr>
        <w:t xml:space="preserve"> Refer Table 5.</w:t>
      </w:r>
    </w:p>
    <w:p w14:paraId="0A5166E8" w14:textId="24A646B3" w:rsidR="00B07414" w:rsidRDefault="00B07414" w:rsidP="00581479">
      <w:pPr>
        <w:pStyle w:val="Instructionaltext"/>
        <w:numPr>
          <w:ilvl w:val="0"/>
          <w:numId w:val="29"/>
        </w:numPr>
        <w:spacing w:before="0" w:after="0" w:line="240" w:lineRule="auto"/>
        <w:rPr>
          <w:rFonts w:ascii="Arial" w:hAnsi="Arial" w:cs="Arial"/>
          <w:color w:val="auto"/>
        </w:rPr>
      </w:pPr>
      <w:r>
        <w:rPr>
          <w:rFonts w:ascii="Arial" w:hAnsi="Arial" w:cs="Arial"/>
          <w:color w:val="auto"/>
        </w:rPr>
        <w:lastRenderedPageBreak/>
        <w:t>At baseline assessment</w:t>
      </w:r>
      <w:r w:rsidR="00105FFE">
        <w:rPr>
          <w:rFonts w:ascii="Arial" w:hAnsi="Arial" w:cs="Arial"/>
          <w:color w:val="auto"/>
        </w:rPr>
        <w:t>,</w:t>
      </w:r>
      <w:r>
        <w:rPr>
          <w:rFonts w:ascii="Arial" w:hAnsi="Arial" w:cs="Arial"/>
          <w:color w:val="auto"/>
        </w:rPr>
        <w:t xml:space="preserve"> 46% of participants in the Brief Intervention arm were assessed as being at high risk compared to 3% of participants in the Comprehensive Intervention Arm.</w:t>
      </w:r>
    </w:p>
    <w:p w14:paraId="6FE585FB" w14:textId="74318006" w:rsidR="00B07414" w:rsidRDefault="00B07414" w:rsidP="00581479">
      <w:pPr>
        <w:pStyle w:val="Instructionaltext"/>
        <w:numPr>
          <w:ilvl w:val="0"/>
          <w:numId w:val="29"/>
        </w:numPr>
        <w:spacing w:before="0" w:after="0" w:line="240" w:lineRule="auto"/>
        <w:rPr>
          <w:rFonts w:ascii="Arial" w:hAnsi="Arial" w:cs="Arial"/>
          <w:color w:val="auto"/>
        </w:rPr>
      </w:pPr>
      <w:r>
        <w:rPr>
          <w:rFonts w:ascii="Arial" w:hAnsi="Arial" w:cs="Arial"/>
          <w:color w:val="auto"/>
        </w:rPr>
        <w:t>At baseline assessment</w:t>
      </w:r>
      <w:r w:rsidR="00105FFE">
        <w:rPr>
          <w:rFonts w:ascii="Arial" w:hAnsi="Arial" w:cs="Arial"/>
          <w:color w:val="auto"/>
        </w:rPr>
        <w:t>,</w:t>
      </w:r>
      <w:r>
        <w:rPr>
          <w:rFonts w:ascii="Arial" w:hAnsi="Arial" w:cs="Arial"/>
          <w:color w:val="auto"/>
        </w:rPr>
        <w:t xml:space="preserve"> 4</w:t>
      </w:r>
      <w:r w:rsidR="008B6783">
        <w:rPr>
          <w:rFonts w:ascii="Arial" w:hAnsi="Arial" w:cs="Arial"/>
          <w:color w:val="auto"/>
        </w:rPr>
        <w:t>2</w:t>
      </w:r>
      <w:r>
        <w:rPr>
          <w:rFonts w:ascii="Arial" w:hAnsi="Arial" w:cs="Arial"/>
          <w:color w:val="auto"/>
        </w:rPr>
        <w:t>% of participants in the Brief Intervention arm were assessed as being at medium risk compared to 5% of participants in the Comprehensive Intervention Arm.</w:t>
      </w:r>
    </w:p>
    <w:p w14:paraId="055C09F2" w14:textId="5C46085B" w:rsidR="00B07414" w:rsidRPr="00411E48" w:rsidRDefault="00B07414" w:rsidP="00411E48">
      <w:pPr>
        <w:pStyle w:val="Instructionaltext"/>
        <w:numPr>
          <w:ilvl w:val="0"/>
          <w:numId w:val="29"/>
        </w:numPr>
        <w:spacing w:before="0" w:after="0" w:line="240" w:lineRule="auto"/>
        <w:rPr>
          <w:rFonts w:ascii="Arial" w:hAnsi="Arial" w:cs="Arial"/>
          <w:color w:val="auto"/>
        </w:rPr>
      </w:pPr>
      <w:r>
        <w:rPr>
          <w:rFonts w:ascii="Arial" w:hAnsi="Arial" w:cs="Arial"/>
          <w:color w:val="auto"/>
        </w:rPr>
        <w:t>At baseline assessment</w:t>
      </w:r>
      <w:r w:rsidR="00105FFE">
        <w:rPr>
          <w:rFonts w:ascii="Arial" w:hAnsi="Arial" w:cs="Arial"/>
          <w:color w:val="auto"/>
        </w:rPr>
        <w:t>,</w:t>
      </w:r>
      <w:r>
        <w:rPr>
          <w:rFonts w:ascii="Arial" w:hAnsi="Arial" w:cs="Arial"/>
          <w:color w:val="auto"/>
        </w:rPr>
        <w:t xml:space="preserve"> 12% of participants in the Brief Intervention arm were assessed as being at low risk compared to 92% of participants in the Comprehensive Intervention Arm.</w:t>
      </w:r>
    </w:p>
    <w:p w14:paraId="1EF08015" w14:textId="05BB802D" w:rsidR="00B07414" w:rsidRDefault="00B07414" w:rsidP="00411E48">
      <w:pPr>
        <w:spacing w:before="160" w:line="240" w:lineRule="auto"/>
        <w:rPr>
          <w:rFonts w:ascii="Arial" w:hAnsi="Arial" w:cs="Arial"/>
        </w:rPr>
      </w:pPr>
      <w:r>
        <w:rPr>
          <w:rFonts w:ascii="Arial" w:hAnsi="Arial" w:cs="Arial"/>
        </w:rPr>
        <w:t xml:space="preserve">These outcomes </w:t>
      </w:r>
      <w:r w:rsidR="00105FFE">
        <w:rPr>
          <w:rFonts w:ascii="Arial" w:hAnsi="Arial" w:cs="Arial"/>
        </w:rPr>
        <w:t>suggest</w:t>
      </w:r>
      <w:r>
        <w:rPr>
          <w:rFonts w:ascii="Arial" w:hAnsi="Arial" w:cs="Arial"/>
        </w:rPr>
        <w:t xml:space="preserve"> the Brief Risk Assessment is inferior to the Comprehensive Risk Assessment.</w:t>
      </w:r>
    </w:p>
    <w:p w14:paraId="5E9A10AD" w14:textId="0530EE28" w:rsidR="001022B4" w:rsidRPr="00411E48" w:rsidRDefault="00B07414" w:rsidP="00411E48">
      <w:pPr>
        <w:autoSpaceDE w:val="0"/>
        <w:autoSpaceDN w:val="0"/>
        <w:adjustRightInd w:val="0"/>
        <w:spacing w:before="160" w:line="240" w:lineRule="auto"/>
        <w:rPr>
          <w:rFonts w:ascii="Arial" w:hAnsi="Arial" w:cs="Arial"/>
          <w:u w:val="single"/>
        </w:rPr>
      </w:pPr>
      <w:r w:rsidRPr="00064DDE">
        <w:rPr>
          <w:rFonts w:ascii="Arial" w:hAnsi="Arial" w:cs="Arial"/>
          <w:u w:val="single"/>
        </w:rPr>
        <w:t xml:space="preserve">Question 2. In the community pharmacy setting, is a total CVD risk assessment a greater motivator, for </w:t>
      </w:r>
      <w:r w:rsidRPr="00064DDE">
        <w:rPr>
          <w:rFonts w:ascii="Arial" w:eastAsia="ArialMT" w:hAnsi="Arial" w:cs="Arial"/>
          <w:u w:val="single"/>
        </w:rPr>
        <w:t xml:space="preserve">populations who don’t </w:t>
      </w:r>
      <w:r w:rsidRPr="00064DDE">
        <w:rPr>
          <w:rFonts w:ascii="Arial" w:hAnsi="Arial" w:cs="Arial"/>
          <w:u w:val="single"/>
        </w:rPr>
        <w:t>regularly seek medical advice, to seek health care and maintain improved health than a low intensity risk assessment?</w:t>
      </w:r>
    </w:p>
    <w:p w14:paraId="209BA2DF" w14:textId="412D23A9" w:rsidR="001022B4" w:rsidRPr="000F778E" w:rsidRDefault="001022B4" w:rsidP="00411E48">
      <w:pPr>
        <w:pStyle w:val="Instructionaltext"/>
        <w:spacing w:before="160" w:line="240" w:lineRule="auto"/>
        <w:rPr>
          <w:rFonts w:ascii="Arial" w:hAnsi="Arial" w:cs="Arial"/>
          <w:color w:val="auto"/>
        </w:rPr>
      </w:pPr>
      <w:r w:rsidRPr="000F778E">
        <w:rPr>
          <w:rFonts w:ascii="Arial" w:hAnsi="Arial" w:cs="Arial"/>
          <w:color w:val="auto"/>
        </w:rPr>
        <w:t>Participants self-reported that at 6 months 46% of participants who had been referred to General Practice adhered to the advice; of this</w:t>
      </w:r>
      <w:r w:rsidR="00EC58FC">
        <w:rPr>
          <w:rFonts w:ascii="Arial" w:hAnsi="Arial" w:cs="Arial"/>
          <w:color w:val="auto"/>
        </w:rPr>
        <w:t>,</w:t>
      </w:r>
      <w:r w:rsidRPr="000F778E">
        <w:rPr>
          <w:rFonts w:ascii="Arial" w:hAnsi="Arial" w:cs="Arial"/>
          <w:color w:val="auto"/>
        </w:rPr>
        <w:t xml:space="preserve"> 71% attended within the suggested timeframe. At 12 months</w:t>
      </w:r>
      <w:r w:rsidR="00EC58FC">
        <w:rPr>
          <w:rFonts w:ascii="Arial" w:hAnsi="Arial" w:cs="Arial"/>
          <w:color w:val="auto"/>
        </w:rPr>
        <w:t>,</w:t>
      </w:r>
      <w:r w:rsidRPr="000F778E">
        <w:rPr>
          <w:rFonts w:ascii="Arial" w:hAnsi="Arial" w:cs="Arial"/>
          <w:color w:val="auto"/>
        </w:rPr>
        <w:t xml:space="preserve"> 56% of participants who had been referred to General Practice adhered to the advice; of this</w:t>
      </w:r>
      <w:r w:rsidR="00EC58FC">
        <w:rPr>
          <w:rFonts w:ascii="Arial" w:hAnsi="Arial" w:cs="Arial"/>
          <w:color w:val="auto"/>
        </w:rPr>
        <w:t>,</w:t>
      </w:r>
      <w:r w:rsidRPr="000F778E">
        <w:rPr>
          <w:rFonts w:ascii="Arial" w:hAnsi="Arial" w:cs="Arial"/>
          <w:color w:val="auto"/>
        </w:rPr>
        <w:t xml:space="preserve"> 100% attended within the suggested timeframe.</w:t>
      </w:r>
    </w:p>
    <w:p w14:paraId="35E399C2" w14:textId="7BBDEDE5" w:rsidR="001022B4" w:rsidRPr="000F778E" w:rsidRDefault="001022B4" w:rsidP="00411E48">
      <w:pPr>
        <w:pStyle w:val="Instructionaltext"/>
        <w:spacing w:before="160" w:line="240" w:lineRule="auto"/>
        <w:rPr>
          <w:rFonts w:ascii="Arial" w:hAnsi="Arial" w:cs="Arial"/>
          <w:color w:val="auto"/>
        </w:rPr>
      </w:pPr>
      <w:r w:rsidRPr="000F778E">
        <w:rPr>
          <w:rFonts w:ascii="Arial" w:hAnsi="Arial" w:cs="Arial"/>
          <w:color w:val="auto"/>
        </w:rPr>
        <w:t>Participants self-reported that at 6 months 11% of participants who had been referred to a community-based lifestyle modification program adhered to the advice; of this</w:t>
      </w:r>
      <w:r w:rsidR="00EC58FC">
        <w:rPr>
          <w:rFonts w:ascii="Arial" w:hAnsi="Arial" w:cs="Arial"/>
          <w:color w:val="auto"/>
        </w:rPr>
        <w:t>,</w:t>
      </w:r>
      <w:r w:rsidRPr="000F778E">
        <w:rPr>
          <w:rFonts w:ascii="Arial" w:hAnsi="Arial" w:cs="Arial"/>
          <w:color w:val="auto"/>
        </w:rPr>
        <w:t xml:space="preserve"> 21% attended one or more session. At 12 months</w:t>
      </w:r>
      <w:r w:rsidR="00EC58FC">
        <w:rPr>
          <w:rFonts w:ascii="Arial" w:hAnsi="Arial" w:cs="Arial"/>
          <w:color w:val="auto"/>
        </w:rPr>
        <w:t>,</w:t>
      </w:r>
      <w:r w:rsidRPr="000F778E">
        <w:rPr>
          <w:rFonts w:ascii="Arial" w:hAnsi="Arial" w:cs="Arial"/>
          <w:color w:val="auto"/>
        </w:rPr>
        <w:t xml:space="preserve"> 8% of participants who had been referred to a community-based lifestyle modification program; 63% attended one or more session.</w:t>
      </w:r>
    </w:p>
    <w:p w14:paraId="3106B1F8" w14:textId="405C72C9" w:rsidR="001022B4" w:rsidRDefault="001022B4" w:rsidP="00411E48">
      <w:pPr>
        <w:pStyle w:val="Instructionaltext"/>
        <w:spacing w:before="160" w:line="240" w:lineRule="auto"/>
        <w:rPr>
          <w:rFonts w:ascii="Arial" w:hAnsi="Arial" w:cs="Arial"/>
          <w:color w:val="auto"/>
        </w:rPr>
      </w:pPr>
      <w:r>
        <w:rPr>
          <w:rFonts w:ascii="Arial" w:hAnsi="Arial" w:cs="Arial"/>
          <w:color w:val="auto"/>
        </w:rPr>
        <w:t xml:space="preserve">Approximately half of participants took the referral advice of the community pharmacy and sought further health care from General </w:t>
      </w:r>
      <w:r w:rsidR="007B6D23">
        <w:rPr>
          <w:rFonts w:ascii="Arial" w:hAnsi="Arial" w:cs="Arial"/>
          <w:color w:val="auto"/>
        </w:rPr>
        <w:t>Practice,</w:t>
      </w:r>
      <w:r>
        <w:rPr>
          <w:rFonts w:ascii="Arial" w:hAnsi="Arial" w:cs="Arial"/>
          <w:color w:val="auto"/>
        </w:rPr>
        <w:t xml:space="preserve"> with a high percentage seeking health care within the advised timeframe. This demonstrates community pharmacy as a</w:t>
      </w:r>
      <w:r w:rsidR="003E7B38">
        <w:rPr>
          <w:rFonts w:ascii="Arial" w:hAnsi="Arial" w:cs="Arial"/>
          <w:color w:val="auto"/>
        </w:rPr>
        <w:t xml:space="preserve"> motivator to seek health care from General Practice.</w:t>
      </w:r>
    </w:p>
    <w:p w14:paraId="2393D006" w14:textId="35AC67F4" w:rsidR="00B07414" w:rsidRPr="00411E48" w:rsidRDefault="001022B4" w:rsidP="00411E48">
      <w:pPr>
        <w:pStyle w:val="Instructionaltext"/>
        <w:spacing w:before="160" w:line="240" w:lineRule="auto"/>
        <w:rPr>
          <w:rFonts w:ascii="Arial" w:hAnsi="Arial" w:cs="Arial"/>
          <w:color w:val="auto"/>
        </w:rPr>
      </w:pPr>
      <w:r>
        <w:rPr>
          <w:rFonts w:ascii="Arial" w:hAnsi="Arial" w:cs="Arial"/>
          <w:color w:val="auto"/>
        </w:rPr>
        <w:t>However</w:t>
      </w:r>
      <w:r w:rsidR="00EC58FC">
        <w:rPr>
          <w:rFonts w:ascii="Arial" w:hAnsi="Arial" w:cs="Arial"/>
          <w:color w:val="auto"/>
        </w:rPr>
        <w:t>,</w:t>
      </w:r>
      <w:r>
        <w:rPr>
          <w:rFonts w:ascii="Arial" w:hAnsi="Arial" w:cs="Arial"/>
          <w:color w:val="auto"/>
        </w:rPr>
        <w:t xml:space="preserve"> only a small percentage of participants took the referral advice of the community pharmacy and engaged in lifestyle modification programs.</w:t>
      </w:r>
    </w:p>
    <w:p w14:paraId="78A04DFE" w14:textId="1802B82D" w:rsidR="00B07414" w:rsidRDefault="0049105E" w:rsidP="00411E48">
      <w:pPr>
        <w:spacing w:before="160" w:line="240" w:lineRule="auto"/>
        <w:rPr>
          <w:rFonts w:ascii="Arial" w:hAnsi="Arial" w:cs="Arial"/>
        </w:rPr>
      </w:pPr>
      <w:r w:rsidRPr="00FA6C0F">
        <w:rPr>
          <w:rFonts w:ascii="Arial" w:hAnsi="Arial" w:cs="Arial"/>
        </w:rPr>
        <w:t>These responses indicate greater motivation to maintain improved health at 6 months for participants in the Comprehensive Risk Assessment arm. At 12 months assessments participants in the Brief Risk Assessment arm demonstrated greater motivation to maintain improved health.</w:t>
      </w:r>
    </w:p>
    <w:p w14:paraId="1214E6D4" w14:textId="3B6057B0" w:rsidR="00B07414" w:rsidRPr="00411E48" w:rsidRDefault="00B07414" w:rsidP="00411E48">
      <w:pPr>
        <w:autoSpaceDE w:val="0"/>
        <w:autoSpaceDN w:val="0"/>
        <w:adjustRightInd w:val="0"/>
        <w:spacing w:before="160" w:line="240" w:lineRule="auto"/>
        <w:rPr>
          <w:rFonts w:ascii="Arial" w:hAnsi="Arial" w:cs="Arial"/>
          <w:u w:val="single"/>
          <w:shd w:val="clear" w:color="auto" w:fill="FFFFFF"/>
        </w:rPr>
      </w:pPr>
      <w:r w:rsidRPr="007A7ED8">
        <w:rPr>
          <w:rFonts w:ascii="Arial" w:hAnsi="Arial" w:cs="Arial"/>
          <w:u w:val="single"/>
        </w:rPr>
        <w:t>Question 3: Is community pharmacy-based CVD risk assessment acceptable to patients, pharmacists, and medical practitioners?</w:t>
      </w:r>
    </w:p>
    <w:p w14:paraId="51D758B5" w14:textId="7A10BD65" w:rsidR="00B07414" w:rsidRPr="00411E48" w:rsidRDefault="00B07414" w:rsidP="00411E48">
      <w:pPr>
        <w:spacing w:before="160" w:line="240" w:lineRule="auto"/>
        <w:rPr>
          <w:rFonts w:ascii="Arial" w:hAnsi="Arial" w:cs="Arial"/>
        </w:rPr>
      </w:pPr>
      <w:r w:rsidRPr="000E692C">
        <w:rPr>
          <w:rFonts w:ascii="Arial" w:hAnsi="Arial" w:cs="Arial"/>
        </w:rPr>
        <w:t>Feedback from community pharmacy indicated provision of CVD Risk assessment is acceptable</w:t>
      </w:r>
      <w:r w:rsidR="00D50A7C">
        <w:rPr>
          <w:rFonts w:ascii="Arial" w:hAnsi="Arial" w:cs="Arial"/>
        </w:rPr>
        <w:t>.</w:t>
      </w:r>
      <w:r w:rsidRPr="000E692C">
        <w:rPr>
          <w:rFonts w:ascii="Arial" w:hAnsi="Arial" w:cs="Arial"/>
        </w:rPr>
        <w:t xml:space="preserve"> </w:t>
      </w:r>
      <w:r w:rsidR="00D50A7C">
        <w:rPr>
          <w:rFonts w:ascii="Arial" w:hAnsi="Arial" w:cs="Arial"/>
        </w:rPr>
        <w:t>H</w:t>
      </w:r>
      <w:r>
        <w:rPr>
          <w:rFonts w:ascii="Arial" w:hAnsi="Arial" w:cs="Arial"/>
        </w:rPr>
        <w:t>owever</w:t>
      </w:r>
      <w:r w:rsidR="00D50A7C">
        <w:rPr>
          <w:rFonts w:ascii="Arial" w:hAnsi="Arial" w:cs="Arial"/>
        </w:rPr>
        <w:t>,</w:t>
      </w:r>
      <w:r>
        <w:rPr>
          <w:rFonts w:ascii="Arial" w:hAnsi="Arial" w:cs="Arial"/>
        </w:rPr>
        <w:t xml:space="preserve"> </w:t>
      </w:r>
      <w:r w:rsidRPr="000E692C">
        <w:rPr>
          <w:rFonts w:ascii="Arial" w:hAnsi="Arial" w:cs="Arial"/>
        </w:rPr>
        <w:t xml:space="preserve">there </w:t>
      </w:r>
      <w:r w:rsidR="00D50A7C">
        <w:rPr>
          <w:rFonts w:ascii="Arial" w:hAnsi="Arial" w:cs="Arial"/>
        </w:rPr>
        <w:t>is</w:t>
      </w:r>
      <w:r>
        <w:rPr>
          <w:rFonts w:ascii="Arial" w:hAnsi="Arial" w:cs="Arial"/>
        </w:rPr>
        <w:t xml:space="preserve"> requirement for</w:t>
      </w:r>
      <w:r w:rsidRPr="000E692C">
        <w:rPr>
          <w:rFonts w:ascii="Arial" w:hAnsi="Arial" w:cs="Arial"/>
        </w:rPr>
        <w:t xml:space="preserve"> appropriate remuneration for pharmacies</w:t>
      </w:r>
      <w:r>
        <w:rPr>
          <w:rFonts w:ascii="Arial" w:hAnsi="Arial" w:cs="Arial"/>
        </w:rPr>
        <w:t>, due to costs associated with delivery of the assessment. Engagement with people not engaging with General Practice for their health care offers opportunity for early detection of chronic health conditions.</w:t>
      </w:r>
    </w:p>
    <w:p w14:paraId="4E887BEF" w14:textId="6F3ED050" w:rsidR="00B07414" w:rsidRDefault="00B07414" w:rsidP="00411E48">
      <w:pPr>
        <w:spacing w:before="160" w:line="240" w:lineRule="auto"/>
        <w:rPr>
          <w:rFonts w:ascii="Arial" w:hAnsi="Arial" w:cs="Arial"/>
        </w:rPr>
      </w:pPr>
      <w:r w:rsidRPr="00F95B71">
        <w:rPr>
          <w:rFonts w:ascii="Arial" w:hAnsi="Arial" w:cs="Arial"/>
        </w:rPr>
        <w:t xml:space="preserve">Feedback </w:t>
      </w:r>
      <w:r w:rsidRPr="00F312F2">
        <w:rPr>
          <w:rFonts w:ascii="Arial" w:hAnsi="Arial" w:cs="Arial"/>
        </w:rPr>
        <w:t>from trial participants</w:t>
      </w:r>
      <w:r w:rsidRPr="00F95B71">
        <w:rPr>
          <w:rFonts w:ascii="Arial" w:hAnsi="Arial" w:cs="Arial"/>
        </w:rPr>
        <w:t xml:space="preserve"> </w:t>
      </w:r>
      <w:r>
        <w:rPr>
          <w:rFonts w:ascii="Arial" w:hAnsi="Arial" w:cs="Arial"/>
        </w:rPr>
        <w:t xml:space="preserve">supports community pharmacy as an acceptable location for undertaking CVD risk assessment. Participants noted </w:t>
      </w:r>
      <w:r w:rsidRPr="00F95B71">
        <w:rPr>
          <w:rFonts w:ascii="Arial" w:hAnsi="Arial" w:cs="Arial"/>
        </w:rPr>
        <w:t xml:space="preserve">the </w:t>
      </w:r>
      <w:r>
        <w:rPr>
          <w:rFonts w:ascii="Arial" w:hAnsi="Arial" w:cs="Arial"/>
        </w:rPr>
        <w:t xml:space="preserve">convenience and </w:t>
      </w:r>
      <w:r w:rsidRPr="00F95B71">
        <w:rPr>
          <w:rFonts w:ascii="Arial" w:hAnsi="Arial" w:cs="Arial"/>
        </w:rPr>
        <w:t>ease in engaging with community pharmacy for the intervention, confidence in community pharmacy performing the intervention and providing health information.</w:t>
      </w:r>
    </w:p>
    <w:p w14:paraId="6466D32E" w14:textId="0DC5DC0B" w:rsidR="00B07414" w:rsidRDefault="00B07414" w:rsidP="00411E48">
      <w:pPr>
        <w:spacing w:before="160" w:afterLines="160" w:after="384" w:line="240" w:lineRule="auto"/>
        <w:rPr>
          <w:rFonts w:ascii="Arial" w:hAnsi="Arial" w:cs="Arial"/>
        </w:rPr>
      </w:pPr>
      <w:r>
        <w:rPr>
          <w:rFonts w:ascii="Arial" w:hAnsi="Arial" w:cs="Arial"/>
        </w:rPr>
        <w:t>At each stage of assessment</w:t>
      </w:r>
      <w:r w:rsidR="00D50A7C">
        <w:rPr>
          <w:rFonts w:ascii="Arial" w:hAnsi="Arial" w:cs="Arial"/>
        </w:rPr>
        <w:t>,</w:t>
      </w:r>
      <w:r>
        <w:rPr>
          <w:rFonts w:ascii="Arial" w:hAnsi="Arial" w:cs="Arial"/>
        </w:rPr>
        <w:t xml:space="preserve"> participants in both the Brief and Comprehensive Assessment arms found</w:t>
      </w:r>
      <w:r w:rsidRPr="000F778E">
        <w:rPr>
          <w:rFonts w:ascii="Arial" w:hAnsi="Arial" w:cs="Arial"/>
        </w:rPr>
        <w:t xml:space="preserve"> it appropriate to have the risk assessment completed in a pharmacy setting</w:t>
      </w:r>
      <w:r>
        <w:rPr>
          <w:rFonts w:ascii="Arial" w:hAnsi="Arial" w:cs="Arial"/>
        </w:rPr>
        <w:t xml:space="preserve">. Refer </w:t>
      </w:r>
      <w:r w:rsidRPr="00AE7588">
        <w:rPr>
          <w:rFonts w:ascii="Arial" w:hAnsi="Arial" w:cs="Arial"/>
        </w:rPr>
        <w:t>Table 9</w:t>
      </w:r>
      <w:r>
        <w:rPr>
          <w:rFonts w:ascii="Arial" w:hAnsi="Arial" w:cs="Arial"/>
        </w:rPr>
        <w:t>.</w:t>
      </w:r>
    </w:p>
    <w:p w14:paraId="498DEBFB" w14:textId="301897CC" w:rsidR="00B07414" w:rsidRDefault="00B07414" w:rsidP="00411E48">
      <w:pPr>
        <w:spacing w:before="160" w:line="240" w:lineRule="auto"/>
        <w:rPr>
          <w:rFonts w:ascii="Arial" w:hAnsi="Arial" w:cs="Arial"/>
        </w:rPr>
      </w:pPr>
      <w:r>
        <w:rPr>
          <w:rFonts w:ascii="Arial" w:hAnsi="Arial" w:cs="Arial"/>
        </w:rPr>
        <w:lastRenderedPageBreak/>
        <w:t>Feedback from General Practitioners indicates support for CVD risk assessment by community pharmacy</w:t>
      </w:r>
      <w:r w:rsidR="00D50A7C">
        <w:rPr>
          <w:rFonts w:ascii="Arial" w:hAnsi="Arial" w:cs="Arial"/>
        </w:rPr>
        <w:t>.</w:t>
      </w:r>
      <w:r>
        <w:rPr>
          <w:rFonts w:ascii="Arial" w:hAnsi="Arial" w:cs="Arial"/>
        </w:rPr>
        <w:t xml:space="preserve"> </w:t>
      </w:r>
      <w:r w:rsidR="00D50A7C">
        <w:rPr>
          <w:rFonts w:ascii="Arial" w:hAnsi="Arial" w:cs="Arial"/>
        </w:rPr>
        <w:t>H</w:t>
      </w:r>
      <w:r w:rsidR="007B6D23">
        <w:rPr>
          <w:rFonts w:ascii="Arial" w:hAnsi="Arial" w:cs="Arial"/>
        </w:rPr>
        <w:t>owever,</w:t>
      </w:r>
      <w:r>
        <w:rPr>
          <w:rFonts w:ascii="Arial" w:hAnsi="Arial" w:cs="Arial"/>
        </w:rPr>
        <w:t xml:space="preserve"> the majority of General Practitioners surveyed qualified this statement by noting the appropriate referral back to General Practice for subsequent health care.</w:t>
      </w:r>
    </w:p>
    <w:p w14:paraId="64A2E9F4" w14:textId="77777777" w:rsidR="00B07414" w:rsidRPr="001E11C3" w:rsidRDefault="00B07414" w:rsidP="00411E48">
      <w:pPr>
        <w:autoSpaceDE w:val="0"/>
        <w:autoSpaceDN w:val="0"/>
        <w:adjustRightInd w:val="0"/>
        <w:spacing w:before="160" w:line="240" w:lineRule="auto"/>
        <w:rPr>
          <w:rFonts w:ascii="Arial" w:hAnsi="Arial" w:cs="Arial"/>
          <w:u w:val="single"/>
        </w:rPr>
      </w:pPr>
      <w:r w:rsidRPr="006C4D3A">
        <w:rPr>
          <w:rFonts w:ascii="Arial" w:hAnsi="Arial" w:cs="Arial"/>
          <w:u w:val="single"/>
        </w:rPr>
        <w:t>Question 4. Does early intervention in CVD risk factor identification by community pharmacy offer a cost-effective opportunity to reduce burden of disease?</w:t>
      </w:r>
    </w:p>
    <w:p w14:paraId="470CA272" w14:textId="3A842B60" w:rsidR="003E7B38" w:rsidRDefault="003E7B38" w:rsidP="00411E48">
      <w:pPr>
        <w:spacing w:before="160" w:line="240" w:lineRule="auto"/>
        <w:rPr>
          <w:rFonts w:ascii="Arial" w:hAnsi="Arial" w:cs="Arial"/>
        </w:rPr>
      </w:pPr>
      <w:r w:rsidRPr="00AD7843">
        <w:rPr>
          <w:rFonts w:ascii="Arial" w:hAnsi="Arial" w:cs="Arial"/>
        </w:rPr>
        <w:t>The health economic analysis did not reveal statistically significant differences in quality of life between the two groups. However, the data show slight improvements in quality of life in both arms of the trial relative to the baseline point, despite showing no statistical significance.</w:t>
      </w:r>
    </w:p>
    <w:p w14:paraId="63CCD390" w14:textId="7B80D98A" w:rsidR="003E7B38" w:rsidRPr="00A85BF7" w:rsidRDefault="003E7B38" w:rsidP="00411E48">
      <w:pPr>
        <w:pStyle w:val="Instructionaltext"/>
        <w:spacing w:before="160" w:line="240" w:lineRule="auto"/>
        <w:rPr>
          <w:rFonts w:ascii="Arial" w:hAnsi="Arial" w:cs="Arial"/>
          <w:color w:val="auto"/>
        </w:rPr>
      </w:pPr>
      <w:r>
        <w:rPr>
          <w:rFonts w:ascii="Arial" w:hAnsi="Arial" w:cs="Arial"/>
          <w:color w:val="auto"/>
        </w:rPr>
        <w:t xml:space="preserve">The Comprehensive CVD Risk Assessment was </w:t>
      </w:r>
      <w:r w:rsidR="00D50A7C">
        <w:rPr>
          <w:rFonts w:ascii="Arial" w:hAnsi="Arial" w:cs="Arial"/>
          <w:color w:val="auto"/>
        </w:rPr>
        <w:t xml:space="preserve">of </w:t>
      </w:r>
      <w:r>
        <w:rPr>
          <w:rFonts w:ascii="Arial" w:hAnsi="Arial" w:cs="Arial"/>
          <w:color w:val="auto"/>
        </w:rPr>
        <w:t>higher specificity and resulted in less participants being referred to General Practice than the Brief CVD Risk Assessment.</w:t>
      </w:r>
    </w:p>
    <w:p w14:paraId="182A352C" w14:textId="0BE02736" w:rsidR="003E7B38" w:rsidRPr="00A85BF7" w:rsidRDefault="003E7B38" w:rsidP="00411E48">
      <w:pPr>
        <w:shd w:val="clear" w:color="auto" w:fill="FFFFFF"/>
        <w:spacing w:before="160" w:line="240" w:lineRule="auto"/>
        <w:rPr>
          <w:rFonts w:ascii="Arial" w:hAnsi="Arial" w:cs="Arial"/>
          <w:color w:val="231F20"/>
          <w:shd w:val="clear" w:color="auto" w:fill="FFFFFF"/>
        </w:rPr>
      </w:pPr>
      <w:r w:rsidRPr="00A24C7E">
        <w:rPr>
          <w:rFonts w:ascii="Arial" w:hAnsi="Arial" w:cs="Arial"/>
          <w:color w:val="231F20"/>
          <w:shd w:val="clear" w:color="auto" w:fill="FFFFFF"/>
        </w:rPr>
        <w:t xml:space="preserve">In Australia, </w:t>
      </w:r>
      <w:r>
        <w:rPr>
          <w:rFonts w:ascii="Arial" w:hAnsi="Arial" w:cs="Arial"/>
          <w:color w:val="231F20"/>
          <w:shd w:val="clear" w:color="auto" w:fill="FFFFFF"/>
        </w:rPr>
        <w:t xml:space="preserve">the cost of </w:t>
      </w:r>
      <w:r w:rsidRPr="00A24C7E">
        <w:rPr>
          <w:rFonts w:ascii="Arial" w:hAnsi="Arial" w:cs="Arial"/>
          <w:color w:val="231F20"/>
          <w:shd w:val="clear" w:color="auto" w:fill="FFFFFF"/>
        </w:rPr>
        <w:t xml:space="preserve">heart health checks </w:t>
      </w:r>
      <w:proofErr w:type="gramStart"/>
      <w:r w:rsidRPr="00A24C7E">
        <w:rPr>
          <w:rFonts w:ascii="Arial" w:hAnsi="Arial" w:cs="Arial"/>
          <w:color w:val="231F20"/>
          <w:shd w:val="clear" w:color="auto" w:fill="FFFFFF"/>
        </w:rPr>
        <w:t>are</w:t>
      </w:r>
      <w:proofErr w:type="gramEnd"/>
      <w:r w:rsidRPr="00A24C7E">
        <w:rPr>
          <w:rFonts w:ascii="Arial" w:hAnsi="Arial" w:cs="Arial"/>
          <w:color w:val="231F20"/>
          <w:shd w:val="clear" w:color="auto" w:fill="FFFFFF"/>
        </w:rPr>
        <w:t xml:space="preserve"> covered by Medicare, however this requires people </w:t>
      </w:r>
      <w:r>
        <w:rPr>
          <w:rFonts w:ascii="Arial" w:hAnsi="Arial" w:cs="Arial"/>
          <w:color w:val="231F20"/>
          <w:shd w:val="clear" w:color="auto" w:fill="FFFFFF"/>
        </w:rPr>
        <w:t>to present at</w:t>
      </w:r>
      <w:r w:rsidRPr="00A24C7E">
        <w:rPr>
          <w:rFonts w:ascii="Arial" w:hAnsi="Arial" w:cs="Arial"/>
          <w:color w:val="231F20"/>
          <w:shd w:val="clear" w:color="auto" w:fill="FFFFFF"/>
        </w:rPr>
        <w:t xml:space="preserve"> General Practice for an assessment. CVD Risk Assessment in community pharmacy enables easy access for opportunistic testing and </w:t>
      </w:r>
      <w:r w:rsidR="007B6D23" w:rsidRPr="00A24C7E">
        <w:rPr>
          <w:rFonts w:ascii="Arial" w:hAnsi="Arial" w:cs="Arial"/>
          <w:color w:val="231F20"/>
          <w:shd w:val="clear" w:color="auto" w:fill="FFFFFF"/>
        </w:rPr>
        <w:t>assessment,</w:t>
      </w:r>
      <w:r w:rsidRPr="00A24C7E">
        <w:rPr>
          <w:rFonts w:ascii="Arial" w:hAnsi="Arial" w:cs="Arial"/>
          <w:color w:val="231F20"/>
          <w:shd w:val="clear" w:color="auto" w:fill="FFFFFF"/>
        </w:rPr>
        <w:t xml:space="preserve"> onward referral to General Practice for further testing and health and lifestyle advice</w:t>
      </w:r>
      <w:r>
        <w:rPr>
          <w:rFonts w:ascii="Arial" w:hAnsi="Arial" w:cs="Arial"/>
          <w:color w:val="231F20"/>
          <w:shd w:val="clear" w:color="auto" w:fill="FFFFFF"/>
        </w:rPr>
        <w:t>.</w:t>
      </w:r>
    </w:p>
    <w:p w14:paraId="73550C80" w14:textId="314CEF6D" w:rsidR="00B07414" w:rsidRPr="00A85BF7" w:rsidRDefault="003E7B38" w:rsidP="00411E48">
      <w:pPr>
        <w:autoSpaceDE w:val="0"/>
        <w:autoSpaceDN w:val="0"/>
        <w:adjustRightInd w:val="0"/>
        <w:spacing w:before="160" w:line="240" w:lineRule="auto"/>
        <w:rPr>
          <w:rFonts w:ascii="Arial" w:hAnsi="Arial" w:cs="Arial"/>
        </w:rPr>
      </w:pPr>
      <w:r w:rsidRPr="00A24C7E">
        <w:rPr>
          <w:rFonts w:ascii="Arial" w:eastAsia="CIDFont+F2" w:hAnsi="Arial" w:cs="Arial"/>
        </w:rPr>
        <w:t xml:space="preserve">In terms of financial cost impacts for the health system, the </w:t>
      </w:r>
      <w:r>
        <w:rPr>
          <w:rFonts w:ascii="Arial" w:eastAsia="CIDFont+F2" w:hAnsi="Arial" w:cs="Arial"/>
        </w:rPr>
        <w:t xml:space="preserve">Comprehensive Risk </w:t>
      </w:r>
      <w:r w:rsidR="00D50A7C">
        <w:rPr>
          <w:rFonts w:ascii="Arial" w:eastAsia="CIDFont+F2" w:hAnsi="Arial" w:cs="Arial"/>
        </w:rPr>
        <w:t>A</w:t>
      </w:r>
      <w:r>
        <w:rPr>
          <w:rFonts w:ascii="Arial" w:eastAsia="CIDFont+F2" w:hAnsi="Arial" w:cs="Arial"/>
        </w:rPr>
        <w:t xml:space="preserve">ssessment </w:t>
      </w:r>
      <w:r w:rsidRPr="00A24C7E">
        <w:rPr>
          <w:rFonts w:ascii="Arial" w:eastAsia="CIDFont+F2" w:hAnsi="Arial" w:cs="Arial"/>
        </w:rPr>
        <w:t>indicates a potential for cost savings</w:t>
      </w:r>
      <w:r>
        <w:rPr>
          <w:rFonts w:ascii="Arial" w:eastAsia="CIDFont+F2" w:hAnsi="Arial" w:cs="Arial"/>
        </w:rPr>
        <w:t xml:space="preserve">. This is applied where people are assessed and referred for diagnosis before their CVD has significant impact on their health resulting in a progressed illness or a requirement for crisis intervention through the </w:t>
      </w:r>
      <w:r w:rsidR="006F4706">
        <w:rPr>
          <w:rFonts w:ascii="Arial" w:eastAsia="CIDFont+F2" w:hAnsi="Arial" w:cs="Arial"/>
        </w:rPr>
        <w:t>tertiary</w:t>
      </w:r>
      <w:r>
        <w:rPr>
          <w:rFonts w:ascii="Arial" w:eastAsia="CIDFont+F2" w:hAnsi="Arial" w:cs="Arial"/>
        </w:rPr>
        <w:t xml:space="preserve"> health system. </w:t>
      </w:r>
    </w:p>
    <w:p w14:paraId="4401E12F" w14:textId="6F89F3E6" w:rsidR="001E11C3" w:rsidRPr="00A85BF7" w:rsidRDefault="006F4706" w:rsidP="00411E48">
      <w:pPr>
        <w:autoSpaceDE w:val="0"/>
        <w:autoSpaceDN w:val="0"/>
        <w:adjustRightInd w:val="0"/>
        <w:spacing w:before="160" w:line="240" w:lineRule="auto"/>
        <w:rPr>
          <w:rFonts w:ascii="Arial" w:hAnsi="Arial" w:cs="Arial"/>
        </w:rPr>
      </w:pPr>
      <w:r w:rsidRPr="00336385">
        <w:rPr>
          <w:rFonts w:ascii="Arial" w:hAnsi="Arial" w:cs="Arial"/>
        </w:rPr>
        <w:t>If the program is to be implemented, future financial determinations will include the cost of conducting assessments (either as comprehensive or brief).</w:t>
      </w:r>
      <w:r w:rsidR="00A85BF7">
        <w:rPr>
          <w:rFonts w:ascii="Arial" w:hAnsi="Arial" w:cs="Arial"/>
        </w:rPr>
        <w:t xml:space="preserve"> </w:t>
      </w:r>
      <w:r w:rsidRPr="00336385">
        <w:rPr>
          <w:rFonts w:ascii="Arial" w:hAnsi="Arial" w:cs="Arial"/>
        </w:rPr>
        <w:t>At the time of conducting this economic evaluation, we did not have exact data on the actual time that pharmacists spent on conducting the assessments, or associated salary and wages information.</w:t>
      </w:r>
      <w:r w:rsidR="00A85BF7">
        <w:rPr>
          <w:rFonts w:ascii="Arial" w:hAnsi="Arial" w:cs="Arial"/>
        </w:rPr>
        <w:t xml:space="preserve"> </w:t>
      </w:r>
      <w:r w:rsidRPr="00336385">
        <w:rPr>
          <w:rFonts w:ascii="Arial" w:hAnsi="Arial" w:cs="Arial"/>
        </w:rPr>
        <w:t xml:space="preserve">It is difficult to provide an estimate on how much the future costs might </w:t>
      </w:r>
      <w:r w:rsidR="00D50A7C">
        <w:rPr>
          <w:rFonts w:ascii="Arial" w:hAnsi="Arial" w:cs="Arial"/>
        </w:rPr>
        <w:t>be</w:t>
      </w:r>
      <w:r w:rsidRPr="00336385">
        <w:rPr>
          <w:rFonts w:ascii="Arial" w:hAnsi="Arial" w:cs="Arial"/>
        </w:rPr>
        <w:t xml:space="preserve"> if the program is implemented.</w:t>
      </w:r>
    </w:p>
    <w:p w14:paraId="20CD6FA8" w14:textId="77777777" w:rsidR="00B07414" w:rsidRPr="006C4D3A" w:rsidRDefault="00B07414" w:rsidP="00411E48">
      <w:pPr>
        <w:spacing w:before="160" w:line="240" w:lineRule="auto"/>
        <w:rPr>
          <w:rFonts w:ascii="Arial" w:hAnsi="Arial" w:cs="Arial"/>
          <w:b/>
          <w:bCs/>
        </w:rPr>
      </w:pPr>
      <w:r w:rsidRPr="006C4D3A">
        <w:rPr>
          <w:rFonts w:ascii="Arial" w:hAnsi="Arial" w:cs="Arial"/>
          <w:b/>
          <w:bCs/>
        </w:rPr>
        <w:t>Economic evaluation</w:t>
      </w:r>
    </w:p>
    <w:p w14:paraId="55A3C56A" w14:textId="348BC2D8" w:rsidR="00B07414" w:rsidRDefault="00B07414" w:rsidP="00411E48">
      <w:pPr>
        <w:autoSpaceDE w:val="0"/>
        <w:autoSpaceDN w:val="0"/>
        <w:adjustRightInd w:val="0"/>
        <w:spacing w:before="160" w:line="240" w:lineRule="auto"/>
        <w:rPr>
          <w:rFonts w:ascii="Arial" w:hAnsi="Arial" w:cs="Arial"/>
        </w:rPr>
      </w:pPr>
      <w:r w:rsidRPr="006C4D3A">
        <w:rPr>
          <w:rFonts w:ascii="Arial" w:hAnsi="Arial" w:cs="Arial"/>
        </w:rPr>
        <w:t>The economic aspect of the trial will collate the time needed to provide high and low intensity screens, and through a combination of self-report and linked Medicare data (proposed), estimate the incremental downstream costs associated with the interventions relative to one another. The cost-effectiveness analysis will report a stepped economic evaluation, moving from cost per identified at</w:t>
      </w:r>
      <w:r w:rsidR="006F4706">
        <w:rPr>
          <w:rFonts w:ascii="Arial" w:hAnsi="Arial" w:cs="Arial"/>
        </w:rPr>
        <w:t xml:space="preserve"> </w:t>
      </w:r>
      <w:r w:rsidRPr="006C4D3A">
        <w:rPr>
          <w:rFonts w:ascii="Arial" w:hAnsi="Arial" w:cs="Arial"/>
        </w:rPr>
        <w:t>risk individual to cost per QALY using the SF-36 data.</w:t>
      </w:r>
    </w:p>
    <w:p w14:paraId="5939E3D9" w14:textId="786EA83B" w:rsidR="00B07414" w:rsidRDefault="00B07414" w:rsidP="00411E48">
      <w:pPr>
        <w:spacing w:before="160" w:line="240" w:lineRule="auto"/>
        <w:rPr>
          <w:rFonts w:ascii="Arial" w:hAnsi="Arial" w:cs="Arial"/>
        </w:rPr>
      </w:pPr>
      <w:r w:rsidRPr="00F95B71">
        <w:rPr>
          <w:rFonts w:ascii="Arial" w:hAnsi="Arial" w:cs="Arial"/>
        </w:rPr>
        <w:t xml:space="preserve">The health economic analysis did not reveal statistically significant differences in quality of life between the two groups. However, the data show slight improvements in quality of life in both arms of the trial relative to the baseline point, despite showing no statistical significance. </w:t>
      </w:r>
      <w:r>
        <w:rPr>
          <w:rFonts w:ascii="Arial" w:hAnsi="Arial" w:cs="Arial"/>
        </w:rPr>
        <w:t>Analysis</w:t>
      </w:r>
      <w:r w:rsidRPr="00F95B71">
        <w:rPr>
          <w:rFonts w:ascii="Arial" w:hAnsi="Arial" w:cs="Arial"/>
        </w:rPr>
        <w:t xml:space="preserve"> note</w:t>
      </w:r>
      <w:r>
        <w:rPr>
          <w:rFonts w:ascii="Arial" w:hAnsi="Arial" w:cs="Arial"/>
        </w:rPr>
        <w:t>d</w:t>
      </w:r>
      <w:r w:rsidRPr="00F95B71">
        <w:rPr>
          <w:rFonts w:ascii="Arial" w:hAnsi="Arial" w:cs="Arial"/>
        </w:rPr>
        <w:t xml:space="preserve"> significant differences in the PBS costs with the </w:t>
      </w:r>
      <w:r>
        <w:rPr>
          <w:rFonts w:ascii="Arial" w:hAnsi="Arial" w:cs="Arial"/>
        </w:rPr>
        <w:t>B</w:t>
      </w:r>
      <w:r w:rsidRPr="00F95B71">
        <w:rPr>
          <w:rFonts w:ascii="Arial" w:hAnsi="Arial" w:cs="Arial"/>
        </w:rPr>
        <w:t xml:space="preserve">rief </w:t>
      </w:r>
      <w:r>
        <w:rPr>
          <w:rFonts w:ascii="Arial" w:hAnsi="Arial" w:cs="Arial"/>
        </w:rPr>
        <w:t xml:space="preserve">Risk Assessment </w:t>
      </w:r>
      <w:r w:rsidRPr="00F95B71">
        <w:rPr>
          <w:rFonts w:ascii="Arial" w:hAnsi="Arial" w:cs="Arial"/>
        </w:rPr>
        <w:t xml:space="preserve">arm having higher costs compared to the </w:t>
      </w:r>
      <w:r>
        <w:rPr>
          <w:rFonts w:ascii="Arial" w:hAnsi="Arial" w:cs="Arial"/>
        </w:rPr>
        <w:t>C</w:t>
      </w:r>
      <w:r w:rsidRPr="00F95B71">
        <w:rPr>
          <w:rFonts w:ascii="Arial" w:hAnsi="Arial" w:cs="Arial"/>
        </w:rPr>
        <w:t xml:space="preserve">omprehensive </w:t>
      </w:r>
      <w:r>
        <w:rPr>
          <w:rFonts w:ascii="Arial" w:hAnsi="Arial" w:cs="Arial"/>
        </w:rPr>
        <w:t xml:space="preserve">Risk Assessment </w:t>
      </w:r>
      <w:r w:rsidRPr="00F95B71">
        <w:rPr>
          <w:rFonts w:ascii="Arial" w:hAnsi="Arial" w:cs="Arial"/>
        </w:rPr>
        <w:t>arm.</w:t>
      </w:r>
    </w:p>
    <w:p w14:paraId="60A561E0" w14:textId="5D21E583" w:rsidR="00B07414" w:rsidRDefault="00B07414" w:rsidP="00411E48">
      <w:pPr>
        <w:spacing w:before="160" w:line="240" w:lineRule="auto"/>
        <w:rPr>
          <w:rFonts w:ascii="Arial" w:hAnsi="Arial" w:cs="Arial"/>
        </w:rPr>
      </w:pPr>
      <w:r w:rsidRPr="00F95B71">
        <w:rPr>
          <w:rFonts w:ascii="Arial" w:hAnsi="Arial" w:cs="Arial"/>
        </w:rPr>
        <w:t>There were no significant differences in the MBS costs. However, the total costs (MBS + PBS + pharmacy time costs) were statistically and significantly different (p &lt; 0.001) with the comprehensive arm having much higher intervention costs</w:t>
      </w:r>
      <w:r w:rsidR="00D50A7C">
        <w:rPr>
          <w:rFonts w:ascii="Arial" w:hAnsi="Arial" w:cs="Arial"/>
        </w:rPr>
        <w:t>,</w:t>
      </w:r>
      <w:r w:rsidRPr="00F95B71">
        <w:rPr>
          <w:rFonts w:ascii="Arial" w:hAnsi="Arial" w:cs="Arial"/>
        </w:rPr>
        <w:t xml:space="preserve"> mostly due to the relatively larger time commitment to complete assessments for this group.</w:t>
      </w:r>
    </w:p>
    <w:p w14:paraId="43A8C13D" w14:textId="77777777" w:rsidR="00B07414" w:rsidRPr="005C5027" w:rsidRDefault="00B07414" w:rsidP="00411E48">
      <w:pPr>
        <w:autoSpaceDE w:val="0"/>
        <w:autoSpaceDN w:val="0"/>
        <w:adjustRightInd w:val="0"/>
        <w:spacing w:before="160" w:line="240" w:lineRule="auto"/>
        <w:rPr>
          <w:rFonts w:ascii="Arial" w:hAnsi="Arial" w:cs="Arial"/>
          <w:b/>
          <w:bCs/>
        </w:rPr>
      </w:pPr>
      <w:r w:rsidRPr="005C5027">
        <w:rPr>
          <w:rFonts w:ascii="Arial" w:hAnsi="Arial" w:cs="Arial"/>
          <w:b/>
          <w:bCs/>
        </w:rPr>
        <w:t>Recommendations</w:t>
      </w:r>
    </w:p>
    <w:p w14:paraId="3C0A2C75" w14:textId="52091459" w:rsidR="00B07414" w:rsidRPr="00234BDF" w:rsidRDefault="00B07414" w:rsidP="00581479">
      <w:pPr>
        <w:pStyle w:val="ListParagraph"/>
        <w:numPr>
          <w:ilvl w:val="0"/>
          <w:numId w:val="30"/>
        </w:numPr>
        <w:autoSpaceDE w:val="0"/>
        <w:autoSpaceDN w:val="0"/>
        <w:adjustRightInd w:val="0"/>
        <w:spacing w:before="0" w:after="0" w:line="240" w:lineRule="auto"/>
        <w:rPr>
          <w:rFonts w:ascii="Arial" w:eastAsia="CIDFont+F2" w:hAnsi="Arial" w:cs="Arial"/>
        </w:rPr>
      </w:pPr>
      <w:r w:rsidRPr="00234BDF">
        <w:rPr>
          <w:rFonts w:ascii="Arial" w:eastAsia="CIDFont+F2" w:hAnsi="Arial" w:cs="Arial"/>
        </w:rPr>
        <w:t>Overall, the trial evaluations suggest supporting the Comprehensive Risk Assessment as the preferred option for CVD screening in pharmacies</w:t>
      </w:r>
      <w:r w:rsidR="006F4706">
        <w:rPr>
          <w:rFonts w:ascii="Arial" w:eastAsia="CIDFont+F2" w:hAnsi="Arial" w:cs="Arial"/>
        </w:rPr>
        <w:t>.</w:t>
      </w:r>
    </w:p>
    <w:p w14:paraId="6D586289" w14:textId="0D087B74" w:rsidR="00B07414" w:rsidRDefault="00B07414" w:rsidP="00581479">
      <w:pPr>
        <w:pStyle w:val="ListParagraph"/>
        <w:numPr>
          <w:ilvl w:val="0"/>
          <w:numId w:val="30"/>
        </w:numPr>
        <w:autoSpaceDE w:val="0"/>
        <w:autoSpaceDN w:val="0"/>
        <w:adjustRightInd w:val="0"/>
        <w:spacing w:before="0" w:after="0" w:line="240" w:lineRule="auto"/>
        <w:rPr>
          <w:rFonts w:ascii="Arial" w:eastAsia="CIDFont+F2" w:hAnsi="Arial" w:cs="Arial"/>
        </w:rPr>
      </w:pPr>
      <w:r w:rsidRPr="00234BDF">
        <w:rPr>
          <w:rFonts w:ascii="Arial" w:eastAsia="CIDFont+F2" w:hAnsi="Arial" w:cs="Arial"/>
        </w:rPr>
        <w:t>A community pharmacy-based CV</w:t>
      </w:r>
      <w:r w:rsidR="006C4D3A">
        <w:rPr>
          <w:rFonts w:ascii="Arial" w:eastAsia="CIDFont+F2" w:hAnsi="Arial" w:cs="Arial"/>
        </w:rPr>
        <w:t>D</w:t>
      </w:r>
      <w:r w:rsidRPr="00234BDF">
        <w:rPr>
          <w:rFonts w:ascii="Arial" w:eastAsia="CIDFont+F2" w:hAnsi="Arial" w:cs="Arial"/>
        </w:rPr>
        <w:t xml:space="preserve"> risk screening program for undiagnosed CVD should adopt a two-step approach, with initial risk assessment using the Framingham Risk Equation screening tool and point-of-care testing followed by referral to General Practice if CVD risk is assessed as medium or high.</w:t>
      </w:r>
    </w:p>
    <w:p w14:paraId="72C92065" w14:textId="75383D69" w:rsidR="00B07414" w:rsidRPr="00234BDF" w:rsidRDefault="00B07414" w:rsidP="00581479">
      <w:pPr>
        <w:pStyle w:val="ListParagraph"/>
        <w:numPr>
          <w:ilvl w:val="0"/>
          <w:numId w:val="30"/>
        </w:numPr>
        <w:autoSpaceDE w:val="0"/>
        <w:autoSpaceDN w:val="0"/>
        <w:adjustRightInd w:val="0"/>
        <w:spacing w:before="0" w:after="0" w:line="240" w:lineRule="auto"/>
        <w:rPr>
          <w:rFonts w:ascii="Arial" w:eastAsia="CIDFont+F2" w:hAnsi="Arial" w:cs="Arial"/>
        </w:rPr>
      </w:pPr>
      <w:r>
        <w:rPr>
          <w:rFonts w:ascii="Arial" w:eastAsia="CIDFont+F2" w:hAnsi="Arial" w:cs="Arial"/>
        </w:rPr>
        <w:lastRenderedPageBreak/>
        <w:t>Community pharmacy undertake only baseline Comprehensive CVD Risk assessment with appropriate onward referral based on risk.</w:t>
      </w:r>
    </w:p>
    <w:p w14:paraId="1DDB1E7E" w14:textId="62351C40" w:rsidR="00B07414" w:rsidRPr="007B6D23" w:rsidRDefault="00B07414" w:rsidP="00581479">
      <w:pPr>
        <w:pStyle w:val="ListParagraph"/>
        <w:numPr>
          <w:ilvl w:val="0"/>
          <w:numId w:val="30"/>
        </w:numPr>
        <w:autoSpaceDE w:val="0"/>
        <w:autoSpaceDN w:val="0"/>
        <w:adjustRightInd w:val="0"/>
        <w:spacing w:before="0" w:after="0" w:line="240" w:lineRule="auto"/>
        <w:rPr>
          <w:rFonts w:ascii="Arial" w:eastAsia="CIDFont+F2" w:hAnsi="Arial" w:cs="Arial"/>
        </w:rPr>
      </w:pPr>
      <w:r w:rsidRPr="007B6D23">
        <w:rPr>
          <w:rFonts w:ascii="Arial" w:eastAsia="CIDFont+F2" w:hAnsi="Arial" w:cs="Arial"/>
        </w:rPr>
        <w:t>A formal training and assessment process be implemented to ensure that pharmacists</w:t>
      </w:r>
      <w:r w:rsidR="007B6D23">
        <w:rPr>
          <w:rFonts w:ascii="Arial" w:eastAsia="CIDFont+F2" w:hAnsi="Arial" w:cs="Arial"/>
        </w:rPr>
        <w:t xml:space="preserve"> </w:t>
      </w:r>
      <w:r w:rsidRPr="007B6D23">
        <w:rPr>
          <w:rFonts w:ascii="Arial" w:eastAsia="CIDFont+F2" w:hAnsi="Arial" w:cs="Arial"/>
        </w:rPr>
        <w:t>undertaking a remunerated screening service can demonstrate the requisite competencies to deliver the service at an appropriate standard.</w:t>
      </w:r>
    </w:p>
    <w:p w14:paraId="7A2D8CDB" w14:textId="4AA1602A" w:rsidR="00B07414" w:rsidRPr="00234BDF" w:rsidRDefault="00B07414" w:rsidP="00581479">
      <w:pPr>
        <w:pStyle w:val="ListParagraph"/>
        <w:numPr>
          <w:ilvl w:val="0"/>
          <w:numId w:val="30"/>
        </w:numPr>
        <w:autoSpaceDE w:val="0"/>
        <w:autoSpaceDN w:val="0"/>
        <w:adjustRightInd w:val="0"/>
        <w:spacing w:before="0" w:after="0" w:line="240" w:lineRule="auto"/>
        <w:rPr>
          <w:rFonts w:ascii="Arial" w:eastAsia="CIDFont+F2" w:hAnsi="Arial" w:cs="Arial"/>
        </w:rPr>
      </w:pPr>
      <w:r w:rsidRPr="00234BDF">
        <w:rPr>
          <w:rFonts w:ascii="Arial" w:eastAsia="CIDFont+F2" w:hAnsi="Arial" w:cs="Arial"/>
        </w:rPr>
        <w:t xml:space="preserve">To be eligible to deliver </w:t>
      </w:r>
      <w:r w:rsidR="006C4D3A" w:rsidRPr="00234BDF">
        <w:rPr>
          <w:rFonts w:ascii="Arial" w:eastAsia="CIDFont+F2" w:hAnsi="Arial" w:cs="Arial"/>
        </w:rPr>
        <w:t>CV</w:t>
      </w:r>
      <w:r w:rsidR="006C4D3A">
        <w:rPr>
          <w:rFonts w:ascii="Arial" w:eastAsia="CIDFont+F2" w:hAnsi="Arial" w:cs="Arial"/>
        </w:rPr>
        <w:t>D</w:t>
      </w:r>
      <w:r w:rsidR="006C4D3A" w:rsidRPr="00234BDF">
        <w:rPr>
          <w:rFonts w:ascii="Arial" w:eastAsia="CIDFont+F2" w:hAnsi="Arial" w:cs="Arial"/>
        </w:rPr>
        <w:t xml:space="preserve"> </w:t>
      </w:r>
      <w:r w:rsidRPr="00234BDF">
        <w:rPr>
          <w:rFonts w:ascii="Arial" w:eastAsia="CIDFont+F2" w:hAnsi="Arial" w:cs="Arial"/>
        </w:rPr>
        <w:t>Risk Assessment a pharmacy must demonstrate that it has the following:</w:t>
      </w:r>
    </w:p>
    <w:p w14:paraId="40819988" w14:textId="64F1B884" w:rsidR="00B07414" w:rsidRPr="00234BDF" w:rsidRDefault="00B07414" w:rsidP="00581479">
      <w:pPr>
        <w:pStyle w:val="ListParagraph"/>
        <w:numPr>
          <w:ilvl w:val="0"/>
          <w:numId w:val="31"/>
        </w:numPr>
        <w:autoSpaceDE w:val="0"/>
        <w:autoSpaceDN w:val="0"/>
        <w:adjustRightInd w:val="0"/>
        <w:spacing w:before="0" w:after="0" w:line="240" w:lineRule="auto"/>
        <w:ind w:left="1134"/>
        <w:rPr>
          <w:rFonts w:ascii="Arial" w:eastAsia="CIDFont+F2" w:hAnsi="Arial" w:cs="Arial"/>
        </w:rPr>
      </w:pPr>
      <w:r w:rsidRPr="00234BDF">
        <w:rPr>
          <w:rFonts w:ascii="Arial" w:eastAsia="CIDFont+F2" w:hAnsi="Arial" w:cs="Arial"/>
        </w:rPr>
        <w:t xml:space="preserve">A separate counselling room or private counselling </w:t>
      </w:r>
      <w:proofErr w:type="gramStart"/>
      <w:r w:rsidRPr="00234BDF">
        <w:rPr>
          <w:rFonts w:ascii="Arial" w:eastAsia="CIDFont+F2" w:hAnsi="Arial" w:cs="Arial"/>
        </w:rPr>
        <w:t>area</w:t>
      </w:r>
      <w:r w:rsidR="00D50A7C">
        <w:rPr>
          <w:rFonts w:ascii="Arial" w:eastAsia="CIDFont+F2" w:hAnsi="Arial" w:cs="Arial"/>
        </w:rPr>
        <w:t>;</w:t>
      </w:r>
      <w:proofErr w:type="gramEnd"/>
    </w:p>
    <w:p w14:paraId="46EBC681" w14:textId="7017A4D4" w:rsidR="00B07414" w:rsidRPr="00234BDF" w:rsidRDefault="00B07414" w:rsidP="00581479">
      <w:pPr>
        <w:pStyle w:val="ListParagraph"/>
        <w:numPr>
          <w:ilvl w:val="0"/>
          <w:numId w:val="31"/>
        </w:numPr>
        <w:autoSpaceDE w:val="0"/>
        <w:autoSpaceDN w:val="0"/>
        <w:adjustRightInd w:val="0"/>
        <w:spacing w:before="0" w:after="0" w:line="240" w:lineRule="auto"/>
        <w:ind w:left="1134"/>
        <w:rPr>
          <w:rFonts w:ascii="Arial" w:eastAsia="CIDFont+F2" w:hAnsi="Arial" w:cs="Arial"/>
        </w:rPr>
      </w:pPr>
      <w:r w:rsidRPr="00234BDF">
        <w:rPr>
          <w:rFonts w:ascii="Arial" w:eastAsia="CIDFont+F2" w:hAnsi="Arial" w:cs="Arial"/>
        </w:rPr>
        <w:t xml:space="preserve">One pharmacist with requisite training and competency to conduct </w:t>
      </w:r>
      <w:proofErr w:type="gramStart"/>
      <w:r w:rsidR="00E26E68" w:rsidRPr="00234BDF">
        <w:rPr>
          <w:rFonts w:ascii="Arial" w:eastAsia="CIDFont+F2" w:hAnsi="Arial" w:cs="Arial"/>
        </w:rPr>
        <w:t>screening</w:t>
      </w:r>
      <w:r w:rsidR="00D50A7C">
        <w:rPr>
          <w:rFonts w:ascii="Arial" w:eastAsia="CIDFont+F2" w:hAnsi="Arial" w:cs="Arial"/>
        </w:rPr>
        <w:t>;</w:t>
      </w:r>
      <w:proofErr w:type="gramEnd"/>
      <w:r w:rsidR="00D50A7C">
        <w:rPr>
          <w:rFonts w:ascii="Arial" w:eastAsia="CIDFont+F2" w:hAnsi="Arial" w:cs="Arial"/>
        </w:rPr>
        <w:t xml:space="preserve"> and</w:t>
      </w:r>
    </w:p>
    <w:p w14:paraId="37F8CB8E" w14:textId="4F04B92E" w:rsidR="00B07414" w:rsidRPr="007B6D23" w:rsidRDefault="00B07414" w:rsidP="006C4D3A">
      <w:pPr>
        <w:pStyle w:val="ListParagraph"/>
        <w:numPr>
          <w:ilvl w:val="0"/>
          <w:numId w:val="31"/>
        </w:numPr>
        <w:autoSpaceDE w:val="0"/>
        <w:autoSpaceDN w:val="0"/>
        <w:adjustRightInd w:val="0"/>
        <w:spacing w:before="0" w:after="0" w:line="240" w:lineRule="auto"/>
        <w:ind w:left="1134"/>
        <w:rPr>
          <w:rFonts w:ascii="CIDFont+F2" w:eastAsia="CIDFont+F2" w:hAnsiTheme="minorHAnsi" w:cs="CIDFont+F2"/>
        </w:rPr>
      </w:pPr>
      <w:r w:rsidRPr="007B6D23">
        <w:rPr>
          <w:rFonts w:ascii="Arial" w:eastAsia="CIDFont+F2" w:hAnsi="Arial" w:cs="Arial"/>
        </w:rPr>
        <w:t>Appropriate documentation, software and suitable, regularly calibrated POC</w:t>
      </w:r>
      <w:r w:rsidR="007B6D23">
        <w:rPr>
          <w:rFonts w:ascii="Arial" w:eastAsia="CIDFont+F2" w:hAnsi="Arial" w:cs="Arial"/>
        </w:rPr>
        <w:t xml:space="preserve"> </w:t>
      </w:r>
      <w:r w:rsidRPr="007B6D23">
        <w:rPr>
          <w:rFonts w:ascii="Arial" w:eastAsia="CIDFont+F2" w:hAnsi="Arial" w:cs="Arial"/>
        </w:rPr>
        <w:t>equipment and consumables</w:t>
      </w:r>
      <w:r w:rsidR="00D50A7C">
        <w:rPr>
          <w:rFonts w:ascii="Arial" w:eastAsia="CIDFont+F2" w:hAnsi="Arial" w:cs="Arial"/>
        </w:rPr>
        <w:t>.</w:t>
      </w:r>
    </w:p>
    <w:p w14:paraId="7767DE54" w14:textId="0994064C" w:rsidR="008E2F92" w:rsidRPr="00F95B71" w:rsidRDefault="008E2F92" w:rsidP="00581479">
      <w:pPr>
        <w:spacing w:before="0" w:after="0" w:line="240" w:lineRule="auto"/>
        <w:rPr>
          <w:rFonts w:ascii="Arial" w:hAnsi="Arial" w:cs="Arial"/>
        </w:rPr>
        <w:sectPr w:rsidR="008E2F92" w:rsidRPr="00F95B71" w:rsidSect="004775D5">
          <w:pgSz w:w="11906" w:h="16838"/>
          <w:pgMar w:top="1440" w:right="1416" w:bottom="1440" w:left="1440" w:header="709" w:footer="709" w:gutter="0"/>
          <w:cols w:space="708"/>
          <w:docGrid w:linePitch="360"/>
        </w:sectPr>
      </w:pPr>
    </w:p>
    <w:p w14:paraId="370A0CD1" w14:textId="23C06A10" w:rsidR="00BC6897" w:rsidRPr="00F95B71" w:rsidRDefault="00BC6897" w:rsidP="00F95B71">
      <w:pPr>
        <w:pStyle w:val="Heading1"/>
        <w:numPr>
          <w:ilvl w:val="0"/>
          <w:numId w:val="0"/>
        </w:numPr>
        <w:spacing w:before="0" w:after="0" w:line="360" w:lineRule="auto"/>
        <w:ind w:left="357" w:hanging="357"/>
        <w:rPr>
          <w:rFonts w:ascii="Arial" w:hAnsi="Arial" w:cs="Arial"/>
        </w:rPr>
      </w:pPr>
      <w:bookmarkStart w:id="10" w:name="_Toc137535728"/>
      <w:r w:rsidRPr="00F95B71">
        <w:rPr>
          <w:rFonts w:ascii="Arial" w:hAnsi="Arial" w:cs="Arial"/>
        </w:rPr>
        <w:lastRenderedPageBreak/>
        <w:t>Acronyms and abbreviations</w:t>
      </w:r>
      <w:bookmarkEnd w:id="10"/>
    </w:p>
    <w:p w14:paraId="6239451F" w14:textId="77777777" w:rsidR="00BC6897" w:rsidRPr="00F95B71" w:rsidRDefault="00BC6897" w:rsidP="00A85BF7">
      <w:pPr>
        <w:tabs>
          <w:tab w:val="left" w:pos="2835"/>
        </w:tabs>
        <w:spacing w:before="0" w:after="0" w:line="360" w:lineRule="auto"/>
        <w:rPr>
          <w:rFonts w:ascii="Arial" w:hAnsi="Arial" w:cs="Arial"/>
        </w:rPr>
      </w:pPr>
      <w:r w:rsidRPr="00F95B71">
        <w:rPr>
          <w:rFonts w:ascii="Arial" w:hAnsi="Arial" w:cs="Arial"/>
        </w:rPr>
        <w:t>AIHW</w:t>
      </w:r>
      <w:r w:rsidRPr="00F95B71">
        <w:rPr>
          <w:rFonts w:ascii="Arial" w:hAnsi="Arial" w:cs="Arial"/>
        </w:rPr>
        <w:tab/>
        <w:t>Australian Institute of Health and Welfare</w:t>
      </w:r>
    </w:p>
    <w:p w14:paraId="4A1D91C0" w14:textId="4FEF88ED" w:rsidR="00BC6897" w:rsidRPr="00F95B71" w:rsidRDefault="00BC6897" w:rsidP="00A85BF7">
      <w:pPr>
        <w:tabs>
          <w:tab w:val="left" w:pos="2835"/>
        </w:tabs>
        <w:spacing w:before="0" w:after="0" w:line="360" w:lineRule="auto"/>
        <w:rPr>
          <w:rFonts w:ascii="Arial" w:hAnsi="Arial" w:cs="Arial"/>
        </w:rPr>
      </w:pPr>
      <w:r w:rsidRPr="00F95B71">
        <w:rPr>
          <w:rFonts w:ascii="Arial" w:hAnsi="Arial" w:cs="Arial"/>
        </w:rPr>
        <w:t>ARTG</w:t>
      </w:r>
      <w:r w:rsidRPr="00F95B71">
        <w:rPr>
          <w:rFonts w:ascii="Arial" w:hAnsi="Arial" w:cs="Arial"/>
        </w:rPr>
        <w:tab/>
        <w:t>Australian Register of Therapeutic Goods</w:t>
      </w:r>
    </w:p>
    <w:p w14:paraId="3364CE08" w14:textId="733A211A" w:rsidR="0062541C" w:rsidRPr="00F95B71" w:rsidRDefault="0062541C" w:rsidP="00A85BF7">
      <w:pPr>
        <w:tabs>
          <w:tab w:val="left" w:pos="2835"/>
        </w:tabs>
        <w:spacing w:before="0" w:after="0" w:line="360" w:lineRule="auto"/>
        <w:rPr>
          <w:rFonts w:ascii="Arial" w:hAnsi="Arial" w:cs="Arial"/>
        </w:rPr>
      </w:pPr>
      <w:r w:rsidRPr="00F95B71">
        <w:rPr>
          <w:rFonts w:ascii="Arial" w:hAnsi="Arial" w:cs="Arial"/>
        </w:rPr>
        <w:t>AUSDRISK</w:t>
      </w:r>
      <w:r w:rsidR="00A85BF7">
        <w:rPr>
          <w:rFonts w:ascii="Arial" w:hAnsi="Arial" w:cs="Arial"/>
        </w:rPr>
        <w:tab/>
      </w:r>
      <w:r w:rsidRPr="00F95B71">
        <w:rPr>
          <w:rFonts w:ascii="Arial" w:hAnsi="Arial" w:cs="Arial"/>
        </w:rPr>
        <w:t>Australian Type 2 Diabetes Risk Assessment Tool</w:t>
      </w:r>
    </w:p>
    <w:p w14:paraId="6B6D4445" w14:textId="185B4A02" w:rsidR="00BC6897" w:rsidRPr="00F95B71" w:rsidRDefault="00BC6897" w:rsidP="00A85BF7">
      <w:pPr>
        <w:tabs>
          <w:tab w:val="left" w:pos="2835"/>
        </w:tabs>
        <w:spacing w:before="0" w:after="0" w:line="360" w:lineRule="auto"/>
        <w:rPr>
          <w:rFonts w:ascii="Arial" w:hAnsi="Arial" w:cs="Arial"/>
        </w:rPr>
      </w:pPr>
      <w:r w:rsidRPr="00F95B71">
        <w:rPr>
          <w:rFonts w:ascii="Arial" w:hAnsi="Arial" w:cs="Arial"/>
        </w:rPr>
        <w:t>CI</w:t>
      </w:r>
      <w:r w:rsidRPr="00F95B71">
        <w:rPr>
          <w:rFonts w:ascii="Arial" w:hAnsi="Arial" w:cs="Arial"/>
        </w:rPr>
        <w:tab/>
        <w:t>confidence interval</w:t>
      </w:r>
    </w:p>
    <w:p w14:paraId="0132ECD9" w14:textId="0BFD1F6E" w:rsidR="00E24FEE" w:rsidRPr="00F95B71" w:rsidRDefault="00E24FEE" w:rsidP="00A85BF7">
      <w:pPr>
        <w:tabs>
          <w:tab w:val="left" w:pos="2835"/>
        </w:tabs>
        <w:spacing w:before="0" w:after="0" w:line="360" w:lineRule="auto"/>
        <w:rPr>
          <w:rFonts w:ascii="Arial" w:hAnsi="Arial" w:cs="Arial"/>
        </w:rPr>
      </w:pPr>
      <w:r w:rsidRPr="00F95B71">
        <w:rPr>
          <w:rFonts w:ascii="Arial" w:hAnsi="Arial" w:cs="Arial"/>
        </w:rPr>
        <w:t>CVD</w:t>
      </w:r>
      <w:r w:rsidRPr="00F95B71">
        <w:rPr>
          <w:rFonts w:ascii="Arial" w:hAnsi="Arial" w:cs="Arial"/>
        </w:rPr>
        <w:tab/>
        <w:t>Cardiovascular disease</w:t>
      </w:r>
    </w:p>
    <w:p w14:paraId="5BE54B80" w14:textId="08B8771E" w:rsidR="00A8049D" w:rsidRPr="00F95B71" w:rsidRDefault="00A8049D" w:rsidP="00A85BF7">
      <w:pPr>
        <w:tabs>
          <w:tab w:val="left" w:pos="2835"/>
        </w:tabs>
        <w:spacing w:before="0" w:after="0" w:line="360" w:lineRule="auto"/>
        <w:rPr>
          <w:rFonts w:ascii="Arial" w:hAnsi="Arial" w:cs="Arial"/>
        </w:rPr>
      </w:pPr>
      <w:bookmarkStart w:id="11" w:name="_Hlk68078446"/>
      <w:r w:rsidRPr="00F95B71">
        <w:rPr>
          <w:rFonts w:ascii="Arial" w:hAnsi="Arial" w:cs="Arial"/>
        </w:rPr>
        <w:t>ESC</w:t>
      </w:r>
      <w:r w:rsidRPr="00F95B71">
        <w:rPr>
          <w:rFonts w:ascii="Arial" w:hAnsi="Arial" w:cs="Arial"/>
        </w:rPr>
        <w:tab/>
        <w:t>Evaluation Sub-Committee</w:t>
      </w:r>
    </w:p>
    <w:p w14:paraId="27BE6F53" w14:textId="45CCD05D" w:rsidR="0062541C" w:rsidRPr="00F95B71" w:rsidRDefault="0062541C" w:rsidP="00A85BF7">
      <w:pPr>
        <w:tabs>
          <w:tab w:val="left" w:pos="2835"/>
        </w:tabs>
        <w:spacing w:before="0" w:after="0" w:line="360" w:lineRule="auto"/>
        <w:rPr>
          <w:rFonts w:ascii="Arial" w:hAnsi="Arial" w:cs="Arial"/>
        </w:rPr>
      </w:pPr>
      <w:r w:rsidRPr="00F95B71">
        <w:rPr>
          <w:rFonts w:ascii="Arial" w:hAnsi="Arial" w:cs="Arial"/>
        </w:rPr>
        <w:t>FRE</w:t>
      </w:r>
      <w:r w:rsidRPr="00F95B71">
        <w:rPr>
          <w:rFonts w:ascii="Arial" w:hAnsi="Arial" w:cs="Arial"/>
        </w:rPr>
        <w:tab/>
        <w:t>Framingham Risk Equation</w:t>
      </w:r>
    </w:p>
    <w:bookmarkEnd w:id="11"/>
    <w:p w14:paraId="275240A5" w14:textId="77777777" w:rsidR="00BC6897" w:rsidRPr="00F95B71" w:rsidRDefault="00BC6897" w:rsidP="00A85BF7">
      <w:pPr>
        <w:tabs>
          <w:tab w:val="left" w:pos="2835"/>
        </w:tabs>
        <w:spacing w:before="0" w:after="0" w:line="360" w:lineRule="auto"/>
        <w:rPr>
          <w:rFonts w:ascii="Arial" w:hAnsi="Arial" w:cs="Arial"/>
        </w:rPr>
      </w:pPr>
      <w:proofErr w:type="spellStart"/>
      <w:r w:rsidRPr="00F95B71">
        <w:rPr>
          <w:rFonts w:ascii="Arial" w:hAnsi="Arial" w:cs="Arial"/>
        </w:rPr>
        <w:t>HRQoL</w:t>
      </w:r>
      <w:proofErr w:type="spellEnd"/>
      <w:r w:rsidRPr="00F95B71">
        <w:rPr>
          <w:rFonts w:ascii="Arial" w:hAnsi="Arial" w:cs="Arial"/>
        </w:rPr>
        <w:tab/>
        <w:t>health-related quality of life</w:t>
      </w:r>
    </w:p>
    <w:p w14:paraId="1986CBEA" w14:textId="77777777" w:rsidR="00BC6897" w:rsidRPr="00F95B71" w:rsidRDefault="00BC6897" w:rsidP="00F95B71">
      <w:pPr>
        <w:tabs>
          <w:tab w:val="left" w:pos="2835"/>
        </w:tabs>
        <w:spacing w:before="0" w:after="0" w:line="360" w:lineRule="auto"/>
        <w:rPr>
          <w:rFonts w:ascii="Arial" w:hAnsi="Arial" w:cs="Arial"/>
        </w:rPr>
      </w:pPr>
      <w:r w:rsidRPr="00F95B71">
        <w:rPr>
          <w:rFonts w:ascii="Arial" w:hAnsi="Arial" w:cs="Arial"/>
        </w:rPr>
        <w:t>HTA</w:t>
      </w:r>
      <w:r w:rsidRPr="00F95B71">
        <w:rPr>
          <w:rFonts w:ascii="Arial" w:hAnsi="Arial" w:cs="Arial"/>
        </w:rPr>
        <w:tab/>
        <w:t>health technology assessment</w:t>
      </w:r>
    </w:p>
    <w:p w14:paraId="63499EE8" w14:textId="77777777" w:rsidR="00BC6897" w:rsidRPr="00F95B71" w:rsidRDefault="00BC6897" w:rsidP="00F95B71">
      <w:pPr>
        <w:tabs>
          <w:tab w:val="left" w:pos="2835"/>
        </w:tabs>
        <w:spacing w:before="0" w:after="0" w:line="360" w:lineRule="auto"/>
        <w:rPr>
          <w:rFonts w:ascii="Arial" w:hAnsi="Arial" w:cs="Arial"/>
        </w:rPr>
      </w:pPr>
      <w:r w:rsidRPr="00F95B71">
        <w:rPr>
          <w:rFonts w:ascii="Arial" w:hAnsi="Arial" w:cs="Arial"/>
        </w:rPr>
        <w:t>ICER</w:t>
      </w:r>
      <w:r w:rsidRPr="00F95B71">
        <w:rPr>
          <w:rFonts w:ascii="Arial" w:hAnsi="Arial" w:cs="Arial"/>
        </w:rPr>
        <w:tab/>
        <w:t>incremental cost-effectiveness ratio</w:t>
      </w:r>
    </w:p>
    <w:p w14:paraId="1A620E63" w14:textId="77777777" w:rsidR="00BC6897" w:rsidRPr="00F95B71" w:rsidRDefault="00BC6897" w:rsidP="00F95B71">
      <w:pPr>
        <w:tabs>
          <w:tab w:val="left" w:pos="2835"/>
        </w:tabs>
        <w:spacing w:before="0" w:after="0" w:line="360" w:lineRule="auto"/>
        <w:rPr>
          <w:rFonts w:ascii="Arial" w:hAnsi="Arial" w:cs="Arial"/>
        </w:rPr>
      </w:pPr>
      <w:r w:rsidRPr="00F95B71">
        <w:rPr>
          <w:rFonts w:ascii="Arial" w:hAnsi="Arial" w:cs="Arial"/>
        </w:rPr>
        <w:t>MBS</w:t>
      </w:r>
      <w:r w:rsidRPr="00F95B71">
        <w:rPr>
          <w:rFonts w:ascii="Arial" w:hAnsi="Arial" w:cs="Arial"/>
        </w:rPr>
        <w:tab/>
        <w:t>Medicare Benefits Schedule</w:t>
      </w:r>
    </w:p>
    <w:p w14:paraId="3ECEB937" w14:textId="77777777" w:rsidR="00BC6897" w:rsidRPr="00F95B71" w:rsidRDefault="00BC6897" w:rsidP="00F95B71">
      <w:pPr>
        <w:tabs>
          <w:tab w:val="left" w:pos="2835"/>
        </w:tabs>
        <w:spacing w:before="0" w:after="0" w:line="360" w:lineRule="auto"/>
        <w:rPr>
          <w:rFonts w:ascii="Arial" w:hAnsi="Arial" w:cs="Arial"/>
        </w:rPr>
      </w:pPr>
      <w:r w:rsidRPr="00F95B71">
        <w:rPr>
          <w:rFonts w:ascii="Arial" w:hAnsi="Arial" w:cs="Arial"/>
        </w:rPr>
        <w:t>MD</w:t>
      </w:r>
      <w:r w:rsidRPr="00F95B71">
        <w:rPr>
          <w:rFonts w:ascii="Arial" w:hAnsi="Arial" w:cs="Arial"/>
        </w:rPr>
        <w:tab/>
        <w:t>mean difference</w:t>
      </w:r>
    </w:p>
    <w:p w14:paraId="7342730B" w14:textId="77777777" w:rsidR="00915929" w:rsidRPr="00F95B71" w:rsidRDefault="00BC6897" w:rsidP="00915929">
      <w:pPr>
        <w:tabs>
          <w:tab w:val="left" w:pos="2835"/>
        </w:tabs>
        <w:spacing w:before="0" w:after="0" w:line="360" w:lineRule="auto"/>
        <w:ind w:left="2835" w:hanging="2835"/>
        <w:rPr>
          <w:rFonts w:ascii="Arial" w:hAnsi="Arial" w:cs="Arial"/>
        </w:rPr>
      </w:pPr>
      <w:r w:rsidRPr="00F95B71">
        <w:rPr>
          <w:rFonts w:ascii="Arial" w:hAnsi="Arial" w:cs="Arial"/>
        </w:rPr>
        <w:t>MSAC</w:t>
      </w:r>
      <w:r w:rsidR="00AC4FCB">
        <w:rPr>
          <w:rFonts w:ascii="Arial" w:hAnsi="Arial" w:cs="Arial"/>
        </w:rPr>
        <w:t xml:space="preserve"> ESC</w:t>
      </w:r>
      <w:r w:rsidRPr="00F95B71">
        <w:rPr>
          <w:rFonts w:ascii="Arial" w:hAnsi="Arial" w:cs="Arial"/>
        </w:rPr>
        <w:tab/>
        <w:t>Medical Services Advisory Committee</w:t>
      </w:r>
      <w:r w:rsidR="00915929">
        <w:rPr>
          <w:rFonts w:ascii="Arial" w:hAnsi="Arial" w:cs="Arial"/>
        </w:rPr>
        <w:t xml:space="preserve"> </w:t>
      </w:r>
      <w:r w:rsidR="00915929" w:rsidRPr="00F95B71">
        <w:rPr>
          <w:rFonts w:ascii="Arial" w:hAnsi="Arial" w:cs="Arial"/>
        </w:rPr>
        <w:t>Evaluation Sub-Committee</w:t>
      </w:r>
    </w:p>
    <w:p w14:paraId="0AB373FD" w14:textId="00547BF8" w:rsidR="00BC6897" w:rsidRDefault="00BC6897" w:rsidP="00F95B71">
      <w:pPr>
        <w:tabs>
          <w:tab w:val="left" w:pos="2835"/>
        </w:tabs>
        <w:spacing w:before="0" w:after="0" w:line="360" w:lineRule="auto"/>
        <w:rPr>
          <w:rFonts w:ascii="Arial" w:hAnsi="Arial" w:cs="Arial"/>
        </w:rPr>
      </w:pPr>
      <w:r w:rsidRPr="00F95B71">
        <w:rPr>
          <w:rFonts w:ascii="Arial" w:hAnsi="Arial" w:cs="Arial"/>
        </w:rPr>
        <w:t>NHMRC</w:t>
      </w:r>
      <w:r w:rsidRPr="00F95B71">
        <w:rPr>
          <w:rFonts w:ascii="Arial" w:hAnsi="Arial" w:cs="Arial"/>
        </w:rPr>
        <w:tab/>
        <w:t>National Health and Medical Research Council</w:t>
      </w:r>
    </w:p>
    <w:p w14:paraId="44249578" w14:textId="3B92CF68" w:rsidR="00BD2694" w:rsidRPr="00F95B71" w:rsidRDefault="00BD2694" w:rsidP="00F95B71">
      <w:pPr>
        <w:tabs>
          <w:tab w:val="left" w:pos="2835"/>
        </w:tabs>
        <w:spacing w:before="0" w:after="0" w:line="360" w:lineRule="auto"/>
        <w:rPr>
          <w:rFonts w:ascii="Arial" w:hAnsi="Arial" w:cs="Arial"/>
        </w:rPr>
      </w:pPr>
      <w:r>
        <w:rPr>
          <w:rFonts w:ascii="Arial" w:hAnsi="Arial" w:cs="Arial"/>
        </w:rPr>
        <w:t>PBS</w:t>
      </w:r>
      <w:r>
        <w:rPr>
          <w:rFonts w:ascii="Arial" w:hAnsi="Arial" w:cs="Arial"/>
        </w:rPr>
        <w:tab/>
        <w:t xml:space="preserve">Pharmaceutical Benefits </w:t>
      </w:r>
      <w:r w:rsidR="00203A98">
        <w:rPr>
          <w:rFonts w:ascii="Arial" w:hAnsi="Arial" w:cs="Arial"/>
        </w:rPr>
        <w:t>Scheme</w:t>
      </w:r>
    </w:p>
    <w:p w14:paraId="21756690" w14:textId="77777777" w:rsidR="00BC6897" w:rsidRPr="00F95B71" w:rsidRDefault="00BC6897" w:rsidP="00F95B71">
      <w:pPr>
        <w:tabs>
          <w:tab w:val="left" w:pos="2835"/>
        </w:tabs>
        <w:spacing w:before="0" w:after="0" w:line="360" w:lineRule="auto"/>
        <w:rPr>
          <w:rFonts w:ascii="Arial" w:hAnsi="Arial" w:cs="Arial"/>
        </w:rPr>
      </w:pPr>
      <w:r w:rsidRPr="00F95B71">
        <w:rPr>
          <w:rFonts w:ascii="Arial" w:hAnsi="Arial" w:cs="Arial"/>
        </w:rPr>
        <w:t>PASC</w:t>
      </w:r>
      <w:r w:rsidRPr="00F95B71">
        <w:rPr>
          <w:rFonts w:ascii="Arial" w:hAnsi="Arial" w:cs="Arial"/>
        </w:rPr>
        <w:tab/>
        <w:t>PICO Confirmation Advisory Sub-Committee of the MSAC</w:t>
      </w:r>
    </w:p>
    <w:p w14:paraId="21FE77D7" w14:textId="04113349" w:rsidR="00DC4F64" w:rsidRPr="00F95B71" w:rsidRDefault="00BC6897" w:rsidP="00F95B71">
      <w:pPr>
        <w:tabs>
          <w:tab w:val="left" w:pos="2835"/>
        </w:tabs>
        <w:spacing w:before="0" w:after="0" w:line="360" w:lineRule="auto"/>
        <w:rPr>
          <w:rFonts w:ascii="Arial" w:hAnsi="Arial" w:cs="Arial"/>
        </w:rPr>
      </w:pPr>
      <w:r w:rsidRPr="00F95B71">
        <w:rPr>
          <w:rFonts w:ascii="Arial" w:hAnsi="Arial" w:cs="Arial"/>
        </w:rPr>
        <w:t>QALY</w:t>
      </w:r>
      <w:r w:rsidRPr="00F95B71">
        <w:rPr>
          <w:rFonts w:ascii="Arial" w:hAnsi="Arial" w:cs="Arial"/>
        </w:rPr>
        <w:tab/>
      </w:r>
      <w:r w:rsidR="00A46652" w:rsidRPr="00F95B71">
        <w:rPr>
          <w:rFonts w:ascii="Arial" w:hAnsi="Arial" w:cs="Arial"/>
        </w:rPr>
        <w:t>q</w:t>
      </w:r>
      <w:r w:rsidRPr="00F95B71">
        <w:rPr>
          <w:rFonts w:ascii="Arial" w:hAnsi="Arial" w:cs="Arial"/>
        </w:rPr>
        <w:t>uality</w:t>
      </w:r>
      <w:r w:rsidR="001A7D8F" w:rsidRPr="00F95B71">
        <w:rPr>
          <w:rFonts w:ascii="Arial" w:hAnsi="Arial" w:cs="Arial"/>
        </w:rPr>
        <w:t>-</w:t>
      </w:r>
      <w:r w:rsidRPr="00F95B71">
        <w:rPr>
          <w:rFonts w:ascii="Arial" w:hAnsi="Arial" w:cs="Arial"/>
        </w:rPr>
        <w:t>adjusted life year</w:t>
      </w:r>
      <w:bookmarkStart w:id="12" w:name="_Hlk68078387"/>
    </w:p>
    <w:bookmarkEnd w:id="12"/>
    <w:p w14:paraId="18F47470" w14:textId="77777777" w:rsidR="00BC6897" w:rsidRPr="00F95B71" w:rsidRDefault="00BC6897" w:rsidP="00F95B71">
      <w:pPr>
        <w:tabs>
          <w:tab w:val="left" w:pos="2835"/>
        </w:tabs>
        <w:spacing w:before="0" w:after="0" w:line="360" w:lineRule="auto"/>
        <w:rPr>
          <w:rFonts w:ascii="Arial" w:hAnsi="Arial" w:cs="Arial"/>
        </w:rPr>
      </w:pPr>
      <w:r w:rsidRPr="00F95B71">
        <w:rPr>
          <w:rFonts w:ascii="Arial" w:hAnsi="Arial" w:cs="Arial"/>
        </w:rPr>
        <w:t>TGA</w:t>
      </w:r>
      <w:r w:rsidRPr="00F95B71">
        <w:rPr>
          <w:rFonts w:ascii="Arial" w:hAnsi="Arial" w:cs="Arial"/>
        </w:rPr>
        <w:tab/>
        <w:t>Therapeutic Goods Administration</w:t>
      </w:r>
    </w:p>
    <w:p w14:paraId="27B1B883" w14:textId="6800451E" w:rsidR="00BC6897" w:rsidRPr="00CE28E3" w:rsidRDefault="00BC6897" w:rsidP="00BC6897"/>
    <w:p w14:paraId="6D686D55" w14:textId="77777777" w:rsidR="00BC6897" w:rsidRPr="00CE28E3" w:rsidRDefault="00BC6897" w:rsidP="00BC6897">
      <w:pPr>
        <w:sectPr w:rsidR="00BC6897" w:rsidRPr="00CE28E3" w:rsidSect="00DE7099">
          <w:type w:val="oddPage"/>
          <w:pgSz w:w="11906" w:h="16838"/>
          <w:pgMar w:top="1440" w:right="1440" w:bottom="1440" w:left="1440" w:header="708" w:footer="708" w:gutter="0"/>
          <w:cols w:space="708"/>
          <w:docGrid w:linePitch="360"/>
        </w:sectPr>
      </w:pPr>
    </w:p>
    <w:p w14:paraId="0C152C03" w14:textId="0FDC5873" w:rsidR="004008AF" w:rsidRPr="00F95B71" w:rsidRDefault="004008AF" w:rsidP="00F95B71">
      <w:pPr>
        <w:pStyle w:val="Heading1"/>
        <w:spacing w:before="0" w:after="0"/>
        <w:ind w:left="284"/>
        <w:rPr>
          <w:rFonts w:ascii="Arial" w:hAnsi="Arial" w:cs="Arial"/>
          <w:b/>
          <w:bCs/>
        </w:rPr>
      </w:pPr>
      <w:bookmarkStart w:id="13" w:name="_Toc137535729"/>
      <w:r w:rsidRPr="00F95B71">
        <w:rPr>
          <w:rFonts w:ascii="Arial" w:hAnsi="Arial" w:cs="Arial"/>
          <w:b/>
          <w:bCs/>
        </w:rPr>
        <w:lastRenderedPageBreak/>
        <w:t>Context</w:t>
      </w:r>
      <w:bookmarkEnd w:id="13"/>
    </w:p>
    <w:p w14:paraId="1BC83FAD" w14:textId="659B0021" w:rsidR="00F95B71" w:rsidRPr="009043BF" w:rsidRDefault="00004F7F" w:rsidP="00E84F3F">
      <w:pPr>
        <w:pStyle w:val="Heading2"/>
        <w:spacing w:before="300" w:after="400"/>
        <w:ind w:left="357" w:hanging="357"/>
        <w:rPr>
          <w:rFonts w:ascii="Arial" w:hAnsi="Arial" w:cs="Arial"/>
          <w:b/>
          <w:bCs/>
        </w:rPr>
      </w:pPr>
      <w:bookmarkStart w:id="14" w:name="_Toc137535730"/>
      <w:r w:rsidRPr="00F95B71">
        <w:rPr>
          <w:rFonts w:ascii="Arial" w:hAnsi="Arial" w:cs="Arial"/>
          <w:b/>
          <w:bCs/>
        </w:rPr>
        <w:t>Purpose of application</w:t>
      </w:r>
      <w:bookmarkEnd w:id="14"/>
      <w:r w:rsidRPr="00F95B71">
        <w:rPr>
          <w:rFonts w:ascii="Arial" w:hAnsi="Arial" w:cs="Arial"/>
          <w:b/>
          <w:bCs/>
        </w:rPr>
        <w:t xml:space="preserve"> </w:t>
      </w:r>
    </w:p>
    <w:p w14:paraId="1C2184FC" w14:textId="248F86F3" w:rsidR="00826E47" w:rsidRPr="00F95B71" w:rsidRDefault="00D419C9" w:rsidP="00A85BF7">
      <w:pPr>
        <w:spacing w:before="0" w:line="240" w:lineRule="auto"/>
        <w:rPr>
          <w:rFonts w:ascii="Arial" w:hAnsi="Arial" w:cs="Arial"/>
        </w:rPr>
      </w:pPr>
      <w:r w:rsidRPr="00F95B71">
        <w:rPr>
          <w:rFonts w:ascii="Arial" w:hAnsi="Arial" w:cs="Arial"/>
        </w:rPr>
        <w:t xml:space="preserve">This </w:t>
      </w:r>
      <w:r w:rsidR="00E2501B" w:rsidRPr="00F95B71">
        <w:rPr>
          <w:rFonts w:ascii="Arial" w:hAnsi="Arial" w:cs="Arial"/>
        </w:rPr>
        <w:t>ADAR</w:t>
      </w:r>
      <w:r w:rsidRPr="00F95B71">
        <w:rPr>
          <w:rFonts w:ascii="Arial" w:hAnsi="Arial" w:cs="Arial"/>
        </w:rPr>
        <w:t xml:space="preserve"> of for the </w:t>
      </w:r>
      <w:r w:rsidR="00D53A0F" w:rsidRPr="00F95B71">
        <w:rPr>
          <w:rFonts w:ascii="Arial" w:hAnsi="Arial" w:cs="Arial"/>
        </w:rPr>
        <w:t>‘</w:t>
      </w:r>
      <w:r w:rsidR="005A5E28" w:rsidRPr="00F95B71">
        <w:rPr>
          <w:rFonts w:ascii="Arial" w:hAnsi="Arial" w:cs="Arial"/>
        </w:rPr>
        <w:t xml:space="preserve">early detection and management of cardiovascular disease </w:t>
      </w:r>
      <w:r w:rsidR="00986D41" w:rsidRPr="00F95B71">
        <w:rPr>
          <w:rFonts w:ascii="Arial" w:hAnsi="Arial" w:cs="Arial"/>
        </w:rPr>
        <w:t xml:space="preserve">(CVD) </w:t>
      </w:r>
      <w:r w:rsidR="005A5E28" w:rsidRPr="00F95B71">
        <w:rPr>
          <w:rFonts w:ascii="Arial" w:hAnsi="Arial" w:cs="Arial"/>
        </w:rPr>
        <w:t>risk factors in community pharmacy</w:t>
      </w:r>
      <w:r w:rsidR="00D53A0F" w:rsidRPr="00F95B71">
        <w:rPr>
          <w:rFonts w:ascii="Arial" w:hAnsi="Arial" w:cs="Arial"/>
        </w:rPr>
        <w:t>’</w:t>
      </w:r>
      <w:r w:rsidRPr="00F95B71">
        <w:rPr>
          <w:rFonts w:ascii="Arial" w:hAnsi="Arial" w:cs="Arial"/>
        </w:rPr>
        <w:t xml:space="preserve"> is intended for the Medical Services Advisory Committee (MSAC).</w:t>
      </w:r>
    </w:p>
    <w:p w14:paraId="4E4CAEC3" w14:textId="76012258" w:rsidR="00826E47" w:rsidRPr="00F95B71" w:rsidRDefault="003371B5" w:rsidP="00A85BF7">
      <w:pPr>
        <w:spacing w:before="0" w:line="240" w:lineRule="auto"/>
        <w:rPr>
          <w:rFonts w:ascii="Arial" w:hAnsi="Arial" w:cs="Arial"/>
        </w:rPr>
      </w:pPr>
      <w:r w:rsidRPr="00F95B71">
        <w:rPr>
          <w:rFonts w:ascii="Arial" w:hAnsi="Arial" w:cs="Arial"/>
        </w:rPr>
        <w:t xml:space="preserve">MSAC appraises medical services, health technologies and health programs for public funding through an assessment of their comparative safety, clinical effectiveness, </w:t>
      </w:r>
      <w:proofErr w:type="gramStart"/>
      <w:r w:rsidRPr="00F95B71">
        <w:rPr>
          <w:rFonts w:ascii="Arial" w:hAnsi="Arial" w:cs="Arial"/>
        </w:rPr>
        <w:t>cost</w:t>
      </w:r>
      <w:r w:rsidR="005F1555" w:rsidRPr="00F95B71">
        <w:rPr>
          <w:rFonts w:ascii="Arial" w:hAnsi="Arial" w:cs="Arial"/>
        </w:rPr>
        <w:t>-</w:t>
      </w:r>
      <w:r w:rsidRPr="00F95B71">
        <w:rPr>
          <w:rFonts w:ascii="Arial" w:hAnsi="Arial" w:cs="Arial"/>
        </w:rPr>
        <w:t>effectiveness</w:t>
      </w:r>
      <w:proofErr w:type="gramEnd"/>
      <w:r w:rsidRPr="00F95B71">
        <w:rPr>
          <w:rFonts w:ascii="Arial" w:hAnsi="Arial" w:cs="Arial"/>
        </w:rPr>
        <w:t xml:space="preserve"> and total cost, using the best available evidence. This includes, but is not limited to</w:t>
      </w:r>
      <w:r w:rsidR="005F1555" w:rsidRPr="00F95B71">
        <w:rPr>
          <w:rFonts w:ascii="Arial" w:hAnsi="Arial" w:cs="Arial"/>
        </w:rPr>
        <w:t>,</w:t>
      </w:r>
      <w:r w:rsidRPr="00F95B71">
        <w:rPr>
          <w:rFonts w:ascii="Arial" w:hAnsi="Arial" w:cs="Arial"/>
        </w:rPr>
        <w:t xml:space="preserve"> amendments and reviews of existing services funded on the Medicare Benefits Schedule (MBS) or other non-MBS</w:t>
      </w:r>
      <w:r w:rsidR="005F1555" w:rsidRPr="00F95B71">
        <w:rPr>
          <w:rFonts w:ascii="Arial" w:hAnsi="Arial" w:cs="Arial"/>
        </w:rPr>
        <w:t>-</w:t>
      </w:r>
      <w:r w:rsidRPr="00F95B71">
        <w:rPr>
          <w:rFonts w:ascii="Arial" w:hAnsi="Arial" w:cs="Arial"/>
        </w:rPr>
        <w:t>funded programs (</w:t>
      </w:r>
      <w:r w:rsidR="007B6D23" w:rsidRPr="00F95B71">
        <w:rPr>
          <w:rFonts w:ascii="Arial" w:hAnsi="Arial" w:cs="Arial"/>
        </w:rPr>
        <w:t>e.g.,</w:t>
      </w:r>
      <w:r w:rsidR="005F1555" w:rsidRPr="00F95B71">
        <w:rPr>
          <w:rFonts w:ascii="Arial" w:hAnsi="Arial" w:cs="Arial"/>
        </w:rPr>
        <w:t> </w:t>
      </w:r>
      <w:r w:rsidRPr="00F95B71">
        <w:rPr>
          <w:rFonts w:ascii="Arial" w:hAnsi="Arial" w:cs="Arial"/>
        </w:rPr>
        <w:t>blood products, screening programs or prostheses referred to the Prostheses List Advisory Committee).</w:t>
      </w:r>
    </w:p>
    <w:p w14:paraId="40F1364C" w14:textId="3138F138" w:rsidR="00826E47" w:rsidRPr="00F95B71" w:rsidRDefault="005A5E28" w:rsidP="00A85BF7">
      <w:pPr>
        <w:spacing w:before="0" w:line="240" w:lineRule="auto"/>
        <w:rPr>
          <w:rFonts w:ascii="Arial" w:hAnsi="Arial" w:cs="Arial"/>
        </w:rPr>
      </w:pPr>
      <w:r w:rsidRPr="00F95B71">
        <w:rPr>
          <w:rFonts w:ascii="Arial" w:hAnsi="Arial" w:cs="Arial"/>
        </w:rPr>
        <w:t>Black Swan Health</w:t>
      </w:r>
      <w:r w:rsidR="00D224E4" w:rsidRPr="00F95B71">
        <w:rPr>
          <w:rFonts w:ascii="Arial" w:hAnsi="Arial" w:cs="Arial"/>
        </w:rPr>
        <w:t xml:space="preserve"> has provided a </w:t>
      </w:r>
      <w:r w:rsidR="00986D41" w:rsidRPr="00F95B71">
        <w:rPr>
          <w:rFonts w:ascii="Arial" w:hAnsi="Arial" w:cs="Arial"/>
        </w:rPr>
        <w:t xml:space="preserve">desktop literature review </w:t>
      </w:r>
      <w:r w:rsidR="00D224E4" w:rsidRPr="00F95B71">
        <w:rPr>
          <w:rFonts w:ascii="Arial" w:hAnsi="Arial" w:cs="Arial"/>
        </w:rPr>
        <w:t xml:space="preserve">of </w:t>
      </w:r>
      <w:r w:rsidR="000350DE" w:rsidRPr="00F95B71">
        <w:rPr>
          <w:rFonts w:ascii="Arial" w:hAnsi="Arial" w:cs="Arial"/>
        </w:rPr>
        <w:t xml:space="preserve">the early detection and management of cardiovascular disease risk factors in community pharmacy </w:t>
      </w:r>
      <w:r w:rsidR="00D224E4" w:rsidRPr="00F95B71">
        <w:rPr>
          <w:rFonts w:ascii="Arial" w:hAnsi="Arial" w:cs="Arial"/>
        </w:rPr>
        <w:t xml:space="preserve">to inform MSAC’s decision-making regarding whether the proposed health technology should be publicly funded through the </w:t>
      </w:r>
      <w:r w:rsidR="008415A9" w:rsidRPr="00F95B71">
        <w:rPr>
          <w:rFonts w:ascii="Arial" w:hAnsi="Arial" w:cs="Arial"/>
        </w:rPr>
        <w:t>Medicare Benefits Schedule</w:t>
      </w:r>
      <w:r w:rsidR="00826E47" w:rsidRPr="00F95B71">
        <w:rPr>
          <w:rFonts w:ascii="Arial" w:hAnsi="Arial" w:cs="Arial"/>
        </w:rPr>
        <w:t>. At the time of writing the draft report the economic evaluation is pending provision of Medicare Benefit Schedule and Pharmaceutical Benefit</w:t>
      </w:r>
      <w:r w:rsidR="00BD2694">
        <w:rPr>
          <w:rFonts w:ascii="Arial" w:hAnsi="Arial" w:cs="Arial"/>
        </w:rPr>
        <w:t>s</w:t>
      </w:r>
      <w:r w:rsidR="00826E47" w:rsidRPr="00F95B71">
        <w:rPr>
          <w:rFonts w:ascii="Arial" w:hAnsi="Arial" w:cs="Arial"/>
        </w:rPr>
        <w:t xml:space="preserve"> </w:t>
      </w:r>
      <w:r w:rsidR="00B057EC">
        <w:rPr>
          <w:rFonts w:ascii="Arial" w:hAnsi="Arial" w:cs="Arial"/>
        </w:rPr>
        <w:t>Scheme</w:t>
      </w:r>
      <w:r w:rsidR="00B057EC" w:rsidRPr="00F95B71">
        <w:rPr>
          <w:rFonts w:ascii="Arial" w:hAnsi="Arial" w:cs="Arial"/>
        </w:rPr>
        <w:t xml:space="preserve"> </w:t>
      </w:r>
      <w:r w:rsidR="00826E47" w:rsidRPr="00F95B71">
        <w:rPr>
          <w:rFonts w:ascii="Arial" w:hAnsi="Arial" w:cs="Arial"/>
        </w:rPr>
        <w:t>data.</w:t>
      </w:r>
    </w:p>
    <w:p w14:paraId="68DC9534" w14:textId="708ABC1F" w:rsidR="00826E47" w:rsidRPr="00F95B71" w:rsidRDefault="00BC17C8" w:rsidP="00A85BF7">
      <w:pPr>
        <w:spacing w:before="0" w:line="240" w:lineRule="auto"/>
        <w:rPr>
          <w:rFonts w:ascii="Arial" w:hAnsi="Arial" w:cs="Arial"/>
        </w:rPr>
      </w:pPr>
      <w:r w:rsidRPr="00F95B71">
        <w:rPr>
          <w:rFonts w:ascii="Arial" w:hAnsi="Arial" w:cs="Arial"/>
        </w:rPr>
        <w:t>Th</w:t>
      </w:r>
      <w:r w:rsidR="002B3681" w:rsidRPr="00F95B71">
        <w:rPr>
          <w:rFonts w:ascii="Arial" w:hAnsi="Arial" w:cs="Arial"/>
        </w:rPr>
        <w:t>e</w:t>
      </w:r>
      <w:r w:rsidRPr="00F95B71">
        <w:rPr>
          <w:rFonts w:ascii="Arial" w:hAnsi="Arial" w:cs="Arial"/>
        </w:rPr>
        <w:t xml:space="preserve"> purpose of this assessment report is to synthesise the information most likely to be useful for committee members. </w:t>
      </w:r>
      <w:r w:rsidR="00C8268F" w:rsidRPr="00F95B71">
        <w:rPr>
          <w:rFonts w:ascii="Arial" w:hAnsi="Arial" w:cs="Arial"/>
        </w:rPr>
        <w:t>Technical appendices</w:t>
      </w:r>
      <w:r w:rsidRPr="00F95B71">
        <w:rPr>
          <w:rFonts w:ascii="Arial" w:hAnsi="Arial" w:cs="Arial"/>
        </w:rPr>
        <w:t xml:space="preserve"> provide assurance of the rigour behind the systematic review and construction of the economic and financial analyses.</w:t>
      </w:r>
    </w:p>
    <w:p w14:paraId="1B439843" w14:textId="155FD5BE" w:rsidR="00F95B71" w:rsidRPr="00A85BF7" w:rsidRDefault="00A63C18" w:rsidP="00A85BF7">
      <w:pPr>
        <w:spacing w:before="0" w:line="240" w:lineRule="auto"/>
        <w:rPr>
          <w:rFonts w:ascii="Arial" w:hAnsi="Arial" w:cs="Arial"/>
        </w:rPr>
      </w:pPr>
      <w:r w:rsidRPr="00F95B71">
        <w:rPr>
          <w:rFonts w:ascii="Arial" w:hAnsi="Arial" w:cs="Arial"/>
        </w:rPr>
        <w:t xml:space="preserve">The proposed use of </w:t>
      </w:r>
      <w:r w:rsidR="000350DE" w:rsidRPr="00F95B71">
        <w:rPr>
          <w:rFonts w:ascii="Arial" w:hAnsi="Arial" w:cs="Arial"/>
        </w:rPr>
        <w:t xml:space="preserve">early detection and management of cardiovascular disease risk factors in community pharmacy </w:t>
      </w:r>
      <w:r w:rsidRPr="00F95B71">
        <w:rPr>
          <w:rFonts w:ascii="Arial" w:hAnsi="Arial" w:cs="Arial"/>
        </w:rPr>
        <w:t xml:space="preserve">in Australian clinical practice was outlined in a PICO </w:t>
      </w:r>
      <w:r w:rsidR="00F227C8" w:rsidRPr="00F95B71">
        <w:rPr>
          <w:rFonts w:ascii="Arial" w:hAnsi="Arial" w:cs="Arial"/>
        </w:rPr>
        <w:t>c</w:t>
      </w:r>
      <w:r w:rsidRPr="00F95B71">
        <w:rPr>
          <w:rFonts w:ascii="Arial" w:hAnsi="Arial" w:cs="Arial"/>
        </w:rPr>
        <w:t>onfirmation that was presented to, and accepted by, the PICO Confirmation Advisory Sub</w:t>
      </w:r>
      <w:r w:rsidR="005F1555" w:rsidRPr="00F95B71">
        <w:rPr>
          <w:rFonts w:ascii="Arial" w:hAnsi="Arial" w:cs="Arial"/>
        </w:rPr>
        <w:t>-</w:t>
      </w:r>
      <w:r w:rsidRPr="00F95B71">
        <w:rPr>
          <w:rFonts w:ascii="Arial" w:hAnsi="Arial" w:cs="Arial"/>
        </w:rPr>
        <w:t>Committee (PASC).</w:t>
      </w:r>
    </w:p>
    <w:p w14:paraId="1D85E75A" w14:textId="1897A3D5" w:rsidR="0002650C" w:rsidRPr="00A85BF7" w:rsidRDefault="007E4C36" w:rsidP="00A85BF7">
      <w:pPr>
        <w:spacing w:before="0" w:line="240" w:lineRule="auto"/>
        <w:rPr>
          <w:rFonts w:ascii="Arial" w:eastAsia="Arial Unicode MS" w:hAnsi="Arial" w:cs="Arial"/>
          <w:lang w:eastAsia="en-AU"/>
        </w:rPr>
      </w:pPr>
      <w:r w:rsidRPr="00F95B71">
        <w:rPr>
          <w:rFonts w:ascii="Arial" w:eastAsia="Arial Unicode MS" w:hAnsi="Arial" w:cs="Arial"/>
          <w:lang w:eastAsia="en-AU"/>
        </w:rPr>
        <w:t>Strategies to address the high prevalence and mortality of non-communicable disease include risk factor reduction, diagnosing disease at an earlier stage and timely treatmen</w:t>
      </w:r>
      <w:r w:rsidR="00D85437" w:rsidRPr="00F95B71">
        <w:rPr>
          <w:rFonts w:ascii="Arial" w:eastAsia="Arial Unicode MS" w:hAnsi="Arial" w:cs="Arial"/>
          <w:lang w:eastAsia="en-AU"/>
        </w:rPr>
        <w:t>t.</w:t>
      </w:r>
      <w:r w:rsidRPr="00F95B71">
        <w:rPr>
          <w:rFonts w:ascii="Arial" w:eastAsia="Arial Unicode MS" w:hAnsi="Arial" w:cs="Arial"/>
          <w:lang w:eastAsia="en-AU"/>
        </w:rPr>
        <w:t xml:space="preserve"> It is widely accepted that delayed diagnosis of most diseases can lead to poorer outcomes. </w:t>
      </w:r>
      <w:r w:rsidR="0002650C" w:rsidRPr="00F95B71">
        <w:rPr>
          <w:rFonts w:ascii="Arial" w:eastAsia="Arial Unicode MS" w:hAnsi="Arial" w:cs="Arial"/>
          <w:lang w:eastAsia="en-AU"/>
        </w:rPr>
        <w:t>Community s</w:t>
      </w:r>
      <w:r w:rsidRPr="00F95B71">
        <w:rPr>
          <w:rFonts w:ascii="Arial" w:eastAsia="Arial Unicode MS" w:hAnsi="Arial" w:cs="Arial"/>
          <w:lang w:eastAsia="en-AU"/>
        </w:rPr>
        <w:t xml:space="preserve">creening is one way of detecting earlier diagnosis and identifying previously undetected disease risk factors. Previous studies of opportunistic </w:t>
      </w:r>
      <w:r w:rsidR="007B6D23" w:rsidRPr="00F95B71">
        <w:rPr>
          <w:rFonts w:ascii="Arial" w:eastAsia="Arial Unicode MS" w:hAnsi="Arial" w:cs="Arial"/>
          <w:lang w:eastAsia="en-AU"/>
        </w:rPr>
        <w:t>pharmacy-based</w:t>
      </w:r>
      <w:r w:rsidRPr="00F95B71">
        <w:rPr>
          <w:rFonts w:ascii="Arial" w:eastAsia="Arial Unicode MS" w:hAnsi="Arial" w:cs="Arial"/>
          <w:lang w:eastAsia="en-AU"/>
        </w:rPr>
        <w:t xml:space="preserve"> screening interventions have been successful in identifying a significant proportion of the population, both suffering from and at high risk of </w:t>
      </w:r>
      <w:proofErr w:type="gramStart"/>
      <w:r w:rsidRPr="00F95B71">
        <w:rPr>
          <w:rFonts w:ascii="Arial" w:eastAsia="Arial Unicode MS" w:hAnsi="Arial" w:cs="Arial"/>
          <w:lang w:eastAsia="en-AU"/>
        </w:rPr>
        <w:t>C</w:t>
      </w:r>
      <w:r w:rsidR="0002650C" w:rsidRPr="00F95B71">
        <w:rPr>
          <w:rFonts w:ascii="Arial" w:eastAsia="Arial Unicode MS" w:hAnsi="Arial" w:cs="Arial"/>
          <w:lang w:eastAsia="en-AU"/>
        </w:rPr>
        <w:t xml:space="preserve">ardiovascular </w:t>
      </w:r>
      <w:r w:rsidR="00E26E68">
        <w:rPr>
          <w:rFonts w:ascii="Arial" w:eastAsia="Arial Unicode MS" w:hAnsi="Arial" w:cs="Arial"/>
          <w:lang w:eastAsia="en-AU"/>
        </w:rPr>
        <w:t>D</w:t>
      </w:r>
      <w:r w:rsidR="00E26E68" w:rsidRPr="00F95B71">
        <w:rPr>
          <w:rFonts w:ascii="Arial" w:eastAsia="Arial Unicode MS" w:hAnsi="Arial" w:cs="Arial"/>
          <w:lang w:eastAsia="en-AU"/>
        </w:rPr>
        <w:t>isease</w:t>
      </w:r>
      <w:proofErr w:type="gramEnd"/>
      <w:r w:rsidR="00E26E68" w:rsidRPr="00F95B71">
        <w:rPr>
          <w:rFonts w:ascii="Arial" w:eastAsia="Arial Unicode MS" w:hAnsi="Arial" w:cs="Arial"/>
          <w:lang w:eastAsia="en-AU"/>
        </w:rPr>
        <w:t xml:space="preserve"> </w:t>
      </w:r>
      <w:r w:rsidR="0002650C" w:rsidRPr="00F95B71">
        <w:rPr>
          <w:rFonts w:ascii="Arial" w:eastAsia="Arial Unicode MS" w:hAnsi="Arial" w:cs="Arial"/>
          <w:lang w:eastAsia="en-AU"/>
        </w:rPr>
        <w:t>or Type II Diabetes Mellitus</w:t>
      </w:r>
      <w:r w:rsidRPr="00F95B71">
        <w:rPr>
          <w:rFonts w:ascii="Arial" w:eastAsia="Arial Unicode MS" w:hAnsi="Arial" w:cs="Arial"/>
          <w:lang w:eastAsia="en-AU"/>
        </w:rPr>
        <w:t>.</w:t>
      </w:r>
    </w:p>
    <w:p w14:paraId="3E18A278" w14:textId="02570525" w:rsidR="0002650C" w:rsidRPr="00F95B71" w:rsidRDefault="007E4C36" w:rsidP="00A85BF7">
      <w:pPr>
        <w:spacing w:before="0" w:line="240" w:lineRule="auto"/>
        <w:rPr>
          <w:rFonts w:ascii="Arial" w:hAnsi="Arial" w:cs="Arial"/>
        </w:rPr>
      </w:pPr>
      <w:r w:rsidRPr="00F95B71">
        <w:rPr>
          <w:rFonts w:ascii="Arial" w:hAnsi="Arial" w:cs="Arial"/>
        </w:rPr>
        <w:t xml:space="preserve">The aim of the ‘Early detection and management of cardiovascular risk factors and chronic disease markers in community pharmacy’ Program is to enhance the capacity of Community Pharmacists to identify participants who may be at risk of undiagnosed chronic disease, particularly cardiovascular disease (CVD) and provide a direct referral path </w:t>
      </w:r>
      <w:r w:rsidR="00077807" w:rsidRPr="00F95B71">
        <w:rPr>
          <w:rFonts w:ascii="Arial" w:hAnsi="Arial" w:cs="Arial"/>
        </w:rPr>
        <w:t xml:space="preserve">for diagnosis, risk </w:t>
      </w:r>
      <w:r w:rsidR="006832F0" w:rsidRPr="00F95B71">
        <w:rPr>
          <w:rFonts w:ascii="Arial" w:hAnsi="Arial" w:cs="Arial"/>
        </w:rPr>
        <w:t>reduction</w:t>
      </w:r>
      <w:r w:rsidR="006832F0">
        <w:rPr>
          <w:rFonts w:ascii="Arial" w:hAnsi="Arial" w:cs="Arial"/>
        </w:rPr>
        <w:t>,</w:t>
      </w:r>
      <w:r w:rsidR="00077807" w:rsidRPr="00F95B71">
        <w:rPr>
          <w:rFonts w:ascii="Arial" w:hAnsi="Arial" w:cs="Arial"/>
        </w:rPr>
        <w:t xml:space="preserve"> care management</w:t>
      </w:r>
      <w:r w:rsidR="006832F0">
        <w:rPr>
          <w:rFonts w:ascii="Arial" w:hAnsi="Arial" w:cs="Arial"/>
        </w:rPr>
        <w:t xml:space="preserve"> and education</w:t>
      </w:r>
      <w:r w:rsidR="00077807" w:rsidRPr="00F95B71">
        <w:rPr>
          <w:rFonts w:ascii="Arial" w:hAnsi="Arial" w:cs="Arial"/>
        </w:rPr>
        <w:t>.</w:t>
      </w:r>
    </w:p>
    <w:p w14:paraId="66819896" w14:textId="5F6D0906" w:rsidR="004C6A63" w:rsidRDefault="00680100" w:rsidP="00A85BF7">
      <w:pPr>
        <w:spacing w:before="0" w:line="240" w:lineRule="auto"/>
        <w:rPr>
          <w:rFonts w:ascii="Arial" w:hAnsi="Arial" w:cs="Arial"/>
          <w:szCs w:val="24"/>
        </w:rPr>
      </w:pPr>
      <w:r w:rsidRPr="0049236A">
        <w:rPr>
          <w:rFonts w:ascii="Arial" w:hAnsi="Arial" w:cs="Arial"/>
        </w:rPr>
        <w:t xml:space="preserve">Black Swan Health acknowledges the Commonwealth of Australia in funding the ‘Early detection and management of cardiovascular risk factors and chronic disease markers in community pharmacy’ </w:t>
      </w:r>
      <w:r w:rsidRPr="0049236A">
        <w:rPr>
          <w:rFonts w:ascii="Arial" w:hAnsi="Arial" w:cs="Arial"/>
          <w:szCs w:val="24"/>
        </w:rPr>
        <w:t>Pharmacy Trial Program through the Sixth Community Pharmacy Agreement (6CPA).</w:t>
      </w:r>
    </w:p>
    <w:p w14:paraId="45A143EB" w14:textId="1D3D9473" w:rsidR="00F95B71" w:rsidRPr="00A85BF7" w:rsidRDefault="004C6A63" w:rsidP="00A85BF7">
      <w:pPr>
        <w:spacing w:before="0" w:line="240" w:lineRule="auto"/>
        <w:rPr>
          <w:rFonts w:ascii="Arial" w:hAnsi="Arial" w:cs="Arial"/>
          <w:szCs w:val="24"/>
        </w:rPr>
      </w:pPr>
      <w:r w:rsidRPr="0049236A">
        <w:rPr>
          <w:rFonts w:ascii="Arial" w:hAnsi="Arial" w:cs="Arial"/>
        </w:rPr>
        <w:t xml:space="preserve">Black Swan Health acknowledges </w:t>
      </w:r>
      <w:r>
        <w:rPr>
          <w:rFonts w:ascii="Arial" w:hAnsi="Arial" w:cs="Arial"/>
        </w:rPr>
        <w:t>Services Australia</w:t>
      </w:r>
      <w:r w:rsidRPr="0049236A">
        <w:rPr>
          <w:rFonts w:ascii="Arial" w:hAnsi="Arial" w:cs="Arial"/>
        </w:rPr>
        <w:t xml:space="preserve"> in </w:t>
      </w:r>
      <w:r>
        <w:rPr>
          <w:rFonts w:ascii="Arial" w:hAnsi="Arial" w:cs="Arial"/>
        </w:rPr>
        <w:t>providing approved data</w:t>
      </w:r>
      <w:r w:rsidRPr="0049236A">
        <w:rPr>
          <w:rFonts w:ascii="Arial" w:hAnsi="Arial" w:cs="Arial"/>
        </w:rPr>
        <w:t xml:space="preserve"> </w:t>
      </w:r>
      <w:r>
        <w:rPr>
          <w:rFonts w:ascii="Arial" w:hAnsi="Arial" w:cs="Arial"/>
        </w:rPr>
        <w:t xml:space="preserve">for </w:t>
      </w:r>
      <w:r w:rsidRPr="0049236A">
        <w:rPr>
          <w:rFonts w:ascii="Arial" w:hAnsi="Arial" w:cs="Arial"/>
        </w:rPr>
        <w:t xml:space="preserve">the ‘Early detection and management of cardiovascular risk factors and chronic disease markers in community pharmacy’ </w:t>
      </w:r>
      <w:r w:rsidRPr="0049236A">
        <w:rPr>
          <w:rFonts w:ascii="Arial" w:hAnsi="Arial" w:cs="Arial"/>
          <w:szCs w:val="24"/>
        </w:rPr>
        <w:t>Pharmacy Trial Program through the Sixth Community Pharmacy Agreement (6CPA).</w:t>
      </w:r>
    </w:p>
    <w:p w14:paraId="2572D2B6" w14:textId="44580DF2" w:rsidR="00F95B71" w:rsidRPr="009043BF" w:rsidRDefault="00B62604" w:rsidP="009043BF">
      <w:pPr>
        <w:pStyle w:val="Heading2"/>
        <w:spacing w:before="0" w:after="400"/>
        <w:ind w:left="851" w:hanging="851"/>
        <w:rPr>
          <w:rFonts w:ascii="Arial" w:hAnsi="Arial" w:cs="Arial"/>
          <w:b/>
          <w:bCs/>
        </w:rPr>
      </w:pPr>
      <w:bookmarkStart w:id="15" w:name="_Toc137535731"/>
      <w:r w:rsidRPr="00F95B71">
        <w:rPr>
          <w:rFonts w:ascii="Arial" w:hAnsi="Arial" w:cs="Arial"/>
          <w:b/>
          <w:bCs/>
        </w:rPr>
        <w:lastRenderedPageBreak/>
        <w:t>Background</w:t>
      </w:r>
      <w:bookmarkEnd w:id="15"/>
    </w:p>
    <w:p w14:paraId="2F754ABB" w14:textId="6B347C5F" w:rsidR="00F95B71" w:rsidRPr="00F95B71" w:rsidRDefault="00B62604" w:rsidP="009043BF">
      <w:pPr>
        <w:pStyle w:val="Instructionaltext"/>
        <w:spacing w:before="0" w:line="240" w:lineRule="auto"/>
        <w:rPr>
          <w:rFonts w:ascii="Arial" w:hAnsi="Arial" w:cs="Arial"/>
          <w:color w:val="auto"/>
        </w:rPr>
      </w:pPr>
      <w:r w:rsidRPr="00F95B71">
        <w:rPr>
          <w:rFonts w:ascii="Arial" w:hAnsi="Arial" w:cs="Arial"/>
          <w:color w:val="auto"/>
        </w:rPr>
        <w:t xml:space="preserve">MSAC has not previously considered </w:t>
      </w:r>
      <w:r w:rsidR="00B907A5" w:rsidRPr="00F95B71">
        <w:rPr>
          <w:rFonts w:ascii="Arial" w:hAnsi="Arial" w:cs="Arial"/>
          <w:color w:val="auto"/>
        </w:rPr>
        <w:t>this</w:t>
      </w:r>
      <w:r w:rsidR="0062541C" w:rsidRPr="00F95B71">
        <w:rPr>
          <w:rFonts w:ascii="Arial" w:hAnsi="Arial" w:cs="Arial"/>
          <w:color w:val="auto"/>
        </w:rPr>
        <w:t xml:space="preserve"> application for</w:t>
      </w:r>
      <w:r w:rsidR="00B907A5" w:rsidRPr="00F95B71">
        <w:rPr>
          <w:rFonts w:ascii="Arial" w:hAnsi="Arial" w:cs="Arial"/>
          <w:color w:val="auto"/>
        </w:rPr>
        <w:t xml:space="preserve"> ‘</w:t>
      </w:r>
      <w:r w:rsidR="00D53A0F" w:rsidRPr="00F95B71">
        <w:rPr>
          <w:rFonts w:ascii="Arial" w:hAnsi="Arial" w:cs="Arial"/>
          <w:color w:val="auto"/>
        </w:rPr>
        <w:t>early detection and management of cardiovascular disease (CVD) risk factors in community pharmacy</w:t>
      </w:r>
      <w:r w:rsidR="00B907A5" w:rsidRPr="00F95B71">
        <w:rPr>
          <w:rFonts w:ascii="Arial" w:hAnsi="Arial" w:cs="Arial"/>
          <w:color w:val="auto"/>
        </w:rPr>
        <w:t>’</w:t>
      </w:r>
      <w:r w:rsidR="00D53A0F" w:rsidRPr="00F95B71">
        <w:rPr>
          <w:rFonts w:ascii="Arial" w:hAnsi="Arial" w:cs="Arial"/>
          <w:color w:val="auto"/>
        </w:rPr>
        <w:t>.</w:t>
      </w:r>
    </w:p>
    <w:p w14:paraId="379A0A30" w14:textId="5FC2C466" w:rsidR="00F95B71" w:rsidRPr="009043BF" w:rsidRDefault="00C24B5E" w:rsidP="009043BF">
      <w:pPr>
        <w:pStyle w:val="Heading2"/>
        <w:spacing w:before="0" w:after="0"/>
        <w:ind w:left="357" w:hanging="357"/>
        <w:rPr>
          <w:rFonts w:ascii="Arial" w:hAnsi="Arial" w:cs="Arial"/>
          <w:b/>
          <w:bCs/>
        </w:rPr>
      </w:pPr>
      <w:bookmarkStart w:id="16" w:name="_Toc137535732"/>
      <w:r w:rsidRPr="00F95B71">
        <w:rPr>
          <w:rFonts w:ascii="Arial" w:hAnsi="Arial" w:cs="Arial"/>
          <w:b/>
          <w:bCs/>
        </w:rPr>
        <w:t>Prerequisites to implementation of any funding advice</w:t>
      </w:r>
      <w:bookmarkEnd w:id="16"/>
    </w:p>
    <w:p w14:paraId="70FDB1FF" w14:textId="157D75E1" w:rsidR="00924864" w:rsidRPr="00F95B71" w:rsidRDefault="00F17C79" w:rsidP="009043BF">
      <w:pPr>
        <w:pStyle w:val="Instructionaltext"/>
        <w:spacing w:before="160" w:line="240" w:lineRule="auto"/>
        <w:rPr>
          <w:rFonts w:ascii="Arial" w:hAnsi="Arial" w:cs="Arial"/>
          <w:color w:val="auto"/>
        </w:rPr>
      </w:pPr>
      <w:r w:rsidRPr="00F95B71">
        <w:rPr>
          <w:rFonts w:ascii="Arial" w:hAnsi="Arial" w:cs="Arial"/>
          <w:color w:val="auto"/>
        </w:rPr>
        <w:t>The proposed technology does not include a therapeutic good that requires T</w:t>
      </w:r>
      <w:r w:rsidR="00B057EC">
        <w:rPr>
          <w:rFonts w:ascii="Arial" w:hAnsi="Arial" w:cs="Arial"/>
          <w:color w:val="auto"/>
        </w:rPr>
        <w:t>G</w:t>
      </w:r>
      <w:r w:rsidRPr="00F95B71">
        <w:rPr>
          <w:rFonts w:ascii="Arial" w:hAnsi="Arial" w:cs="Arial"/>
          <w:color w:val="auto"/>
        </w:rPr>
        <w:t>A approval.</w:t>
      </w:r>
    </w:p>
    <w:p w14:paraId="3EE2D62B" w14:textId="5A244911" w:rsidR="00F95B71" w:rsidRDefault="00F17C79" w:rsidP="009043BF">
      <w:pPr>
        <w:pStyle w:val="Instructionaltext"/>
        <w:spacing w:before="160" w:line="240" w:lineRule="auto"/>
        <w:rPr>
          <w:rFonts w:ascii="Arial" w:hAnsi="Arial" w:cs="Arial"/>
          <w:color w:val="auto"/>
          <w:lang w:eastAsia="en-AU"/>
        </w:rPr>
      </w:pPr>
      <w:r w:rsidRPr="00F95B71">
        <w:rPr>
          <w:rFonts w:ascii="Arial" w:hAnsi="Arial" w:cs="Arial"/>
          <w:color w:val="auto"/>
          <w:shd w:val="clear" w:color="auto" w:fill="FFFFFF"/>
        </w:rPr>
        <w:t>A key dependency that will be addressed</w:t>
      </w:r>
      <w:r w:rsidR="00B057EC">
        <w:rPr>
          <w:rFonts w:ascii="Arial" w:hAnsi="Arial" w:cs="Arial"/>
          <w:color w:val="auto"/>
          <w:shd w:val="clear" w:color="auto" w:fill="FFFFFF"/>
        </w:rPr>
        <w:t>,</w:t>
      </w:r>
      <w:r w:rsidRPr="00F95B71">
        <w:rPr>
          <w:rFonts w:ascii="Arial" w:hAnsi="Arial" w:cs="Arial"/>
          <w:color w:val="auto"/>
          <w:shd w:val="clear" w:color="auto" w:fill="FFFFFF"/>
        </w:rPr>
        <w:t xml:space="preserve"> should the trial be approved</w:t>
      </w:r>
      <w:r w:rsidR="00B057EC">
        <w:rPr>
          <w:rFonts w:ascii="Arial" w:hAnsi="Arial" w:cs="Arial"/>
          <w:color w:val="auto"/>
          <w:shd w:val="clear" w:color="auto" w:fill="FFFFFF"/>
        </w:rPr>
        <w:t>,</w:t>
      </w:r>
      <w:r w:rsidRPr="00F95B71">
        <w:rPr>
          <w:rFonts w:ascii="Arial" w:hAnsi="Arial" w:cs="Arial"/>
          <w:color w:val="auto"/>
          <w:shd w:val="clear" w:color="auto" w:fill="FFFFFF"/>
        </w:rPr>
        <w:t xml:space="preserve"> is approval to </w:t>
      </w:r>
      <w:r w:rsidRPr="00F95B71">
        <w:rPr>
          <w:rFonts w:ascii="Arial" w:hAnsi="Arial" w:cs="Arial"/>
          <w:color w:val="auto"/>
          <w:lang w:eastAsia="en-AU"/>
        </w:rPr>
        <w:t xml:space="preserve">modify the administration of the screening tools </w:t>
      </w:r>
      <w:r w:rsidR="00772898" w:rsidRPr="00F95B71">
        <w:rPr>
          <w:rFonts w:ascii="Arial" w:hAnsi="Arial" w:cs="Arial"/>
          <w:color w:val="auto"/>
          <w:lang w:eastAsia="en-AU"/>
        </w:rPr>
        <w:t>Australian Type 2 Diabetes Risk Assessment (</w:t>
      </w:r>
      <w:r w:rsidRPr="00F95B71">
        <w:rPr>
          <w:rFonts w:ascii="Arial" w:hAnsi="Arial" w:cs="Arial"/>
          <w:color w:val="auto"/>
          <w:lang w:eastAsia="en-AU"/>
        </w:rPr>
        <w:t>AUSDRISK</w:t>
      </w:r>
      <w:r w:rsidR="00772898" w:rsidRPr="00F95B71">
        <w:rPr>
          <w:rFonts w:ascii="Arial" w:hAnsi="Arial" w:cs="Arial"/>
          <w:color w:val="auto"/>
          <w:lang w:eastAsia="en-AU"/>
        </w:rPr>
        <w:t>)</w:t>
      </w:r>
      <w:r w:rsidRPr="00F95B71">
        <w:rPr>
          <w:rFonts w:ascii="Arial" w:hAnsi="Arial" w:cs="Arial"/>
          <w:color w:val="auto"/>
          <w:lang w:eastAsia="en-AU"/>
        </w:rPr>
        <w:t xml:space="preserve"> and </w:t>
      </w:r>
      <w:r w:rsidR="00772898" w:rsidRPr="00F95B71">
        <w:rPr>
          <w:rFonts w:ascii="Arial" w:hAnsi="Arial" w:cs="Arial"/>
          <w:color w:val="auto"/>
          <w:lang w:eastAsia="en-AU"/>
        </w:rPr>
        <w:t>Framingham Risk Equation (FRE)</w:t>
      </w:r>
      <w:r w:rsidRPr="00F95B71">
        <w:rPr>
          <w:rFonts w:ascii="Arial" w:hAnsi="Arial" w:cs="Arial"/>
          <w:color w:val="auto"/>
          <w:lang w:eastAsia="en-AU"/>
        </w:rPr>
        <w:t xml:space="preserve"> tools for the purposes of the program.</w:t>
      </w:r>
    </w:p>
    <w:p w14:paraId="2B16CDB6" w14:textId="42AA3034" w:rsidR="00F95B71" w:rsidRPr="009043BF" w:rsidRDefault="00004F7F" w:rsidP="009043BF">
      <w:pPr>
        <w:pStyle w:val="Heading2"/>
        <w:spacing w:before="0" w:after="0"/>
        <w:ind w:left="357" w:hanging="357"/>
        <w:rPr>
          <w:rFonts w:ascii="Arial" w:hAnsi="Arial" w:cs="Arial"/>
          <w:b/>
          <w:bCs/>
        </w:rPr>
      </w:pPr>
      <w:bookmarkStart w:id="17" w:name="_Toc137535733"/>
      <w:r w:rsidRPr="00F95B71">
        <w:rPr>
          <w:rFonts w:ascii="Arial" w:hAnsi="Arial" w:cs="Arial"/>
          <w:b/>
          <w:bCs/>
        </w:rPr>
        <w:t>P</w:t>
      </w:r>
      <w:r w:rsidR="0042304B" w:rsidRPr="00F95B71">
        <w:rPr>
          <w:rFonts w:ascii="Arial" w:hAnsi="Arial" w:cs="Arial"/>
          <w:b/>
          <w:bCs/>
        </w:rPr>
        <w:t>opulation</w:t>
      </w:r>
      <w:bookmarkEnd w:id="17"/>
    </w:p>
    <w:p w14:paraId="56B8F215" w14:textId="50DFCDF2" w:rsidR="002B0E8E" w:rsidRDefault="002B0E8E" w:rsidP="009043BF">
      <w:pPr>
        <w:pStyle w:val="Instructionaltext"/>
        <w:spacing w:before="160" w:line="240" w:lineRule="auto"/>
        <w:rPr>
          <w:rFonts w:ascii="Arial" w:hAnsi="Arial" w:cs="Arial"/>
          <w:color w:val="auto"/>
        </w:rPr>
      </w:pPr>
      <w:r w:rsidRPr="00F95B71">
        <w:rPr>
          <w:rFonts w:ascii="Arial" w:hAnsi="Arial" w:cs="Arial"/>
          <w:bCs/>
          <w:color w:val="auto"/>
        </w:rPr>
        <w:t>Many people</w:t>
      </w:r>
      <w:r w:rsidR="009043BF">
        <w:rPr>
          <w:rFonts w:ascii="Arial" w:hAnsi="Arial" w:cs="Arial"/>
          <w:bCs/>
          <w:color w:val="auto"/>
        </w:rPr>
        <w:t xml:space="preserve"> </w:t>
      </w:r>
      <w:r w:rsidRPr="00F95B71">
        <w:rPr>
          <w:rFonts w:ascii="Arial" w:hAnsi="Arial" w:cs="Arial"/>
          <w:color w:val="auto"/>
        </w:rPr>
        <w:t>at</w:t>
      </w:r>
      <w:r w:rsidR="009043BF">
        <w:rPr>
          <w:rFonts w:ascii="Arial" w:hAnsi="Arial" w:cs="Arial"/>
          <w:color w:val="auto"/>
        </w:rPr>
        <w:t xml:space="preserve"> </w:t>
      </w:r>
      <w:r w:rsidRPr="00F95B71">
        <w:rPr>
          <w:rFonts w:ascii="Arial" w:hAnsi="Arial" w:cs="Arial"/>
          <w:bCs/>
          <w:color w:val="auto"/>
        </w:rPr>
        <w:t>high risk</w:t>
      </w:r>
      <w:r w:rsidR="009043BF">
        <w:rPr>
          <w:rFonts w:ascii="Arial" w:hAnsi="Arial" w:cs="Arial"/>
          <w:bCs/>
          <w:color w:val="auto"/>
        </w:rPr>
        <w:t xml:space="preserve"> </w:t>
      </w:r>
      <w:r w:rsidRPr="00F95B71">
        <w:rPr>
          <w:rFonts w:ascii="Arial" w:hAnsi="Arial" w:cs="Arial"/>
          <w:color w:val="auto"/>
        </w:rPr>
        <w:t xml:space="preserve">of developing CVD, particularly those from the lower socioeconomic groups, are often unaware of risk factors, their own risk </w:t>
      </w:r>
      <w:proofErr w:type="gramStart"/>
      <w:r w:rsidRPr="00F95B71">
        <w:rPr>
          <w:rFonts w:ascii="Arial" w:hAnsi="Arial" w:cs="Arial"/>
          <w:color w:val="auto"/>
        </w:rPr>
        <w:t>profile</w:t>
      </w:r>
      <w:proofErr w:type="gramEnd"/>
      <w:r w:rsidRPr="00F95B71">
        <w:rPr>
          <w:rFonts w:ascii="Arial" w:hAnsi="Arial" w:cs="Arial"/>
          <w:color w:val="auto"/>
        </w:rPr>
        <w:t xml:space="preserve"> and actions to take for risk reduction; </w:t>
      </w:r>
      <w:r w:rsidR="007B6D23" w:rsidRPr="00F95B71">
        <w:rPr>
          <w:rFonts w:ascii="Arial" w:hAnsi="Arial" w:cs="Arial"/>
          <w:color w:val="auto"/>
        </w:rPr>
        <w:t>thus,</w:t>
      </w:r>
      <w:r w:rsidRPr="00F95B71">
        <w:rPr>
          <w:rFonts w:ascii="Arial" w:hAnsi="Arial" w:cs="Arial"/>
          <w:color w:val="auto"/>
        </w:rPr>
        <w:t xml:space="preserve"> the detection of disease remains under-recognised until presentation of clinical markers, requiring GP diagnosis and secondary intervention to prompt initiation of treatment and ongoing management.</w:t>
      </w:r>
    </w:p>
    <w:p w14:paraId="667127D3" w14:textId="091FE8EC" w:rsidR="002B0E8E" w:rsidRPr="00F95B71" w:rsidRDefault="00AF1F4F" w:rsidP="009043BF">
      <w:pPr>
        <w:pStyle w:val="Instructionaltext"/>
        <w:spacing w:before="160" w:line="240" w:lineRule="auto"/>
        <w:rPr>
          <w:rFonts w:ascii="Arial" w:hAnsi="Arial" w:cs="Arial"/>
          <w:color w:val="auto"/>
        </w:rPr>
      </w:pPr>
      <w:r w:rsidRPr="00F95B71">
        <w:rPr>
          <w:rFonts w:ascii="Arial" w:hAnsi="Arial" w:cs="Arial"/>
          <w:color w:val="auto"/>
        </w:rPr>
        <w:t xml:space="preserve">The target population for the </w:t>
      </w:r>
      <w:r w:rsidR="00F17F0B" w:rsidRPr="00F95B71">
        <w:rPr>
          <w:rFonts w:ascii="Arial" w:hAnsi="Arial" w:cs="Arial"/>
          <w:color w:val="auto"/>
        </w:rPr>
        <w:t>intervention is</w:t>
      </w:r>
      <w:r w:rsidRPr="00F95B71">
        <w:rPr>
          <w:rFonts w:ascii="Arial" w:hAnsi="Arial" w:cs="Arial"/>
          <w:color w:val="auto"/>
        </w:rPr>
        <w:t xml:space="preserve"> those members of the community who may be at heightened risk of undiagnosed cardiovascular disease</w:t>
      </w:r>
      <w:r w:rsidR="008A5FBF" w:rsidRPr="00F95B71">
        <w:rPr>
          <w:rFonts w:ascii="Arial" w:hAnsi="Arial" w:cs="Arial"/>
          <w:color w:val="auto"/>
        </w:rPr>
        <w:t xml:space="preserve"> and visit community pharmacy.</w:t>
      </w:r>
    </w:p>
    <w:p w14:paraId="32E0F03F" w14:textId="288F07C1" w:rsidR="00222CC5" w:rsidRPr="009043BF" w:rsidRDefault="002B0E8E" w:rsidP="009043BF">
      <w:pPr>
        <w:pStyle w:val="Default"/>
        <w:spacing w:before="160" w:after="160"/>
        <w:rPr>
          <w:sz w:val="22"/>
          <w:szCs w:val="22"/>
        </w:rPr>
      </w:pPr>
      <w:r>
        <w:rPr>
          <w:sz w:val="22"/>
          <w:szCs w:val="22"/>
        </w:rPr>
        <w:t xml:space="preserve">A semi-targeted approach to patient identification was applied for trial recruitment; subjective identification of anyone over 45 years (35 years, if Aboriginal and Torres Strait Islander people), and subjectively overweight or obese. Those reporting a previous history of treatment for hypertension, diabetes, or known cardiovascular disease (stroke, myocardial infarction, or angina) or under the age of 45 were deemed ineligible for screening. </w:t>
      </w:r>
      <w:proofErr w:type="gramStart"/>
      <w:r>
        <w:rPr>
          <w:sz w:val="22"/>
          <w:szCs w:val="22"/>
        </w:rPr>
        <w:t>Past history</w:t>
      </w:r>
      <w:proofErr w:type="gramEnd"/>
      <w:r>
        <w:rPr>
          <w:sz w:val="22"/>
          <w:szCs w:val="22"/>
        </w:rPr>
        <w:t xml:space="preserve"> presumes they have previously been referred to, or treated in, their local primary health centre</w:t>
      </w:r>
      <w:r w:rsidR="009043BF">
        <w:rPr>
          <w:sz w:val="22"/>
          <w:szCs w:val="22"/>
        </w:rPr>
        <w:t>.</w:t>
      </w:r>
    </w:p>
    <w:p w14:paraId="73A9FFB8" w14:textId="14F5D2A6" w:rsidR="00222CC5" w:rsidRPr="00035537" w:rsidRDefault="00053F6C" w:rsidP="00035537">
      <w:pPr>
        <w:pStyle w:val="Heading2"/>
        <w:spacing w:before="0" w:after="0"/>
        <w:ind w:left="357" w:hanging="357"/>
        <w:rPr>
          <w:rFonts w:ascii="Arial" w:hAnsi="Arial" w:cs="Arial"/>
          <w:b/>
          <w:bCs/>
        </w:rPr>
      </w:pPr>
      <w:bookmarkStart w:id="18" w:name="_Toc137535734"/>
      <w:r w:rsidRPr="00222CC5">
        <w:rPr>
          <w:rFonts w:ascii="Arial" w:hAnsi="Arial" w:cs="Arial"/>
          <w:b/>
          <w:bCs/>
        </w:rPr>
        <w:t>Intervention</w:t>
      </w:r>
      <w:bookmarkEnd w:id="18"/>
    </w:p>
    <w:p w14:paraId="77347721" w14:textId="359EEB7E" w:rsidR="002B0E8E" w:rsidRDefault="002B0E8E" w:rsidP="00035537">
      <w:pPr>
        <w:pStyle w:val="Default"/>
        <w:spacing w:before="160" w:after="160"/>
        <w:rPr>
          <w:sz w:val="22"/>
          <w:szCs w:val="22"/>
        </w:rPr>
      </w:pPr>
      <w:r>
        <w:rPr>
          <w:sz w:val="22"/>
          <w:szCs w:val="22"/>
        </w:rPr>
        <w:t xml:space="preserve">Despite a consistent decline in cardiovascular death rates since the 1960s, cardiovascular disease (CVD) remains Australia’s biggest killer, accounting primarily for almost one in three Australian deaths and 11% of health system expenditure. The overall burden attributable to CVD is far greater than simply loss of life. An estimated 4.2 million (22%) Australian adults </w:t>
      </w:r>
      <w:r w:rsidRPr="00C802CA">
        <w:rPr>
          <w:sz w:val="22"/>
          <w:szCs w:val="22"/>
        </w:rPr>
        <w:t>currently live with CVD</w:t>
      </w:r>
      <w:r w:rsidRPr="00C802CA">
        <w:rPr>
          <w:rStyle w:val="FootnoteReference"/>
          <w:sz w:val="22"/>
          <w:szCs w:val="22"/>
        </w:rPr>
        <w:footnoteReference w:id="2"/>
      </w:r>
      <w:r w:rsidRPr="00C802CA">
        <w:rPr>
          <w:sz w:val="22"/>
          <w:szCs w:val="22"/>
        </w:rPr>
        <w:t>, with considerable inequality among disadvantaged and vulnerable</w:t>
      </w:r>
      <w:r>
        <w:rPr>
          <w:sz w:val="22"/>
          <w:szCs w:val="22"/>
        </w:rPr>
        <w:t xml:space="preserve"> population groups (including those in lower socioeconomic groups, Aboriginal and Torres Strait Islander peoples and those living in regional and remote areas). </w:t>
      </w:r>
    </w:p>
    <w:p w14:paraId="374F6573" w14:textId="2CBD1BAA" w:rsidR="002B0E8E" w:rsidRPr="00035537" w:rsidRDefault="002B0E8E" w:rsidP="00035537">
      <w:pPr>
        <w:pStyle w:val="Default"/>
        <w:spacing w:before="160" w:after="160"/>
        <w:rPr>
          <w:sz w:val="22"/>
          <w:szCs w:val="22"/>
        </w:rPr>
      </w:pPr>
      <w:r>
        <w:rPr>
          <w:sz w:val="22"/>
          <w:szCs w:val="22"/>
        </w:rPr>
        <w:t xml:space="preserve">With continuing advances in treatment and an ageing population, many people with previously fatal CVD are living longer with significant effects on their quality of life, imposing escalating social and economic burden on the health system. </w:t>
      </w:r>
    </w:p>
    <w:p w14:paraId="7F8CF714" w14:textId="2EF7D5BD" w:rsidR="00035537" w:rsidRPr="00035537" w:rsidRDefault="002B0E8E" w:rsidP="00035537">
      <w:pPr>
        <w:pStyle w:val="Default"/>
        <w:spacing w:before="160" w:after="160"/>
        <w:rPr>
          <w:sz w:val="22"/>
          <w:szCs w:val="22"/>
        </w:rPr>
      </w:pPr>
      <w:r>
        <w:rPr>
          <w:sz w:val="22"/>
          <w:szCs w:val="22"/>
        </w:rPr>
        <w:t>Importantly</w:t>
      </w:r>
      <w:r w:rsidR="00A14EC5">
        <w:rPr>
          <w:sz w:val="22"/>
          <w:szCs w:val="22"/>
        </w:rPr>
        <w:t>,</w:t>
      </w:r>
      <w:r>
        <w:rPr>
          <w:sz w:val="22"/>
          <w:szCs w:val="22"/>
        </w:rPr>
        <w:t xml:space="preserve"> much of the burden of CVD is avoidable through preventive measures that target and identify high risk </w:t>
      </w:r>
      <w:r w:rsidR="007B6D23">
        <w:rPr>
          <w:sz w:val="22"/>
          <w:szCs w:val="22"/>
        </w:rPr>
        <w:t>individuals and</w:t>
      </w:r>
      <w:r>
        <w:rPr>
          <w:sz w:val="22"/>
          <w:szCs w:val="22"/>
        </w:rPr>
        <w:t xml:space="preserve"> address modifiable risk factors such as smoking high cholesterol and high blood pressure. While patients with established CVD have a substantially elevated risk of subsequent cardiovascular events, 60% of cardiovascular </w:t>
      </w:r>
      <w:r w:rsidRPr="00C802CA">
        <w:rPr>
          <w:sz w:val="22"/>
          <w:szCs w:val="22"/>
        </w:rPr>
        <w:t>deaths will occur in asymptomatic people who have not had a previous event</w:t>
      </w:r>
      <w:r w:rsidRPr="00C802CA">
        <w:rPr>
          <w:rStyle w:val="FootnoteReference"/>
          <w:sz w:val="22"/>
          <w:szCs w:val="22"/>
        </w:rPr>
        <w:footnoteReference w:id="3"/>
      </w:r>
      <w:r w:rsidRPr="00C802CA">
        <w:rPr>
          <w:sz w:val="22"/>
          <w:szCs w:val="22"/>
        </w:rPr>
        <w:t>.</w:t>
      </w:r>
      <w:r w:rsidR="00A85BF7">
        <w:rPr>
          <w:sz w:val="13"/>
          <w:szCs w:val="13"/>
        </w:rPr>
        <w:t xml:space="preserve"> </w:t>
      </w:r>
      <w:r w:rsidRPr="00C802CA">
        <w:rPr>
          <w:sz w:val="22"/>
          <w:szCs w:val="22"/>
        </w:rPr>
        <w:t>It is therefore</w:t>
      </w:r>
      <w:r>
        <w:rPr>
          <w:sz w:val="22"/>
          <w:szCs w:val="22"/>
        </w:rPr>
        <w:t xml:space="preserve"> critical to detect and manage such patients at unknown and high risk of future events.</w:t>
      </w:r>
      <w:r w:rsidR="00035537">
        <w:rPr>
          <w:sz w:val="22"/>
          <w:szCs w:val="22"/>
        </w:rPr>
        <w:br/>
      </w:r>
    </w:p>
    <w:p w14:paraId="25AD6D49" w14:textId="69932B3A" w:rsidR="002B0E8E" w:rsidRPr="00EB6754" w:rsidRDefault="002B0E8E" w:rsidP="00035537">
      <w:pPr>
        <w:pStyle w:val="Default"/>
        <w:spacing w:before="160" w:after="160"/>
        <w:rPr>
          <w:sz w:val="22"/>
          <w:szCs w:val="22"/>
        </w:rPr>
      </w:pPr>
      <w:r>
        <w:rPr>
          <w:sz w:val="22"/>
          <w:szCs w:val="22"/>
        </w:rPr>
        <w:lastRenderedPageBreak/>
        <w:t xml:space="preserve">An integrated health check delivered in community pharmacy will detect and manage those at elevated risk of CVD, including onwards referral to general practice and community service providers. Many people at high risk of developing vascular and related chronic diseases, particularly those from lower socioeconomic groups, are often unaware of risk factors, their own risk </w:t>
      </w:r>
      <w:proofErr w:type="gramStart"/>
      <w:r>
        <w:rPr>
          <w:sz w:val="22"/>
          <w:szCs w:val="22"/>
        </w:rPr>
        <w:t>profile</w:t>
      </w:r>
      <w:proofErr w:type="gramEnd"/>
      <w:r>
        <w:rPr>
          <w:sz w:val="22"/>
          <w:szCs w:val="22"/>
        </w:rPr>
        <w:t xml:space="preserve"> and actions to take for risk </w:t>
      </w:r>
      <w:r w:rsidRPr="00EB6754">
        <w:rPr>
          <w:sz w:val="22"/>
          <w:szCs w:val="22"/>
        </w:rPr>
        <w:t>reduction</w:t>
      </w:r>
      <w:r w:rsidRPr="00EB6754">
        <w:rPr>
          <w:rStyle w:val="FootnoteReference"/>
          <w:sz w:val="22"/>
          <w:szCs w:val="22"/>
        </w:rPr>
        <w:footnoteReference w:id="4"/>
      </w:r>
      <w:r>
        <w:rPr>
          <w:sz w:val="22"/>
          <w:szCs w:val="22"/>
        </w:rPr>
        <w:t xml:space="preserve"> </w:t>
      </w:r>
      <w:r w:rsidRPr="00EB6754">
        <w:rPr>
          <w:rStyle w:val="FootnoteReference"/>
          <w:sz w:val="22"/>
          <w:szCs w:val="22"/>
        </w:rPr>
        <w:footnoteReference w:id="5"/>
      </w:r>
      <w:r>
        <w:rPr>
          <w:sz w:val="22"/>
          <w:szCs w:val="22"/>
        </w:rPr>
        <w:t xml:space="preserve"> </w:t>
      </w:r>
      <w:r w:rsidRPr="00EB6754">
        <w:rPr>
          <w:rStyle w:val="FootnoteReference"/>
          <w:sz w:val="22"/>
          <w:szCs w:val="22"/>
        </w:rPr>
        <w:footnoteReference w:id="6"/>
      </w:r>
    </w:p>
    <w:p w14:paraId="091C4BC2" w14:textId="1B83A324" w:rsidR="0089155C" w:rsidRPr="00F95B71" w:rsidRDefault="003F013E" w:rsidP="00035537">
      <w:pPr>
        <w:pStyle w:val="Instructionaltext"/>
        <w:spacing w:before="160" w:line="240" w:lineRule="auto"/>
        <w:rPr>
          <w:rFonts w:ascii="Arial" w:hAnsi="Arial" w:cs="Arial"/>
          <w:color w:val="auto"/>
        </w:rPr>
      </w:pPr>
      <w:r w:rsidRPr="00F95B71">
        <w:rPr>
          <w:rFonts w:ascii="Arial" w:hAnsi="Arial" w:cs="Arial"/>
          <w:color w:val="auto"/>
        </w:rPr>
        <w:t xml:space="preserve">The intervention is the </w:t>
      </w:r>
      <w:r w:rsidR="00493B09" w:rsidRPr="00F95B71">
        <w:rPr>
          <w:rFonts w:ascii="Arial" w:hAnsi="Arial" w:cs="Arial"/>
          <w:color w:val="auto"/>
        </w:rPr>
        <w:t>provision of a CVD risk assessment by community pharmacy, supporting people identified as being at risk of CVD to engage in early intervention activities to prevent disease onset and progression.</w:t>
      </w:r>
    </w:p>
    <w:p w14:paraId="3671A294" w14:textId="46F5685B" w:rsidR="0089155C" w:rsidRPr="00F95B71" w:rsidRDefault="00A366C3" w:rsidP="00035537">
      <w:pPr>
        <w:pStyle w:val="Instructionaltext"/>
        <w:spacing w:before="160" w:line="240" w:lineRule="auto"/>
        <w:rPr>
          <w:rFonts w:ascii="Arial" w:hAnsi="Arial" w:cs="Arial"/>
          <w:color w:val="auto"/>
          <w:shd w:val="clear" w:color="auto" w:fill="FFFFFF"/>
        </w:rPr>
      </w:pPr>
      <w:r w:rsidRPr="00F95B71">
        <w:rPr>
          <w:rFonts w:ascii="Arial" w:hAnsi="Arial" w:cs="Arial"/>
          <w:color w:val="auto"/>
          <w:shd w:val="clear" w:color="auto" w:fill="FFFFFF"/>
        </w:rPr>
        <w:t>Screening is opportunistic subjectively targeting pharmacy customers who are within the target age range, overweight or ob</w:t>
      </w:r>
      <w:r w:rsidR="00D70FA5" w:rsidRPr="00F95B71">
        <w:rPr>
          <w:rFonts w:ascii="Arial" w:hAnsi="Arial" w:cs="Arial"/>
          <w:color w:val="auto"/>
          <w:shd w:val="clear" w:color="auto" w:fill="FFFFFF"/>
        </w:rPr>
        <w:t>e</w:t>
      </w:r>
      <w:r w:rsidRPr="00F95B71">
        <w:rPr>
          <w:rFonts w:ascii="Arial" w:hAnsi="Arial" w:cs="Arial"/>
          <w:color w:val="auto"/>
          <w:shd w:val="clear" w:color="auto" w:fill="FFFFFF"/>
        </w:rPr>
        <w:t>se</w:t>
      </w:r>
      <w:r w:rsidR="00A14EC5">
        <w:rPr>
          <w:rFonts w:ascii="Arial" w:hAnsi="Arial" w:cs="Arial"/>
          <w:color w:val="auto"/>
          <w:shd w:val="clear" w:color="auto" w:fill="FFFFFF"/>
        </w:rPr>
        <w:t>,</w:t>
      </w:r>
      <w:r w:rsidRPr="00F95B71">
        <w:rPr>
          <w:rFonts w:ascii="Arial" w:hAnsi="Arial" w:cs="Arial"/>
          <w:color w:val="auto"/>
          <w:shd w:val="clear" w:color="auto" w:fill="FFFFFF"/>
        </w:rPr>
        <w:t xml:space="preserve"> or present as smokers.</w:t>
      </w:r>
    </w:p>
    <w:p w14:paraId="682EA8F6" w14:textId="4FB14EB6" w:rsidR="001F7120" w:rsidRPr="00F95B71" w:rsidRDefault="00493B09" w:rsidP="00035537">
      <w:pPr>
        <w:pStyle w:val="Instructionaltext"/>
        <w:spacing w:before="160" w:line="240" w:lineRule="auto"/>
        <w:rPr>
          <w:rFonts w:ascii="Arial" w:hAnsi="Arial" w:cs="Arial"/>
          <w:color w:val="auto"/>
        </w:rPr>
      </w:pPr>
      <w:r w:rsidRPr="00F95B71">
        <w:rPr>
          <w:rFonts w:ascii="Arial" w:hAnsi="Arial" w:cs="Arial"/>
          <w:color w:val="auto"/>
        </w:rPr>
        <w:t>The trial compared</w:t>
      </w:r>
      <w:r w:rsidR="003F013E" w:rsidRPr="00F95B71">
        <w:rPr>
          <w:rFonts w:ascii="Arial" w:hAnsi="Arial" w:cs="Arial"/>
          <w:color w:val="auto"/>
        </w:rPr>
        <w:t xml:space="preserve"> a </w:t>
      </w:r>
      <w:r w:rsidR="0089155C" w:rsidRPr="00F95B71">
        <w:rPr>
          <w:rFonts w:ascii="Arial" w:hAnsi="Arial" w:cs="Arial"/>
          <w:color w:val="auto"/>
        </w:rPr>
        <w:t>B</w:t>
      </w:r>
      <w:r w:rsidR="001F7120" w:rsidRPr="00F95B71">
        <w:rPr>
          <w:rFonts w:ascii="Arial" w:hAnsi="Arial" w:cs="Arial"/>
          <w:color w:val="auto"/>
        </w:rPr>
        <w:t>rief</w:t>
      </w:r>
      <w:r w:rsidR="003F013E" w:rsidRPr="00F95B71">
        <w:rPr>
          <w:rFonts w:ascii="Arial" w:hAnsi="Arial" w:cs="Arial"/>
          <w:color w:val="auto"/>
        </w:rPr>
        <w:t xml:space="preserve"> </w:t>
      </w:r>
      <w:r w:rsidR="007C4FDD" w:rsidRPr="00F95B71">
        <w:rPr>
          <w:rFonts w:ascii="Arial" w:hAnsi="Arial" w:cs="Arial"/>
          <w:color w:val="auto"/>
        </w:rPr>
        <w:t xml:space="preserve">CVD </w:t>
      </w:r>
      <w:r w:rsidR="0089155C" w:rsidRPr="00F95B71">
        <w:rPr>
          <w:rFonts w:ascii="Arial" w:hAnsi="Arial" w:cs="Arial"/>
          <w:color w:val="auto"/>
        </w:rPr>
        <w:t>R</w:t>
      </w:r>
      <w:r w:rsidR="007C4FDD" w:rsidRPr="00F95B71">
        <w:rPr>
          <w:rFonts w:ascii="Arial" w:hAnsi="Arial" w:cs="Arial"/>
          <w:color w:val="auto"/>
        </w:rPr>
        <w:t xml:space="preserve">isk </w:t>
      </w:r>
      <w:r w:rsidR="0089155C" w:rsidRPr="00F95B71">
        <w:rPr>
          <w:rFonts w:ascii="Arial" w:hAnsi="Arial" w:cs="Arial"/>
          <w:color w:val="auto"/>
        </w:rPr>
        <w:t>A</w:t>
      </w:r>
      <w:r w:rsidR="007C4FDD" w:rsidRPr="00F95B71">
        <w:rPr>
          <w:rFonts w:ascii="Arial" w:hAnsi="Arial" w:cs="Arial"/>
          <w:color w:val="auto"/>
        </w:rPr>
        <w:t xml:space="preserve">ssessment </w:t>
      </w:r>
      <w:r w:rsidRPr="00F95B71">
        <w:rPr>
          <w:rFonts w:ascii="Arial" w:hAnsi="Arial" w:cs="Arial"/>
          <w:color w:val="auto"/>
        </w:rPr>
        <w:t>with</w:t>
      </w:r>
      <w:r w:rsidR="007C4FDD" w:rsidRPr="00F95B71">
        <w:rPr>
          <w:rFonts w:ascii="Arial" w:hAnsi="Arial" w:cs="Arial"/>
          <w:color w:val="auto"/>
        </w:rPr>
        <w:t xml:space="preserve"> a </w:t>
      </w:r>
      <w:r w:rsidR="0089155C" w:rsidRPr="00F95B71">
        <w:rPr>
          <w:rFonts w:ascii="Arial" w:hAnsi="Arial" w:cs="Arial"/>
          <w:color w:val="auto"/>
        </w:rPr>
        <w:t>C</w:t>
      </w:r>
      <w:r w:rsidR="007C4FDD" w:rsidRPr="00F95B71">
        <w:rPr>
          <w:rFonts w:ascii="Arial" w:hAnsi="Arial" w:cs="Arial"/>
          <w:color w:val="auto"/>
        </w:rPr>
        <w:t xml:space="preserve">omprehensive CVD </w:t>
      </w:r>
      <w:r w:rsidR="0089155C" w:rsidRPr="00F95B71">
        <w:rPr>
          <w:rFonts w:ascii="Arial" w:hAnsi="Arial" w:cs="Arial"/>
          <w:color w:val="auto"/>
        </w:rPr>
        <w:t>R</w:t>
      </w:r>
      <w:r w:rsidR="007C4FDD" w:rsidRPr="00F95B71">
        <w:rPr>
          <w:rFonts w:ascii="Arial" w:hAnsi="Arial" w:cs="Arial"/>
          <w:color w:val="auto"/>
        </w:rPr>
        <w:t xml:space="preserve">isk </w:t>
      </w:r>
      <w:r w:rsidR="0089155C" w:rsidRPr="00F95B71">
        <w:rPr>
          <w:rFonts w:ascii="Arial" w:hAnsi="Arial" w:cs="Arial"/>
          <w:color w:val="auto"/>
        </w:rPr>
        <w:t>A</w:t>
      </w:r>
      <w:r w:rsidR="007C4FDD" w:rsidRPr="00F95B71">
        <w:rPr>
          <w:rFonts w:ascii="Arial" w:hAnsi="Arial" w:cs="Arial"/>
          <w:color w:val="auto"/>
        </w:rPr>
        <w:t>ssessment</w:t>
      </w:r>
      <w:r w:rsidRPr="00F95B71">
        <w:rPr>
          <w:rFonts w:ascii="Arial" w:hAnsi="Arial" w:cs="Arial"/>
          <w:color w:val="auto"/>
        </w:rPr>
        <w:t>.</w:t>
      </w:r>
    </w:p>
    <w:p w14:paraId="771D01B6" w14:textId="24164EA8" w:rsidR="001F7120" w:rsidRPr="00F95B71" w:rsidRDefault="005A1E2A" w:rsidP="00035537">
      <w:pPr>
        <w:pStyle w:val="Instructionaltext"/>
        <w:spacing w:before="160" w:line="240" w:lineRule="auto"/>
        <w:rPr>
          <w:rFonts w:ascii="Arial" w:hAnsi="Arial" w:cs="Arial"/>
          <w:color w:val="auto"/>
        </w:rPr>
      </w:pPr>
      <w:r w:rsidRPr="00F95B71">
        <w:rPr>
          <w:rFonts w:ascii="Arial" w:hAnsi="Arial" w:cs="Arial"/>
          <w:color w:val="auto"/>
        </w:rPr>
        <w:t xml:space="preserve">The </w:t>
      </w:r>
      <w:r w:rsidR="001F7120" w:rsidRPr="00F95B71">
        <w:rPr>
          <w:rFonts w:ascii="Arial" w:hAnsi="Arial" w:cs="Arial"/>
          <w:color w:val="auto"/>
        </w:rPr>
        <w:t>Brief</w:t>
      </w:r>
      <w:r w:rsidRPr="00F95B71">
        <w:rPr>
          <w:rFonts w:ascii="Arial" w:hAnsi="Arial" w:cs="Arial"/>
          <w:color w:val="auto"/>
        </w:rPr>
        <w:t xml:space="preserve"> Risk </w:t>
      </w:r>
      <w:r w:rsidR="00F252A5" w:rsidRPr="00F95B71">
        <w:rPr>
          <w:rFonts w:ascii="Arial" w:hAnsi="Arial" w:cs="Arial"/>
          <w:color w:val="auto"/>
        </w:rPr>
        <w:t>Assessmen</w:t>
      </w:r>
      <w:r w:rsidR="004C1DE6" w:rsidRPr="00F95B71">
        <w:rPr>
          <w:rFonts w:ascii="Arial" w:hAnsi="Arial" w:cs="Arial"/>
          <w:color w:val="auto"/>
        </w:rPr>
        <w:t>t</w:t>
      </w:r>
      <w:r w:rsidR="00F252A5" w:rsidRPr="00F95B71">
        <w:rPr>
          <w:rFonts w:ascii="Arial" w:hAnsi="Arial" w:cs="Arial"/>
          <w:color w:val="auto"/>
        </w:rPr>
        <w:t xml:space="preserve"> combin</w:t>
      </w:r>
      <w:r w:rsidR="004C1DE6" w:rsidRPr="00F95B71">
        <w:rPr>
          <w:rFonts w:ascii="Arial" w:hAnsi="Arial" w:cs="Arial"/>
          <w:color w:val="auto"/>
        </w:rPr>
        <w:t>ed</w:t>
      </w:r>
      <w:r w:rsidR="00F252A5" w:rsidRPr="00F95B71">
        <w:rPr>
          <w:rFonts w:ascii="Arial" w:hAnsi="Arial" w:cs="Arial"/>
          <w:color w:val="auto"/>
        </w:rPr>
        <w:t xml:space="preserve"> demographic information (age, gender, ethnicity, country of birth), subjective health measures (physical activity level, smoking status, nutrition, health history, lifestyle questions) and waist measurement; collected by AUSDRISK assessment tool and questionnaire. The </w:t>
      </w:r>
      <w:r w:rsidR="0089155C" w:rsidRPr="00F95B71">
        <w:rPr>
          <w:rFonts w:ascii="Arial" w:hAnsi="Arial" w:cs="Arial"/>
          <w:color w:val="auto"/>
        </w:rPr>
        <w:t>Brief R</w:t>
      </w:r>
      <w:r w:rsidR="00F252A5" w:rsidRPr="00F95B71">
        <w:rPr>
          <w:rFonts w:ascii="Arial" w:hAnsi="Arial" w:cs="Arial"/>
          <w:color w:val="auto"/>
        </w:rPr>
        <w:t xml:space="preserve">isk </w:t>
      </w:r>
      <w:r w:rsidR="0089155C" w:rsidRPr="00F95B71">
        <w:rPr>
          <w:rFonts w:ascii="Arial" w:hAnsi="Arial" w:cs="Arial"/>
          <w:color w:val="auto"/>
        </w:rPr>
        <w:t>A</w:t>
      </w:r>
      <w:r w:rsidR="00F252A5" w:rsidRPr="00F95B71">
        <w:rPr>
          <w:rFonts w:ascii="Arial" w:hAnsi="Arial" w:cs="Arial"/>
          <w:color w:val="auto"/>
        </w:rPr>
        <w:t>ssessment include</w:t>
      </w:r>
      <w:r w:rsidR="0089559C" w:rsidRPr="00F95B71">
        <w:rPr>
          <w:rFonts w:ascii="Arial" w:hAnsi="Arial" w:cs="Arial"/>
          <w:color w:val="auto"/>
        </w:rPr>
        <w:t>d</w:t>
      </w:r>
      <w:r w:rsidR="00F252A5" w:rsidRPr="00F95B71">
        <w:rPr>
          <w:rFonts w:ascii="Arial" w:hAnsi="Arial" w:cs="Arial"/>
          <w:color w:val="auto"/>
        </w:rPr>
        <w:t xml:space="preserve"> non-invasive Point of Care assessment of blood pressure; systolic and diastolic. Opportunistic assessment of risk of cerebrovascular disease undertaken through non-invasive Point of Care screening of irregular heartbeat using the available technology for blood pressure measurement.</w:t>
      </w:r>
    </w:p>
    <w:p w14:paraId="6F1223D1" w14:textId="06D44DD0" w:rsidR="00261076" w:rsidRDefault="008A4C39" w:rsidP="00035537">
      <w:pPr>
        <w:pStyle w:val="Instructionaltext"/>
        <w:spacing w:before="160" w:line="240" w:lineRule="auto"/>
        <w:rPr>
          <w:rFonts w:ascii="Arial" w:hAnsi="Arial" w:cs="Arial"/>
          <w:color w:val="auto"/>
        </w:rPr>
      </w:pPr>
      <w:r w:rsidRPr="00F95B71">
        <w:rPr>
          <w:rFonts w:ascii="Arial" w:hAnsi="Arial" w:cs="Arial"/>
          <w:color w:val="auto"/>
        </w:rPr>
        <w:t>The</w:t>
      </w:r>
      <w:r w:rsidR="00F252A5" w:rsidRPr="00F95B71">
        <w:rPr>
          <w:rFonts w:ascii="Arial" w:hAnsi="Arial" w:cs="Arial"/>
          <w:color w:val="auto"/>
        </w:rPr>
        <w:t xml:space="preserve"> Comprehensive Risk Assessment combin</w:t>
      </w:r>
      <w:r w:rsidRPr="00F95B71">
        <w:rPr>
          <w:rFonts w:ascii="Arial" w:hAnsi="Arial" w:cs="Arial"/>
          <w:color w:val="auto"/>
        </w:rPr>
        <w:t>ed</w:t>
      </w:r>
      <w:r w:rsidR="00F252A5" w:rsidRPr="00F95B71">
        <w:rPr>
          <w:rFonts w:ascii="Arial" w:hAnsi="Arial" w:cs="Arial"/>
          <w:color w:val="auto"/>
        </w:rPr>
        <w:t xml:space="preserve"> demographic information (age, gender), subjective health measures (smoking status, lifestyle questions); collected by </w:t>
      </w:r>
      <w:r w:rsidR="0089155C" w:rsidRPr="00F95B71">
        <w:rPr>
          <w:rFonts w:ascii="Arial" w:hAnsi="Arial" w:cs="Arial"/>
          <w:color w:val="auto"/>
        </w:rPr>
        <w:t xml:space="preserve">FRE and </w:t>
      </w:r>
      <w:r w:rsidR="00F252A5" w:rsidRPr="00F95B71">
        <w:rPr>
          <w:rFonts w:ascii="Arial" w:hAnsi="Arial" w:cs="Arial"/>
          <w:color w:val="auto"/>
        </w:rPr>
        <w:t xml:space="preserve">questionnaire. The </w:t>
      </w:r>
      <w:r w:rsidR="00A14EC5">
        <w:rPr>
          <w:rFonts w:ascii="Arial" w:hAnsi="Arial" w:cs="Arial"/>
          <w:color w:val="auto"/>
        </w:rPr>
        <w:t>C</w:t>
      </w:r>
      <w:r w:rsidR="00A14EC5" w:rsidRPr="00F95B71">
        <w:rPr>
          <w:rFonts w:ascii="Arial" w:hAnsi="Arial" w:cs="Arial"/>
          <w:color w:val="auto"/>
        </w:rPr>
        <w:t xml:space="preserve">omprehensive </w:t>
      </w:r>
      <w:r w:rsidR="00A14EC5">
        <w:rPr>
          <w:rFonts w:ascii="Arial" w:hAnsi="Arial" w:cs="Arial"/>
          <w:color w:val="auto"/>
        </w:rPr>
        <w:t>R</w:t>
      </w:r>
      <w:r w:rsidR="00A14EC5" w:rsidRPr="00F95B71">
        <w:rPr>
          <w:rFonts w:ascii="Arial" w:hAnsi="Arial" w:cs="Arial"/>
          <w:color w:val="auto"/>
        </w:rPr>
        <w:t xml:space="preserve">isk </w:t>
      </w:r>
      <w:r w:rsidR="00A14EC5">
        <w:rPr>
          <w:rFonts w:ascii="Arial" w:hAnsi="Arial" w:cs="Arial"/>
          <w:color w:val="auto"/>
        </w:rPr>
        <w:t>A</w:t>
      </w:r>
      <w:r w:rsidR="00A14EC5" w:rsidRPr="00F95B71">
        <w:rPr>
          <w:rFonts w:ascii="Arial" w:hAnsi="Arial" w:cs="Arial"/>
          <w:color w:val="auto"/>
        </w:rPr>
        <w:t xml:space="preserve">ssessment </w:t>
      </w:r>
      <w:r w:rsidR="00F252A5" w:rsidRPr="00F95B71">
        <w:rPr>
          <w:rFonts w:ascii="Arial" w:hAnsi="Arial" w:cs="Arial"/>
          <w:color w:val="auto"/>
        </w:rPr>
        <w:t>include</w:t>
      </w:r>
      <w:r w:rsidRPr="00F95B71">
        <w:rPr>
          <w:rFonts w:ascii="Arial" w:hAnsi="Arial" w:cs="Arial"/>
          <w:color w:val="auto"/>
        </w:rPr>
        <w:t>d</w:t>
      </w:r>
      <w:r w:rsidR="00F252A5" w:rsidRPr="00F95B71">
        <w:rPr>
          <w:rFonts w:ascii="Arial" w:hAnsi="Arial" w:cs="Arial"/>
          <w:color w:val="auto"/>
        </w:rPr>
        <w:t xml:space="preserve"> non-invasive Point of Care assessment of blood pressure; systolic and diastolic. Opportunistic assessment of risk of cerebrovascular disease undertaken through non-invasive Point of Care screening of irregular heartbeat using the available technology for blood pressure measurement.</w:t>
      </w:r>
      <w:r w:rsidR="00A85BF7">
        <w:rPr>
          <w:rFonts w:ascii="Arial" w:hAnsi="Arial" w:cs="Arial"/>
          <w:color w:val="auto"/>
        </w:rPr>
        <w:t xml:space="preserve"> </w:t>
      </w:r>
      <w:r w:rsidR="00F252A5" w:rsidRPr="00F95B71">
        <w:rPr>
          <w:rFonts w:ascii="Arial" w:hAnsi="Arial" w:cs="Arial"/>
          <w:color w:val="auto"/>
        </w:rPr>
        <w:t xml:space="preserve">The </w:t>
      </w:r>
      <w:r w:rsidR="00261076" w:rsidRPr="00F95B71">
        <w:rPr>
          <w:rFonts w:ascii="Arial" w:hAnsi="Arial" w:cs="Arial"/>
          <w:color w:val="auto"/>
        </w:rPr>
        <w:t>C</w:t>
      </w:r>
      <w:r w:rsidR="00F252A5" w:rsidRPr="00F95B71">
        <w:rPr>
          <w:rFonts w:ascii="Arial" w:hAnsi="Arial" w:cs="Arial"/>
          <w:color w:val="auto"/>
        </w:rPr>
        <w:t xml:space="preserve">omprehensive </w:t>
      </w:r>
      <w:r w:rsidR="00261076" w:rsidRPr="00F95B71">
        <w:rPr>
          <w:rFonts w:ascii="Arial" w:hAnsi="Arial" w:cs="Arial"/>
          <w:color w:val="auto"/>
        </w:rPr>
        <w:t>R</w:t>
      </w:r>
      <w:r w:rsidR="00F252A5" w:rsidRPr="00F95B71">
        <w:rPr>
          <w:rFonts w:ascii="Arial" w:hAnsi="Arial" w:cs="Arial"/>
          <w:color w:val="auto"/>
        </w:rPr>
        <w:t xml:space="preserve">isk </w:t>
      </w:r>
      <w:r w:rsidR="00261076" w:rsidRPr="00F95B71">
        <w:rPr>
          <w:rFonts w:ascii="Arial" w:hAnsi="Arial" w:cs="Arial"/>
          <w:color w:val="auto"/>
        </w:rPr>
        <w:t>A</w:t>
      </w:r>
      <w:r w:rsidR="00F252A5" w:rsidRPr="00F95B71">
        <w:rPr>
          <w:rFonts w:ascii="Arial" w:hAnsi="Arial" w:cs="Arial"/>
          <w:color w:val="auto"/>
        </w:rPr>
        <w:t>ssessment include</w:t>
      </w:r>
      <w:r w:rsidR="00261076" w:rsidRPr="00F95B71">
        <w:rPr>
          <w:rFonts w:ascii="Arial" w:hAnsi="Arial" w:cs="Arial"/>
          <w:color w:val="auto"/>
        </w:rPr>
        <w:t>d</w:t>
      </w:r>
      <w:r w:rsidR="00F252A5" w:rsidRPr="00F95B71">
        <w:rPr>
          <w:rFonts w:ascii="Arial" w:hAnsi="Arial" w:cs="Arial"/>
          <w:color w:val="auto"/>
        </w:rPr>
        <w:t xml:space="preserve"> biometric information; serum lipid levels, HbA1C levels measured using medical point of care devices.</w:t>
      </w:r>
    </w:p>
    <w:p w14:paraId="64738377" w14:textId="189F31A5" w:rsidR="00222CC5" w:rsidRPr="00F95B71" w:rsidRDefault="00CF5A2C" w:rsidP="00035537">
      <w:pPr>
        <w:spacing w:before="0" w:after="0" w:line="240" w:lineRule="auto"/>
        <w:rPr>
          <w:rFonts w:ascii="Arial" w:hAnsi="Arial" w:cs="Arial"/>
        </w:rPr>
      </w:pPr>
      <w:r>
        <w:rPr>
          <w:rFonts w:ascii="Arial" w:hAnsi="Arial" w:cs="Arial"/>
        </w:rPr>
        <w:br w:type="page"/>
      </w:r>
    </w:p>
    <w:p w14:paraId="12384CD9" w14:textId="03FC2D12" w:rsidR="00222CC5" w:rsidRPr="00035537" w:rsidRDefault="00053F6C" w:rsidP="00035537">
      <w:pPr>
        <w:pStyle w:val="Heading2"/>
        <w:spacing w:before="160" w:after="160"/>
        <w:ind w:left="357" w:hanging="357"/>
        <w:rPr>
          <w:rFonts w:ascii="Arial" w:hAnsi="Arial" w:cs="Arial"/>
          <w:b/>
          <w:bCs/>
        </w:rPr>
      </w:pPr>
      <w:bookmarkStart w:id="19" w:name="_Toc137535735"/>
      <w:r w:rsidRPr="00222CC5">
        <w:rPr>
          <w:rFonts w:ascii="Arial" w:hAnsi="Arial" w:cs="Arial"/>
          <w:b/>
          <w:bCs/>
        </w:rPr>
        <w:lastRenderedPageBreak/>
        <w:t>C</w:t>
      </w:r>
      <w:r w:rsidR="0042304B" w:rsidRPr="00222CC5">
        <w:rPr>
          <w:rFonts w:ascii="Arial" w:hAnsi="Arial" w:cs="Arial"/>
          <w:b/>
          <w:bCs/>
        </w:rPr>
        <w:t>omparator(s)</w:t>
      </w:r>
      <w:bookmarkEnd w:id="19"/>
    </w:p>
    <w:p w14:paraId="484113D6" w14:textId="2E404F40" w:rsidR="008A5FBF" w:rsidRPr="00F95B71" w:rsidRDefault="004B201B" w:rsidP="00035537">
      <w:pPr>
        <w:pStyle w:val="Instructionaltext"/>
        <w:spacing w:before="160" w:line="240" w:lineRule="auto"/>
        <w:rPr>
          <w:rFonts w:ascii="Arial" w:hAnsi="Arial" w:cs="Arial"/>
          <w:color w:val="auto"/>
        </w:rPr>
      </w:pPr>
      <w:r w:rsidRPr="00F95B71">
        <w:rPr>
          <w:rFonts w:ascii="Arial" w:hAnsi="Arial" w:cs="Arial"/>
          <w:color w:val="auto"/>
        </w:rPr>
        <w:t xml:space="preserve">The proposed intervention of </w:t>
      </w:r>
      <w:r w:rsidR="0089155C" w:rsidRPr="00F95B71">
        <w:rPr>
          <w:rFonts w:ascii="Arial" w:hAnsi="Arial" w:cs="Arial"/>
          <w:color w:val="auto"/>
        </w:rPr>
        <w:t>undertaking</w:t>
      </w:r>
      <w:r w:rsidRPr="00F95B71">
        <w:rPr>
          <w:rFonts w:ascii="Arial" w:hAnsi="Arial" w:cs="Arial"/>
          <w:color w:val="auto"/>
        </w:rPr>
        <w:t xml:space="preserve"> CVD Risk Assessment in Community Pharmacy enable</w:t>
      </w:r>
      <w:r w:rsidR="0089155C" w:rsidRPr="00F95B71">
        <w:rPr>
          <w:rFonts w:ascii="Arial" w:hAnsi="Arial" w:cs="Arial"/>
          <w:color w:val="auto"/>
        </w:rPr>
        <w:t>s</w:t>
      </w:r>
      <w:r w:rsidRPr="00F95B71">
        <w:rPr>
          <w:rFonts w:ascii="Arial" w:hAnsi="Arial" w:cs="Arial"/>
          <w:color w:val="auto"/>
        </w:rPr>
        <w:t xml:space="preserve"> </w:t>
      </w:r>
      <w:r w:rsidR="009721F0" w:rsidRPr="00F95B71">
        <w:rPr>
          <w:rFonts w:ascii="Arial" w:hAnsi="Arial" w:cs="Arial"/>
          <w:color w:val="auto"/>
        </w:rPr>
        <w:t xml:space="preserve">opportunistic </w:t>
      </w:r>
      <w:r w:rsidRPr="00F95B71">
        <w:rPr>
          <w:rFonts w:ascii="Arial" w:hAnsi="Arial" w:cs="Arial"/>
          <w:color w:val="auto"/>
        </w:rPr>
        <w:t>early, or earlier, identification of CVD risk factors in a previously undiagnosed person through engagement with a trusted and accessible health professional.</w:t>
      </w:r>
    </w:p>
    <w:p w14:paraId="468CA52F" w14:textId="1AB9C5DA" w:rsidR="00222CC5" w:rsidRDefault="00BC3E79" w:rsidP="00035537">
      <w:pPr>
        <w:spacing w:before="160" w:line="240" w:lineRule="auto"/>
        <w:rPr>
          <w:rFonts w:ascii="Arial" w:hAnsi="Arial" w:cs="Arial"/>
        </w:rPr>
      </w:pPr>
      <w:r w:rsidRPr="00F95B71">
        <w:rPr>
          <w:rFonts w:ascii="Arial" w:hAnsi="Arial" w:cs="Arial"/>
        </w:rPr>
        <w:t xml:space="preserve">In the absence of an alternate </w:t>
      </w:r>
      <w:r w:rsidR="0089155C" w:rsidRPr="00F95B71">
        <w:rPr>
          <w:rFonts w:ascii="Arial" w:hAnsi="Arial" w:cs="Arial"/>
        </w:rPr>
        <w:t>c</w:t>
      </w:r>
      <w:r w:rsidRPr="00F95B71">
        <w:rPr>
          <w:rFonts w:ascii="Arial" w:hAnsi="Arial" w:cs="Arial"/>
        </w:rPr>
        <w:t xml:space="preserve">ommunity screening program, </w:t>
      </w:r>
      <w:r w:rsidR="008A5FBF" w:rsidRPr="00F95B71">
        <w:rPr>
          <w:rFonts w:ascii="Arial" w:hAnsi="Arial" w:cs="Arial"/>
        </w:rPr>
        <w:t xml:space="preserve">the </w:t>
      </w:r>
      <w:r w:rsidRPr="00F95B71">
        <w:rPr>
          <w:rFonts w:ascii="Arial" w:hAnsi="Arial" w:cs="Arial"/>
        </w:rPr>
        <w:t xml:space="preserve">comparator is standard medical management by </w:t>
      </w:r>
      <w:r w:rsidR="00754E25" w:rsidRPr="00F95B71">
        <w:rPr>
          <w:rFonts w:ascii="Arial" w:hAnsi="Arial" w:cs="Arial"/>
        </w:rPr>
        <w:t xml:space="preserve">a </w:t>
      </w:r>
      <w:r w:rsidRPr="00F95B71">
        <w:rPr>
          <w:rFonts w:ascii="Arial" w:hAnsi="Arial" w:cs="Arial"/>
        </w:rPr>
        <w:t>G</w:t>
      </w:r>
      <w:r w:rsidR="00754E25" w:rsidRPr="00F95B71">
        <w:rPr>
          <w:rFonts w:ascii="Arial" w:hAnsi="Arial" w:cs="Arial"/>
        </w:rPr>
        <w:t xml:space="preserve">eneral </w:t>
      </w:r>
      <w:r w:rsidRPr="00F95B71">
        <w:rPr>
          <w:rFonts w:ascii="Arial" w:hAnsi="Arial" w:cs="Arial"/>
        </w:rPr>
        <w:t>P</w:t>
      </w:r>
      <w:r w:rsidR="00754E25" w:rsidRPr="00F95B71">
        <w:rPr>
          <w:rFonts w:ascii="Arial" w:hAnsi="Arial" w:cs="Arial"/>
        </w:rPr>
        <w:t>ractitioner</w:t>
      </w:r>
      <w:r w:rsidRPr="00F95B71">
        <w:rPr>
          <w:rFonts w:ascii="Arial" w:hAnsi="Arial" w:cs="Arial"/>
        </w:rPr>
        <w:t xml:space="preserve"> in primary clinical practice. Screening activities in General Practice are supported by MBS health assessment items, administered on the clinical judgement of the practitioner.</w:t>
      </w:r>
    </w:p>
    <w:p w14:paraId="3A7EC64D" w14:textId="63E7F42A" w:rsidR="002B0E8E" w:rsidRDefault="002B0E8E" w:rsidP="00035537">
      <w:pPr>
        <w:spacing w:before="160" w:line="240" w:lineRule="auto"/>
        <w:rPr>
          <w:rFonts w:ascii="Arial" w:hAnsi="Arial" w:cs="Arial"/>
        </w:rPr>
      </w:pPr>
      <w:r>
        <w:rPr>
          <w:rFonts w:ascii="Arial" w:hAnsi="Arial" w:cs="Arial"/>
        </w:rPr>
        <w:t>Community pharmacy is an appropriate and easy point of health care and advice for many people, often used in preference to General Practice.</w:t>
      </w:r>
      <w:r w:rsidR="00A85BF7">
        <w:rPr>
          <w:rFonts w:ascii="Arial" w:hAnsi="Arial" w:cs="Arial"/>
        </w:rPr>
        <w:t xml:space="preserve"> </w:t>
      </w:r>
      <w:r>
        <w:rPr>
          <w:rFonts w:ascii="Arial" w:hAnsi="Arial" w:cs="Arial"/>
        </w:rPr>
        <w:t>For many people pharmacy is the initial point of contact with the health system, reducing barriers to healthcare and providing health information and lifestyle advice.</w:t>
      </w:r>
    </w:p>
    <w:p w14:paraId="2C8A56D5" w14:textId="77777777" w:rsidR="002B0E8E" w:rsidRDefault="002B0E8E" w:rsidP="00035537">
      <w:pPr>
        <w:spacing w:before="160" w:line="240" w:lineRule="auto"/>
        <w:rPr>
          <w:rFonts w:ascii="Arial" w:hAnsi="Arial" w:cs="Arial"/>
        </w:rPr>
      </w:pPr>
      <w:r>
        <w:rPr>
          <w:rFonts w:ascii="Arial" w:hAnsi="Arial" w:cs="Arial"/>
        </w:rPr>
        <w:t>Participant feedback indicates community pharmacies:</w:t>
      </w:r>
    </w:p>
    <w:p w14:paraId="52320192" w14:textId="77777777" w:rsidR="002B0E8E" w:rsidRPr="00A5478C" w:rsidRDefault="002B0E8E" w:rsidP="008378D5">
      <w:pPr>
        <w:pStyle w:val="ListParagraph"/>
        <w:numPr>
          <w:ilvl w:val="0"/>
          <w:numId w:val="32"/>
        </w:numPr>
        <w:spacing w:before="0" w:after="0" w:line="240" w:lineRule="auto"/>
        <w:rPr>
          <w:rFonts w:ascii="Arial" w:hAnsi="Arial" w:cs="Arial"/>
        </w:rPr>
      </w:pPr>
      <w:r w:rsidRPr="00A5478C">
        <w:rPr>
          <w:rFonts w:ascii="Arial" w:hAnsi="Arial" w:cs="Arial"/>
        </w:rPr>
        <w:t>Are trusted health professionals</w:t>
      </w:r>
    </w:p>
    <w:p w14:paraId="63730FDC" w14:textId="77777777" w:rsidR="002B0E8E" w:rsidRPr="00A5478C" w:rsidRDefault="002B0E8E" w:rsidP="008378D5">
      <w:pPr>
        <w:pStyle w:val="ListParagraph"/>
        <w:numPr>
          <w:ilvl w:val="0"/>
          <w:numId w:val="32"/>
        </w:numPr>
        <w:spacing w:before="0" w:after="0" w:line="240" w:lineRule="auto"/>
        <w:rPr>
          <w:rFonts w:ascii="Arial" w:hAnsi="Arial" w:cs="Arial"/>
        </w:rPr>
      </w:pPr>
      <w:r w:rsidRPr="00A5478C">
        <w:rPr>
          <w:rFonts w:ascii="Arial" w:hAnsi="Arial" w:cs="Arial"/>
        </w:rPr>
        <w:t>Provide accessible and immediate healthcare and/or advice</w:t>
      </w:r>
    </w:p>
    <w:p w14:paraId="5034523F" w14:textId="1567E31E" w:rsidR="002B0E8E" w:rsidRPr="00A5478C" w:rsidRDefault="00A14EC5" w:rsidP="008378D5">
      <w:pPr>
        <w:pStyle w:val="ListParagraph"/>
        <w:numPr>
          <w:ilvl w:val="0"/>
          <w:numId w:val="32"/>
        </w:numPr>
        <w:spacing w:before="0" w:after="0" w:line="240" w:lineRule="auto"/>
        <w:rPr>
          <w:rFonts w:ascii="Arial" w:hAnsi="Arial" w:cs="Arial"/>
        </w:rPr>
      </w:pPr>
      <w:r>
        <w:rPr>
          <w:rFonts w:ascii="Arial" w:hAnsi="Arial" w:cs="Arial"/>
        </w:rPr>
        <w:t>Are l</w:t>
      </w:r>
      <w:r w:rsidR="002B0E8E" w:rsidRPr="00A5478C">
        <w:rPr>
          <w:rFonts w:ascii="Arial" w:hAnsi="Arial" w:cs="Arial"/>
        </w:rPr>
        <w:t xml:space="preserve">ocal, part of the community and familiar </w:t>
      </w:r>
    </w:p>
    <w:p w14:paraId="0BA1F54D" w14:textId="242A2ED2" w:rsidR="002B0E8E" w:rsidRPr="00035537" w:rsidRDefault="002B0E8E" w:rsidP="00035537">
      <w:pPr>
        <w:pStyle w:val="ListParagraph"/>
        <w:numPr>
          <w:ilvl w:val="0"/>
          <w:numId w:val="32"/>
        </w:numPr>
        <w:spacing w:before="0" w:after="0" w:line="240" w:lineRule="auto"/>
        <w:rPr>
          <w:rFonts w:ascii="Arial" w:hAnsi="Arial" w:cs="Arial"/>
        </w:rPr>
      </w:pPr>
      <w:r w:rsidRPr="00A5478C">
        <w:rPr>
          <w:rFonts w:ascii="Arial" w:hAnsi="Arial" w:cs="Arial"/>
        </w:rPr>
        <w:t xml:space="preserve">Are often seen as a ‘one-stop shop’ for health </w:t>
      </w:r>
      <w:proofErr w:type="gramStart"/>
      <w:r w:rsidRPr="00A5478C">
        <w:rPr>
          <w:rFonts w:ascii="Arial" w:hAnsi="Arial" w:cs="Arial"/>
        </w:rPr>
        <w:t>needs;</w:t>
      </w:r>
      <w:proofErr w:type="gramEnd"/>
      <w:r w:rsidRPr="00A5478C">
        <w:rPr>
          <w:rFonts w:ascii="Arial" w:hAnsi="Arial" w:cs="Arial"/>
        </w:rPr>
        <w:t xml:space="preserve"> advice and medication in a single location</w:t>
      </w:r>
    </w:p>
    <w:p w14:paraId="0C121EF9" w14:textId="174211E1" w:rsidR="002B0E8E" w:rsidRDefault="002B0E8E" w:rsidP="00035537">
      <w:pPr>
        <w:spacing w:before="160" w:line="240" w:lineRule="auto"/>
        <w:rPr>
          <w:rFonts w:ascii="Arial" w:hAnsi="Arial" w:cs="Arial"/>
        </w:rPr>
      </w:pPr>
      <w:r>
        <w:rPr>
          <w:rFonts w:ascii="Arial" w:hAnsi="Arial" w:cs="Arial"/>
        </w:rPr>
        <w:t xml:space="preserve">More recently, with changes to the economic situation in Australia and decreasing access to bulk-billing General Practice, community pharmacy has become a </w:t>
      </w:r>
      <w:r w:rsidR="007B6D23">
        <w:rPr>
          <w:rFonts w:ascii="Arial" w:hAnsi="Arial" w:cs="Arial"/>
        </w:rPr>
        <w:t>cost-effective</w:t>
      </w:r>
      <w:r>
        <w:rPr>
          <w:rFonts w:ascii="Arial" w:hAnsi="Arial" w:cs="Arial"/>
        </w:rPr>
        <w:t xml:space="preserve"> alternative for many people, particularly those experiencing financial disadvantage.</w:t>
      </w:r>
    </w:p>
    <w:p w14:paraId="04A8EB4E" w14:textId="7DB73A00" w:rsidR="00222CC5" w:rsidRPr="00035537" w:rsidRDefault="00C2534F" w:rsidP="00035537">
      <w:pPr>
        <w:pStyle w:val="Heading2"/>
        <w:spacing w:before="0" w:after="0"/>
        <w:ind w:left="357" w:hanging="357"/>
        <w:rPr>
          <w:rFonts w:ascii="Arial" w:hAnsi="Arial" w:cs="Arial"/>
          <w:b/>
          <w:bCs/>
        </w:rPr>
      </w:pPr>
      <w:bookmarkStart w:id="20" w:name="_Toc137535736"/>
      <w:r w:rsidRPr="00222CC5">
        <w:rPr>
          <w:rFonts w:ascii="Arial" w:hAnsi="Arial" w:cs="Arial"/>
          <w:b/>
          <w:bCs/>
        </w:rPr>
        <w:t>Summary of the PICO criteria</w:t>
      </w:r>
      <w:bookmarkEnd w:id="20"/>
    </w:p>
    <w:p w14:paraId="42CB6EE7" w14:textId="422892B1" w:rsidR="00222CC5" w:rsidRPr="00F95B71" w:rsidRDefault="00C2534F" w:rsidP="00035537">
      <w:pPr>
        <w:spacing w:before="160" w:line="240" w:lineRule="auto"/>
        <w:rPr>
          <w:rFonts w:ascii="Arial" w:hAnsi="Arial" w:cs="Arial"/>
        </w:rPr>
      </w:pPr>
      <w:r w:rsidRPr="00F95B71">
        <w:rPr>
          <w:rFonts w:ascii="Arial" w:hAnsi="Arial" w:cs="Arial"/>
        </w:rPr>
        <w:t xml:space="preserve">The Prior tests, Population, Investigation/Index test, Comparator and Outcomes (PPICO) that were prespecified </w:t>
      </w:r>
      <w:r w:rsidR="00655CF9" w:rsidRPr="00F95B71">
        <w:rPr>
          <w:rFonts w:ascii="Arial" w:hAnsi="Arial" w:cs="Arial"/>
        </w:rPr>
        <w:t>in the</w:t>
      </w:r>
      <w:r w:rsidR="00F83D52" w:rsidRPr="00F95B71">
        <w:rPr>
          <w:rFonts w:ascii="Arial" w:hAnsi="Arial" w:cs="Arial"/>
        </w:rPr>
        <w:t xml:space="preserve"> early detection and management of cardiovascular disease risk factors in community pharmacy P</w:t>
      </w:r>
      <w:r w:rsidR="00655CF9" w:rsidRPr="00F95B71">
        <w:rPr>
          <w:rFonts w:ascii="Arial" w:hAnsi="Arial" w:cs="Arial"/>
        </w:rPr>
        <w:t xml:space="preserve">ICO confirmation </w:t>
      </w:r>
      <w:r w:rsidRPr="00F95B71">
        <w:rPr>
          <w:rFonts w:ascii="Arial" w:hAnsi="Arial" w:cs="Arial"/>
        </w:rPr>
        <w:t xml:space="preserve">to guide the systematic literature review are presented in </w:t>
      </w:r>
      <w:r w:rsidRPr="00F95B71">
        <w:rPr>
          <w:rFonts w:ascii="Arial" w:hAnsi="Arial" w:cs="Arial"/>
        </w:rPr>
        <w:fldChar w:fldCharType="begin"/>
      </w:r>
      <w:r w:rsidRPr="00F95B71">
        <w:rPr>
          <w:rFonts w:ascii="Arial" w:hAnsi="Arial" w:cs="Arial"/>
        </w:rPr>
        <w:instrText xml:space="preserve"> REF _Ref514075061 \h </w:instrText>
      </w:r>
      <w:r w:rsidR="00CE28E3" w:rsidRPr="00F95B71">
        <w:rPr>
          <w:rFonts w:ascii="Arial" w:hAnsi="Arial" w:cs="Arial"/>
        </w:rPr>
        <w:instrText xml:space="preserve"> \* MERGEFORMAT </w:instrText>
      </w:r>
      <w:r w:rsidRPr="00F95B71">
        <w:rPr>
          <w:rFonts w:ascii="Arial" w:hAnsi="Arial" w:cs="Arial"/>
        </w:rPr>
      </w:r>
      <w:r w:rsidRPr="00F95B71">
        <w:rPr>
          <w:rFonts w:ascii="Arial" w:hAnsi="Arial" w:cs="Arial"/>
        </w:rPr>
        <w:fldChar w:fldCharType="separate"/>
      </w:r>
      <w:r w:rsidR="00013620" w:rsidRPr="00013620">
        <w:rPr>
          <w:rFonts w:ascii="Arial" w:hAnsi="Arial" w:cs="Arial"/>
        </w:rPr>
        <w:t xml:space="preserve">Table </w:t>
      </w:r>
      <w:r w:rsidR="00013620" w:rsidRPr="00013620">
        <w:rPr>
          <w:rFonts w:ascii="Arial" w:hAnsi="Arial" w:cs="Arial"/>
          <w:noProof/>
        </w:rPr>
        <w:t>2</w:t>
      </w:r>
      <w:r w:rsidRPr="00F95B71">
        <w:rPr>
          <w:rFonts w:ascii="Arial" w:hAnsi="Arial" w:cs="Arial"/>
        </w:rPr>
        <w:fldChar w:fldCharType="end"/>
      </w:r>
      <w:r w:rsidRPr="00F95B71">
        <w:rPr>
          <w:rFonts w:ascii="Arial" w:hAnsi="Arial" w:cs="Arial"/>
        </w:rPr>
        <w:t>.</w:t>
      </w:r>
    </w:p>
    <w:p w14:paraId="356727FA" w14:textId="077B0306" w:rsidR="00C64FF8" w:rsidRPr="00A14753" w:rsidRDefault="00D70FA5" w:rsidP="006C4D3A">
      <w:pPr>
        <w:pStyle w:val="Heading3"/>
        <w:spacing w:before="0" w:after="0"/>
      </w:pPr>
      <w:bookmarkStart w:id="21" w:name="_Ref514075061"/>
      <w:bookmarkStart w:id="22" w:name="_Toc137535737"/>
      <w:bookmarkStart w:id="23" w:name="_Toc526417120"/>
      <w:bookmarkStart w:id="24" w:name="_Toc47540382"/>
      <w:r w:rsidRPr="006C4D3A">
        <w:rPr>
          <w:rFonts w:ascii="Arial Narrow" w:hAnsi="Arial Narrow"/>
          <w:b/>
          <w:bCs/>
          <w:sz w:val="20"/>
          <w:szCs w:val="20"/>
        </w:rPr>
        <w:lastRenderedPageBreak/>
        <w:t xml:space="preserve">Table </w:t>
      </w:r>
      <w:r w:rsidRPr="006C4D3A">
        <w:rPr>
          <w:rFonts w:ascii="Arial Narrow" w:hAnsi="Arial Narrow"/>
          <w:b/>
          <w:bCs/>
          <w:sz w:val="20"/>
          <w:szCs w:val="20"/>
        </w:rPr>
        <w:fldChar w:fldCharType="begin"/>
      </w:r>
      <w:r w:rsidRPr="006C4D3A">
        <w:rPr>
          <w:rFonts w:ascii="Arial Narrow" w:hAnsi="Arial Narrow"/>
          <w:b/>
          <w:bCs/>
          <w:sz w:val="20"/>
          <w:szCs w:val="20"/>
        </w:rPr>
        <w:instrText xml:space="preserve"> SEQ Table \* ARABIC </w:instrText>
      </w:r>
      <w:r w:rsidRPr="006C4D3A">
        <w:rPr>
          <w:rFonts w:ascii="Arial Narrow" w:hAnsi="Arial Narrow"/>
          <w:b/>
          <w:bCs/>
          <w:sz w:val="20"/>
          <w:szCs w:val="20"/>
        </w:rPr>
        <w:fldChar w:fldCharType="separate"/>
      </w:r>
      <w:r w:rsidR="00013620">
        <w:rPr>
          <w:rFonts w:ascii="Arial Narrow" w:hAnsi="Arial Narrow"/>
          <w:b/>
          <w:bCs/>
          <w:noProof/>
          <w:sz w:val="20"/>
          <w:szCs w:val="20"/>
        </w:rPr>
        <w:t>2</w:t>
      </w:r>
      <w:r w:rsidRPr="006C4D3A">
        <w:rPr>
          <w:rFonts w:ascii="Arial Narrow" w:hAnsi="Arial Narrow"/>
          <w:b/>
          <w:bCs/>
          <w:sz w:val="20"/>
          <w:szCs w:val="20"/>
        </w:rPr>
        <w:fldChar w:fldCharType="end"/>
      </w:r>
      <w:bookmarkEnd w:id="21"/>
      <w:r w:rsidR="00EF1F15" w:rsidRPr="006C4D3A">
        <w:rPr>
          <w:rFonts w:ascii="Arial Narrow" w:hAnsi="Arial Narrow"/>
          <w:b/>
          <w:bCs/>
          <w:sz w:val="20"/>
          <w:szCs w:val="20"/>
        </w:rPr>
        <w:t xml:space="preserve">: </w:t>
      </w:r>
      <w:r w:rsidR="00C2534F" w:rsidRPr="006C4D3A">
        <w:rPr>
          <w:rFonts w:ascii="Arial Narrow" w:hAnsi="Arial Narrow"/>
          <w:b/>
          <w:bCs/>
          <w:sz w:val="20"/>
          <w:szCs w:val="20"/>
        </w:rPr>
        <w:t xml:space="preserve">PICO criteria for assessing </w:t>
      </w:r>
      <w:r w:rsidR="00F83D52" w:rsidRPr="006C4D3A">
        <w:rPr>
          <w:rFonts w:ascii="Arial Narrow" w:hAnsi="Arial Narrow"/>
          <w:b/>
          <w:bCs/>
          <w:sz w:val="20"/>
          <w:szCs w:val="20"/>
        </w:rPr>
        <w:t>early detection and management of cardiovascular disease risk factors in community pharmacy</w:t>
      </w:r>
      <w:bookmarkEnd w:id="22"/>
    </w:p>
    <w:tbl>
      <w:tblPr>
        <w:tblStyle w:val="TableGrid"/>
        <w:tblW w:w="0" w:type="auto"/>
        <w:tblLook w:val="04A0" w:firstRow="1" w:lastRow="0" w:firstColumn="1" w:lastColumn="0" w:noHBand="0" w:noVBand="1"/>
      </w:tblPr>
      <w:tblGrid>
        <w:gridCol w:w="1555"/>
        <w:gridCol w:w="7461"/>
      </w:tblGrid>
      <w:tr w:rsidR="00C64FF8" w:rsidRPr="00F95B71" w14:paraId="486D833D" w14:textId="77777777" w:rsidTr="00F42C6F">
        <w:tc>
          <w:tcPr>
            <w:tcW w:w="1555" w:type="dxa"/>
          </w:tcPr>
          <w:p w14:paraId="5FBF9933" w14:textId="0E1E6DF7" w:rsidR="00C64FF8" w:rsidRPr="00F95B71" w:rsidRDefault="00C64FF8" w:rsidP="008378D5">
            <w:pPr>
              <w:pStyle w:val="Caption"/>
              <w:spacing w:before="0" w:after="0"/>
              <w:rPr>
                <w:rFonts w:ascii="Arial" w:hAnsi="Arial" w:cs="Arial"/>
              </w:rPr>
            </w:pPr>
            <w:r w:rsidRPr="00F95B71">
              <w:rPr>
                <w:rFonts w:ascii="Arial" w:hAnsi="Arial" w:cs="Arial"/>
              </w:rPr>
              <w:t>Component</w:t>
            </w:r>
          </w:p>
        </w:tc>
        <w:tc>
          <w:tcPr>
            <w:tcW w:w="7461" w:type="dxa"/>
          </w:tcPr>
          <w:p w14:paraId="54652C9E" w14:textId="21177EA8" w:rsidR="00C64FF8" w:rsidRPr="00F95B71" w:rsidRDefault="00C64FF8" w:rsidP="008378D5">
            <w:pPr>
              <w:pStyle w:val="Caption"/>
              <w:spacing w:before="0" w:after="0"/>
              <w:rPr>
                <w:rFonts w:ascii="Arial" w:hAnsi="Arial" w:cs="Arial"/>
              </w:rPr>
            </w:pPr>
            <w:r w:rsidRPr="00F95B71">
              <w:rPr>
                <w:rFonts w:ascii="Arial" w:hAnsi="Arial" w:cs="Arial"/>
              </w:rPr>
              <w:t>Description</w:t>
            </w:r>
          </w:p>
        </w:tc>
      </w:tr>
      <w:tr w:rsidR="00C64FF8" w:rsidRPr="00F95B71" w14:paraId="561F73CA" w14:textId="77777777" w:rsidTr="00F42C6F">
        <w:tc>
          <w:tcPr>
            <w:tcW w:w="1555" w:type="dxa"/>
          </w:tcPr>
          <w:p w14:paraId="2C508CD5" w14:textId="16D2FC3A" w:rsidR="00C64FF8" w:rsidRPr="00F95B71" w:rsidRDefault="00C64FF8" w:rsidP="008378D5">
            <w:pPr>
              <w:pStyle w:val="Caption"/>
              <w:spacing w:before="0" w:after="0"/>
              <w:rPr>
                <w:rFonts w:ascii="Arial" w:hAnsi="Arial" w:cs="Arial"/>
                <w:b w:val="0"/>
                <w:bCs w:val="0"/>
                <w:sz w:val="18"/>
                <w:szCs w:val="18"/>
              </w:rPr>
            </w:pPr>
            <w:r w:rsidRPr="00F95B71">
              <w:rPr>
                <w:rFonts w:ascii="Arial" w:hAnsi="Arial" w:cs="Arial"/>
                <w:b w:val="0"/>
                <w:bCs w:val="0"/>
                <w:sz w:val="18"/>
                <w:szCs w:val="18"/>
              </w:rPr>
              <w:t>Population</w:t>
            </w:r>
          </w:p>
        </w:tc>
        <w:tc>
          <w:tcPr>
            <w:tcW w:w="7461" w:type="dxa"/>
          </w:tcPr>
          <w:p w14:paraId="2937A0C5" w14:textId="493AD7FA" w:rsidR="00F42C6F" w:rsidRPr="00F95B71" w:rsidRDefault="00C64FF8" w:rsidP="008378D5">
            <w:pPr>
              <w:pStyle w:val="Caption"/>
              <w:spacing w:before="0" w:after="0"/>
              <w:rPr>
                <w:rFonts w:ascii="Arial" w:hAnsi="Arial" w:cs="Arial"/>
                <w:b w:val="0"/>
                <w:bCs w:val="0"/>
                <w:color w:val="000000" w:themeColor="text1"/>
                <w:sz w:val="18"/>
                <w:szCs w:val="18"/>
              </w:rPr>
            </w:pPr>
            <w:r w:rsidRPr="00F95B71">
              <w:rPr>
                <w:rFonts w:ascii="Arial" w:hAnsi="Arial" w:cs="Arial"/>
                <w:b w:val="0"/>
                <w:bCs w:val="0"/>
                <w:color w:val="000000" w:themeColor="text1"/>
                <w:sz w:val="18"/>
                <w:szCs w:val="18"/>
              </w:rPr>
              <w:t>Adults aged 45 to 74 years (35 to 74 years for Aboriginal and Torres Strait Islander people) without known history of CVD who engage with community pharmacy</w:t>
            </w:r>
            <w:r w:rsidR="00F42C6F" w:rsidRPr="00F95B71">
              <w:rPr>
                <w:rFonts w:ascii="Arial" w:hAnsi="Arial" w:cs="Arial"/>
                <w:b w:val="0"/>
                <w:bCs w:val="0"/>
                <w:color w:val="000000" w:themeColor="text1"/>
                <w:sz w:val="18"/>
                <w:szCs w:val="18"/>
              </w:rPr>
              <w:t>.</w:t>
            </w:r>
          </w:p>
        </w:tc>
      </w:tr>
      <w:tr w:rsidR="00C64FF8" w:rsidRPr="00F95B71" w14:paraId="03D76935" w14:textId="77777777" w:rsidTr="00F42C6F">
        <w:tc>
          <w:tcPr>
            <w:tcW w:w="1555" w:type="dxa"/>
          </w:tcPr>
          <w:p w14:paraId="0FA9FE80" w14:textId="74CF8D2A" w:rsidR="00C64FF8" w:rsidRPr="00F95B71" w:rsidRDefault="00F42C6F" w:rsidP="008378D5">
            <w:pPr>
              <w:pStyle w:val="Caption"/>
              <w:spacing w:before="0" w:after="0"/>
              <w:rPr>
                <w:rFonts w:ascii="Arial" w:hAnsi="Arial" w:cs="Arial"/>
                <w:b w:val="0"/>
                <w:bCs w:val="0"/>
                <w:sz w:val="18"/>
                <w:szCs w:val="18"/>
              </w:rPr>
            </w:pPr>
            <w:r w:rsidRPr="00F95B71">
              <w:rPr>
                <w:rFonts w:ascii="Arial" w:hAnsi="Arial" w:cs="Arial"/>
                <w:b w:val="0"/>
                <w:bCs w:val="0"/>
                <w:sz w:val="18"/>
                <w:szCs w:val="18"/>
              </w:rPr>
              <w:t>Prior tests</w:t>
            </w:r>
          </w:p>
        </w:tc>
        <w:tc>
          <w:tcPr>
            <w:tcW w:w="7461" w:type="dxa"/>
          </w:tcPr>
          <w:p w14:paraId="0795407B" w14:textId="1F881EF8" w:rsidR="00F42C6F" w:rsidRPr="00F95B71" w:rsidRDefault="00F42C6F" w:rsidP="008378D5">
            <w:pPr>
              <w:pStyle w:val="Caption"/>
              <w:spacing w:before="0" w:after="0"/>
              <w:rPr>
                <w:rFonts w:ascii="Arial" w:eastAsia="Arial Unicode MS" w:hAnsi="Arial" w:cs="Arial"/>
                <w:b w:val="0"/>
                <w:bCs w:val="0"/>
                <w:color w:val="000000" w:themeColor="text1"/>
                <w:sz w:val="18"/>
                <w:szCs w:val="18"/>
                <w:lang w:eastAsia="en-AU"/>
              </w:rPr>
            </w:pPr>
            <w:r w:rsidRPr="00F95B71">
              <w:rPr>
                <w:rFonts w:ascii="Arial" w:eastAsia="Arial Unicode MS" w:hAnsi="Arial" w:cs="Arial"/>
                <w:b w:val="0"/>
                <w:bCs w:val="0"/>
                <w:color w:val="000000" w:themeColor="text1"/>
                <w:sz w:val="18"/>
                <w:szCs w:val="18"/>
                <w:lang w:eastAsia="en-AU"/>
              </w:rPr>
              <w:t>Those reporting a known history of CVD or outside the target age range will be deemed ineligible for program enrolment and screening.</w:t>
            </w:r>
          </w:p>
        </w:tc>
      </w:tr>
      <w:tr w:rsidR="00C64FF8" w:rsidRPr="00F95B71" w14:paraId="37E2A189" w14:textId="77777777" w:rsidTr="00F42C6F">
        <w:tc>
          <w:tcPr>
            <w:tcW w:w="1555" w:type="dxa"/>
          </w:tcPr>
          <w:p w14:paraId="79EBC468" w14:textId="3AFDB38B" w:rsidR="00C64FF8" w:rsidRPr="00F95B71" w:rsidRDefault="00F42C6F" w:rsidP="008378D5">
            <w:pPr>
              <w:pStyle w:val="Caption"/>
              <w:spacing w:before="0" w:after="0"/>
              <w:rPr>
                <w:rFonts w:ascii="Arial" w:hAnsi="Arial" w:cs="Arial"/>
                <w:b w:val="0"/>
                <w:bCs w:val="0"/>
                <w:sz w:val="18"/>
                <w:szCs w:val="18"/>
              </w:rPr>
            </w:pPr>
            <w:r w:rsidRPr="00F95B71">
              <w:rPr>
                <w:rFonts w:ascii="Arial" w:hAnsi="Arial" w:cs="Arial"/>
                <w:b w:val="0"/>
                <w:bCs w:val="0"/>
                <w:sz w:val="18"/>
                <w:szCs w:val="18"/>
              </w:rPr>
              <w:t>Intervention</w:t>
            </w:r>
          </w:p>
        </w:tc>
        <w:tc>
          <w:tcPr>
            <w:tcW w:w="7461" w:type="dxa"/>
          </w:tcPr>
          <w:p w14:paraId="4C67B18A" w14:textId="77777777" w:rsidR="00F42C6F" w:rsidRPr="00F95B71" w:rsidRDefault="00F42C6F" w:rsidP="008378D5">
            <w:pPr>
              <w:spacing w:before="0"/>
              <w:rPr>
                <w:rFonts w:ascii="Arial" w:hAnsi="Arial" w:cs="Arial"/>
                <w:sz w:val="18"/>
                <w:szCs w:val="18"/>
              </w:rPr>
            </w:pPr>
            <w:r w:rsidRPr="00F95B71">
              <w:rPr>
                <w:rFonts w:ascii="Arial" w:hAnsi="Arial" w:cs="Arial"/>
                <w:sz w:val="18"/>
                <w:szCs w:val="18"/>
              </w:rPr>
              <w:t>Integrated health check delivered by pharmacists within community pharmacy to:</w:t>
            </w:r>
          </w:p>
          <w:p w14:paraId="4112CCA8" w14:textId="77777777" w:rsidR="00F42C6F" w:rsidRPr="00F95B71" w:rsidRDefault="00F42C6F" w:rsidP="008378D5">
            <w:pPr>
              <w:pStyle w:val="ListParagraph"/>
              <w:numPr>
                <w:ilvl w:val="0"/>
                <w:numId w:val="11"/>
              </w:numPr>
              <w:spacing w:before="0"/>
              <w:rPr>
                <w:rFonts w:ascii="Arial" w:hAnsi="Arial" w:cs="Arial"/>
                <w:sz w:val="18"/>
                <w:szCs w:val="18"/>
              </w:rPr>
            </w:pPr>
            <w:r w:rsidRPr="00F95B71">
              <w:rPr>
                <w:rFonts w:ascii="Arial" w:hAnsi="Arial" w:cs="Arial"/>
                <w:sz w:val="18"/>
                <w:szCs w:val="18"/>
              </w:rPr>
              <w:t>assess the risk of CVD</w:t>
            </w:r>
          </w:p>
          <w:p w14:paraId="0942147D" w14:textId="77777777" w:rsidR="00F42C6F" w:rsidRPr="00F95B71" w:rsidRDefault="00F42C6F" w:rsidP="008378D5">
            <w:pPr>
              <w:pStyle w:val="ListParagraph"/>
              <w:numPr>
                <w:ilvl w:val="0"/>
                <w:numId w:val="11"/>
              </w:numPr>
              <w:spacing w:before="0"/>
              <w:rPr>
                <w:rFonts w:ascii="Arial" w:hAnsi="Arial" w:cs="Arial"/>
                <w:sz w:val="18"/>
                <w:szCs w:val="18"/>
              </w:rPr>
            </w:pPr>
            <w:r w:rsidRPr="00F95B71">
              <w:rPr>
                <w:rFonts w:ascii="Arial" w:hAnsi="Arial" w:cs="Arial"/>
                <w:sz w:val="18"/>
                <w:szCs w:val="18"/>
              </w:rPr>
              <w:t>screen for clinical markers using point of care testing device for indicative presence of CVD</w:t>
            </w:r>
          </w:p>
          <w:p w14:paraId="4718AF84" w14:textId="1359DFA9" w:rsidR="00F42C6F" w:rsidRPr="00F95B71" w:rsidRDefault="00F42C6F" w:rsidP="008378D5">
            <w:pPr>
              <w:pStyle w:val="ListParagraph"/>
              <w:numPr>
                <w:ilvl w:val="0"/>
                <w:numId w:val="11"/>
              </w:numPr>
              <w:spacing w:before="0"/>
              <w:rPr>
                <w:rFonts w:ascii="Arial" w:hAnsi="Arial" w:cs="Arial"/>
                <w:sz w:val="18"/>
                <w:szCs w:val="18"/>
              </w:rPr>
            </w:pPr>
            <w:r w:rsidRPr="00F95B71">
              <w:rPr>
                <w:rFonts w:ascii="Arial" w:hAnsi="Arial" w:cs="Arial"/>
                <w:color w:val="000000" w:themeColor="text1"/>
                <w:sz w:val="18"/>
                <w:szCs w:val="18"/>
              </w:rPr>
              <w:t>deliver key health promotion messages</w:t>
            </w:r>
          </w:p>
          <w:p w14:paraId="64DAC5C9" w14:textId="59C57A5F" w:rsidR="00F42C6F" w:rsidRPr="00F95B71" w:rsidRDefault="00F42C6F" w:rsidP="006C4D3A">
            <w:pPr>
              <w:pStyle w:val="Caption"/>
              <w:numPr>
                <w:ilvl w:val="0"/>
                <w:numId w:val="11"/>
              </w:numPr>
              <w:spacing w:before="0" w:after="0"/>
              <w:rPr>
                <w:rFonts w:ascii="Arial" w:eastAsia="Arial Unicode MS" w:hAnsi="Arial" w:cs="Arial"/>
                <w:b w:val="0"/>
                <w:bCs w:val="0"/>
                <w:color w:val="000000" w:themeColor="text1"/>
                <w:sz w:val="18"/>
                <w:szCs w:val="18"/>
                <w:lang w:eastAsia="en-AU"/>
              </w:rPr>
            </w:pPr>
            <w:r w:rsidRPr="00F95B71">
              <w:rPr>
                <w:rFonts w:ascii="Arial" w:eastAsia="Arial Unicode MS" w:hAnsi="Arial" w:cs="Arial"/>
                <w:b w:val="0"/>
                <w:bCs w:val="0"/>
                <w:color w:val="000000" w:themeColor="text1"/>
                <w:sz w:val="18"/>
                <w:szCs w:val="18"/>
                <w:lang w:eastAsia="en-AU"/>
              </w:rPr>
              <w:t>provide referral to local risk reduction and care management services and providers (</w:t>
            </w:r>
            <w:r w:rsidR="00E26E68" w:rsidRPr="00F95B71">
              <w:rPr>
                <w:rFonts w:ascii="Arial" w:eastAsia="Arial Unicode MS" w:hAnsi="Arial" w:cs="Arial"/>
                <w:b w:val="0"/>
                <w:bCs w:val="0"/>
                <w:color w:val="000000" w:themeColor="text1"/>
                <w:sz w:val="18"/>
                <w:szCs w:val="18"/>
                <w:lang w:eastAsia="en-AU"/>
              </w:rPr>
              <w:t>i.e.,</w:t>
            </w:r>
            <w:r w:rsidRPr="00F95B71">
              <w:rPr>
                <w:rFonts w:ascii="Arial" w:eastAsia="Arial Unicode MS" w:hAnsi="Arial" w:cs="Arial"/>
                <w:b w:val="0"/>
                <w:bCs w:val="0"/>
                <w:color w:val="000000" w:themeColor="text1"/>
                <w:sz w:val="18"/>
                <w:szCs w:val="18"/>
                <w:lang w:eastAsia="en-AU"/>
              </w:rPr>
              <w:t xml:space="preserve"> GP, lifestyle management programs)</w:t>
            </w:r>
          </w:p>
        </w:tc>
      </w:tr>
      <w:tr w:rsidR="00C64FF8" w:rsidRPr="00F95B71" w14:paraId="6BD4CCF8" w14:textId="77777777" w:rsidTr="00F42C6F">
        <w:tc>
          <w:tcPr>
            <w:tcW w:w="1555" w:type="dxa"/>
          </w:tcPr>
          <w:p w14:paraId="0C5BE5BB" w14:textId="3B00CDD8" w:rsidR="00C64FF8" w:rsidRPr="00F95B71" w:rsidRDefault="00F42C6F" w:rsidP="008378D5">
            <w:pPr>
              <w:pStyle w:val="Caption"/>
              <w:spacing w:before="0" w:after="0"/>
              <w:rPr>
                <w:rFonts w:ascii="Arial" w:hAnsi="Arial" w:cs="Arial"/>
                <w:b w:val="0"/>
                <w:bCs w:val="0"/>
                <w:sz w:val="18"/>
                <w:szCs w:val="18"/>
              </w:rPr>
            </w:pPr>
            <w:r w:rsidRPr="00F95B71">
              <w:rPr>
                <w:rFonts w:ascii="Arial" w:hAnsi="Arial" w:cs="Arial"/>
                <w:b w:val="0"/>
                <w:bCs w:val="0"/>
                <w:sz w:val="18"/>
                <w:szCs w:val="18"/>
              </w:rPr>
              <w:t>Comparator</w:t>
            </w:r>
          </w:p>
        </w:tc>
        <w:tc>
          <w:tcPr>
            <w:tcW w:w="7461" w:type="dxa"/>
          </w:tcPr>
          <w:p w14:paraId="37E72EFE" w14:textId="221F3732" w:rsidR="00F42C6F" w:rsidRPr="00F95B71" w:rsidRDefault="00F42C6F" w:rsidP="008378D5">
            <w:pPr>
              <w:spacing w:before="0"/>
              <w:rPr>
                <w:rFonts w:ascii="Arial" w:hAnsi="Arial" w:cs="Arial"/>
                <w:sz w:val="18"/>
                <w:szCs w:val="18"/>
              </w:rPr>
            </w:pPr>
            <w:r w:rsidRPr="00F95B71">
              <w:rPr>
                <w:rFonts w:ascii="Arial" w:hAnsi="Arial" w:cs="Arial"/>
                <w:sz w:val="18"/>
                <w:szCs w:val="18"/>
              </w:rPr>
              <w:t>In the absence of Community Pharmacy screening program, comparator is usual care by GP in primary clinical practice.</w:t>
            </w:r>
          </w:p>
          <w:p w14:paraId="64DAE1C7" w14:textId="77777777" w:rsidR="00F42C6F" w:rsidRPr="00F95B71" w:rsidRDefault="00F42C6F" w:rsidP="008378D5">
            <w:pPr>
              <w:pStyle w:val="Caption"/>
              <w:spacing w:before="0" w:after="0"/>
              <w:rPr>
                <w:rFonts w:ascii="Arial" w:hAnsi="Arial" w:cs="Arial"/>
                <w:b w:val="0"/>
                <w:bCs w:val="0"/>
                <w:sz w:val="18"/>
                <w:szCs w:val="18"/>
              </w:rPr>
            </w:pPr>
          </w:p>
          <w:p w14:paraId="3C88EC0F" w14:textId="6A3A97B5" w:rsidR="00C64FF8" w:rsidRPr="00F95B71" w:rsidRDefault="00F42C6F" w:rsidP="008378D5">
            <w:pPr>
              <w:pStyle w:val="Caption"/>
              <w:spacing w:before="0" w:after="0"/>
              <w:rPr>
                <w:rFonts w:ascii="Arial" w:hAnsi="Arial" w:cs="Arial"/>
                <w:b w:val="0"/>
                <w:bCs w:val="0"/>
                <w:sz w:val="18"/>
                <w:szCs w:val="18"/>
              </w:rPr>
            </w:pPr>
            <w:r w:rsidRPr="00F95B71">
              <w:rPr>
                <w:rFonts w:ascii="Arial" w:hAnsi="Arial" w:cs="Arial"/>
                <w:b w:val="0"/>
                <w:bCs w:val="0"/>
                <w:sz w:val="18"/>
                <w:szCs w:val="18"/>
              </w:rPr>
              <w:t>Screening activities in General Practice are supported by MBS health assessment items, administered on the clinical judgement of the practitioner.</w:t>
            </w:r>
          </w:p>
        </w:tc>
      </w:tr>
      <w:tr w:rsidR="00F42C6F" w:rsidRPr="00F95B71" w14:paraId="700AF3E8" w14:textId="77777777" w:rsidTr="00F42C6F">
        <w:tc>
          <w:tcPr>
            <w:tcW w:w="1555" w:type="dxa"/>
          </w:tcPr>
          <w:p w14:paraId="24F26B66" w14:textId="603E4E1E" w:rsidR="00F42C6F" w:rsidRPr="00F95B71" w:rsidRDefault="00F42C6F" w:rsidP="008378D5">
            <w:pPr>
              <w:pStyle w:val="Caption"/>
              <w:spacing w:before="0" w:after="0"/>
              <w:rPr>
                <w:rFonts w:ascii="Arial" w:hAnsi="Arial" w:cs="Arial"/>
                <w:b w:val="0"/>
                <w:bCs w:val="0"/>
                <w:sz w:val="18"/>
                <w:szCs w:val="18"/>
              </w:rPr>
            </w:pPr>
            <w:r w:rsidRPr="00F95B71">
              <w:rPr>
                <w:rFonts w:ascii="Arial" w:hAnsi="Arial" w:cs="Arial"/>
                <w:b w:val="0"/>
                <w:bCs w:val="0"/>
                <w:sz w:val="18"/>
                <w:szCs w:val="18"/>
              </w:rPr>
              <w:t>Outcomes</w:t>
            </w:r>
          </w:p>
        </w:tc>
        <w:tc>
          <w:tcPr>
            <w:tcW w:w="7461" w:type="dxa"/>
          </w:tcPr>
          <w:p w14:paraId="6F5CC0AB" w14:textId="77777777" w:rsidR="00F42C6F" w:rsidRPr="00F95B71" w:rsidRDefault="00F42C6F" w:rsidP="008378D5">
            <w:pPr>
              <w:spacing w:before="0"/>
              <w:rPr>
                <w:rFonts w:ascii="Arial" w:hAnsi="Arial" w:cs="Arial"/>
                <w:color w:val="000000" w:themeColor="text1"/>
                <w:sz w:val="18"/>
                <w:szCs w:val="18"/>
              </w:rPr>
            </w:pPr>
            <w:r w:rsidRPr="00F95B71">
              <w:rPr>
                <w:rFonts w:ascii="Arial" w:hAnsi="Arial" w:cs="Arial"/>
                <w:color w:val="000000" w:themeColor="text1"/>
                <w:sz w:val="18"/>
                <w:szCs w:val="18"/>
                <w:lang w:eastAsia="en-AU"/>
              </w:rPr>
              <w:t xml:space="preserve">How effective is opportunistic screening by Community Pharmacies in identifying people with, or at risk of, under-recognised conditions; specifically, </w:t>
            </w:r>
            <w:r w:rsidRPr="00F95B71">
              <w:rPr>
                <w:rFonts w:ascii="Arial" w:hAnsi="Arial" w:cs="Arial"/>
                <w:color w:val="000000" w:themeColor="text1"/>
                <w:sz w:val="18"/>
                <w:szCs w:val="18"/>
              </w:rPr>
              <w:t>cardiovascular disease.</w:t>
            </w:r>
          </w:p>
          <w:p w14:paraId="54585FA6" w14:textId="77777777" w:rsidR="00F42C6F" w:rsidRPr="00F95B71" w:rsidRDefault="00F42C6F" w:rsidP="008378D5">
            <w:pPr>
              <w:spacing w:before="0"/>
              <w:rPr>
                <w:rFonts w:ascii="Arial" w:hAnsi="Arial" w:cs="Arial"/>
                <w:sz w:val="18"/>
                <w:szCs w:val="18"/>
              </w:rPr>
            </w:pPr>
            <w:r w:rsidRPr="00F95B71">
              <w:rPr>
                <w:rFonts w:ascii="Arial" w:hAnsi="Arial" w:cs="Arial"/>
                <w:sz w:val="18"/>
                <w:szCs w:val="18"/>
              </w:rPr>
              <w:t>Suggested measures include:</w:t>
            </w:r>
          </w:p>
          <w:p w14:paraId="5D5A4323" w14:textId="77777777" w:rsidR="00F42C6F" w:rsidRPr="00F95B71" w:rsidRDefault="00F42C6F" w:rsidP="008378D5">
            <w:pPr>
              <w:pStyle w:val="ListParagraph"/>
              <w:numPr>
                <w:ilvl w:val="0"/>
                <w:numId w:val="15"/>
              </w:numPr>
              <w:spacing w:before="0"/>
              <w:rPr>
                <w:rFonts w:ascii="Arial" w:hAnsi="Arial" w:cs="Arial"/>
                <w:sz w:val="18"/>
                <w:szCs w:val="18"/>
              </w:rPr>
            </w:pPr>
            <w:r w:rsidRPr="00F95B71">
              <w:rPr>
                <w:rFonts w:ascii="Arial" w:hAnsi="Arial" w:cs="Arial"/>
                <w:sz w:val="18"/>
                <w:szCs w:val="18"/>
              </w:rPr>
              <w:t>Proportion of screened individuals, identified with disease risk factors (by risk score)</w:t>
            </w:r>
          </w:p>
          <w:p w14:paraId="6ACE7BC4" w14:textId="77777777" w:rsidR="00F42C6F" w:rsidRPr="00F95B71" w:rsidRDefault="00F42C6F" w:rsidP="008378D5">
            <w:pPr>
              <w:pStyle w:val="ListParagraph"/>
              <w:numPr>
                <w:ilvl w:val="0"/>
                <w:numId w:val="15"/>
              </w:numPr>
              <w:spacing w:before="0"/>
              <w:rPr>
                <w:rFonts w:ascii="Arial" w:hAnsi="Arial" w:cs="Arial"/>
                <w:sz w:val="18"/>
                <w:szCs w:val="18"/>
              </w:rPr>
            </w:pPr>
            <w:r w:rsidRPr="00F95B71">
              <w:rPr>
                <w:rFonts w:ascii="Arial" w:hAnsi="Arial" w:cs="Arial"/>
                <w:sz w:val="18"/>
                <w:szCs w:val="18"/>
              </w:rPr>
              <w:t>Percentage of screened population referred on to primary care services</w:t>
            </w:r>
          </w:p>
          <w:p w14:paraId="0E6EF72E" w14:textId="50B037CF" w:rsidR="00F42C6F" w:rsidRPr="00F95B71" w:rsidRDefault="00F42C6F" w:rsidP="008378D5">
            <w:pPr>
              <w:pStyle w:val="ListParagraph"/>
              <w:numPr>
                <w:ilvl w:val="0"/>
                <w:numId w:val="15"/>
              </w:numPr>
              <w:spacing w:before="0"/>
              <w:rPr>
                <w:rFonts w:ascii="Arial" w:hAnsi="Arial" w:cs="Arial"/>
                <w:sz w:val="18"/>
                <w:szCs w:val="18"/>
              </w:rPr>
            </w:pPr>
            <w:r w:rsidRPr="00F95B71">
              <w:rPr>
                <w:rFonts w:ascii="Arial" w:hAnsi="Arial" w:cs="Arial"/>
                <w:sz w:val="18"/>
                <w:szCs w:val="18"/>
              </w:rPr>
              <w:t>Participants’ adherence to pharmacy advice and uptake of primary care referral</w:t>
            </w:r>
          </w:p>
          <w:p w14:paraId="520D659E" w14:textId="77777777" w:rsidR="00F42C6F" w:rsidRPr="00F95B71" w:rsidRDefault="00F42C6F" w:rsidP="008378D5">
            <w:pPr>
              <w:pStyle w:val="ListParagraph"/>
              <w:numPr>
                <w:ilvl w:val="0"/>
                <w:numId w:val="15"/>
              </w:numPr>
              <w:spacing w:before="0"/>
              <w:rPr>
                <w:rFonts w:ascii="Arial" w:hAnsi="Arial" w:cs="Arial"/>
                <w:sz w:val="18"/>
                <w:szCs w:val="18"/>
              </w:rPr>
            </w:pPr>
            <w:r w:rsidRPr="00F95B71">
              <w:rPr>
                <w:rFonts w:ascii="Arial" w:hAnsi="Arial" w:cs="Arial"/>
                <w:sz w:val="18"/>
                <w:szCs w:val="18"/>
              </w:rPr>
              <w:t xml:space="preserve">Screening participants’ satisfaction with </w:t>
            </w:r>
            <w:proofErr w:type="gramStart"/>
            <w:r w:rsidRPr="00F95B71">
              <w:rPr>
                <w:rFonts w:ascii="Arial" w:hAnsi="Arial" w:cs="Arial"/>
                <w:sz w:val="18"/>
                <w:szCs w:val="18"/>
              </w:rPr>
              <w:t>pharmacy based</w:t>
            </w:r>
            <w:proofErr w:type="gramEnd"/>
            <w:r w:rsidRPr="00F95B71">
              <w:rPr>
                <w:rFonts w:ascii="Arial" w:hAnsi="Arial" w:cs="Arial"/>
                <w:sz w:val="18"/>
                <w:szCs w:val="18"/>
              </w:rPr>
              <w:t xml:space="preserve"> service</w:t>
            </w:r>
          </w:p>
          <w:p w14:paraId="67004A4B" w14:textId="77777777" w:rsidR="00F42C6F" w:rsidRPr="00F95B71" w:rsidRDefault="00F42C6F" w:rsidP="008378D5">
            <w:pPr>
              <w:pStyle w:val="ListParagraph"/>
              <w:numPr>
                <w:ilvl w:val="0"/>
                <w:numId w:val="15"/>
              </w:numPr>
              <w:spacing w:before="0"/>
              <w:rPr>
                <w:rFonts w:ascii="Arial" w:hAnsi="Arial" w:cs="Arial"/>
                <w:sz w:val="18"/>
                <w:szCs w:val="18"/>
              </w:rPr>
            </w:pPr>
            <w:r w:rsidRPr="00F95B71">
              <w:rPr>
                <w:rFonts w:ascii="Arial" w:hAnsi="Arial" w:cs="Arial"/>
                <w:sz w:val="18"/>
                <w:szCs w:val="18"/>
              </w:rPr>
              <w:t xml:space="preserve">Service providers’ satisfaction with </w:t>
            </w:r>
            <w:proofErr w:type="gramStart"/>
            <w:r w:rsidRPr="00F95B71">
              <w:rPr>
                <w:rFonts w:ascii="Arial" w:hAnsi="Arial" w:cs="Arial"/>
                <w:sz w:val="18"/>
                <w:szCs w:val="18"/>
              </w:rPr>
              <w:t>pharmacy based</w:t>
            </w:r>
            <w:proofErr w:type="gramEnd"/>
            <w:r w:rsidRPr="00F95B71">
              <w:rPr>
                <w:rFonts w:ascii="Arial" w:hAnsi="Arial" w:cs="Arial"/>
                <w:sz w:val="18"/>
                <w:szCs w:val="18"/>
              </w:rPr>
              <w:t xml:space="preserve"> service</w:t>
            </w:r>
          </w:p>
          <w:p w14:paraId="112F0EAB" w14:textId="77777777" w:rsidR="00F42C6F" w:rsidRPr="00F95B71" w:rsidRDefault="00F42C6F" w:rsidP="008378D5">
            <w:pPr>
              <w:pStyle w:val="ListParagraph"/>
              <w:numPr>
                <w:ilvl w:val="0"/>
                <w:numId w:val="15"/>
              </w:numPr>
              <w:spacing w:before="0"/>
              <w:rPr>
                <w:rFonts w:ascii="Arial" w:hAnsi="Arial" w:cs="Arial"/>
                <w:i/>
                <w:sz w:val="18"/>
                <w:szCs w:val="18"/>
                <w:u w:val="single"/>
                <w:lang w:val="en-US"/>
              </w:rPr>
            </w:pPr>
            <w:r w:rsidRPr="00F95B71">
              <w:rPr>
                <w:rFonts w:ascii="Arial" w:hAnsi="Arial" w:cs="Arial"/>
                <w:sz w:val="18"/>
                <w:szCs w:val="18"/>
              </w:rPr>
              <w:t xml:space="preserve">Participant awareness </w:t>
            </w:r>
            <w:r w:rsidRPr="00F95B71">
              <w:rPr>
                <w:rFonts w:ascii="Arial" w:hAnsi="Arial" w:cs="Arial"/>
                <w:sz w:val="18"/>
                <w:szCs w:val="18"/>
                <w:lang w:val="en-US"/>
              </w:rPr>
              <w:t>of CVD and its risk factors</w:t>
            </w:r>
          </w:p>
          <w:p w14:paraId="55526D6B" w14:textId="77777777" w:rsidR="00F42C6F" w:rsidRPr="00F95B71" w:rsidRDefault="00F42C6F" w:rsidP="008378D5">
            <w:pPr>
              <w:pStyle w:val="ListParagraph"/>
              <w:numPr>
                <w:ilvl w:val="0"/>
                <w:numId w:val="15"/>
              </w:numPr>
              <w:spacing w:before="0"/>
              <w:rPr>
                <w:rFonts w:ascii="Arial" w:hAnsi="Arial" w:cs="Arial"/>
                <w:sz w:val="18"/>
                <w:szCs w:val="18"/>
              </w:rPr>
            </w:pPr>
            <w:r w:rsidRPr="00F95B71">
              <w:rPr>
                <w:rFonts w:ascii="Arial" w:hAnsi="Arial" w:cs="Arial"/>
                <w:sz w:val="18"/>
                <w:szCs w:val="18"/>
              </w:rPr>
              <w:t xml:space="preserve">Pharmacist influence of participant health seeking behaviour </w:t>
            </w:r>
          </w:p>
          <w:p w14:paraId="563C7DA8" w14:textId="77777777" w:rsidR="00F42C6F" w:rsidRPr="00F95B71" w:rsidRDefault="00F42C6F" w:rsidP="008378D5">
            <w:pPr>
              <w:pStyle w:val="ListParagraph"/>
              <w:numPr>
                <w:ilvl w:val="0"/>
                <w:numId w:val="15"/>
              </w:numPr>
              <w:spacing w:before="0"/>
              <w:rPr>
                <w:rFonts w:ascii="Arial" w:hAnsi="Arial" w:cs="Arial"/>
                <w:sz w:val="18"/>
                <w:szCs w:val="18"/>
              </w:rPr>
            </w:pPr>
            <w:r w:rsidRPr="00F95B71">
              <w:rPr>
                <w:rFonts w:ascii="Arial" w:hAnsi="Arial" w:cs="Arial"/>
                <w:sz w:val="18"/>
                <w:szCs w:val="18"/>
              </w:rPr>
              <w:t>Participant reported outcomes – health related quality of care</w:t>
            </w:r>
          </w:p>
          <w:p w14:paraId="69AD836D" w14:textId="77777777" w:rsidR="00F42C6F" w:rsidRPr="00F95B71" w:rsidRDefault="00F42C6F" w:rsidP="008378D5">
            <w:pPr>
              <w:pStyle w:val="TableText"/>
              <w:spacing w:before="0" w:after="0"/>
              <w:rPr>
                <w:rFonts w:ascii="Arial" w:hAnsi="Arial" w:cs="Arial"/>
                <w:sz w:val="18"/>
                <w:szCs w:val="18"/>
              </w:rPr>
            </w:pPr>
          </w:p>
          <w:p w14:paraId="4097CDEE" w14:textId="77777777" w:rsidR="00F42C6F" w:rsidRPr="00F95B71" w:rsidRDefault="00F42C6F" w:rsidP="008378D5">
            <w:pPr>
              <w:spacing w:before="0"/>
              <w:rPr>
                <w:rFonts w:ascii="Arial" w:hAnsi="Arial" w:cs="Arial"/>
                <w:i/>
                <w:sz w:val="18"/>
                <w:szCs w:val="18"/>
                <w:u w:val="single"/>
              </w:rPr>
            </w:pPr>
            <w:r w:rsidRPr="00F95B71">
              <w:rPr>
                <w:rFonts w:ascii="Arial" w:hAnsi="Arial" w:cs="Arial"/>
                <w:i/>
                <w:sz w:val="18"/>
                <w:szCs w:val="18"/>
                <w:u w:val="single"/>
              </w:rPr>
              <w:t>Cost Effectiveness</w:t>
            </w:r>
          </w:p>
          <w:p w14:paraId="1AC3FB6E" w14:textId="2295321D" w:rsidR="00F42C6F" w:rsidRPr="00F95B71" w:rsidRDefault="00F42C6F" w:rsidP="008378D5">
            <w:pPr>
              <w:spacing w:before="0"/>
              <w:rPr>
                <w:rFonts w:ascii="Arial" w:hAnsi="Arial" w:cs="Arial"/>
                <w:sz w:val="18"/>
                <w:szCs w:val="18"/>
              </w:rPr>
            </w:pPr>
            <w:r w:rsidRPr="00F95B71">
              <w:rPr>
                <w:rFonts w:ascii="Arial" w:hAnsi="Arial" w:cs="Arial"/>
                <w:sz w:val="18"/>
                <w:szCs w:val="18"/>
              </w:rPr>
              <w:t>Cost of program will be compared to usual costs that would have been applicable in absence of program. This includes prevented GP consultations and pathology investigations, and their resultant reduction in MBS/PBS billing.</w:t>
            </w:r>
          </w:p>
          <w:p w14:paraId="6B9167E0" w14:textId="77777777" w:rsidR="00F42C6F" w:rsidRPr="00F95B71" w:rsidRDefault="00F42C6F" w:rsidP="008378D5">
            <w:pPr>
              <w:spacing w:before="0"/>
              <w:ind w:left="15"/>
              <w:rPr>
                <w:rFonts w:ascii="Arial" w:hAnsi="Arial" w:cs="Arial"/>
                <w:i/>
                <w:sz w:val="18"/>
                <w:szCs w:val="18"/>
              </w:rPr>
            </w:pPr>
            <w:r w:rsidRPr="00F95B71">
              <w:rPr>
                <w:rFonts w:ascii="Arial" w:hAnsi="Arial" w:cs="Arial"/>
                <w:i/>
                <w:sz w:val="18"/>
                <w:szCs w:val="18"/>
              </w:rPr>
              <w:t>Rationale</w:t>
            </w:r>
          </w:p>
          <w:p w14:paraId="030EF649" w14:textId="444AF010" w:rsidR="00F42C6F" w:rsidRPr="00F95B71" w:rsidRDefault="00F42C6F" w:rsidP="008378D5">
            <w:pPr>
              <w:pStyle w:val="Caption"/>
              <w:spacing w:before="0" w:after="0"/>
              <w:rPr>
                <w:rFonts w:ascii="Arial" w:hAnsi="Arial" w:cs="Arial"/>
                <w:b w:val="0"/>
                <w:bCs w:val="0"/>
                <w:sz w:val="18"/>
                <w:szCs w:val="18"/>
              </w:rPr>
            </w:pPr>
            <w:r w:rsidRPr="00F95B71">
              <w:rPr>
                <w:rFonts w:ascii="Arial" w:hAnsi="Arial" w:cs="Arial"/>
                <w:b w:val="0"/>
                <w:bCs w:val="0"/>
                <w:sz w:val="18"/>
                <w:szCs w:val="18"/>
              </w:rPr>
              <w:t xml:space="preserve">Delayed detection of CVD risk and clinical markers results in later symptomatic or acute presentation at General Practice or hospital requiring more advanced and costly diagnosis, </w:t>
            </w:r>
            <w:proofErr w:type="gramStart"/>
            <w:r w:rsidRPr="00F95B71">
              <w:rPr>
                <w:rFonts w:ascii="Arial" w:hAnsi="Arial" w:cs="Arial"/>
                <w:b w:val="0"/>
                <w:bCs w:val="0"/>
                <w:sz w:val="18"/>
                <w:szCs w:val="18"/>
              </w:rPr>
              <w:t>treatment</w:t>
            </w:r>
            <w:proofErr w:type="gramEnd"/>
            <w:r w:rsidRPr="00F95B71">
              <w:rPr>
                <w:rFonts w:ascii="Arial" w:hAnsi="Arial" w:cs="Arial"/>
                <w:b w:val="0"/>
                <w:bCs w:val="0"/>
                <w:sz w:val="18"/>
                <w:szCs w:val="18"/>
              </w:rPr>
              <w:t xml:space="preserve"> and management interventions.</w:t>
            </w:r>
          </w:p>
        </w:tc>
      </w:tr>
      <w:bookmarkEnd w:id="23"/>
      <w:bookmarkEnd w:id="24"/>
    </w:tbl>
    <w:p w14:paraId="1445D4B9" w14:textId="77777777" w:rsidR="00AD6260" w:rsidRDefault="00AD6260" w:rsidP="00AD6260">
      <w:pPr>
        <w:spacing w:before="400" w:after="0" w:line="240" w:lineRule="auto"/>
        <w:rPr>
          <w:rFonts w:ascii="Arial" w:eastAsia="Times New Roman" w:hAnsi="Arial" w:cs="Arial"/>
          <w:b/>
          <w:bCs/>
        </w:rPr>
      </w:pPr>
    </w:p>
    <w:p w14:paraId="5AD3146C" w14:textId="510CBB8A" w:rsidR="00C2534F" w:rsidRPr="00222CC5" w:rsidRDefault="00C2534F" w:rsidP="008378D5">
      <w:pPr>
        <w:pStyle w:val="Heading2"/>
        <w:spacing w:before="0" w:after="0"/>
        <w:ind w:left="357" w:hanging="357"/>
        <w:rPr>
          <w:rFonts w:ascii="Arial" w:hAnsi="Arial" w:cs="Arial"/>
          <w:b/>
          <w:bCs/>
        </w:rPr>
      </w:pPr>
      <w:bookmarkStart w:id="25" w:name="_Toc131164833"/>
      <w:bookmarkStart w:id="26" w:name="_Toc137535738"/>
      <w:bookmarkEnd w:id="25"/>
      <w:r w:rsidRPr="00222CC5">
        <w:rPr>
          <w:rFonts w:ascii="Arial" w:hAnsi="Arial" w:cs="Arial"/>
          <w:b/>
          <w:bCs/>
        </w:rPr>
        <w:t xml:space="preserve">Alignment with the PICO </w:t>
      </w:r>
      <w:r w:rsidR="00222CC5" w:rsidRPr="00222CC5">
        <w:rPr>
          <w:rFonts w:ascii="Arial" w:hAnsi="Arial" w:cs="Arial"/>
          <w:b/>
          <w:bCs/>
        </w:rPr>
        <w:t>c</w:t>
      </w:r>
      <w:r w:rsidRPr="00222CC5">
        <w:rPr>
          <w:rFonts w:ascii="Arial" w:hAnsi="Arial" w:cs="Arial"/>
          <w:b/>
          <w:bCs/>
        </w:rPr>
        <w:t>onfirmation</w:t>
      </w:r>
      <w:bookmarkEnd w:id="26"/>
    </w:p>
    <w:p w14:paraId="4A6880A1" w14:textId="06FD8811" w:rsidR="000D5523" w:rsidRPr="00F95B71" w:rsidRDefault="00C2534F" w:rsidP="008378D5">
      <w:pPr>
        <w:spacing w:before="0" w:after="0" w:line="240" w:lineRule="auto"/>
        <w:rPr>
          <w:rFonts w:ascii="Arial" w:hAnsi="Arial" w:cs="Arial"/>
        </w:rPr>
      </w:pPr>
      <w:r w:rsidRPr="00F95B71">
        <w:rPr>
          <w:rFonts w:ascii="Arial" w:hAnsi="Arial" w:cs="Arial"/>
        </w:rPr>
        <w:t xml:space="preserve">This ADAR of </w:t>
      </w:r>
      <w:r w:rsidR="00B24503" w:rsidRPr="00F95B71">
        <w:rPr>
          <w:rFonts w:ascii="Arial" w:hAnsi="Arial" w:cs="Arial"/>
        </w:rPr>
        <w:t xml:space="preserve">early detection and management of cardiovascular disease risk factors in community pharmacy </w:t>
      </w:r>
      <w:r w:rsidRPr="00F95B71">
        <w:rPr>
          <w:rFonts w:ascii="Arial" w:hAnsi="Arial" w:cs="Arial"/>
        </w:rPr>
        <w:t xml:space="preserve">addresses </w:t>
      </w:r>
      <w:r w:rsidR="002F3AF8" w:rsidRPr="00F95B71">
        <w:rPr>
          <w:rFonts w:ascii="Arial" w:hAnsi="Arial" w:cs="Arial"/>
        </w:rPr>
        <w:t>all</w:t>
      </w:r>
      <w:r w:rsidRPr="00F95B71">
        <w:rPr>
          <w:rFonts w:ascii="Arial" w:hAnsi="Arial" w:cs="Arial"/>
        </w:rPr>
        <w:t xml:space="preserve"> the PICO elements that were prespecified in the PICO </w:t>
      </w:r>
      <w:r w:rsidR="00F227C8" w:rsidRPr="00F95B71">
        <w:rPr>
          <w:rFonts w:ascii="Arial" w:hAnsi="Arial" w:cs="Arial"/>
        </w:rPr>
        <w:t>c</w:t>
      </w:r>
      <w:r w:rsidRPr="00F95B71">
        <w:rPr>
          <w:rFonts w:ascii="Arial" w:hAnsi="Arial" w:cs="Arial"/>
        </w:rPr>
        <w:t>onfirmation submitted to PASC.</w:t>
      </w:r>
    </w:p>
    <w:p w14:paraId="2D585D9E" w14:textId="320C4812" w:rsidR="00F42C6F" w:rsidRPr="00F95B71" w:rsidRDefault="00F42C6F" w:rsidP="008378D5">
      <w:pPr>
        <w:spacing w:before="0" w:after="0" w:line="240" w:lineRule="auto"/>
        <w:rPr>
          <w:rFonts w:ascii="Arial" w:hAnsi="Arial" w:cs="Arial"/>
        </w:rPr>
      </w:pPr>
      <w:r w:rsidRPr="00F95B71">
        <w:rPr>
          <w:rFonts w:ascii="Arial" w:hAnsi="Arial" w:cs="Arial"/>
        </w:rPr>
        <w:br w:type="page"/>
      </w:r>
    </w:p>
    <w:p w14:paraId="3C5E8330" w14:textId="05F9A5F3" w:rsidR="00C03511" w:rsidRDefault="00C03511" w:rsidP="008378D5">
      <w:pPr>
        <w:pStyle w:val="Heading2"/>
        <w:spacing w:before="0" w:after="0"/>
        <w:ind w:left="357" w:hanging="357"/>
        <w:rPr>
          <w:rFonts w:ascii="Arial" w:hAnsi="Arial" w:cs="Arial"/>
          <w:b/>
          <w:bCs/>
        </w:rPr>
      </w:pPr>
      <w:bookmarkStart w:id="27" w:name="_Toc137535739"/>
      <w:r w:rsidRPr="00222CC5">
        <w:rPr>
          <w:rFonts w:ascii="Arial" w:hAnsi="Arial" w:cs="Arial"/>
          <w:b/>
          <w:bCs/>
        </w:rPr>
        <w:lastRenderedPageBreak/>
        <w:t xml:space="preserve">Clinical </w:t>
      </w:r>
      <w:r w:rsidR="00222CC5">
        <w:rPr>
          <w:rFonts w:ascii="Arial" w:hAnsi="Arial" w:cs="Arial"/>
          <w:b/>
          <w:bCs/>
        </w:rPr>
        <w:t>Ma</w:t>
      </w:r>
      <w:r w:rsidRPr="00222CC5">
        <w:rPr>
          <w:rFonts w:ascii="Arial" w:hAnsi="Arial" w:cs="Arial"/>
          <w:b/>
          <w:bCs/>
        </w:rPr>
        <w:t xml:space="preserve">nagement </w:t>
      </w:r>
      <w:r w:rsidR="00222CC5">
        <w:rPr>
          <w:rFonts w:ascii="Arial" w:hAnsi="Arial" w:cs="Arial"/>
          <w:b/>
          <w:bCs/>
        </w:rPr>
        <w:t>A</w:t>
      </w:r>
      <w:r w:rsidRPr="00222CC5">
        <w:rPr>
          <w:rFonts w:ascii="Arial" w:hAnsi="Arial" w:cs="Arial"/>
          <w:b/>
          <w:bCs/>
        </w:rPr>
        <w:t>lgorithms</w:t>
      </w:r>
      <w:bookmarkEnd w:id="27"/>
    </w:p>
    <w:p w14:paraId="556011F9" w14:textId="77777777" w:rsidR="00222CC5" w:rsidRPr="00222CC5" w:rsidRDefault="00222CC5" w:rsidP="006C4D3A">
      <w:pPr>
        <w:spacing w:before="0" w:after="0" w:line="240" w:lineRule="auto"/>
      </w:pPr>
    </w:p>
    <w:p w14:paraId="515E2B19" w14:textId="6CBA3F29" w:rsidR="00D70FA5" w:rsidRPr="00F95B71" w:rsidRDefault="0029541A" w:rsidP="008378D5">
      <w:pPr>
        <w:pStyle w:val="Instructionaltext"/>
        <w:keepNext/>
        <w:spacing w:before="0" w:after="0" w:line="240" w:lineRule="auto"/>
        <w:rPr>
          <w:rFonts w:ascii="Arial" w:hAnsi="Arial" w:cs="Arial"/>
        </w:rPr>
      </w:pPr>
      <w:r w:rsidRPr="00F95B71">
        <w:rPr>
          <w:rFonts w:ascii="Arial" w:hAnsi="Arial" w:cs="Arial"/>
        </w:rPr>
        <w:object w:dxaOrig="7455" w:dyaOrig="5867" w14:anchorId="4F65A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is a flow chart of the clinical management algorithm for conducting the intervention" style="width:324pt;height:259.2pt" o:ole="">
            <v:imagedata r:id="rId10" o:title=""/>
          </v:shape>
          <o:OLEObject Type="Embed" ProgID="Visio.Drawing.11" ShapeID="_x0000_i1025" DrawAspect="Content" ObjectID="_1750849055" r:id="rId11"/>
        </w:object>
      </w:r>
    </w:p>
    <w:p w14:paraId="5FC7F62F" w14:textId="3E224C11" w:rsidR="009F6253" w:rsidRPr="00305914" w:rsidRDefault="00D70FA5" w:rsidP="00305914">
      <w:pPr>
        <w:pStyle w:val="Heading3"/>
        <w:spacing w:before="160" w:after="160"/>
      </w:pPr>
      <w:bookmarkStart w:id="28" w:name="_Toc137535740"/>
      <w:r w:rsidRPr="006C4D3A">
        <w:rPr>
          <w:rFonts w:ascii="Arial Narrow" w:hAnsi="Arial Narrow"/>
          <w:b/>
          <w:bCs/>
          <w:sz w:val="20"/>
          <w:szCs w:val="20"/>
        </w:rPr>
        <w:t>Figure 1:</w:t>
      </w:r>
      <w:r w:rsidR="009F6253" w:rsidRPr="006C4D3A">
        <w:rPr>
          <w:rFonts w:ascii="Arial Narrow" w:hAnsi="Arial Narrow"/>
          <w:b/>
          <w:bCs/>
          <w:sz w:val="20"/>
          <w:szCs w:val="20"/>
        </w:rPr>
        <w:t xml:space="preserve"> Clinical management algorithm</w:t>
      </w:r>
      <w:bookmarkEnd w:id="28"/>
    </w:p>
    <w:p w14:paraId="67542E21" w14:textId="2980492A" w:rsidR="00222CC5" w:rsidRPr="00F95B71" w:rsidRDefault="00314C8A" w:rsidP="00305914">
      <w:pPr>
        <w:pStyle w:val="Instructionaltext"/>
        <w:spacing w:before="160" w:line="240" w:lineRule="auto"/>
        <w:rPr>
          <w:rFonts w:ascii="Arial" w:hAnsi="Arial" w:cs="Arial"/>
          <w:color w:val="auto"/>
        </w:rPr>
      </w:pPr>
      <w:r w:rsidRPr="00F95B71">
        <w:rPr>
          <w:rFonts w:ascii="Arial" w:hAnsi="Arial" w:cs="Arial"/>
          <w:color w:val="auto"/>
        </w:rPr>
        <w:t>Currently</w:t>
      </w:r>
      <w:r w:rsidR="00FE5239">
        <w:rPr>
          <w:rFonts w:ascii="Arial" w:hAnsi="Arial" w:cs="Arial"/>
          <w:color w:val="auto"/>
        </w:rPr>
        <w:t>,</w:t>
      </w:r>
      <w:r w:rsidRPr="00F95B71">
        <w:rPr>
          <w:rFonts w:ascii="Arial" w:hAnsi="Arial" w:cs="Arial"/>
          <w:color w:val="auto"/>
        </w:rPr>
        <w:t xml:space="preserve"> the</w:t>
      </w:r>
      <w:r w:rsidR="00CD63AF" w:rsidRPr="00F95B71">
        <w:rPr>
          <w:rFonts w:ascii="Arial" w:hAnsi="Arial" w:cs="Arial"/>
          <w:color w:val="auto"/>
        </w:rPr>
        <w:t xml:space="preserve"> management algorithm</w:t>
      </w:r>
      <w:r w:rsidRPr="00F95B71">
        <w:rPr>
          <w:rFonts w:ascii="Arial" w:hAnsi="Arial" w:cs="Arial"/>
          <w:color w:val="auto"/>
        </w:rPr>
        <w:t xml:space="preserve"> of the comparator is</w:t>
      </w:r>
      <w:r w:rsidR="00CD63AF" w:rsidRPr="00F95B71">
        <w:rPr>
          <w:rFonts w:ascii="Arial" w:hAnsi="Arial" w:cs="Arial"/>
          <w:color w:val="auto"/>
        </w:rPr>
        <w:t xml:space="preserve"> </w:t>
      </w:r>
      <w:r w:rsidRPr="00F95B71">
        <w:rPr>
          <w:rFonts w:ascii="Arial" w:hAnsi="Arial" w:cs="Arial"/>
          <w:color w:val="auto"/>
        </w:rPr>
        <w:t>CVD diagnosis</w:t>
      </w:r>
      <w:r w:rsidR="00CD63AF" w:rsidRPr="00F95B71">
        <w:rPr>
          <w:rFonts w:ascii="Arial" w:hAnsi="Arial" w:cs="Arial"/>
          <w:color w:val="auto"/>
        </w:rPr>
        <w:t xml:space="preserve"> by G</w:t>
      </w:r>
      <w:r w:rsidR="00BE7B9B" w:rsidRPr="00F95B71">
        <w:rPr>
          <w:rFonts w:ascii="Arial" w:hAnsi="Arial" w:cs="Arial"/>
          <w:color w:val="auto"/>
        </w:rPr>
        <w:t xml:space="preserve">eneral </w:t>
      </w:r>
      <w:r w:rsidR="00CD63AF" w:rsidRPr="00F95B71">
        <w:rPr>
          <w:rFonts w:ascii="Arial" w:hAnsi="Arial" w:cs="Arial"/>
          <w:color w:val="auto"/>
        </w:rPr>
        <w:t>P</w:t>
      </w:r>
      <w:r w:rsidR="00BE7B9B" w:rsidRPr="00F95B71">
        <w:rPr>
          <w:rFonts w:ascii="Arial" w:hAnsi="Arial" w:cs="Arial"/>
          <w:color w:val="auto"/>
        </w:rPr>
        <w:t>ractice</w:t>
      </w:r>
      <w:r w:rsidR="00CD63AF" w:rsidRPr="00F95B71">
        <w:rPr>
          <w:rFonts w:ascii="Arial" w:hAnsi="Arial" w:cs="Arial"/>
          <w:color w:val="auto"/>
        </w:rPr>
        <w:t xml:space="preserve"> through opportunistic screening. </w:t>
      </w:r>
      <w:r w:rsidRPr="00F95B71">
        <w:rPr>
          <w:rFonts w:ascii="Arial" w:hAnsi="Arial" w:cs="Arial"/>
          <w:color w:val="auto"/>
        </w:rPr>
        <w:t>Th</w:t>
      </w:r>
      <w:r w:rsidR="00CD63AF" w:rsidRPr="00F95B71">
        <w:rPr>
          <w:rFonts w:ascii="Arial" w:hAnsi="Arial" w:cs="Arial"/>
          <w:color w:val="auto"/>
        </w:rPr>
        <w:t>e proposed clinical management algorithm</w:t>
      </w:r>
      <w:r w:rsidRPr="00F95B71">
        <w:rPr>
          <w:rFonts w:ascii="Arial" w:hAnsi="Arial" w:cs="Arial"/>
          <w:color w:val="auto"/>
        </w:rPr>
        <w:t xml:space="preserve"> requires</w:t>
      </w:r>
      <w:r w:rsidR="00CD63AF" w:rsidRPr="00F95B71">
        <w:rPr>
          <w:rFonts w:ascii="Arial" w:hAnsi="Arial" w:cs="Arial"/>
          <w:color w:val="auto"/>
        </w:rPr>
        <w:t xml:space="preserve"> community pharmacists </w:t>
      </w:r>
      <w:r w:rsidRPr="00F95B71">
        <w:rPr>
          <w:rFonts w:ascii="Arial" w:hAnsi="Arial" w:cs="Arial"/>
          <w:color w:val="auto"/>
        </w:rPr>
        <w:t xml:space="preserve">to </w:t>
      </w:r>
      <w:r w:rsidR="00CD63AF" w:rsidRPr="00F95B71">
        <w:rPr>
          <w:rFonts w:ascii="Arial" w:hAnsi="Arial" w:cs="Arial"/>
          <w:color w:val="auto"/>
        </w:rPr>
        <w:t xml:space="preserve">perform opportunistic </w:t>
      </w:r>
      <w:r w:rsidRPr="00F95B71">
        <w:rPr>
          <w:rFonts w:ascii="Arial" w:hAnsi="Arial" w:cs="Arial"/>
          <w:color w:val="auto"/>
        </w:rPr>
        <w:t xml:space="preserve">CVD risk identification </w:t>
      </w:r>
      <w:r w:rsidR="00CD63AF" w:rsidRPr="00F95B71">
        <w:rPr>
          <w:rFonts w:ascii="Arial" w:hAnsi="Arial" w:cs="Arial"/>
          <w:color w:val="auto"/>
        </w:rPr>
        <w:t xml:space="preserve">screening before </w:t>
      </w:r>
      <w:r w:rsidR="00B24503" w:rsidRPr="00F95B71">
        <w:rPr>
          <w:rFonts w:ascii="Arial" w:hAnsi="Arial" w:cs="Arial"/>
          <w:color w:val="auto"/>
        </w:rPr>
        <w:t xml:space="preserve">onward </w:t>
      </w:r>
      <w:r w:rsidR="00CD63AF" w:rsidRPr="00F95B71">
        <w:rPr>
          <w:rFonts w:ascii="Arial" w:hAnsi="Arial" w:cs="Arial"/>
          <w:color w:val="auto"/>
        </w:rPr>
        <w:t xml:space="preserve">referral to </w:t>
      </w:r>
      <w:r w:rsidR="00B24503" w:rsidRPr="00F95B71">
        <w:rPr>
          <w:rFonts w:ascii="Arial" w:hAnsi="Arial" w:cs="Arial"/>
          <w:color w:val="auto"/>
        </w:rPr>
        <w:t>General Practice</w:t>
      </w:r>
      <w:r w:rsidR="00CD63AF" w:rsidRPr="00F95B71">
        <w:rPr>
          <w:rFonts w:ascii="Arial" w:hAnsi="Arial" w:cs="Arial"/>
          <w:color w:val="auto"/>
        </w:rPr>
        <w:t xml:space="preserve"> </w:t>
      </w:r>
      <w:r w:rsidRPr="00F95B71">
        <w:rPr>
          <w:rFonts w:ascii="Arial" w:hAnsi="Arial" w:cs="Arial"/>
          <w:color w:val="auto"/>
        </w:rPr>
        <w:t xml:space="preserve">for </w:t>
      </w:r>
      <w:r w:rsidR="00CD63AF" w:rsidRPr="00F95B71">
        <w:rPr>
          <w:rFonts w:ascii="Arial" w:hAnsi="Arial" w:cs="Arial"/>
          <w:color w:val="auto"/>
        </w:rPr>
        <w:t>confirm</w:t>
      </w:r>
      <w:r w:rsidRPr="00F95B71">
        <w:rPr>
          <w:rFonts w:ascii="Arial" w:hAnsi="Arial" w:cs="Arial"/>
          <w:color w:val="auto"/>
        </w:rPr>
        <w:t>ed</w:t>
      </w:r>
      <w:r w:rsidR="00CD63AF" w:rsidRPr="00F95B71">
        <w:rPr>
          <w:rFonts w:ascii="Arial" w:hAnsi="Arial" w:cs="Arial"/>
          <w:color w:val="auto"/>
        </w:rPr>
        <w:t xml:space="preserve"> diagnosis </w:t>
      </w:r>
      <w:r w:rsidRPr="00F95B71">
        <w:rPr>
          <w:rFonts w:ascii="Arial" w:hAnsi="Arial" w:cs="Arial"/>
          <w:color w:val="auto"/>
        </w:rPr>
        <w:t xml:space="preserve">and concurrent referral to community-based lifestyle </w:t>
      </w:r>
      <w:r w:rsidR="00CC2618" w:rsidRPr="00F95B71">
        <w:rPr>
          <w:rFonts w:ascii="Arial" w:hAnsi="Arial" w:cs="Arial"/>
          <w:color w:val="auto"/>
        </w:rPr>
        <w:t xml:space="preserve">modification </w:t>
      </w:r>
      <w:r w:rsidRPr="00F95B71">
        <w:rPr>
          <w:rFonts w:ascii="Arial" w:hAnsi="Arial" w:cs="Arial"/>
          <w:color w:val="auto"/>
        </w:rPr>
        <w:t>programs.</w:t>
      </w:r>
    </w:p>
    <w:p w14:paraId="59F5B94C" w14:textId="5E427E42" w:rsidR="004B2A4D" w:rsidRPr="00222CC5" w:rsidRDefault="004B2A4D" w:rsidP="008378D5">
      <w:pPr>
        <w:pStyle w:val="Heading2"/>
        <w:spacing w:before="0" w:after="0"/>
        <w:ind w:left="357" w:hanging="357"/>
        <w:rPr>
          <w:rFonts w:ascii="Arial" w:hAnsi="Arial" w:cs="Arial"/>
          <w:b/>
          <w:bCs/>
        </w:rPr>
      </w:pPr>
      <w:bookmarkStart w:id="29" w:name="_Toc137535741"/>
      <w:r w:rsidRPr="00222CC5">
        <w:rPr>
          <w:rFonts w:ascii="Arial" w:hAnsi="Arial" w:cs="Arial"/>
          <w:b/>
          <w:bCs/>
        </w:rPr>
        <w:t>Propos</w:t>
      </w:r>
      <w:r w:rsidR="00E3330E" w:rsidRPr="00222CC5">
        <w:rPr>
          <w:rFonts w:ascii="Arial" w:hAnsi="Arial" w:cs="Arial"/>
          <w:b/>
          <w:bCs/>
        </w:rPr>
        <w:t xml:space="preserve">al for </w:t>
      </w:r>
      <w:r w:rsidR="00222CC5">
        <w:rPr>
          <w:rFonts w:ascii="Arial" w:hAnsi="Arial" w:cs="Arial"/>
          <w:b/>
          <w:bCs/>
        </w:rPr>
        <w:t>P</w:t>
      </w:r>
      <w:r w:rsidR="00E3330E" w:rsidRPr="00222CC5">
        <w:rPr>
          <w:rFonts w:ascii="Arial" w:hAnsi="Arial" w:cs="Arial"/>
          <w:b/>
          <w:bCs/>
        </w:rPr>
        <w:t xml:space="preserve">ublic </w:t>
      </w:r>
      <w:r w:rsidR="00222CC5">
        <w:rPr>
          <w:rFonts w:ascii="Arial" w:hAnsi="Arial" w:cs="Arial"/>
          <w:b/>
          <w:bCs/>
        </w:rPr>
        <w:t>F</w:t>
      </w:r>
      <w:r w:rsidR="00E3330E" w:rsidRPr="00222CC5">
        <w:rPr>
          <w:rFonts w:ascii="Arial" w:hAnsi="Arial" w:cs="Arial"/>
          <w:b/>
          <w:bCs/>
        </w:rPr>
        <w:t>unding</w:t>
      </w:r>
      <w:bookmarkEnd w:id="29"/>
    </w:p>
    <w:p w14:paraId="4993C721" w14:textId="28B63D7F" w:rsidR="005D4B68" w:rsidRPr="00F95B71" w:rsidRDefault="00645EA9" w:rsidP="00305914">
      <w:pPr>
        <w:spacing w:before="160" w:line="240" w:lineRule="auto"/>
        <w:rPr>
          <w:rFonts w:ascii="Arial" w:hAnsi="Arial" w:cs="Arial"/>
        </w:rPr>
      </w:pPr>
      <w:r>
        <w:rPr>
          <w:rFonts w:ascii="Arial" w:hAnsi="Arial" w:cs="Arial"/>
        </w:rPr>
        <w:t>Should this be considered</w:t>
      </w:r>
      <w:r w:rsidR="00FE5239">
        <w:rPr>
          <w:rFonts w:ascii="Arial" w:hAnsi="Arial" w:cs="Arial"/>
        </w:rPr>
        <w:t>,</w:t>
      </w:r>
      <w:r>
        <w:rPr>
          <w:rFonts w:ascii="Arial" w:hAnsi="Arial" w:cs="Arial"/>
        </w:rPr>
        <w:t xml:space="preserve"> t</w:t>
      </w:r>
      <w:r w:rsidR="003E1DD8" w:rsidRPr="00F95B71">
        <w:rPr>
          <w:rFonts w:ascii="Arial" w:hAnsi="Arial" w:cs="Arial"/>
        </w:rPr>
        <w:t xml:space="preserve">he funding arrangement proposed for the </w:t>
      </w:r>
      <w:r w:rsidR="00FE5239">
        <w:rPr>
          <w:rFonts w:ascii="Arial" w:hAnsi="Arial" w:cs="Arial"/>
        </w:rPr>
        <w:t>“</w:t>
      </w:r>
      <w:r w:rsidR="003E1DD8" w:rsidRPr="00F95B71">
        <w:rPr>
          <w:rFonts w:ascii="Arial" w:hAnsi="Arial" w:cs="Arial"/>
        </w:rPr>
        <w:t xml:space="preserve">early detection and management of cardiovascular disease risk factors and chronic disease markers in community pharmacy” is </w:t>
      </w:r>
      <w:proofErr w:type="gramStart"/>
      <w:r w:rsidR="00B70FA0" w:rsidRPr="00F95B71">
        <w:rPr>
          <w:rFonts w:ascii="Arial" w:hAnsi="Arial" w:cs="Arial"/>
        </w:rPr>
        <w:t>through the use of</w:t>
      </w:r>
      <w:proofErr w:type="gramEnd"/>
      <w:r w:rsidR="00B70FA0" w:rsidRPr="00F95B71">
        <w:rPr>
          <w:rFonts w:ascii="Arial" w:hAnsi="Arial" w:cs="Arial"/>
        </w:rPr>
        <w:t xml:space="preserve"> </w:t>
      </w:r>
      <w:proofErr w:type="spellStart"/>
      <w:r w:rsidR="00B70FA0" w:rsidRPr="00F95B71">
        <w:rPr>
          <w:rFonts w:ascii="Arial" w:hAnsi="Arial" w:cs="Arial"/>
        </w:rPr>
        <w:t>exisiting</w:t>
      </w:r>
      <w:proofErr w:type="spellEnd"/>
      <w:r w:rsidR="00B70FA0" w:rsidRPr="00F95B71">
        <w:rPr>
          <w:rFonts w:ascii="Arial" w:hAnsi="Arial" w:cs="Arial"/>
        </w:rPr>
        <w:t xml:space="preserve"> and future </w:t>
      </w:r>
      <w:r w:rsidR="00387DB3" w:rsidRPr="00F95B71">
        <w:rPr>
          <w:rFonts w:ascii="Arial" w:hAnsi="Arial" w:cs="Arial"/>
        </w:rPr>
        <w:t>public</w:t>
      </w:r>
      <w:r w:rsidR="00B70FA0" w:rsidRPr="00F95B71">
        <w:rPr>
          <w:rFonts w:ascii="Arial" w:hAnsi="Arial" w:cs="Arial"/>
        </w:rPr>
        <w:t xml:space="preserve"> health </w:t>
      </w:r>
      <w:r w:rsidR="003E1DD8" w:rsidRPr="00F95B71">
        <w:rPr>
          <w:rFonts w:ascii="Arial" w:hAnsi="Arial" w:cs="Arial"/>
        </w:rPr>
        <w:t>funding</w:t>
      </w:r>
      <w:r w:rsidR="00603B9A" w:rsidRPr="00F95B71">
        <w:rPr>
          <w:rFonts w:ascii="Arial" w:hAnsi="Arial" w:cs="Arial"/>
        </w:rPr>
        <w:t xml:space="preserve"> </w:t>
      </w:r>
    </w:p>
    <w:p w14:paraId="74571BDA" w14:textId="7261F9BD" w:rsidR="00CC2618" w:rsidRPr="00F95B71" w:rsidRDefault="00B70FA0" w:rsidP="00305914">
      <w:pPr>
        <w:spacing w:before="160" w:line="240" w:lineRule="auto"/>
        <w:rPr>
          <w:rFonts w:ascii="Arial" w:hAnsi="Arial" w:cs="Arial"/>
          <w:color w:val="000000" w:themeColor="text1"/>
        </w:rPr>
      </w:pPr>
      <w:r w:rsidRPr="00F95B71">
        <w:rPr>
          <w:rFonts w:ascii="Arial" w:hAnsi="Arial" w:cs="Arial"/>
        </w:rPr>
        <w:t>Cardiovascular disease already places a significant burden</w:t>
      </w:r>
      <w:r w:rsidR="003E1DD8" w:rsidRPr="00F95B71">
        <w:rPr>
          <w:rFonts w:ascii="Arial" w:hAnsi="Arial" w:cs="Arial"/>
        </w:rPr>
        <w:t xml:space="preserve"> </w:t>
      </w:r>
      <w:r w:rsidRPr="00F95B71">
        <w:rPr>
          <w:rFonts w:ascii="Arial" w:hAnsi="Arial" w:cs="Arial"/>
        </w:rPr>
        <w:t>on the health budget.</w:t>
      </w:r>
      <w:r w:rsidR="00A85BF7">
        <w:rPr>
          <w:rFonts w:ascii="Arial" w:hAnsi="Arial" w:cs="Arial"/>
        </w:rPr>
        <w:t xml:space="preserve"> </w:t>
      </w:r>
      <w:r w:rsidRPr="00F95B71">
        <w:rPr>
          <w:rFonts w:ascii="Arial" w:hAnsi="Arial" w:cs="Arial"/>
        </w:rPr>
        <w:t>Through the introduction and application of early intervention strategies to identify and diagnose CVD in a previously undiagnosed population</w:t>
      </w:r>
      <w:r w:rsidR="005D4B68" w:rsidRPr="00F95B71">
        <w:rPr>
          <w:rFonts w:ascii="Arial" w:hAnsi="Arial" w:cs="Arial"/>
        </w:rPr>
        <w:t>,</w:t>
      </w:r>
      <w:r w:rsidRPr="00F95B71">
        <w:rPr>
          <w:rFonts w:ascii="Arial" w:hAnsi="Arial" w:cs="Arial"/>
        </w:rPr>
        <w:t xml:space="preserve"> the opportunity is presented to reduce </w:t>
      </w:r>
      <w:r w:rsidR="00282201" w:rsidRPr="00F95B71">
        <w:rPr>
          <w:rFonts w:ascii="Arial" w:hAnsi="Arial" w:cs="Arial"/>
          <w:color w:val="000000" w:themeColor="text1"/>
        </w:rPr>
        <w:t>the burden usually associated with later and subsequent intervention costs (including MBS and PBS items associated with GP consults, care coordination and pathology testing)</w:t>
      </w:r>
      <w:r w:rsidR="00603B9A" w:rsidRPr="00F95B71">
        <w:rPr>
          <w:rFonts w:ascii="Arial" w:hAnsi="Arial" w:cs="Arial"/>
          <w:color w:val="000000" w:themeColor="text1"/>
        </w:rPr>
        <w:t>.</w:t>
      </w:r>
    </w:p>
    <w:p w14:paraId="0C6E8F5E" w14:textId="7828B3D8" w:rsidR="002B0E8E" w:rsidRDefault="00191E1C" w:rsidP="00305914">
      <w:pPr>
        <w:spacing w:before="160" w:line="240" w:lineRule="auto"/>
        <w:rPr>
          <w:rFonts w:ascii="Arial" w:hAnsi="Arial" w:cs="Arial"/>
        </w:rPr>
      </w:pPr>
      <w:r w:rsidRPr="00F95B71">
        <w:rPr>
          <w:rFonts w:ascii="Arial" w:hAnsi="Arial" w:cs="Arial"/>
        </w:rPr>
        <w:t xml:space="preserve">Recognising the </w:t>
      </w:r>
      <w:r w:rsidR="008F2E9D" w:rsidRPr="00F95B71">
        <w:rPr>
          <w:rFonts w:ascii="Arial" w:hAnsi="Arial" w:cs="Arial"/>
        </w:rPr>
        <w:t>delivery of the intervention impacts the ability of the community pharmacy to undertake routine business activity, there is a requirement to appropriately remunerate the participating pharmacies.</w:t>
      </w:r>
      <w:r w:rsidR="00A85BF7">
        <w:rPr>
          <w:rFonts w:ascii="Arial" w:hAnsi="Arial" w:cs="Arial"/>
        </w:rPr>
        <w:t xml:space="preserve"> </w:t>
      </w:r>
      <w:r w:rsidR="00C23F96" w:rsidRPr="00F95B71">
        <w:rPr>
          <w:rFonts w:ascii="Arial" w:hAnsi="Arial" w:cs="Arial"/>
        </w:rPr>
        <w:t>Additionally,</w:t>
      </w:r>
      <w:r w:rsidR="004E4B32" w:rsidRPr="00F95B71">
        <w:rPr>
          <w:rFonts w:ascii="Arial" w:hAnsi="Arial" w:cs="Arial"/>
        </w:rPr>
        <w:t xml:space="preserve"> p</w:t>
      </w:r>
      <w:r w:rsidR="008F2E9D" w:rsidRPr="00F95B71">
        <w:rPr>
          <w:rFonts w:ascii="Arial" w:hAnsi="Arial" w:cs="Arial"/>
        </w:rPr>
        <w:t xml:space="preserve">harmacies require a private location within their premises </w:t>
      </w:r>
      <w:r w:rsidR="002B0E8E">
        <w:rPr>
          <w:rFonts w:ascii="Arial" w:hAnsi="Arial" w:cs="Arial"/>
        </w:rPr>
        <w:t>from which to</w:t>
      </w:r>
      <w:r w:rsidR="008F2E9D" w:rsidRPr="00F95B71">
        <w:rPr>
          <w:rFonts w:ascii="Arial" w:hAnsi="Arial" w:cs="Arial"/>
        </w:rPr>
        <w:t xml:space="preserve"> deliver the intervention.</w:t>
      </w:r>
    </w:p>
    <w:p w14:paraId="6D640CED" w14:textId="062C9A50" w:rsidR="005D4B68" w:rsidRPr="00F95B71" w:rsidRDefault="002B0E8E" w:rsidP="00305914">
      <w:pPr>
        <w:spacing w:before="160" w:line="240" w:lineRule="auto"/>
        <w:rPr>
          <w:rFonts w:ascii="Arial" w:hAnsi="Arial" w:cs="Arial"/>
        </w:rPr>
      </w:pPr>
      <w:r>
        <w:rPr>
          <w:rFonts w:ascii="Arial" w:hAnsi="Arial" w:cs="Arial"/>
        </w:rPr>
        <w:t>T</w:t>
      </w:r>
      <w:r w:rsidRPr="00F95B71">
        <w:rPr>
          <w:rFonts w:ascii="Arial" w:hAnsi="Arial" w:cs="Arial"/>
        </w:rPr>
        <w:t xml:space="preserve">he funding arrangement proposed for the </w:t>
      </w:r>
      <w:r w:rsidR="00FE5239">
        <w:rPr>
          <w:rFonts w:ascii="Arial" w:hAnsi="Arial" w:cs="Arial"/>
        </w:rPr>
        <w:t>“</w:t>
      </w:r>
      <w:r w:rsidRPr="00F95B71">
        <w:rPr>
          <w:rFonts w:ascii="Arial" w:hAnsi="Arial" w:cs="Arial"/>
        </w:rPr>
        <w:t xml:space="preserve">early detection and management of cardiovascular disease risk factors and chronic disease markers in community pharmacy” is </w:t>
      </w:r>
      <w:r>
        <w:rPr>
          <w:rFonts w:ascii="Arial" w:hAnsi="Arial" w:cs="Arial"/>
        </w:rPr>
        <w:t xml:space="preserve">direct financial funding (new MBS item) for activity undertaken by </w:t>
      </w:r>
      <w:r w:rsidR="00DA20D2">
        <w:rPr>
          <w:rFonts w:ascii="Arial" w:hAnsi="Arial" w:cs="Arial"/>
        </w:rPr>
        <w:t>p</w:t>
      </w:r>
      <w:r>
        <w:rPr>
          <w:rFonts w:ascii="Arial" w:hAnsi="Arial" w:cs="Arial"/>
        </w:rPr>
        <w:t>harmacists.</w:t>
      </w:r>
    </w:p>
    <w:p w14:paraId="792C17A5" w14:textId="0E4B8CB3" w:rsidR="002B0E8E" w:rsidRPr="00AD6260" w:rsidRDefault="002B0E8E" w:rsidP="00AD6260">
      <w:pPr>
        <w:spacing w:before="160" w:line="240" w:lineRule="auto"/>
        <w:rPr>
          <w:rFonts w:ascii="Arial" w:hAnsi="Arial" w:cs="Arial"/>
        </w:rPr>
      </w:pPr>
      <w:r w:rsidRPr="00F95B71">
        <w:rPr>
          <w:rFonts w:ascii="Arial" w:hAnsi="Arial" w:cs="Arial"/>
        </w:rPr>
        <w:t xml:space="preserve">It is proposed each screening intervention is </w:t>
      </w:r>
      <w:r>
        <w:rPr>
          <w:rFonts w:ascii="Arial" w:hAnsi="Arial" w:cs="Arial"/>
        </w:rPr>
        <w:t>funded at a level</w:t>
      </w:r>
      <w:r w:rsidRPr="00F95B71">
        <w:rPr>
          <w:rFonts w:ascii="Arial" w:hAnsi="Arial" w:cs="Arial"/>
        </w:rPr>
        <w:t xml:space="preserve"> </w:t>
      </w:r>
      <w:r>
        <w:rPr>
          <w:rFonts w:ascii="Arial" w:hAnsi="Arial" w:cs="Arial"/>
        </w:rPr>
        <w:t>of</w:t>
      </w:r>
      <w:r w:rsidRPr="00F95B71">
        <w:rPr>
          <w:rFonts w:ascii="Arial" w:hAnsi="Arial" w:cs="Arial"/>
        </w:rPr>
        <w:t xml:space="preserve"> the equivalent cost of Medicare Benefits Schedule Item </w:t>
      </w:r>
      <w:r>
        <w:rPr>
          <w:rFonts w:ascii="Arial" w:hAnsi="Arial" w:cs="Arial"/>
        </w:rPr>
        <w:t>699</w:t>
      </w:r>
      <w:r w:rsidRPr="00F95B71">
        <w:rPr>
          <w:rFonts w:ascii="Arial" w:hAnsi="Arial" w:cs="Arial"/>
        </w:rPr>
        <w:t xml:space="preserve">; </w:t>
      </w:r>
      <w:r w:rsidRPr="00242475">
        <w:rPr>
          <w:rFonts w:ascii="Arial" w:hAnsi="Arial" w:cs="Arial"/>
          <w:color w:val="231F20"/>
          <w:shd w:val="clear" w:color="auto" w:fill="FFFFFF"/>
        </w:rPr>
        <w:t>Category Health Assessment – Fee $76.95</w:t>
      </w:r>
      <w:r>
        <w:rPr>
          <w:rFonts w:ascii="Arial" w:hAnsi="Arial" w:cs="Arial"/>
          <w:color w:val="231F20"/>
          <w:shd w:val="clear" w:color="auto" w:fill="FFFFFF"/>
        </w:rPr>
        <w:t>.</w:t>
      </w:r>
      <w:r w:rsidRPr="00F95B71">
        <w:rPr>
          <w:rFonts w:ascii="Arial" w:hAnsi="Arial" w:cs="Arial"/>
        </w:rPr>
        <w:t xml:space="preserve"> The provision of CVD Risk Assessment requirements of pharmacy </w:t>
      </w:r>
      <w:r w:rsidR="00C23F96" w:rsidRPr="00F95B71">
        <w:rPr>
          <w:rFonts w:ascii="Arial" w:hAnsi="Arial" w:cs="Arial"/>
        </w:rPr>
        <w:t>aligns</w:t>
      </w:r>
      <w:r w:rsidRPr="00F95B71">
        <w:rPr>
          <w:rFonts w:ascii="Arial" w:hAnsi="Arial" w:cs="Arial"/>
        </w:rPr>
        <w:t xml:space="preserve"> with the clinical activity required of </w:t>
      </w:r>
      <w:r>
        <w:rPr>
          <w:rFonts w:ascii="Arial" w:hAnsi="Arial" w:cs="Arial"/>
        </w:rPr>
        <w:t>the heart health check</w:t>
      </w:r>
      <w:r w:rsidRPr="00F95B71">
        <w:rPr>
          <w:rFonts w:ascii="Arial" w:hAnsi="Arial" w:cs="Arial"/>
        </w:rPr>
        <w:t xml:space="preserve"> consultation and time taken by General Practice to complete the consultation</w:t>
      </w:r>
      <w:r>
        <w:rPr>
          <w:rFonts w:ascii="Arial" w:hAnsi="Arial" w:cs="Arial"/>
        </w:rPr>
        <w:t xml:space="preserve"> (at least 20 minutes)</w:t>
      </w:r>
      <w:r w:rsidRPr="00F95B71">
        <w:rPr>
          <w:rFonts w:ascii="Arial" w:hAnsi="Arial" w:cs="Arial"/>
        </w:rPr>
        <w:t xml:space="preserve">. Noting requirements for a General Practitioner to claim </w:t>
      </w:r>
      <w:r>
        <w:rPr>
          <w:rFonts w:ascii="Arial" w:hAnsi="Arial" w:cs="Arial"/>
        </w:rPr>
        <w:t>Item 699</w:t>
      </w:r>
      <w:r w:rsidRPr="00F95B71">
        <w:rPr>
          <w:rFonts w:ascii="Arial" w:hAnsi="Arial" w:cs="Arial"/>
        </w:rPr>
        <w:t xml:space="preserve"> the following alignment with Community Pharmacist activity required to complete the screening intervention:</w:t>
      </w:r>
    </w:p>
    <w:tbl>
      <w:tblPr>
        <w:tblStyle w:val="PlainTable2"/>
        <w:tblW w:w="0" w:type="auto"/>
        <w:tblLook w:val="04A0" w:firstRow="1" w:lastRow="0" w:firstColumn="1" w:lastColumn="0" w:noHBand="0" w:noVBand="1"/>
      </w:tblPr>
      <w:tblGrid>
        <w:gridCol w:w="4508"/>
        <w:gridCol w:w="4508"/>
      </w:tblGrid>
      <w:tr w:rsidR="002B0E8E" w14:paraId="64BF9154" w14:textId="77777777" w:rsidTr="00701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B940230" w14:textId="77777777" w:rsidR="002B0E8E" w:rsidRDefault="002B0E8E" w:rsidP="008378D5">
            <w:pPr>
              <w:spacing w:before="0"/>
              <w:rPr>
                <w:rFonts w:ascii="Arial" w:hAnsi="Arial" w:cs="Arial"/>
              </w:rPr>
            </w:pPr>
            <w:r>
              <w:rPr>
                <w:rFonts w:ascii="Arial" w:hAnsi="Arial" w:cs="Arial"/>
              </w:rPr>
              <w:lastRenderedPageBreak/>
              <w:t>General Practice MBS Item 699</w:t>
            </w:r>
          </w:p>
        </w:tc>
        <w:tc>
          <w:tcPr>
            <w:tcW w:w="4508" w:type="dxa"/>
          </w:tcPr>
          <w:p w14:paraId="6824BEFB" w14:textId="26758794" w:rsidR="002B0E8E" w:rsidRDefault="002B0E8E" w:rsidP="008378D5">
            <w:pPr>
              <w:spacing w:before="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Community Pharmacy CVD Risk Assessment Fee (</w:t>
            </w:r>
            <w:r w:rsidR="00E23A99">
              <w:rPr>
                <w:rFonts w:ascii="Arial" w:hAnsi="Arial" w:cs="Arial"/>
              </w:rPr>
              <w:t>Proposed</w:t>
            </w:r>
            <w:r>
              <w:rPr>
                <w:rFonts w:ascii="Arial" w:hAnsi="Arial" w:cs="Arial"/>
              </w:rPr>
              <w:t>)</w:t>
            </w:r>
          </w:p>
        </w:tc>
      </w:tr>
      <w:tr w:rsidR="002B0E8E" w14:paraId="23FAC7AC" w14:textId="77777777" w:rsidTr="00701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4371DCE" w14:textId="263B9A0C" w:rsidR="002B0E8E" w:rsidRPr="002F1ED1" w:rsidRDefault="002B0E8E" w:rsidP="008378D5">
            <w:pPr>
              <w:spacing w:before="0"/>
              <w:rPr>
                <w:rFonts w:ascii="Arial" w:hAnsi="Arial" w:cs="Arial"/>
                <w:b w:val="0"/>
                <w:bCs w:val="0"/>
              </w:rPr>
            </w:pPr>
            <w:r w:rsidRPr="002F1ED1">
              <w:rPr>
                <w:rFonts w:ascii="Arial" w:eastAsia="Times New Roman" w:hAnsi="Arial" w:cs="Arial"/>
                <w:b w:val="0"/>
                <w:bCs w:val="0"/>
                <w:color w:val="222222"/>
                <w:lang w:eastAsia="en-AU"/>
              </w:rPr>
              <w:t>C</w:t>
            </w:r>
            <w:r w:rsidRPr="00B86783">
              <w:rPr>
                <w:rFonts w:ascii="Arial" w:eastAsia="Times New Roman" w:hAnsi="Arial" w:cs="Arial"/>
                <w:b w:val="0"/>
                <w:bCs w:val="0"/>
                <w:color w:val="222222"/>
                <w:lang w:eastAsia="en-AU"/>
              </w:rPr>
              <w:t>ollection of relevant information, including taking a patient history</w:t>
            </w:r>
          </w:p>
        </w:tc>
        <w:tc>
          <w:tcPr>
            <w:tcW w:w="4508" w:type="dxa"/>
          </w:tcPr>
          <w:p w14:paraId="717F3CF4" w14:textId="77777777" w:rsidR="002B0E8E" w:rsidRPr="00F95B71" w:rsidRDefault="002B0E8E" w:rsidP="008378D5">
            <w:pPr>
              <w:shd w:val="clear" w:color="auto" w:fill="FBFBFB"/>
              <w:spacing w:before="0"/>
              <w:ind w:left="285" w:hanging="285"/>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lang w:eastAsia="en-AU"/>
              </w:rPr>
            </w:pPr>
            <w:r w:rsidRPr="00F95B71">
              <w:rPr>
                <w:rFonts w:ascii="Arial" w:eastAsia="Times New Roman" w:hAnsi="Arial" w:cs="Arial"/>
                <w:color w:val="222222"/>
                <w:lang w:eastAsia="en-AU"/>
              </w:rPr>
              <w:t>Complet</w:t>
            </w:r>
            <w:r>
              <w:rPr>
                <w:rFonts w:ascii="Arial" w:eastAsia="Times New Roman" w:hAnsi="Arial" w:cs="Arial"/>
                <w:color w:val="222222"/>
                <w:lang w:eastAsia="en-AU"/>
              </w:rPr>
              <w:t>ion of</w:t>
            </w:r>
            <w:r w:rsidRPr="00F95B71">
              <w:rPr>
                <w:rFonts w:ascii="Arial" w:eastAsia="Times New Roman" w:hAnsi="Arial" w:cs="Arial"/>
                <w:color w:val="222222"/>
                <w:lang w:eastAsia="en-AU"/>
              </w:rPr>
              <w:t xml:space="preserve"> Risk Assessment Tool</w:t>
            </w:r>
          </w:p>
          <w:p w14:paraId="395243AB" w14:textId="77777777" w:rsidR="002B0E8E" w:rsidRDefault="002B0E8E" w:rsidP="008378D5">
            <w:pPr>
              <w:spacing w:befor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0E8E" w14:paraId="5E038FC7" w14:textId="77777777" w:rsidTr="007015CB">
        <w:tc>
          <w:tcPr>
            <w:cnfStyle w:val="001000000000" w:firstRow="0" w:lastRow="0" w:firstColumn="1" w:lastColumn="0" w:oddVBand="0" w:evenVBand="0" w:oddHBand="0" w:evenHBand="0" w:firstRowFirstColumn="0" w:firstRowLastColumn="0" w:lastRowFirstColumn="0" w:lastRowLastColumn="0"/>
            <w:tcW w:w="4508" w:type="dxa"/>
          </w:tcPr>
          <w:p w14:paraId="66CACF13" w14:textId="77777777" w:rsidR="002B0E8E" w:rsidRPr="002F1ED1" w:rsidRDefault="002B0E8E" w:rsidP="008378D5">
            <w:pPr>
              <w:spacing w:before="0"/>
              <w:rPr>
                <w:rFonts w:ascii="Arial" w:hAnsi="Arial" w:cs="Arial"/>
                <w:b w:val="0"/>
                <w:bCs w:val="0"/>
              </w:rPr>
            </w:pPr>
            <w:r w:rsidRPr="002F1ED1">
              <w:rPr>
                <w:rFonts w:ascii="Arial" w:eastAsia="Times New Roman" w:hAnsi="Arial" w:cs="Arial"/>
                <w:b w:val="0"/>
                <w:bCs w:val="0"/>
                <w:color w:val="222222"/>
                <w:lang w:eastAsia="en-AU"/>
              </w:rPr>
              <w:t>B</w:t>
            </w:r>
            <w:r w:rsidRPr="00B86783">
              <w:rPr>
                <w:rFonts w:ascii="Arial" w:eastAsia="Times New Roman" w:hAnsi="Arial" w:cs="Arial"/>
                <w:b w:val="0"/>
                <w:bCs w:val="0"/>
                <w:color w:val="222222"/>
                <w:lang w:eastAsia="en-AU"/>
              </w:rPr>
              <w:t>asic physical examination, which must include recording blood pressure and cholesterol</w:t>
            </w:r>
          </w:p>
        </w:tc>
        <w:tc>
          <w:tcPr>
            <w:tcW w:w="4508" w:type="dxa"/>
          </w:tcPr>
          <w:p w14:paraId="0D76F195" w14:textId="77777777" w:rsidR="002B0E8E" w:rsidRPr="00F95B71" w:rsidRDefault="002B0E8E" w:rsidP="008378D5">
            <w:pPr>
              <w:shd w:val="clear" w:color="auto" w:fill="FBFBFB"/>
              <w:spacing w:before="0"/>
              <w:ind w:left="285" w:hanging="285"/>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lang w:eastAsia="en-AU"/>
              </w:rPr>
            </w:pPr>
            <w:r>
              <w:rPr>
                <w:rFonts w:ascii="Arial" w:eastAsia="Times New Roman" w:hAnsi="Arial" w:cs="Arial"/>
                <w:color w:val="222222"/>
                <w:lang w:eastAsia="en-AU"/>
              </w:rPr>
              <w:t>Biometric measurements and POCT</w:t>
            </w:r>
          </w:p>
          <w:p w14:paraId="271EA743" w14:textId="77777777" w:rsidR="002B0E8E" w:rsidRDefault="002B0E8E" w:rsidP="008378D5">
            <w:pPr>
              <w:spacing w:before="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0E8E" w14:paraId="519E7034" w14:textId="77777777" w:rsidTr="00701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9AFA859" w14:textId="77777777" w:rsidR="002B0E8E" w:rsidRPr="002F1ED1" w:rsidRDefault="002B0E8E" w:rsidP="008378D5">
            <w:pPr>
              <w:spacing w:before="0"/>
              <w:rPr>
                <w:rFonts w:ascii="Arial" w:hAnsi="Arial" w:cs="Arial"/>
                <w:b w:val="0"/>
                <w:bCs w:val="0"/>
              </w:rPr>
            </w:pPr>
            <w:r w:rsidRPr="002F1ED1">
              <w:rPr>
                <w:rFonts w:ascii="Arial" w:eastAsia="Times New Roman" w:hAnsi="Arial" w:cs="Arial"/>
                <w:b w:val="0"/>
                <w:bCs w:val="0"/>
                <w:color w:val="222222"/>
                <w:lang w:eastAsia="en-AU"/>
              </w:rPr>
              <w:t>I</w:t>
            </w:r>
            <w:r w:rsidRPr="00B86783">
              <w:rPr>
                <w:rFonts w:ascii="Arial" w:eastAsia="Times New Roman" w:hAnsi="Arial" w:cs="Arial"/>
                <w:b w:val="0"/>
                <w:bCs w:val="0"/>
                <w:color w:val="222222"/>
                <w:lang w:eastAsia="en-AU"/>
              </w:rPr>
              <w:t>nitiating interventions and referrals as indicated</w:t>
            </w:r>
          </w:p>
        </w:tc>
        <w:tc>
          <w:tcPr>
            <w:tcW w:w="4508" w:type="dxa"/>
          </w:tcPr>
          <w:p w14:paraId="72DA3D1D" w14:textId="77777777" w:rsidR="002B0E8E" w:rsidRPr="00F95B71" w:rsidRDefault="002B0E8E" w:rsidP="008378D5">
            <w:pPr>
              <w:shd w:val="clear" w:color="auto" w:fill="FBFBFB"/>
              <w:spacing w:before="0"/>
              <w:ind w:left="285" w:hanging="285"/>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lang w:eastAsia="en-AU"/>
              </w:rPr>
            </w:pPr>
            <w:r>
              <w:rPr>
                <w:rFonts w:ascii="Arial" w:eastAsia="Times New Roman" w:hAnsi="Arial" w:cs="Arial"/>
                <w:color w:val="222222"/>
                <w:lang w:eastAsia="en-AU"/>
              </w:rPr>
              <w:t xml:space="preserve">Completion of </w:t>
            </w:r>
            <w:r w:rsidRPr="00F95B71">
              <w:rPr>
                <w:rFonts w:ascii="Arial" w:eastAsia="Times New Roman" w:hAnsi="Arial" w:cs="Arial"/>
                <w:color w:val="222222"/>
                <w:lang w:eastAsia="en-AU"/>
              </w:rPr>
              <w:t>referral as/if required</w:t>
            </w:r>
          </w:p>
          <w:p w14:paraId="3967791F" w14:textId="77777777" w:rsidR="002B0E8E" w:rsidRDefault="002B0E8E" w:rsidP="008378D5">
            <w:pPr>
              <w:spacing w:befor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0E8E" w14:paraId="76E78590" w14:textId="77777777" w:rsidTr="007015CB">
        <w:tc>
          <w:tcPr>
            <w:cnfStyle w:val="001000000000" w:firstRow="0" w:lastRow="0" w:firstColumn="1" w:lastColumn="0" w:oddVBand="0" w:evenVBand="0" w:oddHBand="0" w:evenHBand="0" w:firstRowFirstColumn="0" w:firstRowLastColumn="0" w:lastRowFirstColumn="0" w:lastRowLastColumn="0"/>
            <w:tcW w:w="4508" w:type="dxa"/>
          </w:tcPr>
          <w:p w14:paraId="464361D8" w14:textId="77777777" w:rsidR="002B0E8E" w:rsidRPr="002F1ED1" w:rsidRDefault="002B0E8E" w:rsidP="008378D5">
            <w:pPr>
              <w:spacing w:before="0"/>
              <w:rPr>
                <w:rFonts w:ascii="Arial" w:hAnsi="Arial" w:cs="Arial"/>
                <w:b w:val="0"/>
                <w:bCs w:val="0"/>
              </w:rPr>
            </w:pPr>
            <w:r w:rsidRPr="00B86783">
              <w:rPr>
                <w:rFonts w:ascii="Arial" w:eastAsia="Times New Roman" w:hAnsi="Arial" w:cs="Arial"/>
                <w:b w:val="0"/>
                <w:bCs w:val="0"/>
                <w:color w:val="222222"/>
                <w:lang w:eastAsia="en-AU"/>
              </w:rPr>
              <w:t>implementing a management plan</w:t>
            </w:r>
          </w:p>
        </w:tc>
        <w:tc>
          <w:tcPr>
            <w:tcW w:w="4508" w:type="dxa"/>
          </w:tcPr>
          <w:p w14:paraId="220D64FA" w14:textId="77777777" w:rsidR="002B0E8E" w:rsidRDefault="002B0E8E" w:rsidP="008378D5">
            <w:pPr>
              <w:spacing w:before="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0E8E" w14:paraId="6BEF569F" w14:textId="77777777" w:rsidTr="00701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AFBCEBD" w14:textId="77777777" w:rsidR="002B0E8E" w:rsidRPr="002F1ED1" w:rsidRDefault="002B0E8E" w:rsidP="008378D5">
            <w:pPr>
              <w:spacing w:before="0"/>
              <w:rPr>
                <w:rFonts w:ascii="Arial" w:hAnsi="Arial" w:cs="Arial"/>
                <w:b w:val="0"/>
                <w:bCs w:val="0"/>
              </w:rPr>
            </w:pPr>
            <w:r w:rsidRPr="00B86783">
              <w:rPr>
                <w:rFonts w:ascii="Arial" w:eastAsia="Times New Roman" w:hAnsi="Arial" w:cs="Arial"/>
                <w:b w:val="0"/>
                <w:bCs w:val="0"/>
                <w:color w:val="222222"/>
                <w:lang w:eastAsia="en-AU"/>
              </w:rPr>
              <w:t>providing the patient with preventative health care advice and information</w:t>
            </w:r>
          </w:p>
        </w:tc>
        <w:tc>
          <w:tcPr>
            <w:tcW w:w="4508" w:type="dxa"/>
          </w:tcPr>
          <w:p w14:paraId="1936F205" w14:textId="77777777" w:rsidR="002B0E8E" w:rsidRDefault="002B0E8E" w:rsidP="008378D5">
            <w:pPr>
              <w:shd w:val="clear" w:color="auto" w:fill="FBFBFB"/>
              <w:spacing w:before="0"/>
              <w:ind w:left="285" w:hanging="285"/>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Times New Roman" w:hAnsi="Arial" w:cs="Arial"/>
                <w:color w:val="222222"/>
                <w:lang w:eastAsia="en-AU"/>
              </w:rPr>
              <w:t>Provision of</w:t>
            </w:r>
            <w:r w:rsidRPr="00F95B71">
              <w:rPr>
                <w:rFonts w:ascii="Arial" w:eastAsia="Times New Roman" w:hAnsi="Arial" w:cs="Arial"/>
                <w:color w:val="222222"/>
                <w:lang w:eastAsia="en-AU"/>
              </w:rPr>
              <w:t xml:space="preserve"> health information </w:t>
            </w:r>
          </w:p>
        </w:tc>
      </w:tr>
    </w:tbl>
    <w:p w14:paraId="3608A3E4" w14:textId="7B120109" w:rsidR="002B0E8E" w:rsidRPr="00305914" w:rsidRDefault="002B0E8E" w:rsidP="00AD6260">
      <w:pPr>
        <w:spacing w:before="160" w:line="240" w:lineRule="auto"/>
        <w:rPr>
          <w:rFonts w:ascii="Arial" w:hAnsi="Arial" w:cs="Arial"/>
          <w:color w:val="000000"/>
        </w:rPr>
      </w:pPr>
      <w:r>
        <w:rPr>
          <w:rFonts w:ascii="Arial" w:hAnsi="Arial" w:cs="Arial"/>
        </w:rPr>
        <w:t xml:space="preserve">Additional funding support is required to address </w:t>
      </w:r>
      <w:r w:rsidRPr="002F1ED1">
        <w:rPr>
          <w:rFonts w:ascii="Arial" w:hAnsi="Arial" w:cs="Arial"/>
        </w:rPr>
        <w:t xml:space="preserve">establishment </w:t>
      </w:r>
      <w:r>
        <w:rPr>
          <w:rFonts w:ascii="Arial" w:hAnsi="Arial" w:cs="Arial"/>
        </w:rPr>
        <w:t xml:space="preserve">and ongoing </w:t>
      </w:r>
      <w:r w:rsidRPr="002F1ED1">
        <w:rPr>
          <w:rFonts w:ascii="Arial" w:hAnsi="Arial" w:cs="Arial"/>
        </w:rPr>
        <w:t xml:space="preserve">costs of POCT devices and recurrent costs </w:t>
      </w:r>
      <w:r w:rsidR="00C23F96" w:rsidRPr="002F1ED1">
        <w:rPr>
          <w:rFonts w:ascii="Arial" w:hAnsi="Arial" w:cs="Arial"/>
        </w:rPr>
        <w:t>of equipment</w:t>
      </w:r>
      <w:r w:rsidRPr="002F1ED1">
        <w:rPr>
          <w:rFonts w:ascii="Arial" w:hAnsi="Arial" w:cs="Arial"/>
        </w:rPr>
        <w:t>, reagents, quality control material and sample collection and disposal resources.</w:t>
      </w:r>
    </w:p>
    <w:p w14:paraId="3BB1C690" w14:textId="5DC912A9" w:rsidR="00282201" w:rsidRPr="00F95B71" w:rsidRDefault="00D66E1D" w:rsidP="00AD6260">
      <w:pPr>
        <w:spacing w:before="160" w:line="240" w:lineRule="auto"/>
        <w:rPr>
          <w:rFonts w:ascii="Arial" w:hAnsi="Arial" w:cs="Arial"/>
        </w:rPr>
      </w:pPr>
      <w:r w:rsidRPr="00FA6C0F">
        <w:rPr>
          <w:rFonts w:ascii="Arial" w:hAnsi="Arial" w:cs="Arial"/>
        </w:rPr>
        <w:t>The fee per occasion of service would need to be reconsidered in the event capital expenditure cannot be considered for these devices and the required recurrent costs.</w:t>
      </w:r>
    </w:p>
    <w:p w14:paraId="4FF156CB" w14:textId="2AA177C2" w:rsidR="00C0345A" w:rsidRPr="00F95B71" w:rsidRDefault="00C0345A" w:rsidP="008378D5">
      <w:pPr>
        <w:spacing w:before="0" w:after="0" w:line="240" w:lineRule="auto"/>
        <w:rPr>
          <w:rFonts w:ascii="Arial" w:hAnsi="Arial" w:cs="Arial"/>
        </w:rPr>
      </w:pPr>
      <w:r w:rsidRPr="00F95B71">
        <w:rPr>
          <w:rFonts w:ascii="Arial" w:hAnsi="Arial" w:cs="Arial"/>
        </w:rPr>
        <w:br w:type="page"/>
      </w:r>
    </w:p>
    <w:p w14:paraId="12048C23" w14:textId="7C0DC2D8" w:rsidR="003A2ED1" w:rsidRDefault="000443A6" w:rsidP="000F778E">
      <w:pPr>
        <w:pStyle w:val="Heading1"/>
        <w:numPr>
          <w:ilvl w:val="0"/>
          <w:numId w:val="0"/>
        </w:numPr>
        <w:spacing w:before="0" w:after="0"/>
        <w:ind w:left="2127" w:right="-330" w:hanging="2269"/>
        <w:rPr>
          <w:rFonts w:ascii="Arial" w:hAnsi="Arial" w:cs="Arial"/>
          <w:b/>
          <w:bCs/>
        </w:rPr>
      </w:pPr>
      <w:bookmarkStart w:id="30" w:name="_Toc137535742"/>
      <w:r w:rsidRPr="000F778E">
        <w:rPr>
          <w:rFonts w:ascii="Arial" w:hAnsi="Arial" w:cs="Arial"/>
          <w:b/>
          <w:bCs/>
        </w:rPr>
        <w:lastRenderedPageBreak/>
        <w:t>Section 2</w:t>
      </w:r>
      <w:r w:rsidR="00421EBC" w:rsidRPr="000F778E">
        <w:rPr>
          <w:rFonts w:ascii="Arial" w:hAnsi="Arial" w:cs="Arial"/>
          <w:b/>
          <w:bCs/>
        </w:rPr>
        <w:t>B</w:t>
      </w:r>
      <w:r w:rsidRPr="000F778E">
        <w:rPr>
          <w:rFonts w:ascii="Arial" w:hAnsi="Arial" w:cs="Arial"/>
          <w:b/>
          <w:bCs/>
        </w:rPr>
        <w:tab/>
      </w:r>
      <w:r w:rsidR="00E43754">
        <w:rPr>
          <w:rFonts w:ascii="Arial" w:hAnsi="Arial" w:cs="Arial"/>
          <w:b/>
          <w:bCs/>
        </w:rPr>
        <w:t xml:space="preserve"> </w:t>
      </w:r>
      <w:r w:rsidR="00421EBC" w:rsidRPr="000F778E">
        <w:rPr>
          <w:rFonts w:ascii="Arial" w:hAnsi="Arial" w:cs="Arial"/>
          <w:b/>
          <w:bCs/>
        </w:rPr>
        <w:t>Clinical evaluation of investigative technologies</w:t>
      </w:r>
      <w:bookmarkEnd w:id="30"/>
    </w:p>
    <w:p w14:paraId="6A6FF902" w14:textId="6E0D0F09" w:rsidR="000F778E" w:rsidRPr="002B7177" w:rsidRDefault="00421EBC" w:rsidP="00AD6260">
      <w:pPr>
        <w:pStyle w:val="Heading2"/>
        <w:numPr>
          <w:ilvl w:val="0"/>
          <w:numId w:val="0"/>
        </w:numPr>
        <w:spacing w:before="160" w:after="160"/>
        <w:rPr>
          <w:rFonts w:ascii="Arial" w:hAnsi="Arial" w:cs="Arial"/>
          <w:b/>
          <w:bCs/>
        </w:rPr>
      </w:pPr>
      <w:bookmarkStart w:id="31" w:name="_Toc137535743"/>
      <w:r w:rsidRPr="000F778E">
        <w:rPr>
          <w:rFonts w:ascii="Arial" w:hAnsi="Arial" w:cs="Arial"/>
          <w:b/>
          <w:bCs/>
        </w:rPr>
        <w:t>Methods for undertaking the assessment</w:t>
      </w:r>
      <w:bookmarkEnd w:id="31"/>
    </w:p>
    <w:p w14:paraId="610F7096" w14:textId="4023C620" w:rsidR="009F6253" w:rsidRPr="000F778E" w:rsidRDefault="00754E25" w:rsidP="002B7177">
      <w:pPr>
        <w:pStyle w:val="Instructionaltext"/>
        <w:spacing w:before="160" w:line="240" w:lineRule="auto"/>
        <w:rPr>
          <w:rFonts w:ascii="Arial" w:hAnsi="Arial" w:cs="Arial"/>
          <w:color w:val="auto"/>
        </w:rPr>
      </w:pPr>
      <w:r w:rsidRPr="000F778E">
        <w:rPr>
          <w:rFonts w:ascii="Arial" w:hAnsi="Arial" w:cs="Arial"/>
          <w:color w:val="auto"/>
        </w:rPr>
        <w:t>A non-exhaustive desktop literature review located several relevant studies reporting on the effectiveness of opportunistic disease screening and preventative intervention strategies within community pharmacy. In addition, there is one system</w:t>
      </w:r>
      <w:r w:rsidR="005310AB" w:rsidRPr="000F778E">
        <w:rPr>
          <w:rFonts w:ascii="Arial" w:hAnsi="Arial" w:cs="Arial"/>
          <w:color w:val="auto"/>
        </w:rPr>
        <w:t>at</w:t>
      </w:r>
      <w:r w:rsidRPr="000F778E">
        <w:rPr>
          <w:rFonts w:ascii="Arial" w:hAnsi="Arial" w:cs="Arial"/>
          <w:color w:val="auto"/>
        </w:rPr>
        <w:t xml:space="preserve">ic review assessing the feasibility and acceptability of </w:t>
      </w:r>
      <w:r w:rsidR="00C23F96" w:rsidRPr="000F778E">
        <w:rPr>
          <w:rFonts w:ascii="Arial" w:hAnsi="Arial" w:cs="Arial"/>
          <w:color w:val="auto"/>
        </w:rPr>
        <w:t>community-based</w:t>
      </w:r>
      <w:r w:rsidRPr="000F778E">
        <w:rPr>
          <w:rFonts w:ascii="Arial" w:hAnsi="Arial" w:cs="Arial"/>
          <w:color w:val="auto"/>
        </w:rPr>
        <w:t xml:space="preserve"> pharmacy screening for major diseases</w:t>
      </w:r>
      <w:r w:rsidR="005310AB" w:rsidRPr="000F778E">
        <w:rPr>
          <w:rFonts w:ascii="Arial" w:hAnsi="Arial" w:cs="Arial"/>
          <w:color w:val="auto"/>
        </w:rPr>
        <w:t xml:space="preserve"> and one systematic review assessing effectiveness of s</w:t>
      </w:r>
      <w:r w:rsidR="004F0066" w:rsidRPr="000F778E">
        <w:rPr>
          <w:rFonts w:ascii="Arial" w:hAnsi="Arial" w:cs="Arial"/>
          <w:color w:val="auto"/>
        </w:rPr>
        <w:t>c</w:t>
      </w:r>
      <w:r w:rsidR="005310AB" w:rsidRPr="000F778E">
        <w:rPr>
          <w:rFonts w:ascii="Arial" w:hAnsi="Arial" w:cs="Arial"/>
          <w:color w:val="auto"/>
        </w:rPr>
        <w:t>reening for diabetes and cardiovascular disease risk factors in community pharmacy</w:t>
      </w:r>
      <w:r w:rsidRPr="000F778E">
        <w:rPr>
          <w:rFonts w:ascii="Arial" w:hAnsi="Arial" w:cs="Arial"/>
          <w:color w:val="auto"/>
        </w:rPr>
        <w:t>.</w:t>
      </w:r>
    </w:p>
    <w:p w14:paraId="4A7CEC90" w14:textId="377482E8" w:rsidR="00754E25" w:rsidRPr="000F778E" w:rsidRDefault="00754E25" w:rsidP="002B7177">
      <w:pPr>
        <w:pStyle w:val="Instructionaltext"/>
        <w:spacing w:before="160" w:line="240" w:lineRule="auto"/>
        <w:rPr>
          <w:rFonts w:ascii="Arial" w:hAnsi="Arial" w:cs="Arial"/>
          <w:color w:val="auto"/>
        </w:rPr>
      </w:pPr>
      <w:r w:rsidRPr="000F778E">
        <w:rPr>
          <w:rFonts w:ascii="Arial" w:hAnsi="Arial" w:cs="Arial"/>
          <w:color w:val="auto"/>
        </w:rPr>
        <w:t>The following search terms were used in the desktop literature review</w:t>
      </w:r>
      <w:r w:rsidR="00BF0742">
        <w:rPr>
          <w:rFonts w:ascii="Arial" w:hAnsi="Arial" w:cs="Arial"/>
          <w:color w:val="auto"/>
        </w:rPr>
        <w:t>:</w:t>
      </w:r>
      <w:r w:rsidR="00BF0742" w:rsidRPr="000F778E">
        <w:rPr>
          <w:rFonts w:ascii="Arial" w:hAnsi="Arial" w:cs="Arial"/>
          <w:color w:val="auto"/>
        </w:rPr>
        <w:t xml:space="preserve"> </w:t>
      </w:r>
      <w:r w:rsidRPr="000F778E">
        <w:rPr>
          <w:rFonts w:ascii="Arial" w:hAnsi="Arial" w:cs="Arial"/>
          <w:color w:val="auto"/>
        </w:rPr>
        <w:t>community pharmacy; CVD</w:t>
      </w:r>
      <w:r w:rsidR="00BF0742">
        <w:rPr>
          <w:rFonts w:ascii="Arial" w:hAnsi="Arial" w:cs="Arial"/>
          <w:color w:val="auto"/>
        </w:rPr>
        <w:t>;</w:t>
      </w:r>
      <w:r w:rsidR="00BF0742" w:rsidRPr="000F778E">
        <w:rPr>
          <w:rFonts w:ascii="Arial" w:hAnsi="Arial" w:cs="Arial"/>
          <w:color w:val="auto"/>
        </w:rPr>
        <w:t xml:space="preserve"> </w:t>
      </w:r>
      <w:r w:rsidRPr="000F778E">
        <w:rPr>
          <w:rFonts w:ascii="Arial" w:hAnsi="Arial" w:cs="Arial"/>
          <w:color w:val="auto"/>
        </w:rPr>
        <w:t>cardiovascular disease; screening; intervention.</w:t>
      </w:r>
    </w:p>
    <w:p w14:paraId="08CD8F2E" w14:textId="173AC679" w:rsidR="000F778E" w:rsidRPr="002B7177" w:rsidRDefault="00421EBC" w:rsidP="002B7177">
      <w:pPr>
        <w:pStyle w:val="Heading2"/>
        <w:numPr>
          <w:ilvl w:val="0"/>
          <w:numId w:val="0"/>
        </w:numPr>
        <w:spacing w:before="160" w:after="160"/>
        <w:ind w:left="357" w:hanging="357"/>
        <w:rPr>
          <w:rFonts w:ascii="Arial" w:hAnsi="Arial" w:cs="Arial"/>
          <w:b/>
          <w:bCs/>
        </w:rPr>
      </w:pPr>
      <w:bookmarkStart w:id="32" w:name="_Toc137535744"/>
      <w:r w:rsidRPr="000F778E">
        <w:rPr>
          <w:rFonts w:ascii="Arial" w:hAnsi="Arial" w:cs="Arial"/>
          <w:b/>
          <w:bCs/>
        </w:rPr>
        <w:t>Assessment framework</w:t>
      </w:r>
      <w:bookmarkEnd w:id="32"/>
    </w:p>
    <w:p w14:paraId="2198E549" w14:textId="489D82E8" w:rsidR="00284CC6" w:rsidRPr="00DC69B0" w:rsidRDefault="00284CC6" w:rsidP="00DC69B0">
      <w:pPr>
        <w:pStyle w:val="Instructionaltext"/>
        <w:spacing w:before="160" w:line="240" w:lineRule="auto"/>
        <w:rPr>
          <w:rFonts w:ascii="Arial" w:hAnsi="Arial" w:cs="Arial"/>
          <w:color w:val="auto"/>
        </w:rPr>
      </w:pPr>
      <w:r w:rsidRPr="000F778E">
        <w:rPr>
          <w:rFonts w:ascii="Arial" w:hAnsi="Arial" w:cs="Arial"/>
          <w:color w:val="auto"/>
        </w:rPr>
        <w:t xml:space="preserve">A direct evidence approach was used </w:t>
      </w:r>
      <w:r w:rsidR="004F0066" w:rsidRPr="000F778E">
        <w:rPr>
          <w:rFonts w:ascii="Arial" w:hAnsi="Arial" w:cs="Arial"/>
          <w:color w:val="auto"/>
        </w:rPr>
        <w:t>for</w:t>
      </w:r>
      <w:r w:rsidRPr="000F778E">
        <w:rPr>
          <w:rFonts w:ascii="Arial" w:hAnsi="Arial" w:cs="Arial"/>
          <w:color w:val="auto"/>
        </w:rPr>
        <w:t xml:space="preserve"> evaluation of risk identification of CVD in community pharmacy.</w:t>
      </w:r>
    </w:p>
    <w:p w14:paraId="3863D1D9" w14:textId="63846DB4" w:rsidR="00576346" w:rsidRPr="000F778E" w:rsidRDefault="0029541A" w:rsidP="00003672">
      <w:pPr>
        <w:pStyle w:val="Guidelinescross-ref"/>
        <w:spacing w:before="0" w:after="0" w:line="240" w:lineRule="auto"/>
        <w:rPr>
          <w:rFonts w:ascii="Arial" w:hAnsi="Arial" w:cs="Arial"/>
          <w:sz w:val="16"/>
          <w:szCs w:val="16"/>
        </w:rPr>
      </w:pPr>
      <w:r w:rsidRPr="000F778E">
        <w:rPr>
          <w:rFonts w:ascii="Arial" w:hAnsi="Arial" w:cs="Arial"/>
          <w:sz w:val="22"/>
        </w:rPr>
        <w:object w:dxaOrig="8929" w:dyaOrig="4073" w14:anchorId="30B5CEFE">
          <v:shape id="_x0000_i1026" type="#_x0000_t75" alt="Figure 2 is a flow chart showing the evidence approach used for evaluation of risk identification of CVD in community pharmacy" style="width:446.4pt;height:201.6pt" o:ole="">
            <v:imagedata r:id="rId12" o:title=""/>
          </v:shape>
          <o:OLEObject Type="Embed" ProgID="Visio.Drawing.11" ShapeID="_x0000_i1026" DrawAspect="Content" ObjectID="_1750849056" r:id="rId13"/>
        </w:object>
      </w:r>
    </w:p>
    <w:p w14:paraId="39F4FF33" w14:textId="2921C20C" w:rsidR="006D48C9" w:rsidRPr="008B6783" w:rsidRDefault="00D70FA5" w:rsidP="008B6783">
      <w:pPr>
        <w:pStyle w:val="Heading3"/>
        <w:spacing w:before="0" w:after="0"/>
        <w:rPr>
          <w:sz w:val="20"/>
          <w:szCs w:val="20"/>
        </w:rPr>
      </w:pPr>
      <w:bookmarkStart w:id="33" w:name="_Toc137535745"/>
      <w:r w:rsidRPr="008B6783">
        <w:rPr>
          <w:rFonts w:ascii="Arial Narrow" w:hAnsi="Arial Narrow"/>
          <w:b/>
          <w:bCs/>
          <w:sz w:val="20"/>
          <w:szCs w:val="20"/>
        </w:rPr>
        <w:t xml:space="preserve">Figure </w:t>
      </w:r>
      <w:r w:rsidR="006E3005" w:rsidRPr="008B6783">
        <w:rPr>
          <w:rFonts w:ascii="Arial Narrow" w:hAnsi="Arial Narrow"/>
          <w:b/>
          <w:bCs/>
          <w:sz w:val="20"/>
          <w:szCs w:val="20"/>
        </w:rPr>
        <w:t>2</w:t>
      </w:r>
      <w:r w:rsidR="009F6253" w:rsidRPr="008B6783">
        <w:rPr>
          <w:rFonts w:ascii="Arial Narrow" w:hAnsi="Arial Narrow"/>
          <w:b/>
          <w:bCs/>
          <w:sz w:val="20"/>
          <w:szCs w:val="20"/>
        </w:rPr>
        <w:t>: Evidence approach</w:t>
      </w:r>
      <w:bookmarkEnd w:id="33"/>
    </w:p>
    <w:p w14:paraId="15D8AAF4" w14:textId="77777777" w:rsidR="00D70FA5" w:rsidRPr="000F778E" w:rsidRDefault="00D70FA5" w:rsidP="00003672">
      <w:pPr>
        <w:pStyle w:val="Guidelinescross-ref"/>
        <w:keepNext/>
        <w:spacing w:before="0" w:after="0" w:line="240" w:lineRule="auto"/>
        <w:rPr>
          <w:rFonts w:ascii="Arial" w:hAnsi="Arial" w:cs="Arial"/>
          <w:b w:val="0"/>
          <w:bCs/>
          <w:i/>
          <w:iCs/>
          <w:color w:val="auto"/>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6"/>
      </w:tblGrid>
      <w:tr w:rsidR="00790436" w:rsidRPr="000F778E" w14:paraId="5F5F7B7C" w14:textId="77777777" w:rsidTr="00097BC5">
        <w:tc>
          <w:tcPr>
            <w:tcW w:w="700" w:type="dxa"/>
          </w:tcPr>
          <w:p w14:paraId="03504179" w14:textId="235F97A6" w:rsidR="00790436" w:rsidRPr="000F778E" w:rsidRDefault="00790436" w:rsidP="00003672">
            <w:pPr>
              <w:pStyle w:val="NormalBeforeBullet"/>
              <w:spacing w:before="0" w:after="0"/>
              <w:rPr>
                <w:rFonts w:ascii="Arial" w:hAnsi="Arial" w:cs="Arial"/>
                <w:color w:val="7030A0"/>
              </w:rPr>
            </w:pPr>
            <w:r w:rsidRPr="000F778E">
              <w:rPr>
                <w:rFonts w:ascii="Arial" w:hAnsi="Arial" w:cs="Arial"/>
                <w:noProof/>
                <w:color w:val="7030A0"/>
                <w:lang w:eastAsia="en-AU"/>
              </w:rPr>
              <w:drawing>
                <wp:inline distT="0" distB="0" distL="0" distR="0" wp14:anchorId="25496DCF" wp14:editId="0D066203">
                  <wp:extent cx="203200" cy="203200"/>
                  <wp:effectExtent l="0" t="0" r="0" b="0"/>
                  <wp:docPr id="62" name="Picture 62" descr="Lette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Letter A"/>
                          <pic:cNvPicPr/>
                        </pic:nvPicPr>
                        <pic:blipFill>
                          <a:blip r:embed="rId14">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316" w:type="dxa"/>
          </w:tcPr>
          <w:p w14:paraId="38EC615A" w14:textId="355D4D71" w:rsidR="00790436" w:rsidRPr="000F778E" w:rsidRDefault="00790436" w:rsidP="00003672">
            <w:pPr>
              <w:pStyle w:val="NormalBeforeBullet"/>
              <w:spacing w:before="0" w:after="0"/>
              <w:rPr>
                <w:rFonts w:ascii="Arial" w:hAnsi="Arial" w:cs="Arial"/>
                <w:color w:val="7030A0"/>
              </w:rPr>
            </w:pPr>
            <w:r w:rsidRPr="000F778E">
              <w:rPr>
                <w:rFonts w:ascii="Arial" w:hAnsi="Arial" w:cs="Arial"/>
                <w:color w:val="7030A0"/>
              </w:rPr>
              <w:t>A</w:t>
            </w:r>
            <w:r w:rsidRPr="000F778E">
              <w:rPr>
                <w:rFonts w:ascii="Arial" w:hAnsi="Arial" w:cs="Arial"/>
                <w:color w:val="000000" w:themeColor="text1"/>
              </w:rPr>
              <w:t>dults aged 45 to 74 years (35 to 74 years for Aboriginal and Torres Strait Islander people) without known history of </w:t>
            </w:r>
            <w:proofErr w:type="gramStart"/>
            <w:r w:rsidRPr="000F778E">
              <w:rPr>
                <w:rFonts w:ascii="Arial" w:hAnsi="Arial" w:cs="Arial"/>
                <w:color w:val="000000" w:themeColor="text1"/>
              </w:rPr>
              <w:t>Cardiovascular Disease</w:t>
            </w:r>
            <w:proofErr w:type="gramEnd"/>
          </w:p>
        </w:tc>
      </w:tr>
      <w:tr w:rsidR="00790436" w:rsidRPr="000F778E" w14:paraId="7FF990B1" w14:textId="77777777" w:rsidTr="00097BC5">
        <w:tc>
          <w:tcPr>
            <w:tcW w:w="700" w:type="dxa"/>
          </w:tcPr>
          <w:p w14:paraId="6D1120F5" w14:textId="514F10BD" w:rsidR="00790436" w:rsidRPr="000F778E" w:rsidRDefault="00790436" w:rsidP="00003672">
            <w:pPr>
              <w:pStyle w:val="NormalBeforeBullet"/>
              <w:spacing w:before="0" w:after="0"/>
              <w:rPr>
                <w:rFonts w:ascii="Arial" w:hAnsi="Arial" w:cs="Arial"/>
                <w:color w:val="7030A0"/>
              </w:rPr>
            </w:pPr>
            <w:r w:rsidRPr="000F778E">
              <w:rPr>
                <w:rFonts w:ascii="Arial" w:hAnsi="Arial" w:cs="Arial"/>
                <w:noProof/>
                <w:color w:val="7030A0"/>
                <w:lang w:eastAsia="en-AU"/>
              </w:rPr>
              <w:drawing>
                <wp:inline distT="0" distB="0" distL="0" distR="0" wp14:anchorId="6141F66E" wp14:editId="3A97B6A6">
                  <wp:extent cx="203200" cy="203200"/>
                  <wp:effectExtent l="0" t="0" r="0" b="0"/>
                  <wp:docPr id="64" name="Picture 64" descr="Lette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Letter B"/>
                          <pic:cNvPicPr/>
                        </pic:nvPicPr>
                        <pic:blipFill>
                          <a:blip r:embed="rId15">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316" w:type="dxa"/>
          </w:tcPr>
          <w:p w14:paraId="452A39D6" w14:textId="13858C16" w:rsidR="00790436" w:rsidRPr="000F778E" w:rsidRDefault="00790436" w:rsidP="00003672">
            <w:pPr>
              <w:pStyle w:val="NormalBeforeBullet"/>
              <w:spacing w:before="0" w:after="0"/>
              <w:rPr>
                <w:rFonts w:ascii="Arial" w:hAnsi="Arial" w:cs="Arial"/>
                <w:color w:val="7030A0"/>
              </w:rPr>
            </w:pPr>
            <w:r w:rsidRPr="000F778E">
              <w:rPr>
                <w:rFonts w:ascii="Arial" w:hAnsi="Arial" w:cs="Arial"/>
              </w:rPr>
              <w:t>CVD Risk Factors Screening at Community Pharmacy</w:t>
            </w:r>
          </w:p>
        </w:tc>
      </w:tr>
      <w:tr w:rsidR="00790436" w:rsidRPr="000F778E" w14:paraId="77241B43" w14:textId="77777777" w:rsidTr="00097BC5">
        <w:tc>
          <w:tcPr>
            <w:tcW w:w="700" w:type="dxa"/>
          </w:tcPr>
          <w:p w14:paraId="2430E138" w14:textId="76A0373A" w:rsidR="00790436" w:rsidRPr="000F778E" w:rsidRDefault="00790436" w:rsidP="00003672">
            <w:pPr>
              <w:pStyle w:val="NormalBeforeBullet"/>
              <w:spacing w:before="0" w:after="0"/>
              <w:rPr>
                <w:rFonts w:ascii="Arial" w:hAnsi="Arial" w:cs="Arial"/>
                <w:color w:val="7030A0"/>
              </w:rPr>
            </w:pPr>
            <w:r w:rsidRPr="000F778E">
              <w:rPr>
                <w:rFonts w:ascii="Arial" w:hAnsi="Arial" w:cs="Arial"/>
                <w:noProof/>
              </w:rPr>
              <w:drawing>
                <wp:inline distT="0" distB="0" distL="0" distR="0" wp14:anchorId="00CBE136" wp14:editId="3225FE79">
                  <wp:extent cx="201930" cy="201930"/>
                  <wp:effectExtent l="0" t="0" r="7620" b="7620"/>
                  <wp:docPr id="3" name="Picture 3" descr="Letter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etter 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8316" w:type="dxa"/>
          </w:tcPr>
          <w:p w14:paraId="023CF232" w14:textId="6064F219" w:rsidR="00790436" w:rsidRPr="000F778E" w:rsidRDefault="00790436" w:rsidP="00003672">
            <w:pPr>
              <w:spacing w:before="0"/>
              <w:rPr>
                <w:rFonts w:ascii="Arial" w:hAnsi="Arial" w:cs="Arial"/>
              </w:rPr>
            </w:pPr>
            <w:r w:rsidRPr="000F778E">
              <w:rPr>
                <w:rFonts w:ascii="Arial" w:hAnsi="Arial" w:cs="Arial"/>
              </w:rPr>
              <w:t xml:space="preserve">Assessment of Low, </w:t>
            </w:r>
            <w:proofErr w:type="gramStart"/>
            <w:r w:rsidR="001F7120" w:rsidRPr="000F778E">
              <w:rPr>
                <w:rFonts w:ascii="Arial" w:hAnsi="Arial" w:cs="Arial"/>
              </w:rPr>
              <w:t>Medium</w:t>
            </w:r>
            <w:proofErr w:type="gramEnd"/>
            <w:r w:rsidRPr="000F778E">
              <w:rPr>
                <w:rFonts w:ascii="Arial" w:hAnsi="Arial" w:cs="Arial"/>
              </w:rPr>
              <w:t xml:space="preserve"> or High risk of CVD</w:t>
            </w:r>
          </w:p>
        </w:tc>
      </w:tr>
      <w:tr w:rsidR="00790436" w:rsidRPr="000F778E" w14:paraId="4A9ACD16" w14:textId="77777777" w:rsidTr="00097BC5">
        <w:tc>
          <w:tcPr>
            <w:tcW w:w="700" w:type="dxa"/>
          </w:tcPr>
          <w:p w14:paraId="3F36D4E6" w14:textId="12087881" w:rsidR="00790436" w:rsidRPr="000F778E" w:rsidRDefault="00790436" w:rsidP="00003672">
            <w:pPr>
              <w:pStyle w:val="NormalBeforeBullet"/>
              <w:spacing w:before="0" w:after="0"/>
              <w:rPr>
                <w:rFonts w:ascii="Arial" w:hAnsi="Arial" w:cs="Arial"/>
                <w:color w:val="7030A0"/>
              </w:rPr>
            </w:pPr>
            <w:r w:rsidRPr="000F778E">
              <w:rPr>
                <w:rFonts w:ascii="Arial" w:hAnsi="Arial" w:cs="Arial"/>
                <w:noProof/>
                <w:color w:val="7030A0"/>
                <w:lang w:eastAsia="en-AU"/>
              </w:rPr>
              <w:drawing>
                <wp:inline distT="0" distB="0" distL="0" distR="0" wp14:anchorId="6A039519" wp14:editId="267BCEAE">
                  <wp:extent cx="203200" cy="203200"/>
                  <wp:effectExtent l="0" t="0" r="0" b="0"/>
                  <wp:docPr id="66" name="Picture 66" descr="Lette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Letter D"/>
                          <pic:cNvPicPr/>
                        </pic:nvPicPr>
                        <pic:blipFill>
                          <a:blip r:embed="rId17">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316" w:type="dxa"/>
          </w:tcPr>
          <w:p w14:paraId="35925A31" w14:textId="4A9426F7" w:rsidR="00790436" w:rsidRPr="000F778E" w:rsidRDefault="00790436" w:rsidP="00003672">
            <w:pPr>
              <w:spacing w:before="0"/>
              <w:rPr>
                <w:rFonts w:ascii="Arial" w:hAnsi="Arial" w:cs="Arial"/>
                <w:color w:val="7030A0"/>
              </w:rPr>
            </w:pPr>
            <w:r w:rsidRPr="000F778E">
              <w:rPr>
                <w:rFonts w:ascii="Arial" w:hAnsi="Arial" w:cs="Arial"/>
              </w:rPr>
              <w:t xml:space="preserve">Participants with Moderate and </w:t>
            </w:r>
            <w:proofErr w:type="gramStart"/>
            <w:r w:rsidRPr="000F778E">
              <w:rPr>
                <w:rFonts w:ascii="Arial" w:hAnsi="Arial" w:cs="Arial"/>
              </w:rPr>
              <w:t>High risk</w:t>
            </w:r>
            <w:proofErr w:type="gramEnd"/>
            <w:r w:rsidRPr="000F778E">
              <w:rPr>
                <w:rFonts w:ascii="Arial" w:hAnsi="Arial" w:cs="Arial"/>
              </w:rPr>
              <w:t xml:space="preserve"> screening assessment results referred to General Practice</w:t>
            </w:r>
            <w:r w:rsidR="0027373A" w:rsidRPr="000F778E">
              <w:rPr>
                <w:rFonts w:ascii="Arial" w:hAnsi="Arial" w:cs="Arial"/>
              </w:rPr>
              <w:t xml:space="preserve"> and community-based lifestyle program</w:t>
            </w:r>
          </w:p>
        </w:tc>
      </w:tr>
      <w:tr w:rsidR="00790436" w:rsidRPr="000F778E" w14:paraId="3C7D80C5" w14:textId="77777777" w:rsidTr="00097BC5">
        <w:tc>
          <w:tcPr>
            <w:tcW w:w="700" w:type="dxa"/>
          </w:tcPr>
          <w:p w14:paraId="2FBAA32E" w14:textId="0FD82F29" w:rsidR="00790436" w:rsidRPr="000F778E" w:rsidRDefault="00287128" w:rsidP="00003672">
            <w:pPr>
              <w:pStyle w:val="NormalBeforeBullet"/>
              <w:spacing w:before="0" w:after="0"/>
              <w:rPr>
                <w:rFonts w:ascii="Arial" w:hAnsi="Arial" w:cs="Arial"/>
                <w:color w:val="7030A0"/>
              </w:rPr>
            </w:pPr>
            <w:r w:rsidRPr="000F778E">
              <w:rPr>
                <w:rFonts w:ascii="Arial" w:hAnsi="Arial" w:cs="Arial"/>
                <w:noProof/>
                <w:color w:val="7030A0"/>
                <w:lang w:eastAsia="en-AU"/>
              </w:rPr>
              <w:drawing>
                <wp:inline distT="0" distB="0" distL="0" distR="0" wp14:anchorId="7395E466" wp14:editId="58681936">
                  <wp:extent cx="203200" cy="203200"/>
                  <wp:effectExtent l="0" t="0" r="0" b="0"/>
                  <wp:docPr id="67" name="Picture 67" descr="Let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Letter E"/>
                          <pic:cNvPicPr/>
                        </pic:nvPicPr>
                        <pic:blipFill>
                          <a:blip r:embed="rId18">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316" w:type="dxa"/>
          </w:tcPr>
          <w:p w14:paraId="2612DB8D" w14:textId="722F623A" w:rsidR="00790436" w:rsidRPr="000F778E" w:rsidRDefault="00441199" w:rsidP="00003672">
            <w:pPr>
              <w:spacing w:before="0"/>
              <w:rPr>
                <w:rFonts w:ascii="Arial" w:hAnsi="Arial" w:cs="Arial"/>
                <w:color w:val="7030A0"/>
              </w:rPr>
            </w:pPr>
            <w:r w:rsidRPr="000F778E">
              <w:rPr>
                <w:rFonts w:ascii="Arial" w:hAnsi="Arial" w:cs="Arial"/>
              </w:rPr>
              <w:t>A</w:t>
            </w:r>
            <w:r w:rsidR="0027373A" w:rsidRPr="000F778E">
              <w:rPr>
                <w:rFonts w:ascii="Arial" w:hAnsi="Arial" w:cs="Arial"/>
              </w:rPr>
              <w:t>dverse events reported in association with the trial</w:t>
            </w:r>
          </w:p>
        </w:tc>
      </w:tr>
      <w:tr w:rsidR="00790436" w:rsidRPr="000F778E" w14:paraId="0AB694C6" w14:textId="77777777" w:rsidTr="00097BC5">
        <w:tc>
          <w:tcPr>
            <w:tcW w:w="700" w:type="dxa"/>
          </w:tcPr>
          <w:p w14:paraId="35C1E986" w14:textId="1AAD4C55" w:rsidR="00790436" w:rsidRPr="000F778E" w:rsidRDefault="00790436" w:rsidP="00003672">
            <w:pPr>
              <w:pStyle w:val="NormalBeforeBullet"/>
              <w:spacing w:before="0" w:after="0"/>
              <w:rPr>
                <w:rFonts w:ascii="Arial" w:hAnsi="Arial" w:cs="Arial"/>
                <w:color w:val="7030A0"/>
              </w:rPr>
            </w:pPr>
          </w:p>
        </w:tc>
        <w:tc>
          <w:tcPr>
            <w:tcW w:w="8316" w:type="dxa"/>
          </w:tcPr>
          <w:p w14:paraId="6B2878FE" w14:textId="2D539BDB" w:rsidR="00790436" w:rsidRPr="000F778E" w:rsidRDefault="00790436" w:rsidP="00003672">
            <w:pPr>
              <w:pStyle w:val="NormalBeforeBullet"/>
              <w:spacing w:before="0" w:after="0"/>
              <w:rPr>
                <w:rFonts w:ascii="Arial" w:hAnsi="Arial" w:cs="Arial"/>
                <w:color w:val="7030A0"/>
              </w:rPr>
            </w:pPr>
          </w:p>
        </w:tc>
      </w:tr>
      <w:tr w:rsidR="00441199" w:rsidRPr="000F778E" w14:paraId="0DF127D0" w14:textId="77777777" w:rsidTr="00097BC5">
        <w:tc>
          <w:tcPr>
            <w:tcW w:w="704" w:type="dxa"/>
          </w:tcPr>
          <w:p w14:paraId="6F8D51BF" w14:textId="77777777" w:rsidR="00947A1D" w:rsidRPr="000F778E" w:rsidRDefault="00947A1D" w:rsidP="00003672">
            <w:pPr>
              <w:pStyle w:val="TableFigureFooter"/>
              <w:spacing w:before="0" w:after="0"/>
              <w:rPr>
                <w:rFonts w:ascii="Arial" w:hAnsi="Arial"/>
                <w:b/>
                <w:bCs/>
                <w:sz w:val="22"/>
              </w:rPr>
            </w:pPr>
          </w:p>
          <w:p w14:paraId="022DB721" w14:textId="218B140F" w:rsidR="00441199" w:rsidRPr="000F778E" w:rsidRDefault="00441199" w:rsidP="00003672">
            <w:pPr>
              <w:pStyle w:val="TableFigureFooter"/>
              <w:spacing w:before="0" w:after="0"/>
              <w:rPr>
                <w:rFonts w:ascii="Arial" w:hAnsi="Arial"/>
                <w:b/>
                <w:bCs/>
                <w:sz w:val="22"/>
              </w:rPr>
            </w:pPr>
            <w:r w:rsidRPr="000F778E">
              <w:rPr>
                <w:rFonts w:ascii="Arial" w:hAnsi="Arial"/>
                <w:b/>
                <w:bCs/>
                <w:sz w:val="22"/>
              </w:rPr>
              <w:t>1</w:t>
            </w:r>
          </w:p>
        </w:tc>
        <w:tc>
          <w:tcPr>
            <w:tcW w:w="8312" w:type="dxa"/>
          </w:tcPr>
          <w:p w14:paraId="710FBD55" w14:textId="44DCD81D" w:rsidR="00441199" w:rsidRPr="000F778E" w:rsidRDefault="001F7120" w:rsidP="00003672">
            <w:pPr>
              <w:spacing w:before="0"/>
              <w:rPr>
                <w:rFonts w:ascii="Arial" w:hAnsi="Arial" w:cs="Arial"/>
              </w:rPr>
            </w:pPr>
            <w:r w:rsidRPr="000F778E">
              <w:rPr>
                <w:rFonts w:ascii="Arial" w:hAnsi="Arial" w:cs="Arial"/>
              </w:rPr>
              <w:t>Medium</w:t>
            </w:r>
            <w:r w:rsidR="00441199" w:rsidRPr="000F778E">
              <w:rPr>
                <w:rFonts w:ascii="Arial" w:hAnsi="Arial" w:cs="Arial"/>
              </w:rPr>
              <w:t xml:space="preserve"> or </w:t>
            </w:r>
            <w:proofErr w:type="gramStart"/>
            <w:r w:rsidR="00441199" w:rsidRPr="000F778E">
              <w:rPr>
                <w:rFonts w:ascii="Arial" w:hAnsi="Arial" w:cs="Arial"/>
              </w:rPr>
              <w:t>high risk</w:t>
            </w:r>
            <w:proofErr w:type="gramEnd"/>
            <w:r w:rsidR="00441199" w:rsidRPr="000F778E">
              <w:rPr>
                <w:rFonts w:ascii="Arial" w:hAnsi="Arial" w:cs="Arial"/>
              </w:rPr>
              <w:t xml:space="preserve"> assessment of CVD by community pharmacy in a previously undiagnosed population and onward referral to General Practice results in outcomes that are no worse than a previously undiagnosed population engaged with General Practice.</w:t>
            </w:r>
          </w:p>
          <w:p w14:paraId="2ED71FF1" w14:textId="33BCE7A7" w:rsidR="00441199" w:rsidRPr="000F778E" w:rsidRDefault="00441199" w:rsidP="00003672">
            <w:pPr>
              <w:spacing w:before="0"/>
              <w:rPr>
                <w:rFonts w:ascii="Arial" w:hAnsi="Arial" w:cs="Arial"/>
              </w:rPr>
            </w:pPr>
          </w:p>
        </w:tc>
      </w:tr>
      <w:tr w:rsidR="00441199" w:rsidRPr="000F778E" w14:paraId="0A032916" w14:textId="77777777" w:rsidTr="00097BC5">
        <w:tc>
          <w:tcPr>
            <w:tcW w:w="704" w:type="dxa"/>
          </w:tcPr>
          <w:p w14:paraId="2FB08A58" w14:textId="1B90BE5A" w:rsidR="00441199" w:rsidRPr="000F778E" w:rsidRDefault="00441199" w:rsidP="00003672">
            <w:pPr>
              <w:pStyle w:val="TableFigureFooter"/>
              <w:spacing w:before="0" w:after="0"/>
              <w:rPr>
                <w:rFonts w:ascii="Arial" w:hAnsi="Arial"/>
                <w:b/>
                <w:bCs/>
                <w:sz w:val="22"/>
              </w:rPr>
            </w:pPr>
            <w:r w:rsidRPr="000F778E">
              <w:rPr>
                <w:rFonts w:ascii="Arial" w:hAnsi="Arial"/>
                <w:b/>
                <w:bCs/>
                <w:sz w:val="22"/>
              </w:rPr>
              <w:t>2</w:t>
            </w:r>
          </w:p>
        </w:tc>
        <w:tc>
          <w:tcPr>
            <w:tcW w:w="8312" w:type="dxa"/>
          </w:tcPr>
          <w:p w14:paraId="2CB3B165" w14:textId="38AEFBA1" w:rsidR="00441199" w:rsidRPr="000F778E" w:rsidRDefault="00441199" w:rsidP="00003672">
            <w:pPr>
              <w:pStyle w:val="TableFigureFooter"/>
              <w:spacing w:before="0" w:after="0"/>
              <w:rPr>
                <w:rFonts w:ascii="Arial" w:hAnsi="Arial"/>
                <w:sz w:val="22"/>
              </w:rPr>
            </w:pPr>
            <w:r w:rsidRPr="000F778E">
              <w:rPr>
                <w:rFonts w:ascii="Arial" w:hAnsi="Arial"/>
                <w:sz w:val="22"/>
              </w:rPr>
              <w:t>Concordance with CVD risk assessment by community pharmacy in a previously undiagnosed population and onward referral to General Practice and a previously undiagnosed population directly engaged with General Practice are unavailable.</w:t>
            </w:r>
          </w:p>
          <w:p w14:paraId="22B80E23" w14:textId="77777777" w:rsidR="00441199" w:rsidRPr="000F778E" w:rsidRDefault="00441199" w:rsidP="00003672">
            <w:pPr>
              <w:pStyle w:val="TableFigureFooter"/>
              <w:spacing w:before="0" w:after="0"/>
              <w:rPr>
                <w:rFonts w:ascii="Arial" w:hAnsi="Arial"/>
                <w:sz w:val="22"/>
              </w:rPr>
            </w:pPr>
          </w:p>
        </w:tc>
      </w:tr>
      <w:tr w:rsidR="00441199" w:rsidRPr="000F778E" w14:paraId="6E70C9B3" w14:textId="77777777" w:rsidTr="00097BC5">
        <w:tc>
          <w:tcPr>
            <w:tcW w:w="704" w:type="dxa"/>
          </w:tcPr>
          <w:p w14:paraId="77911713" w14:textId="1AE33593" w:rsidR="00441199" w:rsidRPr="000F778E" w:rsidRDefault="00441199" w:rsidP="00003672">
            <w:pPr>
              <w:pStyle w:val="TableFigureFooter"/>
              <w:spacing w:before="0" w:after="0"/>
              <w:rPr>
                <w:rFonts w:ascii="Arial" w:hAnsi="Arial"/>
                <w:b/>
                <w:bCs/>
                <w:sz w:val="22"/>
              </w:rPr>
            </w:pPr>
            <w:r w:rsidRPr="000F778E">
              <w:rPr>
                <w:rFonts w:ascii="Arial" w:hAnsi="Arial"/>
                <w:b/>
                <w:bCs/>
                <w:sz w:val="22"/>
              </w:rPr>
              <w:lastRenderedPageBreak/>
              <w:t>3</w:t>
            </w:r>
          </w:p>
        </w:tc>
        <w:tc>
          <w:tcPr>
            <w:tcW w:w="8312" w:type="dxa"/>
          </w:tcPr>
          <w:p w14:paraId="6C546523" w14:textId="77777777" w:rsidR="00441199" w:rsidRPr="000F778E" w:rsidRDefault="00441199" w:rsidP="00003672">
            <w:pPr>
              <w:pStyle w:val="TableFigureFooter"/>
              <w:spacing w:before="0" w:after="0"/>
              <w:rPr>
                <w:rFonts w:ascii="Arial" w:hAnsi="Arial"/>
                <w:sz w:val="22"/>
              </w:rPr>
            </w:pPr>
            <w:r w:rsidRPr="000F778E">
              <w:rPr>
                <w:rFonts w:ascii="Arial" w:hAnsi="Arial"/>
                <w:sz w:val="22"/>
              </w:rPr>
              <w:t>It is inferred that similar results from both proposed test and comparator will result in the same management decisions, and noninferior health outcomes.</w:t>
            </w:r>
          </w:p>
          <w:p w14:paraId="142F1CCE" w14:textId="77777777" w:rsidR="00441199" w:rsidRPr="000F778E" w:rsidRDefault="00441199" w:rsidP="00003672">
            <w:pPr>
              <w:pStyle w:val="TableFigureFooter"/>
              <w:spacing w:before="0" w:after="0"/>
              <w:rPr>
                <w:rFonts w:ascii="Arial" w:hAnsi="Arial"/>
                <w:sz w:val="22"/>
              </w:rPr>
            </w:pPr>
          </w:p>
        </w:tc>
      </w:tr>
      <w:tr w:rsidR="00441199" w:rsidRPr="000F778E" w14:paraId="2454D1CD" w14:textId="77777777" w:rsidTr="00097BC5">
        <w:tc>
          <w:tcPr>
            <w:tcW w:w="704" w:type="dxa"/>
          </w:tcPr>
          <w:p w14:paraId="77F6C113" w14:textId="198B08B2" w:rsidR="00441199" w:rsidRPr="000F778E" w:rsidRDefault="00441199" w:rsidP="00003672">
            <w:pPr>
              <w:pStyle w:val="TableFigureFooter"/>
              <w:spacing w:before="0" w:after="0"/>
              <w:rPr>
                <w:rFonts w:ascii="Arial" w:hAnsi="Arial"/>
                <w:b/>
                <w:bCs/>
                <w:sz w:val="22"/>
              </w:rPr>
            </w:pPr>
            <w:r w:rsidRPr="000F778E">
              <w:rPr>
                <w:rFonts w:ascii="Arial" w:hAnsi="Arial"/>
                <w:b/>
                <w:bCs/>
                <w:sz w:val="22"/>
              </w:rPr>
              <w:t>4</w:t>
            </w:r>
          </w:p>
        </w:tc>
        <w:tc>
          <w:tcPr>
            <w:tcW w:w="8312" w:type="dxa"/>
          </w:tcPr>
          <w:p w14:paraId="53189665" w14:textId="7DEF3CBA" w:rsidR="000F778E" w:rsidRDefault="00BE7B9B" w:rsidP="00003672">
            <w:pPr>
              <w:pStyle w:val="TableFigureFooter"/>
              <w:spacing w:before="0" w:after="0"/>
              <w:rPr>
                <w:rFonts w:ascii="Arial" w:hAnsi="Arial"/>
                <w:sz w:val="22"/>
              </w:rPr>
            </w:pPr>
            <w:r w:rsidRPr="000F778E">
              <w:rPr>
                <w:rFonts w:ascii="Arial" w:hAnsi="Arial"/>
                <w:sz w:val="22"/>
              </w:rPr>
              <w:t>Harms of CVD risk assessment by community pharmacy in a previously undiagnosed population and onward referral to General Practice results in outcomes that are no worse than a previously undiagnosed population engaged with General Practice.</w:t>
            </w:r>
          </w:p>
          <w:p w14:paraId="5059E937" w14:textId="3BB2BD65" w:rsidR="000F778E" w:rsidRPr="000F778E" w:rsidRDefault="000F778E" w:rsidP="00003672">
            <w:pPr>
              <w:pStyle w:val="TableFigureFooter"/>
              <w:spacing w:before="0" w:after="0"/>
              <w:rPr>
                <w:rFonts w:ascii="Arial" w:hAnsi="Arial"/>
                <w:sz w:val="22"/>
              </w:rPr>
            </w:pPr>
          </w:p>
        </w:tc>
      </w:tr>
    </w:tbl>
    <w:p w14:paraId="7B1834A8" w14:textId="2BD265B6" w:rsidR="000F778E" w:rsidRPr="002B7177" w:rsidRDefault="00DC4EC7" w:rsidP="002B7177">
      <w:pPr>
        <w:pStyle w:val="Heading2"/>
        <w:numPr>
          <w:ilvl w:val="0"/>
          <w:numId w:val="0"/>
        </w:numPr>
        <w:spacing w:before="0" w:after="0"/>
        <w:rPr>
          <w:rFonts w:ascii="Arial" w:hAnsi="Arial" w:cs="Arial"/>
          <w:b/>
          <w:bCs/>
        </w:rPr>
      </w:pPr>
      <w:bookmarkStart w:id="34" w:name="_Toc137535746"/>
      <w:r w:rsidRPr="000F778E">
        <w:rPr>
          <w:rFonts w:ascii="Arial" w:hAnsi="Arial" w:cs="Arial"/>
          <w:b/>
          <w:bCs/>
        </w:rPr>
        <w:t>2</w:t>
      </w:r>
      <w:r w:rsidR="00F91353" w:rsidRPr="000F778E">
        <w:rPr>
          <w:rFonts w:ascii="Arial" w:hAnsi="Arial" w:cs="Arial"/>
          <w:b/>
          <w:bCs/>
        </w:rPr>
        <w:t>B.1</w:t>
      </w:r>
      <w:r w:rsidRPr="000F778E">
        <w:rPr>
          <w:rFonts w:ascii="Arial" w:hAnsi="Arial" w:cs="Arial"/>
          <w:b/>
          <w:bCs/>
        </w:rPr>
        <w:tab/>
        <w:t xml:space="preserve">Direct </w:t>
      </w:r>
      <w:r w:rsidR="00DA512C" w:rsidRPr="000F778E">
        <w:rPr>
          <w:rFonts w:ascii="Arial" w:hAnsi="Arial" w:cs="Arial"/>
          <w:b/>
          <w:bCs/>
        </w:rPr>
        <w:t xml:space="preserve">from </w:t>
      </w:r>
      <w:r w:rsidR="000F778E">
        <w:rPr>
          <w:rFonts w:ascii="Arial" w:hAnsi="Arial" w:cs="Arial"/>
          <w:b/>
          <w:bCs/>
        </w:rPr>
        <w:t>T</w:t>
      </w:r>
      <w:r w:rsidR="00DA512C" w:rsidRPr="000F778E">
        <w:rPr>
          <w:rFonts w:ascii="Arial" w:hAnsi="Arial" w:cs="Arial"/>
          <w:b/>
          <w:bCs/>
        </w:rPr>
        <w:t xml:space="preserve">est to </w:t>
      </w:r>
      <w:r w:rsidR="000F778E">
        <w:rPr>
          <w:rFonts w:ascii="Arial" w:hAnsi="Arial" w:cs="Arial"/>
          <w:b/>
          <w:bCs/>
        </w:rPr>
        <w:t>H</w:t>
      </w:r>
      <w:r w:rsidR="00DA512C" w:rsidRPr="000F778E">
        <w:rPr>
          <w:rFonts w:ascii="Arial" w:hAnsi="Arial" w:cs="Arial"/>
          <w:b/>
          <w:bCs/>
        </w:rPr>
        <w:t xml:space="preserve">ealth </w:t>
      </w:r>
      <w:r w:rsidR="000F778E">
        <w:rPr>
          <w:rFonts w:ascii="Arial" w:hAnsi="Arial" w:cs="Arial"/>
          <w:b/>
          <w:bCs/>
        </w:rPr>
        <w:t>O</w:t>
      </w:r>
      <w:r w:rsidR="00DA512C" w:rsidRPr="000F778E">
        <w:rPr>
          <w:rFonts w:ascii="Arial" w:hAnsi="Arial" w:cs="Arial"/>
          <w:b/>
          <w:bCs/>
        </w:rPr>
        <w:t xml:space="preserve">utcomes </w:t>
      </w:r>
      <w:r w:rsidR="000F778E">
        <w:rPr>
          <w:rFonts w:ascii="Arial" w:hAnsi="Arial" w:cs="Arial"/>
          <w:b/>
          <w:bCs/>
        </w:rPr>
        <w:t>E</w:t>
      </w:r>
      <w:r w:rsidRPr="000F778E">
        <w:rPr>
          <w:rFonts w:ascii="Arial" w:hAnsi="Arial" w:cs="Arial"/>
          <w:b/>
          <w:bCs/>
        </w:rPr>
        <w:t>vidence</w:t>
      </w:r>
      <w:bookmarkEnd w:id="34"/>
    </w:p>
    <w:p w14:paraId="2F361108" w14:textId="066085BB" w:rsidR="00DC4EC7" w:rsidRPr="000F778E" w:rsidRDefault="00DC4EC7" w:rsidP="002B7177">
      <w:pPr>
        <w:pStyle w:val="Heading3"/>
        <w:spacing w:before="160" w:after="160"/>
        <w:rPr>
          <w:rFonts w:ascii="Arial" w:hAnsi="Arial" w:cs="Arial"/>
          <w:b/>
          <w:bCs/>
        </w:rPr>
      </w:pPr>
      <w:bookmarkStart w:id="35" w:name="_Toc137535747"/>
      <w:r w:rsidRPr="000F778E">
        <w:rPr>
          <w:rFonts w:ascii="Arial" w:hAnsi="Arial" w:cs="Arial"/>
          <w:b/>
          <w:bCs/>
        </w:rPr>
        <w:t>2</w:t>
      </w:r>
      <w:r w:rsidR="00F91353" w:rsidRPr="000F778E">
        <w:rPr>
          <w:rFonts w:ascii="Arial" w:hAnsi="Arial" w:cs="Arial"/>
          <w:b/>
          <w:bCs/>
        </w:rPr>
        <w:t>B.1</w:t>
      </w:r>
      <w:r w:rsidRPr="000F778E">
        <w:rPr>
          <w:rFonts w:ascii="Arial" w:hAnsi="Arial" w:cs="Arial"/>
          <w:b/>
          <w:bCs/>
        </w:rPr>
        <w:t>.1</w:t>
      </w:r>
      <w:r w:rsidRPr="000F778E">
        <w:rPr>
          <w:rFonts w:ascii="Arial" w:hAnsi="Arial" w:cs="Arial"/>
          <w:b/>
          <w:bCs/>
        </w:rPr>
        <w:tab/>
        <w:t xml:space="preserve">Methods for </w:t>
      </w:r>
      <w:r w:rsidR="000F778E">
        <w:rPr>
          <w:rFonts w:ascii="Arial" w:hAnsi="Arial" w:cs="Arial"/>
          <w:b/>
          <w:bCs/>
        </w:rPr>
        <w:t>U</w:t>
      </w:r>
      <w:r w:rsidRPr="000F778E">
        <w:rPr>
          <w:rFonts w:ascii="Arial" w:hAnsi="Arial" w:cs="Arial"/>
          <w:b/>
          <w:bCs/>
        </w:rPr>
        <w:t xml:space="preserve">ndertaking the </w:t>
      </w:r>
      <w:r w:rsidR="000F778E">
        <w:rPr>
          <w:rFonts w:ascii="Arial" w:hAnsi="Arial" w:cs="Arial"/>
          <w:b/>
          <w:bCs/>
        </w:rPr>
        <w:t>A</w:t>
      </w:r>
      <w:r w:rsidRPr="000F778E">
        <w:rPr>
          <w:rFonts w:ascii="Arial" w:hAnsi="Arial" w:cs="Arial"/>
          <w:b/>
          <w:bCs/>
        </w:rPr>
        <w:t>ssessment</w:t>
      </w:r>
      <w:bookmarkEnd w:id="35"/>
    </w:p>
    <w:p w14:paraId="40171B64" w14:textId="5DB3E109" w:rsidR="009F6253" w:rsidRPr="000F778E" w:rsidRDefault="00DB7340" w:rsidP="002B7177">
      <w:pPr>
        <w:spacing w:before="160" w:line="240" w:lineRule="auto"/>
        <w:rPr>
          <w:rFonts w:ascii="Arial" w:hAnsi="Arial" w:cs="Arial"/>
        </w:rPr>
      </w:pPr>
      <w:r w:rsidRPr="000F778E">
        <w:rPr>
          <w:rFonts w:ascii="Arial" w:hAnsi="Arial" w:cs="Arial"/>
        </w:rPr>
        <w:t>A total of 5 studies met the inclusion criteria for assessing the direct test to health outcomes evidence of CVD Risk Assessment in Community Pharmacy compared to standard medical management by a General Practitioner in primary clinical practice.</w:t>
      </w:r>
    </w:p>
    <w:p w14:paraId="0C01F2C4" w14:textId="05A552BB" w:rsidR="00C3623A" w:rsidRDefault="00DB7340" w:rsidP="002B7177">
      <w:pPr>
        <w:spacing w:before="160" w:line="240" w:lineRule="auto"/>
        <w:rPr>
          <w:rFonts w:ascii="Arial" w:hAnsi="Arial" w:cs="Arial"/>
        </w:rPr>
      </w:pPr>
      <w:r w:rsidRPr="000F778E">
        <w:rPr>
          <w:rFonts w:ascii="Arial" w:hAnsi="Arial" w:cs="Arial"/>
        </w:rPr>
        <w:t xml:space="preserve">A summary of the key features of the studies providing direct from test to health outcome evidence for CVD Risk Assessment in Community Pharmacy compared to usual care is provided in </w:t>
      </w:r>
      <w:r w:rsidR="00097BC5" w:rsidRPr="000F778E">
        <w:rPr>
          <w:rFonts w:ascii="Arial" w:hAnsi="Arial" w:cs="Arial"/>
        </w:rPr>
        <w:t xml:space="preserve">Table </w:t>
      </w:r>
      <w:r w:rsidR="00AD7843">
        <w:rPr>
          <w:rFonts w:ascii="Arial" w:hAnsi="Arial" w:cs="Arial"/>
        </w:rPr>
        <w:t>4</w:t>
      </w:r>
      <w:r w:rsidR="00097BC5" w:rsidRPr="000F778E">
        <w:rPr>
          <w:rFonts w:ascii="Arial" w:hAnsi="Arial" w:cs="Arial"/>
        </w:rPr>
        <w:t>.</w:t>
      </w:r>
    </w:p>
    <w:p w14:paraId="2EB9A0D8" w14:textId="6DCF3134" w:rsidR="00C3623A" w:rsidRPr="002B7177" w:rsidRDefault="00C3623A" w:rsidP="002B7177">
      <w:pPr>
        <w:pStyle w:val="Heading3"/>
        <w:spacing w:before="160" w:after="160"/>
        <w:rPr>
          <w:rFonts w:ascii="Arial" w:hAnsi="Arial" w:cs="Arial"/>
          <w:b/>
          <w:bCs/>
        </w:rPr>
      </w:pPr>
      <w:bookmarkStart w:id="36" w:name="_Toc137535748"/>
      <w:r w:rsidRPr="00AD7843">
        <w:rPr>
          <w:rFonts w:ascii="Arial" w:hAnsi="Arial" w:cs="Arial"/>
          <w:b/>
          <w:bCs/>
        </w:rPr>
        <w:lastRenderedPageBreak/>
        <w:t>2B.1.</w:t>
      </w:r>
      <w:r>
        <w:rPr>
          <w:rFonts w:ascii="Arial" w:hAnsi="Arial" w:cs="Arial"/>
          <w:b/>
          <w:bCs/>
        </w:rPr>
        <w:t>2</w:t>
      </w:r>
      <w:r w:rsidRPr="00AD7843">
        <w:rPr>
          <w:rFonts w:ascii="Arial" w:hAnsi="Arial" w:cs="Arial"/>
          <w:b/>
          <w:bCs/>
        </w:rPr>
        <w:tab/>
      </w:r>
      <w:r>
        <w:rPr>
          <w:rFonts w:ascii="Arial" w:hAnsi="Arial" w:cs="Arial"/>
          <w:b/>
          <w:bCs/>
        </w:rPr>
        <w:t>Characteristics of the evidence base</w:t>
      </w:r>
      <w:bookmarkEnd w:id="36"/>
    </w:p>
    <w:p w14:paraId="71BBAFA2" w14:textId="44D5AF75" w:rsidR="00C250A3" w:rsidRPr="008B6783" w:rsidRDefault="00F421BA" w:rsidP="008B6783">
      <w:pPr>
        <w:pStyle w:val="Heading3"/>
        <w:spacing w:before="0" w:after="0"/>
        <w:rPr>
          <w:rFonts w:ascii="Arial Narrow" w:hAnsi="Arial Narrow"/>
          <w:b/>
          <w:bCs/>
          <w:sz w:val="20"/>
          <w:szCs w:val="20"/>
        </w:rPr>
      </w:pPr>
      <w:bookmarkStart w:id="37" w:name="_Toc137535749"/>
      <w:r w:rsidRPr="008B6783">
        <w:rPr>
          <w:rFonts w:ascii="Arial Narrow" w:hAnsi="Arial Narrow"/>
          <w:b/>
          <w:bCs/>
          <w:sz w:val="20"/>
          <w:szCs w:val="20"/>
        </w:rPr>
        <w:t>Table 3</w:t>
      </w:r>
      <w:r w:rsidR="004C2720" w:rsidRPr="008B6783">
        <w:rPr>
          <w:rFonts w:ascii="Arial Narrow" w:hAnsi="Arial Narrow"/>
          <w:b/>
          <w:bCs/>
          <w:sz w:val="20"/>
          <w:szCs w:val="20"/>
        </w:rPr>
        <w:t>:</w:t>
      </w:r>
      <w:r w:rsidRPr="008B6783">
        <w:rPr>
          <w:rFonts w:ascii="Arial Narrow" w:hAnsi="Arial Narrow"/>
          <w:b/>
          <w:bCs/>
          <w:sz w:val="20"/>
          <w:szCs w:val="20"/>
        </w:rPr>
        <w:t xml:space="preserve"> Characteristics of evidence base</w:t>
      </w:r>
      <w:bookmarkEnd w:id="37"/>
    </w:p>
    <w:tbl>
      <w:tblPr>
        <w:tblStyle w:val="ListTable3-Accent3"/>
        <w:tblW w:w="5708" w:type="pct"/>
        <w:tblInd w:w="-57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
        <w:gridCol w:w="1210"/>
        <w:gridCol w:w="1517"/>
        <w:gridCol w:w="2627"/>
        <w:gridCol w:w="1344"/>
        <w:gridCol w:w="2178"/>
      </w:tblGrid>
      <w:tr w:rsidR="00F421BA" w:rsidRPr="004C2720" w14:paraId="1114511D" w14:textId="77777777" w:rsidTr="008B6783">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0" w:type="pct"/>
            <w:tcBorders>
              <w:bottom w:val="none" w:sz="0" w:space="0" w:color="auto"/>
              <w:right w:val="none" w:sz="0" w:space="0" w:color="auto"/>
            </w:tcBorders>
            <w:shd w:val="clear" w:color="auto" w:fill="auto"/>
          </w:tcPr>
          <w:p w14:paraId="315F9203" w14:textId="47F5A261" w:rsidR="00A009FD" w:rsidRPr="008B6783" w:rsidRDefault="00A009FD" w:rsidP="00003672">
            <w:pPr>
              <w:pStyle w:val="TableHeading"/>
              <w:spacing w:before="0" w:after="0"/>
              <w:rPr>
                <w:rFonts w:ascii="Arial" w:hAnsi="Arial" w:cs="Arial"/>
                <w:b/>
                <w:bCs w:val="0"/>
                <w:sz w:val="18"/>
                <w:szCs w:val="18"/>
              </w:rPr>
            </w:pPr>
          </w:p>
        </w:tc>
        <w:tc>
          <w:tcPr>
            <w:tcW w:w="0" w:type="pct"/>
            <w:shd w:val="clear" w:color="auto" w:fill="auto"/>
          </w:tcPr>
          <w:p w14:paraId="7B511B05" w14:textId="35634445" w:rsidR="00A009FD" w:rsidRPr="00105FFE" w:rsidRDefault="00A009FD" w:rsidP="00003672">
            <w:pPr>
              <w:pStyle w:val="TableHeading"/>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pct"/>
            <w:shd w:val="clear" w:color="auto" w:fill="auto"/>
          </w:tcPr>
          <w:p w14:paraId="7186782A" w14:textId="3C3EED86" w:rsidR="00A009FD" w:rsidRPr="00105FFE" w:rsidRDefault="00A009FD" w:rsidP="00003672">
            <w:pPr>
              <w:pStyle w:val="TableHeading"/>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pct"/>
            <w:shd w:val="clear" w:color="auto" w:fill="auto"/>
          </w:tcPr>
          <w:p w14:paraId="4EBCCC15" w14:textId="552AFB14" w:rsidR="00A009FD" w:rsidRPr="00105FFE" w:rsidRDefault="00A009FD" w:rsidP="00003672">
            <w:pPr>
              <w:pStyle w:val="TableHeading"/>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pct"/>
            <w:shd w:val="clear" w:color="auto" w:fill="auto"/>
          </w:tcPr>
          <w:p w14:paraId="3BEE1FF7" w14:textId="6CEF2074" w:rsidR="00A009FD" w:rsidRPr="00105FFE" w:rsidRDefault="00A009FD" w:rsidP="00003672">
            <w:pPr>
              <w:pStyle w:val="TableHeading"/>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pct"/>
            <w:shd w:val="clear" w:color="auto" w:fill="auto"/>
          </w:tcPr>
          <w:p w14:paraId="394D1482" w14:textId="2CBCFB73" w:rsidR="00A009FD" w:rsidRPr="00105FFE" w:rsidRDefault="00A009FD" w:rsidP="00003672">
            <w:pPr>
              <w:pStyle w:val="TableHeading"/>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r w:rsidR="00C250A3" w:rsidRPr="000F778E" w14:paraId="53DC8702" w14:textId="77777777" w:rsidTr="008B6783">
        <w:trPr>
          <w:cnfStyle w:val="000000100000" w:firstRow="0" w:lastRow="0" w:firstColumn="0" w:lastColumn="0" w:oddVBand="0" w:evenVBand="0" w:oddHBand="1" w:evenHBand="0" w:firstRowFirstColumn="0" w:firstRowLastColumn="0" w:lastRowFirstColumn="0" w:lastRowLastColumn="0"/>
          <w:trHeight w:val="1839"/>
        </w:trPr>
        <w:tc>
          <w:tcPr>
            <w:cnfStyle w:val="001000000000" w:firstRow="0" w:lastRow="0" w:firstColumn="1" w:lastColumn="0" w:oddVBand="0" w:evenVBand="0" w:oddHBand="0" w:evenHBand="0" w:firstRowFirstColumn="0" w:firstRowLastColumn="0" w:lastRowFirstColumn="0" w:lastRowLastColumn="0"/>
            <w:tcW w:w="688" w:type="pct"/>
            <w:tcBorders>
              <w:right w:val="none" w:sz="0" w:space="0" w:color="auto"/>
            </w:tcBorders>
          </w:tcPr>
          <w:p w14:paraId="05384B38" w14:textId="19EB4D4C" w:rsidR="00A009FD" w:rsidRPr="000F778E" w:rsidRDefault="00A009FD" w:rsidP="00003672">
            <w:pPr>
              <w:pStyle w:val="TableHeading"/>
              <w:spacing w:before="0" w:after="0"/>
              <w:rPr>
                <w:rFonts w:ascii="Arial" w:hAnsi="Arial" w:cs="Arial"/>
                <w:b/>
                <w:bCs w:val="0"/>
                <w:color w:val="212121"/>
                <w:sz w:val="18"/>
                <w:szCs w:val="18"/>
              </w:rPr>
            </w:pPr>
            <w:r w:rsidRPr="000F778E">
              <w:rPr>
                <w:rFonts w:ascii="Arial" w:hAnsi="Arial" w:cs="Arial"/>
                <w:color w:val="212121"/>
                <w:sz w:val="18"/>
                <w:szCs w:val="18"/>
              </w:rPr>
              <w:t>Pharmacy diabetes care program:</w:t>
            </w:r>
          </w:p>
          <w:p w14:paraId="5517EDB7" w14:textId="5BAA68BA" w:rsidR="00A009FD" w:rsidRPr="000F778E" w:rsidRDefault="00A009FD" w:rsidP="00003672">
            <w:pPr>
              <w:pStyle w:val="TableHeading"/>
              <w:spacing w:before="0" w:after="0"/>
              <w:rPr>
                <w:rFonts w:ascii="Arial" w:hAnsi="Arial" w:cs="Arial"/>
                <w:b/>
                <w:bCs w:val="0"/>
                <w:sz w:val="18"/>
                <w:szCs w:val="18"/>
              </w:rPr>
            </w:pPr>
            <w:r w:rsidRPr="000F778E">
              <w:rPr>
                <w:rFonts w:ascii="Arial" w:hAnsi="Arial" w:cs="Arial"/>
                <w:color w:val="212121"/>
                <w:sz w:val="18"/>
                <w:szCs w:val="18"/>
              </w:rPr>
              <w:t>analysis of two screening methods for undiagnosed type 2 diabetes in Australian community pharmacy</w:t>
            </w:r>
          </w:p>
        </w:tc>
        <w:tc>
          <w:tcPr>
            <w:tcW w:w="588" w:type="pct"/>
          </w:tcPr>
          <w:p w14:paraId="3E36E400" w14:textId="0D8A8E5F" w:rsidR="00A009FD" w:rsidRPr="000F778E" w:rsidRDefault="00A009FD"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sz w:val="16"/>
                <w:szCs w:val="16"/>
              </w:rPr>
            </w:pPr>
            <w:r w:rsidRPr="000F778E">
              <w:rPr>
                <w:rFonts w:ascii="Arial" w:hAnsi="Arial" w:cs="Arial"/>
                <w:b w:val="0"/>
                <w:sz w:val="16"/>
                <w:szCs w:val="16"/>
              </w:rPr>
              <w:t>Randomised</w:t>
            </w:r>
          </w:p>
          <w:p w14:paraId="120766F7" w14:textId="0D9823A1" w:rsidR="00764923"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6"/>
              </w:rPr>
            </w:pPr>
            <w:r w:rsidRPr="000F778E">
              <w:rPr>
                <w:rFonts w:ascii="Arial" w:hAnsi="Arial" w:cs="Arial"/>
                <w:b w:val="0"/>
                <w:bCs/>
                <w:sz w:val="16"/>
                <w:szCs w:val="16"/>
              </w:rPr>
              <w:t>controlled</w:t>
            </w:r>
          </w:p>
        </w:tc>
        <w:tc>
          <w:tcPr>
            <w:tcW w:w="737" w:type="pct"/>
          </w:tcPr>
          <w:p w14:paraId="4105D145" w14:textId="52098D19" w:rsidR="00A009FD"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color w:val="212121"/>
                <w:sz w:val="16"/>
                <w:szCs w:val="16"/>
                <w:shd w:val="clear" w:color="auto" w:fill="FFFFFF"/>
              </w:rPr>
            </w:pPr>
            <w:r w:rsidRPr="000F778E">
              <w:rPr>
                <w:rFonts w:ascii="Arial" w:hAnsi="Arial" w:cs="Arial"/>
                <w:b w:val="0"/>
                <w:bCs/>
                <w:color w:val="212121"/>
                <w:sz w:val="16"/>
                <w:szCs w:val="16"/>
                <w:shd w:val="clear" w:color="auto" w:fill="FFFFFF"/>
              </w:rPr>
              <w:t>Undiagnosed Type 2 Diabetes Mellitus</w:t>
            </w:r>
          </w:p>
        </w:tc>
        <w:tc>
          <w:tcPr>
            <w:tcW w:w="1276" w:type="pct"/>
            <w:shd w:val="clear" w:color="auto" w:fill="FFFFFF" w:themeFill="background1"/>
          </w:tcPr>
          <w:p w14:paraId="22BFE813" w14:textId="77777777" w:rsidR="00CE6374" w:rsidRPr="008B6783" w:rsidRDefault="00CE6374" w:rsidP="008B6783">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6"/>
                <w:shd w:val="clear" w:color="auto" w:fill="FFFFFF"/>
              </w:rPr>
            </w:pPr>
            <w:r w:rsidRPr="008B6783">
              <w:rPr>
                <w:rFonts w:ascii="Arial" w:hAnsi="Arial" w:cs="Arial"/>
                <w:b w:val="0"/>
                <w:bCs/>
                <w:sz w:val="16"/>
                <w:szCs w:val="16"/>
                <w:shd w:val="clear" w:color="auto" w:fill="FFFFFF"/>
              </w:rPr>
              <w:t xml:space="preserve">Comparison of Tick Test Only (TTO) and Sequential Screening (SS) for T2DM. </w:t>
            </w:r>
          </w:p>
          <w:p w14:paraId="173A1F1B" w14:textId="5A1546B1" w:rsidR="00A009FD" w:rsidRPr="000F778E" w:rsidRDefault="00CE6374" w:rsidP="008B6783">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color w:val="212121"/>
                <w:sz w:val="16"/>
                <w:szCs w:val="16"/>
                <w:shd w:val="clear" w:color="auto" w:fill="FFFFFF"/>
              </w:rPr>
            </w:pPr>
            <w:r w:rsidRPr="008B6783">
              <w:rPr>
                <w:rFonts w:ascii="Arial" w:hAnsi="Arial" w:cs="Arial"/>
                <w:b w:val="0"/>
                <w:bCs/>
                <w:sz w:val="16"/>
                <w:szCs w:val="16"/>
                <w:shd w:val="clear" w:color="auto" w:fill="FFFFFF"/>
              </w:rPr>
              <w:t xml:space="preserve">Both methods used the same initial risk assessment for type 2 diabetes. </w:t>
            </w:r>
            <w:r w:rsidR="00C23F96" w:rsidRPr="008B6783">
              <w:rPr>
                <w:rFonts w:ascii="Arial" w:hAnsi="Arial" w:cs="Arial"/>
                <w:b w:val="0"/>
                <w:bCs/>
                <w:sz w:val="16"/>
                <w:szCs w:val="16"/>
                <w:shd w:val="clear" w:color="auto" w:fill="FFFFFF"/>
              </w:rPr>
              <w:t>Additionally,</w:t>
            </w:r>
            <w:r w:rsidRPr="008B6783">
              <w:rPr>
                <w:rFonts w:ascii="Arial" w:hAnsi="Arial" w:cs="Arial"/>
                <w:b w:val="0"/>
                <w:bCs/>
                <w:sz w:val="16"/>
                <w:szCs w:val="16"/>
                <w:shd w:val="clear" w:color="auto" w:fill="FFFFFF"/>
              </w:rPr>
              <w:t xml:space="preserve"> the SS method, patients with risk factors were offered a capillary blood glucose test</w:t>
            </w:r>
            <w:r w:rsidRPr="000F778E">
              <w:rPr>
                <w:rFonts w:ascii="Arial" w:hAnsi="Arial" w:cs="Arial"/>
                <w:b w:val="0"/>
                <w:bCs/>
                <w:color w:val="505050"/>
                <w:sz w:val="16"/>
                <w:szCs w:val="16"/>
                <w:shd w:val="clear" w:color="auto" w:fill="FFFFFF"/>
              </w:rPr>
              <w:t>.</w:t>
            </w:r>
            <w:r w:rsidR="00A85BF7">
              <w:rPr>
                <w:rFonts w:ascii="Arial" w:hAnsi="Arial" w:cs="Arial"/>
                <w:b w:val="0"/>
                <w:bCs/>
                <w:color w:val="505050"/>
                <w:sz w:val="16"/>
                <w:szCs w:val="16"/>
                <w:shd w:val="clear" w:color="auto" w:fill="FFFFFF"/>
              </w:rPr>
              <w:t xml:space="preserve"> </w:t>
            </w:r>
          </w:p>
        </w:tc>
        <w:tc>
          <w:tcPr>
            <w:tcW w:w="653" w:type="pct"/>
          </w:tcPr>
          <w:p w14:paraId="222BCCCE" w14:textId="5BF1FEF7" w:rsidR="00CE6374" w:rsidRPr="000F778E" w:rsidRDefault="00271279"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6"/>
              </w:rPr>
            </w:pPr>
            <w:r w:rsidRPr="000F778E">
              <w:rPr>
                <w:rFonts w:ascii="Arial" w:hAnsi="Arial" w:cs="Arial"/>
                <w:b w:val="0"/>
                <w:bCs/>
                <w:sz w:val="16"/>
                <w:szCs w:val="16"/>
              </w:rPr>
              <w:t>Undiagnosed Type 2 Diabetes Mellitus</w:t>
            </w:r>
          </w:p>
          <w:p w14:paraId="2BC81CE3" w14:textId="4805D4C2" w:rsidR="00CE6374" w:rsidRPr="000F778E" w:rsidRDefault="00CE6374"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6"/>
              </w:rPr>
            </w:pPr>
            <w:r w:rsidRPr="000F778E">
              <w:rPr>
                <w:rFonts w:ascii="Arial" w:hAnsi="Arial" w:cs="Arial"/>
                <w:b w:val="0"/>
                <w:bCs/>
                <w:color w:val="505050"/>
                <w:sz w:val="16"/>
                <w:szCs w:val="16"/>
                <w:shd w:val="clear" w:color="auto" w:fill="FFFFFF"/>
              </w:rPr>
              <w:t xml:space="preserve"> </w:t>
            </w:r>
          </w:p>
        </w:tc>
        <w:tc>
          <w:tcPr>
            <w:tcW w:w="1058" w:type="pct"/>
          </w:tcPr>
          <w:p w14:paraId="64D48B69" w14:textId="77777777" w:rsidR="00271279" w:rsidRPr="000F778E" w:rsidRDefault="00271279" w:rsidP="008B6783">
            <w:pPr>
              <w:pStyle w:val="TableHeading"/>
              <w:spacing w:before="0" w:after="0"/>
              <w:ind w:right="-19"/>
              <w:cnfStyle w:val="000000100000" w:firstRow="0" w:lastRow="0" w:firstColumn="0" w:lastColumn="0" w:oddVBand="0" w:evenVBand="0" w:oddHBand="1" w:evenHBand="0" w:firstRowFirstColumn="0" w:firstRowLastColumn="0" w:lastRowFirstColumn="0" w:lastRowLastColumn="0"/>
              <w:rPr>
                <w:rFonts w:ascii="Arial" w:hAnsi="Arial" w:cs="Arial"/>
                <w:b w:val="0"/>
                <w:bCs/>
                <w:color w:val="212121"/>
                <w:sz w:val="16"/>
                <w:szCs w:val="16"/>
                <w:shd w:val="clear" w:color="auto" w:fill="FFFFFF"/>
              </w:rPr>
            </w:pPr>
            <w:r w:rsidRPr="000F778E">
              <w:rPr>
                <w:rFonts w:ascii="Arial" w:hAnsi="Arial" w:cs="Arial"/>
                <w:b w:val="0"/>
                <w:bCs/>
                <w:color w:val="212121"/>
                <w:sz w:val="16"/>
                <w:szCs w:val="16"/>
                <w:shd w:val="clear" w:color="auto" w:fill="FFFFFF"/>
              </w:rPr>
              <w:t>Rate of diagnosis in community pharmacy</w:t>
            </w:r>
          </w:p>
          <w:p w14:paraId="03FE654F" w14:textId="77777777" w:rsidR="00271279" w:rsidRPr="000F778E" w:rsidRDefault="00271279"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color w:val="212121"/>
                <w:sz w:val="16"/>
                <w:szCs w:val="16"/>
                <w:shd w:val="clear" w:color="auto" w:fill="FFFFFF"/>
              </w:rPr>
            </w:pPr>
            <w:r w:rsidRPr="000F778E">
              <w:rPr>
                <w:rFonts w:ascii="Arial" w:hAnsi="Arial" w:cs="Arial"/>
                <w:b w:val="0"/>
                <w:bCs/>
                <w:color w:val="212121"/>
                <w:sz w:val="16"/>
                <w:szCs w:val="16"/>
                <w:shd w:val="clear" w:color="auto" w:fill="FFFFFF"/>
              </w:rPr>
              <w:t>Referral to General Practice</w:t>
            </w:r>
          </w:p>
          <w:p w14:paraId="3708EE48" w14:textId="1B2CE793" w:rsidR="00A009FD" w:rsidRPr="000F778E" w:rsidRDefault="00271279"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color w:val="212121"/>
                <w:sz w:val="16"/>
                <w:szCs w:val="16"/>
                <w:highlight w:val="lightGray"/>
                <w:shd w:val="clear" w:color="auto" w:fill="FFFFFF"/>
              </w:rPr>
            </w:pPr>
            <w:r w:rsidRPr="000F778E">
              <w:rPr>
                <w:rFonts w:ascii="Arial" w:hAnsi="Arial" w:cs="Arial"/>
                <w:b w:val="0"/>
                <w:bCs/>
                <w:color w:val="212121"/>
                <w:sz w:val="16"/>
                <w:szCs w:val="16"/>
                <w:shd w:val="clear" w:color="auto" w:fill="FFFFFF"/>
              </w:rPr>
              <w:t>Cost</w:t>
            </w:r>
          </w:p>
        </w:tc>
      </w:tr>
      <w:tr w:rsidR="00C250A3" w:rsidRPr="000F778E" w14:paraId="13DFC821" w14:textId="77777777" w:rsidTr="008B6783">
        <w:trPr>
          <w:trHeight w:val="1839"/>
        </w:trPr>
        <w:tc>
          <w:tcPr>
            <w:cnfStyle w:val="001000000000" w:firstRow="0" w:lastRow="0" w:firstColumn="1" w:lastColumn="0" w:oddVBand="0" w:evenVBand="0" w:oddHBand="0" w:evenHBand="0" w:firstRowFirstColumn="0" w:firstRowLastColumn="0" w:lastRowFirstColumn="0" w:lastRowLastColumn="0"/>
            <w:tcW w:w="688" w:type="pct"/>
            <w:tcBorders>
              <w:right w:val="none" w:sz="0" w:space="0" w:color="auto"/>
            </w:tcBorders>
          </w:tcPr>
          <w:p w14:paraId="6AF7296E" w14:textId="5C2EAC24" w:rsidR="00764923" w:rsidRPr="000F778E" w:rsidRDefault="00764923" w:rsidP="00003672">
            <w:pPr>
              <w:pStyle w:val="TableHeading"/>
              <w:spacing w:before="0" w:after="0"/>
              <w:rPr>
                <w:rFonts w:ascii="Arial" w:hAnsi="Arial" w:cs="Arial"/>
                <w:b/>
                <w:bCs w:val="0"/>
                <w:sz w:val="18"/>
                <w:szCs w:val="18"/>
              </w:rPr>
            </w:pPr>
            <w:r w:rsidRPr="000F778E">
              <w:rPr>
                <w:rFonts w:ascii="Arial" w:hAnsi="Arial" w:cs="Arial"/>
                <w:color w:val="212121"/>
                <w:sz w:val="18"/>
                <w:szCs w:val="18"/>
              </w:rPr>
              <w:t xml:space="preserve">The effectiveness of Pharmacist Interventions on Cardiovascular Risk: The Multicentre Randomised Controlled </w:t>
            </w:r>
            <w:proofErr w:type="spellStart"/>
            <w:r w:rsidRPr="000F778E">
              <w:rPr>
                <w:rFonts w:ascii="Arial" w:hAnsi="Arial" w:cs="Arial"/>
                <w:color w:val="212121"/>
                <w:sz w:val="18"/>
                <w:szCs w:val="18"/>
              </w:rPr>
              <w:t>RxEACH</w:t>
            </w:r>
            <w:proofErr w:type="spellEnd"/>
            <w:r w:rsidR="00A85BF7">
              <w:rPr>
                <w:rFonts w:ascii="Arial" w:hAnsi="Arial" w:cs="Arial"/>
                <w:color w:val="212121"/>
                <w:sz w:val="18"/>
                <w:szCs w:val="18"/>
              </w:rPr>
              <w:t xml:space="preserve"> </w:t>
            </w:r>
            <w:r w:rsidRPr="000F778E">
              <w:rPr>
                <w:rFonts w:ascii="Arial" w:hAnsi="Arial" w:cs="Arial"/>
                <w:color w:val="212121"/>
                <w:sz w:val="18"/>
                <w:szCs w:val="18"/>
              </w:rPr>
              <w:t>trial</w:t>
            </w:r>
            <w:r w:rsidR="007B6625">
              <w:rPr>
                <w:rFonts w:ascii="Arial" w:hAnsi="Arial" w:cs="Arial"/>
                <w:color w:val="212121"/>
                <w:sz w:val="18"/>
                <w:szCs w:val="18"/>
              </w:rPr>
              <w:t>.</w:t>
            </w:r>
          </w:p>
        </w:tc>
        <w:tc>
          <w:tcPr>
            <w:tcW w:w="588" w:type="pct"/>
          </w:tcPr>
          <w:p w14:paraId="26FD5194" w14:textId="4CB2825F"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bCs/>
                <w:sz w:val="16"/>
                <w:szCs w:val="16"/>
              </w:rPr>
            </w:pPr>
            <w:r w:rsidRPr="000F778E">
              <w:rPr>
                <w:rFonts w:ascii="Arial" w:hAnsi="Arial" w:cs="Arial"/>
                <w:b w:val="0"/>
                <w:sz w:val="16"/>
                <w:szCs w:val="16"/>
              </w:rPr>
              <w:t>Randomised controlled</w:t>
            </w:r>
          </w:p>
        </w:tc>
        <w:tc>
          <w:tcPr>
            <w:tcW w:w="737" w:type="pct"/>
          </w:tcPr>
          <w:p w14:paraId="5F2F74E7" w14:textId="7AECAC21"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bCs/>
                <w:color w:val="212121"/>
                <w:sz w:val="16"/>
                <w:szCs w:val="16"/>
                <w:shd w:val="clear" w:color="auto" w:fill="FFFFFF"/>
              </w:rPr>
            </w:pPr>
            <w:r w:rsidRPr="000F778E">
              <w:rPr>
                <w:rFonts w:ascii="Arial" w:hAnsi="Arial" w:cs="Arial"/>
                <w:b w:val="0"/>
                <w:bCs/>
                <w:color w:val="333333"/>
                <w:sz w:val="16"/>
                <w:szCs w:val="16"/>
                <w:shd w:val="clear" w:color="auto" w:fill="FFFFFF"/>
              </w:rPr>
              <w:t>Participants identified as high risk for CVD</w:t>
            </w:r>
            <w:r w:rsidR="004C55C4" w:rsidRPr="000F778E">
              <w:rPr>
                <w:rFonts w:ascii="Arial" w:hAnsi="Arial" w:cs="Arial"/>
                <w:b w:val="0"/>
                <w:bCs/>
                <w:color w:val="333333"/>
                <w:sz w:val="16"/>
                <w:szCs w:val="16"/>
                <w:shd w:val="clear" w:color="auto" w:fill="FFFFFF"/>
              </w:rPr>
              <w:t xml:space="preserve"> randomised across two arms</w:t>
            </w:r>
          </w:p>
        </w:tc>
        <w:tc>
          <w:tcPr>
            <w:tcW w:w="1276" w:type="pct"/>
          </w:tcPr>
          <w:p w14:paraId="72FC299B" w14:textId="2C6E29E5"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bCs/>
                <w:color w:val="333333"/>
                <w:sz w:val="16"/>
                <w:szCs w:val="16"/>
                <w:shd w:val="clear" w:color="auto" w:fill="FFFFFF"/>
              </w:rPr>
            </w:pPr>
            <w:r w:rsidRPr="000F778E">
              <w:rPr>
                <w:rFonts w:ascii="Arial" w:hAnsi="Arial" w:cs="Arial"/>
                <w:b w:val="0"/>
                <w:bCs/>
                <w:color w:val="333333"/>
                <w:sz w:val="16"/>
                <w:szCs w:val="16"/>
                <w:shd w:val="clear" w:color="auto" w:fill="FFFFFF"/>
              </w:rPr>
              <w:t>Comparison of usual care or intervention, comprising a Medication Therapy Management review from their pharmacist and CVD risk assessment and education. </w:t>
            </w:r>
          </w:p>
          <w:p w14:paraId="4ED522BB" w14:textId="77777777"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bCs/>
                <w:color w:val="333333"/>
                <w:sz w:val="16"/>
                <w:szCs w:val="16"/>
                <w:shd w:val="clear" w:color="auto" w:fill="FFFFFF"/>
              </w:rPr>
            </w:pPr>
            <w:r w:rsidRPr="000F778E">
              <w:rPr>
                <w:rFonts w:ascii="Arial" w:hAnsi="Arial" w:cs="Arial"/>
                <w:b w:val="0"/>
                <w:bCs/>
                <w:color w:val="333333"/>
                <w:sz w:val="16"/>
                <w:szCs w:val="16"/>
                <w:shd w:val="clear" w:color="auto" w:fill="FFFFFF"/>
              </w:rPr>
              <w:t>Monthly follow-up visits for 3 months. </w:t>
            </w:r>
          </w:p>
          <w:p w14:paraId="3AA4AF77" w14:textId="409F922D"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bCs/>
                <w:color w:val="212121"/>
                <w:sz w:val="16"/>
                <w:szCs w:val="16"/>
                <w:shd w:val="clear" w:color="auto" w:fill="FFFFFF"/>
              </w:rPr>
            </w:pPr>
            <w:r w:rsidRPr="000F778E">
              <w:rPr>
                <w:rFonts w:ascii="Arial" w:hAnsi="Arial" w:cs="Arial"/>
                <w:b w:val="0"/>
                <w:bCs/>
                <w:color w:val="333333"/>
                <w:sz w:val="16"/>
                <w:szCs w:val="16"/>
                <w:shd w:val="clear" w:color="auto" w:fill="FFFFFF"/>
              </w:rPr>
              <w:t>CVD risk estimated using the greater of the Framingham, International, or United Kingdom Prospective Diabetes Study risk scores</w:t>
            </w:r>
            <w:r w:rsidR="007B6625">
              <w:rPr>
                <w:rFonts w:ascii="Arial" w:hAnsi="Arial" w:cs="Arial"/>
                <w:b w:val="0"/>
                <w:bCs/>
                <w:color w:val="333333"/>
                <w:sz w:val="16"/>
                <w:szCs w:val="16"/>
                <w:shd w:val="clear" w:color="auto" w:fill="FFFFFF"/>
              </w:rPr>
              <w:t>.</w:t>
            </w:r>
          </w:p>
        </w:tc>
        <w:tc>
          <w:tcPr>
            <w:tcW w:w="653" w:type="pct"/>
          </w:tcPr>
          <w:p w14:paraId="5AEC3122" w14:textId="47FA043A"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bCs/>
                <w:sz w:val="16"/>
                <w:szCs w:val="16"/>
              </w:rPr>
            </w:pPr>
            <w:r w:rsidRPr="000F778E">
              <w:rPr>
                <w:rFonts w:ascii="Arial" w:hAnsi="Arial" w:cs="Arial"/>
                <w:b w:val="0"/>
                <w:bCs/>
                <w:color w:val="333333"/>
                <w:sz w:val="16"/>
                <w:szCs w:val="16"/>
                <w:shd w:val="clear" w:color="auto" w:fill="FFFFFF"/>
              </w:rPr>
              <w:t>Participants identified as high risk for CVD</w:t>
            </w:r>
          </w:p>
        </w:tc>
        <w:tc>
          <w:tcPr>
            <w:tcW w:w="1058" w:type="pct"/>
          </w:tcPr>
          <w:p w14:paraId="3225DB71" w14:textId="24BCA5A8"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bCs/>
                <w:color w:val="212121"/>
                <w:sz w:val="16"/>
                <w:szCs w:val="16"/>
                <w:shd w:val="clear" w:color="auto" w:fill="FFFFFF"/>
              </w:rPr>
            </w:pPr>
            <w:r w:rsidRPr="000F778E">
              <w:rPr>
                <w:rFonts w:ascii="Arial" w:hAnsi="Arial" w:cs="Arial"/>
                <w:b w:val="0"/>
                <w:bCs/>
                <w:color w:val="333333"/>
                <w:sz w:val="16"/>
                <w:szCs w:val="16"/>
                <w:shd w:val="clear" w:color="auto" w:fill="FFFFFF"/>
              </w:rPr>
              <w:t>Difference in change in risk for CVD events</w:t>
            </w:r>
          </w:p>
        </w:tc>
      </w:tr>
      <w:tr w:rsidR="00C250A3" w:rsidRPr="000F778E" w14:paraId="06C9AE18" w14:textId="77777777" w:rsidTr="008B6783">
        <w:trPr>
          <w:cnfStyle w:val="000000100000" w:firstRow="0" w:lastRow="0" w:firstColumn="0" w:lastColumn="0" w:oddVBand="0" w:evenVBand="0" w:oddHBand="1" w:evenHBand="0" w:firstRowFirstColumn="0" w:firstRowLastColumn="0" w:lastRowFirstColumn="0" w:lastRowLastColumn="0"/>
          <w:trHeight w:val="1536"/>
        </w:trPr>
        <w:tc>
          <w:tcPr>
            <w:cnfStyle w:val="001000000000" w:firstRow="0" w:lastRow="0" w:firstColumn="1" w:lastColumn="0" w:oddVBand="0" w:evenVBand="0" w:oddHBand="0" w:evenHBand="0" w:firstRowFirstColumn="0" w:firstRowLastColumn="0" w:lastRowFirstColumn="0" w:lastRowLastColumn="0"/>
            <w:tcW w:w="688" w:type="pct"/>
            <w:tcBorders>
              <w:right w:val="none" w:sz="0" w:space="0" w:color="auto"/>
            </w:tcBorders>
          </w:tcPr>
          <w:p w14:paraId="53787DCE" w14:textId="38DEFD45" w:rsidR="00764923" w:rsidRPr="000F778E" w:rsidRDefault="00764923" w:rsidP="00003672">
            <w:pPr>
              <w:pStyle w:val="TableHeading"/>
              <w:spacing w:before="0" w:after="0"/>
              <w:rPr>
                <w:rFonts w:ascii="Arial" w:hAnsi="Arial" w:cs="Arial"/>
                <w:b/>
                <w:bCs w:val="0"/>
                <w:sz w:val="18"/>
                <w:szCs w:val="18"/>
              </w:rPr>
            </w:pPr>
            <w:r w:rsidRPr="000F778E">
              <w:rPr>
                <w:rFonts w:ascii="Arial" w:hAnsi="Arial" w:cs="Arial"/>
                <w:sz w:val="18"/>
                <w:szCs w:val="18"/>
              </w:rPr>
              <w:t>Diabetes and cardiovascular disease risk screening model in community pharmacies in a developing primary healthcare system: a feasibility study</w:t>
            </w:r>
            <w:r w:rsidR="007B6625">
              <w:rPr>
                <w:rFonts w:ascii="Arial" w:hAnsi="Arial" w:cs="Arial"/>
                <w:sz w:val="18"/>
                <w:szCs w:val="18"/>
              </w:rPr>
              <w:t>.</w:t>
            </w:r>
          </w:p>
        </w:tc>
        <w:tc>
          <w:tcPr>
            <w:tcW w:w="588" w:type="pct"/>
          </w:tcPr>
          <w:p w14:paraId="507526C3" w14:textId="198D3A5F" w:rsidR="00764923"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6"/>
              </w:rPr>
            </w:pPr>
            <w:r w:rsidRPr="000F778E">
              <w:rPr>
                <w:rFonts w:ascii="Arial" w:hAnsi="Arial" w:cs="Arial"/>
                <w:b w:val="0"/>
                <w:bCs/>
                <w:sz w:val="16"/>
                <w:szCs w:val="16"/>
              </w:rPr>
              <w:t>Feasibility</w:t>
            </w:r>
          </w:p>
        </w:tc>
        <w:tc>
          <w:tcPr>
            <w:tcW w:w="737" w:type="pct"/>
          </w:tcPr>
          <w:p w14:paraId="395CEACB" w14:textId="0C414310" w:rsidR="00764923" w:rsidRPr="000F778E" w:rsidRDefault="00C250A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8"/>
              </w:rPr>
            </w:pPr>
            <w:r w:rsidRPr="000F778E">
              <w:rPr>
                <w:rFonts w:ascii="Arial" w:hAnsi="Arial" w:cs="Arial"/>
                <w:b w:val="0"/>
                <w:bCs/>
                <w:color w:val="212121"/>
                <w:sz w:val="16"/>
                <w:szCs w:val="18"/>
                <w:shd w:val="clear" w:color="auto" w:fill="FFFFFF"/>
              </w:rPr>
              <w:t>P</w:t>
            </w:r>
            <w:r w:rsidR="004C55C4" w:rsidRPr="000F778E">
              <w:rPr>
                <w:rFonts w:ascii="Arial" w:hAnsi="Arial" w:cs="Arial"/>
                <w:b w:val="0"/>
                <w:bCs/>
                <w:color w:val="212121"/>
                <w:sz w:val="16"/>
                <w:szCs w:val="18"/>
                <w:shd w:val="clear" w:color="auto" w:fill="FFFFFF"/>
              </w:rPr>
              <w:t>urposive sample of 12 community pharmacies in three cities in the United Arab Emirates</w:t>
            </w:r>
          </w:p>
        </w:tc>
        <w:tc>
          <w:tcPr>
            <w:tcW w:w="1276" w:type="pct"/>
          </w:tcPr>
          <w:p w14:paraId="3CA8536D" w14:textId="608DBED6" w:rsidR="00764923"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6"/>
              </w:rPr>
            </w:pPr>
            <w:r w:rsidRPr="000F778E">
              <w:rPr>
                <w:rFonts w:ascii="Arial" w:hAnsi="Arial" w:cs="Arial"/>
                <w:b w:val="0"/>
                <w:bCs/>
                <w:color w:val="212121"/>
                <w:sz w:val="16"/>
                <w:szCs w:val="16"/>
                <w:shd w:val="clear" w:color="auto" w:fill="FFFFFF"/>
              </w:rPr>
              <w:t>Pharmacist screening including history, demographics, anthropometric measurements, blood pressure and point-of-care testing including HbA1c and lipids.</w:t>
            </w:r>
          </w:p>
        </w:tc>
        <w:tc>
          <w:tcPr>
            <w:tcW w:w="653" w:type="pct"/>
          </w:tcPr>
          <w:p w14:paraId="209542BC" w14:textId="100F6CF5" w:rsidR="00764923"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6"/>
              </w:rPr>
            </w:pPr>
            <w:r w:rsidRPr="000F778E">
              <w:rPr>
                <w:rFonts w:ascii="Arial" w:hAnsi="Arial" w:cs="Arial"/>
                <w:b w:val="0"/>
                <w:bCs/>
                <w:color w:val="212121"/>
                <w:sz w:val="16"/>
                <w:szCs w:val="16"/>
                <w:shd w:val="clear" w:color="auto" w:fill="FFFFFF"/>
              </w:rPr>
              <w:t>Adults 40 years of age and above who have not been previously diagnosed with either diabetes or CVD.</w:t>
            </w:r>
          </w:p>
        </w:tc>
        <w:tc>
          <w:tcPr>
            <w:tcW w:w="1058" w:type="pct"/>
          </w:tcPr>
          <w:p w14:paraId="096007CF" w14:textId="6810670A" w:rsidR="004C55C4" w:rsidRPr="000F778E" w:rsidRDefault="004C55C4" w:rsidP="00003672">
            <w:pPr>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212121"/>
                <w:sz w:val="16"/>
                <w:szCs w:val="16"/>
                <w:shd w:val="clear" w:color="auto" w:fill="FFFFFF"/>
              </w:rPr>
            </w:pPr>
            <w:r w:rsidRPr="000F778E">
              <w:rPr>
                <w:rFonts w:ascii="Arial" w:hAnsi="Arial" w:cs="Arial"/>
                <w:color w:val="212121"/>
                <w:sz w:val="16"/>
                <w:szCs w:val="16"/>
                <w:shd w:val="clear" w:color="auto" w:fill="FFFFFF"/>
              </w:rPr>
              <w:t>Development of UAE pharmacist-delivered screening mode.</w:t>
            </w:r>
          </w:p>
          <w:p w14:paraId="48EB1C57" w14:textId="4BA313EA" w:rsidR="004C55C4" w:rsidRPr="000F778E" w:rsidRDefault="004C55C4" w:rsidP="00003672">
            <w:pPr>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212121"/>
                <w:sz w:val="16"/>
                <w:szCs w:val="16"/>
                <w:shd w:val="clear" w:color="auto" w:fill="FFFFFF"/>
              </w:rPr>
            </w:pPr>
            <w:r w:rsidRPr="000F778E">
              <w:rPr>
                <w:rFonts w:ascii="Arial" w:hAnsi="Arial" w:cs="Arial"/>
                <w:color w:val="212121"/>
                <w:sz w:val="16"/>
                <w:szCs w:val="16"/>
                <w:shd w:val="clear" w:color="auto" w:fill="FFFFFF"/>
              </w:rPr>
              <w:t xml:space="preserve">Proportion of screened participants identified as having high CVD </w:t>
            </w:r>
            <w:r w:rsidR="00940907" w:rsidRPr="000F778E">
              <w:rPr>
                <w:rFonts w:ascii="Arial" w:hAnsi="Arial" w:cs="Arial"/>
                <w:color w:val="212121"/>
                <w:sz w:val="16"/>
                <w:szCs w:val="16"/>
                <w:shd w:val="clear" w:color="auto" w:fill="FFFFFF"/>
              </w:rPr>
              <w:t>risk.</w:t>
            </w:r>
            <w:r w:rsidRPr="000F778E">
              <w:rPr>
                <w:rFonts w:ascii="Arial" w:hAnsi="Arial" w:cs="Arial"/>
                <w:color w:val="212121"/>
                <w:sz w:val="16"/>
                <w:szCs w:val="16"/>
                <w:shd w:val="clear" w:color="auto" w:fill="FFFFFF"/>
              </w:rPr>
              <w:t xml:space="preserve"> </w:t>
            </w:r>
          </w:p>
          <w:p w14:paraId="0F1F5192" w14:textId="742BDACC" w:rsidR="00764923" w:rsidRPr="000F778E" w:rsidRDefault="004C55C4" w:rsidP="00003672">
            <w:pPr>
              <w:spacing w:before="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F778E">
              <w:rPr>
                <w:rFonts w:ascii="Arial" w:hAnsi="Arial" w:cs="Arial"/>
                <w:color w:val="212121"/>
                <w:sz w:val="16"/>
                <w:szCs w:val="16"/>
                <w:shd w:val="clear" w:color="auto" w:fill="FFFFFF"/>
              </w:rPr>
              <w:t>Proportion of participants identified as having elevated blood glucose Secondary outcome is participants' satisfaction with the screening.</w:t>
            </w:r>
          </w:p>
        </w:tc>
      </w:tr>
      <w:tr w:rsidR="00C250A3" w:rsidRPr="000F778E" w14:paraId="363674A4" w14:textId="77777777" w:rsidTr="008B6783">
        <w:tc>
          <w:tcPr>
            <w:cnfStyle w:val="001000000000" w:firstRow="0" w:lastRow="0" w:firstColumn="1" w:lastColumn="0" w:oddVBand="0" w:evenVBand="0" w:oddHBand="0" w:evenHBand="0" w:firstRowFirstColumn="0" w:firstRowLastColumn="0" w:lastRowFirstColumn="0" w:lastRowLastColumn="0"/>
            <w:tcW w:w="688" w:type="pct"/>
            <w:tcBorders>
              <w:right w:val="none" w:sz="0" w:space="0" w:color="auto"/>
            </w:tcBorders>
          </w:tcPr>
          <w:p w14:paraId="3F3CFD2A" w14:textId="3C5FD1A5" w:rsidR="00764923" w:rsidRPr="000F778E" w:rsidRDefault="00764923" w:rsidP="00003672">
            <w:pPr>
              <w:pStyle w:val="TableHeading"/>
              <w:spacing w:before="0" w:after="0"/>
              <w:rPr>
                <w:rFonts w:ascii="Arial" w:hAnsi="Arial" w:cs="Arial"/>
                <w:b/>
                <w:bCs w:val="0"/>
                <w:sz w:val="18"/>
                <w:szCs w:val="18"/>
              </w:rPr>
            </w:pPr>
            <w:r w:rsidRPr="000F778E">
              <w:rPr>
                <w:rFonts w:ascii="Arial" w:hAnsi="Arial" w:cs="Arial"/>
                <w:color w:val="212121"/>
                <w:sz w:val="18"/>
                <w:szCs w:val="18"/>
              </w:rPr>
              <w:t>The effectiveness of screening for diabetes and cardiovascular disease risk factors in a community pharmacy setting</w:t>
            </w:r>
          </w:p>
        </w:tc>
        <w:tc>
          <w:tcPr>
            <w:tcW w:w="588" w:type="pct"/>
          </w:tcPr>
          <w:p w14:paraId="1CCEA66C" w14:textId="5A31C207"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sz w:val="16"/>
                <w:szCs w:val="16"/>
              </w:rPr>
            </w:pPr>
            <w:r w:rsidRPr="000F778E">
              <w:rPr>
                <w:rFonts w:ascii="Arial" w:hAnsi="Arial" w:cs="Arial"/>
                <w:b w:val="0"/>
                <w:sz w:val="16"/>
                <w:szCs w:val="16"/>
              </w:rPr>
              <w:t>Systematic review and meta data analysis</w:t>
            </w:r>
          </w:p>
        </w:tc>
        <w:tc>
          <w:tcPr>
            <w:tcW w:w="737" w:type="pct"/>
          </w:tcPr>
          <w:p w14:paraId="3ED34551" w14:textId="77777777"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sz w:val="16"/>
                <w:szCs w:val="16"/>
              </w:rPr>
            </w:pPr>
          </w:p>
        </w:tc>
        <w:tc>
          <w:tcPr>
            <w:tcW w:w="1276" w:type="pct"/>
          </w:tcPr>
          <w:p w14:paraId="250F1D5D" w14:textId="4360D0F8" w:rsidR="00B50DF5" w:rsidRPr="000F778E" w:rsidRDefault="00B50DF5"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sz w:val="16"/>
                <w:szCs w:val="16"/>
              </w:rPr>
            </w:pPr>
            <w:r w:rsidRPr="000F778E">
              <w:rPr>
                <w:rFonts w:ascii="Arial" w:hAnsi="Arial" w:cs="Arial"/>
                <w:b w:val="0"/>
                <w:sz w:val="16"/>
                <w:szCs w:val="16"/>
              </w:rPr>
              <w:t>16 studies</w:t>
            </w:r>
          </w:p>
          <w:p w14:paraId="4FE65193" w14:textId="77777777" w:rsidR="00B50DF5" w:rsidRPr="000F778E" w:rsidRDefault="00B50DF5"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sz w:val="16"/>
                <w:szCs w:val="16"/>
              </w:rPr>
            </w:pPr>
          </w:p>
          <w:p w14:paraId="4A170439" w14:textId="51D4579B" w:rsidR="00B50DF5" w:rsidRPr="000F778E" w:rsidRDefault="00B50DF5"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sz w:val="16"/>
                <w:szCs w:val="16"/>
              </w:rPr>
            </w:pPr>
            <w:r w:rsidRPr="000F778E">
              <w:rPr>
                <w:rFonts w:ascii="Arial" w:hAnsi="Arial" w:cs="Arial"/>
                <w:b w:val="0"/>
                <w:sz w:val="16"/>
                <w:szCs w:val="16"/>
              </w:rPr>
              <w:t>108,414 participants</w:t>
            </w:r>
          </w:p>
        </w:tc>
        <w:tc>
          <w:tcPr>
            <w:tcW w:w="653" w:type="pct"/>
          </w:tcPr>
          <w:p w14:paraId="7009E9B4" w14:textId="77777777" w:rsidR="00764923" w:rsidRPr="000F778E" w:rsidRDefault="00764923"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sz w:val="16"/>
                <w:szCs w:val="16"/>
              </w:rPr>
            </w:pPr>
          </w:p>
        </w:tc>
        <w:tc>
          <w:tcPr>
            <w:tcW w:w="1058" w:type="pct"/>
          </w:tcPr>
          <w:p w14:paraId="0084DAF5" w14:textId="7B74D191" w:rsidR="00B50DF5" w:rsidRPr="000F778E" w:rsidRDefault="00B50DF5"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bCs/>
                <w:color w:val="212121"/>
                <w:sz w:val="16"/>
                <w:szCs w:val="16"/>
                <w:shd w:val="clear" w:color="auto" w:fill="FFFFFF"/>
              </w:rPr>
            </w:pPr>
            <w:r w:rsidRPr="000F778E">
              <w:rPr>
                <w:rFonts w:ascii="Arial" w:hAnsi="Arial" w:cs="Arial"/>
                <w:b w:val="0"/>
                <w:bCs/>
                <w:color w:val="212121"/>
                <w:sz w:val="16"/>
                <w:szCs w:val="16"/>
                <w:shd w:val="clear" w:color="auto" w:fill="FFFFFF"/>
              </w:rPr>
              <w:t>Feasibility for</w:t>
            </w:r>
            <w:r w:rsidR="00764923" w:rsidRPr="000F778E">
              <w:rPr>
                <w:rFonts w:ascii="Arial" w:hAnsi="Arial" w:cs="Arial"/>
                <w:b w:val="0"/>
                <w:bCs/>
                <w:color w:val="212121"/>
                <w:sz w:val="16"/>
                <w:szCs w:val="16"/>
                <w:shd w:val="clear" w:color="auto" w:fill="FFFFFF"/>
              </w:rPr>
              <w:t xml:space="preserve"> screening for diabetes and those at risk of cardiovascular disease.</w:t>
            </w:r>
          </w:p>
          <w:p w14:paraId="475786EA" w14:textId="35D87C06" w:rsidR="00764923" w:rsidRPr="008E0C40" w:rsidRDefault="00B50DF5" w:rsidP="00003672">
            <w:pPr>
              <w:pStyle w:val="TableHeading"/>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val="0"/>
                <w:bCs/>
                <w:color w:val="212121"/>
                <w:sz w:val="16"/>
                <w:szCs w:val="16"/>
                <w:shd w:val="clear" w:color="auto" w:fill="FFFFFF"/>
              </w:rPr>
            </w:pPr>
            <w:r w:rsidRPr="000F778E">
              <w:rPr>
                <w:rFonts w:ascii="Arial" w:hAnsi="Arial" w:cs="Arial"/>
                <w:b w:val="0"/>
                <w:bCs/>
                <w:color w:val="212121"/>
                <w:sz w:val="16"/>
                <w:szCs w:val="16"/>
                <w:shd w:val="clear" w:color="auto" w:fill="FFFFFF"/>
              </w:rPr>
              <w:t xml:space="preserve">Identification </w:t>
            </w:r>
            <w:r w:rsidR="00940907" w:rsidRPr="000F778E">
              <w:rPr>
                <w:rFonts w:ascii="Arial" w:hAnsi="Arial" w:cs="Arial"/>
                <w:b w:val="0"/>
                <w:bCs/>
                <w:color w:val="212121"/>
                <w:sz w:val="16"/>
                <w:szCs w:val="16"/>
                <w:shd w:val="clear" w:color="auto" w:fill="FFFFFF"/>
              </w:rPr>
              <w:t>of previously</w:t>
            </w:r>
            <w:r w:rsidR="00764923" w:rsidRPr="000F778E">
              <w:rPr>
                <w:rFonts w:ascii="Arial" w:hAnsi="Arial" w:cs="Arial"/>
                <w:b w:val="0"/>
                <w:bCs/>
                <w:color w:val="212121"/>
                <w:sz w:val="16"/>
                <w:szCs w:val="16"/>
                <w:shd w:val="clear" w:color="auto" w:fill="FFFFFF"/>
              </w:rPr>
              <w:t xml:space="preserve"> unknown cases of cardiovascular disease risk factors</w:t>
            </w:r>
            <w:r w:rsidRPr="000F778E">
              <w:rPr>
                <w:rFonts w:ascii="Arial" w:hAnsi="Arial" w:cs="Arial"/>
                <w:b w:val="0"/>
                <w:bCs/>
                <w:color w:val="212121"/>
                <w:sz w:val="16"/>
                <w:szCs w:val="16"/>
                <w:shd w:val="clear" w:color="auto" w:fill="FFFFFF"/>
              </w:rPr>
              <w:t>.</w:t>
            </w:r>
          </w:p>
        </w:tc>
      </w:tr>
      <w:tr w:rsidR="00B50DF5" w:rsidRPr="000F778E" w14:paraId="65DB46ED" w14:textId="77777777" w:rsidTr="008B6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tcBorders>
              <w:right w:val="none" w:sz="0" w:space="0" w:color="auto"/>
            </w:tcBorders>
          </w:tcPr>
          <w:p w14:paraId="62257E62" w14:textId="4DD05C28" w:rsidR="00764923" w:rsidRPr="000F778E" w:rsidRDefault="00764923" w:rsidP="00003672">
            <w:pPr>
              <w:pStyle w:val="TableHeading"/>
              <w:spacing w:before="0" w:after="0"/>
              <w:rPr>
                <w:rFonts w:ascii="Arial" w:hAnsi="Arial" w:cs="Arial"/>
                <w:b/>
                <w:bCs w:val="0"/>
                <w:color w:val="212121"/>
                <w:sz w:val="18"/>
                <w:szCs w:val="18"/>
              </w:rPr>
            </w:pPr>
            <w:r w:rsidRPr="000F778E">
              <w:rPr>
                <w:rFonts w:ascii="Arial" w:eastAsia="Arial Unicode MS" w:hAnsi="Arial" w:cs="Arial"/>
                <w:sz w:val="18"/>
                <w:szCs w:val="18"/>
              </w:rPr>
              <w:t>Screening for major diseases in community pharmacies: a systematic review</w:t>
            </w:r>
          </w:p>
        </w:tc>
        <w:tc>
          <w:tcPr>
            <w:tcW w:w="588" w:type="pct"/>
          </w:tcPr>
          <w:p w14:paraId="33FE1730" w14:textId="4E7097B5" w:rsidR="00764923"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sz w:val="16"/>
                <w:szCs w:val="16"/>
              </w:rPr>
            </w:pPr>
            <w:r w:rsidRPr="000F778E">
              <w:rPr>
                <w:rFonts w:ascii="Arial" w:hAnsi="Arial" w:cs="Arial"/>
                <w:b w:val="0"/>
                <w:sz w:val="16"/>
                <w:szCs w:val="16"/>
              </w:rPr>
              <w:t>Systematic review</w:t>
            </w:r>
          </w:p>
        </w:tc>
        <w:tc>
          <w:tcPr>
            <w:tcW w:w="737" w:type="pct"/>
          </w:tcPr>
          <w:p w14:paraId="35CC6454" w14:textId="77777777" w:rsidR="00764923"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sz w:val="16"/>
                <w:szCs w:val="16"/>
              </w:rPr>
            </w:pPr>
          </w:p>
        </w:tc>
        <w:tc>
          <w:tcPr>
            <w:tcW w:w="1276" w:type="pct"/>
          </w:tcPr>
          <w:p w14:paraId="7D31C6D3" w14:textId="5DA71EA0" w:rsidR="00764923"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6"/>
              </w:rPr>
            </w:pPr>
            <w:r w:rsidRPr="000F778E">
              <w:rPr>
                <w:rFonts w:ascii="Arial" w:hAnsi="Arial" w:cs="Arial"/>
                <w:b w:val="0"/>
                <w:bCs/>
                <w:color w:val="212121"/>
                <w:sz w:val="16"/>
                <w:szCs w:val="16"/>
                <w:shd w:val="clear" w:color="auto" w:fill="FFFFFF"/>
              </w:rPr>
              <w:t>Screening predominantly opportunistic and screening tools included questionnaires or risk assessment forms, medical equipment for physiological measurements, or a combination of both.</w:t>
            </w:r>
          </w:p>
        </w:tc>
        <w:tc>
          <w:tcPr>
            <w:tcW w:w="653" w:type="pct"/>
          </w:tcPr>
          <w:p w14:paraId="79A58476" w14:textId="77777777" w:rsidR="00764923"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sz w:val="16"/>
                <w:szCs w:val="16"/>
              </w:rPr>
            </w:pPr>
          </w:p>
        </w:tc>
        <w:tc>
          <w:tcPr>
            <w:tcW w:w="1058" w:type="pct"/>
          </w:tcPr>
          <w:p w14:paraId="5DD78DCA" w14:textId="0CBA3061" w:rsidR="00764923" w:rsidRPr="000F778E" w:rsidRDefault="00764923" w:rsidP="00003672">
            <w:pPr>
              <w:pStyle w:val="TableHeading"/>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color w:val="212121"/>
                <w:sz w:val="16"/>
                <w:szCs w:val="16"/>
                <w:shd w:val="clear" w:color="auto" w:fill="FFFFFF"/>
              </w:rPr>
            </w:pPr>
            <w:r w:rsidRPr="000F778E">
              <w:rPr>
                <w:rFonts w:ascii="Arial" w:hAnsi="Arial" w:cs="Arial"/>
                <w:b w:val="0"/>
                <w:bCs/>
                <w:color w:val="212121"/>
                <w:sz w:val="16"/>
                <w:szCs w:val="16"/>
                <w:shd w:val="clear" w:color="auto" w:fill="FFFFFF"/>
              </w:rPr>
              <w:t>The proportion of screened individuals, identified with disease risk factors or the disease, ranged from 4% to 89%. Where assessed, patient satisfaction with pharmacy-based screening was high, but individuals who screened positive often did not follow pharmacist advice to seek further medical help.</w:t>
            </w:r>
          </w:p>
        </w:tc>
      </w:tr>
    </w:tbl>
    <w:p w14:paraId="42C597DB" w14:textId="77777777" w:rsidR="00EE154D" w:rsidRPr="000F778E" w:rsidRDefault="00EE154D" w:rsidP="00003672">
      <w:pPr>
        <w:pStyle w:val="Guidelinescross-ref"/>
        <w:spacing w:before="0" w:after="0" w:line="240" w:lineRule="auto"/>
        <w:rPr>
          <w:rFonts w:ascii="Arial" w:hAnsi="Arial" w:cs="Arial"/>
        </w:rPr>
      </w:pPr>
    </w:p>
    <w:tbl>
      <w:tblPr>
        <w:tblW w:w="586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0"/>
        <w:gridCol w:w="884"/>
        <w:gridCol w:w="962"/>
        <w:gridCol w:w="1068"/>
        <w:gridCol w:w="1159"/>
        <w:gridCol w:w="1288"/>
        <w:gridCol w:w="1577"/>
        <w:gridCol w:w="2023"/>
      </w:tblGrid>
      <w:tr w:rsidR="00097BC5" w:rsidRPr="00F12469" w14:paraId="5F6E259F" w14:textId="77777777" w:rsidTr="008B6783">
        <w:trPr>
          <w:tblHeader/>
        </w:trPr>
        <w:tc>
          <w:tcPr>
            <w:tcW w:w="5000" w:type="pct"/>
            <w:gridSpan w:val="8"/>
            <w:tcBorders>
              <w:top w:val="nil"/>
              <w:left w:val="nil"/>
              <w:bottom w:val="single" w:sz="4" w:space="0" w:color="auto"/>
              <w:right w:val="nil"/>
            </w:tcBorders>
            <w:shd w:val="clear" w:color="auto" w:fill="auto"/>
            <w:vAlign w:val="center"/>
          </w:tcPr>
          <w:p w14:paraId="6BB6D09E" w14:textId="77AC655A" w:rsidR="00097BC5" w:rsidRPr="00A14753" w:rsidRDefault="00097BC5" w:rsidP="008B6783">
            <w:pPr>
              <w:pStyle w:val="Heading3"/>
              <w:spacing w:before="0" w:after="0"/>
              <w:rPr>
                <w:bCs/>
                <w:szCs w:val="20"/>
              </w:rPr>
            </w:pPr>
            <w:bookmarkStart w:id="38" w:name="_Toc137535750"/>
            <w:r w:rsidRPr="008B6783">
              <w:rPr>
                <w:rFonts w:ascii="Arial Narrow" w:hAnsi="Arial Narrow"/>
                <w:b/>
                <w:bCs/>
                <w:sz w:val="20"/>
                <w:szCs w:val="20"/>
              </w:rPr>
              <w:lastRenderedPageBreak/>
              <w:t>Table 4: Key features of the included evidence comparing CVD Risk Assessment in Community Pharmacy with usual care</w:t>
            </w:r>
            <w:bookmarkEnd w:id="38"/>
          </w:p>
        </w:tc>
      </w:tr>
      <w:tr w:rsidR="008C3194" w:rsidRPr="000F778E" w14:paraId="10CA23DA" w14:textId="77777777" w:rsidTr="008B6783">
        <w:trPr>
          <w:tblHeader/>
        </w:trPr>
        <w:tc>
          <w:tcPr>
            <w:tcW w:w="793" w:type="pct"/>
            <w:tcBorders>
              <w:top w:val="single" w:sz="4" w:space="0" w:color="auto"/>
            </w:tcBorders>
            <w:shd w:val="clear" w:color="auto" w:fill="auto"/>
            <w:vAlign w:val="center"/>
          </w:tcPr>
          <w:p w14:paraId="2211707B" w14:textId="77777777" w:rsidR="00EE4EEF" w:rsidRPr="000F778E" w:rsidRDefault="00EE4EEF" w:rsidP="00003672">
            <w:pPr>
              <w:pStyle w:val="TableHeading"/>
              <w:spacing w:before="0" w:after="0"/>
              <w:rPr>
                <w:rFonts w:ascii="Arial" w:hAnsi="Arial" w:cs="Arial"/>
                <w:sz w:val="18"/>
                <w:szCs w:val="18"/>
              </w:rPr>
            </w:pPr>
            <w:bookmarkStart w:id="39" w:name="ColumnTitle_Table21"/>
            <w:r w:rsidRPr="000F778E">
              <w:rPr>
                <w:rFonts w:ascii="Arial" w:hAnsi="Arial" w:cs="Arial"/>
                <w:sz w:val="18"/>
                <w:szCs w:val="18"/>
              </w:rPr>
              <w:t>Trial/Study</w:t>
            </w:r>
          </w:p>
        </w:tc>
        <w:tc>
          <w:tcPr>
            <w:tcW w:w="347" w:type="pct"/>
            <w:tcBorders>
              <w:top w:val="single" w:sz="4" w:space="0" w:color="auto"/>
            </w:tcBorders>
            <w:shd w:val="clear" w:color="auto" w:fill="auto"/>
            <w:vAlign w:val="center"/>
          </w:tcPr>
          <w:p w14:paraId="1214D529" w14:textId="77777777" w:rsidR="00EE4EEF" w:rsidRPr="000F778E" w:rsidRDefault="00EE4EEF" w:rsidP="00003672">
            <w:pPr>
              <w:pStyle w:val="TableHeading"/>
              <w:spacing w:before="0" w:after="0"/>
              <w:rPr>
                <w:rFonts w:ascii="Arial" w:hAnsi="Arial" w:cs="Arial"/>
                <w:sz w:val="18"/>
                <w:szCs w:val="18"/>
              </w:rPr>
            </w:pPr>
            <w:r w:rsidRPr="000F778E">
              <w:rPr>
                <w:rFonts w:ascii="Arial" w:hAnsi="Arial" w:cs="Arial"/>
                <w:sz w:val="18"/>
                <w:szCs w:val="18"/>
              </w:rPr>
              <w:t>N</w:t>
            </w:r>
          </w:p>
        </w:tc>
        <w:tc>
          <w:tcPr>
            <w:tcW w:w="478" w:type="pct"/>
            <w:tcBorders>
              <w:top w:val="single" w:sz="4" w:space="0" w:color="auto"/>
            </w:tcBorders>
            <w:shd w:val="clear" w:color="auto" w:fill="auto"/>
            <w:vAlign w:val="center"/>
          </w:tcPr>
          <w:p w14:paraId="44423B65" w14:textId="77777777" w:rsidR="00EE4EEF" w:rsidRPr="000F778E" w:rsidRDefault="00EE4EEF" w:rsidP="00003672">
            <w:pPr>
              <w:pStyle w:val="TableHeading"/>
              <w:spacing w:before="0" w:after="0"/>
              <w:rPr>
                <w:rFonts w:ascii="Arial" w:hAnsi="Arial" w:cs="Arial"/>
                <w:sz w:val="18"/>
                <w:szCs w:val="18"/>
              </w:rPr>
            </w:pPr>
            <w:r w:rsidRPr="000F778E">
              <w:rPr>
                <w:rFonts w:ascii="Arial" w:hAnsi="Arial" w:cs="Arial"/>
                <w:sz w:val="18"/>
                <w:szCs w:val="18"/>
              </w:rPr>
              <w:t>Study design</w:t>
            </w:r>
          </w:p>
          <w:p w14:paraId="3BED5FB1" w14:textId="77777777" w:rsidR="00EE4EEF" w:rsidRPr="000F778E" w:rsidRDefault="00EE4EEF" w:rsidP="00003672">
            <w:pPr>
              <w:pStyle w:val="TableHeading"/>
              <w:spacing w:before="0" w:after="0"/>
              <w:rPr>
                <w:rFonts w:ascii="Arial" w:hAnsi="Arial" w:cs="Arial"/>
                <w:sz w:val="18"/>
                <w:szCs w:val="18"/>
              </w:rPr>
            </w:pPr>
            <w:r w:rsidRPr="000F778E">
              <w:rPr>
                <w:rFonts w:ascii="Arial" w:hAnsi="Arial" w:cs="Arial"/>
                <w:sz w:val="18"/>
                <w:szCs w:val="18"/>
              </w:rPr>
              <w:t>Risk of bias</w:t>
            </w:r>
          </w:p>
        </w:tc>
        <w:tc>
          <w:tcPr>
            <w:tcW w:w="528" w:type="pct"/>
            <w:tcBorders>
              <w:top w:val="single" w:sz="4" w:space="0" w:color="auto"/>
            </w:tcBorders>
            <w:vAlign w:val="center"/>
          </w:tcPr>
          <w:p w14:paraId="1C7CE684" w14:textId="77777777" w:rsidR="00EE4EEF" w:rsidRPr="000F778E" w:rsidRDefault="00EE4EEF" w:rsidP="00003672">
            <w:pPr>
              <w:pStyle w:val="TableHeading"/>
              <w:spacing w:before="0" w:after="0"/>
              <w:rPr>
                <w:rFonts w:ascii="Arial" w:hAnsi="Arial" w:cs="Arial"/>
                <w:sz w:val="18"/>
                <w:szCs w:val="18"/>
              </w:rPr>
            </w:pPr>
            <w:r w:rsidRPr="000F778E">
              <w:rPr>
                <w:rFonts w:ascii="Arial" w:hAnsi="Arial" w:cs="Arial"/>
                <w:sz w:val="18"/>
                <w:szCs w:val="18"/>
              </w:rPr>
              <w:t>Population</w:t>
            </w:r>
          </w:p>
        </w:tc>
        <w:tc>
          <w:tcPr>
            <w:tcW w:w="528" w:type="pct"/>
            <w:tcBorders>
              <w:top w:val="single" w:sz="4" w:space="0" w:color="auto"/>
            </w:tcBorders>
            <w:vAlign w:val="center"/>
          </w:tcPr>
          <w:p w14:paraId="7EA407ED" w14:textId="77777777" w:rsidR="00EE4EEF" w:rsidRPr="000F778E" w:rsidRDefault="00EE4EEF" w:rsidP="00003672">
            <w:pPr>
              <w:pStyle w:val="TableHeading"/>
              <w:spacing w:before="0" w:after="0"/>
              <w:rPr>
                <w:rFonts w:ascii="Arial" w:hAnsi="Arial" w:cs="Arial"/>
                <w:sz w:val="18"/>
                <w:szCs w:val="18"/>
              </w:rPr>
            </w:pPr>
            <w:r w:rsidRPr="000F778E">
              <w:rPr>
                <w:rFonts w:ascii="Arial" w:hAnsi="Arial" w:cs="Arial"/>
                <w:sz w:val="18"/>
                <w:szCs w:val="18"/>
              </w:rPr>
              <w:t>Intervention</w:t>
            </w:r>
          </w:p>
        </w:tc>
        <w:tc>
          <w:tcPr>
            <w:tcW w:w="631" w:type="pct"/>
            <w:tcBorders>
              <w:top w:val="single" w:sz="4" w:space="0" w:color="auto"/>
            </w:tcBorders>
            <w:shd w:val="clear" w:color="auto" w:fill="auto"/>
            <w:vAlign w:val="center"/>
          </w:tcPr>
          <w:p w14:paraId="75D11537" w14:textId="77777777" w:rsidR="00EE4EEF" w:rsidRPr="000F778E" w:rsidRDefault="00EE4EEF" w:rsidP="00003672">
            <w:pPr>
              <w:pStyle w:val="TableHeading"/>
              <w:spacing w:before="0" w:after="0"/>
              <w:rPr>
                <w:rFonts w:ascii="Arial" w:hAnsi="Arial" w:cs="Arial"/>
                <w:sz w:val="18"/>
                <w:szCs w:val="18"/>
              </w:rPr>
            </w:pPr>
            <w:r w:rsidRPr="000F778E">
              <w:rPr>
                <w:rFonts w:ascii="Arial" w:hAnsi="Arial" w:cs="Arial"/>
                <w:sz w:val="18"/>
                <w:szCs w:val="18"/>
              </w:rPr>
              <w:t>Comparator</w:t>
            </w:r>
          </w:p>
        </w:tc>
        <w:tc>
          <w:tcPr>
            <w:tcW w:w="717" w:type="pct"/>
            <w:tcBorders>
              <w:top w:val="single" w:sz="4" w:space="0" w:color="auto"/>
            </w:tcBorders>
            <w:shd w:val="clear" w:color="auto" w:fill="auto"/>
            <w:vAlign w:val="center"/>
          </w:tcPr>
          <w:p w14:paraId="7127E493" w14:textId="77777777" w:rsidR="00EE4EEF" w:rsidRPr="000F778E" w:rsidRDefault="00EE4EEF" w:rsidP="00003672">
            <w:pPr>
              <w:pStyle w:val="TableHeading"/>
              <w:spacing w:before="0" w:after="0"/>
              <w:rPr>
                <w:rFonts w:ascii="Arial" w:hAnsi="Arial" w:cs="Arial"/>
                <w:sz w:val="18"/>
                <w:szCs w:val="18"/>
              </w:rPr>
            </w:pPr>
            <w:r w:rsidRPr="000F778E">
              <w:rPr>
                <w:rFonts w:ascii="Arial" w:hAnsi="Arial" w:cs="Arial"/>
                <w:sz w:val="18"/>
                <w:szCs w:val="18"/>
              </w:rPr>
              <w:t>Key outcome(s)</w:t>
            </w:r>
          </w:p>
        </w:tc>
        <w:tc>
          <w:tcPr>
            <w:tcW w:w="978" w:type="pct"/>
            <w:tcBorders>
              <w:top w:val="single" w:sz="4" w:space="0" w:color="auto"/>
            </w:tcBorders>
          </w:tcPr>
          <w:p w14:paraId="2278D683" w14:textId="77777777" w:rsidR="00EE4EEF" w:rsidRPr="000F778E" w:rsidRDefault="00EE4EEF" w:rsidP="00003672">
            <w:pPr>
              <w:pStyle w:val="TableHeading"/>
              <w:spacing w:before="0" w:after="0"/>
              <w:rPr>
                <w:rFonts w:ascii="Arial" w:hAnsi="Arial" w:cs="Arial"/>
                <w:sz w:val="18"/>
                <w:szCs w:val="18"/>
              </w:rPr>
            </w:pPr>
            <w:r w:rsidRPr="000F778E">
              <w:rPr>
                <w:rFonts w:ascii="Arial" w:hAnsi="Arial" w:cs="Arial"/>
                <w:sz w:val="18"/>
                <w:szCs w:val="18"/>
              </w:rPr>
              <w:t>Result used in economic model</w:t>
            </w:r>
          </w:p>
        </w:tc>
      </w:tr>
      <w:bookmarkEnd w:id="39"/>
      <w:tr w:rsidR="008C3194" w:rsidRPr="000F778E" w14:paraId="1C1D3815" w14:textId="77777777" w:rsidTr="00097BC5">
        <w:trPr>
          <w:trHeight w:val="1839"/>
          <w:tblHeader/>
        </w:trPr>
        <w:tc>
          <w:tcPr>
            <w:tcW w:w="793" w:type="pct"/>
            <w:shd w:val="clear" w:color="auto" w:fill="auto"/>
          </w:tcPr>
          <w:p w14:paraId="35CE27E1" w14:textId="17FE7FB6" w:rsidR="00EE4EEF" w:rsidRPr="000F778E" w:rsidRDefault="00891B54" w:rsidP="00003672">
            <w:pPr>
              <w:pStyle w:val="TableHeading"/>
              <w:spacing w:before="0" w:after="0"/>
              <w:rPr>
                <w:rFonts w:ascii="Arial" w:hAnsi="Arial" w:cs="Arial"/>
                <w:b w:val="0"/>
                <w:bCs/>
                <w:sz w:val="16"/>
                <w:szCs w:val="16"/>
              </w:rPr>
            </w:pPr>
            <w:r w:rsidRPr="000F778E">
              <w:rPr>
                <w:rFonts w:ascii="Arial" w:hAnsi="Arial" w:cs="Arial"/>
                <w:b w:val="0"/>
                <w:bCs/>
                <w:sz w:val="16"/>
                <w:szCs w:val="16"/>
              </w:rPr>
              <w:t>Diabetes and cardiovascular disease risk screening model in community pharmacies in a developing primary healthcare system: a feasibility study</w:t>
            </w:r>
          </w:p>
        </w:tc>
        <w:tc>
          <w:tcPr>
            <w:tcW w:w="347" w:type="pct"/>
            <w:shd w:val="clear" w:color="auto" w:fill="auto"/>
          </w:tcPr>
          <w:p w14:paraId="346A8253" w14:textId="77777777" w:rsidR="00EE4EEF" w:rsidRPr="000F778E" w:rsidRDefault="00891B54" w:rsidP="00003672">
            <w:pPr>
              <w:pStyle w:val="TableHeading"/>
              <w:spacing w:before="0" w:after="0"/>
              <w:rPr>
                <w:rFonts w:ascii="Arial" w:hAnsi="Arial" w:cs="Arial"/>
                <w:b w:val="0"/>
                <w:bCs/>
                <w:sz w:val="16"/>
                <w:szCs w:val="16"/>
              </w:rPr>
            </w:pPr>
            <w:r w:rsidRPr="000F778E">
              <w:rPr>
                <w:rFonts w:ascii="Arial" w:hAnsi="Arial" w:cs="Arial"/>
                <w:b w:val="0"/>
                <w:bCs/>
                <w:sz w:val="16"/>
                <w:szCs w:val="16"/>
              </w:rPr>
              <w:t>12 community pharmacies</w:t>
            </w:r>
          </w:p>
          <w:p w14:paraId="783202B7" w14:textId="77777777" w:rsidR="00891B54" w:rsidRPr="000F778E" w:rsidRDefault="00891B54" w:rsidP="00003672">
            <w:pPr>
              <w:pStyle w:val="TableHeading"/>
              <w:spacing w:before="0" w:after="0"/>
              <w:rPr>
                <w:rFonts w:ascii="Arial" w:hAnsi="Arial" w:cs="Arial"/>
                <w:b w:val="0"/>
                <w:bCs/>
                <w:sz w:val="16"/>
                <w:szCs w:val="16"/>
              </w:rPr>
            </w:pPr>
          </w:p>
          <w:p w14:paraId="40DCB9BB" w14:textId="6D6AB3C5" w:rsidR="00891B54" w:rsidRPr="000F778E" w:rsidRDefault="00891B54" w:rsidP="00003672">
            <w:pPr>
              <w:pStyle w:val="TableHeading"/>
              <w:spacing w:before="0" w:after="0"/>
              <w:rPr>
                <w:rFonts w:ascii="Arial" w:hAnsi="Arial" w:cs="Arial"/>
                <w:b w:val="0"/>
                <w:bCs/>
                <w:sz w:val="16"/>
                <w:szCs w:val="16"/>
              </w:rPr>
            </w:pPr>
            <w:r w:rsidRPr="000F778E">
              <w:rPr>
                <w:rFonts w:ascii="Arial" w:hAnsi="Arial" w:cs="Arial"/>
                <w:b w:val="0"/>
                <w:bCs/>
                <w:sz w:val="16"/>
                <w:szCs w:val="16"/>
              </w:rPr>
              <w:t>115 participants</w:t>
            </w:r>
          </w:p>
        </w:tc>
        <w:tc>
          <w:tcPr>
            <w:tcW w:w="478" w:type="pct"/>
            <w:shd w:val="clear" w:color="auto" w:fill="auto"/>
          </w:tcPr>
          <w:p w14:paraId="6ECE1059" w14:textId="1FD9235F" w:rsidR="00EE4EEF" w:rsidRPr="000F778E" w:rsidRDefault="00891B54" w:rsidP="00003672">
            <w:pPr>
              <w:pStyle w:val="TableHeading"/>
              <w:spacing w:before="0" w:after="0"/>
              <w:rPr>
                <w:rFonts w:ascii="Arial" w:hAnsi="Arial" w:cs="Arial"/>
                <w:b w:val="0"/>
                <w:bCs/>
                <w:sz w:val="16"/>
                <w:szCs w:val="16"/>
              </w:rPr>
            </w:pPr>
            <w:r w:rsidRPr="000F778E">
              <w:rPr>
                <w:rFonts w:ascii="Arial" w:hAnsi="Arial" w:cs="Arial"/>
                <w:b w:val="0"/>
                <w:bCs/>
                <w:sz w:val="16"/>
                <w:szCs w:val="16"/>
              </w:rPr>
              <w:t>Feasibility</w:t>
            </w:r>
          </w:p>
        </w:tc>
        <w:tc>
          <w:tcPr>
            <w:tcW w:w="528" w:type="pct"/>
          </w:tcPr>
          <w:p w14:paraId="7256293B" w14:textId="29A4A4C9" w:rsidR="00EE4EEF" w:rsidRPr="000F778E" w:rsidRDefault="00891B54" w:rsidP="00003672">
            <w:pPr>
              <w:pStyle w:val="TableHeading"/>
              <w:spacing w:before="0" w:after="0"/>
              <w:rPr>
                <w:rFonts w:ascii="Arial" w:hAnsi="Arial" w:cs="Arial"/>
                <w:b w:val="0"/>
                <w:bCs/>
                <w:sz w:val="16"/>
                <w:szCs w:val="16"/>
              </w:rPr>
            </w:pPr>
            <w:r w:rsidRPr="000F778E">
              <w:rPr>
                <w:rFonts w:ascii="Arial" w:hAnsi="Arial" w:cs="Arial"/>
                <w:b w:val="0"/>
                <w:bCs/>
                <w:color w:val="212121"/>
                <w:sz w:val="16"/>
                <w:szCs w:val="16"/>
                <w:shd w:val="clear" w:color="auto" w:fill="FFFFFF"/>
              </w:rPr>
              <w:t>Adults 40 years of age and above who have not been previously diagnosed with either diabetes or CVD.</w:t>
            </w:r>
          </w:p>
        </w:tc>
        <w:tc>
          <w:tcPr>
            <w:tcW w:w="528" w:type="pct"/>
          </w:tcPr>
          <w:p w14:paraId="6E78A2DC" w14:textId="6F4EC2CE" w:rsidR="00EE4EEF" w:rsidRPr="000F778E" w:rsidRDefault="00891B54" w:rsidP="00003672">
            <w:pPr>
              <w:pStyle w:val="TableHeading"/>
              <w:spacing w:before="0" w:after="0"/>
              <w:rPr>
                <w:rFonts w:ascii="Arial" w:hAnsi="Arial" w:cs="Arial"/>
                <w:b w:val="0"/>
                <w:bCs/>
                <w:sz w:val="16"/>
                <w:szCs w:val="16"/>
              </w:rPr>
            </w:pPr>
            <w:r w:rsidRPr="000F778E">
              <w:rPr>
                <w:rFonts w:ascii="Arial" w:hAnsi="Arial" w:cs="Arial"/>
                <w:b w:val="0"/>
                <w:bCs/>
                <w:color w:val="212121"/>
                <w:sz w:val="16"/>
                <w:szCs w:val="16"/>
                <w:shd w:val="clear" w:color="auto" w:fill="FFFFFF"/>
              </w:rPr>
              <w:t>Pharmacist screening including history, demographics, anthropometric measurements</w:t>
            </w:r>
            <w:r w:rsidR="00E0769E" w:rsidRPr="000F778E">
              <w:rPr>
                <w:rFonts w:ascii="Arial" w:hAnsi="Arial" w:cs="Arial"/>
                <w:b w:val="0"/>
                <w:bCs/>
                <w:color w:val="212121"/>
                <w:sz w:val="16"/>
                <w:szCs w:val="16"/>
                <w:shd w:val="clear" w:color="auto" w:fill="FFFFFF"/>
              </w:rPr>
              <w:t>,</w:t>
            </w:r>
            <w:r w:rsidRPr="000F778E">
              <w:rPr>
                <w:rFonts w:ascii="Arial" w:hAnsi="Arial" w:cs="Arial"/>
                <w:b w:val="0"/>
                <w:bCs/>
                <w:color w:val="212121"/>
                <w:sz w:val="16"/>
                <w:szCs w:val="16"/>
                <w:shd w:val="clear" w:color="auto" w:fill="FFFFFF"/>
              </w:rPr>
              <w:t xml:space="preserve"> blood pressure and point-of-care testing including HbA1c and lipids.</w:t>
            </w:r>
          </w:p>
        </w:tc>
        <w:tc>
          <w:tcPr>
            <w:tcW w:w="631" w:type="pct"/>
            <w:shd w:val="clear" w:color="auto" w:fill="auto"/>
          </w:tcPr>
          <w:p w14:paraId="250CB774" w14:textId="6FEBAD22" w:rsidR="00EE4EEF" w:rsidRPr="000F778E" w:rsidRDefault="004F0066" w:rsidP="00003672">
            <w:pPr>
              <w:pStyle w:val="TableHeading"/>
              <w:spacing w:before="0" w:after="0"/>
              <w:rPr>
                <w:rFonts w:ascii="Arial" w:hAnsi="Arial" w:cs="Arial"/>
                <w:b w:val="0"/>
                <w:bCs/>
                <w:sz w:val="16"/>
                <w:szCs w:val="16"/>
              </w:rPr>
            </w:pPr>
            <w:r w:rsidRPr="000F778E">
              <w:rPr>
                <w:rFonts w:ascii="Arial" w:hAnsi="Arial" w:cs="Arial"/>
                <w:b w:val="0"/>
                <w:bCs/>
                <w:sz w:val="16"/>
                <w:szCs w:val="16"/>
              </w:rPr>
              <w:t>Usual care</w:t>
            </w:r>
          </w:p>
        </w:tc>
        <w:tc>
          <w:tcPr>
            <w:tcW w:w="717" w:type="pct"/>
            <w:shd w:val="clear" w:color="auto" w:fill="auto"/>
          </w:tcPr>
          <w:p w14:paraId="73E69569" w14:textId="2E7F7398" w:rsidR="00891B54" w:rsidRPr="000F778E" w:rsidRDefault="00492B13" w:rsidP="007B6625">
            <w:pPr>
              <w:pStyle w:val="TableHeading"/>
              <w:spacing w:before="0" w:after="0"/>
              <w:rPr>
                <w:rFonts w:ascii="Arial" w:hAnsi="Arial" w:cs="Arial"/>
                <w:sz w:val="16"/>
                <w:szCs w:val="16"/>
              </w:rPr>
            </w:pPr>
            <w:r w:rsidRPr="000F778E">
              <w:rPr>
                <w:rFonts w:ascii="Arial" w:hAnsi="Arial" w:cs="Arial"/>
                <w:b w:val="0"/>
                <w:bCs/>
                <w:color w:val="212121"/>
                <w:sz w:val="16"/>
                <w:szCs w:val="16"/>
                <w:shd w:val="clear" w:color="auto" w:fill="FFFFFF"/>
              </w:rPr>
              <w:t>C</w:t>
            </w:r>
            <w:r w:rsidR="00891B54" w:rsidRPr="000F778E">
              <w:rPr>
                <w:rFonts w:ascii="Arial" w:hAnsi="Arial" w:cs="Arial"/>
                <w:b w:val="0"/>
                <w:bCs/>
                <w:color w:val="212121"/>
                <w:sz w:val="16"/>
                <w:szCs w:val="16"/>
                <w:shd w:val="clear" w:color="auto" w:fill="FFFFFF"/>
              </w:rPr>
              <w:t>ommunity pharmacist-delivered screening of diabetes and CVD risk is feasible in the UAE. The model offers a platform to increase screening capacity within primary care and provides an opportunity for early detection and treatment.</w:t>
            </w:r>
          </w:p>
        </w:tc>
        <w:tc>
          <w:tcPr>
            <w:tcW w:w="978" w:type="pct"/>
          </w:tcPr>
          <w:p w14:paraId="6FFEC6CA" w14:textId="77777777" w:rsidR="00EE4EEF" w:rsidRPr="000F778E" w:rsidRDefault="00EE4EEF" w:rsidP="00003672">
            <w:pPr>
              <w:pStyle w:val="TableHeading"/>
              <w:spacing w:before="0" w:after="0"/>
              <w:rPr>
                <w:rFonts w:ascii="Arial" w:hAnsi="Arial" w:cs="Arial"/>
                <w:b w:val="0"/>
                <w:bCs/>
                <w:sz w:val="16"/>
                <w:szCs w:val="16"/>
              </w:rPr>
            </w:pPr>
          </w:p>
        </w:tc>
      </w:tr>
      <w:tr w:rsidR="007452E8" w:rsidRPr="000F778E" w14:paraId="0549FE20" w14:textId="77777777" w:rsidTr="00097BC5">
        <w:trPr>
          <w:tblHeader/>
        </w:trPr>
        <w:tc>
          <w:tcPr>
            <w:tcW w:w="793" w:type="pct"/>
            <w:shd w:val="clear" w:color="auto" w:fill="auto"/>
          </w:tcPr>
          <w:p w14:paraId="2B9935AB" w14:textId="77777777" w:rsidR="007452E8" w:rsidRPr="000F778E" w:rsidRDefault="007452E8" w:rsidP="00003672">
            <w:pPr>
              <w:pStyle w:val="TableHeading"/>
              <w:spacing w:before="0" w:after="0"/>
              <w:rPr>
                <w:rFonts w:ascii="Arial" w:hAnsi="Arial" w:cs="Arial"/>
                <w:b w:val="0"/>
                <w:bCs/>
                <w:color w:val="212121"/>
                <w:sz w:val="16"/>
                <w:szCs w:val="16"/>
              </w:rPr>
            </w:pPr>
            <w:r w:rsidRPr="000F778E">
              <w:rPr>
                <w:rFonts w:ascii="Arial" w:hAnsi="Arial" w:cs="Arial"/>
                <w:b w:val="0"/>
                <w:bCs/>
                <w:color w:val="212121"/>
                <w:sz w:val="16"/>
                <w:szCs w:val="16"/>
              </w:rPr>
              <w:t>Pharmacy diabetes care program:</w:t>
            </w:r>
          </w:p>
          <w:p w14:paraId="757DAA9A" w14:textId="1385F4BC" w:rsidR="007452E8" w:rsidRPr="000F778E" w:rsidRDefault="007452E8" w:rsidP="00003672">
            <w:pPr>
              <w:pStyle w:val="TableHeading"/>
              <w:spacing w:before="0" w:after="0"/>
              <w:rPr>
                <w:rFonts w:ascii="Arial" w:hAnsi="Arial" w:cs="Arial"/>
                <w:b w:val="0"/>
                <w:bCs/>
                <w:color w:val="212121"/>
                <w:sz w:val="16"/>
                <w:szCs w:val="16"/>
              </w:rPr>
            </w:pPr>
            <w:r w:rsidRPr="000F778E">
              <w:rPr>
                <w:rFonts w:ascii="Arial" w:hAnsi="Arial" w:cs="Arial"/>
                <w:b w:val="0"/>
                <w:bCs/>
                <w:color w:val="212121"/>
                <w:sz w:val="16"/>
                <w:szCs w:val="16"/>
              </w:rPr>
              <w:t>analysis of two screening methods for undiagnosed type 2 diabetes in</w:t>
            </w:r>
            <w:r w:rsidR="005310AB" w:rsidRPr="000F778E">
              <w:rPr>
                <w:rFonts w:ascii="Arial" w:hAnsi="Arial" w:cs="Arial"/>
                <w:b w:val="0"/>
                <w:bCs/>
                <w:color w:val="212121"/>
                <w:sz w:val="16"/>
                <w:szCs w:val="16"/>
              </w:rPr>
              <w:t xml:space="preserve"> Australian community pharmacy</w:t>
            </w:r>
          </w:p>
        </w:tc>
        <w:tc>
          <w:tcPr>
            <w:tcW w:w="347" w:type="pct"/>
            <w:shd w:val="clear" w:color="auto" w:fill="auto"/>
          </w:tcPr>
          <w:p w14:paraId="3376B252" w14:textId="77777777"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sz w:val="16"/>
                <w:szCs w:val="16"/>
              </w:rPr>
              <w:t>30 pharmacies</w:t>
            </w:r>
          </w:p>
          <w:p w14:paraId="6BA3B845" w14:textId="77777777" w:rsidR="007452E8" w:rsidRPr="000F778E" w:rsidRDefault="007452E8" w:rsidP="00003672">
            <w:pPr>
              <w:pStyle w:val="TableHeading"/>
              <w:spacing w:before="0" w:after="0"/>
              <w:rPr>
                <w:rFonts w:ascii="Arial" w:hAnsi="Arial" w:cs="Arial"/>
                <w:b w:val="0"/>
                <w:sz w:val="16"/>
                <w:szCs w:val="16"/>
              </w:rPr>
            </w:pPr>
          </w:p>
          <w:p w14:paraId="7106D7A5" w14:textId="02E13006"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sz w:val="16"/>
                <w:szCs w:val="16"/>
              </w:rPr>
              <w:t>1286 participants</w:t>
            </w:r>
          </w:p>
        </w:tc>
        <w:tc>
          <w:tcPr>
            <w:tcW w:w="478" w:type="pct"/>
            <w:shd w:val="clear" w:color="auto" w:fill="auto"/>
          </w:tcPr>
          <w:p w14:paraId="2E8BBEF7" w14:textId="13FBFA86"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sz w:val="16"/>
                <w:szCs w:val="16"/>
              </w:rPr>
              <w:t>Randomised</w:t>
            </w:r>
          </w:p>
        </w:tc>
        <w:tc>
          <w:tcPr>
            <w:tcW w:w="528" w:type="pct"/>
          </w:tcPr>
          <w:p w14:paraId="4229E478" w14:textId="44C69DD4"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sz w:val="16"/>
                <w:szCs w:val="16"/>
              </w:rPr>
              <w:t>Undiagnosed type 2 diabetes in Australian community pharmacy</w:t>
            </w:r>
          </w:p>
        </w:tc>
        <w:tc>
          <w:tcPr>
            <w:tcW w:w="528" w:type="pct"/>
          </w:tcPr>
          <w:p w14:paraId="12A1B2DF" w14:textId="77777777" w:rsidR="007452E8" w:rsidRPr="000F778E" w:rsidRDefault="007452E8" w:rsidP="00003672">
            <w:pPr>
              <w:pStyle w:val="TableHeading"/>
              <w:spacing w:before="0" w:after="0"/>
              <w:rPr>
                <w:rFonts w:ascii="Arial" w:hAnsi="Arial" w:cs="Arial"/>
                <w:b w:val="0"/>
                <w:bCs/>
                <w:color w:val="505050"/>
                <w:sz w:val="16"/>
                <w:szCs w:val="16"/>
                <w:shd w:val="clear" w:color="auto" w:fill="FFFFFF"/>
              </w:rPr>
            </w:pPr>
            <w:r w:rsidRPr="000F778E">
              <w:rPr>
                <w:rFonts w:ascii="Arial" w:hAnsi="Arial" w:cs="Arial"/>
                <w:b w:val="0"/>
                <w:bCs/>
                <w:color w:val="505050"/>
                <w:sz w:val="16"/>
                <w:szCs w:val="16"/>
                <w:shd w:val="clear" w:color="auto" w:fill="FFFFFF"/>
              </w:rPr>
              <w:t xml:space="preserve">Comparison of Tick Test Only (TTO) and Sequential Screening for T2DM. </w:t>
            </w:r>
          </w:p>
          <w:p w14:paraId="5C2EA828" w14:textId="78572AC8"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bCs/>
                <w:color w:val="505050"/>
                <w:sz w:val="16"/>
                <w:szCs w:val="16"/>
                <w:shd w:val="clear" w:color="auto" w:fill="FFFFFF"/>
              </w:rPr>
              <w:t xml:space="preserve">Both methods used the same initial risk assessment for type 2 diabetes. </w:t>
            </w:r>
            <w:r w:rsidR="00940907" w:rsidRPr="000F778E">
              <w:rPr>
                <w:rFonts w:ascii="Arial" w:hAnsi="Arial" w:cs="Arial"/>
                <w:b w:val="0"/>
                <w:bCs/>
                <w:color w:val="505050"/>
                <w:sz w:val="16"/>
                <w:szCs w:val="16"/>
                <w:shd w:val="clear" w:color="auto" w:fill="FFFFFF"/>
              </w:rPr>
              <w:t>Additionally,</w:t>
            </w:r>
            <w:r w:rsidRPr="000F778E">
              <w:rPr>
                <w:rFonts w:ascii="Arial" w:hAnsi="Arial" w:cs="Arial"/>
                <w:b w:val="0"/>
                <w:bCs/>
                <w:color w:val="505050"/>
                <w:sz w:val="16"/>
                <w:szCs w:val="16"/>
                <w:shd w:val="clear" w:color="auto" w:fill="FFFFFF"/>
              </w:rPr>
              <w:t xml:space="preserve"> the SS method, patients with risk factors were offered a capillary blood glucose test.</w:t>
            </w:r>
            <w:r w:rsidR="00A85BF7">
              <w:rPr>
                <w:rFonts w:ascii="Arial" w:hAnsi="Arial" w:cs="Arial"/>
                <w:b w:val="0"/>
                <w:bCs/>
                <w:color w:val="505050"/>
                <w:sz w:val="16"/>
                <w:szCs w:val="16"/>
                <w:shd w:val="clear" w:color="auto" w:fill="FFFFFF"/>
              </w:rPr>
              <w:t xml:space="preserve"> </w:t>
            </w:r>
          </w:p>
        </w:tc>
        <w:tc>
          <w:tcPr>
            <w:tcW w:w="631" w:type="pct"/>
            <w:shd w:val="clear" w:color="auto" w:fill="auto"/>
          </w:tcPr>
          <w:p w14:paraId="04F5FB33" w14:textId="0CE67853" w:rsidR="007452E8" w:rsidRPr="000F778E" w:rsidRDefault="008C3194" w:rsidP="00003672">
            <w:pPr>
              <w:pStyle w:val="TableHeading"/>
              <w:spacing w:before="0" w:after="0"/>
              <w:rPr>
                <w:rFonts w:ascii="Arial" w:hAnsi="Arial" w:cs="Arial"/>
                <w:b w:val="0"/>
                <w:sz w:val="16"/>
                <w:szCs w:val="16"/>
              </w:rPr>
            </w:pPr>
            <w:r w:rsidRPr="000F778E">
              <w:rPr>
                <w:rFonts w:ascii="Arial" w:hAnsi="Arial" w:cs="Arial"/>
                <w:b w:val="0"/>
                <w:sz w:val="16"/>
                <w:szCs w:val="16"/>
              </w:rPr>
              <w:t>Usual care</w:t>
            </w:r>
          </w:p>
        </w:tc>
        <w:tc>
          <w:tcPr>
            <w:tcW w:w="717" w:type="pct"/>
            <w:shd w:val="clear" w:color="auto" w:fill="auto"/>
          </w:tcPr>
          <w:p w14:paraId="6BB27FE2" w14:textId="2581D4C1" w:rsidR="007452E8" w:rsidRPr="000F778E" w:rsidRDefault="007452E8" w:rsidP="00003672">
            <w:pPr>
              <w:pStyle w:val="TableHeading"/>
              <w:spacing w:before="0" w:after="0"/>
              <w:rPr>
                <w:rFonts w:ascii="Arial" w:hAnsi="Arial" w:cs="Arial"/>
                <w:b w:val="0"/>
                <w:bCs/>
                <w:color w:val="212121"/>
                <w:sz w:val="16"/>
                <w:szCs w:val="16"/>
                <w:shd w:val="clear" w:color="auto" w:fill="FFFFFF"/>
              </w:rPr>
            </w:pPr>
            <w:r w:rsidRPr="000F778E">
              <w:rPr>
                <w:rFonts w:ascii="Arial" w:hAnsi="Arial" w:cs="Arial"/>
                <w:b w:val="0"/>
                <w:bCs/>
                <w:color w:val="212121"/>
                <w:sz w:val="16"/>
                <w:szCs w:val="16"/>
                <w:shd w:val="clear" w:color="auto" w:fill="FFFFFF"/>
              </w:rPr>
              <w:t>The rate of diagnosis of diabetes was significantly higher for Sequential Screening compared with the Tick Test Only (TTO) method The SS method resulted in fewer referrals to the GP and a higher uptake of referrals than the TTO method and so was the more cost-effective screening method.</w:t>
            </w:r>
          </w:p>
        </w:tc>
        <w:tc>
          <w:tcPr>
            <w:tcW w:w="978" w:type="pct"/>
          </w:tcPr>
          <w:p w14:paraId="39E0EF52" w14:textId="77777777" w:rsidR="007452E8" w:rsidRPr="000F778E" w:rsidRDefault="007452E8" w:rsidP="00003672">
            <w:pPr>
              <w:pStyle w:val="TableHeading"/>
              <w:spacing w:before="0" w:after="0"/>
              <w:rPr>
                <w:rFonts w:ascii="Arial" w:hAnsi="Arial" w:cs="Arial"/>
                <w:b w:val="0"/>
                <w:sz w:val="16"/>
                <w:szCs w:val="16"/>
              </w:rPr>
            </w:pPr>
          </w:p>
        </w:tc>
      </w:tr>
      <w:tr w:rsidR="005310AB" w:rsidRPr="000F778E" w14:paraId="259D13BE" w14:textId="77777777" w:rsidTr="00097BC5">
        <w:trPr>
          <w:tblHeader/>
        </w:trPr>
        <w:tc>
          <w:tcPr>
            <w:tcW w:w="793" w:type="pct"/>
            <w:shd w:val="clear" w:color="auto" w:fill="auto"/>
          </w:tcPr>
          <w:p w14:paraId="7DEDC211" w14:textId="04BE9642" w:rsidR="005310AB" w:rsidRPr="000F778E" w:rsidRDefault="007B16FB" w:rsidP="00003672">
            <w:pPr>
              <w:pStyle w:val="TableHeading"/>
              <w:spacing w:before="0" w:after="0"/>
              <w:rPr>
                <w:rFonts w:ascii="Arial" w:hAnsi="Arial" w:cs="Arial"/>
                <w:b w:val="0"/>
                <w:bCs/>
                <w:color w:val="212121"/>
                <w:sz w:val="16"/>
                <w:szCs w:val="16"/>
              </w:rPr>
            </w:pPr>
            <w:r w:rsidRPr="000F778E">
              <w:rPr>
                <w:rFonts w:ascii="Arial" w:hAnsi="Arial" w:cs="Arial"/>
                <w:b w:val="0"/>
                <w:bCs/>
                <w:color w:val="212121"/>
                <w:sz w:val="16"/>
                <w:szCs w:val="16"/>
              </w:rPr>
              <w:t xml:space="preserve">The effectiveness of Pharmacist Interventions on Cardiovascular Risk: The Multicentre Randomised Controlled </w:t>
            </w:r>
            <w:proofErr w:type="spellStart"/>
            <w:r w:rsidRPr="000F778E">
              <w:rPr>
                <w:rFonts w:ascii="Arial" w:hAnsi="Arial" w:cs="Arial"/>
                <w:b w:val="0"/>
                <w:bCs/>
                <w:color w:val="212121"/>
                <w:sz w:val="16"/>
                <w:szCs w:val="16"/>
              </w:rPr>
              <w:t>RxEACH</w:t>
            </w:r>
            <w:proofErr w:type="spellEnd"/>
            <w:r w:rsidR="00A85BF7">
              <w:rPr>
                <w:rFonts w:ascii="Arial" w:hAnsi="Arial" w:cs="Arial"/>
                <w:b w:val="0"/>
                <w:bCs/>
                <w:color w:val="212121"/>
                <w:sz w:val="16"/>
                <w:szCs w:val="16"/>
              </w:rPr>
              <w:t xml:space="preserve"> </w:t>
            </w:r>
            <w:r w:rsidRPr="000F778E">
              <w:rPr>
                <w:rFonts w:ascii="Arial" w:hAnsi="Arial" w:cs="Arial"/>
                <w:b w:val="0"/>
                <w:bCs/>
                <w:color w:val="212121"/>
                <w:sz w:val="16"/>
                <w:szCs w:val="16"/>
              </w:rPr>
              <w:t>trial</w:t>
            </w:r>
          </w:p>
        </w:tc>
        <w:tc>
          <w:tcPr>
            <w:tcW w:w="347" w:type="pct"/>
            <w:shd w:val="clear" w:color="auto" w:fill="auto"/>
          </w:tcPr>
          <w:p w14:paraId="76122025" w14:textId="77777777" w:rsidR="005310AB" w:rsidRPr="000F778E" w:rsidRDefault="005310AB" w:rsidP="00003672">
            <w:pPr>
              <w:pStyle w:val="TableHeading"/>
              <w:spacing w:before="0" w:after="0"/>
              <w:rPr>
                <w:rFonts w:ascii="Arial" w:hAnsi="Arial" w:cs="Arial"/>
                <w:b w:val="0"/>
                <w:sz w:val="16"/>
                <w:szCs w:val="16"/>
              </w:rPr>
            </w:pPr>
          </w:p>
          <w:p w14:paraId="3C84D706" w14:textId="77777777" w:rsidR="007B16FB" w:rsidRPr="000F778E" w:rsidRDefault="007B16FB" w:rsidP="00003672">
            <w:pPr>
              <w:pStyle w:val="TableHeading"/>
              <w:spacing w:before="0" w:after="0"/>
              <w:rPr>
                <w:rFonts w:ascii="Arial" w:hAnsi="Arial" w:cs="Arial"/>
                <w:b w:val="0"/>
                <w:sz w:val="16"/>
                <w:szCs w:val="16"/>
              </w:rPr>
            </w:pPr>
            <w:r w:rsidRPr="000F778E">
              <w:rPr>
                <w:rFonts w:ascii="Arial" w:hAnsi="Arial" w:cs="Arial"/>
                <w:b w:val="0"/>
                <w:sz w:val="16"/>
                <w:szCs w:val="16"/>
              </w:rPr>
              <w:t>56 community pharmacies</w:t>
            </w:r>
          </w:p>
          <w:p w14:paraId="766984F5" w14:textId="77777777" w:rsidR="007B16FB" w:rsidRPr="000F778E" w:rsidRDefault="007B16FB" w:rsidP="00003672">
            <w:pPr>
              <w:pStyle w:val="TableHeading"/>
              <w:spacing w:before="0" w:after="0"/>
              <w:rPr>
                <w:rFonts w:ascii="Arial" w:hAnsi="Arial" w:cs="Arial"/>
                <w:b w:val="0"/>
                <w:sz w:val="16"/>
                <w:szCs w:val="16"/>
              </w:rPr>
            </w:pPr>
          </w:p>
          <w:p w14:paraId="253AF599" w14:textId="3F5BFC0A" w:rsidR="007B16FB" w:rsidRPr="000F778E" w:rsidRDefault="007B16FB" w:rsidP="00003672">
            <w:pPr>
              <w:pStyle w:val="TableHeading"/>
              <w:spacing w:before="0" w:after="0"/>
              <w:rPr>
                <w:rFonts w:ascii="Arial" w:hAnsi="Arial" w:cs="Arial"/>
                <w:b w:val="0"/>
                <w:sz w:val="16"/>
                <w:szCs w:val="16"/>
              </w:rPr>
            </w:pPr>
            <w:r w:rsidRPr="000F778E">
              <w:rPr>
                <w:rFonts w:ascii="Arial" w:hAnsi="Arial" w:cs="Arial"/>
                <w:b w:val="0"/>
                <w:sz w:val="16"/>
                <w:szCs w:val="16"/>
              </w:rPr>
              <w:t xml:space="preserve">723 </w:t>
            </w:r>
            <w:r w:rsidR="004F0066" w:rsidRPr="000F778E">
              <w:rPr>
                <w:rFonts w:ascii="Arial" w:hAnsi="Arial" w:cs="Arial"/>
                <w:b w:val="0"/>
                <w:sz w:val="16"/>
                <w:szCs w:val="16"/>
              </w:rPr>
              <w:t>participants</w:t>
            </w:r>
          </w:p>
        </w:tc>
        <w:tc>
          <w:tcPr>
            <w:tcW w:w="478" w:type="pct"/>
            <w:shd w:val="clear" w:color="auto" w:fill="auto"/>
          </w:tcPr>
          <w:p w14:paraId="61ECA5F4" w14:textId="1E88C362" w:rsidR="005310AB" w:rsidRPr="000F778E" w:rsidRDefault="007B16FB" w:rsidP="00003672">
            <w:pPr>
              <w:pStyle w:val="TableHeading"/>
              <w:spacing w:before="0" w:after="0"/>
              <w:rPr>
                <w:rFonts w:ascii="Arial" w:hAnsi="Arial" w:cs="Arial"/>
                <w:b w:val="0"/>
                <w:sz w:val="16"/>
                <w:szCs w:val="16"/>
              </w:rPr>
            </w:pPr>
            <w:r w:rsidRPr="000F778E">
              <w:rPr>
                <w:rFonts w:ascii="Arial" w:hAnsi="Arial" w:cs="Arial"/>
                <w:b w:val="0"/>
                <w:sz w:val="16"/>
                <w:szCs w:val="16"/>
              </w:rPr>
              <w:t>Randomised controlled</w:t>
            </w:r>
          </w:p>
        </w:tc>
        <w:tc>
          <w:tcPr>
            <w:tcW w:w="528" w:type="pct"/>
          </w:tcPr>
          <w:p w14:paraId="4EA76465" w14:textId="1EA62947" w:rsidR="005310AB" w:rsidRPr="007B6625" w:rsidRDefault="004F0066" w:rsidP="00003672">
            <w:pPr>
              <w:pStyle w:val="TableHeading"/>
              <w:spacing w:before="0" w:after="0"/>
              <w:rPr>
                <w:rFonts w:ascii="Arial" w:hAnsi="Arial" w:cs="Arial"/>
                <w:b w:val="0"/>
                <w:bCs/>
                <w:sz w:val="16"/>
                <w:szCs w:val="16"/>
              </w:rPr>
            </w:pPr>
            <w:r w:rsidRPr="007B6625">
              <w:rPr>
                <w:rFonts w:ascii="Arial" w:hAnsi="Arial" w:cs="Arial"/>
                <w:b w:val="0"/>
                <w:bCs/>
                <w:color w:val="333333"/>
                <w:sz w:val="16"/>
                <w:szCs w:val="16"/>
                <w:shd w:val="clear" w:color="auto" w:fill="FFFFFF"/>
              </w:rPr>
              <w:t>A</w:t>
            </w:r>
            <w:r w:rsidR="007B16FB" w:rsidRPr="007B6625">
              <w:rPr>
                <w:rFonts w:ascii="Arial" w:hAnsi="Arial" w:cs="Arial"/>
                <w:b w:val="0"/>
                <w:bCs/>
                <w:color w:val="333333"/>
                <w:sz w:val="16"/>
                <w:szCs w:val="16"/>
                <w:shd w:val="clear" w:color="auto" w:fill="FFFFFF"/>
              </w:rPr>
              <w:t>dults at high risk for CVD</w:t>
            </w:r>
          </w:p>
        </w:tc>
        <w:tc>
          <w:tcPr>
            <w:tcW w:w="528" w:type="pct"/>
          </w:tcPr>
          <w:p w14:paraId="20CAAD8C" w14:textId="071C4329" w:rsidR="005310AB" w:rsidRPr="000F778E" w:rsidRDefault="004F0066" w:rsidP="00003672">
            <w:pPr>
              <w:pStyle w:val="TableHeading"/>
              <w:spacing w:before="0" w:after="0"/>
              <w:rPr>
                <w:rFonts w:ascii="Arial" w:hAnsi="Arial" w:cs="Arial"/>
                <w:b w:val="0"/>
                <w:bCs/>
                <w:color w:val="333333"/>
                <w:sz w:val="16"/>
                <w:szCs w:val="16"/>
                <w:shd w:val="clear" w:color="auto" w:fill="FFFFFF"/>
              </w:rPr>
            </w:pPr>
            <w:r w:rsidRPr="000F778E">
              <w:rPr>
                <w:rFonts w:ascii="Arial" w:hAnsi="Arial" w:cs="Arial"/>
                <w:b w:val="0"/>
                <w:bCs/>
                <w:color w:val="333333"/>
                <w:sz w:val="16"/>
                <w:szCs w:val="16"/>
                <w:shd w:val="clear" w:color="auto" w:fill="FFFFFF"/>
              </w:rPr>
              <w:t>Comparison of</w:t>
            </w:r>
            <w:r w:rsidR="007B16FB" w:rsidRPr="000F778E">
              <w:rPr>
                <w:rFonts w:ascii="Arial" w:hAnsi="Arial" w:cs="Arial"/>
                <w:b w:val="0"/>
                <w:bCs/>
                <w:color w:val="333333"/>
                <w:sz w:val="16"/>
                <w:szCs w:val="16"/>
                <w:shd w:val="clear" w:color="auto" w:fill="FFFFFF"/>
              </w:rPr>
              <w:t xml:space="preserve"> usual care or intervention, comprising a Medication Therapy Management review from their pharmacist and CVD risk assessment and education. </w:t>
            </w:r>
          </w:p>
          <w:p w14:paraId="511878B5" w14:textId="01ED65B0" w:rsidR="007B16FB" w:rsidRPr="000F778E" w:rsidRDefault="004F0066" w:rsidP="00003672">
            <w:pPr>
              <w:pStyle w:val="TableHeading"/>
              <w:spacing w:before="0" w:after="0"/>
              <w:rPr>
                <w:rFonts w:ascii="Arial" w:hAnsi="Arial" w:cs="Arial"/>
                <w:b w:val="0"/>
                <w:bCs/>
                <w:color w:val="333333"/>
                <w:sz w:val="16"/>
                <w:szCs w:val="16"/>
                <w:shd w:val="clear" w:color="auto" w:fill="FFFFFF"/>
              </w:rPr>
            </w:pPr>
            <w:r w:rsidRPr="000F778E">
              <w:rPr>
                <w:rFonts w:ascii="Arial" w:hAnsi="Arial" w:cs="Arial"/>
                <w:b w:val="0"/>
                <w:bCs/>
                <w:color w:val="333333"/>
                <w:sz w:val="16"/>
                <w:szCs w:val="16"/>
                <w:shd w:val="clear" w:color="auto" w:fill="FFFFFF"/>
              </w:rPr>
              <w:t>Mo</w:t>
            </w:r>
            <w:r w:rsidR="007B16FB" w:rsidRPr="000F778E">
              <w:rPr>
                <w:rFonts w:ascii="Arial" w:hAnsi="Arial" w:cs="Arial"/>
                <w:b w:val="0"/>
                <w:bCs/>
                <w:color w:val="333333"/>
                <w:sz w:val="16"/>
                <w:szCs w:val="16"/>
                <w:shd w:val="clear" w:color="auto" w:fill="FFFFFF"/>
              </w:rPr>
              <w:t>nthly follow-up visits for 3 months. </w:t>
            </w:r>
          </w:p>
          <w:p w14:paraId="06C35FF8" w14:textId="0B62C877" w:rsidR="007B16FB" w:rsidRPr="000F778E" w:rsidRDefault="007B16FB" w:rsidP="00003672">
            <w:pPr>
              <w:pStyle w:val="TableHeading"/>
              <w:spacing w:before="0" w:after="0"/>
              <w:rPr>
                <w:rFonts w:ascii="Arial" w:hAnsi="Arial" w:cs="Arial"/>
                <w:b w:val="0"/>
                <w:bCs/>
                <w:sz w:val="16"/>
                <w:szCs w:val="16"/>
              </w:rPr>
            </w:pPr>
            <w:r w:rsidRPr="000F778E">
              <w:rPr>
                <w:rFonts w:ascii="Arial" w:hAnsi="Arial" w:cs="Arial"/>
                <w:b w:val="0"/>
                <w:bCs/>
                <w:color w:val="333333"/>
                <w:sz w:val="16"/>
                <w:szCs w:val="16"/>
                <w:shd w:val="clear" w:color="auto" w:fill="FFFFFF"/>
              </w:rPr>
              <w:t>CVD risk estimated using the greater of the Framingham, International, or United Kingdom Prospective Diabetes Study risk scores</w:t>
            </w:r>
          </w:p>
        </w:tc>
        <w:tc>
          <w:tcPr>
            <w:tcW w:w="631" w:type="pct"/>
            <w:shd w:val="clear" w:color="auto" w:fill="auto"/>
          </w:tcPr>
          <w:p w14:paraId="10456871" w14:textId="7E162061" w:rsidR="005310AB" w:rsidRPr="000F778E" w:rsidRDefault="004F0066" w:rsidP="00003672">
            <w:pPr>
              <w:pStyle w:val="TableHeading"/>
              <w:spacing w:before="0" w:after="0"/>
              <w:rPr>
                <w:rFonts w:ascii="Arial" w:hAnsi="Arial" w:cs="Arial"/>
                <w:b w:val="0"/>
                <w:bCs/>
                <w:sz w:val="16"/>
                <w:szCs w:val="16"/>
              </w:rPr>
            </w:pPr>
            <w:r w:rsidRPr="000F778E">
              <w:rPr>
                <w:rFonts w:ascii="Arial" w:hAnsi="Arial" w:cs="Arial"/>
                <w:b w:val="0"/>
                <w:bCs/>
                <w:color w:val="333333"/>
                <w:sz w:val="16"/>
                <w:szCs w:val="16"/>
                <w:shd w:val="clear" w:color="auto" w:fill="FFFFFF"/>
              </w:rPr>
              <w:t>U</w:t>
            </w:r>
            <w:r w:rsidR="007B16FB" w:rsidRPr="000F778E">
              <w:rPr>
                <w:rFonts w:ascii="Arial" w:hAnsi="Arial" w:cs="Arial"/>
                <w:b w:val="0"/>
                <w:bCs/>
                <w:color w:val="333333"/>
                <w:sz w:val="16"/>
                <w:szCs w:val="16"/>
                <w:shd w:val="clear" w:color="auto" w:fill="FFFFFF"/>
              </w:rPr>
              <w:t xml:space="preserve">sual care </w:t>
            </w:r>
          </w:p>
        </w:tc>
        <w:tc>
          <w:tcPr>
            <w:tcW w:w="717" w:type="pct"/>
            <w:shd w:val="clear" w:color="auto" w:fill="auto"/>
          </w:tcPr>
          <w:p w14:paraId="51C46522" w14:textId="17CB3A72" w:rsidR="005310AB" w:rsidRPr="000F778E" w:rsidRDefault="007B16FB" w:rsidP="00003672">
            <w:pPr>
              <w:pStyle w:val="TableHeading"/>
              <w:spacing w:before="0" w:after="0"/>
              <w:rPr>
                <w:rFonts w:ascii="Arial" w:hAnsi="Arial" w:cs="Arial"/>
                <w:b w:val="0"/>
                <w:bCs/>
                <w:color w:val="212121"/>
                <w:sz w:val="16"/>
                <w:szCs w:val="16"/>
                <w:shd w:val="clear" w:color="auto" w:fill="FFFFFF"/>
              </w:rPr>
            </w:pPr>
            <w:r w:rsidRPr="000F778E">
              <w:rPr>
                <w:rFonts w:ascii="Arial" w:hAnsi="Arial" w:cs="Arial"/>
                <w:b w:val="0"/>
                <w:bCs/>
                <w:color w:val="333333"/>
                <w:sz w:val="16"/>
                <w:szCs w:val="16"/>
                <w:shd w:val="clear" w:color="auto" w:fill="FFFFFF"/>
              </w:rPr>
              <w:t>21% difference in change in risk for CVD events (p &lt; 0.001) between the intervention and usual care groups.</w:t>
            </w:r>
          </w:p>
        </w:tc>
        <w:tc>
          <w:tcPr>
            <w:tcW w:w="978" w:type="pct"/>
          </w:tcPr>
          <w:p w14:paraId="76689806" w14:textId="77777777" w:rsidR="005310AB" w:rsidRPr="000F778E" w:rsidRDefault="005310AB" w:rsidP="00003672">
            <w:pPr>
              <w:pStyle w:val="TableHeading"/>
              <w:spacing w:before="0" w:after="0"/>
              <w:rPr>
                <w:rFonts w:ascii="Arial" w:hAnsi="Arial" w:cs="Arial"/>
                <w:b w:val="0"/>
                <w:sz w:val="16"/>
                <w:szCs w:val="16"/>
              </w:rPr>
            </w:pPr>
          </w:p>
        </w:tc>
      </w:tr>
      <w:tr w:rsidR="008C3194" w:rsidRPr="000F778E" w14:paraId="69613B05" w14:textId="77777777" w:rsidTr="00097BC5">
        <w:trPr>
          <w:tblHeader/>
        </w:trPr>
        <w:tc>
          <w:tcPr>
            <w:tcW w:w="793" w:type="pct"/>
            <w:shd w:val="clear" w:color="auto" w:fill="auto"/>
          </w:tcPr>
          <w:p w14:paraId="27FD4B7B" w14:textId="1F3A42B5" w:rsidR="007452E8" w:rsidRPr="000F778E" w:rsidRDefault="007452E8" w:rsidP="00003672">
            <w:pPr>
              <w:pStyle w:val="TableHeading"/>
              <w:spacing w:before="0" w:after="0"/>
              <w:rPr>
                <w:rFonts w:ascii="Arial" w:hAnsi="Arial" w:cs="Arial"/>
                <w:b w:val="0"/>
                <w:bCs/>
                <w:sz w:val="16"/>
                <w:szCs w:val="16"/>
              </w:rPr>
            </w:pPr>
            <w:r w:rsidRPr="000F778E">
              <w:rPr>
                <w:rFonts w:ascii="Arial" w:hAnsi="Arial" w:cs="Arial"/>
                <w:b w:val="0"/>
                <w:bCs/>
                <w:color w:val="212121"/>
                <w:sz w:val="16"/>
                <w:szCs w:val="16"/>
              </w:rPr>
              <w:lastRenderedPageBreak/>
              <w:t>The effectiveness of screening for diabetes and cardiovascular disease risk factors in a community pharmacy setting</w:t>
            </w:r>
          </w:p>
        </w:tc>
        <w:tc>
          <w:tcPr>
            <w:tcW w:w="347" w:type="pct"/>
            <w:shd w:val="clear" w:color="auto" w:fill="auto"/>
          </w:tcPr>
          <w:p w14:paraId="7F873203" w14:textId="77777777"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sz w:val="16"/>
                <w:szCs w:val="16"/>
              </w:rPr>
              <w:t>16 studies</w:t>
            </w:r>
          </w:p>
          <w:p w14:paraId="2C53E10C" w14:textId="77777777" w:rsidR="007452E8" w:rsidRPr="000F778E" w:rsidRDefault="007452E8" w:rsidP="00003672">
            <w:pPr>
              <w:pStyle w:val="TableHeading"/>
              <w:spacing w:before="0" w:after="0"/>
              <w:rPr>
                <w:rFonts w:ascii="Arial" w:hAnsi="Arial" w:cs="Arial"/>
                <w:b w:val="0"/>
                <w:sz w:val="16"/>
                <w:szCs w:val="16"/>
              </w:rPr>
            </w:pPr>
          </w:p>
          <w:p w14:paraId="3B457CF5" w14:textId="381FB63A"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sz w:val="16"/>
                <w:szCs w:val="16"/>
              </w:rPr>
              <w:t xml:space="preserve">108,414 </w:t>
            </w:r>
            <w:r w:rsidR="008C3194" w:rsidRPr="000F778E">
              <w:rPr>
                <w:rFonts w:ascii="Arial" w:hAnsi="Arial" w:cs="Arial"/>
                <w:b w:val="0"/>
                <w:sz w:val="16"/>
                <w:szCs w:val="16"/>
              </w:rPr>
              <w:t>participants</w:t>
            </w:r>
          </w:p>
        </w:tc>
        <w:tc>
          <w:tcPr>
            <w:tcW w:w="478" w:type="pct"/>
            <w:shd w:val="clear" w:color="auto" w:fill="auto"/>
          </w:tcPr>
          <w:p w14:paraId="73D7A395" w14:textId="22D58E69"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sz w:val="16"/>
                <w:szCs w:val="16"/>
              </w:rPr>
              <w:t>Systematic review and meta data analysis</w:t>
            </w:r>
          </w:p>
        </w:tc>
        <w:tc>
          <w:tcPr>
            <w:tcW w:w="528" w:type="pct"/>
          </w:tcPr>
          <w:p w14:paraId="32AB9081" w14:textId="77777777" w:rsidR="007452E8" w:rsidRPr="000F778E" w:rsidRDefault="007452E8" w:rsidP="00003672">
            <w:pPr>
              <w:pStyle w:val="TableHeading"/>
              <w:spacing w:before="0" w:after="0"/>
              <w:rPr>
                <w:rFonts w:ascii="Arial" w:hAnsi="Arial" w:cs="Arial"/>
                <w:b w:val="0"/>
                <w:sz w:val="16"/>
                <w:szCs w:val="16"/>
              </w:rPr>
            </w:pPr>
          </w:p>
        </w:tc>
        <w:tc>
          <w:tcPr>
            <w:tcW w:w="528" w:type="pct"/>
          </w:tcPr>
          <w:p w14:paraId="7AD364A0" w14:textId="77777777" w:rsidR="007452E8" w:rsidRPr="000F778E" w:rsidRDefault="007452E8" w:rsidP="00003672">
            <w:pPr>
              <w:pStyle w:val="TableHeading"/>
              <w:spacing w:before="0" w:after="0"/>
              <w:rPr>
                <w:rFonts w:ascii="Arial" w:hAnsi="Arial" w:cs="Arial"/>
                <w:b w:val="0"/>
                <w:sz w:val="16"/>
                <w:szCs w:val="16"/>
              </w:rPr>
            </w:pPr>
          </w:p>
        </w:tc>
        <w:tc>
          <w:tcPr>
            <w:tcW w:w="631" w:type="pct"/>
            <w:shd w:val="clear" w:color="auto" w:fill="auto"/>
          </w:tcPr>
          <w:p w14:paraId="1AC83E12" w14:textId="77777777" w:rsidR="007452E8" w:rsidRPr="000F778E" w:rsidRDefault="007452E8" w:rsidP="00003672">
            <w:pPr>
              <w:pStyle w:val="TableHeading"/>
              <w:spacing w:before="0" w:after="0"/>
              <w:rPr>
                <w:rFonts w:ascii="Arial" w:hAnsi="Arial" w:cs="Arial"/>
                <w:b w:val="0"/>
                <w:sz w:val="16"/>
                <w:szCs w:val="16"/>
              </w:rPr>
            </w:pPr>
          </w:p>
        </w:tc>
        <w:tc>
          <w:tcPr>
            <w:tcW w:w="717" w:type="pct"/>
            <w:shd w:val="clear" w:color="auto" w:fill="auto"/>
          </w:tcPr>
          <w:p w14:paraId="0F01FA68" w14:textId="43270A61" w:rsidR="007452E8" w:rsidRPr="000F778E" w:rsidRDefault="007452E8" w:rsidP="00003672">
            <w:pPr>
              <w:pStyle w:val="TableHeading"/>
              <w:spacing w:before="0" w:after="0"/>
              <w:rPr>
                <w:rFonts w:ascii="Arial" w:hAnsi="Arial" w:cs="Arial"/>
                <w:b w:val="0"/>
                <w:bCs/>
                <w:sz w:val="16"/>
                <w:szCs w:val="16"/>
              </w:rPr>
            </w:pPr>
            <w:r w:rsidRPr="000F778E">
              <w:rPr>
                <w:rFonts w:ascii="Arial" w:hAnsi="Arial" w:cs="Arial"/>
                <w:b w:val="0"/>
                <w:bCs/>
                <w:color w:val="212121"/>
                <w:sz w:val="16"/>
                <w:szCs w:val="16"/>
                <w:shd w:val="clear" w:color="auto" w:fill="FFFFFF"/>
              </w:rPr>
              <w:t>Results show pharmacies are feasible sites for screening for diabetes and those at risk of cardiovascular disease. A significant number of previously unknown cases of cardiovascular disease risk factors such as hypertension, hypercholesterolemia and diabetes are identified, however a significant number of referred participants at high risk do not attend their practitioner for follow up.</w:t>
            </w:r>
          </w:p>
        </w:tc>
        <w:tc>
          <w:tcPr>
            <w:tcW w:w="978" w:type="pct"/>
          </w:tcPr>
          <w:p w14:paraId="59F00E4B" w14:textId="77777777" w:rsidR="007452E8" w:rsidRPr="000F778E" w:rsidRDefault="007452E8" w:rsidP="00003672">
            <w:pPr>
              <w:pStyle w:val="TableHeading"/>
              <w:spacing w:before="0" w:after="0"/>
              <w:rPr>
                <w:rFonts w:ascii="Arial" w:hAnsi="Arial" w:cs="Arial"/>
                <w:b w:val="0"/>
                <w:sz w:val="16"/>
                <w:szCs w:val="16"/>
              </w:rPr>
            </w:pPr>
          </w:p>
        </w:tc>
      </w:tr>
      <w:tr w:rsidR="008C3194" w:rsidRPr="000F778E" w14:paraId="4E9E9218" w14:textId="77777777" w:rsidTr="00097BC5">
        <w:trPr>
          <w:tblHeader/>
        </w:trPr>
        <w:tc>
          <w:tcPr>
            <w:tcW w:w="793" w:type="pct"/>
            <w:shd w:val="clear" w:color="auto" w:fill="auto"/>
          </w:tcPr>
          <w:p w14:paraId="244471BD" w14:textId="76DE1C35" w:rsidR="007452E8" w:rsidRPr="000F778E" w:rsidRDefault="007452E8" w:rsidP="00003672">
            <w:pPr>
              <w:pStyle w:val="TableHeading"/>
              <w:spacing w:before="0" w:after="0"/>
              <w:rPr>
                <w:rFonts w:ascii="Arial" w:hAnsi="Arial" w:cs="Arial"/>
                <w:b w:val="0"/>
                <w:bCs/>
                <w:color w:val="212121"/>
                <w:sz w:val="16"/>
                <w:szCs w:val="16"/>
              </w:rPr>
            </w:pPr>
            <w:r w:rsidRPr="000F778E">
              <w:rPr>
                <w:rFonts w:ascii="Arial" w:eastAsia="Arial Unicode MS" w:hAnsi="Arial" w:cs="Arial"/>
                <w:b w:val="0"/>
                <w:bCs/>
                <w:sz w:val="16"/>
                <w:szCs w:val="16"/>
              </w:rPr>
              <w:t>Screening for major diseases in community pharmacies: a systematic review</w:t>
            </w:r>
          </w:p>
        </w:tc>
        <w:tc>
          <w:tcPr>
            <w:tcW w:w="347" w:type="pct"/>
            <w:shd w:val="clear" w:color="auto" w:fill="auto"/>
          </w:tcPr>
          <w:p w14:paraId="1E085A1B" w14:textId="77777777"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sz w:val="16"/>
                <w:szCs w:val="16"/>
              </w:rPr>
              <w:t>51 studies</w:t>
            </w:r>
          </w:p>
          <w:p w14:paraId="70CC22B8" w14:textId="4A50EFB2" w:rsidR="007452E8" w:rsidRPr="000F778E" w:rsidRDefault="007452E8" w:rsidP="00003672">
            <w:pPr>
              <w:pStyle w:val="TableHeading"/>
              <w:spacing w:before="0" w:after="0"/>
              <w:rPr>
                <w:rFonts w:ascii="Arial" w:hAnsi="Arial" w:cs="Arial"/>
                <w:b w:val="0"/>
                <w:sz w:val="16"/>
                <w:szCs w:val="16"/>
              </w:rPr>
            </w:pPr>
          </w:p>
        </w:tc>
        <w:tc>
          <w:tcPr>
            <w:tcW w:w="478" w:type="pct"/>
            <w:shd w:val="clear" w:color="auto" w:fill="auto"/>
          </w:tcPr>
          <w:p w14:paraId="625CDC7C" w14:textId="3AC5A0A4" w:rsidR="007452E8" w:rsidRPr="000F778E" w:rsidRDefault="007452E8" w:rsidP="00003672">
            <w:pPr>
              <w:pStyle w:val="TableHeading"/>
              <w:spacing w:before="0" w:after="0"/>
              <w:rPr>
                <w:rFonts w:ascii="Arial" w:hAnsi="Arial" w:cs="Arial"/>
                <w:b w:val="0"/>
                <w:sz w:val="16"/>
                <w:szCs w:val="16"/>
              </w:rPr>
            </w:pPr>
            <w:r w:rsidRPr="000F778E">
              <w:rPr>
                <w:rFonts w:ascii="Arial" w:hAnsi="Arial" w:cs="Arial"/>
                <w:b w:val="0"/>
                <w:sz w:val="16"/>
                <w:szCs w:val="16"/>
              </w:rPr>
              <w:t>Systematic review</w:t>
            </w:r>
          </w:p>
        </w:tc>
        <w:tc>
          <w:tcPr>
            <w:tcW w:w="528" w:type="pct"/>
          </w:tcPr>
          <w:p w14:paraId="1F8373C4" w14:textId="77777777" w:rsidR="007452E8" w:rsidRPr="000F778E" w:rsidRDefault="007452E8" w:rsidP="00003672">
            <w:pPr>
              <w:pStyle w:val="TableHeading"/>
              <w:spacing w:before="0" w:after="0"/>
              <w:rPr>
                <w:rFonts w:ascii="Arial" w:hAnsi="Arial" w:cs="Arial"/>
                <w:b w:val="0"/>
                <w:sz w:val="16"/>
                <w:szCs w:val="16"/>
              </w:rPr>
            </w:pPr>
          </w:p>
        </w:tc>
        <w:tc>
          <w:tcPr>
            <w:tcW w:w="528" w:type="pct"/>
          </w:tcPr>
          <w:p w14:paraId="10FCDD34" w14:textId="1B438784" w:rsidR="007452E8" w:rsidRPr="000F778E" w:rsidRDefault="007452E8" w:rsidP="00003672">
            <w:pPr>
              <w:pStyle w:val="TableHeading"/>
              <w:spacing w:before="0" w:after="0"/>
              <w:rPr>
                <w:rFonts w:ascii="Arial" w:hAnsi="Arial" w:cs="Arial"/>
                <w:b w:val="0"/>
                <w:bCs/>
                <w:sz w:val="16"/>
                <w:szCs w:val="16"/>
              </w:rPr>
            </w:pPr>
            <w:r w:rsidRPr="000F778E">
              <w:rPr>
                <w:rFonts w:ascii="Arial" w:hAnsi="Arial" w:cs="Arial"/>
                <w:b w:val="0"/>
                <w:bCs/>
                <w:color w:val="212121"/>
                <w:sz w:val="16"/>
                <w:szCs w:val="16"/>
                <w:shd w:val="clear" w:color="auto" w:fill="FFFFFF"/>
              </w:rPr>
              <w:t xml:space="preserve">Screening </w:t>
            </w:r>
            <w:r w:rsidR="004F0066" w:rsidRPr="000F778E">
              <w:rPr>
                <w:rFonts w:ascii="Arial" w:hAnsi="Arial" w:cs="Arial"/>
                <w:b w:val="0"/>
                <w:bCs/>
                <w:color w:val="212121"/>
                <w:sz w:val="16"/>
                <w:szCs w:val="16"/>
                <w:shd w:val="clear" w:color="auto" w:fill="FFFFFF"/>
              </w:rPr>
              <w:t>predominantly</w:t>
            </w:r>
            <w:r w:rsidRPr="000F778E">
              <w:rPr>
                <w:rFonts w:ascii="Arial" w:hAnsi="Arial" w:cs="Arial"/>
                <w:b w:val="0"/>
                <w:bCs/>
                <w:color w:val="212121"/>
                <w:sz w:val="16"/>
                <w:szCs w:val="16"/>
                <w:shd w:val="clear" w:color="auto" w:fill="FFFFFF"/>
              </w:rPr>
              <w:t xml:space="preserve"> opportunistic and screening tools included questionnaires or risk assessment forms, medical equipment </w:t>
            </w:r>
            <w:r w:rsidR="004F0066" w:rsidRPr="000F778E">
              <w:rPr>
                <w:rFonts w:ascii="Arial" w:hAnsi="Arial" w:cs="Arial"/>
                <w:b w:val="0"/>
                <w:bCs/>
                <w:color w:val="212121"/>
                <w:sz w:val="16"/>
                <w:szCs w:val="16"/>
                <w:shd w:val="clear" w:color="auto" w:fill="FFFFFF"/>
              </w:rPr>
              <w:t>for</w:t>
            </w:r>
            <w:r w:rsidRPr="000F778E">
              <w:rPr>
                <w:rFonts w:ascii="Arial" w:hAnsi="Arial" w:cs="Arial"/>
                <w:b w:val="0"/>
                <w:bCs/>
                <w:color w:val="212121"/>
                <w:sz w:val="16"/>
                <w:szCs w:val="16"/>
                <w:shd w:val="clear" w:color="auto" w:fill="FFFFFF"/>
              </w:rPr>
              <w:t xml:space="preserve"> physiological measurements, or a combination of both</w:t>
            </w:r>
            <w:r w:rsidR="002C6692">
              <w:rPr>
                <w:rFonts w:ascii="Arial" w:hAnsi="Arial" w:cs="Arial"/>
                <w:b w:val="0"/>
                <w:bCs/>
                <w:color w:val="212121"/>
                <w:sz w:val="16"/>
                <w:szCs w:val="16"/>
                <w:shd w:val="clear" w:color="auto" w:fill="FFFFFF"/>
              </w:rPr>
              <w:t>.</w:t>
            </w:r>
          </w:p>
        </w:tc>
        <w:tc>
          <w:tcPr>
            <w:tcW w:w="631" w:type="pct"/>
            <w:shd w:val="clear" w:color="auto" w:fill="auto"/>
          </w:tcPr>
          <w:p w14:paraId="4FBED3CE" w14:textId="77777777" w:rsidR="007452E8" w:rsidRPr="000F778E" w:rsidRDefault="007452E8" w:rsidP="00003672">
            <w:pPr>
              <w:pStyle w:val="TableHeading"/>
              <w:spacing w:before="0" w:after="0"/>
              <w:rPr>
                <w:rFonts w:ascii="Arial" w:hAnsi="Arial" w:cs="Arial"/>
                <w:b w:val="0"/>
                <w:bCs/>
                <w:sz w:val="16"/>
                <w:szCs w:val="16"/>
              </w:rPr>
            </w:pPr>
          </w:p>
        </w:tc>
        <w:tc>
          <w:tcPr>
            <w:tcW w:w="717" w:type="pct"/>
            <w:shd w:val="clear" w:color="auto" w:fill="auto"/>
          </w:tcPr>
          <w:p w14:paraId="66D05D5A" w14:textId="15D1F4D4" w:rsidR="007452E8" w:rsidRPr="000F778E" w:rsidRDefault="007452E8" w:rsidP="00003672">
            <w:pPr>
              <w:pStyle w:val="TableHeading"/>
              <w:spacing w:before="0" w:after="0"/>
              <w:rPr>
                <w:rFonts w:ascii="Arial" w:hAnsi="Arial" w:cs="Arial"/>
                <w:b w:val="0"/>
                <w:bCs/>
                <w:color w:val="212121"/>
                <w:sz w:val="16"/>
                <w:szCs w:val="16"/>
                <w:shd w:val="clear" w:color="auto" w:fill="FFFFFF"/>
              </w:rPr>
            </w:pPr>
            <w:r w:rsidRPr="000F778E">
              <w:rPr>
                <w:rFonts w:ascii="Arial" w:hAnsi="Arial" w:cs="Arial"/>
                <w:b w:val="0"/>
                <w:bCs/>
                <w:color w:val="212121"/>
                <w:sz w:val="16"/>
                <w:szCs w:val="16"/>
                <w:shd w:val="clear" w:color="auto" w:fill="FFFFFF"/>
              </w:rPr>
              <w:t>The proportion of screened individuals, identified with disease risk factors or the disease, ranged from 4% to 89%. Where assessed, patient satisfaction with pharmacy-based screening was high, but individuals who screened positive often did not follow pharmacist advice to seek further medical help.</w:t>
            </w:r>
          </w:p>
        </w:tc>
        <w:tc>
          <w:tcPr>
            <w:tcW w:w="978" w:type="pct"/>
          </w:tcPr>
          <w:p w14:paraId="629A2587" w14:textId="77777777" w:rsidR="007452E8" w:rsidRPr="000F778E" w:rsidRDefault="007452E8" w:rsidP="00003672">
            <w:pPr>
              <w:pStyle w:val="TableHeading"/>
              <w:spacing w:before="0" w:after="0"/>
              <w:rPr>
                <w:rFonts w:ascii="Arial" w:hAnsi="Arial" w:cs="Arial"/>
                <w:b w:val="0"/>
                <w:sz w:val="16"/>
                <w:szCs w:val="16"/>
              </w:rPr>
            </w:pPr>
          </w:p>
        </w:tc>
      </w:tr>
    </w:tbl>
    <w:p w14:paraId="0308A7F6" w14:textId="08B29D83" w:rsidR="00DC4EC7" w:rsidRPr="00AD7843" w:rsidRDefault="00EE4EEF" w:rsidP="00957B7E">
      <w:pPr>
        <w:pStyle w:val="Heading3"/>
        <w:spacing w:before="160" w:after="160"/>
        <w:rPr>
          <w:rFonts w:ascii="Arial" w:hAnsi="Arial" w:cs="Arial"/>
          <w:b/>
          <w:bCs/>
        </w:rPr>
      </w:pPr>
      <w:bookmarkStart w:id="40" w:name="_Toc137535751"/>
      <w:r w:rsidRPr="00AD7843">
        <w:rPr>
          <w:rFonts w:ascii="Arial" w:hAnsi="Arial" w:cs="Arial"/>
          <w:b/>
          <w:bCs/>
        </w:rPr>
        <w:t>2B.1.3</w:t>
      </w:r>
      <w:r w:rsidR="008967C4" w:rsidRPr="00AD7843">
        <w:rPr>
          <w:rFonts w:ascii="Arial" w:hAnsi="Arial" w:cs="Arial"/>
          <w:b/>
          <w:bCs/>
        </w:rPr>
        <w:tab/>
      </w:r>
      <w:r w:rsidRPr="00AD7843">
        <w:rPr>
          <w:rFonts w:ascii="Arial" w:hAnsi="Arial" w:cs="Arial"/>
          <w:b/>
          <w:bCs/>
        </w:rPr>
        <w:t>Results</w:t>
      </w:r>
      <w:bookmarkEnd w:id="40"/>
    </w:p>
    <w:p w14:paraId="7F5E21C5" w14:textId="04A42C2F" w:rsidR="002B0E8E" w:rsidRPr="00FE5AD3" w:rsidRDefault="002B0E8E" w:rsidP="00957B7E">
      <w:pPr>
        <w:spacing w:before="160" w:line="240" w:lineRule="auto"/>
        <w:rPr>
          <w:rFonts w:ascii="Arial" w:hAnsi="Arial" w:cs="Arial"/>
        </w:rPr>
      </w:pPr>
      <w:r w:rsidRPr="00FE5AD3">
        <w:rPr>
          <w:rFonts w:ascii="Arial" w:hAnsi="Arial" w:cs="Arial"/>
        </w:rPr>
        <w:t>Initially</w:t>
      </w:r>
      <w:r w:rsidR="002D35D4">
        <w:rPr>
          <w:rFonts w:ascii="Arial" w:hAnsi="Arial" w:cs="Arial"/>
        </w:rPr>
        <w:t>,</w:t>
      </w:r>
      <w:r w:rsidRPr="00FE5AD3">
        <w:rPr>
          <w:rFonts w:ascii="Arial" w:hAnsi="Arial" w:cs="Arial"/>
        </w:rPr>
        <w:t xml:space="preserve"> participant recruitment progressed at a slower rate than predicted across the 2019 Christmas period with 185 participants recruited at the end of January 2020. The COVID-19 pandemic environment restrictions from beginning of March 2020 significantly impacted the ability of participating pharmacies to recruit to the trial.</w:t>
      </w:r>
    </w:p>
    <w:p w14:paraId="727F611A" w14:textId="293FAAAB" w:rsidR="002B0E8E" w:rsidRPr="00957B7E" w:rsidRDefault="002B0E8E" w:rsidP="00957B7E">
      <w:pPr>
        <w:spacing w:before="160" w:line="240" w:lineRule="auto"/>
        <w:rPr>
          <w:rFonts w:ascii="Arial" w:hAnsi="Arial" w:cs="Arial"/>
        </w:rPr>
      </w:pPr>
      <w:r w:rsidRPr="00FE5AD3">
        <w:rPr>
          <w:rFonts w:ascii="Arial" w:hAnsi="Arial" w:cs="Arial"/>
        </w:rPr>
        <w:t xml:space="preserve">In March 2020, at the request of the Department of Health, a new statistical plan was prepared to determine the minimum number of recruited participants required to achieve statistically sound results, in response to the low recruitment rate. </w:t>
      </w:r>
      <w:r w:rsidR="00CA2F42" w:rsidRPr="00FE5AD3">
        <w:rPr>
          <w:rFonts w:ascii="Arial" w:hAnsi="Arial" w:cs="Arial"/>
        </w:rPr>
        <w:t xml:space="preserve">Using the new statistical plan, the Department of Health approved a new recruitment minimum of 200 </w:t>
      </w:r>
      <w:r w:rsidR="00940907" w:rsidRPr="00FE5AD3">
        <w:rPr>
          <w:rFonts w:ascii="Arial" w:hAnsi="Arial" w:cs="Arial"/>
        </w:rPr>
        <w:t>participants:</w:t>
      </w:r>
      <w:r w:rsidR="00CA2F42" w:rsidRPr="00FE5AD3">
        <w:rPr>
          <w:rFonts w:ascii="Arial" w:hAnsi="Arial" w:cs="Arial"/>
        </w:rPr>
        <w:t xml:space="preserve"> </w:t>
      </w:r>
      <w:r w:rsidR="00CA2F42" w:rsidRPr="00FA6C0F">
        <w:rPr>
          <w:rFonts w:ascii="Arial" w:hAnsi="Arial" w:cs="Arial"/>
        </w:rPr>
        <w:t>with each pharmacy recruiting between 3 and 36 participants.</w:t>
      </w:r>
      <w:r w:rsidR="00A85BF7">
        <w:rPr>
          <w:rFonts w:ascii="Arial" w:hAnsi="Arial" w:cs="Arial"/>
        </w:rPr>
        <w:t xml:space="preserve"> </w:t>
      </w:r>
      <w:r w:rsidR="00CA2F42" w:rsidRPr="00FA6C0F">
        <w:rPr>
          <w:rFonts w:ascii="Arial" w:hAnsi="Arial" w:cs="Arial"/>
        </w:rPr>
        <w:t>The Department confirmed the new recruitment minimum allowed 80% statistical power for trial outcomes.</w:t>
      </w:r>
    </w:p>
    <w:p w14:paraId="61DB1D9A" w14:textId="475153CD" w:rsidR="00BF7C54" w:rsidRPr="008B6783" w:rsidRDefault="00BF7C54" w:rsidP="00957B7E">
      <w:pPr>
        <w:pStyle w:val="Heading4"/>
        <w:spacing w:before="160" w:after="160"/>
      </w:pPr>
      <w:r w:rsidRPr="008B6783">
        <w:t>Safety</w:t>
      </w:r>
    </w:p>
    <w:p w14:paraId="19A0837F" w14:textId="0A832051" w:rsidR="00DD0293" w:rsidRPr="000F778E" w:rsidRDefault="00134349" w:rsidP="00957B7E">
      <w:pPr>
        <w:spacing w:before="160" w:line="240" w:lineRule="auto"/>
        <w:rPr>
          <w:rFonts w:ascii="Arial" w:hAnsi="Arial" w:cs="Arial"/>
        </w:rPr>
      </w:pPr>
      <w:r w:rsidRPr="000F778E">
        <w:rPr>
          <w:rFonts w:ascii="Arial" w:hAnsi="Arial" w:cs="Arial"/>
        </w:rPr>
        <w:t>T</w:t>
      </w:r>
      <w:r w:rsidR="00DD0293" w:rsidRPr="000F778E">
        <w:rPr>
          <w:rFonts w:ascii="Arial" w:hAnsi="Arial" w:cs="Arial"/>
        </w:rPr>
        <w:t>he Trial was a clustered randomised controlled trial that compared the effectiveness</w:t>
      </w:r>
      <w:r w:rsidRPr="000F778E">
        <w:rPr>
          <w:rFonts w:ascii="Arial" w:hAnsi="Arial" w:cs="Arial"/>
        </w:rPr>
        <w:t xml:space="preserve"> </w:t>
      </w:r>
      <w:r w:rsidR="001F7120" w:rsidRPr="000F778E">
        <w:rPr>
          <w:rFonts w:ascii="Arial" w:hAnsi="Arial" w:cs="Arial"/>
        </w:rPr>
        <w:t xml:space="preserve">of </w:t>
      </w:r>
      <w:r w:rsidRPr="000F778E">
        <w:rPr>
          <w:rFonts w:ascii="Arial" w:hAnsi="Arial" w:cs="Arial"/>
        </w:rPr>
        <w:t xml:space="preserve">a </w:t>
      </w:r>
      <w:r w:rsidR="00097BC5" w:rsidRPr="000F778E">
        <w:rPr>
          <w:rFonts w:ascii="Arial" w:hAnsi="Arial" w:cs="Arial"/>
        </w:rPr>
        <w:t>Brief</w:t>
      </w:r>
      <w:r w:rsidRPr="000F778E">
        <w:rPr>
          <w:rFonts w:ascii="Arial" w:hAnsi="Arial" w:cs="Arial"/>
        </w:rPr>
        <w:t xml:space="preserve"> CVD </w:t>
      </w:r>
      <w:r w:rsidR="00097BC5" w:rsidRPr="000F778E">
        <w:rPr>
          <w:rFonts w:ascii="Arial" w:hAnsi="Arial" w:cs="Arial"/>
        </w:rPr>
        <w:t>R</w:t>
      </w:r>
      <w:r w:rsidRPr="000F778E">
        <w:rPr>
          <w:rFonts w:ascii="Arial" w:hAnsi="Arial" w:cs="Arial"/>
        </w:rPr>
        <w:t xml:space="preserve">isk </w:t>
      </w:r>
      <w:r w:rsidR="00097BC5" w:rsidRPr="000F778E">
        <w:rPr>
          <w:rFonts w:ascii="Arial" w:hAnsi="Arial" w:cs="Arial"/>
        </w:rPr>
        <w:t>A</w:t>
      </w:r>
      <w:r w:rsidRPr="000F778E">
        <w:rPr>
          <w:rFonts w:ascii="Arial" w:hAnsi="Arial" w:cs="Arial"/>
        </w:rPr>
        <w:t xml:space="preserve">ssessment to a </w:t>
      </w:r>
      <w:r w:rsidR="00097BC5" w:rsidRPr="000F778E">
        <w:rPr>
          <w:rFonts w:ascii="Arial" w:hAnsi="Arial" w:cs="Arial"/>
        </w:rPr>
        <w:t>C</w:t>
      </w:r>
      <w:r w:rsidRPr="000F778E">
        <w:rPr>
          <w:rFonts w:ascii="Arial" w:hAnsi="Arial" w:cs="Arial"/>
        </w:rPr>
        <w:t xml:space="preserve">omprehensive CVD </w:t>
      </w:r>
      <w:r w:rsidR="00097BC5" w:rsidRPr="000F778E">
        <w:rPr>
          <w:rFonts w:ascii="Arial" w:hAnsi="Arial" w:cs="Arial"/>
        </w:rPr>
        <w:t>R</w:t>
      </w:r>
      <w:r w:rsidRPr="000F778E">
        <w:rPr>
          <w:rFonts w:ascii="Arial" w:hAnsi="Arial" w:cs="Arial"/>
        </w:rPr>
        <w:t xml:space="preserve">isk </w:t>
      </w:r>
      <w:r w:rsidR="00097BC5" w:rsidRPr="000F778E">
        <w:rPr>
          <w:rFonts w:ascii="Arial" w:hAnsi="Arial" w:cs="Arial"/>
        </w:rPr>
        <w:t>A</w:t>
      </w:r>
      <w:r w:rsidRPr="000F778E">
        <w:rPr>
          <w:rFonts w:ascii="Arial" w:hAnsi="Arial" w:cs="Arial"/>
        </w:rPr>
        <w:t>ssessment</w:t>
      </w:r>
      <w:r w:rsidR="00784A1D" w:rsidRPr="000F778E">
        <w:rPr>
          <w:rFonts w:ascii="Arial" w:hAnsi="Arial" w:cs="Arial"/>
        </w:rPr>
        <w:t xml:space="preserve">, delivered by community pharmacy </w:t>
      </w:r>
      <w:r w:rsidRPr="000F778E">
        <w:rPr>
          <w:rFonts w:ascii="Arial" w:hAnsi="Arial" w:cs="Arial"/>
        </w:rPr>
        <w:t>and enabl</w:t>
      </w:r>
      <w:r w:rsidR="00DD0293" w:rsidRPr="000F778E">
        <w:rPr>
          <w:rFonts w:ascii="Arial" w:hAnsi="Arial" w:cs="Arial"/>
        </w:rPr>
        <w:t>ing</w:t>
      </w:r>
      <w:r w:rsidRPr="000F778E">
        <w:rPr>
          <w:rFonts w:ascii="Arial" w:hAnsi="Arial" w:cs="Arial"/>
        </w:rPr>
        <w:t xml:space="preserve"> people identified as being at risk to engage in early intervention activities to prevent disease onset and progression.</w:t>
      </w:r>
    </w:p>
    <w:p w14:paraId="07DAA655" w14:textId="637B6DC2" w:rsidR="00DD0293" w:rsidRPr="000F778E" w:rsidRDefault="00134349" w:rsidP="00957B7E">
      <w:pPr>
        <w:spacing w:before="160" w:line="240" w:lineRule="auto"/>
        <w:rPr>
          <w:rFonts w:ascii="Arial" w:hAnsi="Arial" w:cs="Arial"/>
        </w:rPr>
      </w:pPr>
      <w:r w:rsidRPr="000F778E">
        <w:rPr>
          <w:rFonts w:ascii="Arial" w:hAnsi="Arial" w:cs="Arial"/>
        </w:rPr>
        <w:t xml:space="preserve">CVD </w:t>
      </w:r>
      <w:r w:rsidR="00A051DE" w:rsidRPr="000F778E">
        <w:rPr>
          <w:rFonts w:ascii="Arial" w:hAnsi="Arial" w:cs="Arial"/>
        </w:rPr>
        <w:t>R</w:t>
      </w:r>
      <w:r w:rsidRPr="000F778E">
        <w:rPr>
          <w:rFonts w:ascii="Arial" w:hAnsi="Arial" w:cs="Arial"/>
        </w:rPr>
        <w:t xml:space="preserve">isk </w:t>
      </w:r>
      <w:r w:rsidR="00A051DE" w:rsidRPr="000F778E">
        <w:rPr>
          <w:rFonts w:ascii="Arial" w:hAnsi="Arial" w:cs="Arial"/>
        </w:rPr>
        <w:t>A</w:t>
      </w:r>
      <w:r w:rsidRPr="000F778E">
        <w:rPr>
          <w:rFonts w:ascii="Arial" w:hAnsi="Arial" w:cs="Arial"/>
        </w:rPr>
        <w:t xml:space="preserve">ssessments </w:t>
      </w:r>
      <w:r w:rsidR="00784A1D" w:rsidRPr="000F778E">
        <w:rPr>
          <w:rFonts w:ascii="Arial" w:hAnsi="Arial" w:cs="Arial"/>
        </w:rPr>
        <w:t xml:space="preserve">were </w:t>
      </w:r>
      <w:r w:rsidRPr="000F778E">
        <w:rPr>
          <w:rFonts w:ascii="Arial" w:hAnsi="Arial" w:cs="Arial"/>
        </w:rPr>
        <w:t>based on validated questionnaire tools and point of care testing. Assessments calculate</w:t>
      </w:r>
      <w:r w:rsidR="00784A1D" w:rsidRPr="000F778E">
        <w:rPr>
          <w:rFonts w:ascii="Arial" w:hAnsi="Arial" w:cs="Arial"/>
        </w:rPr>
        <w:t xml:space="preserve">d </w:t>
      </w:r>
      <w:r w:rsidRPr="000F778E">
        <w:rPr>
          <w:rFonts w:ascii="Arial" w:hAnsi="Arial" w:cs="Arial"/>
        </w:rPr>
        <w:t xml:space="preserve">participant CVD risk level as low, </w:t>
      </w:r>
      <w:proofErr w:type="gramStart"/>
      <w:r w:rsidRPr="000F778E">
        <w:rPr>
          <w:rFonts w:ascii="Arial" w:hAnsi="Arial" w:cs="Arial"/>
        </w:rPr>
        <w:t>medium</w:t>
      </w:r>
      <w:proofErr w:type="gramEnd"/>
      <w:r w:rsidRPr="000F778E">
        <w:rPr>
          <w:rFonts w:ascii="Arial" w:hAnsi="Arial" w:cs="Arial"/>
        </w:rPr>
        <w:t xml:space="preserve"> or high; </w:t>
      </w:r>
      <w:r w:rsidR="00784A1D" w:rsidRPr="000F778E">
        <w:rPr>
          <w:rFonts w:ascii="Arial" w:hAnsi="Arial" w:cs="Arial"/>
        </w:rPr>
        <w:t>with community</w:t>
      </w:r>
      <w:r w:rsidRPr="000F778E">
        <w:rPr>
          <w:rFonts w:ascii="Arial" w:hAnsi="Arial" w:cs="Arial"/>
        </w:rPr>
        <w:t xml:space="preserve"> pharmacies facilitat</w:t>
      </w:r>
      <w:r w:rsidR="00784A1D" w:rsidRPr="000F778E">
        <w:rPr>
          <w:rFonts w:ascii="Arial" w:hAnsi="Arial" w:cs="Arial"/>
        </w:rPr>
        <w:t>ing</w:t>
      </w:r>
      <w:r w:rsidRPr="000F778E">
        <w:rPr>
          <w:rFonts w:ascii="Arial" w:hAnsi="Arial" w:cs="Arial"/>
        </w:rPr>
        <w:t xml:space="preserve"> appropriate referral where required.</w:t>
      </w:r>
    </w:p>
    <w:p w14:paraId="6A069FD2" w14:textId="112E9D5F" w:rsidR="00DB7340" w:rsidRPr="000F778E" w:rsidRDefault="000F125F" w:rsidP="00957B7E">
      <w:pPr>
        <w:pStyle w:val="BulletLast"/>
        <w:numPr>
          <w:ilvl w:val="0"/>
          <w:numId w:val="0"/>
        </w:numPr>
        <w:spacing w:before="160" w:after="160"/>
        <w:rPr>
          <w:rFonts w:ascii="Arial" w:hAnsi="Arial" w:cs="Arial"/>
        </w:rPr>
      </w:pPr>
      <w:r w:rsidRPr="000F778E">
        <w:rPr>
          <w:rFonts w:ascii="Arial" w:hAnsi="Arial" w:cs="Arial"/>
        </w:rPr>
        <w:t>20 community pharmacies were initially recruited and randomly assigned brief intervention or comprehensive intervention assessments.</w:t>
      </w:r>
      <w:r w:rsidR="00A85BF7">
        <w:rPr>
          <w:rFonts w:ascii="Arial" w:hAnsi="Arial" w:cs="Arial"/>
        </w:rPr>
        <w:t xml:space="preserve"> </w:t>
      </w:r>
      <w:r w:rsidRPr="000F778E">
        <w:rPr>
          <w:rFonts w:ascii="Arial" w:hAnsi="Arial" w:cs="Arial"/>
        </w:rPr>
        <w:t>Community pharmacies were located across a range of suburbs rated 1 to 5 against the Index of Economic Resources (IER) with 1 being the most disadvantaged and 5 being the most advantaged.</w:t>
      </w:r>
      <w:r w:rsidR="00A85BF7">
        <w:rPr>
          <w:rFonts w:ascii="Arial" w:hAnsi="Arial" w:cs="Arial"/>
        </w:rPr>
        <w:t xml:space="preserve"> </w:t>
      </w:r>
      <w:r w:rsidRPr="000F778E">
        <w:rPr>
          <w:rFonts w:ascii="Arial" w:hAnsi="Arial" w:cs="Arial"/>
        </w:rPr>
        <w:t>One Community Pharmacy from each intervention arm withdrew from the trial due to inability to recruit participants.</w:t>
      </w:r>
    </w:p>
    <w:p w14:paraId="7DBBCC96" w14:textId="7E81CD5F" w:rsidR="00547FD2" w:rsidRPr="000F778E" w:rsidRDefault="00134349" w:rsidP="00957B7E">
      <w:pPr>
        <w:spacing w:before="160" w:line="240" w:lineRule="auto"/>
        <w:rPr>
          <w:rFonts w:ascii="Arial" w:hAnsi="Arial" w:cs="Arial"/>
        </w:rPr>
      </w:pPr>
      <w:r w:rsidRPr="000F778E">
        <w:rPr>
          <w:rFonts w:ascii="Arial" w:hAnsi="Arial" w:cs="Arial"/>
        </w:rPr>
        <w:lastRenderedPageBreak/>
        <w:t xml:space="preserve">Community pharmacies involved in the trial </w:t>
      </w:r>
      <w:r w:rsidR="00784A1D" w:rsidRPr="000F778E">
        <w:rPr>
          <w:rFonts w:ascii="Arial" w:hAnsi="Arial" w:cs="Arial"/>
        </w:rPr>
        <w:t>were</w:t>
      </w:r>
      <w:r w:rsidRPr="000F778E">
        <w:rPr>
          <w:rFonts w:ascii="Arial" w:hAnsi="Arial" w:cs="Arial"/>
        </w:rPr>
        <w:t xml:space="preserve"> randomly allocated to </w:t>
      </w:r>
      <w:r w:rsidR="00A051DE" w:rsidRPr="000F778E">
        <w:rPr>
          <w:rFonts w:ascii="Arial" w:hAnsi="Arial" w:cs="Arial"/>
        </w:rPr>
        <w:t>either the B</w:t>
      </w:r>
      <w:r w:rsidR="00105905" w:rsidRPr="000F778E">
        <w:rPr>
          <w:rFonts w:ascii="Arial" w:hAnsi="Arial" w:cs="Arial"/>
        </w:rPr>
        <w:t>rief</w:t>
      </w:r>
      <w:r w:rsidRPr="000F778E">
        <w:rPr>
          <w:rFonts w:ascii="Arial" w:hAnsi="Arial" w:cs="Arial"/>
        </w:rPr>
        <w:t xml:space="preserve"> CVD </w:t>
      </w:r>
      <w:r w:rsidR="00A051DE" w:rsidRPr="000F778E">
        <w:rPr>
          <w:rFonts w:ascii="Arial" w:hAnsi="Arial" w:cs="Arial"/>
        </w:rPr>
        <w:t>R</w:t>
      </w:r>
      <w:r w:rsidRPr="000F778E">
        <w:rPr>
          <w:rFonts w:ascii="Arial" w:hAnsi="Arial" w:cs="Arial"/>
        </w:rPr>
        <w:t xml:space="preserve">isk </w:t>
      </w:r>
      <w:r w:rsidR="00A051DE" w:rsidRPr="000F778E">
        <w:rPr>
          <w:rFonts w:ascii="Arial" w:hAnsi="Arial" w:cs="Arial"/>
        </w:rPr>
        <w:t>A</w:t>
      </w:r>
      <w:r w:rsidRPr="000F778E">
        <w:rPr>
          <w:rFonts w:ascii="Arial" w:hAnsi="Arial" w:cs="Arial"/>
        </w:rPr>
        <w:t xml:space="preserve">ssessment or the </w:t>
      </w:r>
      <w:r w:rsidR="00A051DE" w:rsidRPr="000F778E">
        <w:rPr>
          <w:rFonts w:ascii="Arial" w:hAnsi="Arial" w:cs="Arial"/>
        </w:rPr>
        <w:t>C</w:t>
      </w:r>
      <w:r w:rsidRPr="000F778E">
        <w:rPr>
          <w:rFonts w:ascii="Arial" w:hAnsi="Arial" w:cs="Arial"/>
        </w:rPr>
        <w:t xml:space="preserve">omprehensive CVD </w:t>
      </w:r>
      <w:r w:rsidR="00A051DE" w:rsidRPr="000F778E">
        <w:rPr>
          <w:rFonts w:ascii="Arial" w:hAnsi="Arial" w:cs="Arial"/>
        </w:rPr>
        <w:t>R</w:t>
      </w:r>
      <w:r w:rsidRPr="000F778E">
        <w:rPr>
          <w:rFonts w:ascii="Arial" w:hAnsi="Arial" w:cs="Arial"/>
        </w:rPr>
        <w:t xml:space="preserve">isk </w:t>
      </w:r>
      <w:r w:rsidR="00A051DE" w:rsidRPr="000F778E">
        <w:rPr>
          <w:rFonts w:ascii="Arial" w:hAnsi="Arial" w:cs="Arial"/>
        </w:rPr>
        <w:t>A</w:t>
      </w:r>
      <w:r w:rsidRPr="000F778E">
        <w:rPr>
          <w:rFonts w:ascii="Arial" w:hAnsi="Arial" w:cs="Arial"/>
        </w:rPr>
        <w:t>ssessment. Participants join</w:t>
      </w:r>
      <w:r w:rsidR="00784A1D" w:rsidRPr="000F778E">
        <w:rPr>
          <w:rFonts w:ascii="Arial" w:hAnsi="Arial" w:cs="Arial"/>
        </w:rPr>
        <w:t>ing</w:t>
      </w:r>
      <w:r w:rsidRPr="000F778E">
        <w:rPr>
          <w:rFonts w:ascii="Arial" w:hAnsi="Arial" w:cs="Arial"/>
        </w:rPr>
        <w:t xml:space="preserve"> the trial </w:t>
      </w:r>
      <w:r w:rsidR="00784A1D" w:rsidRPr="000F778E">
        <w:rPr>
          <w:rFonts w:ascii="Arial" w:hAnsi="Arial" w:cs="Arial"/>
        </w:rPr>
        <w:t>underwent</w:t>
      </w:r>
      <w:r w:rsidRPr="000F778E">
        <w:rPr>
          <w:rFonts w:ascii="Arial" w:hAnsi="Arial" w:cs="Arial"/>
        </w:rPr>
        <w:t xml:space="preserve"> the risk assessment (</w:t>
      </w:r>
      <w:r w:rsidR="00A051DE" w:rsidRPr="000F778E">
        <w:rPr>
          <w:rFonts w:ascii="Arial" w:hAnsi="Arial" w:cs="Arial"/>
        </w:rPr>
        <w:t>B</w:t>
      </w:r>
      <w:r w:rsidR="00105905" w:rsidRPr="000F778E">
        <w:rPr>
          <w:rFonts w:ascii="Arial" w:hAnsi="Arial" w:cs="Arial"/>
        </w:rPr>
        <w:t>rief</w:t>
      </w:r>
      <w:r w:rsidRPr="000F778E">
        <w:rPr>
          <w:rFonts w:ascii="Arial" w:hAnsi="Arial" w:cs="Arial"/>
        </w:rPr>
        <w:t xml:space="preserve"> or </w:t>
      </w:r>
      <w:r w:rsidR="00A051DE" w:rsidRPr="000F778E">
        <w:rPr>
          <w:rFonts w:ascii="Arial" w:hAnsi="Arial" w:cs="Arial"/>
        </w:rPr>
        <w:t>C</w:t>
      </w:r>
      <w:r w:rsidRPr="000F778E">
        <w:rPr>
          <w:rFonts w:ascii="Arial" w:hAnsi="Arial" w:cs="Arial"/>
        </w:rPr>
        <w:t xml:space="preserve">omprehensive) </w:t>
      </w:r>
      <w:r w:rsidR="00A051DE" w:rsidRPr="000F778E">
        <w:rPr>
          <w:rFonts w:ascii="Arial" w:hAnsi="Arial" w:cs="Arial"/>
        </w:rPr>
        <w:t>assigned to</w:t>
      </w:r>
      <w:r w:rsidRPr="000F778E">
        <w:rPr>
          <w:rFonts w:ascii="Arial" w:hAnsi="Arial" w:cs="Arial"/>
        </w:rPr>
        <w:t xml:space="preserve"> the pharmacy attend</w:t>
      </w:r>
      <w:r w:rsidR="00784A1D" w:rsidRPr="000F778E">
        <w:rPr>
          <w:rFonts w:ascii="Arial" w:hAnsi="Arial" w:cs="Arial"/>
        </w:rPr>
        <w:t>ed</w:t>
      </w:r>
      <w:r w:rsidRPr="000F778E">
        <w:rPr>
          <w:rFonts w:ascii="Arial" w:hAnsi="Arial" w:cs="Arial"/>
        </w:rPr>
        <w:t>.</w:t>
      </w:r>
    </w:p>
    <w:p w14:paraId="3D10FEEC" w14:textId="54B0AF45" w:rsidR="00547FD2" w:rsidRPr="00957B7E" w:rsidRDefault="00547FD2" w:rsidP="00957B7E">
      <w:pPr>
        <w:spacing w:before="160" w:line="240" w:lineRule="auto"/>
        <w:textAlignment w:val="baseline"/>
        <w:rPr>
          <w:rFonts w:ascii="Arial" w:hAnsi="Arial" w:cs="Arial"/>
          <w:color w:val="000000" w:themeColor="text1"/>
        </w:rPr>
      </w:pPr>
      <w:r w:rsidRPr="000F778E">
        <w:rPr>
          <w:rFonts w:ascii="Arial" w:hAnsi="Arial" w:cs="Arial"/>
          <w:color w:val="000000" w:themeColor="text1"/>
        </w:rPr>
        <w:t xml:space="preserve">Community </w:t>
      </w:r>
      <w:r w:rsidR="002D35D4" w:rsidRPr="000F778E">
        <w:rPr>
          <w:rFonts w:ascii="Arial" w:hAnsi="Arial" w:cs="Arial"/>
          <w:color w:val="000000" w:themeColor="text1"/>
        </w:rPr>
        <w:t>pharmac</w:t>
      </w:r>
      <w:r w:rsidR="002D35D4">
        <w:rPr>
          <w:rFonts w:ascii="Arial" w:hAnsi="Arial" w:cs="Arial"/>
          <w:color w:val="000000" w:themeColor="text1"/>
        </w:rPr>
        <w:t>ies</w:t>
      </w:r>
      <w:r w:rsidR="002D35D4" w:rsidRPr="000F778E">
        <w:rPr>
          <w:rFonts w:ascii="Arial" w:hAnsi="Arial" w:cs="Arial"/>
          <w:color w:val="000000" w:themeColor="text1"/>
        </w:rPr>
        <w:t xml:space="preserve"> </w:t>
      </w:r>
      <w:r w:rsidRPr="000F778E">
        <w:rPr>
          <w:rFonts w:ascii="Arial" w:hAnsi="Arial" w:cs="Arial"/>
          <w:color w:val="000000" w:themeColor="text1"/>
        </w:rPr>
        <w:t xml:space="preserve">undertook opportunistic screening with participants aged 45 to 74 years (35 to 74 years for Aboriginal and Torres Strait Islander people) </w:t>
      </w:r>
      <w:r w:rsidR="00DD0293" w:rsidRPr="000F778E">
        <w:rPr>
          <w:rFonts w:ascii="Arial" w:hAnsi="Arial" w:cs="Arial"/>
          <w:color w:val="000000" w:themeColor="text1"/>
        </w:rPr>
        <w:t xml:space="preserve">and </w:t>
      </w:r>
      <w:r w:rsidRPr="000F778E">
        <w:rPr>
          <w:rFonts w:ascii="Arial" w:hAnsi="Arial" w:cs="Arial"/>
          <w:color w:val="000000" w:themeColor="text1"/>
        </w:rPr>
        <w:t>without known history of CVD who engage</w:t>
      </w:r>
      <w:r w:rsidR="00DD0293" w:rsidRPr="000F778E">
        <w:rPr>
          <w:rFonts w:ascii="Arial" w:hAnsi="Arial" w:cs="Arial"/>
          <w:color w:val="000000" w:themeColor="text1"/>
        </w:rPr>
        <w:t>d</w:t>
      </w:r>
      <w:r w:rsidRPr="000F778E">
        <w:rPr>
          <w:rFonts w:ascii="Arial" w:hAnsi="Arial" w:cs="Arial"/>
          <w:color w:val="000000" w:themeColor="text1"/>
        </w:rPr>
        <w:t xml:space="preserve"> with community pharmacy. </w:t>
      </w:r>
      <w:r w:rsidRPr="000F778E">
        <w:rPr>
          <w:rFonts w:ascii="Arial" w:eastAsia="Arial Unicode MS" w:hAnsi="Arial" w:cs="Arial"/>
          <w:color w:val="000000" w:themeColor="text1"/>
          <w:lang w:eastAsia="en-AU"/>
        </w:rPr>
        <w:t xml:space="preserve">Those reporting a known history of CVD or outside the target age range </w:t>
      </w:r>
      <w:r w:rsidR="00DD0293" w:rsidRPr="000F778E">
        <w:rPr>
          <w:rFonts w:ascii="Arial" w:eastAsia="Arial Unicode MS" w:hAnsi="Arial" w:cs="Arial"/>
          <w:color w:val="000000" w:themeColor="text1"/>
          <w:lang w:eastAsia="en-AU"/>
        </w:rPr>
        <w:t>were</w:t>
      </w:r>
      <w:r w:rsidRPr="000F778E">
        <w:rPr>
          <w:rFonts w:ascii="Arial" w:eastAsia="Arial Unicode MS" w:hAnsi="Arial" w:cs="Arial"/>
          <w:color w:val="000000" w:themeColor="text1"/>
          <w:lang w:eastAsia="en-AU"/>
        </w:rPr>
        <w:t xml:space="preserve"> deemed ineligible for program enrolment and screening.</w:t>
      </w:r>
    </w:p>
    <w:p w14:paraId="4DE3D2F4" w14:textId="659FA1D4" w:rsidR="0088300E" w:rsidRPr="000F778E" w:rsidRDefault="00134349" w:rsidP="00957B7E">
      <w:pPr>
        <w:spacing w:before="160" w:line="240" w:lineRule="auto"/>
        <w:rPr>
          <w:rFonts w:ascii="Arial" w:hAnsi="Arial" w:cs="Arial"/>
        </w:rPr>
      </w:pPr>
      <w:r w:rsidRPr="000F778E">
        <w:rPr>
          <w:rFonts w:ascii="Arial" w:hAnsi="Arial" w:cs="Arial"/>
        </w:rPr>
        <w:t xml:space="preserve">Collected measures </w:t>
      </w:r>
      <w:r w:rsidR="0088300E" w:rsidRPr="000F778E">
        <w:rPr>
          <w:rFonts w:ascii="Arial" w:hAnsi="Arial" w:cs="Arial"/>
        </w:rPr>
        <w:t>were</w:t>
      </w:r>
      <w:r w:rsidRPr="000F778E">
        <w:rPr>
          <w:rFonts w:ascii="Arial" w:hAnsi="Arial" w:cs="Arial"/>
        </w:rPr>
        <w:t xml:space="preserve"> used to calculate participant risk level (low, </w:t>
      </w:r>
      <w:proofErr w:type="gramStart"/>
      <w:r w:rsidRPr="000F778E">
        <w:rPr>
          <w:rFonts w:ascii="Arial" w:hAnsi="Arial" w:cs="Arial"/>
        </w:rPr>
        <w:t>medium</w:t>
      </w:r>
      <w:proofErr w:type="gramEnd"/>
      <w:r w:rsidRPr="000F778E">
        <w:rPr>
          <w:rFonts w:ascii="Arial" w:hAnsi="Arial" w:cs="Arial"/>
        </w:rPr>
        <w:t xml:space="preserve"> or high) using screening algorithms based on risk predicted equations</w:t>
      </w:r>
      <w:r w:rsidR="0088300E" w:rsidRPr="000F778E">
        <w:rPr>
          <w:rFonts w:ascii="Arial" w:hAnsi="Arial" w:cs="Arial"/>
        </w:rPr>
        <w:t>.</w:t>
      </w:r>
      <w:r w:rsidRPr="000F778E">
        <w:rPr>
          <w:rFonts w:ascii="Arial" w:hAnsi="Arial" w:cs="Arial"/>
        </w:rPr>
        <w:t xml:space="preserve"> All participants</w:t>
      </w:r>
      <w:r w:rsidR="0088300E" w:rsidRPr="000F778E">
        <w:rPr>
          <w:rFonts w:ascii="Arial" w:hAnsi="Arial" w:cs="Arial"/>
        </w:rPr>
        <w:t xml:space="preserve"> were </w:t>
      </w:r>
      <w:r w:rsidRPr="000F778E">
        <w:rPr>
          <w:rFonts w:ascii="Arial" w:hAnsi="Arial" w:cs="Arial"/>
        </w:rPr>
        <w:t xml:space="preserve">offered appropriate patient education including printed resources and/or lifestyle advice. Participants assessed as being at medium or high risk </w:t>
      </w:r>
      <w:r w:rsidR="0088300E" w:rsidRPr="000F778E">
        <w:rPr>
          <w:rFonts w:ascii="Arial" w:hAnsi="Arial" w:cs="Arial"/>
        </w:rPr>
        <w:t>were</w:t>
      </w:r>
      <w:r w:rsidRPr="000F778E">
        <w:rPr>
          <w:rFonts w:ascii="Arial" w:hAnsi="Arial" w:cs="Arial"/>
        </w:rPr>
        <w:t xml:space="preserve"> referred to</w:t>
      </w:r>
      <w:r w:rsidR="0088300E" w:rsidRPr="000F778E">
        <w:rPr>
          <w:rFonts w:ascii="Arial" w:hAnsi="Arial" w:cs="Arial"/>
        </w:rPr>
        <w:t xml:space="preserve"> General Practice for further investigation and</w:t>
      </w:r>
      <w:r w:rsidRPr="000F778E">
        <w:rPr>
          <w:rFonts w:ascii="Arial" w:hAnsi="Arial" w:cs="Arial"/>
        </w:rPr>
        <w:t xml:space="preserve"> community-based lifestyle modification programs in the local area</w:t>
      </w:r>
      <w:r w:rsidR="0088300E" w:rsidRPr="000F778E">
        <w:rPr>
          <w:rFonts w:ascii="Arial" w:hAnsi="Arial" w:cs="Arial"/>
        </w:rPr>
        <w:t>.</w:t>
      </w:r>
      <w:r w:rsidR="00A051DE" w:rsidRPr="000F778E">
        <w:rPr>
          <w:rFonts w:ascii="Arial" w:hAnsi="Arial" w:cs="Arial"/>
        </w:rPr>
        <w:t xml:space="preserve"> P</w:t>
      </w:r>
      <w:r w:rsidRPr="000F778E">
        <w:rPr>
          <w:rFonts w:ascii="Arial" w:hAnsi="Arial" w:cs="Arial"/>
        </w:rPr>
        <w:t xml:space="preserve">articipants </w:t>
      </w:r>
      <w:r w:rsidR="0088300E" w:rsidRPr="000F778E">
        <w:rPr>
          <w:rFonts w:ascii="Arial" w:hAnsi="Arial" w:cs="Arial"/>
        </w:rPr>
        <w:t>were</w:t>
      </w:r>
      <w:r w:rsidRPr="000F778E">
        <w:rPr>
          <w:rFonts w:ascii="Arial" w:hAnsi="Arial" w:cs="Arial"/>
        </w:rPr>
        <w:t xml:space="preserve"> contacted </w:t>
      </w:r>
      <w:r w:rsidR="0088300E" w:rsidRPr="000F778E">
        <w:rPr>
          <w:rFonts w:ascii="Arial" w:hAnsi="Arial" w:cs="Arial"/>
        </w:rPr>
        <w:t xml:space="preserve">by community </w:t>
      </w:r>
      <w:r w:rsidR="002D35D4" w:rsidRPr="000F778E">
        <w:rPr>
          <w:rFonts w:ascii="Arial" w:hAnsi="Arial" w:cs="Arial"/>
        </w:rPr>
        <w:t>pharmac</w:t>
      </w:r>
      <w:r w:rsidR="002D35D4">
        <w:rPr>
          <w:rFonts w:ascii="Arial" w:hAnsi="Arial" w:cs="Arial"/>
        </w:rPr>
        <w:t>ies</w:t>
      </w:r>
      <w:r w:rsidR="002D35D4" w:rsidRPr="000F778E">
        <w:rPr>
          <w:rFonts w:ascii="Arial" w:hAnsi="Arial" w:cs="Arial"/>
        </w:rPr>
        <w:t xml:space="preserve"> </w:t>
      </w:r>
      <w:r w:rsidR="0088300E" w:rsidRPr="000F778E">
        <w:rPr>
          <w:rFonts w:ascii="Arial" w:hAnsi="Arial" w:cs="Arial"/>
        </w:rPr>
        <w:t xml:space="preserve">for repeat assessment at </w:t>
      </w:r>
      <w:r w:rsidRPr="000F778E">
        <w:rPr>
          <w:rFonts w:ascii="Arial" w:hAnsi="Arial" w:cs="Arial"/>
        </w:rPr>
        <w:t>6 and 12 months after initial assessment.</w:t>
      </w:r>
    </w:p>
    <w:p w14:paraId="26EF68D5" w14:textId="61594091" w:rsidR="0088300E" w:rsidRPr="000F778E" w:rsidRDefault="00134349" w:rsidP="00957B7E">
      <w:pPr>
        <w:pStyle w:val="Bullet"/>
        <w:numPr>
          <w:ilvl w:val="0"/>
          <w:numId w:val="0"/>
        </w:numPr>
        <w:spacing w:before="160" w:after="160"/>
        <w:rPr>
          <w:rFonts w:ascii="Arial" w:hAnsi="Arial" w:cs="Arial"/>
        </w:rPr>
      </w:pPr>
      <w:r w:rsidRPr="000F778E">
        <w:rPr>
          <w:rFonts w:ascii="Arial" w:hAnsi="Arial" w:cs="Arial"/>
        </w:rPr>
        <w:t xml:space="preserve">The trial was a clustered randomised controlled </w:t>
      </w:r>
      <w:proofErr w:type="gramStart"/>
      <w:r w:rsidRPr="000F778E">
        <w:rPr>
          <w:rFonts w:ascii="Arial" w:hAnsi="Arial" w:cs="Arial"/>
        </w:rPr>
        <w:t>trial;</w:t>
      </w:r>
      <w:proofErr w:type="gramEnd"/>
      <w:r w:rsidRPr="000F778E">
        <w:rPr>
          <w:rFonts w:ascii="Arial" w:hAnsi="Arial" w:cs="Arial"/>
        </w:rPr>
        <w:t xml:space="preserve"> as such the risk of bias </w:t>
      </w:r>
      <w:r w:rsidR="00D167E0" w:rsidRPr="000F778E">
        <w:rPr>
          <w:rFonts w:ascii="Arial" w:hAnsi="Arial" w:cs="Arial"/>
        </w:rPr>
        <w:t xml:space="preserve">between the two arms of the trial </w:t>
      </w:r>
      <w:r w:rsidRPr="000F778E">
        <w:rPr>
          <w:rFonts w:ascii="Arial" w:hAnsi="Arial" w:cs="Arial"/>
        </w:rPr>
        <w:t xml:space="preserve">was assessed using </w:t>
      </w:r>
      <w:r w:rsidR="003853EA" w:rsidRPr="000F778E">
        <w:rPr>
          <w:rFonts w:ascii="Arial" w:hAnsi="Arial" w:cs="Arial"/>
        </w:rPr>
        <w:t>Cochrane risk-of-bias tool for cluster randomised trials (</w:t>
      </w:r>
      <w:proofErr w:type="spellStart"/>
      <w:r w:rsidR="003853EA" w:rsidRPr="000F778E">
        <w:rPr>
          <w:rFonts w:ascii="Arial" w:hAnsi="Arial" w:cs="Arial"/>
        </w:rPr>
        <w:t>RoB</w:t>
      </w:r>
      <w:proofErr w:type="spellEnd"/>
      <w:r w:rsidR="0088300E" w:rsidRPr="000F778E">
        <w:rPr>
          <w:rFonts w:ascii="Arial" w:hAnsi="Arial" w:cs="Arial"/>
        </w:rPr>
        <w:t xml:space="preserve"> 2</w:t>
      </w:r>
      <w:r w:rsidR="003853EA" w:rsidRPr="000F778E">
        <w:rPr>
          <w:rFonts w:ascii="Arial" w:hAnsi="Arial" w:cs="Arial"/>
        </w:rPr>
        <w:t xml:space="preserve"> CRT) 2021.</w:t>
      </w:r>
      <w:r w:rsidR="00A85BF7">
        <w:rPr>
          <w:rFonts w:ascii="Arial" w:hAnsi="Arial" w:cs="Arial"/>
        </w:rPr>
        <w:t xml:space="preserve"> </w:t>
      </w:r>
      <w:r w:rsidR="00D167E0" w:rsidRPr="000F778E">
        <w:rPr>
          <w:rFonts w:ascii="Arial" w:hAnsi="Arial" w:cs="Arial"/>
        </w:rPr>
        <w:t xml:space="preserve">Per </w:t>
      </w:r>
      <w:proofErr w:type="spellStart"/>
      <w:r w:rsidR="00D167E0" w:rsidRPr="000F778E">
        <w:rPr>
          <w:rFonts w:ascii="Arial" w:hAnsi="Arial" w:cs="Arial"/>
        </w:rPr>
        <w:t>RoB</w:t>
      </w:r>
      <w:proofErr w:type="spellEnd"/>
      <w:r w:rsidR="00D167E0" w:rsidRPr="000F778E">
        <w:rPr>
          <w:rFonts w:ascii="Arial" w:hAnsi="Arial" w:cs="Arial"/>
        </w:rPr>
        <w:t xml:space="preserve"> 2 CRT 5 domains of risk of bias were assessed</w:t>
      </w:r>
      <w:r w:rsidR="002D35D4">
        <w:rPr>
          <w:rFonts w:ascii="Arial" w:hAnsi="Arial" w:cs="Arial"/>
        </w:rPr>
        <w:t>:</w:t>
      </w:r>
      <w:r w:rsidR="002D35D4" w:rsidRPr="000F778E">
        <w:rPr>
          <w:rFonts w:ascii="Arial" w:hAnsi="Arial" w:cs="Arial"/>
        </w:rPr>
        <w:t xml:space="preserve"> </w:t>
      </w:r>
      <w:r w:rsidR="00D167E0" w:rsidRPr="000F778E">
        <w:rPr>
          <w:rFonts w:ascii="Arial" w:hAnsi="Arial" w:cs="Arial"/>
        </w:rPr>
        <w:t>bias arising from the randomisation process, bias due to deviations from intended interventions, bias due to missing outcome data, bias in the measurement of the outcome, bias in selection of the report results.</w:t>
      </w:r>
    </w:p>
    <w:p w14:paraId="76380854" w14:textId="303A2CBE" w:rsidR="00D20466" w:rsidRPr="000F778E" w:rsidRDefault="0088300E" w:rsidP="00957B7E">
      <w:pPr>
        <w:pStyle w:val="Bullet"/>
        <w:numPr>
          <w:ilvl w:val="0"/>
          <w:numId w:val="0"/>
        </w:numPr>
        <w:spacing w:before="160" w:after="160"/>
        <w:rPr>
          <w:rFonts w:ascii="Arial" w:hAnsi="Arial" w:cs="Arial"/>
        </w:rPr>
      </w:pPr>
      <w:r w:rsidRPr="000F778E">
        <w:rPr>
          <w:rFonts w:ascii="Arial" w:hAnsi="Arial" w:cs="Arial"/>
        </w:rPr>
        <w:t xml:space="preserve">Based on </w:t>
      </w:r>
      <w:proofErr w:type="spellStart"/>
      <w:r w:rsidRPr="000F778E">
        <w:rPr>
          <w:rFonts w:ascii="Arial" w:hAnsi="Arial" w:cs="Arial"/>
        </w:rPr>
        <w:t>RoB</w:t>
      </w:r>
      <w:proofErr w:type="spellEnd"/>
      <w:r w:rsidRPr="000F778E">
        <w:rPr>
          <w:rFonts w:ascii="Arial" w:hAnsi="Arial" w:cs="Arial"/>
        </w:rPr>
        <w:t xml:space="preserve"> 2 CRT assessment the risk of bias judgement for each domain was Low. </w:t>
      </w:r>
      <w:r w:rsidR="00561A6D" w:rsidRPr="000F778E">
        <w:rPr>
          <w:rFonts w:ascii="Arial" w:hAnsi="Arial" w:cs="Arial"/>
        </w:rPr>
        <w:t>Overall risk-of-bias judgement is Low.</w:t>
      </w:r>
    </w:p>
    <w:p w14:paraId="45150FB4" w14:textId="3BF8EED3" w:rsidR="00AD7843" w:rsidRPr="00957B7E" w:rsidRDefault="00DD0293" w:rsidP="00957B7E">
      <w:pPr>
        <w:spacing w:before="160" w:line="240" w:lineRule="auto"/>
        <w:rPr>
          <w:rFonts w:ascii="Arial" w:hAnsi="Arial" w:cs="Arial"/>
        </w:rPr>
      </w:pPr>
      <w:r w:rsidRPr="000F778E">
        <w:rPr>
          <w:rFonts w:ascii="Arial" w:hAnsi="Arial" w:cs="Arial"/>
        </w:rPr>
        <w:t xml:space="preserve">No adverse events were recorded in either the </w:t>
      </w:r>
      <w:r w:rsidR="00105905" w:rsidRPr="000F778E">
        <w:rPr>
          <w:rFonts w:ascii="Arial" w:hAnsi="Arial" w:cs="Arial"/>
        </w:rPr>
        <w:t>brief</w:t>
      </w:r>
      <w:r w:rsidRPr="000F778E">
        <w:rPr>
          <w:rFonts w:ascii="Arial" w:hAnsi="Arial" w:cs="Arial"/>
        </w:rPr>
        <w:t xml:space="preserve"> or comprehensive intensity arms of the CVD trial.</w:t>
      </w:r>
      <w:bookmarkStart w:id="41" w:name="_Toc54940815"/>
    </w:p>
    <w:p w14:paraId="21121B9E" w14:textId="1608B591" w:rsidR="009873F3" w:rsidRPr="008B6783" w:rsidRDefault="00087AB3" w:rsidP="00957B7E">
      <w:pPr>
        <w:pStyle w:val="Heading4"/>
        <w:spacing w:before="160" w:after="160"/>
      </w:pPr>
      <w:r w:rsidRPr="008B6783">
        <w:t>Effectiveness</w:t>
      </w:r>
      <w:bookmarkEnd w:id="41"/>
    </w:p>
    <w:p w14:paraId="1A218228" w14:textId="57EEEBF1" w:rsidR="009103B2" w:rsidRPr="00957B7E" w:rsidRDefault="003853EA" w:rsidP="00957B7E">
      <w:pPr>
        <w:spacing w:before="160" w:line="240" w:lineRule="auto"/>
        <w:rPr>
          <w:rFonts w:ascii="Arial" w:hAnsi="Arial" w:cs="Arial"/>
          <w:b/>
          <w:bCs/>
          <w:color w:val="000000" w:themeColor="text1"/>
        </w:rPr>
      </w:pPr>
      <w:r w:rsidRPr="000F778E">
        <w:rPr>
          <w:rFonts w:ascii="Arial" w:hAnsi="Arial" w:cs="Arial"/>
          <w:b/>
          <w:bCs/>
          <w:color w:val="000000" w:themeColor="text1"/>
          <w:lang w:eastAsia="en-AU"/>
        </w:rPr>
        <w:t xml:space="preserve">How effective is opportunistic screening by Community Pharmacies in identifying people with, or at risk of, under-recognised conditions; specifically, </w:t>
      </w:r>
      <w:r w:rsidRPr="000F778E">
        <w:rPr>
          <w:rFonts w:ascii="Arial" w:hAnsi="Arial" w:cs="Arial"/>
          <w:b/>
          <w:bCs/>
          <w:color w:val="000000" w:themeColor="text1"/>
        </w:rPr>
        <w:t>cardiovascular disease.</w:t>
      </w:r>
    </w:p>
    <w:p w14:paraId="79475AF8" w14:textId="0728C386" w:rsidR="009103B2" w:rsidRPr="000F778E" w:rsidRDefault="009103B2" w:rsidP="00957B7E">
      <w:pPr>
        <w:pStyle w:val="Instructionaltext"/>
        <w:spacing w:before="160" w:line="240" w:lineRule="auto"/>
        <w:rPr>
          <w:rFonts w:ascii="Arial" w:hAnsi="Arial" w:cs="Arial"/>
          <w:color w:val="auto"/>
        </w:rPr>
      </w:pPr>
      <w:r w:rsidRPr="000F778E">
        <w:rPr>
          <w:rFonts w:ascii="Arial" w:hAnsi="Arial" w:cs="Arial"/>
          <w:color w:val="auto"/>
        </w:rPr>
        <w:t xml:space="preserve">The Brief </w:t>
      </w:r>
      <w:r w:rsidR="00A051DE" w:rsidRPr="000F778E">
        <w:rPr>
          <w:rFonts w:ascii="Arial" w:hAnsi="Arial" w:cs="Arial"/>
          <w:color w:val="auto"/>
        </w:rPr>
        <w:t xml:space="preserve">CVD </w:t>
      </w:r>
      <w:r w:rsidRPr="000F778E">
        <w:rPr>
          <w:rFonts w:ascii="Arial" w:hAnsi="Arial" w:cs="Arial"/>
          <w:color w:val="auto"/>
        </w:rPr>
        <w:t xml:space="preserve">Risk Assessment combined demographic information (age, gender, ethnicity, country of birth), subjective health measures (physical activity level, smoking status, nutrition, health history, lifestyle questions) and waist measurement; collected by AUSDRISK assessment tool and questionnaire. </w:t>
      </w:r>
      <w:r w:rsidRPr="00B433D3">
        <w:rPr>
          <w:rFonts w:ascii="Arial" w:hAnsi="Arial" w:cs="Arial"/>
          <w:color w:val="auto"/>
        </w:rPr>
        <w:t xml:space="preserve">The </w:t>
      </w:r>
      <w:r w:rsidR="00A051DE" w:rsidRPr="00B433D3">
        <w:rPr>
          <w:rFonts w:ascii="Arial" w:hAnsi="Arial" w:cs="Arial"/>
          <w:color w:val="auto"/>
        </w:rPr>
        <w:t>B</w:t>
      </w:r>
      <w:r w:rsidR="00105905" w:rsidRPr="00B433D3">
        <w:rPr>
          <w:rFonts w:ascii="Arial" w:hAnsi="Arial" w:cs="Arial"/>
          <w:color w:val="auto"/>
        </w:rPr>
        <w:t>rief</w:t>
      </w:r>
      <w:r w:rsidRPr="00B433D3">
        <w:rPr>
          <w:rFonts w:ascii="Arial" w:hAnsi="Arial" w:cs="Arial"/>
          <w:color w:val="auto"/>
        </w:rPr>
        <w:t xml:space="preserve"> </w:t>
      </w:r>
      <w:r w:rsidR="00A051DE" w:rsidRPr="00B433D3">
        <w:rPr>
          <w:rFonts w:ascii="Arial" w:hAnsi="Arial" w:cs="Arial"/>
          <w:color w:val="auto"/>
        </w:rPr>
        <w:t>CVD R</w:t>
      </w:r>
      <w:r w:rsidRPr="00B433D3">
        <w:rPr>
          <w:rFonts w:ascii="Arial" w:hAnsi="Arial" w:cs="Arial"/>
          <w:color w:val="auto"/>
        </w:rPr>
        <w:t xml:space="preserve">isk </w:t>
      </w:r>
      <w:r w:rsidR="00A051DE" w:rsidRPr="00B433D3">
        <w:rPr>
          <w:rFonts w:ascii="Arial" w:hAnsi="Arial" w:cs="Arial"/>
          <w:color w:val="auto"/>
        </w:rPr>
        <w:t>A</w:t>
      </w:r>
      <w:r w:rsidRPr="00B433D3">
        <w:rPr>
          <w:rFonts w:ascii="Arial" w:hAnsi="Arial" w:cs="Arial"/>
          <w:color w:val="auto"/>
        </w:rPr>
        <w:t xml:space="preserve">ssessment included non-invasive Point of Care assessment of blood pressure; systolic and diastolic. Opportunistic assessment of risk of cerebrovascular disease was undertaken through non-invasive Point of Care screening of irregular heartbeat using the available technology for blood pressure </w:t>
      </w:r>
      <w:r w:rsidR="00940907" w:rsidRPr="00B433D3">
        <w:rPr>
          <w:rFonts w:ascii="Arial" w:hAnsi="Arial" w:cs="Arial"/>
          <w:color w:val="auto"/>
        </w:rPr>
        <w:t>measurement.</w:t>
      </w:r>
    </w:p>
    <w:p w14:paraId="6E0713CB" w14:textId="36C264D6" w:rsidR="002B0E8E" w:rsidRPr="000F778E" w:rsidRDefault="009103B2" w:rsidP="00957B7E">
      <w:pPr>
        <w:pStyle w:val="Instructionaltext"/>
        <w:spacing w:before="160" w:line="240" w:lineRule="auto"/>
        <w:rPr>
          <w:rFonts w:ascii="Arial" w:hAnsi="Arial" w:cs="Arial"/>
          <w:color w:val="auto"/>
        </w:rPr>
      </w:pPr>
      <w:r w:rsidRPr="000F778E">
        <w:rPr>
          <w:rFonts w:ascii="Arial" w:hAnsi="Arial" w:cs="Arial"/>
          <w:color w:val="auto"/>
        </w:rPr>
        <w:t xml:space="preserve">The Comprehensive </w:t>
      </w:r>
      <w:r w:rsidR="00A051DE" w:rsidRPr="000F778E">
        <w:rPr>
          <w:rFonts w:ascii="Arial" w:hAnsi="Arial" w:cs="Arial"/>
          <w:color w:val="auto"/>
        </w:rPr>
        <w:t xml:space="preserve">CVD </w:t>
      </w:r>
      <w:r w:rsidRPr="000F778E">
        <w:rPr>
          <w:rFonts w:ascii="Arial" w:hAnsi="Arial" w:cs="Arial"/>
          <w:color w:val="auto"/>
        </w:rPr>
        <w:t xml:space="preserve">Risk Assessment combined demographic information (age, gender), subjective health measures (smoking status, lifestyle questions); collected by </w:t>
      </w:r>
      <w:r w:rsidR="00A051DE" w:rsidRPr="000F778E">
        <w:rPr>
          <w:rFonts w:ascii="Arial" w:hAnsi="Arial" w:cs="Arial"/>
          <w:color w:val="auto"/>
        </w:rPr>
        <w:t xml:space="preserve">FRE assessment tool and </w:t>
      </w:r>
      <w:r w:rsidRPr="000F778E">
        <w:rPr>
          <w:rFonts w:ascii="Arial" w:hAnsi="Arial" w:cs="Arial"/>
          <w:color w:val="auto"/>
        </w:rPr>
        <w:t xml:space="preserve">questionnaire. The </w:t>
      </w:r>
      <w:r w:rsidR="00A051DE" w:rsidRPr="000F778E">
        <w:rPr>
          <w:rFonts w:ascii="Arial" w:hAnsi="Arial" w:cs="Arial"/>
          <w:color w:val="auto"/>
        </w:rPr>
        <w:t>C</w:t>
      </w:r>
      <w:r w:rsidRPr="000F778E">
        <w:rPr>
          <w:rFonts w:ascii="Arial" w:hAnsi="Arial" w:cs="Arial"/>
          <w:color w:val="auto"/>
        </w:rPr>
        <w:t>omprehensive</w:t>
      </w:r>
      <w:r w:rsidR="009D0A94" w:rsidRPr="000F778E">
        <w:rPr>
          <w:rFonts w:ascii="Arial" w:hAnsi="Arial" w:cs="Arial"/>
          <w:color w:val="auto"/>
        </w:rPr>
        <w:t xml:space="preserve"> </w:t>
      </w:r>
      <w:r w:rsidR="00A051DE" w:rsidRPr="000F778E">
        <w:rPr>
          <w:rFonts w:ascii="Arial" w:hAnsi="Arial" w:cs="Arial"/>
          <w:color w:val="auto"/>
        </w:rPr>
        <w:t>CVD R</w:t>
      </w:r>
      <w:r w:rsidRPr="000F778E">
        <w:rPr>
          <w:rFonts w:ascii="Arial" w:hAnsi="Arial" w:cs="Arial"/>
          <w:color w:val="auto"/>
        </w:rPr>
        <w:t xml:space="preserve">isk </w:t>
      </w:r>
      <w:r w:rsidR="00A051DE" w:rsidRPr="000F778E">
        <w:rPr>
          <w:rFonts w:ascii="Arial" w:hAnsi="Arial" w:cs="Arial"/>
          <w:color w:val="auto"/>
        </w:rPr>
        <w:t>A</w:t>
      </w:r>
      <w:r w:rsidRPr="000F778E">
        <w:rPr>
          <w:rFonts w:ascii="Arial" w:hAnsi="Arial" w:cs="Arial"/>
          <w:color w:val="auto"/>
        </w:rPr>
        <w:t xml:space="preserve">ssessment included non-invasive Point of Care assessment of blood pressure; systolic and diastolic. Opportunistic assessment of risk of cerebrovascular disease was undertaken through non-invasive Point of Care screening of irregular heartbeat using the available technology for blood pressure measurement. The Comprehensive </w:t>
      </w:r>
      <w:r w:rsidR="009D0A94" w:rsidRPr="000F778E">
        <w:rPr>
          <w:rFonts w:ascii="Arial" w:hAnsi="Arial" w:cs="Arial"/>
          <w:color w:val="auto"/>
        </w:rPr>
        <w:t xml:space="preserve">CVD </w:t>
      </w:r>
      <w:r w:rsidRPr="000F778E">
        <w:rPr>
          <w:rFonts w:ascii="Arial" w:hAnsi="Arial" w:cs="Arial"/>
          <w:color w:val="auto"/>
        </w:rPr>
        <w:t>Risk Assessment included biometric information; serum lipid levels, HbA1C levels measured using medical point of care devices that involve finger-prick testing.</w:t>
      </w:r>
    </w:p>
    <w:p w14:paraId="03B3B949" w14:textId="5AA32D4C" w:rsidR="002B0E8E" w:rsidRDefault="0063562F" w:rsidP="00957B7E">
      <w:pPr>
        <w:pStyle w:val="Instructionaltext"/>
        <w:spacing w:before="160" w:line="240" w:lineRule="auto"/>
        <w:rPr>
          <w:rFonts w:ascii="Arial" w:hAnsi="Arial" w:cs="Arial"/>
          <w:color w:val="auto"/>
        </w:rPr>
      </w:pPr>
      <w:r w:rsidRPr="000F778E">
        <w:rPr>
          <w:rFonts w:ascii="Arial" w:hAnsi="Arial" w:cs="Arial"/>
          <w:color w:val="auto"/>
        </w:rPr>
        <w:t xml:space="preserve">Whilst 6 month and 12 month follow up of participants was undertaken </w:t>
      </w:r>
      <w:r w:rsidR="003F00FF" w:rsidRPr="000F778E">
        <w:rPr>
          <w:rFonts w:ascii="Arial" w:hAnsi="Arial" w:cs="Arial"/>
          <w:color w:val="auto"/>
        </w:rPr>
        <w:t xml:space="preserve">by community pharmacy </w:t>
      </w:r>
      <w:r w:rsidRPr="000F778E">
        <w:rPr>
          <w:rFonts w:ascii="Arial" w:hAnsi="Arial" w:cs="Arial"/>
          <w:color w:val="auto"/>
        </w:rPr>
        <w:t>a small response, in both arms, resulted.</w:t>
      </w:r>
    </w:p>
    <w:p w14:paraId="426C5B11" w14:textId="6A601933" w:rsidR="009D0A94" w:rsidRPr="000F778E" w:rsidRDefault="009D0A94" w:rsidP="00957B7E">
      <w:pPr>
        <w:pStyle w:val="Instructionaltext"/>
        <w:spacing w:before="160" w:line="240" w:lineRule="auto"/>
        <w:rPr>
          <w:rFonts w:ascii="Arial" w:hAnsi="Arial" w:cs="Arial"/>
          <w:color w:val="auto"/>
        </w:rPr>
      </w:pPr>
      <w:proofErr w:type="gramStart"/>
      <w:r w:rsidRPr="000F778E">
        <w:rPr>
          <w:rFonts w:ascii="Arial" w:hAnsi="Arial" w:cs="Arial"/>
          <w:color w:val="auto"/>
        </w:rPr>
        <w:lastRenderedPageBreak/>
        <w:t>In order to</w:t>
      </w:r>
      <w:proofErr w:type="gramEnd"/>
      <w:r w:rsidRPr="000F778E">
        <w:rPr>
          <w:rFonts w:ascii="Arial" w:hAnsi="Arial" w:cs="Arial"/>
          <w:color w:val="auto"/>
        </w:rPr>
        <w:t xml:space="preserve"> determine effectiveness of opportunistic screening by Community Pharmacy in identifying people with, or at risk of, cardiovascular disease the following outcome measures are included:</w:t>
      </w:r>
    </w:p>
    <w:p w14:paraId="51EE6847" w14:textId="44008C8A" w:rsidR="009D0A94" w:rsidRPr="000F778E" w:rsidRDefault="009D0A94" w:rsidP="00957B7E">
      <w:pPr>
        <w:pStyle w:val="Instructionaltext"/>
        <w:numPr>
          <w:ilvl w:val="0"/>
          <w:numId w:val="21"/>
        </w:numPr>
        <w:spacing w:before="160" w:line="240" w:lineRule="auto"/>
        <w:rPr>
          <w:rFonts w:ascii="Arial" w:hAnsi="Arial" w:cs="Arial"/>
          <w:color w:val="auto"/>
        </w:rPr>
      </w:pPr>
      <w:r w:rsidRPr="000F778E">
        <w:rPr>
          <w:rFonts w:ascii="Arial" w:hAnsi="Arial" w:cs="Arial"/>
          <w:color w:val="auto"/>
        </w:rPr>
        <w:t>Percentage of screened individuals identified with disease risk factor (by risk category).</w:t>
      </w:r>
      <w:r w:rsidR="00431F50" w:rsidRPr="000F778E">
        <w:rPr>
          <w:rFonts w:ascii="Arial" w:hAnsi="Arial" w:cs="Arial"/>
          <w:color w:val="auto"/>
        </w:rPr>
        <w:t xml:space="preserve"> Refer Table 5</w:t>
      </w:r>
    </w:p>
    <w:p w14:paraId="4223421C" w14:textId="1581A8FB" w:rsidR="009D0A94" w:rsidRPr="000F778E" w:rsidRDefault="009D0A94" w:rsidP="00957B7E">
      <w:pPr>
        <w:pStyle w:val="Instructionaltext"/>
        <w:numPr>
          <w:ilvl w:val="0"/>
          <w:numId w:val="21"/>
        </w:numPr>
        <w:spacing w:before="160" w:line="240" w:lineRule="auto"/>
        <w:rPr>
          <w:rFonts w:ascii="Arial" w:hAnsi="Arial" w:cs="Arial"/>
          <w:color w:val="auto"/>
        </w:rPr>
      </w:pPr>
      <w:r w:rsidRPr="000F778E">
        <w:rPr>
          <w:rFonts w:ascii="Arial" w:hAnsi="Arial" w:cs="Arial"/>
          <w:color w:val="auto"/>
        </w:rPr>
        <w:t>Percentage of screened population referred on to primary care services</w:t>
      </w:r>
      <w:r w:rsidR="00431F50" w:rsidRPr="000F778E">
        <w:rPr>
          <w:rFonts w:ascii="Arial" w:hAnsi="Arial" w:cs="Arial"/>
          <w:color w:val="auto"/>
        </w:rPr>
        <w:t>. Refer Table 6.</w:t>
      </w:r>
    </w:p>
    <w:p w14:paraId="5DAC0F9A" w14:textId="410DA85B" w:rsidR="009D0A94" w:rsidRPr="000F778E" w:rsidRDefault="009D0A94" w:rsidP="00957B7E">
      <w:pPr>
        <w:pStyle w:val="Instructionaltext"/>
        <w:numPr>
          <w:ilvl w:val="0"/>
          <w:numId w:val="21"/>
        </w:numPr>
        <w:spacing w:before="160" w:line="240" w:lineRule="auto"/>
        <w:rPr>
          <w:rFonts w:ascii="Arial" w:hAnsi="Arial" w:cs="Arial"/>
          <w:color w:val="auto"/>
        </w:rPr>
      </w:pPr>
      <w:r w:rsidRPr="000F778E">
        <w:rPr>
          <w:rFonts w:ascii="Arial" w:hAnsi="Arial" w:cs="Arial"/>
          <w:color w:val="auto"/>
        </w:rPr>
        <w:t>Screening participants adherence to pharmacy advice and uptake of primary care referral</w:t>
      </w:r>
      <w:r w:rsidR="00431F50" w:rsidRPr="000F778E">
        <w:rPr>
          <w:rFonts w:ascii="Arial" w:hAnsi="Arial" w:cs="Arial"/>
          <w:color w:val="auto"/>
        </w:rPr>
        <w:t>. Refer Table 7 and Table 8</w:t>
      </w:r>
    </w:p>
    <w:p w14:paraId="28888E25" w14:textId="6150A0F4" w:rsidR="00E66254" w:rsidRPr="00957B7E" w:rsidRDefault="009D0A94" w:rsidP="00957B7E">
      <w:pPr>
        <w:pStyle w:val="Instructionaltext"/>
        <w:numPr>
          <w:ilvl w:val="0"/>
          <w:numId w:val="21"/>
        </w:numPr>
        <w:spacing w:before="160" w:line="240" w:lineRule="auto"/>
        <w:rPr>
          <w:rFonts w:ascii="Arial" w:hAnsi="Arial" w:cs="Arial"/>
          <w:color w:val="auto"/>
        </w:rPr>
      </w:pPr>
      <w:r w:rsidRPr="000F778E">
        <w:rPr>
          <w:rFonts w:ascii="Arial" w:hAnsi="Arial" w:cs="Arial"/>
          <w:color w:val="auto"/>
        </w:rPr>
        <w:t xml:space="preserve">Screening satisfaction with </w:t>
      </w:r>
      <w:r w:rsidR="00940907" w:rsidRPr="000F778E">
        <w:rPr>
          <w:rFonts w:ascii="Arial" w:hAnsi="Arial" w:cs="Arial"/>
          <w:color w:val="auto"/>
        </w:rPr>
        <w:t>pharmacy-based</w:t>
      </w:r>
      <w:r w:rsidRPr="000F778E">
        <w:rPr>
          <w:rFonts w:ascii="Arial" w:hAnsi="Arial" w:cs="Arial"/>
          <w:color w:val="auto"/>
        </w:rPr>
        <w:t xml:space="preserve"> services.</w:t>
      </w:r>
      <w:r w:rsidR="00431F50" w:rsidRPr="000F778E">
        <w:rPr>
          <w:rFonts w:ascii="Arial" w:hAnsi="Arial" w:cs="Arial"/>
          <w:color w:val="auto"/>
        </w:rPr>
        <w:t xml:space="preserve"> Refer Table 9</w:t>
      </w:r>
    </w:p>
    <w:p w14:paraId="31CB84AD" w14:textId="77777777" w:rsidR="002B0E8E" w:rsidRPr="00F756EC" w:rsidRDefault="002B0E8E" w:rsidP="00957B7E">
      <w:pPr>
        <w:pStyle w:val="Instructionaltext"/>
        <w:spacing w:before="160" w:line="240" w:lineRule="auto"/>
        <w:rPr>
          <w:rFonts w:ascii="Arial" w:hAnsi="Arial" w:cs="Arial"/>
          <w:b/>
          <w:bCs/>
          <w:color w:val="auto"/>
        </w:rPr>
      </w:pPr>
      <w:r w:rsidRPr="00F756EC">
        <w:rPr>
          <w:rFonts w:ascii="Arial" w:hAnsi="Arial" w:cs="Arial"/>
          <w:b/>
          <w:bCs/>
          <w:color w:val="auto"/>
        </w:rPr>
        <w:t>Percentage of screened individuals identified with disease risk factor (by risk category)</w:t>
      </w:r>
    </w:p>
    <w:p w14:paraId="0BDD6646" w14:textId="6D3B956B" w:rsidR="002B0E8E" w:rsidRDefault="002B0E8E" w:rsidP="00957B7E">
      <w:pPr>
        <w:pStyle w:val="Instructionaltext"/>
        <w:spacing w:before="160" w:line="240" w:lineRule="auto"/>
        <w:rPr>
          <w:rFonts w:ascii="Arial" w:hAnsi="Arial" w:cs="Arial"/>
          <w:color w:val="auto"/>
        </w:rPr>
      </w:pPr>
      <w:r>
        <w:rPr>
          <w:rFonts w:ascii="Arial" w:hAnsi="Arial" w:cs="Arial"/>
          <w:color w:val="auto"/>
        </w:rPr>
        <w:t>88% of participants in the Brief Intervention Arm were assessed as being at high or medium risk of CVD. 12% of participants in the Brief Intervention Arm were assessed as being at low risk of CVD.</w:t>
      </w:r>
    </w:p>
    <w:p w14:paraId="41976AB2" w14:textId="21E00F7A" w:rsidR="002B0E8E" w:rsidRDefault="002B0E8E" w:rsidP="00957B7E">
      <w:pPr>
        <w:pStyle w:val="Instructionaltext"/>
        <w:spacing w:before="160" w:line="240" w:lineRule="auto"/>
        <w:rPr>
          <w:rFonts w:ascii="Arial" w:hAnsi="Arial" w:cs="Arial"/>
          <w:color w:val="auto"/>
        </w:rPr>
      </w:pPr>
      <w:r>
        <w:rPr>
          <w:rFonts w:ascii="Arial" w:hAnsi="Arial" w:cs="Arial"/>
          <w:color w:val="auto"/>
        </w:rPr>
        <w:t>8% of participants in the Comprehensive Intervention Arm were assessed as being at high or medium risk of CVD.</w:t>
      </w:r>
      <w:r w:rsidR="00A85BF7">
        <w:rPr>
          <w:rFonts w:ascii="Arial" w:hAnsi="Arial" w:cs="Arial"/>
          <w:color w:val="auto"/>
        </w:rPr>
        <w:t xml:space="preserve"> </w:t>
      </w:r>
      <w:r>
        <w:rPr>
          <w:rFonts w:ascii="Arial" w:hAnsi="Arial" w:cs="Arial"/>
          <w:color w:val="auto"/>
        </w:rPr>
        <w:t>92% of participants in the Comprehensive Intervention arm were assessed as being at low risk of CVD.</w:t>
      </w:r>
    </w:p>
    <w:p w14:paraId="1D1D7A0E" w14:textId="2BBE7A7D" w:rsidR="002B0E8E" w:rsidRPr="00957B7E" w:rsidRDefault="002B0E8E" w:rsidP="00957B7E">
      <w:pPr>
        <w:pStyle w:val="Instructionaltext"/>
        <w:spacing w:before="160" w:line="240" w:lineRule="auto"/>
        <w:rPr>
          <w:rFonts w:ascii="Arial" w:hAnsi="Arial" w:cs="Arial"/>
          <w:color w:val="auto"/>
        </w:rPr>
      </w:pPr>
      <w:r w:rsidRPr="00816F4D">
        <w:rPr>
          <w:rFonts w:ascii="Arial" w:hAnsi="Arial" w:cs="Arial"/>
          <w:color w:val="auto"/>
        </w:rPr>
        <w:t>Due to non-modifiable factors</w:t>
      </w:r>
      <w:r>
        <w:rPr>
          <w:rFonts w:ascii="Arial" w:hAnsi="Arial" w:cs="Arial"/>
          <w:color w:val="auto"/>
        </w:rPr>
        <w:t xml:space="preserve"> (such as gender and age) </w:t>
      </w:r>
      <w:r w:rsidRPr="00816F4D">
        <w:rPr>
          <w:rFonts w:ascii="Arial" w:hAnsi="Arial" w:cs="Arial"/>
          <w:color w:val="auto"/>
        </w:rPr>
        <w:t xml:space="preserve">included in the AUSDRISK </w:t>
      </w:r>
      <w:r>
        <w:rPr>
          <w:rFonts w:ascii="Arial" w:hAnsi="Arial" w:cs="Arial"/>
          <w:color w:val="auto"/>
        </w:rPr>
        <w:t>T</w:t>
      </w:r>
      <w:r w:rsidRPr="00816F4D">
        <w:rPr>
          <w:rFonts w:ascii="Arial" w:hAnsi="Arial" w:cs="Arial"/>
          <w:color w:val="auto"/>
        </w:rPr>
        <w:t xml:space="preserve">ool used in the Brief CVD Risk Assessment a </w:t>
      </w:r>
      <w:r>
        <w:rPr>
          <w:rFonts w:ascii="Arial" w:hAnsi="Arial" w:cs="Arial"/>
          <w:color w:val="auto"/>
        </w:rPr>
        <w:t xml:space="preserve">considerably </w:t>
      </w:r>
      <w:r w:rsidRPr="00816F4D">
        <w:rPr>
          <w:rFonts w:ascii="Arial" w:hAnsi="Arial" w:cs="Arial"/>
          <w:color w:val="auto"/>
        </w:rPr>
        <w:t>greater proportion of participants were assessed as being at medium or high risk in the Brief CVD Risk Assessment arm than the Comprehensive CVD Risk Assessment arm.</w:t>
      </w:r>
    </w:p>
    <w:p w14:paraId="38E32EDE" w14:textId="59807F34" w:rsidR="0017741B" w:rsidRPr="00A14753" w:rsidRDefault="00962095" w:rsidP="008B6783">
      <w:pPr>
        <w:pStyle w:val="Heading3"/>
        <w:spacing w:before="0" w:after="0"/>
      </w:pPr>
      <w:bookmarkStart w:id="42" w:name="_Toc137535752"/>
      <w:r w:rsidRPr="008B6783">
        <w:rPr>
          <w:rFonts w:ascii="Arial Narrow" w:hAnsi="Arial Narrow"/>
          <w:b/>
          <w:bCs/>
          <w:sz w:val="20"/>
          <w:szCs w:val="20"/>
        </w:rPr>
        <w:t xml:space="preserve">Table </w:t>
      </w:r>
      <w:r w:rsidR="009D0A94" w:rsidRPr="008B6783">
        <w:rPr>
          <w:rFonts w:ascii="Arial Narrow" w:hAnsi="Arial Narrow"/>
          <w:b/>
          <w:bCs/>
          <w:sz w:val="20"/>
          <w:szCs w:val="20"/>
        </w:rPr>
        <w:t xml:space="preserve">5: </w:t>
      </w:r>
      <w:r w:rsidR="003F00FF" w:rsidRPr="008B6783">
        <w:rPr>
          <w:rFonts w:ascii="Arial Narrow" w:hAnsi="Arial Narrow"/>
          <w:b/>
          <w:bCs/>
          <w:sz w:val="20"/>
          <w:szCs w:val="20"/>
        </w:rPr>
        <w:t>Percentage</w:t>
      </w:r>
      <w:r w:rsidR="0017741B" w:rsidRPr="008B6783">
        <w:rPr>
          <w:rFonts w:ascii="Arial Narrow" w:hAnsi="Arial Narrow"/>
          <w:b/>
          <w:bCs/>
          <w:sz w:val="20"/>
          <w:szCs w:val="20"/>
        </w:rPr>
        <w:t xml:space="preserve"> of screened individuals identified with disease risk factor (by risk category)</w:t>
      </w:r>
      <w:r w:rsidR="0063562F" w:rsidRPr="008B6783">
        <w:rPr>
          <w:rFonts w:ascii="Arial Narrow" w:hAnsi="Arial Narrow"/>
          <w:b/>
          <w:bCs/>
          <w:sz w:val="20"/>
          <w:szCs w:val="20"/>
        </w:rPr>
        <w:t xml:space="preserve"> at Baseline Assessment (time 0)</w:t>
      </w:r>
      <w:r w:rsidR="0017741B" w:rsidRPr="008B6783">
        <w:rPr>
          <w:rFonts w:ascii="Arial Narrow" w:hAnsi="Arial Narrow"/>
          <w:b/>
          <w:bCs/>
          <w:sz w:val="20"/>
          <w:szCs w:val="20"/>
        </w:rPr>
        <w:t>.</w:t>
      </w:r>
      <w:bookmarkEnd w:id="42"/>
    </w:p>
    <w:tbl>
      <w:tblPr>
        <w:tblStyle w:val="TableGridLight1"/>
        <w:tblW w:w="9072" w:type="dxa"/>
        <w:tblLook w:val="04A0" w:firstRow="1" w:lastRow="0" w:firstColumn="1" w:lastColumn="0" w:noHBand="0" w:noVBand="1"/>
      </w:tblPr>
      <w:tblGrid>
        <w:gridCol w:w="5954"/>
        <w:gridCol w:w="3118"/>
      </w:tblGrid>
      <w:tr w:rsidR="0063562F" w:rsidRPr="002B0E8E" w14:paraId="6C6312B5" w14:textId="77777777" w:rsidTr="008B6783">
        <w:trPr>
          <w:cnfStyle w:val="100000000000" w:firstRow="1" w:lastRow="0" w:firstColumn="0" w:lastColumn="0" w:oddVBand="0" w:evenVBand="0" w:oddHBand="0" w:evenHBand="0" w:firstRowFirstColumn="0" w:firstRowLastColumn="0" w:lastRowFirstColumn="0" w:lastRowLastColumn="0"/>
        </w:trPr>
        <w:tc>
          <w:tcPr>
            <w:tcW w:w="5954" w:type="dxa"/>
          </w:tcPr>
          <w:p w14:paraId="1609121E" w14:textId="76FDDF4E" w:rsidR="0063562F" w:rsidRPr="008B6783" w:rsidRDefault="0063562F" w:rsidP="00003672">
            <w:pPr>
              <w:pStyle w:val="Instructionaltext"/>
              <w:spacing w:before="0"/>
              <w:rPr>
                <w:rFonts w:ascii="Arial" w:hAnsi="Arial" w:cs="Arial"/>
                <w:b/>
                <w:bCs/>
                <w:color w:val="auto"/>
              </w:rPr>
            </w:pPr>
            <w:r w:rsidRPr="008B6783">
              <w:rPr>
                <w:rFonts w:ascii="Arial" w:hAnsi="Arial" w:cs="Arial"/>
                <w:b/>
                <w:bCs/>
                <w:color w:val="auto"/>
              </w:rPr>
              <w:t xml:space="preserve">Brief Intervention </w:t>
            </w:r>
            <w:r w:rsidR="00940907" w:rsidRPr="00940907">
              <w:rPr>
                <w:rFonts w:ascii="Arial" w:hAnsi="Arial" w:cs="Arial"/>
                <w:b/>
                <w:bCs/>
                <w:color w:val="auto"/>
              </w:rPr>
              <w:t>Arm n</w:t>
            </w:r>
            <w:r w:rsidRPr="008B6783">
              <w:rPr>
                <w:rFonts w:ascii="Arial" w:hAnsi="Arial" w:cs="Arial"/>
                <w:b/>
                <w:bCs/>
                <w:i/>
                <w:iCs/>
                <w:color w:val="auto"/>
              </w:rPr>
              <w:t>= 112</w:t>
            </w:r>
          </w:p>
        </w:tc>
        <w:tc>
          <w:tcPr>
            <w:tcW w:w="3118" w:type="dxa"/>
          </w:tcPr>
          <w:p w14:paraId="53419C84" w14:textId="5A6D0490" w:rsidR="0063562F" w:rsidRPr="008B6783" w:rsidRDefault="0063562F" w:rsidP="00003672">
            <w:pPr>
              <w:pStyle w:val="Instructionaltext"/>
              <w:spacing w:before="0"/>
              <w:rPr>
                <w:rFonts w:ascii="Arial" w:hAnsi="Arial" w:cs="Arial"/>
                <w:b/>
                <w:bCs/>
                <w:color w:val="auto"/>
              </w:rPr>
            </w:pPr>
            <w:r w:rsidRPr="008B6783">
              <w:rPr>
                <w:rFonts w:ascii="Arial" w:hAnsi="Arial" w:cs="Arial"/>
                <w:b/>
                <w:bCs/>
                <w:color w:val="auto"/>
              </w:rPr>
              <w:t>Baseline Assessment</w:t>
            </w:r>
          </w:p>
        </w:tc>
      </w:tr>
      <w:tr w:rsidR="0063562F" w:rsidRPr="000F778E" w14:paraId="1FC40752" w14:textId="77777777" w:rsidTr="008B6783">
        <w:tc>
          <w:tcPr>
            <w:tcW w:w="5954" w:type="dxa"/>
          </w:tcPr>
          <w:p w14:paraId="2FD196A0" w14:textId="55CB9547" w:rsidR="0063562F" w:rsidRPr="002B0E8E" w:rsidRDefault="0063562F" w:rsidP="00003672">
            <w:pPr>
              <w:pStyle w:val="Instructionaltext"/>
              <w:spacing w:before="0"/>
              <w:rPr>
                <w:rFonts w:ascii="Arial" w:hAnsi="Arial" w:cs="Arial"/>
                <w:bCs/>
                <w:color w:val="auto"/>
              </w:rPr>
            </w:pPr>
            <w:r w:rsidRPr="002B0E8E">
              <w:rPr>
                <w:rFonts w:ascii="Arial" w:hAnsi="Arial" w:cs="Arial"/>
                <w:bCs/>
                <w:color w:val="auto"/>
              </w:rPr>
              <w:t>Participants identified as being at high risk</w:t>
            </w:r>
          </w:p>
        </w:tc>
        <w:tc>
          <w:tcPr>
            <w:tcW w:w="3118" w:type="dxa"/>
          </w:tcPr>
          <w:p w14:paraId="3FCFE318" w14:textId="1C5B8384" w:rsidR="0063562F" w:rsidRPr="000F778E" w:rsidRDefault="0063562F" w:rsidP="00003672">
            <w:pPr>
              <w:pStyle w:val="Instructionaltext"/>
              <w:spacing w:before="0"/>
              <w:rPr>
                <w:rFonts w:ascii="Arial" w:hAnsi="Arial" w:cs="Arial"/>
                <w:color w:val="auto"/>
              </w:rPr>
            </w:pPr>
            <w:r w:rsidRPr="000F778E">
              <w:rPr>
                <w:rFonts w:ascii="Arial" w:hAnsi="Arial" w:cs="Arial"/>
                <w:color w:val="auto"/>
              </w:rPr>
              <w:t>46%</w:t>
            </w:r>
          </w:p>
        </w:tc>
      </w:tr>
      <w:tr w:rsidR="0063562F" w:rsidRPr="000F778E" w14:paraId="645DA254" w14:textId="77777777" w:rsidTr="008B6783">
        <w:tc>
          <w:tcPr>
            <w:tcW w:w="5954" w:type="dxa"/>
          </w:tcPr>
          <w:p w14:paraId="3E598AF6" w14:textId="688C8576" w:rsidR="0063562F" w:rsidRPr="002B0E8E" w:rsidRDefault="0063562F" w:rsidP="00003672">
            <w:pPr>
              <w:pStyle w:val="Instructionaltext"/>
              <w:spacing w:before="0"/>
              <w:rPr>
                <w:rFonts w:ascii="Arial" w:hAnsi="Arial" w:cs="Arial"/>
                <w:bCs/>
                <w:color w:val="auto"/>
              </w:rPr>
            </w:pPr>
            <w:r w:rsidRPr="002B0E8E">
              <w:rPr>
                <w:rFonts w:ascii="Arial" w:hAnsi="Arial" w:cs="Arial"/>
                <w:bCs/>
                <w:color w:val="auto"/>
              </w:rPr>
              <w:t xml:space="preserve">Participants identified as being at </w:t>
            </w:r>
            <w:r w:rsidR="00621DBA" w:rsidRPr="002B0E8E">
              <w:rPr>
                <w:rFonts w:ascii="Arial" w:hAnsi="Arial" w:cs="Arial"/>
                <w:bCs/>
                <w:color w:val="auto"/>
              </w:rPr>
              <w:t>medium</w:t>
            </w:r>
            <w:r w:rsidRPr="002B0E8E">
              <w:rPr>
                <w:rFonts w:ascii="Arial" w:hAnsi="Arial" w:cs="Arial"/>
                <w:bCs/>
                <w:color w:val="auto"/>
              </w:rPr>
              <w:t xml:space="preserve"> risk</w:t>
            </w:r>
          </w:p>
        </w:tc>
        <w:tc>
          <w:tcPr>
            <w:tcW w:w="3118" w:type="dxa"/>
          </w:tcPr>
          <w:p w14:paraId="10831E12" w14:textId="60C21786" w:rsidR="0063562F" w:rsidRPr="000F778E" w:rsidRDefault="00621DBA" w:rsidP="00003672">
            <w:pPr>
              <w:pStyle w:val="Instructionaltext"/>
              <w:spacing w:before="0"/>
              <w:rPr>
                <w:rFonts w:ascii="Arial" w:hAnsi="Arial" w:cs="Arial"/>
                <w:color w:val="auto"/>
              </w:rPr>
            </w:pPr>
            <w:r w:rsidRPr="000F778E">
              <w:rPr>
                <w:rFonts w:ascii="Arial" w:hAnsi="Arial" w:cs="Arial"/>
                <w:color w:val="auto"/>
              </w:rPr>
              <w:t>42%</w:t>
            </w:r>
          </w:p>
        </w:tc>
      </w:tr>
      <w:tr w:rsidR="0063562F" w:rsidRPr="000F778E" w14:paraId="7281E3C5" w14:textId="77777777" w:rsidTr="008B6783">
        <w:tc>
          <w:tcPr>
            <w:tcW w:w="5954" w:type="dxa"/>
          </w:tcPr>
          <w:p w14:paraId="15D7E4DE" w14:textId="7C54749E" w:rsidR="0063562F" w:rsidRPr="002B0E8E" w:rsidRDefault="0063562F" w:rsidP="00003672">
            <w:pPr>
              <w:pStyle w:val="Instructionaltext"/>
              <w:spacing w:before="0"/>
              <w:rPr>
                <w:rFonts w:ascii="Arial" w:hAnsi="Arial" w:cs="Arial"/>
                <w:bCs/>
                <w:color w:val="auto"/>
              </w:rPr>
            </w:pPr>
            <w:r w:rsidRPr="002B0E8E">
              <w:rPr>
                <w:rFonts w:ascii="Arial" w:hAnsi="Arial" w:cs="Arial"/>
                <w:bCs/>
                <w:color w:val="auto"/>
              </w:rPr>
              <w:t>Participants identified as being at low risk</w:t>
            </w:r>
          </w:p>
        </w:tc>
        <w:tc>
          <w:tcPr>
            <w:tcW w:w="3118" w:type="dxa"/>
          </w:tcPr>
          <w:p w14:paraId="2E9B2090" w14:textId="2DABE334" w:rsidR="0063562F" w:rsidRPr="000F778E" w:rsidRDefault="00621DBA" w:rsidP="00003672">
            <w:pPr>
              <w:pStyle w:val="Instructionaltext"/>
              <w:spacing w:before="0"/>
              <w:rPr>
                <w:rFonts w:ascii="Arial" w:hAnsi="Arial" w:cs="Arial"/>
                <w:color w:val="auto"/>
              </w:rPr>
            </w:pPr>
            <w:r w:rsidRPr="000F778E">
              <w:rPr>
                <w:rFonts w:ascii="Arial" w:hAnsi="Arial" w:cs="Arial"/>
                <w:color w:val="auto"/>
              </w:rPr>
              <w:t>1</w:t>
            </w:r>
            <w:r w:rsidR="008B6783">
              <w:rPr>
                <w:rFonts w:ascii="Arial" w:hAnsi="Arial" w:cs="Arial"/>
                <w:color w:val="auto"/>
              </w:rPr>
              <w:t>2</w:t>
            </w:r>
            <w:r w:rsidRPr="000F778E">
              <w:rPr>
                <w:rFonts w:ascii="Arial" w:hAnsi="Arial" w:cs="Arial"/>
                <w:color w:val="auto"/>
              </w:rPr>
              <w:t>%</w:t>
            </w:r>
          </w:p>
        </w:tc>
      </w:tr>
      <w:tr w:rsidR="00621DBA" w:rsidRPr="002B0E8E" w14:paraId="49571181" w14:textId="77777777" w:rsidTr="008B6783">
        <w:tc>
          <w:tcPr>
            <w:tcW w:w="5954" w:type="dxa"/>
            <w:shd w:val="clear" w:color="auto" w:fill="F2F2F2" w:themeFill="background1" w:themeFillShade="F2"/>
          </w:tcPr>
          <w:p w14:paraId="1F237D5B" w14:textId="0E2D33C2" w:rsidR="00621DBA" w:rsidRPr="008B6783" w:rsidRDefault="00621DBA" w:rsidP="00003672">
            <w:pPr>
              <w:pStyle w:val="Instructionaltext"/>
              <w:spacing w:before="0"/>
              <w:rPr>
                <w:rFonts w:ascii="Arial" w:hAnsi="Arial" w:cs="Arial"/>
                <w:b/>
                <w:bCs/>
                <w:color w:val="auto"/>
              </w:rPr>
            </w:pPr>
            <w:r w:rsidRPr="008B6783">
              <w:rPr>
                <w:rFonts w:ascii="Arial" w:hAnsi="Arial" w:cs="Arial"/>
                <w:b/>
                <w:bCs/>
                <w:color w:val="auto"/>
              </w:rPr>
              <w:t xml:space="preserve">Comprehensive Intervention </w:t>
            </w:r>
            <w:r w:rsidR="00940907" w:rsidRPr="00940907">
              <w:rPr>
                <w:rFonts w:ascii="Arial" w:hAnsi="Arial" w:cs="Arial"/>
                <w:b/>
                <w:bCs/>
                <w:color w:val="auto"/>
              </w:rPr>
              <w:t>Arm n</w:t>
            </w:r>
            <w:r w:rsidRPr="008B6783">
              <w:rPr>
                <w:rFonts w:ascii="Arial" w:hAnsi="Arial" w:cs="Arial"/>
                <w:b/>
                <w:bCs/>
                <w:i/>
                <w:iCs/>
                <w:color w:val="auto"/>
              </w:rPr>
              <w:t>= 199</w:t>
            </w:r>
          </w:p>
        </w:tc>
        <w:tc>
          <w:tcPr>
            <w:tcW w:w="3118" w:type="dxa"/>
            <w:shd w:val="clear" w:color="auto" w:fill="F2F2F2" w:themeFill="background1" w:themeFillShade="F2"/>
          </w:tcPr>
          <w:p w14:paraId="2F8CD869" w14:textId="77777777" w:rsidR="00621DBA" w:rsidRPr="008B6783" w:rsidRDefault="00621DBA" w:rsidP="00003672">
            <w:pPr>
              <w:pStyle w:val="Instructionaltext"/>
              <w:spacing w:before="0"/>
              <w:rPr>
                <w:rFonts w:ascii="Arial" w:hAnsi="Arial" w:cs="Arial"/>
                <w:b/>
                <w:bCs/>
                <w:color w:val="auto"/>
              </w:rPr>
            </w:pPr>
            <w:r w:rsidRPr="008B6783">
              <w:rPr>
                <w:rFonts w:ascii="Arial" w:hAnsi="Arial" w:cs="Arial"/>
                <w:b/>
                <w:bCs/>
                <w:color w:val="auto"/>
              </w:rPr>
              <w:t>Baseline Assessment</w:t>
            </w:r>
          </w:p>
        </w:tc>
      </w:tr>
      <w:tr w:rsidR="00621DBA" w:rsidRPr="000F778E" w14:paraId="39841B0E" w14:textId="77777777" w:rsidTr="008B6783">
        <w:tc>
          <w:tcPr>
            <w:tcW w:w="5954" w:type="dxa"/>
          </w:tcPr>
          <w:p w14:paraId="2C476824" w14:textId="77777777" w:rsidR="00621DBA" w:rsidRPr="002B0E8E" w:rsidRDefault="00621DBA" w:rsidP="00003672">
            <w:pPr>
              <w:pStyle w:val="Instructionaltext"/>
              <w:spacing w:before="0"/>
              <w:rPr>
                <w:rFonts w:ascii="Arial" w:hAnsi="Arial" w:cs="Arial"/>
                <w:bCs/>
                <w:color w:val="auto"/>
              </w:rPr>
            </w:pPr>
            <w:r w:rsidRPr="002B0E8E">
              <w:rPr>
                <w:rFonts w:ascii="Arial" w:hAnsi="Arial" w:cs="Arial"/>
                <w:bCs/>
                <w:color w:val="auto"/>
              </w:rPr>
              <w:t>Participants identified as being at high risk</w:t>
            </w:r>
          </w:p>
        </w:tc>
        <w:tc>
          <w:tcPr>
            <w:tcW w:w="3118" w:type="dxa"/>
          </w:tcPr>
          <w:p w14:paraId="4A730498" w14:textId="67B28F63" w:rsidR="00621DBA" w:rsidRPr="000F778E" w:rsidRDefault="00621DBA" w:rsidP="00003672">
            <w:pPr>
              <w:pStyle w:val="Instructionaltext"/>
              <w:spacing w:before="0"/>
              <w:rPr>
                <w:rFonts w:ascii="Arial" w:hAnsi="Arial" w:cs="Arial"/>
                <w:color w:val="auto"/>
              </w:rPr>
            </w:pPr>
            <w:r w:rsidRPr="000F778E">
              <w:rPr>
                <w:rFonts w:ascii="Arial" w:hAnsi="Arial" w:cs="Arial"/>
                <w:color w:val="auto"/>
              </w:rPr>
              <w:t>3%</w:t>
            </w:r>
          </w:p>
        </w:tc>
      </w:tr>
      <w:tr w:rsidR="00621DBA" w:rsidRPr="000F778E" w14:paraId="3D6B6D1D" w14:textId="77777777" w:rsidTr="00053C48">
        <w:trPr>
          <w:trHeight w:val="289"/>
        </w:trPr>
        <w:tc>
          <w:tcPr>
            <w:tcW w:w="5954" w:type="dxa"/>
          </w:tcPr>
          <w:p w14:paraId="1C0EA7C7" w14:textId="77777777" w:rsidR="00621DBA" w:rsidRPr="002B0E8E" w:rsidRDefault="00621DBA" w:rsidP="00003672">
            <w:pPr>
              <w:pStyle w:val="Instructionaltext"/>
              <w:spacing w:before="0"/>
              <w:rPr>
                <w:rFonts w:ascii="Arial" w:hAnsi="Arial" w:cs="Arial"/>
                <w:bCs/>
                <w:color w:val="auto"/>
              </w:rPr>
            </w:pPr>
            <w:r w:rsidRPr="002B0E8E">
              <w:rPr>
                <w:rFonts w:ascii="Arial" w:hAnsi="Arial" w:cs="Arial"/>
                <w:bCs/>
                <w:color w:val="auto"/>
              </w:rPr>
              <w:t>Participants identified as being at medium risk</w:t>
            </w:r>
          </w:p>
        </w:tc>
        <w:tc>
          <w:tcPr>
            <w:tcW w:w="3118" w:type="dxa"/>
          </w:tcPr>
          <w:p w14:paraId="79473FE7" w14:textId="038BB864" w:rsidR="00621DBA" w:rsidRPr="000F778E" w:rsidRDefault="00621DBA" w:rsidP="00003672">
            <w:pPr>
              <w:pStyle w:val="Instructionaltext"/>
              <w:spacing w:before="0"/>
              <w:rPr>
                <w:rFonts w:ascii="Arial" w:hAnsi="Arial" w:cs="Arial"/>
                <w:color w:val="auto"/>
              </w:rPr>
            </w:pPr>
            <w:r w:rsidRPr="000F778E">
              <w:rPr>
                <w:rFonts w:ascii="Arial" w:hAnsi="Arial" w:cs="Arial"/>
                <w:color w:val="auto"/>
              </w:rPr>
              <w:t>5%</w:t>
            </w:r>
          </w:p>
        </w:tc>
      </w:tr>
      <w:tr w:rsidR="00621DBA" w:rsidRPr="000F778E" w14:paraId="761C5310" w14:textId="77777777" w:rsidTr="008B6783">
        <w:tc>
          <w:tcPr>
            <w:tcW w:w="5954" w:type="dxa"/>
          </w:tcPr>
          <w:p w14:paraId="5D45D676" w14:textId="77777777" w:rsidR="00621DBA" w:rsidRPr="002B0E8E" w:rsidRDefault="00621DBA" w:rsidP="00003672">
            <w:pPr>
              <w:pStyle w:val="Instructionaltext"/>
              <w:spacing w:before="0"/>
              <w:rPr>
                <w:rFonts w:ascii="Arial" w:hAnsi="Arial" w:cs="Arial"/>
                <w:bCs/>
                <w:color w:val="auto"/>
              </w:rPr>
            </w:pPr>
            <w:r w:rsidRPr="002B0E8E">
              <w:rPr>
                <w:rFonts w:ascii="Arial" w:hAnsi="Arial" w:cs="Arial"/>
                <w:bCs/>
                <w:color w:val="auto"/>
              </w:rPr>
              <w:t>Participants identified as being at low risk</w:t>
            </w:r>
          </w:p>
        </w:tc>
        <w:tc>
          <w:tcPr>
            <w:tcW w:w="3118" w:type="dxa"/>
          </w:tcPr>
          <w:p w14:paraId="5B416068" w14:textId="60BA95FA" w:rsidR="00621DBA" w:rsidRPr="000F778E" w:rsidRDefault="00621DBA" w:rsidP="00003672">
            <w:pPr>
              <w:pStyle w:val="Instructionaltext"/>
              <w:spacing w:before="0"/>
              <w:rPr>
                <w:rFonts w:ascii="Arial" w:hAnsi="Arial" w:cs="Arial"/>
                <w:color w:val="auto"/>
              </w:rPr>
            </w:pPr>
            <w:r w:rsidRPr="000F778E">
              <w:rPr>
                <w:rFonts w:ascii="Arial" w:hAnsi="Arial" w:cs="Arial"/>
                <w:color w:val="auto"/>
              </w:rPr>
              <w:t>9</w:t>
            </w:r>
            <w:r w:rsidR="00053C48">
              <w:rPr>
                <w:rFonts w:ascii="Arial" w:hAnsi="Arial" w:cs="Arial"/>
                <w:color w:val="auto"/>
              </w:rPr>
              <w:t>2</w:t>
            </w:r>
            <w:r w:rsidRPr="000F778E">
              <w:rPr>
                <w:rFonts w:ascii="Arial" w:hAnsi="Arial" w:cs="Arial"/>
                <w:color w:val="auto"/>
              </w:rPr>
              <w:t>%</w:t>
            </w:r>
          </w:p>
        </w:tc>
      </w:tr>
    </w:tbl>
    <w:p w14:paraId="05FA4424" w14:textId="77777777" w:rsidR="002B0E8E" w:rsidRPr="001F1C66" w:rsidRDefault="002B0E8E" w:rsidP="00957B7E">
      <w:pPr>
        <w:pStyle w:val="Caption"/>
        <w:spacing w:before="160" w:after="160"/>
        <w:rPr>
          <w:rFonts w:ascii="Arial" w:hAnsi="Arial" w:cs="Arial"/>
          <w:sz w:val="22"/>
          <w:szCs w:val="22"/>
        </w:rPr>
      </w:pPr>
      <w:r w:rsidRPr="001F1C66">
        <w:rPr>
          <w:rFonts w:ascii="Arial" w:hAnsi="Arial" w:cs="Arial"/>
          <w:sz w:val="22"/>
          <w:szCs w:val="22"/>
        </w:rPr>
        <w:t>Percentage of screened population referred on to primary care services.</w:t>
      </w:r>
    </w:p>
    <w:p w14:paraId="40C60C98" w14:textId="6EFF1D44" w:rsidR="0055619C" w:rsidRPr="000F778E" w:rsidRDefault="002B0E8E" w:rsidP="00957B7E">
      <w:pPr>
        <w:spacing w:before="160" w:line="240" w:lineRule="auto"/>
        <w:rPr>
          <w:rFonts w:ascii="Arial" w:hAnsi="Arial" w:cs="Arial"/>
        </w:rPr>
      </w:pPr>
      <w:r w:rsidRPr="00BA04F0">
        <w:rPr>
          <w:rFonts w:ascii="Arial" w:hAnsi="Arial" w:cs="Arial"/>
        </w:rPr>
        <w:t xml:space="preserve">In accordance with </w:t>
      </w:r>
      <w:r>
        <w:rPr>
          <w:rFonts w:ascii="Arial" w:hAnsi="Arial" w:cs="Arial"/>
        </w:rPr>
        <w:t>the protocol at the Baseline Assessment participants assessed at being at high risk were referred to General Practice recommending appointment within 7 days; participants assessed as being at medium risk were referred to General Practice recommending appointment within 4 weeks.</w:t>
      </w:r>
    </w:p>
    <w:p w14:paraId="7E89C666" w14:textId="5DA80DDD" w:rsidR="0017741B" w:rsidRPr="00A14753" w:rsidRDefault="00962095" w:rsidP="008B6783">
      <w:pPr>
        <w:pStyle w:val="Heading3"/>
        <w:spacing w:before="0" w:after="0"/>
      </w:pPr>
      <w:bookmarkStart w:id="43" w:name="_Toc137535753"/>
      <w:r w:rsidRPr="008B6783">
        <w:rPr>
          <w:rFonts w:ascii="Arial Narrow" w:hAnsi="Arial Narrow"/>
          <w:b/>
          <w:bCs/>
          <w:sz w:val="20"/>
          <w:szCs w:val="20"/>
        </w:rPr>
        <w:t xml:space="preserve">Table </w:t>
      </w:r>
      <w:r w:rsidR="009D0A94" w:rsidRPr="008B6783">
        <w:rPr>
          <w:rFonts w:ascii="Arial Narrow" w:hAnsi="Arial Narrow"/>
          <w:b/>
          <w:bCs/>
          <w:sz w:val="20"/>
          <w:szCs w:val="20"/>
        </w:rPr>
        <w:t xml:space="preserve">6: </w:t>
      </w:r>
      <w:r w:rsidR="0017741B" w:rsidRPr="008B6783">
        <w:rPr>
          <w:rFonts w:ascii="Arial Narrow" w:hAnsi="Arial Narrow"/>
          <w:b/>
          <w:bCs/>
          <w:sz w:val="20"/>
          <w:szCs w:val="20"/>
        </w:rPr>
        <w:t>Percentage of screened population referred on to primary care services</w:t>
      </w:r>
      <w:r w:rsidR="006154AD" w:rsidRPr="008B6783">
        <w:rPr>
          <w:rFonts w:ascii="Arial Narrow" w:hAnsi="Arial Narrow"/>
          <w:b/>
          <w:bCs/>
          <w:sz w:val="20"/>
          <w:szCs w:val="20"/>
        </w:rPr>
        <w:t xml:space="preserve"> at Baseline Assessment</w:t>
      </w:r>
      <w:bookmarkEnd w:id="43"/>
    </w:p>
    <w:tbl>
      <w:tblPr>
        <w:tblStyle w:val="TableGridLight1"/>
        <w:tblW w:w="7508" w:type="dxa"/>
        <w:tblLook w:val="04A0" w:firstRow="1" w:lastRow="0" w:firstColumn="1" w:lastColumn="0" w:noHBand="0" w:noVBand="1"/>
      </w:tblPr>
      <w:tblGrid>
        <w:gridCol w:w="4957"/>
        <w:gridCol w:w="2551"/>
      </w:tblGrid>
      <w:tr w:rsidR="00621DBA" w:rsidRPr="002B0E8E" w14:paraId="33E732BA" w14:textId="77777777" w:rsidTr="008B6783">
        <w:trPr>
          <w:cnfStyle w:val="100000000000" w:firstRow="1" w:lastRow="0" w:firstColumn="0" w:lastColumn="0" w:oddVBand="0" w:evenVBand="0" w:oddHBand="0" w:evenHBand="0" w:firstRowFirstColumn="0" w:firstRowLastColumn="0" w:lastRowFirstColumn="0" w:lastRowLastColumn="0"/>
        </w:trPr>
        <w:tc>
          <w:tcPr>
            <w:tcW w:w="4957" w:type="dxa"/>
          </w:tcPr>
          <w:p w14:paraId="69E77D5B" w14:textId="1257B660" w:rsidR="00621DBA" w:rsidRPr="008B6783" w:rsidRDefault="00621DBA" w:rsidP="00003672">
            <w:pPr>
              <w:pStyle w:val="Instructionaltext"/>
              <w:spacing w:before="0"/>
              <w:rPr>
                <w:rFonts w:ascii="Arial" w:hAnsi="Arial" w:cs="Arial"/>
                <w:b/>
                <w:bCs/>
                <w:color w:val="auto"/>
              </w:rPr>
            </w:pPr>
            <w:r w:rsidRPr="008B6783">
              <w:rPr>
                <w:rFonts w:ascii="Arial" w:hAnsi="Arial" w:cs="Arial"/>
                <w:b/>
                <w:bCs/>
                <w:color w:val="auto"/>
              </w:rPr>
              <w:t xml:space="preserve">Brief Intervention </w:t>
            </w:r>
            <w:r w:rsidR="00940907" w:rsidRPr="00940907">
              <w:rPr>
                <w:rFonts w:ascii="Arial" w:hAnsi="Arial" w:cs="Arial"/>
                <w:b/>
                <w:bCs/>
                <w:color w:val="auto"/>
              </w:rPr>
              <w:t>Arm n</w:t>
            </w:r>
            <w:r w:rsidRPr="008B6783">
              <w:rPr>
                <w:rFonts w:ascii="Arial" w:hAnsi="Arial" w:cs="Arial"/>
                <w:b/>
                <w:bCs/>
                <w:i/>
                <w:iCs/>
                <w:color w:val="auto"/>
              </w:rPr>
              <w:t>= 112</w:t>
            </w:r>
          </w:p>
        </w:tc>
        <w:tc>
          <w:tcPr>
            <w:tcW w:w="2551" w:type="dxa"/>
          </w:tcPr>
          <w:p w14:paraId="70C0EA3E" w14:textId="77777777" w:rsidR="00621DBA" w:rsidRPr="008B6783" w:rsidRDefault="00621DBA" w:rsidP="00003672">
            <w:pPr>
              <w:pStyle w:val="Instructionaltext"/>
              <w:spacing w:before="0"/>
              <w:rPr>
                <w:rFonts w:ascii="Arial" w:hAnsi="Arial" w:cs="Arial"/>
                <w:b/>
                <w:bCs/>
                <w:color w:val="auto"/>
              </w:rPr>
            </w:pPr>
            <w:r w:rsidRPr="008B6783">
              <w:rPr>
                <w:rFonts w:ascii="Arial" w:hAnsi="Arial" w:cs="Arial"/>
                <w:b/>
                <w:bCs/>
                <w:color w:val="auto"/>
              </w:rPr>
              <w:t>Baseline Assessment</w:t>
            </w:r>
          </w:p>
        </w:tc>
      </w:tr>
      <w:tr w:rsidR="00621DBA" w:rsidRPr="000F778E" w14:paraId="0A8054E0" w14:textId="77777777" w:rsidTr="008B6783">
        <w:tc>
          <w:tcPr>
            <w:tcW w:w="4957" w:type="dxa"/>
          </w:tcPr>
          <w:p w14:paraId="4791DA1E" w14:textId="6B9E7AD0" w:rsidR="00621DBA" w:rsidRPr="000F778E" w:rsidRDefault="00621DBA" w:rsidP="00003672">
            <w:pPr>
              <w:pStyle w:val="Instructionaltext"/>
              <w:spacing w:before="0"/>
              <w:rPr>
                <w:rFonts w:ascii="Arial" w:hAnsi="Arial" w:cs="Arial"/>
                <w:color w:val="auto"/>
              </w:rPr>
            </w:pPr>
            <w:r w:rsidRPr="000F778E">
              <w:rPr>
                <w:rFonts w:ascii="Arial" w:hAnsi="Arial" w:cs="Arial"/>
                <w:color w:val="auto"/>
              </w:rPr>
              <w:t>Participants referred to primary care services</w:t>
            </w:r>
          </w:p>
        </w:tc>
        <w:tc>
          <w:tcPr>
            <w:tcW w:w="2551" w:type="dxa"/>
          </w:tcPr>
          <w:p w14:paraId="416994DA" w14:textId="1D541146" w:rsidR="00621DBA" w:rsidRPr="000F778E" w:rsidRDefault="00621DBA" w:rsidP="00003672">
            <w:pPr>
              <w:pStyle w:val="Instructionaltext"/>
              <w:spacing w:before="0"/>
              <w:rPr>
                <w:rFonts w:ascii="Arial" w:hAnsi="Arial" w:cs="Arial"/>
                <w:color w:val="auto"/>
              </w:rPr>
            </w:pPr>
            <w:r w:rsidRPr="000F778E">
              <w:rPr>
                <w:rFonts w:ascii="Arial" w:hAnsi="Arial" w:cs="Arial"/>
                <w:color w:val="auto"/>
              </w:rPr>
              <w:t>88%</w:t>
            </w:r>
          </w:p>
        </w:tc>
      </w:tr>
      <w:tr w:rsidR="00621DBA" w:rsidRPr="00E26E68" w14:paraId="6B4230E3" w14:textId="77777777" w:rsidTr="008B6783">
        <w:tc>
          <w:tcPr>
            <w:tcW w:w="4957" w:type="dxa"/>
            <w:shd w:val="clear" w:color="auto" w:fill="F2F2F2" w:themeFill="background1" w:themeFillShade="F2"/>
          </w:tcPr>
          <w:p w14:paraId="7844DB81" w14:textId="3F140020" w:rsidR="00621DBA" w:rsidRPr="008B6783" w:rsidRDefault="00621DBA" w:rsidP="00003672">
            <w:pPr>
              <w:pStyle w:val="Instructionaltext"/>
              <w:spacing w:before="0"/>
              <w:rPr>
                <w:rFonts w:ascii="Arial" w:hAnsi="Arial" w:cs="Arial"/>
                <w:b/>
                <w:bCs/>
                <w:color w:val="auto"/>
              </w:rPr>
            </w:pPr>
            <w:r w:rsidRPr="008B6783">
              <w:rPr>
                <w:rFonts w:ascii="Arial" w:hAnsi="Arial" w:cs="Arial"/>
                <w:b/>
                <w:bCs/>
                <w:color w:val="auto"/>
              </w:rPr>
              <w:t xml:space="preserve">Comprehensive Intervention </w:t>
            </w:r>
            <w:r w:rsidR="002F3AF8" w:rsidRPr="002F3AF8">
              <w:rPr>
                <w:rFonts w:ascii="Arial" w:hAnsi="Arial" w:cs="Arial"/>
                <w:b/>
                <w:bCs/>
                <w:color w:val="auto"/>
              </w:rPr>
              <w:t>Arm n</w:t>
            </w:r>
            <w:r w:rsidRPr="008B6783">
              <w:rPr>
                <w:rFonts w:ascii="Arial" w:hAnsi="Arial" w:cs="Arial"/>
                <w:b/>
                <w:bCs/>
                <w:i/>
                <w:iCs/>
                <w:color w:val="auto"/>
              </w:rPr>
              <w:t>= 199</w:t>
            </w:r>
          </w:p>
        </w:tc>
        <w:tc>
          <w:tcPr>
            <w:tcW w:w="2551" w:type="dxa"/>
            <w:shd w:val="clear" w:color="auto" w:fill="F2F2F2" w:themeFill="background1" w:themeFillShade="F2"/>
          </w:tcPr>
          <w:p w14:paraId="04A5E4AB" w14:textId="094A21CD" w:rsidR="00621DBA" w:rsidRPr="008B6783" w:rsidRDefault="00621DBA" w:rsidP="00003672">
            <w:pPr>
              <w:pStyle w:val="Instructionaltext"/>
              <w:spacing w:before="0"/>
              <w:rPr>
                <w:rFonts w:ascii="Arial" w:hAnsi="Arial" w:cs="Arial"/>
                <w:b/>
                <w:bCs/>
                <w:color w:val="auto"/>
              </w:rPr>
            </w:pPr>
          </w:p>
        </w:tc>
      </w:tr>
      <w:tr w:rsidR="00621DBA" w:rsidRPr="000F778E" w14:paraId="057F227A" w14:textId="77777777" w:rsidTr="008B6783">
        <w:tc>
          <w:tcPr>
            <w:tcW w:w="4957" w:type="dxa"/>
          </w:tcPr>
          <w:p w14:paraId="655A5A37" w14:textId="377E8E36" w:rsidR="00621DBA" w:rsidRPr="000F778E" w:rsidRDefault="00621DBA" w:rsidP="00003672">
            <w:pPr>
              <w:pStyle w:val="Instructionaltext"/>
              <w:spacing w:before="0"/>
              <w:rPr>
                <w:rFonts w:ascii="Arial" w:hAnsi="Arial" w:cs="Arial"/>
                <w:color w:val="auto"/>
              </w:rPr>
            </w:pPr>
            <w:r w:rsidRPr="000F778E">
              <w:rPr>
                <w:rFonts w:ascii="Arial" w:hAnsi="Arial" w:cs="Arial"/>
                <w:color w:val="auto"/>
              </w:rPr>
              <w:t>Participants referred to primary care services</w:t>
            </w:r>
          </w:p>
        </w:tc>
        <w:tc>
          <w:tcPr>
            <w:tcW w:w="2551" w:type="dxa"/>
          </w:tcPr>
          <w:p w14:paraId="5643E398" w14:textId="0E3C5D0B" w:rsidR="00621DBA" w:rsidRPr="000F778E" w:rsidRDefault="00621DBA" w:rsidP="00003672">
            <w:pPr>
              <w:pStyle w:val="Instructionaltext"/>
              <w:spacing w:before="0"/>
              <w:rPr>
                <w:rFonts w:ascii="Arial" w:hAnsi="Arial" w:cs="Arial"/>
                <w:color w:val="auto"/>
              </w:rPr>
            </w:pPr>
            <w:r w:rsidRPr="000F778E">
              <w:rPr>
                <w:rFonts w:ascii="Arial" w:hAnsi="Arial" w:cs="Arial"/>
                <w:color w:val="auto"/>
              </w:rPr>
              <w:t>8%</w:t>
            </w:r>
          </w:p>
        </w:tc>
      </w:tr>
    </w:tbl>
    <w:p w14:paraId="0DB5957D" w14:textId="14A0EDAC" w:rsidR="002B0E8E" w:rsidRPr="002B0E8E" w:rsidRDefault="002B0E8E" w:rsidP="00957B7E">
      <w:pPr>
        <w:pStyle w:val="Instructionaltext"/>
        <w:spacing w:before="160" w:line="240" w:lineRule="auto"/>
        <w:rPr>
          <w:rFonts w:ascii="Arial" w:hAnsi="Arial" w:cs="Arial"/>
          <w:color w:val="auto"/>
        </w:rPr>
      </w:pPr>
      <w:r>
        <w:rPr>
          <w:rFonts w:ascii="Arial" w:hAnsi="Arial" w:cs="Arial"/>
          <w:color w:val="auto"/>
        </w:rPr>
        <w:t xml:space="preserve">At 6 month and </w:t>
      </w:r>
      <w:proofErr w:type="gramStart"/>
      <w:r>
        <w:rPr>
          <w:rFonts w:ascii="Arial" w:hAnsi="Arial" w:cs="Arial"/>
          <w:color w:val="auto"/>
        </w:rPr>
        <w:t>12 month</w:t>
      </w:r>
      <w:proofErr w:type="gramEnd"/>
      <w:r>
        <w:rPr>
          <w:rFonts w:ascii="Arial" w:hAnsi="Arial" w:cs="Arial"/>
          <w:color w:val="auto"/>
        </w:rPr>
        <w:t xml:space="preserve"> assessments participants self-reported their adherence to advice received at Baseline Assessment, referral to General Practice and attendance within the suggested timeframe.</w:t>
      </w:r>
    </w:p>
    <w:p w14:paraId="068D2966" w14:textId="1B7EE52F" w:rsidR="0017741B" w:rsidRPr="00A14753" w:rsidRDefault="00962095" w:rsidP="008B6783">
      <w:pPr>
        <w:pStyle w:val="Heading3"/>
        <w:spacing w:before="0" w:after="0"/>
      </w:pPr>
      <w:bookmarkStart w:id="44" w:name="_Toc137535754"/>
      <w:r w:rsidRPr="008B6783">
        <w:rPr>
          <w:rFonts w:ascii="Arial Narrow" w:hAnsi="Arial Narrow"/>
          <w:b/>
          <w:bCs/>
          <w:sz w:val="20"/>
          <w:szCs w:val="20"/>
        </w:rPr>
        <w:lastRenderedPageBreak/>
        <w:t xml:space="preserve">Table </w:t>
      </w:r>
      <w:r w:rsidR="009D0A94" w:rsidRPr="008B6783">
        <w:rPr>
          <w:rFonts w:ascii="Arial Narrow" w:hAnsi="Arial Narrow"/>
          <w:b/>
          <w:bCs/>
          <w:sz w:val="20"/>
          <w:szCs w:val="20"/>
        </w:rPr>
        <w:t xml:space="preserve">7: </w:t>
      </w:r>
      <w:r w:rsidR="0017741B" w:rsidRPr="008B6783">
        <w:rPr>
          <w:rFonts w:ascii="Arial Narrow" w:hAnsi="Arial Narrow"/>
          <w:b/>
          <w:bCs/>
          <w:sz w:val="20"/>
          <w:szCs w:val="20"/>
        </w:rPr>
        <w:t>Screening participants adherence to pharmacy advice and uptake of primary care referral</w:t>
      </w:r>
      <w:r w:rsidR="003F00FF" w:rsidRPr="008B6783">
        <w:rPr>
          <w:rFonts w:ascii="Arial Narrow" w:hAnsi="Arial Narrow"/>
          <w:b/>
          <w:bCs/>
          <w:sz w:val="20"/>
          <w:szCs w:val="20"/>
        </w:rPr>
        <w:t xml:space="preserve"> at </w:t>
      </w:r>
      <w:proofErr w:type="gramStart"/>
      <w:r w:rsidR="003F00FF" w:rsidRPr="008B6783">
        <w:rPr>
          <w:rFonts w:ascii="Arial Narrow" w:hAnsi="Arial Narrow"/>
          <w:b/>
          <w:bCs/>
          <w:sz w:val="20"/>
          <w:szCs w:val="20"/>
        </w:rPr>
        <w:t>6 and 12 month</w:t>
      </w:r>
      <w:proofErr w:type="gramEnd"/>
      <w:r w:rsidR="003F00FF" w:rsidRPr="008B6783">
        <w:rPr>
          <w:rFonts w:ascii="Arial Narrow" w:hAnsi="Arial Narrow"/>
          <w:b/>
          <w:bCs/>
          <w:sz w:val="20"/>
          <w:szCs w:val="20"/>
        </w:rPr>
        <w:t xml:space="preserve"> assessments</w:t>
      </w:r>
      <w:r w:rsidR="009D0A94" w:rsidRPr="008B6783">
        <w:rPr>
          <w:rFonts w:ascii="Arial Narrow" w:hAnsi="Arial Narrow"/>
          <w:b/>
          <w:bCs/>
          <w:sz w:val="20"/>
          <w:szCs w:val="20"/>
        </w:rPr>
        <w:t xml:space="preserve"> (General Practice)</w:t>
      </w:r>
      <w:bookmarkEnd w:id="44"/>
    </w:p>
    <w:tbl>
      <w:tblPr>
        <w:tblStyle w:val="TableGridLight1"/>
        <w:tblW w:w="9067" w:type="dxa"/>
        <w:tblLook w:val="04A0" w:firstRow="1" w:lastRow="0" w:firstColumn="1" w:lastColumn="0" w:noHBand="0" w:noVBand="1"/>
      </w:tblPr>
      <w:tblGrid>
        <w:gridCol w:w="3064"/>
        <w:gridCol w:w="1871"/>
        <w:gridCol w:w="1948"/>
        <w:gridCol w:w="2184"/>
      </w:tblGrid>
      <w:tr w:rsidR="009D0A94" w:rsidRPr="002B0E8E" w14:paraId="66FFCDEA" w14:textId="6AA7C809" w:rsidTr="008B6783">
        <w:trPr>
          <w:cnfStyle w:val="100000000000" w:firstRow="1" w:lastRow="0" w:firstColumn="0" w:lastColumn="0" w:oddVBand="0" w:evenVBand="0" w:oddHBand="0" w:evenHBand="0" w:firstRowFirstColumn="0" w:firstRowLastColumn="0" w:lastRowFirstColumn="0" w:lastRowLastColumn="0"/>
        </w:trPr>
        <w:tc>
          <w:tcPr>
            <w:tcW w:w="0" w:type="dxa"/>
          </w:tcPr>
          <w:p w14:paraId="0C4D4F3F" w14:textId="51599904" w:rsidR="009D0A94" w:rsidRPr="008B6783" w:rsidRDefault="009D0A94" w:rsidP="00003672">
            <w:pPr>
              <w:pStyle w:val="Instructionaltext"/>
              <w:spacing w:before="0"/>
              <w:rPr>
                <w:rFonts w:ascii="Arial" w:hAnsi="Arial" w:cs="Arial"/>
                <w:b/>
                <w:bCs/>
                <w:color w:val="auto"/>
                <w:sz w:val="18"/>
                <w:szCs w:val="18"/>
              </w:rPr>
            </w:pPr>
            <w:r w:rsidRPr="008B6783">
              <w:rPr>
                <w:rFonts w:ascii="Arial" w:hAnsi="Arial" w:cs="Arial"/>
                <w:b/>
                <w:bCs/>
                <w:color w:val="auto"/>
                <w:sz w:val="18"/>
                <w:szCs w:val="18"/>
              </w:rPr>
              <w:t xml:space="preserve">Self-reported health </w:t>
            </w:r>
            <w:proofErr w:type="spellStart"/>
            <w:r w:rsidRPr="008B6783">
              <w:rPr>
                <w:rFonts w:ascii="Arial" w:hAnsi="Arial" w:cs="Arial"/>
                <w:b/>
                <w:bCs/>
                <w:color w:val="auto"/>
                <w:sz w:val="18"/>
                <w:szCs w:val="18"/>
              </w:rPr>
              <w:t>utilisation</w:t>
            </w:r>
            <w:proofErr w:type="spellEnd"/>
            <w:r w:rsidRPr="008B6783">
              <w:rPr>
                <w:rFonts w:ascii="Arial" w:hAnsi="Arial" w:cs="Arial"/>
                <w:b/>
                <w:bCs/>
                <w:color w:val="auto"/>
                <w:sz w:val="18"/>
                <w:szCs w:val="18"/>
              </w:rPr>
              <w:t>; Brief and Comprehensive Interventions</w:t>
            </w:r>
            <w:r w:rsidR="00A85BF7">
              <w:rPr>
                <w:rFonts w:ascii="Arial" w:hAnsi="Arial" w:cs="Arial"/>
                <w:b/>
                <w:bCs/>
                <w:color w:val="auto"/>
                <w:sz w:val="18"/>
                <w:szCs w:val="18"/>
              </w:rPr>
              <w:t xml:space="preserve"> </w:t>
            </w:r>
          </w:p>
        </w:tc>
        <w:tc>
          <w:tcPr>
            <w:tcW w:w="0" w:type="dxa"/>
          </w:tcPr>
          <w:p w14:paraId="0CE5CD40" w14:textId="5A7DF73F" w:rsidR="009D0A94" w:rsidRPr="008B6783" w:rsidRDefault="009D0A94" w:rsidP="00003672">
            <w:pPr>
              <w:pStyle w:val="Instructionaltext"/>
              <w:spacing w:before="0"/>
              <w:rPr>
                <w:rFonts w:ascii="Arial" w:hAnsi="Arial" w:cs="Arial"/>
                <w:b/>
                <w:bCs/>
                <w:color w:val="auto"/>
                <w:sz w:val="18"/>
                <w:szCs w:val="18"/>
              </w:rPr>
            </w:pPr>
            <w:r w:rsidRPr="008B6783">
              <w:rPr>
                <w:rFonts w:ascii="Arial" w:hAnsi="Arial" w:cs="Arial"/>
                <w:b/>
                <w:bCs/>
                <w:color w:val="auto"/>
                <w:sz w:val="18"/>
                <w:szCs w:val="18"/>
              </w:rPr>
              <w:t>Referred to GP</w:t>
            </w:r>
          </w:p>
        </w:tc>
        <w:tc>
          <w:tcPr>
            <w:tcW w:w="0" w:type="dxa"/>
          </w:tcPr>
          <w:p w14:paraId="5E016175" w14:textId="2CD25165" w:rsidR="009D0A94" w:rsidRPr="008B6783" w:rsidRDefault="009D0A94" w:rsidP="00003672">
            <w:pPr>
              <w:pStyle w:val="Instructionaltext"/>
              <w:spacing w:before="0"/>
              <w:rPr>
                <w:rFonts w:ascii="Arial" w:hAnsi="Arial" w:cs="Arial"/>
                <w:b/>
                <w:bCs/>
                <w:color w:val="auto"/>
                <w:sz w:val="18"/>
                <w:szCs w:val="18"/>
              </w:rPr>
            </w:pPr>
            <w:r w:rsidRPr="008B6783">
              <w:rPr>
                <w:rFonts w:ascii="Arial" w:hAnsi="Arial" w:cs="Arial"/>
                <w:b/>
                <w:bCs/>
                <w:color w:val="auto"/>
                <w:sz w:val="18"/>
                <w:szCs w:val="18"/>
              </w:rPr>
              <w:t>Attended (of referred)</w:t>
            </w:r>
          </w:p>
        </w:tc>
        <w:tc>
          <w:tcPr>
            <w:tcW w:w="0" w:type="dxa"/>
          </w:tcPr>
          <w:p w14:paraId="574DBF8D" w14:textId="7FCE28EA" w:rsidR="009D0A94" w:rsidRPr="008B6783" w:rsidRDefault="009D0A94" w:rsidP="00003672">
            <w:pPr>
              <w:pStyle w:val="Instructionaltext"/>
              <w:spacing w:before="0"/>
              <w:rPr>
                <w:rFonts w:ascii="Arial" w:hAnsi="Arial" w:cs="Arial"/>
                <w:b/>
                <w:bCs/>
                <w:color w:val="auto"/>
                <w:sz w:val="18"/>
                <w:szCs w:val="18"/>
              </w:rPr>
            </w:pPr>
            <w:r w:rsidRPr="008B6783">
              <w:rPr>
                <w:rFonts w:ascii="Arial" w:hAnsi="Arial" w:cs="Arial"/>
                <w:b/>
                <w:bCs/>
                <w:color w:val="auto"/>
                <w:sz w:val="18"/>
                <w:szCs w:val="18"/>
              </w:rPr>
              <w:t>Attended within suggested timeframe (of attended)</w:t>
            </w:r>
          </w:p>
        </w:tc>
      </w:tr>
      <w:tr w:rsidR="009D0A94" w:rsidRPr="000F778E" w14:paraId="57C8AA9E" w14:textId="2BD6156F" w:rsidTr="008B6783">
        <w:tc>
          <w:tcPr>
            <w:tcW w:w="0" w:type="dxa"/>
          </w:tcPr>
          <w:p w14:paraId="6898399A" w14:textId="1FB48177"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 xml:space="preserve">6 Month Assessment </w:t>
            </w:r>
            <w:r w:rsidRPr="000F778E">
              <w:rPr>
                <w:rFonts w:ascii="Arial" w:hAnsi="Arial" w:cs="Arial"/>
                <w:i/>
                <w:iCs/>
                <w:color w:val="auto"/>
              </w:rPr>
              <w:t>n= 125</w:t>
            </w:r>
          </w:p>
        </w:tc>
        <w:tc>
          <w:tcPr>
            <w:tcW w:w="0" w:type="dxa"/>
          </w:tcPr>
          <w:p w14:paraId="32E6B55E" w14:textId="61B4EF32"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12%</w:t>
            </w:r>
          </w:p>
        </w:tc>
        <w:tc>
          <w:tcPr>
            <w:tcW w:w="0" w:type="dxa"/>
          </w:tcPr>
          <w:p w14:paraId="5EF7D1A5" w14:textId="44DFB55F"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46%</w:t>
            </w:r>
          </w:p>
        </w:tc>
        <w:tc>
          <w:tcPr>
            <w:tcW w:w="0" w:type="dxa"/>
          </w:tcPr>
          <w:p w14:paraId="7BA1F824" w14:textId="0BDDA2AD"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71%</w:t>
            </w:r>
          </w:p>
        </w:tc>
      </w:tr>
      <w:tr w:rsidR="009D0A94" w:rsidRPr="000F778E" w14:paraId="7B8EB74E" w14:textId="61544FB5" w:rsidTr="008B6783">
        <w:tc>
          <w:tcPr>
            <w:tcW w:w="0" w:type="dxa"/>
          </w:tcPr>
          <w:p w14:paraId="48465693" w14:textId="1DE90BFF"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 xml:space="preserve">12 Month Assessment </w:t>
            </w:r>
            <w:r w:rsidRPr="000F778E">
              <w:rPr>
                <w:rFonts w:ascii="Arial" w:hAnsi="Arial" w:cs="Arial"/>
                <w:i/>
                <w:iCs/>
                <w:color w:val="auto"/>
              </w:rPr>
              <w:t>n=124</w:t>
            </w:r>
          </w:p>
        </w:tc>
        <w:tc>
          <w:tcPr>
            <w:tcW w:w="0" w:type="dxa"/>
          </w:tcPr>
          <w:p w14:paraId="4D7423D0" w14:textId="137EA78D"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7%</w:t>
            </w:r>
          </w:p>
        </w:tc>
        <w:tc>
          <w:tcPr>
            <w:tcW w:w="0" w:type="dxa"/>
          </w:tcPr>
          <w:p w14:paraId="0FADC39B" w14:textId="042FBE82"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56%</w:t>
            </w:r>
          </w:p>
        </w:tc>
        <w:tc>
          <w:tcPr>
            <w:tcW w:w="0" w:type="dxa"/>
          </w:tcPr>
          <w:p w14:paraId="669E3743" w14:textId="72D975B6"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100%</w:t>
            </w:r>
          </w:p>
        </w:tc>
      </w:tr>
    </w:tbl>
    <w:p w14:paraId="3AAADD73" w14:textId="051C352C" w:rsidR="009D0A94" w:rsidRPr="00A14753" w:rsidRDefault="00962095" w:rsidP="00AD6260">
      <w:pPr>
        <w:pStyle w:val="Heading3"/>
        <w:spacing w:before="200" w:after="0"/>
      </w:pPr>
      <w:bookmarkStart w:id="45" w:name="_Toc137535755"/>
      <w:r w:rsidRPr="008B6783">
        <w:rPr>
          <w:rFonts w:ascii="Arial Narrow" w:hAnsi="Arial Narrow"/>
          <w:b/>
          <w:bCs/>
          <w:sz w:val="20"/>
          <w:szCs w:val="20"/>
        </w:rPr>
        <w:t xml:space="preserve">Table </w:t>
      </w:r>
      <w:r w:rsidR="009D0A94" w:rsidRPr="008B6783">
        <w:rPr>
          <w:rFonts w:ascii="Arial Narrow" w:hAnsi="Arial Narrow"/>
          <w:b/>
          <w:bCs/>
          <w:sz w:val="20"/>
          <w:szCs w:val="20"/>
        </w:rPr>
        <w:t xml:space="preserve">8: Screening participants adherence to pharmacy advice and uptake of primary care referral at </w:t>
      </w:r>
      <w:proofErr w:type="gramStart"/>
      <w:r w:rsidR="009D0A94" w:rsidRPr="008B6783">
        <w:rPr>
          <w:rFonts w:ascii="Arial Narrow" w:hAnsi="Arial Narrow"/>
          <w:b/>
          <w:bCs/>
          <w:sz w:val="20"/>
          <w:szCs w:val="20"/>
        </w:rPr>
        <w:t>6 and 12 month</w:t>
      </w:r>
      <w:proofErr w:type="gramEnd"/>
      <w:r w:rsidR="009D0A94" w:rsidRPr="008B6783">
        <w:rPr>
          <w:rFonts w:ascii="Arial Narrow" w:hAnsi="Arial Narrow"/>
          <w:b/>
          <w:bCs/>
          <w:sz w:val="20"/>
          <w:szCs w:val="20"/>
        </w:rPr>
        <w:t xml:space="preserve"> assessments (community lifestyle modification programs)</w:t>
      </w:r>
      <w:bookmarkEnd w:id="45"/>
    </w:p>
    <w:tbl>
      <w:tblPr>
        <w:tblStyle w:val="TableGridLight1"/>
        <w:tblW w:w="9067" w:type="dxa"/>
        <w:tblLook w:val="04A0" w:firstRow="1" w:lastRow="0" w:firstColumn="1" w:lastColumn="0" w:noHBand="0" w:noVBand="1"/>
      </w:tblPr>
      <w:tblGrid>
        <w:gridCol w:w="3692"/>
        <w:gridCol w:w="3029"/>
        <w:gridCol w:w="2346"/>
      </w:tblGrid>
      <w:tr w:rsidR="009D0A94" w:rsidRPr="002B0E8E" w14:paraId="5645AFB5" w14:textId="77777777" w:rsidTr="008B6783">
        <w:trPr>
          <w:cnfStyle w:val="100000000000" w:firstRow="1" w:lastRow="0" w:firstColumn="0" w:lastColumn="0" w:oddVBand="0" w:evenVBand="0" w:oddHBand="0" w:evenHBand="0" w:firstRowFirstColumn="0" w:firstRowLastColumn="0" w:lastRowFirstColumn="0" w:lastRowLastColumn="0"/>
        </w:trPr>
        <w:tc>
          <w:tcPr>
            <w:tcW w:w="0" w:type="dxa"/>
          </w:tcPr>
          <w:p w14:paraId="30A0FB12" w14:textId="1BCAE65E" w:rsidR="009D0A94" w:rsidRPr="008B6783" w:rsidRDefault="009D0A94" w:rsidP="00003672">
            <w:pPr>
              <w:pStyle w:val="Instructionaltext"/>
              <w:spacing w:before="0"/>
              <w:rPr>
                <w:rFonts w:ascii="Arial" w:hAnsi="Arial" w:cs="Arial"/>
                <w:b/>
                <w:bCs/>
                <w:color w:val="auto"/>
                <w:sz w:val="18"/>
                <w:szCs w:val="18"/>
              </w:rPr>
            </w:pPr>
            <w:r w:rsidRPr="008B6783">
              <w:rPr>
                <w:rFonts w:ascii="Arial" w:hAnsi="Arial" w:cs="Arial"/>
                <w:b/>
                <w:bCs/>
                <w:color w:val="auto"/>
                <w:sz w:val="18"/>
                <w:szCs w:val="18"/>
              </w:rPr>
              <w:t xml:space="preserve">Self-reported health </w:t>
            </w:r>
            <w:proofErr w:type="spellStart"/>
            <w:r w:rsidRPr="008B6783">
              <w:rPr>
                <w:rFonts w:ascii="Arial" w:hAnsi="Arial" w:cs="Arial"/>
                <w:b/>
                <w:bCs/>
                <w:color w:val="auto"/>
                <w:sz w:val="18"/>
                <w:szCs w:val="18"/>
              </w:rPr>
              <w:t>utilisation</w:t>
            </w:r>
            <w:proofErr w:type="spellEnd"/>
            <w:r w:rsidRPr="008B6783">
              <w:rPr>
                <w:rFonts w:ascii="Arial" w:hAnsi="Arial" w:cs="Arial"/>
                <w:b/>
                <w:bCs/>
                <w:color w:val="auto"/>
                <w:sz w:val="18"/>
                <w:szCs w:val="18"/>
              </w:rPr>
              <w:t>; Brief and Comprehensive Interventions</w:t>
            </w:r>
            <w:r w:rsidR="00A85BF7">
              <w:rPr>
                <w:rFonts w:ascii="Arial" w:hAnsi="Arial" w:cs="Arial"/>
                <w:b/>
                <w:bCs/>
                <w:color w:val="auto"/>
                <w:sz w:val="18"/>
                <w:szCs w:val="18"/>
              </w:rPr>
              <w:t xml:space="preserve"> </w:t>
            </w:r>
          </w:p>
        </w:tc>
        <w:tc>
          <w:tcPr>
            <w:tcW w:w="0" w:type="dxa"/>
          </w:tcPr>
          <w:p w14:paraId="6CB711BF" w14:textId="6439DA7F" w:rsidR="009D0A94" w:rsidRPr="008B6783" w:rsidRDefault="009D0A94" w:rsidP="00003672">
            <w:pPr>
              <w:pStyle w:val="Instructionaltext"/>
              <w:spacing w:before="0"/>
              <w:rPr>
                <w:rFonts w:ascii="Arial" w:hAnsi="Arial" w:cs="Arial"/>
                <w:b/>
                <w:bCs/>
                <w:color w:val="auto"/>
                <w:sz w:val="18"/>
                <w:szCs w:val="18"/>
              </w:rPr>
            </w:pPr>
            <w:r w:rsidRPr="008B6783">
              <w:rPr>
                <w:rFonts w:ascii="Arial" w:hAnsi="Arial" w:cs="Arial"/>
                <w:b/>
                <w:bCs/>
                <w:color w:val="auto"/>
                <w:sz w:val="18"/>
                <w:szCs w:val="18"/>
              </w:rPr>
              <w:t xml:space="preserve">Referred to lifestyle modification program </w:t>
            </w:r>
          </w:p>
        </w:tc>
        <w:tc>
          <w:tcPr>
            <w:tcW w:w="0" w:type="dxa"/>
          </w:tcPr>
          <w:p w14:paraId="4630B968" w14:textId="77777777" w:rsidR="009D0A94" w:rsidRPr="008B6783" w:rsidRDefault="009D0A94" w:rsidP="00003672">
            <w:pPr>
              <w:pStyle w:val="Instructionaltext"/>
              <w:spacing w:before="0"/>
              <w:rPr>
                <w:rFonts w:ascii="Arial" w:hAnsi="Arial" w:cs="Arial"/>
                <w:b/>
                <w:bCs/>
                <w:color w:val="auto"/>
                <w:sz w:val="18"/>
                <w:szCs w:val="18"/>
              </w:rPr>
            </w:pPr>
            <w:r w:rsidRPr="008B6783">
              <w:rPr>
                <w:rFonts w:ascii="Arial" w:hAnsi="Arial" w:cs="Arial"/>
                <w:b/>
                <w:bCs/>
                <w:color w:val="auto"/>
                <w:sz w:val="18"/>
                <w:szCs w:val="18"/>
              </w:rPr>
              <w:t>Attended (of referred)</w:t>
            </w:r>
          </w:p>
        </w:tc>
      </w:tr>
      <w:tr w:rsidR="009D0A94" w:rsidRPr="000F778E" w14:paraId="054A221D" w14:textId="77777777" w:rsidTr="008B6783">
        <w:tc>
          <w:tcPr>
            <w:tcW w:w="0" w:type="dxa"/>
          </w:tcPr>
          <w:p w14:paraId="4A72A64B" w14:textId="77777777"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 xml:space="preserve">6 Month Assessment </w:t>
            </w:r>
            <w:r w:rsidRPr="000F778E">
              <w:rPr>
                <w:rFonts w:ascii="Arial" w:hAnsi="Arial" w:cs="Arial"/>
                <w:i/>
                <w:iCs/>
                <w:color w:val="auto"/>
              </w:rPr>
              <w:t>n= 125</w:t>
            </w:r>
          </w:p>
        </w:tc>
        <w:tc>
          <w:tcPr>
            <w:tcW w:w="0" w:type="dxa"/>
          </w:tcPr>
          <w:p w14:paraId="7EEACE6E" w14:textId="77777777"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11.4%</w:t>
            </w:r>
          </w:p>
        </w:tc>
        <w:tc>
          <w:tcPr>
            <w:tcW w:w="0" w:type="dxa"/>
          </w:tcPr>
          <w:p w14:paraId="10FE4282" w14:textId="77777777"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21%</w:t>
            </w:r>
          </w:p>
        </w:tc>
      </w:tr>
      <w:tr w:rsidR="009D0A94" w:rsidRPr="000F778E" w14:paraId="0C319EF1" w14:textId="77777777" w:rsidTr="008B6783">
        <w:tc>
          <w:tcPr>
            <w:tcW w:w="0" w:type="dxa"/>
          </w:tcPr>
          <w:p w14:paraId="080B5E72" w14:textId="77777777"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 xml:space="preserve">12 Month Assessment </w:t>
            </w:r>
            <w:r w:rsidRPr="000F778E">
              <w:rPr>
                <w:rFonts w:ascii="Arial" w:hAnsi="Arial" w:cs="Arial"/>
                <w:i/>
                <w:iCs/>
                <w:color w:val="auto"/>
              </w:rPr>
              <w:t>n=124</w:t>
            </w:r>
          </w:p>
        </w:tc>
        <w:tc>
          <w:tcPr>
            <w:tcW w:w="0" w:type="dxa"/>
          </w:tcPr>
          <w:p w14:paraId="3418D3E1" w14:textId="77777777"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8%</w:t>
            </w:r>
          </w:p>
        </w:tc>
        <w:tc>
          <w:tcPr>
            <w:tcW w:w="0" w:type="dxa"/>
          </w:tcPr>
          <w:p w14:paraId="3785343B" w14:textId="77777777" w:rsidR="009D0A94" w:rsidRPr="000F778E" w:rsidRDefault="009D0A94" w:rsidP="00003672">
            <w:pPr>
              <w:pStyle w:val="Instructionaltext"/>
              <w:spacing w:before="0"/>
              <w:rPr>
                <w:rFonts w:ascii="Arial" w:hAnsi="Arial" w:cs="Arial"/>
                <w:color w:val="auto"/>
              </w:rPr>
            </w:pPr>
            <w:r w:rsidRPr="000F778E">
              <w:rPr>
                <w:rFonts w:ascii="Arial" w:hAnsi="Arial" w:cs="Arial"/>
                <w:color w:val="auto"/>
              </w:rPr>
              <w:t>62.5%</w:t>
            </w:r>
          </w:p>
        </w:tc>
      </w:tr>
    </w:tbl>
    <w:p w14:paraId="3A9FC032" w14:textId="77777777" w:rsidR="00CB5B6B" w:rsidRPr="00A14753" w:rsidRDefault="00CB5B6B" w:rsidP="00AD6260">
      <w:pPr>
        <w:pStyle w:val="Heading3"/>
        <w:spacing w:before="200" w:after="0"/>
      </w:pPr>
      <w:bookmarkStart w:id="46" w:name="_Toc137535756"/>
      <w:r w:rsidRPr="008B6783">
        <w:rPr>
          <w:rFonts w:ascii="Arial Narrow" w:hAnsi="Arial Narrow"/>
          <w:b/>
          <w:bCs/>
          <w:sz w:val="20"/>
          <w:szCs w:val="20"/>
        </w:rPr>
        <w:t>Table 8a: Screening participants who were referred to Lifestyle Modification Programs and commenced another Lifestyle Modification Program on completion of the first program</w:t>
      </w:r>
      <w:bookmarkEnd w:id="46"/>
    </w:p>
    <w:tbl>
      <w:tblPr>
        <w:tblStyle w:val="PlainTable2"/>
        <w:tblW w:w="9067" w:type="dxa"/>
        <w:tblLook w:val="04A0" w:firstRow="1" w:lastRow="0" w:firstColumn="1" w:lastColumn="0" w:noHBand="0" w:noVBand="1"/>
      </w:tblPr>
      <w:tblGrid>
        <w:gridCol w:w="2972"/>
        <w:gridCol w:w="2835"/>
        <w:gridCol w:w="3260"/>
      </w:tblGrid>
      <w:tr w:rsidR="00CB5B6B" w:rsidRPr="00FA6C0F" w14:paraId="0F87AEC0" w14:textId="77777777" w:rsidTr="00C71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FA1AB7" w14:textId="77777777" w:rsidR="00CB5B6B" w:rsidRPr="00FA6C0F" w:rsidRDefault="00CB5B6B" w:rsidP="00003672">
            <w:pPr>
              <w:pStyle w:val="Instructionaltext"/>
              <w:spacing w:before="0"/>
              <w:rPr>
                <w:rFonts w:ascii="Arial" w:hAnsi="Arial" w:cs="Arial"/>
                <w:color w:val="auto"/>
              </w:rPr>
            </w:pPr>
          </w:p>
        </w:tc>
        <w:tc>
          <w:tcPr>
            <w:tcW w:w="2835" w:type="dxa"/>
          </w:tcPr>
          <w:p w14:paraId="57DFA2BD" w14:textId="77777777" w:rsidR="00CB5B6B" w:rsidRPr="00FA6C0F" w:rsidRDefault="00CB5B6B" w:rsidP="008B6783">
            <w:pPr>
              <w:pStyle w:val="Instructionaltext"/>
              <w:spacing w:before="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roofErr w:type="gramStart"/>
            <w:r w:rsidRPr="00FA6C0F">
              <w:rPr>
                <w:rFonts w:ascii="Arial" w:hAnsi="Arial" w:cs="Arial"/>
                <w:color w:val="auto"/>
              </w:rPr>
              <w:t>6 month</w:t>
            </w:r>
            <w:proofErr w:type="gramEnd"/>
            <w:r w:rsidRPr="00FA6C0F">
              <w:rPr>
                <w:rFonts w:ascii="Arial" w:hAnsi="Arial" w:cs="Arial"/>
                <w:color w:val="auto"/>
              </w:rPr>
              <w:t xml:space="preserve"> Assessment</w:t>
            </w:r>
          </w:p>
        </w:tc>
        <w:tc>
          <w:tcPr>
            <w:tcW w:w="3260" w:type="dxa"/>
          </w:tcPr>
          <w:p w14:paraId="397318B5" w14:textId="77777777" w:rsidR="00CB5B6B" w:rsidRPr="00FA6C0F" w:rsidRDefault="00CB5B6B" w:rsidP="008B6783">
            <w:pPr>
              <w:pStyle w:val="Instructionaltext"/>
              <w:spacing w:before="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roofErr w:type="gramStart"/>
            <w:r w:rsidRPr="00FA6C0F">
              <w:rPr>
                <w:rFonts w:ascii="Arial" w:hAnsi="Arial" w:cs="Arial"/>
                <w:color w:val="auto"/>
              </w:rPr>
              <w:t>12 month</w:t>
            </w:r>
            <w:proofErr w:type="gramEnd"/>
            <w:r w:rsidRPr="00FA6C0F">
              <w:rPr>
                <w:rFonts w:ascii="Arial" w:hAnsi="Arial" w:cs="Arial"/>
                <w:color w:val="auto"/>
              </w:rPr>
              <w:t xml:space="preserve"> Assessment</w:t>
            </w:r>
          </w:p>
        </w:tc>
      </w:tr>
      <w:tr w:rsidR="00CB5B6B" w:rsidRPr="00FA6C0F" w14:paraId="29B07BC5" w14:textId="77777777" w:rsidTr="00C7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347AACE" w14:textId="77777777" w:rsidR="00CB5B6B" w:rsidRPr="00FA6C0F" w:rsidRDefault="00CB5B6B" w:rsidP="00003672">
            <w:pPr>
              <w:pStyle w:val="Instructionaltext"/>
              <w:spacing w:before="0"/>
              <w:rPr>
                <w:rFonts w:ascii="Arial" w:hAnsi="Arial" w:cs="Arial"/>
                <w:color w:val="auto"/>
              </w:rPr>
            </w:pPr>
          </w:p>
        </w:tc>
        <w:tc>
          <w:tcPr>
            <w:tcW w:w="2835" w:type="dxa"/>
          </w:tcPr>
          <w:p w14:paraId="4F707D5F" w14:textId="77777777" w:rsidR="00CB5B6B" w:rsidRPr="00FA6C0F" w:rsidRDefault="00CB5B6B" w:rsidP="008B6783">
            <w:pPr>
              <w:pStyle w:val="Instructionaltext"/>
              <w:spacing w:before="0"/>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FA6C0F">
              <w:rPr>
                <w:rFonts w:ascii="Arial" w:hAnsi="Arial" w:cs="Arial"/>
                <w:b/>
                <w:bCs/>
                <w:color w:val="auto"/>
              </w:rPr>
              <w:t>Commenced another Lifestyle Modification Program</w:t>
            </w:r>
          </w:p>
        </w:tc>
        <w:tc>
          <w:tcPr>
            <w:tcW w:w="3260" w:type="dxa"/>
          </w:tcPr>
          <w:p w14:paraId="29868BDE" w14:textId="77777777" w:rsidR="00CB5B6B" w:rsidRPr="00FA6C0F" w:rsidRDefault="00CB5B6B" w:rsidP="008B6783">
            <w:pPr>
              <w:pStyle w:val="Instructionaltext"/>
              <w:spacing w:before="0"/>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FA6C0F">
              <w:rPr>
                <w:rFonts w:ascii="Arial" w:hAnsi="Arial" w:cs="Arial"/>
                <w:b/>
                <w:bCs/>
                <w:color w:val="auto"/>
              </w:rPr>
              <w:t>Commenced another Lifestyle Modification Program</w:t>
            </w:r>
          </w:p>
        </w:tc>
      </w:tr>
      <w:tr w:rsidR="00CB5B6B" w:rsidRPr="00FA6C0F" w14:paraId="384A7892" w14:textId="77777777" w:rsidTr="00C71886">
        <w:tc>
          <w:tcPr>
            <w:cnfStyle w:val="001000000000" w:firstRow="0" w:lastRow="0" w:firstColumn="1" w:lastColumn="0" w:oddVBand="0" w:evenVBand="0" w:oddHBand="0" w:evenHBand="0" w:firstRowFirstColumn="0" w:firstRowLastColumn="0" w:lastRowFirstColumn="0" w:lastRowLastColumn="0"/>
            <w:tcW w:w="2972" w:type="dxa"/>
          </w:tcPr>
          <w:p w14:paraId="72891047" w14:textId="77777777" w:rsidR="00CB5B6B" w:rsidRPr="00FA6C0F" w:rsidRDefault="00CB5B6B" w:rsidP="00003672">
            <w:pPr>
              <w:pStyle w:val="Instructionaltext"/>
              <w:tabs>
                <w:tab w:val="left" w:pos="1200"/>
              </w:tabs>
              <w:spacing w:before="0"/>
              <w:rPr>
                <w:rFonts w:ascii="Arial" w:hAnsi="Arial" w:cs="Arial"/>
                <w:b w:val="0"/>
                <w:bCs w:val="0"/>
                <w:color w:val="auto"/>
              </w:rPr>
            </w:pPr>
            <w:r w:rsidRPr="00FA6C0F">
              <w:rPr>
                <w:rFonts w:ascii="Arial" w:hAnsi="Arial" w:cs="Arial"/>
                <w:b w:val="0"/>
                <w:bCs w:val="0"/>
                <w:color w:val="auto"/>
              </w:rPr>
              <w:t>Brief Intervention</w:t>
            </w:r>
          </w:p>
        </w:tc>
        <w:tc>
          <w:tcPr>
            <w:tcW w:w="2835" w:type="dxa"/>
          </w:tcPr>
          <w:p w14:paraId="0F425A39" w14:textId="77777777" w:rsidR="00CB5B6B" w:rsidRPr="00FA6C0F" w:rsidRDefault="00CB5B6B" w:rsidP="008B6783">
            <w:pPr>
              <w:pStyle w:val="Instructionaltext"/>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A6C0F">
              <w:rPr>
                <w:rFonts w:ascii="Arial" w:hAnsi="Arial" w:cs="Arial"/>
                <w:color w:val="auto"/>
              </w:rPr>
              <w:t>0%</w:t>
            </w:r>
          </w:p>
        </w:tc>
        <w:tc>
          <w:tcPr>
            <w:tcW w:w="3260" w:type="dxa"/>
          </w:tcPr>
          <w:p w14:paraId="7F8BFBDE" w14:textId="77777777" w:rsidR="00CB5B6B" w:rsidRPr="00FA6C0F" w:rsidRDefault="00CB5B6B" w:rsidP="008B6783">
            <w:pPr>
              <w:pStyle w:val="Instructionaltext"/>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A6C0F">
              <w:rPr>
                <w:rFonts w:ascii="Arial" w:hAnsi="Arial" w:cs="Arial"/>
                <w:color w:val="auto"/>
              </w:rPr>
              <w:t>25%</w:t>
            </w:r>
          </w:p>
        </w:tc>
      </w:tr>
      <w:tr w:rsidR="00CB5B6B" w14:paraId="0A273A55" w14:textId="77777777" w:rsidTr="00C7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005BDF" w14:textId="77777777" w:rsidR="00CB5B6B" w:rsidRPr="00FA6C0F" w:rsidRDefault="00CB5B6B" w:rsidP="00003672">
            <w:pPr>
              <w:pStyle w:val="Instructionaltext"/>
              <w:spacing w:before="0"/>
              <w:rPr>
                <w:rFonts w:ascii="Arial" w:hAnsi="Arial" w:cs="Arial"/>
                <w:b w:val="0"/>
                <w:bCs w:val="0"/>
                <w:color w:val="auto"/>
              </w:rPr>
            </w:pPr>
            <w:r w:rsidRPr="00FA6C0F">
              <w:rPr>
                <w:rFonts w:ascii="Arial" w:hAnsi="Arial" w:cs="Arial"/>
                <w:b w:val="0"/>
                <w:bCs w:val="0"/>
                <w:color w:val="auto"/>
              </w:rPr>
              <w:t>Comprehensive Intervention</w:t>
            </w:r>
          </w:p>
        </w:tc>
        <w:tc>
          <w:tcPr>
            <w:tcW w:w="2835" w:type="dxa"/>
          </w:tcPr>
          <w:p w14:paraId="54D143E4" w14:textId="77777777" w:rsidR="00CB5B6B" w:rsidRPr="00FA6C0F" w:rsidRDefault="00CB5B6B" w:rsidP="008B6783">
            <w:pPr>
              <w:pStyle w:val="Instructionaltext"/>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A6C0F">
              <w:rPr>
                <w:rFonts w:ascii="Arial" w:hAnsi="Arial" w:cs="Arial"/>
                <w:color w:val="auto"/>
              </w:rPr>
              <w:t>13%</w:t>
            </w:r>
          </w:p>
        </w:tc>
        <w:tc>
          <w:tcPr>
            <w:tcW w:w="3260" w:type="dxa"/>
          </w:tcPr>
          <w:p w14:paraId="7B265F69" w14:textId="77777777" w:rsidR="00CB5B6B" w:rsidRDefault="00CB5B6B" w:rsidP="008B6783">
            <w:pPr>
              <w:pStyle w:val="Instructionaltext"/>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A6C0F">
              <w:rPr>
                <w:rFonts w:ascii="Arial" w:hAnsi="Arial" w:cs="Arial"/>
                <w:color w:val="auto"/>
              </w:rPr>
              <w:t>17%</w:t>
            </w:r>
          </w:p>
        </w:tc>
      </w:tr>
    </w:tbl>
    <w:p w14:paraId="7079E8B9" w14:textId="1B58485F" w:rsidR="0017741B" w:rsidRPr="00A14753" w:rsidRDefault="00962095" w:rsidP="00AD6260">
      <w:pPr>
        <w:pStyle w:val="Heading3"/>
        <w:spacing w:before="200" w:after="0"/>
      </w:pPr>
      <w:bookmarkStart w:id="47" w:name="_Toc137535757"/>
      <w:r w:rsidRPr="008B6783">
        <w:rPr>
          <w:rFonts w:ascii="Arial Narrow" w:hAnsi="Arial Narrow"/>
          <w:b/>
          <w:bCs/>
          <w:sz w:val="20"/>
          <w:szCs w:val="20"/>
        </w:rPr>
        <w:t xml:space="preserve">Table </w:t>
      </w:r>
      <w:r w:rsidR="00E84647" w:rsidRPr="008B6783">
        <w:rPr>
          <w:rFonts w:ascii="Arial Narrow" w:hAnsi="Arial Narrow"/>
          <w:b/>
          <w:bCs/>
          <w:sz w:val="20"/>
          <w:szCs w:val="20"/>
        </w:rPr>
        <w:t xml:space="preserve">9: </w:t>
      </w:r>
      <w:r w:rsidR="0017741B" w:rsidRPr="008B6783">
        <w:rPr>
          <w:rFonts w:ascii="Arial Narrow" w:hAnsi="Arial Narrow"/>
          <w:b/>
          <w:bCs/>
          <w:sz w:val="20"/>
          <w:szCs w:val="20"/>
        </w:rPr>
        <w:t>Screen</w:t>
      </w:r>
      <w:r w:rsidR="00FC6566" w:rsidRPr="008B6783">
        <w:rPr>
          <w:rFonts w:ascii="Arial Narrow" w:hAnsi="Arial Narrow"/>
          <w:b/>
          <w:bCs/>
          <w:sz w:val="20"/>
          <w:szCs w:val="20"/>
        </w:rPr>
        <w:t>i</w:t>
      </w:r>
      <w:r w:rsidR="0017741B" w:rsidRPr="008B6783">
        <w:rPr>
          <w:rFonts w:ascii="Arial Narrow" w:hAnsi="Arial Narrow"/>
          <w:b/>
          <w:bCs/>
          <w:sz w:val="20"/>
          <w:szCs w:val="20"/>
        </w:rPr>
        <w:t>ng satisfaction</w:t>
      </w:r>
      <w:r w:rsidR="006154AD" w:rsidRPr="008B6783">
        <w:rPr>
          <w:rFonts w:ascii="Arial Narrow" w:hAnsi="Arial Narrow"/>
          <w:b/>
          <w:bCs/>
          <w:sz w:val="20"/>
          <w:szCs w:val="20"/>
        </w:rPr>
        <w:t xml:space="preserve"> of participants</w:t>
      </w:r>
      <w:r w:rsidR="0017741B" w:rsidRPr="008B6783">
        <w:rPr>
          <w:rFonts w:ascii="Arial Narrow" w:hAnsi="Arial Narrow"/>
          <w:b/>
          <w:bCs/>
          <w:sz w:val="20"/>
          <w:szCs w:val="20"/>
        </w:rPr>
        <w:t xml:space="preserve"> with </w:t>
      </w:r>
      <w:r w:rsidR="00940907" w:rsidRPr="008B6783">
        <w:rPr>
          <w:rFonts w:ascii="Arial Narrow" w:hAnsi="Arial Narrow"/>
          <w:b/>
          <w:bCs/>
          <w:sz w:val="20"/>
          <w:szCs w:val="20"/>
        </w:rPr>
        <w:t>pharmacy-based</w:t>
      </w:r>
      <w:r w:rsidR="0017741B" w:rsidRPr="008B6783">
        <w:rPr>
          <w:rFonts w:ascii="Arial Narrow" w:hAnsi="Arial Narrow"/>
          <w:b/>
          <w:bCs/>
          <w:sz w:val="20"/>
          <w:szCs w:val="20"/>
        </w:rPr>
        <w:t xml:space="preserve"> services.</w:t>
      </w:r>
      <w:bookmarkEnd w:id="47"/>
    </w:p>
    <w:tbl>
      <w:tblPr>
        <w:tblStyle w:val="TableGridLight1"/>
        <w:tblW w:w="9067" w:type="dxa"/>
        <w:tblLook w:val="04A0" w:firstRow="1" w:lastRow="0" w:firstColumn="1" w:lastColumn="0" w:noHBand="0" w:noVBand="1"/>
      </w:tblPr>
      <w:tblGrid>
        <w:gridCol w:w="5064"/>
        <w:gridCol w:w="4003"/>
      </w:tblGrid>
      <w:tr w:rsidR="006154AD" w:rsidRPr="002B0E8E" w14:paraId="1F619F44" w14:textId="77777777" w:rsidTr="008B6783">
        <w:trPr>
          <w:cnfStyle w:val="100000000000" w:firstRow="1" w:lastRow="0" w:firstColumn="0" w:lastColumn="0" w:oddVBand="0" w:evenVBand="0" w:oddHBand="0" w:evenHBand="0" w:firstRowFirstColumn="0" w:firstRowLastColumn="0" w:lastRowFirstColumn="0" w:lastRowLastColumn="0"/>
        </w:trPr>
        <w:tc>
          <w:tcPr>
            <w:tcW w:w="0" w:type="dxa"/>
          </w:tcPr>
          <w:p w14:paraId="520D07CC" w14:textId="7B7E8476" w:rsidR="00E87484" w:rsidRDefault="006154AD" w:rsidP="00003672">
            <w:pPr>
              <w:pStyle w:val="Instructionaltext"/>
              <w:spacing w:before="0"/>
              <w:rPr>
                <w:rFonts w:ascii="Arial" w:hAnsi="Arial" w:cs="Arial"/>
                <w:b/>
                <w:bCs/>
                <w:color w:val="auto"/>
              </w:rPr>
            </w:pPr>
            <w:r w:rsidRPr="008B6783">
              <w:rPr>
                <w:rFonts w:ascii="Arial" w:hAnsi="Arial" w:cs="Arial"/>
                <w:b/>
                <w:bCs/>
                <w:color w:val="auto"/>
              </w:rPr>
              <w:t xml:space="preserve">Brief Intervention </w:t>
            </w:r>
            <w:r w:rsidR="00940907" w:rsidRPr="00940907">
              <w:rPr>
                <w:rFonts w:ascii="Arial" w:hAnsi="Arial" w:cs="Arial"/>
                <w:b/>
                <w:bCs/>
                <w:color w:val="auto"/>
              </w:rPr>
              <w:t xml:space="preserve">Arm </w:t>
            </w:r>
          </w:p>
          <w:p w14:paraId="57CA25B2" w14:textId="3480F392" w:rsidR="006154AD" w:rsidRPr="008B6783" w:rsidRDefault="00940907" w:rsidP="00003672">
            <w:pPr>
              <w:pStyle w:val="Instructionaltext"/>
              <w:spacing w:before="0"/>
              <w:rPr>
                <w:rFonts w:ascii="Arial" w:hAnsi="Arial" w:cs="Arial"/>
                <w:b/>
                <w:bCs/>
                <w:color w:val="auto"/>
              </w:rPr>
            </w:pPr>
            <w:r w:rsidRPr="00940907">
              <w:rPr>
                <w:rFonts w:ascii="Arial" w:hAnsi="Arial" w:cs="Arial"/>
                <w:b/>
                <w:bCs/>
                <w:color w:val="auto"/>
              </w:rPr>
              <w:t>n</w:t>
            </w:r>
            <w:r w:rsidR="006154AD" w:rsidRPr="008B6783">
              <w:rPr>
                <w:rFonts w:ascii="Arial" w:hAnsi="Arial" w:cs="Arial"/>
                <w:b/>
                <w:bCs/>
                <w:i/>
                <w:iCs/>
                <w:color w:val="auto"/>
              </w:rPr>
              <w:t>= 112</w:t>
            </w:r>
          </w:p>
        </w:tc>
        <w:tc>
          <w:tcPr>
            <w:tcW w:w="0" w:type="dxa"/>
          </w:tcPr>
          <w:p w14:paraId="01150B5D" w14:textId="13060BB4" w:rsidR="006154AD" w:rsidRPr="008B6783" w:rsidRDefault="006154AD" w:rsidP="00003672">
            <w:pPr>
              <w:pStyle w:val="Instructionaltext"/>
              <w:spacing w:before="0"/>
              <w:rPr>
                <w:rFonts w:ascii="Arial" w:hAnsi="Arial" w:cs="Arial"/>
                <w:b/>
                <w:bCs/>
                <w:color w:val="auto"/>
              </w:rPr>
            </w:pPr>
            <w:r w:rsidRPr="008B6783">
              <w:rPr>
                <w:rFonts w:ascii="Arial" w:hAnsi="Arial" w:cs="Arial"/>
                <w:b/>
                <w:bCs/>
                <w:color w:val="auto"/>
              </w:rPr>
              <w:t xml:space="preserve">Did you find it appropriate </w:t>
            </w:r>
            <w:r w:rsidR="00FC6566" w:rsidRPr="008B6783">
              <w:rPr>
                <w:rFonts w:ascii="Arial" w:hAnsi="Arial" w:cs="Arial"/>
                <w:b/>
                <w:bCs/>
                <w:color w:val="auto"/>
              </w:rPr>
              <w:t>to have the risk assessment completed in a pharmacy setting?</w:t>
            </w:r>
          </w:p>
        </w:tc>
      </w:tr>
      <w:tr w:rsidR="00FC6566" w:rsidRPr="000F778E" w14:paraId="18DF7310" w14:textId="77777777" w:rsidTr="008B6783">
        <w:tc>
          <w:tcPr>
            <w:tcW w:w="0" w:type="dxa"/>
          </w:tcPr>
          <w:p w14:paraId="7F27BB2F" w14:textId="41529696"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 xml:space="preserve">Baseline Assessment </w:t>
            </w:r>
          </w:p>
        </w:tc>
        <w:tc>
          <w:tcPr>
            <w:tcW w:w="0" w:type="dxa"/>
          </w:tcPr>
          <w:p w14:paraId="3244EA5B" w14:textId="6467D047"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99%</w:t>
            </w:r>
          </w:p>
        </w:tc>
      </w:tr>
      <w:tr w:rsidR="00FC6566" w:rsidRPr="000F778E" w14:paraId="4426E60E" w14:textId="77777777" w:rsidTr="008B6783">
        <w:tc>
          <w:tcPr>
            <w:tcW w:w="0" w:type="dxa"/>
          </w:tcPr>
          <w:p w14:paraId="4F4DE3A9" w14:textId="20F4FCB4"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6 Month Assessment</w:t>
            </w:r>
          </w:p>
        </w:tc>
        <w:tc>
          <w:tcPr>
            <w:tcW w:w="0" w:type="dxa"/>
          </w:tcPr>
          <w:p w14:paraId="7A23A2BB" w14:textId="49C7D027"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100%</w:t>
            </w:r>
          </w:p>
        </w:tc>
      </w:tr>
      <w:tr w:rsidR="00FC6566" w:rsidRPr="000F778E" w14:paraId="4BFD8815" w14:textId="77777777" w:rsidTr="008B6783">
        <w:tc>
          <w:tcPr>
            <w:tcW w:w="0" w:type="dxa"/>
          </w:tcPr>
          <w:p w14:paraId="23548652" w14:textId="3A461705"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12 Month Assessment</w:t>
            </w:r>
          </w:p>
        </w:tc>
        <w:tc>
          <w:tcPr>
            <w:tcW w:w="0" w:type="dxa"/>
          </w:tcPr>
          <w:p w14:paraId="7CB1CC74" w14:textId="19A12DC7"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100%</w:t>
            </w:r>
          </w:p>
        </w:tc>
      </w:tr>
      <w:tr w:rsidR="00FC6566" w:rsidRPr="002B0E8E" w14:paraId="3A649792" w14:textId="77777777" w:rsidTr="008B6783">
        <w:tc>
          <w:tcPr>
            <w:tcW w:w="0" w:type="dxa"/>
            <w:shd w:val="clear" w:color="auto" w:fill="F2F2F2" w:themeFill="background1" w:themeFillShade="F2"/>
          </w:tcPr>
          <w:p w14:paraId="41983373" w14:textId="4255A0A7" w:rsidR="00E87484" w:rsidRDefault="00FC6566" w:rsidP="00003672">
            <w:pPr>
              <w:pStyle w:val="Instructionaltext"/>
              <w:spacing w:before="0"/>
              <w:rPr>
                <w:rFonts w:ascii="Arial" w:hAnsi="Arial" w:cs="Arial"/>
                <w:b/>
                <w:bCs/>
                <w:color w:val="auto"/>
              </w:rPr>
            </w:pPr>
            <w:r w:rsidRPr="008B6783">
              <w:rPr>
                <w:rFonts w:ascii="Arial" w:hAnsi="Arial" w:cs="Arial"/>
                <w:b/>
                <w:bCs/>
                <w:color w:val="auto"/>
              </w:rPr>
              <w:t xml:space="preserve">Comprehensive Intervention </w:t>
            </w:r>
            <w:r w:rsidR="00940907" w:rsidRPr="00940907">
              <w:rPr>
                <w:rFonts w:ascii="Arial" w:hAnsi="Arial" w:cs="Arial"/>
                <w:b/>
                <w:bCs/>
                <w:color w:val="auto"/>
              </w:rPr>
              <w:t>Arm</w:t>
            </w:r>
          </w:p>
          <w:p w14:paraId="585A76E7" w14:textId="6816D971" w:rsidR="00FC6566" w:rsidRPr="008B6783" w:rsidRDefault="00940907" w:rsidP="00003672">
            <w:pPr>
              <w:pStyle w:val="Instructionaltext"/>
              <w:spacing w:before="0"/>
              <w:rPr>
                <w:rFonts w:ascii="Arial" w:hAnsi="Arial" w:cs="Arial"/>
                <w:b/>
                <w:bCs/>
                <w:color w:val="auto"/>
              </w:rPr>
            </w:pPr>
            <w:r w:rsidRPr="00940907">
              <w:rPr>
                <w:rFonts w:ascii="Arial" w:hAnsi="Arial" w:cs="Arial"/>
                <w:b/>
                <w:bCs/>
                <w:color w:val="auto"/>
              </w:rPr>
              <w:t>n</w:t>
            </w:r>
            <w:r w:rsidR="00FC6566" w:rsidRPr="008B6783">
              <w:rPr>
                <w:rFonts w:ascii="Arial" w:hAnsi="Arial" w:cs="Arial"/>
                <w:b/>
                <w:bCs/>
                <w:i/>
                <w:iCs/>
                <w:color w:val="auto"/>
              </w:rPr>
              <w:t>= 199</w:t>
            </w:r>
          </w:p>
        </w:tc>
        <w:tc>
          <w:tcPr>
            <w:tcW w:w="0" w:type="dxa"/>
            <w:shd w:val="clear" w:color="auto" w:fill="F2F2F2" w:themeFill="background1" w:themeFillShade="F2"/>
          </w:tcPr>
          <w:p w14:paraId="21905DA0" w14:textId="623B1747" w:rsidR="00FC6566" w:rsidRPr="008B6783" w:rsidRDefault="00FC6566" w:rsidP="00003672">
            <w:pPr>
              <w:pStyle w:val="Instructionaltext"/>
              <w:spacing w:before="0"/>
              <w:rPr>
                <w:rFonts w:ascii="Arial" w:hAnsi="Arial" w:cs="Arial"/>
                <w:b/>
                <w:bCs/>
                <w:color w:val="auto"/>
              </w:rPr>
            </w:pPr>
            <w:r w:rsidRPr="008B6783">
              <w:rPr>
                <w:rFonts w:ascii="Arial" w:hAnsi="Arial" w:cs="Arial"/>
                <w:b/>
                <w:bCs/>
                <w:color w:val="auto"/>
              </w:rPr>
              <w:t>Did you find it appropriate to have the risk assessment completed in a pharmacy setting?</w:t>
            </w:r>
          </w:p>
        </w:tc>
      </w:tr>
      <w:tr w:rsidR="00FC6566" w:rsidRPr="000F778E" w14:paraId="1AE3B5D4" w14:textId="77777777" w:rsidTr="008B6783">
        <w:tc>
          <w:tcPr>
            <w:tcW w:w="0" w:type="dxa"/>
          </w:tcPr>
          <w:p w14:paraId="40178AB7" w14:textId="09513988"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 xml:space="preserve">Baseline Assessment </w:t>
            </w:r>
          </w:p>
        </w:tc>
        <w:tc>
          <w:tcPr>
            <w:tcW w:w="0" w:type="dxa"/>
          </w:tcPr>
          <w:p w14:paraId="62315DAE" w14:textId="1CFF15BF"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99%</w:t>
            </w:r>
          </w:p>
        </w:tc>
      </w:tr>
      <w:tr w:rsidR="00FC6566" w:rsidRPr="000F778E" w14:paraId="61AC013E" w14:textId="77777777" w:rsidTr="008B6783">
        <w:tc>
          <w:tcPr>
            <w:tcW w:w="0" w:type="dxa"/>
          </w:tcPr>
          <w:p w14:paraId="2CC342C9" w14:textId="30DA142F"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6 Month Assessment</w:t>
            </w:r>
          </w:p>
        </w:tc>
        <w:tc>
          <w:tcPr>
            <w:tcW w:w="0" w:type="dxa"/>
          </w:tcPr>
          <w:p w14:paraId="59E5D868" w14:textId="24EE0926"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99%</w:t>
            </w:r>
          </w:p>
        </w:tc>
      </w:tr>
      <w:tr w:rsidR="00FC6566" w:rsidRPr="000F778E" w14:paraId="4F7D1F0D" w14:textId="77777777" w:rsidTr="008B6783">
        <w:tc>
          <w:tcPr>
            <w:tcW w:w="0" w:type="dxa"/>
          </w:tcPr>
          <w:p w14:paraId="1EB8A435" w14:textId="2CC6B01D"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12 Month Assessment</w:t>
            </w:r>
          </w:p>
        </w:tc>
        <w:tc>
          <w:tcPr>
            <w:tcW w:w="0" w:type="dxa"/>
          </w:tcPr>
          <w:p w14:paraId="2C804252" w14:textId="33E85F44" w:rsidR="00FC6566" w:rsidRPr="000F778E" w:rsidRDefault="00FC6566" w:rsidP="00003672">
            <w:pPr>
              <w:pStyle w:val="Instructionaltext"/>
              <w:spacing w:before="0"/>
              <w:rPr>
                <w:rFonts w:ascii="Arial" w:hAnsi="Arial" w:cs="Arial"/>
                <w:color w:val="auto"/>
              </w:rPr>
            </w:pPr>
            <w:r w:rsidRPr="000F778E">
              <w:rPr>
                <w:rFonts w:ascii="Arial" w:hAnsi="Arial" w:cs="Arial"/>
                <w:color w:val="auto"/>
              </w:rPr>
              <w:t>100%</w:t>
            </w:r>
          </w:p>
        </w:tc>
      </w:tr>
    </w:tbl>
    <w:p w14:paraId="77801D2A" w14:textId="672A4A33" w:rsidR="002B0E8E" w:rsidRPr="007A025A" w:rsidRDefault="002B0E8E" w:rsidP="00AD6260">
      <w:pPr>
        <w:spacing w:before="160" w:line="240" w:lineRule="auto"/>
        <w:rPr>
          <w:rFonts w:ascii="Arial" w:hAnsi="Arial" w:cs="Arial"/>
        </w:rPr>
      </w:pPr>
      <w:r w:rsidRPr="007A025A">
        <w:rPr>
          <w:rFonts w:ascii="Arial" w:hAnsi="Arial" w:cs="Arial"/>
        </w:rPr>
        <w:t>Participants were asked what factors influenced their satisfaction with community pharmacy undertaking the CVD risk assessment.</w:t>
      </w:r>
    </w:p>
    <w:p w14:paraId="08EBDA15" w14:textId="263ECADF" w:rsidR="002B0E8E" w:rsidRDefault="002B0E8E" w:rsidP="00AD6260">
      <w:pPr>
        <w:spacing w:before="160" w:line="240" w:lineRule="auto"/>
        <w:rPr>
          <w:rFonts w:ascii="Arial" w:hAnsi="Arial" w:cs="Arial"/>
        </w:rPr>
      </w:pPr>
      <w:r w:rsidRPr="007A025A">
        <w:rPr>
          <w:rFonts w:ascii="Arial" w:hAnsi="Arial" w:cs="Arial"/>
        </w:rPr>
        <w:t>67% of participants noted the convenience</w:t>
      </w:r>
      <w:r>
        <w:rPr>
          <w:rFonts w:ascii="Arial" w:hAnsi="Arial" w:cs="Arial"/>
        </w:rPr>
        <w:t xml:space="preserve">, </w:t>
      </w:r>
      <w:proofErr w:type="gramStart"/>
      <w:r>
        <w:rPr>
          <w:rFonts w:ascii="Arial" w:hAnsi="Arial" w:cs="Arial"/>
        </w:rPr>
        <w:t>accessibility</w:t>
      </w:r>
      <w:proofErr w:type="gramEnd"/>
      <w:r>
        <w:rPr>
          <w:rFonts w:ascii="Arial" w:hAnsi="Arial" w:cs="Arial"/>
        </w:rPr>
        <w:t xml:space="preserve"> and ease</w:t>
      </w:r>
      <w:r w:rsidRPr="007A025A">
        <w:rPr>
          <w:rFonts w:ascii="Arial" w:hAnsi="Arial" w:cs="Arial"/>
        </w:rPr>
        <w:t xml:space="preserve"> of being able to undertake the CVD risk assessment in </w:t>
      </w:r>
      <w:r>
        <w:rPr>
          <w:rFonts w:ascii="Arial" w:hAnsi="Arial" w:cs="Arial"/>
        </w:rPr>
        <w:t xml:space="preserve">their </w:t>
      </w:r>
      <w:r w:rsidRPr="007A025A">
        <w:rPr>
          <w:rFonts w:ascii="Arial" w:hAnsi="Arial" w:cs="Arial"/>
        </w:rPr>
        <w:t>community pharmacy.</w:t>
      </w:r>
      <w:r w:rsidR="00A85BF7">
        <w:rPr>
          <w:rFonts w:ascii="Arial" w:hAnsi="Arial" w:cs="Arial"/>
        </w:rPr>
        <w:t xml:space="preserve"> </w:t>
      </w:r>
      <w:r>
        <w:rPr>
          <w:rFonts w:ascii="Arial" w:hAnsi="Arial" w:cs="Arial"/>
        </w:rPr>
        <w:t>Other key factors emerging from participant feedback were:</w:t>
      </w:r>
    </w:p>
    <w:p w14:paraId="5B1A1AFD" w14:textId="3E841C63" w:rsidR="002B0E8E" w:rsidRPr="00C80C46" w:rsidRDefault="002B0E8E" w:rsidP="00003672">
      <w:pPr>
        <w:pStyle w:val="ListParagraph"/>
        <w:numPr>
          <w:ilvl w:val="0"/>
          <w:numId w:val="33"/>
        </w:numPr>
        <w:spacing w:before="0" w:after="0" w:line="240" w:lineRule="auto"/>
        <w:rPr>
          <w:rFonts w:ascii="Arial" w:hAnsi="Arial" w:cs="Arial"/>
        </w:rPr>
      </w:pPr>
      <w:r w:rsidRPr="00C80C46">
        <w:rPr>
          <w:rFonts w:ascii="Arial" w:hAnsi="Arial" w:cs="Arial"/>
        </w:rPr>
        <w:t>Privacy and confidentiality provided; noting community pharmacy undertook assessment in a dedicated, private space</w:t>
      </w:r>
    </w:p>
    <w:p w14:paraId="138A4111" w14:textId="77777777" w:rsidR="002B0E8E" w:rsidRPr="00C80C46" w:rsidRDefault="002B0E8E" w:rsidP="00003672">
      <w:pPr>
        <w:pStyle w:val="ListParagraph"/>
        <w:numPr>
          <w:ilvl w:val="0"/>
          <w:numId w:val="33"/>
        </w:numPr>
        <w:spacing w:before="0" w:after="0" w:line="240" w:lineRule="auto"/>
        <w:rPr>
          <w:rFonts w:ascii="Arial" w:hAnsi="Arial" w:cs="Arial"/>
        </w:rPr>
      </w:pPr>
      <w:r w:rsidRPr="00C80C46">
        <w:rPr>
          <w:rFonts w:ascii="Arial" w:hAnsi="Arial" w:cs="Arial"/>
        </w:rPr>
        <w:t>Familiarity with the community pharmacy and staff</w:t>
      </w:r>
    </w:p>
    <w:p w14:paraId="39EEE4E5" w14:textId="77777777" w:rsidR="002B0E8E" w:rsidRPr="00C80C46" w:rsidRDefault="002B0E8E" w:rsidP="00003672">
      <w:pPr>
        <w:pStyle w:val="ListParagraph"/>
        <w:numPr>
          <w:ilvl w:val="0"/>
          <w:numId w:val="33"/>
        </w:numPr>
        <w:spacing w:before="0" w:after="0" w:line="240" w:lineRule="auto"/>
        <w:rPr>
          <w:rFonts w:ascii="Arial" w:hAnsi="Arial" w:cs="Arial"/>
        </w:rPr>
      </w:pPr>
      <w:r w:rsidRPr="00C80C46">
        <w:rPr>
          <w:rFonts w:ascii="Arial" w:hAnsi="Arial" w:cs="Arial"/>
        </w:rPr>
        <w:t>Positive and pleasant environment of the community pharmacy</w:t>
      </w:r>
    </w:p>
    <w:p w14:paraId="1CCFF61E" w14:textId="13F06119" w:rsidR="002B0E8E" w:rsidRPr="00C80C46" w:rsidRDefault="002B0E8E" w:rsidP="00003672">
      <w:pPr>
        <w:pStyle w:val="ListParagraph"/>
        <w:numPr>
          <w:ilvl w:val="0"/>
          <w:numId w:val="33"/>
        </w:numPr>
        <w:spacing w:before="0" w:after="0" w:line="240" w:lineRule="auto"/>
        <w:rPr>
          <w:rFonts w:ascii="Arial" w:hAnsi="Arial" w:cs="Arial"/>
        </w:rPr>
      </w:pPr>
      <w:r>
        <w:rPr>
          <w:rFonts w:ascii="Arial" w:hAnsi="Arial" w:cs="Arial"/>
        </w:rPr>
        <w:t>Health professionals working in c</w:t>
      </w:r>
      <w:r w:rsidRPr="00C80C46">
        <w:rPr>
          <w:rFonts w:ascii="Arial" w:hAnsi="Arial" w:cs="Arial"/>
        </w:rPr>
        <w:t xml:space="preserve">linical </w:t>
      </w:r>
      <w:r w:rsidR="00940907" w:rsidRPr="00C80C46">
        <w:rPr>
          <w:rFonts w:ascii="Arial" w:hAnsi="Arial" w:cs="Arial"/>
        </w:rPr>
        <w:t>setting</w:t>
      </w:r>
    </w:p>
    <w:p w14:paraId="712196F7" w14:textId="77777777" w:rsidR="002B0E8E" w:rsidRPr="00C80C46" w:rsidRDefault="002B0E8E" w:rsidP="00003672">
      <w:pPr>
        <w:pStyle w:val="ListParagraph"/>
        <w:numPr>
          <w:ilvl w:val="0"/>
          <w:numId w:val="33"/>
        </w:numPr>
        <w:spacing w:before="0" w:after="0" w:line="240" w:lineRule="auto"/>
        <w:rPr>
          <w:rFonts w:ascii="Arial" w:hAnsi="Arial" w:cs="Arial"/>
        </w:rPr>
      </w:pPr>
      <w:r w:rsidRPr="00C80C46">
        <w:rPr>
          <w:rFonts w:ascii="Arial" w:hAnsi="Arial" w:cs="Arial"/>
        </w:rPr>
        <w:t>Quick and efficient assessment</w:t>
      </w:r>
    </w:p>
    <w:p w14:paraId="52B06FD4" w14:textId="77777777" w:rsidR="008B6783" w:rsidRDefault="002B0E8E" w:rsidP="005870B9">
      <w:pPr>
        <w:pStyle w:val="ListParagraph"/>
        <w:numPr>
          <w:ilvl w:val="0"/>
          <w:numId w:val="33"/>
        </w:numPr>
        <w:spacing w:before="0" w:after="0" w:line="240" w:lineRule="auto"/>
        <w:rPr>
          <w:rFonts w:ascii="Arial" w:hAnsi="Arial" w:cs="Arial"/>
        </w:rPr>
      </w:pPr>
      <w:r w:rsidRPr="008B6783">
        <w:rPr>
          <w:rFonts w:ascii="Arial" w:hAnsi="Arial" w:cs="Arial"/>
        </w:rPr>
        <w:t>No cost health assessment</w:t>
      </w:r>
    </w:p>
    <w:p w14:paraId="66015F0F" w14:textId="6BB67B98" w:rsidR="002B0E8E" w:rsidRPr="008B6783" w:rsidRDefault="002B0E8E" w:rsidP="008B6783">
      <w:pPr>
        <w:spacing w:before="0" w:after="0" w:line="240" w:lineRule="auto"/>
        <w:rPr>
          <w:rFonts w:ascii="Arial" w:hAnsi="Arial" w:cs="Arial"/>
        </w:rPr>
      </w:pPr>
      <w:r w:rsidRPr="008B6783">
        <w:rPr>
          <w:rFonts w:ascii="Arial" w:hAnsi="Arial" w:cs="Arial"/>
        </w:rPr>
        <w:t>Specific comments received from participants include:</w:t>
      </w:r>
    </w:p>
    <w:p w14:paraId="5DA8A979"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sidRPr="007B05F6">
        <w:rPr>
          <w:rFonts w:ascii="Arial" w:eastAsia="Times New Roman" w:hAnsi="Arial" w:cs="Arial"/>
          <w:i/>
          <w:iCs/>
          <w:color w:val="000000"/>
          <w:lang w:eastAsia="en-AU"/>
        </w:rPr>
        <w:t>A good community asset</w:t>
      </w:r>
    </w:p>
    <w:p w14:paraId="2A7A7DCC"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sidRPr="007B05F6">
        <w:rPr>
          <w:rFonts w:ascii="Arial" w:eastAsia="Times New Roman" w:hAnsi="Arial" w:cs="Arial"/>
          <w:i/>
          <w:iCs/>
          <w:color w:val="000000"/>
          <w:lang w:eastAsia="en-AU"/>
        </w:rPr>
        <w:t>Appropriate</w:t>
      </w:r>
      <w:r>
        <w:rPr>
          <w:rFonts w:ascii="Arial" w:eastAsia="Times New Roman" w:hAnsi="Arial" w:cs="Arial"/>
          <w:i/>
          <w:iCs/>
          <w:color w:val="000000"/>
          <w:lang w:eastAsia="en-AU"/>
        </w:rPr>
        <w:t xml:space="preserve"> (location)</w:t>
      </w:r>
      <w:r w:rsidRPr="007B05F6">
        <w:rPr>
          <w:rFonts w:ascii="Arial" w:eastAsia="Times New Roman" w:hAnsi="Arial" w:cs="Arial"/>
          <w:i/>
          <w:iCs/>
          <w:color w:val="000000"/>
          <w:lang w:eastAsia="en-AU"/>
        </w:rPr>
        <w:t xml:space="preserve"> to collect health data</w:t>
      </w:r>
    </w:p>
    <w:p w14:paraId="3838B1BC"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sidRPr="007B05F6">
        <w:rPr>
          <w:rFonts w:ascii="Arial" w:eastAsia="Times New Roman" w:hAnsi="Arial" w:cs="Arial"/>
          <w:i/>
          <w:iCs/>
          <w:color w:val="000000"/>
          <w:lang w:eastAsia="en-AU"/>
        </w:rPr>
        <w:t xml:space="preserve">Convenient and </w:t>
      </w:r>
      <w:r>
        <w:rPr>
          <w:rFonts w:ascii="Arial" w:eastAsia="Times New Roman" w:hAnsi="Arial" w:cs="Arial"/>
          <w:i/>
          <w:iCs/>
          <w:color w:val="000000"/>
          <w:lang w:eastAsia="en-AU"/>
        </w:rPr>
        <w:t xml:space="preserve">(pharmacy staff) </w:t>
      </w:r>
      <w:r w:rsidRPr="007B05F6">
        <w:rPr>
          <w:rFonts w:ascii="Arial" w:eastAsia="Times New Roman" w:hAnsi="Arial" w:cs="Arial"/>
          <w:i/>
          <w:iCs/>
          <w:color w:val="000000"/>
          <w:lang w:eastAsia="en-AU"/>
        </w:rPr>
        <w:t>follow up regularly</w:t>
      </w:r>
    </w:p>
    <w:p w14:paraId="72073CBB"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Pr>
          <w:rFonts w:ascii="Arial" w:eastAsia="Times New Roman" w:hAnsi="Arial" w:cs="Arial"/>
          <w:i/>
          <w:iCs/>
          <w:color w:val="000000"/>
          <w:lang w:eastAsia="en-AU"/>
        </w:rPr>
        <w:t>C</w:t>
      </w:r>
      <w:r w:rsidRPr="007B05F6">
        <w:rPr>
          <w:rFonts w:ascii="Arial" w:eastAsia="Times New Roman" w:hAnsi="Arial" w:cs="Arial"/>
          <w:i/>
          <w:iCs/>
          <w:color w:val="000000"/>
          <w:lang w:eastAsia="en-AU"/>
        </w:rPr>
        <w:t>onvenient, all information of patient is on hand</w:t>
      </w:r>
    </w:p>
    <w:p w14:paraId="1AB1BE0F"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Pr>
          <w:rFonts w:ascii="Arial" w:eastAsia="Times New Roman" w:hAnsi="Arial" w:cs="Arial"/>
          <w:i/>
          <w:iCs/>
          <w:color w:val="000000"/>
          <w:lang w:eastAsia="en-AU"/>
        </w:rPr>
        <w:t>C</w:t>
      </w:r>
      <w:r w:rsidRPr="007B05F6">
        <w:rPr>
          <w:rFonts w:ascii="Arial" w:eastAsia="Times New Roman" w:hAnsi="Arial" w:cs="Arial"/>
          <w:i/>
          <w:iCs/>
          <w:color w:val="000000"/>
          <w:lang w:eastAsia="en-AU"/>
        </w:rPr>
        <w:t>onvenient, less people and less waiting time</w:t>
      </w:r>
      <w:r>
        <w:rPr>
          <w:rFonts w:ascii="Arial" w:eastAsia="Times New Roman" w:hAnsi="Arial" w:cs="Arial"/>
          <w:i/>
          <w:iCs/>
          <w:color w:val="000000"/>
          <w:lang w:eastAsia="en-AU"/>
        </w:rPr>
        <w:t xml:space="preserve"> (than General Practice)</w:t>
      </w:r>
    </w:p>
    <w:p w14:paraId="2FD4FD1F"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Pr>
          <w:rFonts w:ascii="Arial" w:eastAsia="Times New Roman" w:hAnsi="Arial" w:cs="Arial"/>
          <w:i/>
          <w:iCs/>
          <w:color w:val="000000"/>
          <w:lang w:eastAsia="en-AU"/>
        </w:rPr>
        <w:lastRenderedPageBreak/>
        <w:t>C</w:t>
      </w:r>
      <w:r w:rsidRPr="007B05F6">
        <w:rPr>
          <w:rFonts w:ascii="Arial" w:eastAsia="Times New Roman" w:hAnsi="Arial" w:cs="Arial"/>
          <w:i/>
          <w:iCs/>
          <w:color w:val="000000"/>
          <w:lang w:eastAsia="en-AU"/>
        </w:rPr>
        <w:t>onvenient, trust them</w:t>
      </w:r>
    </w:p>
    <w:p w14:paraId="18FF6688" w14:textId="718FDE42"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Pr>
          <w:rFonts w:ascii="Arial" w:eastAsia="Times New Roman" w:hAnsi="Arial" w:cs="Arial"/>
          <w:i/>
          <w:iCs/>
          <w:color w:val="000000"/>
          <w:lang w:eastAsia="en-AU"/>
        </w:rPr>
        <w:t>D</w:t>
      </w:r>
      <w:r w:rsidRPr="007B05F6">
        <w:rPr>
          <w:rFonts w:ascii="Arial" w:eastAsia="Times New Roman" w:hAnsi="Arial" w:cs="Arial"/>
          <w:i/>
          <w:iCs/>
          <w:color w:val="000000"/>
          <w:lang w:eastAsia="en-AU"/>
        </w:rPr>
        <w:t xml:space="preserve">octor's appointment is only 15 minutes, not enough time to go </w:t>
      </w:r>
      <w:r w:rsidR="00E23A99" w:rsidRPr="007B05F6">
        <w:rPr>
          <w:rFonts w:ascii="Arial" w:eastAsia="Times New Roman" w:hAnsi="Arial" w:cs="Arial"/>
          <w:i/>
          <w:iCs/>
          <w:color w:val="000000"/>
          <w:lang w:eastAsia="en-AU"/>
        </w:rPr>
        <w:t>th</w:t>
      </w:r>
      <w:r w:rsidR="00E23A99">
        <w:rPr>
          <w:rFonts w:ascii="Arial" w:eastAsia="Times New Roman" w:hAnsi="Arial" w:cs="Arial"/>
          <w:i/>
          <w:iCs/>
          <w:color w:val="000000"/>
          <w:lang w:eastAsia="en-AU"/>
        </w:rPr>
        <w:t>r</w:t>
      </w:r>
      <w:r w:rsidR="00E23A99" w:rsidRPr="007B05F6">
        <w:rPr>
          <w:rFonts w:ascii="Arial" w:eastAsia="Times New Roman" w:hAnsi="Arial" w:cs="Arial"/>
          <w:i/>
          <w:iCs/>
          <w:color w:val="000000"/>
          <w:lang w:eastAsia="en-AU"/>
        </w:rPr>
        <w:t>o</w:t>
      </w:r>
      <w:r w:rsidR="00E23A99">
        <w:rPr>
          <w:rFonts w:ascii="Arial" w:eastAsia="Times New Roman" w:hAnsi="Arial" w:cs="Arial"/>
          <w:i/>
          <w:iCs/>
          <w:color w:val="000000"/>
          <w:lang w:eastAsia="en-AU"/>
        </w:rPr>
        <w:t>ug</w:t>
      </w:r>
      <w:r w:rsidR="00E23A99" w:rsidRPr="007B05F6">
        <w:rPr>
          <w:rFonts w:ascii="Arial" w:eastAsia="Times New Roman" w:hAnsi="Arial" w:cs="Arial"/>
          <w:i/>
          <w:iCs/>
          <w:color w:val="000000"/>
          <w:lang w:eastAsia="en-AU"/>
        </w:rPr>
        <w:t>h</w:t>
      </w:r>
      <w:r w:rsidRPr="007B05F6">
        <w:rPr>
          <w:rFonts w:ascii="Arial" w:eastAsia="Times New Roman" w:hAnsi="Arial" w:cs="Arial"/>
          <w:i/>
          <w:iCs/>
          <w:color w:val="000000"/>
          <w:lang w:eastAsia="en-AU"/>
        </w:rPr>
        <w:t xml:space="preserve"> everything in the session</w:t>
      </w:r>
    </w:p>
    <w:p w14:paraId="190D21D6"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sidRPr="007B05F6">
        <w:rPr>
          <w:rFonts w:ascii="Arial" w:eastAsia="Times New Roman" w:hAnsi="Arial" w:cs="Arial"/>
          <w:i/>
          <w:iCs/>
          <w:color w:val="000000"/>
          <w:lang w:eastAsia="en-AU"/>
        </w:rPr>
        <w:t xml:space="preserve">Easier to get in than booking an appointment with a </w:t>
      </w:r>
      <w:r>
        <w:rPr>
          <w:rFonts w:ascii="Arial" w:eastAsia="Times New Roman" w:hAnsi="Arial" w:cs="Arial"/>
          <w:i/>
          <w:iCs/>
          <w:color w:val="000000"/>
          <w:lang w:eastAsia="en-AU"/>
        </w:rPr>
        <w:t>doctor</w:t>
      </w:r>
    </w:p>
    <w:p w14:paraId="27D7CB96"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sidRPr="007B05F6">
        <w:rPr>
          <w:rFonts w:ascii="Arial" w:eastAsia="Times New Roman" w:hAnsi="Arial" w:cs="Arial"/>
          <w:i/>
          <w:iCs/>
          <w:color w:val="000000"/>
          <w:lang w:eastAsia="en-AU"/>
        </w:rPr>
        <w:t>Excellent service</w:t>
      </w:r>
    </w:p>
    <w:p w14:paraId="1CA9FFDA"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sidRPr="007B05F6">
        <w:rPr>
          <w:rFonts w:ascii="Arial" w:eastAsia="Times New Roman" w:hAnsi="Arial" w:cs="Arial"/>
          <w:i/>
          <w:iCs/>
          <w:color w:val="000000"/>
          <w:lang w:eastAsia="en-AU"/>
        </w:rPr>
        <w:t>Feels less clinical than a medical practice, more comfortable and convenient</w:t>
      </w:r>
    </w:p>
    <w:p w14:paraId="40C9172D" w14:textId="04BD3853" w:rsidR="002B0E8E" w:rsidRPr="007B05F6" w:rsidRDefault="00940907" w:rsidP="00003672">
      <w:pPr>
        <w:pStyle w:val="ListParagraph"/>
        <w:numPr>
          <w:ilvl w:val="0"/>
          <w:numId w:val="34"/>
        </w:numPr>
        <w:spacing w:before="0" w:after="0" w:line="240" w:lineRule="auto"/>
        <w:rPr>
          <w:rFonts w:ascii="Arial" w:eastAsia="Times New Roman" w:hAnsi="Arial" w:cs="Arial"/>
          <w:i/>
          <w:iCs/>
          <w:color w:val="000000"/>
          <w:lang w:eastAsia="en-AU"/>
        </w:rPr>
      </w:pPr>
      <w:r>
        <w:rPr>
          <w:rFonts w:ascii="Arial" w:eastAsia="Times New Roman" w:hAnsi="Arial" w:cs="Arial"/>
          <w:i/>
          <w:iCs/>
          <w:color w:val="000000"/>
          <w:lang w:eastAsia="en-AU"/>
        </w:rPr>
        <w:t>I</w:t>
      </w:r>
      <w:r w:rsidRPr="007B05F6">
        <w:rPr>
          <w:rFonts w:ascii="Arial" w:eastAsia="Times New Roman" w:hAnsi="Arial" w:cs="Arial"/>
          <w:i/>
          <w:iCs/>
          <w:color w:val="000000"/>
          <w:lang w:eastAsia="en-AU"/>
        </w:rPr>
        <w:t>t’s</w:t>
      </w:r>
      <w:r w:rsidR="002B0E8E" w:rsidRPr="007B05F6">
        <w:rPr>
          <w:rFonts w:ascii="Arial" w:eastAsia="Times New Roman" w:hAnsi="Arial" w:cs="Arial"/>
          <w:i/>
          <w:iCs/>
          <w:color w:val="000000"/>
          <w:lang w:eastAsia="en-AU"/>
        </w:rPr>
        <w:t xml:space="preserve"> a pharmacy</w:t>
      </w:r>
      <w:r w:rsidR="002B0E8E">
        <w:rPr>
          <w:rFonts w:ascii="Arial" w:eastAsia="Times New Roman" w:hAnsi="Arial" w:cs="Arial"/>
          <w:i/>
          <w:iCs/>
          <w:color w:val="000000"/>
          <w:lang w:eastAsia="en-AU"/>
        </w:rPr>
        <w:t>,</w:t>
      </w:r>
      <w:r w:rsidR="002B0E8E" w:rsidRPr="007B05F6">
        <w:rPr>
          <w:rFonts w:ascii="Arial" w:eastAsia="Times New Roman" w:hAnsi="Arial" w:cs="Arial"/>
          <w:i/>
          <w:iCs/>
          <w:color w:val="000000"/>
          <w:lang w:eastAsia="en-AU"/>
        </w:rPr>
        <w:t xml:space="preserve"> they are health care professionals</w:t>
      </w:r>
    </w:p>
    <w:p w14:paraId="7D8AF009"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Pr>
          <w:rFonts w:ascii="Arial" w:eastAsia="Times New Roman" w:hAnsi="Arial" w:cs="Arial"/>
          <w:i/>
          <w:iCs/>
          <w:color w:val="000000"/>
          <w:lang w:eastAsia="en-AU"/>
        </w:rPr>
        <w:t>M</w:t>
      </w:r>
      <w:r w:rsidRPr="007B05F6">
        <w:rPr>
          <w:rFonts w:ascii="Arial" w:eastAsia="Times New Roman" w:hAnsi="Arial" w:cs="Arial"/>
          <w:i/>
          <w:iCs/>
          <w:color w:val="000000"/>
          <w:lang w:eastAsia="en-AU"/>
        </w:rPr>
        <w:t>edically trained professionals who understand patient confidentiality</w:t>
      </w:r>
    </w:p>
    <w:p w14:paraId="56278F8A"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Pr>
          <w:rFonts w:ascii="Arial" w:eastAsia="Times New Roman" w:hAnsi="Arial" w:cs="Arial"/>
          <w:i/>
          <w:iCs/>
          <w:color w:val="000000"/>
          <w:lang w:eastAsia="en-AU"/>
        </w:rPr>
        <w:t>P</w:t>
      </w:r>
      <w:r w:rsidRPr="007B05F6">
        <w:rPr>
          <w:rFonts w:ascii="Arial" w:eastAsia="Times New Roman" w:hAnsi="Arial" w:cs="Arial"/>
          <w:i/>
          <w:iCs/>
          <w:color w:val="000000"/>
          <w:lang w:eastAsia="en-AU"/>
        </w:rPr>
        <w:t xml:space="preserve">harmacists have requisite professional accreditation, </w:t>
      </w:r>
      <w:proofErr w:type="gramStart"/>
      <w:r w:rsidRPr="007B05F6">
        <w:rPr>
          <w:rFonts w:ascii="Arial" w:eastAsia="Times New Roman" w:hAnsi="Arial" w:cs="Arial"/>
          <w:i/>
          <w:iCs/>
          <w:color w:val="000000"/>
          <w:lang w:eastAsia="en-AU"/>
        </w:rPr>
        <w:t>skills</w:t>
      </w:r>
      <w:proofErr w:type="gramEnd"/>
      <w:r w:rsidRPr="007B05F6">
        <w:rPr>
          <w:rFonts w:ascii="Arial" w:eastAsia="Times New Roman" w:hAnsi="Arial" w:cs="Arial"/>
          <w:i/>
          <w:iCs/>
          <w:color w:val="000000"/>
          <w:lang w:eastAsia="en-AU"/>
        </w:rPr>
        <w:t xml:space="preserve"> and knowledge</w:t>
      </w:r>
    </w:p>
    <w:p w14:paraId="46BA8E27"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sidRPr="007B05F6">
        <w:rPr>
          <w:rFonts w:ascii="Arial" w:eastAsia="Times New Roman" w:hAnsi="Arial" w:cs="Arial"/>
          <w:i/>
          <w:iCs/>
          <w:color w:val="000000"/>
          <w:lang w:eastAsia="en-AU"/>
        </w:rPr>
        <w:t xml:space="preserve">Pharmacy is </w:t>
      </w:r>
      <w:r>
        <w:rPr>
          <w:rFonts w:ascii="Arial" w:eastAsia="Times New Roman" w:hAnsi="Arial" w:cs="Arial"/>
          <w:i/>
          <w:iCs/>
          <w:color w:val="000000"/>
          <w:lang w:eastAsia="en-AU"/>
        </w:rPr>
        <w:t>my</w:t>
      </w:r>
      <w:r w:rsidRPr="007B05F6">
        <w:rPr>
          <w:rFonts w:ascii="Arial" w:eastAsia="Times New Roman" w:hAnsi="Arial" w:cs="Arial"/>
          <w:i/>
          <w:iCs/>
          <w:color w:val="000000"/>
          <w:lang w:eastAsia="en-AU"/>
        </w:rPr>
        <w:t xml:space="preserve"> primary </w:t>
      </w:r>
      <w:r>
        <w:rPr>
          <w:rFonts w:ascii="Arial" w:eastAsia="Times New Roman" w:hAnsi="Arial" w:cs="Arial"/>
          <w:i/>
          <w:iCs/>
          <w:color w:val="000000"/>
          <w:lang w:eastAsia="en-AU"/>
        </w:rPr>
        <w:t>h</w:t>
      </w:r>
      <w:r w:rsidRPr="007B05F6">
        <w:rPr>
          <w:rFonts w:ascii="Arial" w:eastAsia="Times New Roman" w:hAnsi="Arial" w:cs="Arial"/>
          <w:i/>
          <w:iCs/>
          <w:color w:val="000000"/>
          <w:lang w:eastAsia="en-AU"/>
        </w:rPr>
        <w:t xml:space="preserve">ealth </w:t>
      </w:r>
      <w:r>
        <w:rPr>
          <w:rFonts w:ascii="Arial" w:eastAsia="Times New Roman" w:hAnsi="Arial" w:cs="Arial"/>
          <w:i/>
          <w:iCs/>
          <w:color w:val="000000"/>
          <w:lang w:eastAsia="en-AU"/>
        </w:rPr>
        <w:t>d</w:t>
      </w:r>
      <w:r w:rsidRPr="007B05F6">
        <w:rPr>
          <w:rFonts w:ascii="Arial" w:eastAsia="Times New Roman" w:hAnsi="Arial" w:cs="Arial"/>
          <w:i/>
          <w:iCs/>
          <w:color w:val="000000"/>
          <w:lang w:eastAsia="en-AU"/>
        </w:rPr>
        <w:t xml:space="preserve">estination </w:t>
      </w:r>
    </w:p>
    <w:p w14:paraId="7DEC5305" w14:textId="77777777"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Pr>
          <w:rFonts w:ascii="Arial" w:eastAsia="Times New Roman" w:hAnsi="Arial" w:cs="Arial"/>
          <w:i/>
          <w:iCs/>
          <w:color w:val="000000"/>
          <w:lang w:eastAsia="en-AU"/>
        </w:rPr>
        <w:t>P</w:t>
      </w:r>
      <w:r w:rsidRPr="007B05F6">
        <w:rPr>
          <w:rFonts w:ascii="Arial" w:eastAsia="Times New Roman" w:hAnsi="Arial" w:cs="Arial"/>
          <w:i/>
          <w:iCs/>
          <w:color w:val="000000"/>
          <w:lang w:eastAsia="en-AU"/>
        </w:rPr>
        <w:t>rofessionals with depth of clinical knowledge and holistic approach to care</w:t>
      </w:r>
    </w:p>
    <w:p w14:paraId="6E39D363" w14:textId="0351EF9E" w:rsidR="002B0E8E" w:rsidRPr="007B05F6" w:rsidRDefault="002B0E8E" w:rsidP="00003672">
      <w:pPr>
        <w:pStyle w:val="ListParagraph"/>
        <w:numPr>
          <w:ilvl w:val="0"/>
          <w:numId w:val="34"/>
        </w:numPr>
        <w:spacing w:before="0" w:after="0" w:line="240" w:lineRule="auto"/>
        <w:rPr>
          <w:rFonts w:ascii="Arial" w:eastAsia="Times New Roman" w:hAnsi="Arial" w:cs="Arial"/>
          <w:i/>
          <w:iCs/>
          <w:color w:val="000000"/>
          <w:lang w:eastAsia="en-AU"/>
        </w:rPr>
      </w:pPr>
      <w:r w:rsidRPr="007B05F6">
        <w:rPr>
          <w:rFonts w:ascii="Arial" w:eastAsia="Times New Roman" w:hAnsi="Arial" w:cs="Arial"/>
          <w:i/>
          <w:iCs/>
          <w:color w:val="000000"/>
          <w:lang w:eastAsia="en-AU"/>
        </w:rPr>
        <w:t xml:space="preserve">Relaxing, </w:t>
      </w:r>
      <w:r>
        <w:rPr>
          <w:rFonts w:ascii="Arial" w:eastAsia="Times New Roman" w:hAnsi="Arial" w:cs="Arial"/>
          <w:i/>
          <w:iCs/>
          <w:color w:val="000000"/>
          <w:lang w:eastAsia="en-AU"/>
        </w:rPr>
        <w:t xml:space="preserve">I </w:t>
      </w:r>
      <w:r w:rsidRPr="007B05F6">
        <w:rPr>
          <w:rFonts w:ascii="Arial" w:eastAsia="Times New Roman" w:hAnsi="Arial" w:cs="Arial"/>
          <w:i/>
          <w:iCs/>
          <w:color w:val="000000"/>
          <w:lang w:eastAsia="en-AU"/>
        </w:rPr>
        <w:t xml:space="preserve">trust </w:t>
      </w:r>
      <w:r>
        <w:rPr>
          <w:rFonts w:ascii="Arial" w:eastAsia="Times New Roman" w:hAnsi="Arial" w:cs="Arial"/>
          <w:i/>
          <w:iCs/>
          <w:color w:val="000000"/>
          <w:lang w:eastAsia="en-AU"/>
        </w:rPr>
        <w:t xml:space="preserve">the </w:t>
      </w:r>
      <w:r w:rsidRPr="007B05F6">
        <w:rPr>
          <w:rFonts w:ascii="Arial" w:eastAsia="Times New Roman" w:hAnsi="Arial" w:cs="Arial"/>
          <w:i/>
          <w:iCs/>
          <w:color w:val="000000"/>
          <w:lang w:eastAsia="en-AU"/>
        </w:rPr>
        <w:t>pharmacist.</w:t>
      </w:r>
    </w:p>
    <w:p w14:paraId="3B6F5E72" w14:textId="77777777" w:rsidR="002B0E8E" w:rsidRPr="00D3034D" w:rsidRDefault="002B0E8E" w:rsidP="00003672">
      <w:pPr>
        <w:pStyle w:val="ListParagraph"/>
        <w:numPr>
          <w:ilvl w:val="0"/>
          <w:numId w:val="34"/>
        </w:numPr>
        <w:spacing w:before="0" w:after="0" w:line="240" w:lineRule="auto"/>
        <w:rPr>
          <w:rFonts w:ascii="Arial" w:eastAsia="Times New Roman" w:hAnsi="Arial" w:cs="Arial"/>
          <w:color w:val="000000"/>
          <w:lang w:eastAsia="en-AU"/>
        </w:rPr>
      </w:pPr>
      <w:r>
        <w:rPr>
          <w:rFonts w:ascii="Arial" w:eastAsia="Times New Roman" w:hAnsi="Arial" w:cs="Arial"/>
          <w:i/>
          <w:iCs/>
          <w:color w:val="000000"/>
          <w:lang w:eastAsia="en-AU"/>
        </w:rPr>
        <w:t>I t</w:t>
      </w:r>
      <w:r w:rsidRPr="007B05F6">
        <w:rPr>
          <w:rFonts w:ascii="Arial" w:eastAsia="Times New Roman" w:hAnsi="Arial" w:cs="Arial"/>
          <w:i/>
          <w:iCs/>
          <w:color w:val="000000"/>
          <w:lang w:eastAsia="en-AU"/>
        </w:rPr>
        <w:t>rust them</w:t>
      </w:r>
    </w:p>
    <w:p w14:paraId="6CA58C1B" w14:textId="125DF9CF" w:rsidR="00AD7843" w:rsidRPr="00AD6260" w:rsidRDefault="000A5C47" w:rsidP="00AD6260">
      <w:pPr>
        <w:pStyle w:val="Heading2"/>
        <w:numPr>
          <w:ilvl w:val="0"/>
          <w:numId w:val="0"/>
        </w:numPr>
        <w:spacing w:before="160" w:after="160"/>
        <w:rPr>
          <w:rFonts w:ascii="Arial" w:hAnsi="Arial" w:cs="Arial"/>
          <w:b/>
          <w:bCs/>
        </w:rPr>
      </w:pPr>
      <w:bookmarkStart w:id="48" w:name="_Toc137535758"/>
      <w:r w:rsidRPr="00AD7843">
        <w:rPr>
          <w:rFonts w:ascii="Arial" w:hAnsi="Arial" w:cs="Arial"/>
          <w:b/>
          <w:bCs/>
        </w:rPr>
        <w:t>2</w:t>
      </w:r>
      <w:r w:rsidR="00E33992" w:rsidRPr="00AD7843">
        <w:rPr>
          <w:rFonts w:ascii="Arial" w:hAnsi="Arial" w:cs="Arial"/>
          <w:b/>
          <w:bCs/>
        </w:rPr>
        <w:t>B.5</w:t>
      </w:r>
      <w:r w:rsidR="005D7471" w:rsidRPr="00AD7843">
        <w:rPr>
          <w:rFonts w:ascii="Arial" w:hAnsi="Arial" w:cs="Arial"/>
          <w:b/>
          <w:bCs/>
        </w:rPr>
        <w:tab/>
      </w:r>
      <w:r w:rsidR="00E77410">
        <w:rPr>
          <w:rFonts w:ascii="Arial" w:hAnsi="Arial" w:cs="Arial"/>
          <w:b/>
          <w:bCs/>
        </w:rPr>
        <w:t xml:space="preserve"> </w:t>
      </w:r>
      <w:r w:rsidRPr="00AD7843">
        <w:rPr>
          <w:rFonts w:ascii="Arial" w:hAnsi="Arial" w:cs="Arial"/>
          <w:b/>
          <w:bCs/>
        </w:rPr>
        <w:t>Conclusion</w:t>
      </w:r>
      <w:bookmarkEnd w:id="48"/>
    </w:p>
    <w:p w14:paraId="2B014C13" w14:textId="5C6D6E27" w:rsidR="00BA59FB" w:rsidRPr="00AD7843" w:rsidRDefault="00BA59FB" w:rsidP="00AD6260">
      <w:pPr>
        <w:pStyle w:val="Heading3"/>
        <w:spacing w:before="160" w:after="160"/>
        <w:rPr>
          <w:rFonts w:ascii="Arial" w:hAnsi="Arial" w:cs="Arial"/>
          <w:b/>
          <w:bCs/>
        </w:rPr>
      </w:pPr>
      <w:bookmarkStart w:id="49" w:name="_Toc137535759"/>
      <w:r w:rsidRPr="00AD7843">
        <w:rPr>
          <w:rFonts w:ascii="Arial" w:hAnsi="Arial" w:cs="Arial"/>
          <w:b/>
          <w:bCs/>
        </w:rPr>
        <w:t>2B.5.1</w:t>
      </w:r>
      <w:r w:rsidRPr="00AD7843">
        <w:rPr>
          <w:rFonts w:ascii="Arial" w:hAnsi="Arial" w:cs="Arial"/>
          <w:b/>
          <w:bCs/>
        </w:rPr>
        <w:tab/>
        <w:t xml:space="preserve">Evidence </w:t>
      </w:r>
      <w:r w:rsidR="00AD7843">
        <w:rPr>
          <w:rFonts w:ascii="Arial" w:hAnsi="Arial" w:cs="Arial"/>
          <w:b/>
          <w:bCs/>
        </w:rPr>
        <w:t>I</w:t>
      </w:r>
      <w:r w:rsidRPr="00AD7843">
        <w:rPr>
          <w:rFonts w:ascii="Arial" w:hAnsi="Arial" w:cs="Arial"/>
          <w:b/>
          <w:bCs/>
        </w:rPr>
        <w:t>nterpretation</w:t>
      </w:r>
      <w:bookmarkEnd w:id="49"/>
    </w:p>
    <w:p w14:paraId="3F379F4E" w14:textId="3A453432" w:rsidR="00AD5616" w:rsidRPr="000F778E" w:rsidRDefault="00D209A9" w:rsidP="00AD6260">
      <w:pPr>
        <w:pStyle w:val="Guidelinescross-ref"/>
        <w:keepNext/>
        <w:spacing w:before="160" w:after="160" w:line="240" w:lineRule="auto"/>
        <w:rPr>
          <w:rFonts w:ascii="Arial" w:hAnsi="Arial" w:cs="Arial"/>
          <w:b w:val="0"/>
          <w:bCs/>
          <w:color w:val="auto"/>
          <w:sz w:val="22"/>
          <w:szCs w:val="20"/>
        </w:rPr>
      </w:pPr>
      <w:r w:rsidRPr="000F778E">
        <w:rPr>
          <w:rFonts w:ascii="Arial" w:hAnsi="Arial" w:cs="Arial"/>
          <w:b w:val="0"/>
          <w:bCs/>
          <w:color w:val="auto"/>
          <w:sz w:val="22"/>
          <w:szCs w:val="20"/>
        </w:rPr>
        <w:t xml:space="preserve">The evidence </w:t>
      </w:r>
      <w:r w:rsidR="00AD5616" w:rsidRPr="000F778E">
        <w:rPr>
          <w:rFonts w:ascii="Arial" w:hAnsi="Arial" w:cs="Arial"/>
          <w:b w:val="0"/>
          <w:bCs/>
          <w:color w:val="auto"/>
          <w:sz w:val="22"/>
          <w:szCs w:val="20"/>
        </w:rPr>
        <w:t>gathered during</w:t>
      </w:r>
      <w:r w:rsidRPr="000F778E">
        <w:rPr>
          <w:rFonts w:ascii="Arial" w:hAnsi="Arial" w:cs="Arial"/>
          <w:b w:val="0"/>
          <w:bCs/>
          <w:color w:val="auto"/>
          <w:sz w:val="22"/>
          <w:szCs w:val="20"/>
        </w:rPr>
        <w:t xml:space="preserve"> the Trial ‘early detection and management of cardiovascular disease (CVD) risk factors in community pharmacy’ </w:t>
      </w:r>
      <w:r w:rsidR="00AD5616" w:rsidRPr="000F778E">
        <w:rPr>
          <w:rFonts w:ascii="Arial" w:hAnsi="Arial" w:cs="Arial"/>
          <w:b w:val="0"/>
          <w:bCs/>
          <w:color w:val="auto"/>
          <w:sz w:val="22"/>
          <w:szCs w:val="20"/>
        </w:rPr>
        <w:t>follows</w:t>
      </w:r>
      <w:r w:rsidR="00431F50" w:rsidRPr="000F778E">
        <w:rPr>
          <w:rFonts w:ascii="Arial" w:hAnsi="Arial" w:cs="Arial"/>
          <w:b w:val="0"/>
          <w:bCs/>
          <w:color w:val="auto"/>
          <w:sz w:val="22"/>
          <w:szCs w:val="20"/>
        </w:rPr>
        <w:t>:</w:t>
      </w:r>
    </w:p>
    <w:p w14:paraId="7B31F138" w14:textId="77777777" w:rsidR="007134D5" w:rsidRPr="000F778E" w:rsidRDefault="007134D5" w:rsidP="00003672">
      <w:pPr>
        <w:spacing w:before="0" w:after="0" w:line="240" w:lineRule="auto"/>
        <w:rPr>
          <w:rFonts w:ascii="Arial" w:hAnsi="Arial" w:cs="Arial"/>
          <w:b/>
          <w:bCs/>
        </w:rPr>
      </w:pPr>
      <w:r w:rsidRPr="000F778E">
        <w:rPr>
          <w:rFonts w:ascii="Arial" w:hAnsi="Arial" w:cs="Arial"/>
          <w:b/>
          <w:bCs/>
        </w:rPr>
        <w:t>Assessment completed</w:t>
      </w:r>
    </w:p>
    <w:p w14:paraId="22CE8239" w14:textId="77777777" w:rsidR="002B0E8E" w:rsidRPr="00F95B71" w:rsidRDefault="002B0E8E" w:rsidP="00003672">
      <w:pPr>
        <w:spacing w:before="0" w:after="0" w:line="240" w:lineRule="auto"/>
        <w:rPr>
          <w:rFonts w:ascii="Arial" w:hAnsi="Arial" w:cs="Arial"/>
        </w:rPr>
      </w:pPr>
      <w:r w:rsidRPr="00F95B71">
        <w:rPr>
          <w:rFonts w:ascii="Arial" w:hAnsi="Arial" w:cs="Arial"/>
        </w:rPr>
        <w:t>Community pharmacies noted significant barriers to participant engagement (sic):</w:t>
      </w:r>
    </w:p>
    <w:p w14:paraId="67667ABA" w14:textId="77777777" w:rsidR="002B0E8E" w:rsidRPr="00F95B71" w:rsidRDefault="002B0E8E" w:rsidP="00003672">
      <w:pPr>
        <w:pStyle w:val="ListParagraph"/>
        <w:numPr>
          <w:ilvl w:val="0"/>
          <w:numId w:val="23"/>
        </w:numPr>
        <w:spacing w:before="0" w:after="0" w:line="240" w:lineRule="auto"/>
        <w:contextualSpacing w:val="0"/>
        <w:rPr>
          <w:rFonts w:ascii="Arial" w:hAnsi="Arial" w:cs="Arial"/>
        </w:rPr>
      </w:pPr>
      <w:r w:rsidRPr="00F95B71">
        <w:rPr>
          <w:rFonts w:ascii="Arial" w:hAnsi="Arial" w:cs="Arial"/>
        </w:rPr>
        <w:t xml:space="preserve">There are </w:t>
      </w:r>
      <w:proofErr w:type="gramStart"/>
      <w:r w:rsidRPr="00F95B71">
        <w:rPr>
          <w:rFonts w:ascii="Arial" w:hAnsi="Arial" w:cs="Arial"/>
        </w:rPr>
        <w:t>a number of</w:t>
      </w:r>
      <w:proofErr w:type="gramEnd"/>
      <w:r w:rsidRPr="00F95B71">
        <w:rPr>
          <w:rFonts w:ascii="Arial" w:hAnsi="Arial" w:cs="Arial"/>
        </w:rPr>
        <w:t xml:space="preserve"> trial projects occurring in community pharmacy for a similar participant cohort.</w:t>
      </w:r>
    </w:p>
    <w:p w14:paraId="617F3059" w14:textId="77777777" w:rsidR="002B0E8E" w:rsidRPr="00F95B71" w:rsidRDefault="002B0E8E" w:rsidP="00003672">
      <w:pPr>
        <w:pStyle w:val="ListParagraph"/>
        <w:numPr>
          <w:ilvl w:val="0"/>
          <w:numId w:val="23"/>
        </w:numPr>
        <w:spacing w:before="0" w:after="0" w:line="240" w:lineRule="auto"/>
        <w:contextualSpacing w:val="0"/>
        <w:rPr>
          <w:rFonts w:ascii="Arial" w:hAnsi="Arial" w:cs="Arial"/>
        </w:rPr>
      </w:pPr>
      <w:r w:rsidRPr="00F95B71">
        <w:rPr>
          <w:rFonts w:ascii="Arial" w:hAnsi="Arial" w:cs="Arial"/>
        </w:rPr>
        <w:t>Participants have chosen not to engage in the project due to collection of MBS/PBS data; not understanding privacy of trial data.</w:t>
      </w:r>
    </w:p>
    <w:p w14:paraId="676EAD0E" w14:textId="77777777" w:rsidR="002B0E8E" w:rsidRPr="00F95B71" w:rsidRDefault="002B0E8E" w:rsidP="00003672">
      <w:pPr>
        <w:pStyle w:val="ListParagraph"/>
        <w:numPr>
          <w:ilvl w:val="0"/>
          <w:numId w:val="23"/>
        </w:numPr>
        <w:spacing w:before="0" w:after="0" w:line="240" w:lineRule="auto"/>
        <w:contextualSpacing w:val="0"/>
        <w:rPr>
          <w:rFonts w:ascii="Arial" w:hAnsi="Arial" w:cs="Arial"/>
        </w:rPr>
      </w:pPr>
      <w:r w:rsidRPr="00F95B71">
        <w:rPr>
          <w:rFonts w:ascii="Arial" w:hAnsi="Arial" w:cs="Arial"/>
        </w:rPr>
        <w:t>Smaller pharmacies with fewer staff do not always have the time available to undertake assessments.</w:t>
      </w:r>
    </w:p>
    <w:p w14:paraId="1BF1F36A" w14:textId="5A4E6A65" w:rsidR="002B0E8E" w:rsidRPr="00F95B71" w:rsidRDefault="002B0E8E" w:rsidP="00003672">
      <w:pPr>
        <w:pStyle w:val="ListParagraph"/>
        <w:numPr>
          <w:ilvl w:val="0"/>
          <w:numId w:val="23"/>
        </w:numPr>
        <w:spacing w:before="0" w:after="0" w:line="240" w:lineRule="auto"/>
        <w:contextualSpacing w:val="0"/>
        <w:rPr>
          <w:rFonts w:ascii="Arial" w:hAnsi="Arial" w:cs="Arial"/>
        </w:rPr>
      </w:pPr>
      <w:r w:rsidRPr="00F95B71">
        <w:rPr>
          <w:rFonts w:ascii="Arial" w:hAnsi="Arial" w:cs="Arial"/>
        </w:rPr>
        <w:t xml:space="preserve">The period prior to Christmas </w:t>
      </w:r>
      <w:r w:rsidR="008A7A92">
        <w:rPr>
          <w:rFonts w:ascii="Arial" w:hAnsi="Arial" w:cs="Arial"/>
        </w:rPr>
        <w:t xml:space="preserve">2019 </w:t>
      </w:r>
      <w:r w:rsidRPr="00F95B71">
        <w:rPr>
          <w:rFonts w:ascii="Arial" w:hAnsi="Arial" w:cs="Arial"/>
        </w:rPr>
        <w:t>was not ideal for participant recruitment as the focus in the pharmacy was core business rather than trial activity.</w:t>
      </w:r>
    </w:p>
    <w:p w14:paraId="14029F57" w14:textId="77CFE737" w:rsidR="002B0E8E" w:rsidRPr="00AD6260" w:rsidRDefault="002B0E8E" w:rsidP="00AD6260">
      <w:pPr>
        <w:pStyle w:val="ListParagraph"/>
        <w:numPr>
          <w:ilvl w:val="0"/>
          <w:numId w:val="23"/>
        </w:numPr>
        <w:spacing w:before="0" w:after="0" w:line="240" w:lineRule="auto"/>
        <w:contextualSpacing w:val="0"/>
        <w:rPr>
          <w:rFonts w:ascii="Arial" w:hAnsi="Arial" w:cs="Arial"/>
        </w:rPr>
      </w:pPr>
      <w:r w:rsidRPr="00F95B71">
        <w:rPr>
          <w:rFonts w:ascii="Arial" w:hAnsi="Arial" w:cs="Arial"/>
        </w:rPr>
        <w:t>Since March (2020), the COVID-19 social restrictions severely limited recruitment potential with the public not allowed to leave the house for non-essential engagements and a 1.5m social distance between individuals.</w:t>
      </w:r>
    </w:p>
    <w:p w14:paraId="74F8A9F5" w14:textId="647D957F" w:rsidR="002B0E8E" w:rsidRDefault="002B0E8E" w:rsidP="00AD6260">
      <w:pPr>
        <w:spacing w:before="160" w:line="240" w:lineRule="auto"/>
        <w:rPr>
          <w:rFonts w:ascii="Arial" w:hAnsi="Arial" w:cs="Arial"/>
        </w:rPr>
      </w:pPr>
      <w:r w:rsidRPr="00F95B71">
        <w:rPr>
          <w:rFonts w:ascii="Arial" w:hAnsi="Arial" w:cs="Arial"/>
        </w:rPr>
        <w:t>Black Swan Health supported community pharmacies through identification and implementation of strategies intended to boost participant recruitment and focussed on mitigating identified barriers.</w:t>
      </w:r>
    </w:p>
    <w:p w14:paraId="0EBAB004" w14:textId="688C2BEA" w:rsidR="00F4294D" w:rsidRPr="000F778E" w:rsidRDefault="00894808" w:rsidP="00AD6260">
      <w:pPr>
        <w:spacing w:before="160" w:line="240" w:lineRule="auto"/>
        <w:rPr>
          <w:rFonts w:ascii="Arial" w:hAnsi="Arial" w:cs="Arial"/>
        </w:rPr>
      </w:pPr>
      <w:r w:rsidRPr="000F778E">
        <w:rPr>
          <w:rFonts w:ascii="Arial" w:hAnsi="Arial" w:cs="Arial"/>
        </w:rPr>
        <w:t>A total of 311 participants were recruited to the Trial; 63% of participants were recruited to the Comprehensive CVD Risk Assessment arm and 37% recruited to the Brief CVD Risk Assessment arm.</w:t>
      </w:r>
    </w:p>
    <w:p w14:paraId="7E1B5232" w14:textId="1F966ACE" w:rsidR="007134D5" w:rsidRPr="000F778E" w:rsidRDefault="00894808" w:rsidP="00AD6260">
      <w:pPr>
        <w:spacing w:before="160" w:line="240" w:lineRule="auto"/>
        <w:rPr>
          <w:rFonts w:ascii="Arial" w:hAnsi="Arial" w:cs="Arial"/>
        </w:rPr>
      </w:pPr>
      <w:r w:rsidRPr="000F778E">
        <w:rPr>
          <w:rFonts w:ascii="Arial" w:hAnsi="Arial" w:cs="Arial"/>
        </w:rPr>
        <w:t>Recognising the impact of the COVID-19 environment and restrictions within Western Australia a significant decrease in participant assessment at 6 months</w:t>
      </w:r>
      <w:r w:rsidR="007134D5" w:rsidRPr="000F778E">
        <w:rPr>
          <w:rFonts w:ascii="Arial" w:hAnsi="Arial" w:cs="Arial"/>
        </w:rPr>
        <w:t xml:space="preserve"> was experienced</w:t>
      </w:r>
      <w:r w:rsidRPr="000F778E">
        <w:rPr>
          <w:rFonts w:ascii="Arial" w:hAnsi="Arial" w:cs="Arial"/>
        </w:rPr>
        <w:t>.</w:t>
      </w:r>
      <w:r w:rsidR="007134D5" w:rsidRPr="000F778E">
        <w:rPr>
          <w:rFonts w:ascii="Arial" w:hAnsi="Arial" w:cs="Arial"/>
        </w:rPr>
        <w:t xml:space="preserve"> </w:t>
      </w:r>
      <w:r w:rsidR="00F4294D" w:rsidRPr="000F778E">
        <w:rPr>
          <w:rFonts w:ascii="Arial" w:hAnsi="Arial" w:cs="Arial"/>
        </w:rPr>
        <w:t>Overall, a</w:t>
      </w:r>
      <w:r w:rsidR="007134D5" w:rsidRPr="000F778E">
        <w:rPr>
          <w:rFonts w:ascii="Arial" w:hAnsi="Arial" w:cs="Arial"/>
        </w:rPr>
        <w:t xml:space="preserve"> total of 141 </w:t>
      </w:r>
      <w:proofErr w:type="gramStart"/>
      <w:r w:rsidR="007134D5" w:rsidRPr="000F778E">
        <w:rPr>
          <w:rFonts w:ascii="Arial" w:hAnsi="Arial" w:cs="Arial"/>
        </w:rPr>
        <w:t>6 month</w:t>
      </w:r>
      <w:proofErr w:type="gramEnd"/>
      <w:r w:rsidR="007134D5" w:rsidRPr="000F778E">
        <w:rPr>
          <w:rFonts w:ascii="Arial" w:hAnsi="Arial" w:cs="Arial"/>
        </w:rPr>
        <w:t xml:space="preserve"> risk assessments were completed; 76% in the Comprehensive CVD Risk Assessment arm and 24% in the Brief CVD Risk Assessment arm.</w:t>
      </w:r>
      <w:r w:rsidR="00F4294D" w:rsidRPr="000F778E">
        <w:rPr>
          <w:rFonts w:ascii="Arial" w:hAnsi="Arial" w:cs="Arial"/>
        </w:rPr>
        <w:t xml:space="preserve"> Overall, a</w:t>
      </w:r>
      <w:r w:rsidR="007134D5" w:rsidRPr="000F778E">
        <w:rPr>
          <w:rFonts w:ascii="Arial" w:hAnsi="Arial" w:cs="Arial"/>
        </w:rPr>
        <w:t xml:space="preserve"> total of 133 </w:t>
      </w:r>
      <w:proofErr w:type="gramStart"/>
      <w:r w:rsidR="007134D5" w:rsidRPr="000F778E">
        <w:rPr>
          <w:rFonts w:ascii="Arial" w:hAnsi="Arial" w:cs="Arial"/>
        </w:rPr>
        <w:t>12 month</w:t>
      </w:r>
      <w:proofErr w:type="gramEnd"/>
      <w:r w:rsidR="007134D5" w:rsidRPr="000F778E">
        <w:rPr>
          <w:rFonts w:ascii="Arial" w:hAnsi="Arial" w:cs="Arial"/>
        </w:rPr>
        <w:t xml:space="preserve"> risk assessments were completed; equally between Comprehensive and Brief CVD Risk Assessment arms.</w:t>
      </w:r>
    </w:p>
    <w:p w14:paraId="400D9CDB" w14:textId="40DD176E" w:rsidR="007134D5" w:rsidRPr="000F778E" w:rsidRDefault="007134D5" w:rsidP="00003672">
      <w:pPr>
        <w:pStyle w:val="ListParagraph"/>
        <w:numPr>
          <w:ilvl w:val="0"/>
          <w:numId w:val="24"/>
        </w:numPr>
        <w:spacing w:before="0" w:after="0" w:line="240" w:lineRule="auto"/>
        <w:rPr>
          <w:rFonts w:ascii="Arial" w:hAnsi="Arial" w:cs="Arial"/>
        </w:rPr>
      </w:pPr>
      <w:r w:rsidRPr="000F778E">
        <w:rPr>
          <w:rFonts w:ascii="Arial" w:hAnsi="Arial" w:cs="Arial"/>
        </w:rPr>
        <w:t>Similar proportions of participants in the Comprehensive Intervention and Brief Intervention arms completed Baseline only assessments; 38% in Comprehensive and 36% in Brief.</w:t>
      </w:r>
    </w:p>
    <w:p w14:paraId="5424DE96" w14:textId="59ABBB46" w:rsidR="007134D5" w:rsidRPr="000F778E" w:rsidRDefault="007134D5" w:rsidP="00003672">
      <w:pPr>
        <w:pStyle w:val="ListParagraph"/>
        <w:numPr>
          <w:ilvl w:val="0"/>
          <w:numId w:val="24"/>
        </w:numPr>
        <w:spacing w:before="0" w:after="0" w:line="240" w:lineRule="auto"/>
        <w:rPr>
          <w:rFonts w:ascii="Arial" w:hAnsi="Arial" w:cs="Arial"/>
        </w:rPr>
      </w:pPr>
      <w:r w:rsidRPr="000F778E">
        <w:rPr>
          <w:rFonts w:ascii="Arial" w:hAnsi="Arial" w:cs="Arial"/>
        </w:rPr>
        <w:t>Additionally</w:t>
      </w:r>
      <w:r w:rsidR="00B84C75">
        <w:rPr>
          <w:rFonts w:ascii="Arial" w:hAnsi="Arial" w:cs="Arial"/>
        </w:rPr>
        <w:t>,</w:t>
      </w:r>
      <w:r w:rsidRPr="000F778E">
        <w:rPr>
          <w:rFonts w:ascii="Arial" w:hAnsi="Arial" w:cs="Arial"/>
        </w:rPr>
        <w:t xml:space="preserve"> similar proportions of participants in each arm completed all three assessments, Baseline, 6 month and 12 </w:t>
      </w:r>
      <w:proofErr w:type="gramStart"/>
      <w:r w:rsidRPr="000F778E">
        <w:rPr>
          <w:rFonts w:ascii="Arial" w:hAnsi="Arial" w:cs="Arial"/>
        </w:rPr>
        <w:t>month;</w:t>
      </w:r>
      <w:proofErr w:type="gramEnd"/>
      <w:r w:rsidRPr="000F778E">
        <w:rPr>
          <w:rFonts w:ascii="Arial" w:hAnsi="Arial" w:cs="Arial"/>
        </w:rPr>
        <w:t xml:space="preserve"> 25% in Comprehensive and 26% in Brief.</w:t>
      </w:r>
    </w:p>
    <w:p w14:paraId="206D5E7C" w14:textId="6D2CFEAD" w:rsidR="007134D5" w:rsidRPr="000F778E" w:rsidRDefault="007134D5" w:rsidP="00003672">
      <w:pPr>
        <w:pStyle w:val="ListParagraph"/>
        <w:numPr>
          <w:ilvl w:val="0"/>
          <w:numId w:val="24"/>
        </w:numPr>
        <w:spacing w:before="0" w:after="0" w:line="240" w:lineRule="auto"/>
        <w:rPr>
          <w:rFonts w:ascii="Arial" w:hAnsi="Arial" w:cs="Arial"/>
        </w:rPr>
      </w:pPr>
      <w:r w:rsidRPr="000F778E">
        <w:rPr>
          <w:rFonts w:ascii="Arial" w:hAnsi="Arial" w:cs="Arial"/>
        </w:rPr>
        <w:t xml:space="preserve">29% of participants in the Comprehensive Intervention arm completed Baseline and </w:t>
      </w:r>
      <w:proofErr w:type="gramStart"/>
      <w:r w:rsidRPr="000F778E">
        <w:rPr>
          <w:rFonts w:ascii="Arial" w:hAnsi="Arial" w:cs="Arial"/>
        </w:rPr>
        <w:t xml:space="preserve">6 </w:t>
      </w:r>
      <w:r w:rsidR="00940907" w:rsidRPr="000F778E">
        <w:rPr>
          <w:rFonts w:ascii="Arial" w:hAnsi="Arial" w:cs="Arial"/>
        </w:rPr>
        <w:t>month</w:t>
      </w:r>
      <w:proofErr w:type="gramEnd"/>
      <w:r w:rsidR="00940907" w:rsidRPr="000F778E">
        <w:rPr>
          <w:rFonts w:ascii="Arial" w:hAnsi="Arial" w:cs="Arial"/>
        </w:rPr>
        <w:t xml:space="preserve"> assessments</w:t>
      </w:r>
      <w:r w:rsidRPr="000F778E">
        <w:rPr>
          <w:rFonts w:ascii="Arial" w:hAnsi="Arial" w:cs="Arial"/>
        </w:rPr>
        <w:t xml:space="preserve"> and did not complete the 12 month assessment.</w:t>
      </w:r>
    </w:p>
    <w:p w14:paraId="71FF8A80" w14:textId="77777777" w:rsidR="007134D5" w:rsidRPr="000F778E" w:rsidRDefault="007134D5" w:rsidP="00003672">
      <w:pPr>
        <w:pStyle w:val="ListParagraph"/>
        <w:numPr>
          <w:ilvl w:val="0"/>
          <w:numId w:val="24"/>
        </w:numPr>
        <w:spacing w:before="0" w:after="0" w:line="240" w:lineRule="auto"/>
        <w:rPr>
          <w:rFonts w:ascii="Arial" w:hAnsi="Arial" w:cs="Arial"/>
        </w:rPr>
      </w:pPr>
      <w:r w:rsidRPr="000F778E">
        <w:rPr>
          <w:rFonts w:ascii="Arial" w:hAnsi="Arial" w:cs="Arial"/>
        </w:rPr>
        <w:lastRenderedPageBreak/>
        <w:t xml:space="preserve">34% of participants in the Brief Intervention arm completed Baseline and </w:t>
      </w:r>
      <w:proofErr w:type="gramStart"/>
      <w:r w:rsidRPr="000F778E">
        <w:rPr>
          <w:rFonts w:ascii="Arial" w:hAnsi="Arial" w:cs="Arial"/>
        </w:rPr>
        <w:t>12 month</w:t>
      </w:r>
      <w:proofErr w:type="gramEnd"/>
      <w:r w:rsidRPr="000F778E">
        <w:rPr>
          <w:rFonts w:ascii="Arial" w:hAnsi="Arial" w:cs="Arial"/>
        </w:rPr>
        <w:t xml:space="preserve"> assessments and did not complete the 6 month assessment.</w:t>
      </w:r>
    </w:p>
    <w:p w14:paraId="196B2D53" w14:textId="77777777" w:rsidR="00645EA9" w:rsidRPr="000F778E" w:rsidRDefault="00645EA9" w:rsidP="00003672">
      <w:pPr>
        <w:spacing w:before="0" w:after="0" w:line="240" w:lineRule="auto"/>
        <w:rPr>
          <w:rFonts w:ascii="Arial" w:hAnsi="Arial" w:cs="Arial"/>
        </w:rPr>
      </w:pPr>
    </w:p>
    <w:p w14:paraId="5E235046" w14:textId="6D32FC87" w:rsidR="007134D5" w:rsidRPr="00A14753" w:rsidRDefault="00962095" w:rsidP="008B6783">
      <w:pPr>
        <w:pStyle w:val="Heading3"/>
        <w:spacing w:before="0" w:after="0"/>
      </w:pPr>
      <w:bookmarkStart w:id="50" w:name="_Toc137535760"/>
      <w:r w:rsidRPr="008B6783">
        <w:rPr>
          <w:rFonts w:ascii="Arial Narrow" w:hAnsi="Arial Narrow"/>
          <w:b/>
          <w:bCs/>
          <w:sz w:val="20"/>
          <w:szCs w:val="20"/>
        </w:rPr>
        <w:t>Table</w:t>
      </w:r>
      <w:r w:rsidR="00A85BF7">
        <w:rPr>
          <w:rFonts w:ascii="Arial Narrow" w:hAnsi="Arial Narrow"/>
          <w:b/>
          <w:bCs/>
          <w:sz w:val="20"/>
          <w:szCs w:val="20"/>
        </w:rPr>
        <w:t xml:space="preserve"> </w:t>
      </w:r>
      <w:r w:rsidR="007134D5" w:rsidRPr="008B6783">
        <w:rPr>
          <w:rFonts w:ascii="Arial Narrow" w:hAnsi="Arial Narrow"/>
          <w:b/>
          <w:bCs/>
          <w:sz w:val="20"/>
          <w:szCs w:val="20"/>
        </w:rPr>
        <w:t>10: Assessments completed</w:t>
      </w:r>
      <w:bookmarkEnd w:id="50"/>
    </w:p>
    <w:tbl>
      <w:tblPr>
        <w:tblStyle w:val="TableGridLight1"/>
        <w:tblW w:w="7273" w:type="dxa"/>
        <w:tblLook w:val="04A0" w:firstRow="1" w:lastRow="0" w:firstColumn="1" w:lastColumn="0" w:noHBand="0" w:noVBand="1"/>
      </w:tblPr>
      <w:tblGrid>
        <w:gridCol w:w="3964"/>
        <w:gridCol w:w="1442"/>
        <w:gridCol w:w="1867"/>
      </w:tblGrid>
      <w:tr w:rsidR="002B0E8E" w:rsidRPr="002B0E8E" w14:paraId="4E5AF75C" w14:textId="77777777" w:rsidTr="002B0E8E">
        <w:trPr>
          <w:cnfStyle w:val="100000000000" w:firstRow="1" w:lastRow="0" w:firstColumn="0" w:lastColumn="0" w:oddVBand="0" w:evenVBand="0" w:oddHBand="0" w:evenHBand="0" w:firstRowFirstColumn="0" w:firstRowLastColumn="0" w:lastRowFirstColumn="0" w:lastRowLastColumn="0"/>
          <w:trHeight w:val="300"/>
        </w:trPr>
        <w:tc>
          <w:tcPr>
            <w:tcW w:w="3964" w:type="dxa"/>
            <w:noWrap/>
            <w:hideMark/>
          </w:tcPr>
          <w:p w14:paraId="0BCB6CF7" w14:textId="77777777" w:rsidR="007134D5" w:rsidRPr="008B6783" w:rsidRDefault="007134D5" w:rsidP="00003672">
            <w:pPr>
              <w:spacing w:before="0"/>
              <w:rPr>
                <w:rFonts w:ascii="Arial" w:eastAsia="Times New Roman" w:hAnsi="Arial" w:cs="Arial"/>
                <w:b/>
                <w:bCs/>
                <w:lang w:eastAsia="en-AU"/>
              </w:rPr>
            </w:pPr>
            <w:r w:rsidRPr="008B6783">
              <w:rPr>
                <w:rFonts w:ascii="Arial" w:eastAsia="Times New Roman" w:hAnsi="Arial" w:cs="Arial"/>
                <w:b/>
                <w:bCs/>
                <w:lang w:eastAsia="en-AU"/>
              </w:rPr>
              <w:t>Assessments completed</w:t>
            </w:r>
          </w:p>
        </w:tc>
        <w:tc>
          <w:tcPr>
            <w:tcW w:w="1442" w:type="dxa"/>
          </w:tcPr>
          <w:p w14:paraId="162009EA" w14:textId="77777777" w:rsidR="007134D5" w:rsidRPr="008B6783" w:rsidRDefault="007134D5" w:rsidP="008B6783">
            <w:pPr>
              <w:spacing w:before="0"/>
              <w:rPr>
                <w:rFonts w:ascii="Arial" w:eastAsia="Times New Roman" w:hAnsi="Arial" w:cs="Arial"/>
                <w:b/>
                <w:bCs/>
                <w:lang w:eastAsia="en-AU"/>
              </w:rPr>
            </w:pPr>
            <w:r w:rsidRPr="008B6783">
              <w:rPr>
                <w:rFonts w:ascii="Arial" w:eastAsia="Times New Roman" w:hAnsi="Arial" w:cs="Arial"/>
                <w:b/>
                <w:bCs/>
                <w:lang w:eastAsia="en-AU"/>
              </w:rPr>
              <w:t>Brief</w:t>
            </w:r>
          </w:p>
        </w:tc>
        <w:tc>
          <w:tcPr>
            <w:tcW w:w="1867" w:type="dxa"/>
            <w:noWrap/>
            <w:hideMark/>
          </w:tcPr>
          <w:p w14:paraId="662902BD" w14:textId="77777777" w:rsidR="007134D5" w:rsidRPr="008B6783" w:rsidRDefault="007134D5" w:rsidP="00003672">
            <w:pPr>
              <w:spacing w:before="0"/>
              <w:rPr>
                <w:rFonts w:ascii="Arial" w:eastAsia="Times New Roman" w:hAnsi="Arial" w:cs="Arial"/>
                <w:b/>
                <w:bCs/>
                <w:lang w:eastAsia="en-AU"/>
              </w:rPr>
            </w:pPr>
            <w:r w:rsidRPr="008B6783">
              <w:rPr>
                <w:rFonts w:ascii="Arial" w:eastAsia="Times New Roman" w:hAnsi="Arial" w:cs="Arial"/>
                <w:b/>
                <w:bCs/>
                <w:lang w:eastAsia="en-AU"/>
              </w:rPr>
              <w:t>Comprehensive</w:t>
            </w:r>
          </w:p>
        </w:tc>
      </w:tr>
      <w:tr w:rsidR="007134D5" w:rsidRPr="000F778E" w14:paraId="0EA5473A" w14:textId="77777777" w:rsidTr="008B6783">
        <w:trPr>
          <w:trHeight w:val="300"/>
        </w:trPr>
        <w:tc>
          <w:tcPr>
            <w:tcW w:w="0" w:type="dxa"/>
            <w:noWrap/>
            <w:hideMark/>
          </w:tcPr>
          <w:p w14:paraId="12D05114" w14:textId="77777777" w:rsidR="007134D5" w:rsidRPr="000F778E" w:rsidRDefault="007134D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Baseline only (0 months)</w:t>
            </w:r>
          </w:p>
        </w:tc>
        <w:tc>
          <w:tcPr>
            <w:tcW w:w="0" w:type="dxa"/>
          </w:tcPr>
          <w:p w14:paraId="5CC318C6" w14:textId="77777777" w:rsidR="007134D5" w:rsidRPr="000F778E" w:rsidRDefault="007134D5" w:rsidP="008B6783">
            <w:pPr>
              <w:spacing w:before="0"/>
              <w:jc w:val="both"/>
              <w:rPr>
                <w:rFonts w:ascii="Arial" w:eastAsia="Times New Roman" w:hAnsi="Arial" w:cs="Arial"/>
                <w:color w:val="000000"/>
                <w:lang w:eastAsia="en-AU"/>
              </w:rPr>
            </w:pPr>
            <w:r w:rsidRPr="000F778E">
              <w:rPr>
                <w:rFonts w:ascii="Arial" w:eastAsia="Times New Roman" w:hAnsi="Arial" w:cs="Arial"/>
                <w:color w:val="000000"/>
                <w:lang w:eastAsia="en-AU"/>
              </w:rPr>
              <w:t>36%</w:t>
            </w:r>
          </w:p>
        </w:tc>
        <w:tc>
          <w:tcPr>
            <w:tcW w:w="0" w:type="dxa"/>
            <w:noWrap/>
            <w:hideMark/>
          </w:tcPr>
          <w:p w14:paraId="439A39B9" w14:textId="77777777" w:rsidR="007134D5" w:rsidRPr="000F778E" w:rsidRDefault="007134D5" w:rsidP="008B6783">
            <w:pPr>
              <w:spacing w:before="0"/>
              <w:jc w:val="both"/>
              <w:rPr>
                <w:rFonts w:ascii="Arial" w:eastAsia="Times New Roman" w:hAnsi="Arial" w:cs="Arial"/>
                <w:color w:val="000000"/>
                <w:lang w:eastAsia="en-AU"/>
              </w:rPr>
            </w:pPr>
            <w:r w:rsidRPr="000F778E">
              <w:rPr>
                <w:rFonts w:ascii="Arial" w:eastAsia="Times New Roman" w:hAnsi="Arial" w:cs="Arial"/>
                <w:color w:val="000000"/>
                <w:lang w:eastAsia="en-AU"/>
              </w:rPr>
              <w:t>38%</w:t>
            </w:r>
          </w:p>
        </w:tc>
      </w:tr>
      <w:tr w:rsidR="007134D5" w:rsidRPr="000F778E" w14:paraId="73DD732D" w14:textId="77777777" w:rsidTr="008B6783">
        <w:trPr>
          <w:trHeight w:val="300"/>
        </w:trPr>
        <w:tc>
          <w:tcPr>
            <w:tcW w:w="0" w:type="dxa"/>
            <w:noWrap/>
            <w:hideMark/>
          </w:tcPr>
          <w:p w14:paraId="75AA2773" w14:textId="77777777" w:rsidR="007134D5" w:rsidRPr="000F778E" w:rsidRDefault="007134D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Baseline and 6 months</w:t>
            </w:r>
          </w:p>
        </w:tc>
        <w:tc>
          <w:tcPr>
            <w:tcW w:w="0" w:type="dxa"/>
          </w:tcPr>
          <w:p w14:paraId="1BB86D80" w14:textId="77777777" w:rsidR="007134D5" w:rsidRPr="000F778E" w:rsidRDefault="007134D5" w:rsidP="008B6783">
            <w:pPr>
              <w:spacing w:before="0"/>
              <w:rPr>
                <w:rFonts w:ascii="Arial" w:eastAsia="Times New Roman" w:hAnsi="Arial" w:cs="Arial"/>
                <w:color w:val="000000"/>
                <w:lang w:eastAsia="en-AU"/>
              </w:rPr>
            </w:pPr>
            <w:r w:rsidRPr="000F778E">
              <w:rPr>
                <w:rFonts w:ascii="Arial" w:eastAsia="Times New Roman" w:hAnsi="Arial" w:cs="Arial"/>
                <w:color w:val="000000"/>
                <w:lang w:eastAsia="en-AU"/>
              </w:rPr>
              <w:t>4%</w:t>
            </w:r>
          </w:p>
        </w:tc>
        <w:tc>
          <w:tcPr>
            <w:tcW w:w="0" w:type="dxa"/>
            <w:noWrap/>
            <w:hideMark/>
          </w:tcPr>
          <w:p w14:paraId="0D4D91C2" w14:textId="77777777" w:rsidR="007134D5" w:rsidRPr="000F778E" w:rsidRDefault="007134D5" w:rsidP="008B6783">
            <w:pPr>
              <w:spacing w:before="0"/>
              <w:rPr>
                <w:rFonts w:ascii="Arial" w:eastAsia="Times New Roman" w:hAnsi="Arial" w:cs="Arial"/>
                <w:color w:val="000000"/>
                <w:lang w:eastAsia="en-AU"/>
              </w:rPr>
            </w:pPr>
            <w:r w:rsidRPr="000F778E">
              <w:rPr>
                <w:rFonts w:ascii="Arial" w:eastAsia="Times New Roman" w:hAnsi="Arial" w:cs="Arial"/>
                <w:color w:val="000000"/>
                <w:lang w:eastAsia="en-AU"/>
              </w:rPr>
              <w:t>29%</w:t>
            </w:r>
          </w:p>
        </w:tc>
      </w:tr>
      <w:tr w:rsidR="007134D5" w:rsidRPr="000F778E" w14:paraId="0C0843E7" w14:textId="77777777" w:rsidTr="008B6783">
        <w:trPr>
          <w:trHeight w:val="300"/>
        </w:trPr>
        <w:tc>
          <w:tcPr>
            <w:tcW w:w="0" w:type="dxa"/>
            <w:noWrap/>
            <w:hideMark/>
          </w:tcPr>
          <w:p w14:paraId="11986BED" w14:textId="77777777" w:rsidR="007134D5" w:rsidRPr="000F778E" w:rsidRDefault="007134D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Baseline and 12 months</w:t>
            </w:r>
          </w:p>
        </w:tc>
        <w:tc>
          <w:tcPr>
            <w:tcW w:w="0" w:type="dxa"/>
          </w:tcPr>
          <w:p w14:paraId="1F713034" w14:textId="77777777" w:rsidR="007134D5" w:rsidRPr="000F778E" w:rsidRDefault="007134D5" w:rsidP="008B6783">
            <w:pPr>
              <w:spacing w:before="0"/>
              <w:rPr>
                <w:rFonts w:ascii="Arial" w:eastAsia="Times New Roman" w:hAnsi="Arial" w:cs="Arial"/>
                <w:color w:val="000000"/>
                <w:lang w:eastAsia="en-AU"/>
              </w:rPr>
            </w:pPr>
            <w:r w:rsidRPr="000F778E">
              <w:rPr>
                <w:rFonts w:ascii="Arial" w:eastAsia="Times New Roman" w:hAnsi="Arial" w:cs="Arial"/>
                <w:color w:val="000000"/>
                <w:lang w:eastAsia="en-AU"/>
              </w:rPr>
              <w:t>34%</w:t>
            </w:r>
          </w:p>
        </w:tc>
        <w:tc>
          <w:tcPr>
            <w:tcW w:w="0" w:type="dxa"/>
            <w:noWrap/>
            <w:hideMark/>
          </w:tcPr>
          <w:p w14:paraId="5452EAD8" w14:textId="77777777" w:rsidR="007134D5" w:rsidRPr="000F778E" w:rsidRDefault="007134D5" w:rsidP="008B6783">
            <w:pPr>
              <w:spacing w:before="0"/>
              <w:rPr>
                <w:rFonts w:ascii="Arial" w:eastAsia="Times New Roman" w:hAnsi="Arial" w:cs="Arial"/>
                <w:color w:val="000000"/>
                <w:lang w:eastAsia="en-AU"/>
              </w:rPr>
            </w:pPr>
            <w:r w:rsidRPr="000F778E">
              <w:rPr>
                <w:rFonts w:ascii="Arial" w:eastAsia="Times New Roman" w:hAnsi="Arial" w:cs="Arial"/>
                <w:color w:val="000000"/>
                <w:lang w:eastAsia="en-AU"/>
              </w:rPr>
              <w:t>8%</w:t>
            </w:r>
          </w:p>
        </w:tc>
      </w:tr>
      <w:tr w:rsidR="007134D5" w:rsidRPr="000F778E" w14:paraId="6C4D616C" w14:textId="77777777" w:rsidTr="008B6783">
        <w:trPr>
          <w:trHeight w:val="300"/>
        </w:trPr>
        <w:tc>
          <w:tcPr>
            <w:tcW w:w="0" w:type="dxa"/>
            <w:noWrap/>
            <w:hideMark/>
          </w:tcPr>
          <w:p w14:paraId="3421A9D2" w14:textId="77777777" w:rsidR="007134D5" w:rsidRPr="000F778E" w:rsidRDefault="007134D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 xml:space="preserve">Baseline, 6 </w:t>
            </w:r>
            <w:proofErr w:type="gramStart"/>
            <w:r w:rsidRPr="000F778E">
              <w:rPr>
                <w:rFonts w:ascii="Arial" w:eastAsia="Times New Roman" w:hAnsi="Arial" w:cs="Arial"/>
                <w:color w:val="000000"/>
                <w:lang w:eastAsia="en-AU"/>
              </w:rPr>
              <w:t>months</w:t>
            </w:r>
            <w:proofErr w:type="gramEnd"/>
            <w:r w:rsidRPr="000F778E">
              <w:rPr>
                <w:rFonts w:ascii="Arial" w:eastAsia="Times New Roman" w:hAnsi="Arial" w:cs="Arial"/>
                <w:color w:val="000000"/>
                <w:lang w:eastAsia="en-AU"/>
              </w:rPr>
              <w:t xml:space="preserve"> and 12 months</w:t>
            </w:r>
          </w:p>
        </w:tc>
        <w:tc>
          <w:tcPr>
            <w:tcW w:w="0" w:type="dxa"/>
          </w:tcPr>
          <w:p w14:paraId="0A7C99E9" w14:textId="77777777" w:rsidR="007134D5" w:rsidRPr="000F778E" w:rsidRDefault="007134D5" w:rsidP="008B6783">
            <w:pPr>
              <w:spacing w:before="0"/>
              <w:rPr>
                <w:rFonts w:ascii="Arial" w:eastAsia="Times New Roman" w:hAnsi="Arial" w:cs="Arial"/>
                <w:color w:val="000000"/>
                <w:lang w:eastAsia="en-AU"/>
              </w:rPr>
            </w:pPr>
            <w:r w:rsidRPr="000F778E">
              <w:rPr>
                <w:rFonts w:ascii="Arial" w:eastAsia="Times New Roman" w:hAnsi="Arial" w:cs="Arial"/>
                <w:color w:val="000000"/>
                <w:lang w:eastAsia="en-AU"/>
              </w:rPr>
              <w:t>26%</w:t>
            </w:r>
          </w:p>
        </w:tc>
        <w:tc>
          <w:tcPr>
            <w:tcW w:w="0" w:type="dxa"/>
            <w:noWrap/>
            <w:hideMark/>
          </w:tcPr>
          <w:p w14:paraId="69293118" w14:textId="77777777" w:rsidR="007134D5" w:rsidRPr="000F778E" w:rsidRDefault="007134D5" w:rsidP="008B6783">
            <w:pPr>
              <w:spacing w:before="0"/>
              <w:rPr>
                <w:rFonts w:ascii="Arial" w:eastAsia="Times New Roman" w:hAnsi="Arial" w:cs="Arial"/>
                <w:color w:val="000000"/>
                <w:lang w:eastAsia="en-AU"/>
              </w:rPr>
            </w:pPr>
            <w:r w:rsidRPr="000F778E">
              <w:rPr>
                <w:rFonts w:ascii="Arial" w:eastAsia="Times New Roman" w:hAnsi="Arial" w:cs="Arial"/>
                <w:color w:val="000000"/>
                <w:lang w:eastAsia="en-AU"/>
              </w:rPr>
              <w:t>25%</w:t>
            </w:r>
          </w:p>
        </w:tc>
      </w:tr>
    </w:tbl>
    <w:p w14:paraId="5614D591" w14:textId="548179A2" w:rsidR="007134D5" w:rsidRPr="0049105E" w:rsidRDefault="007134D5" w:rsidP="00AD6260">
      <w:pPr>
        <w:spacing w:before="160" w:line="240" w:lineRule="auto"/>
        <w:rPr>
          <w:rFonts w:ascii="Arial" w:hAnsi="Arial" w:cs="Arial"/>
          <w:bCs/>
          <w:szCs w:val="20"/>
        </w:rPr>
      </w:pPr>
      <w:r w:rsidRPr="008B6783">
        <w:rPr>
          <w:rFonts w:ascii="Arial" w:hAnsi="Arial" w:cs="Arial"/>
          <w:b/>
          <w:bCs/>
          <w:szCs w:val="20"/>
        </w:rPr>
        <w:t>Participant CVD Risk Rating</w:t>
      </w:r>
    </w:p>
    <w:p w14:paraId="2AFF5488" w14:textId="6845B018" w:rsidR="00F4294D" w:rsidRPr="000F778E" w:rsidRDefault="00F4294D" w:rsidP="00AD6260">
      <w:pPr>
        <w:spacing w:before="160" w:line="240" w:lineRule="auto"/>
        <w:rPr>
          <w:rFonts w:ascii="Arial" w:hAnsi="Arial" w:cs="Arial"/>
        </w:rPr>
      </w:pPr>
      <w:r w:rsidRPr="000F778E">
        <w:rPr>
          <w:rFonts w:ascii="Arial" w:hAnsi="Arial" w:cs="Arial"/>
        </w:rPr>
        <w:t xml:space="preserve">As expected, (due to non-modifiable factors included in the AUSDRISK screening tool used in the Brief CVD Risk Assessment) a greater proportion of participants were assessed as being at medium or high risk in the Brief CVD Risk Assessment arm than the Comprehensive CVD Risk Assessment arm. This was consistent at each assessment point; Baseline, 6 month and 12 </w:t>
      </w:r>
      <w:proofErr w:type="gramStart"/>
      <w:r w:rsidRPr="000F778E">
        <w:rPr>
          <w:rFonts w:ascii="Arial" w:hAnsi="Arial" w:cs="Arial"/>
        </w:rPr>
        <w:t>month</w:t>
      </w:r>
      <w:proofErr w:type="gramEnd"/>
      <w:r w:rsidRPr="000F778E">
        <w:rPr>
          <w:rFonts w:ascii="Arial" w:hAnsi="Arial" w:cs="Arial"/>
        </w:rPr>
        <w:t>.</w:t>
      </w:r>
    </w:p>
    <w:p w14:paraId="698AD90C" w14:textId="57EEB465" w:rsidR="00D209A9" w:rsidRPr="008B6783" w:rsidRDefault="00962095" w:rsidP="008B6783">
      <w:pPr>
        <w:pStyle w:val="Heading3"/>
        <w:spacing w:before="0" w:after="0"/>
        <w:rPr>
          <w:rFonts w:ascii="Arial Narrow" w:hAnsi="Arial Narrow"/>
          <w:sz w:val="20"/>
        </w:rPr>
      </w:pPr>
      <w:bookmarkStart w:id="51" w:name="_Toc137535761"/>
      <w:r w:rsidRPr="008B6783">
        <w:rPr>
          <w:rFonts w:ascii="Arial Narrow" w:hAnsi="Arial Narrow"/>
          <w:b/>
          <w:bCs/>
          <w:sz w:val="20"/>
          <w:szCs w:val="20"/>
        </w:rPr>
        <w:t>Table 11</w:t>
      </w:r>
      <w:r w:rsidR="00431F50" w:rsidRPr="008B6783">
        <w:rPr>
          <w:rFonts w:ascii="Arial Narrow" w:hAnsi="Arial Narrow"/>
          <w:b/>
          <w:bCs/>
          <w:sz w:val="20"/>
          <w:szCs w:val="20"/>
        </w:rPr>
        <w:t xml:space="preserve">: </w:t>
      </w:r>
      <w:r w:rsidR="00D209A9" w:rsidRPr="008B6783">
        <w:rPr>
          <w:rFonts w:ascii="Arial Narrow" w:hAnsi="Arial Narrow"/>
          <w:b/>
          <w:bCs/>
          <w:sz w:val="20"/>
          <w:szCs w:val="20"/>
        </w:rPr>
        <w:t xml:space="preserve">Participant </w:t>
      </w:r>
      <w:r w:rsidR="00431F50" w:rsidRPr="008B6783">
        <w:rPr>
          <w:rFonts w:ascii="Arial Narrow" w:hAnsi="Arial Narrow"/>
          <w:b/>
          <w:bCs/>
          <w:sz w:val="20"/>
          <w:szCs w:val="20"/>
        </w:rPr>
        <w:t>CVD Risk Rating</w:t>
      </w:r>
      <w:bookmarkEnd w:id="51"/>
    </w:p>
    <w:tbl>
      <w:tblPr>
        <w:tblStyle w:val="TableGridLight1"/>
        <w:tblW w:w="8642" w:type="dxa"/>
        <w:tblLook w:val="04A0" w:firstRow="1" w:lastRow="0" w:firstColumn="1" w:lastColumn="0" w:noHBand="0" w:noVBand="1"/>
      </w:tblPr>
      <w:tblGrid>
        <w:gridCol w:w="2228"/>
        <w:gridCol w:w="2729"/>
        <w:gridCol w:w="1842"/>
        <w:gridCol w:w="1843"/>
      </w:tblGrid>
      <w:tr w:rsidR="00940907" w:rsidRPr="002B0E8E" w14:paraId="79CE1F4B" w14:textId="77777777" w:rsidTr="008B6783">
        <w:trPr>
          <w:cnfStyle w:val="100000000000" w:firstRow="1" w:lastRow="0" w:firstColumn="0" w:lastColumn="0" w:oddVBand="0" w:evenVBand="0" w:oddHBand="0" w:evenHBand="0" w:firstRowFirstColumn="0" w:firstRowLastColumn="0" w:lastRowFirstColumn="0" w:lastRowLastColumn="0"/>
          <w:trHeight w:val="300"/>
        </w:trPr>
        <w:tc>
          <w:tcPr>
            <w:tcW w:w="2228" w:type="dxa"/>
            <w:noWrap/>
            <w:hideMark/>
          </w:tcPr>
          <w:p w14:paraId="122597C3" w14:textId="77777777" w:rsidR="00D209A9" w:rsidRPr="008B6783" w:rsidRDefault="00D209A9" w:rsidP="00003672">
            <w:pPr>
              <w:spacing w:before="0"/>
              <w:rPr>
                <w:rFonts w:ascii="Arial" w:eastAsia="Times New Roman" w:hAnsi="Arial" w:cs="Arial"/>
                <w:b/>
                <w:bCs/>
                <w:lang w:eastAsia="en-AU"/>
              </w:rPr>
            </w:pPr>
            <w:r w:rsidRPr="008B6783">
              <w:rPr>
                <w:rFonts w:ascii="Arial" w:eastAsia="Times New Roman" w:hAnsi="Arial" w:cs="Arial"/>
                <w:b/>
                <w:bCs/>
                <w:lang w:eastAsia="en-AU"/>
              </w:rPr>
              <w:t>Brief</w:t>
            </w:r>
          </w:p>
        </w:tc>
        <w:tc>
          <w:tcPr>
            <w:tcW w:w="2729" w:type="dxa"/>
            <w:noWrap/>
            <w:hideMark/>
          </w:tcPr>
          <w:p w14:paraId="473BCFDB" w14:textId="42148B99" w:rsidR="00D209A9" w:rsidRPr="008B6783" w:rsidRDefault="00D209A9" w:rsidP="00003672">
            <w:pPr>
              <w:spacing w:before="0"/>
              <w:rPr>
                <w:rFonts w:ascii="Arial" w:eastAsia="Times New Roman" w:hAnsi="Arial" w:cs="Arial"/>
                <w:b/>
                <w:bCs/>
                <w:lang w:eastAsia="en-AU"/>
              </w:rPr>
            </w:pPr>
            <w:r w:rsidRPr="008B6783">
              <w:rPr>
                <w:rFonts w:ascii="Arial" w:eastAsia="Times New Roman" w:hAnsi="Arial" w:cs="Arial"/>
                <w:b/>
                <w:bCs/>
                <w:lang w:eastAsia="en-AU"/>
              </w:rPr>
              <w:t>Baseline</w:t>
            </w:r>
            <w:r w:rsidR="00824115" w:rsidRPr="008B6783">
              <w:rPr>
                <w:rFonts w:ascii="Arial" w:eastAsia="Times New Roman" w:hAnsi="Arial" w:cs="Arial"/>
                <w:b/>
                <w:bCs/>
                <w:lang w:eastAsia="en-AU"/>
              </w:rPr>
              <w:t xml:space="preserve"> (0 month) </w:t>
            </w:r>
            <w:r w:rsidR="00811626" w:rsidRPr="008B6783">
              <w:rPr>
                <w:rFonts w:ascii="Arial" w:eastAsia="Times New Roman" w:hAnsi="Arial" w:cs="Arial"/>
                <w:b/>
                <w:bCs/>
                <w:i/>
                <w:iCs/>
                <w:lang w:eastAsia="en-AU"/>
              </w:rPr>
              <w:t>n</w:t>
            </w:r>
            <w:r w:rsidRPr="008B6783">
              <w:rPr>
                <w:rFonts w:ascii="Arial" w:eastAsia="Times New Roman" w:hAnsi="Arial" w:cs="Arial"/>
                <w:b/>
                <w:bCs/>
                <w:i/>
                <w:iCs/>
                <w:lang w:eastAsia="en-AU"/>
              </w:rPr>
              <w:t xml:space="preserve"> = 112</w:t>
            </w:r>
          </w:p>
        </w:tc>
        <w:tc>
          <w:tcPr>
            <w:tcW w:w="1842" w:type="dxa"/>
            <w:noWrap/>
            <w:hideMark/>
          </w:tcPr>
          <w:p w14:paraId="1A7C210D" w14:textId="148A3DA9" w:rsidR="00940907" w:rsidRPr="008B6783" w:rsidRDefault="00D209A9" w:rsidP="00003672">
            <w:pPr>
              <w:spacing w:before="0"/>
              <w:rPr>
                <w:rFonts w:ascii="Arial" w:eastAsia="Times New Roman" w:hAnsi="Arial" w:cs="Arial"/>
                <w:b/>
                <w:bCs/>
                <w:lang w:eastAsia="en-AU"/>
              </w:rPr>
            </w:pPr>
            <w:r w:rsidRPr="008B6783">
              <w:rPr>
                <w:rFonts w:ascii="Arial" w:eastAsia="Times New Roman" w:hAnsi="Arial" w:cs="Arial"/>
                <w:b/>
                <w:bCs/>
                <w:lang w:eastAsia="en-AU"/>
              </w:rPr>
              <w:t xml:space="preserve">6 </w:t>
            </w:r>
            <w:proofErr w:type="gramStart"/>
            <w:r w:rsidRPr="008B6783">
              <w:rPr>
                <w:rFonts w:ascii="Arial" w:eastAsia="Times New Roman" w:hAnsi="Arial" w:cs="Arial"/>
                <w:b/>
                <w:bCs/>
                <w:lang w:eastAsia="en-AU"/>
              </w:rPr>
              <w:t>month</w:t>
            </w:r>
            <w:proofErr w:type="gramEnd"/>
            <w:r w:rsidRPr="008B6783">
              <w:rPr>
                <w:rFonts w:ascii="Arial" w:eastAsia="Times New Roman" w:hAnsi="Arial" w:cs="Arial"/>
                <w:b/>
                <w:bCs/>
                <w:lang w:eastAsia="en-AU"/>
              </w:rPr>
              <w:t xml:space="preserve"> </w:t>
            </w:r>
          </w:p>
          <w:p w14:paraId="5CA1F15A" w14:textId="5E77711D" w:rsidR="00D209A9" w:rsidRPr="008B6783" w:rsidRDefault="00824115" w:rsidP="00003672">
            <w:pPr>
              <w:spacing w:before="0"/>
              <w:rPr>
                <w:rFonts w:ascii="Arial" w:eastAsia="Times New Roman" w:hAnsi="Arial" w:cs="Arial"/>
                <w:b/>
                <w:bCs/>
                <w:i/>
                <w:iCs/>
                <w:lang w:eastAsia="en-AU"/>
              </w:rPr>
            </w:pPr>
            <w:r w:rsidRPr="008B6783">
              <w:rPr>
                <w:rFonts w:ascii="Arial" w:eastAsia="Times New Roman" w:hAnsi="Arial" w:cs="Arial"/>
                <w:b/>
                <w:bCs/>
                <w:i/>
                <w:iCs/>
                <w:lang w:eastAsia="en-AU"/>
              </w:rPr>
              <w:t xml:space="preserve">n </w:t>
            </w:r>
            <w:r w:rsidR="00D209A9" w:rsidRPr="008B6783">
              <w:rPr>
                <w:rFonts w:ascii="Arial" w:eastAsia="Times New Roman" w:hAnsi="Arial" w:cs="Arial"/>
                <w:b/>
                <w:bCs/>
                <w:i/>
                <w:iCs/>
                <w:lang w:eastAsia="en-AU"/>
              </w:rPr>
              <w:t>= 34</w:t>
            </w:r>
          </w:p>
        </w:tc>
        <w:tc>
          <w:tcPr>
            <w:tcW w:w="1843" w:type="dxa"/>
            <w:noWrap/>
            <w:hideMark/>
          </w:tcPr>
          <w:p w14:paraId="5FE6E3B2" w14:textId="090AFE06" w:rsidR="00940907" w:rsidRDefault="00D209A9" w:rsidP="00003672">
            <w:pPr>
              <w:spacing w:before="0"/>
              <w:rPr>
                <w:rFonts w:ascii="Arial" w:eastAsia="Times New Roman" w:hAnsi="Arial" w:cs="Arial"/>
                <w:b/>
                <w:bCs/>
                <w:i/>
                <w:iCs/>
                <w:lang w:eastAsia="en-AU"/>
              </w:rPr>
            </w:pPr>
            <w:r w:rsidRPr="008B6783">
              <w:rPr>
                <w:rFonts w:ascii="Arial" w:eastAsia="Times New Roman" w:hAnsi="Arial" w:cs="Arial"/>
                <w:b/>
                <w:bCs/>
                <w:lang w:eastAsia="en-AU"/>
              </w:rPr>
              <w:t xml:space="preserve">12 </w:t>
            </w:r>
            <w:proofErr w:type="gramStart"/>
            <w:r w:rsidRPr="008B6783">
              <w:rPr>
                <w:rFonts w:ascii="Arial" w:eastAsia="Times New Roman" w:hAnsi="Arial" w:cs="Arial"/>
                <w:b/>
                <w:bCs/>
                <w:lang w:eastAsia="en-AU"/>
              </w:rPr>
              <w:t>month</w:t>
            </w:r>
            <w:proofErr w:type="gramEnd"/>
          </w:p>
          <w:p w14:paraId="4BB50002" w14:textId="1B3836BA" w:rsidR="00D209A9" w:rsidRPr="008B6783" w:rsidRDefault="00824115" w:rsidP="00003672">
            <w:pPr>
              <w:spacing w:before="0"/>
              <w:rPr>
                <w:rFonts w:ascii="Arial" w:eastAsia="Times New Roman" w:hAnsi="Arial" w:cs="Arial"/>
                <w:b/>
                <w:bCs/>
                <w:i/>
                <w:iCs/>
                <w:lang w:eastAsia="en-AU"/>
              </w:rPr>
            </w:pPr>
            <w:r w:rsidRPr="008B6783">
              <w:rPr>
                <w:rFonts w:ascii="Arial" w:eastAsia="Times New Roman" w:hAnsi="Arial" w:cs="Arial"/>
                <w:b/>
                <w:bCs/>
                <w:i/>
                <w:iCs/>
                <w:lang w:eastAsia="en-AU"/>
              </w:rPr>
              <w:t>n</w:t>
            </w:r>
            <w:r w:rsidR="00D209A9" w:rsidRPr="008B6783">
              <w:rPr>
                <w:rFonts w:ascii="Arial" w:eastAsia="Times New Roman" w:hAnsi="Arial" w:cs="Arial"/>
                <w:b/>
                <w:bCs/>
                <w:i/>
                <w:iCs/>
                <w:lang w:eastAsia="en-AU"/>
              </w:rPr>
              <w:t xml:space="preserve"> = 67</w:t>
            </w:r>
          </w:p>
        </w:tc>
      </w:tr>
      <w:tr w:rsidR="00940907" w:rsidRPr="000F778E" w14:paraId="0FEC6549" w14:textId="77777777" w:rsidTr="008B6783">
        <w:trPr>
          <w:trHeight w:val="300"/>
        </w:trPr>
        <w:tc>
          <w:tcPr>
            <w:tcW w:w="2228" w:type="dxa"/>
            <w:noWrap/>
            <w:hideMark/>
          </w:tcPr>
          <w:p w14:paraId="739386E4"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Low</w:t>
            </w:r>
          </w:p>
        </w:tc>
        <w:tc>
          <w:tcPr>
            <w:tcW w:w="2729" w:type="dxa"/>
            <w:noWrap/>
            <w:hideMark/>
          </w:tcPr>
          <w:p w14:paraId="7DAAC266"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13%</w:t>
            </w:r>
          </w:p>
        </w:tc>
        <w:tc>
          <w:tcPr>
            <w:tcW w:w="1842" w:type="dxa"/>
            <w:noWrap/>
            <w:hideMark/>
          </w:tcPr>
          <w:p w14:paraId="1AF0C0B6"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15%</w:t>
            </w:r>
          </w:p>
        </w:tc>
        <w:tc>
          <w:tcPr>
            <w:tcW w:w="1843" w:type="dxa"/>
            <w:noWrap/>
            <w:hideMark/>
          </w:tcPr>
          <w:p w14:paraId="211DD11F"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10%</w:t>
            </w:r>
          </w:p>
        </w:tc>
      </w:tr>
      <w:tr w:rsidR="00940907" w:rsidRPr="000F778E" w14:paraId="6E7E2C84" w14:textId="77777777" w:rsidTr="008B6783">
        <w:trPr>
          <w:trHeight w:val="300"/>
        </w:trPr>
        <w:tc>
          <w:tcPr>
            <w:tcW w:w="2228" w:type="dxa"/>
            <w:noWrap/>
            <w:hideMark/>
          </w:tcPr>
          <w:p w14:paraId="7AF65EE2"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Medium</w:t>
            </w:r>
          </w:p>
        </w:tc>
        <w:tc>
          <w:tcPr>
            <w:tcW w:w="2729" w:type="dxa"/>
            <w:noWrap/>
            <w:hideMark/>
          </w:tcPr>
          <w:p w14:paraId="58A2FB3D"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40%</w:t>
            </w:r>
          </w:p>
        </w:tc>
        <w:tc>
          <w:tcPr>
            <w:tcW w:w="1842" w:type="dxa"/>
            <w:noWrap/>
            <w:hideMark/>
          </w:tcPr>
          <w:p w14:paraId="7F8D25CD"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32%</w:t>
            </w:r>
          </w:p>
        </w:tc>
        <w:tc>
          <w:tcPr>
            <w:tcW w:w="1843" w:type="dxa"/>
            <w:noWrap/>
            <w:hideMark/>
          </w:tcPr>
          <w:p w14:paraId="64F03716"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49%</w:t>
            </w:r>
          </w:p>
        </w:tc>
      </w:tr>
      <w:tr w:rsidR="00940907" w:rsidRPr="000F778E" w14:paraId="413295E6" w14:textId="77777777" w:rsidTr="008B6783">
        <w:trPr>
          <w:trHeight w:val="300"/>
        </w:trPr>
        <w:tc>
          <w:tcPr>
            <w:tcW w:w="2228" w:type="dxa"/>
            <w:noWrap/>
            <w:hideMark/>
          </w:tcPr>
          <w:p w14:paraId="797EC8DF"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High</w:t>
            </w:r>
          </w:p>
        </w:tc>
        <w:tc>
          <w:tcPr>
            <w:tcW w:w="2729" w:type="dxa"/>
            <w:noWrap/>
            <w:hideMark/>
          </w:tcPr>
          <w:p w14:paraId="0FED1C35"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46%</w:t>
            </w:r>
          </w:p>
        </w:tc>
        <w:tc>
          <w:tcPr>
            <w:tcW w:w="1842" w:type="dxa"/>
            <w:noWrap/>
            <w:hideMark/>
          </w:tcPr>
          <w:p w14:paraId="165FE736"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53%</w:t>
            </w:r>
          </w:p>
        </w:tc>
        <w:tc>
          <w:tcPr>
            <w:tcW w:w="1843" w:type="dxa"/>
            <w:noWrap/>
            <w:hideMark/>
          </w:tcPr>
          <w:p w14:paraId="7835C0CE" w14:textId="77777777" w:rsidR="00D209A9" w:rsidRPr="000F778E" w:rsidRDefault="00D209A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40%</w:t>
            </w:r>
          </w:p>
        </w:tc>
      </w:tr>
      <w:tr w:rsidR="00940907" w:rsidRPr="002B0E8E" w14:paraId="25F2000B" w14:textId="77777777" w:rsidTr="008B6783">
        <w:trPr>
          <w:trHeight w:val="300"/>
        </w:trPr>
        <w:tc>
          <w:tcPr>
            <w:tcW w:w="2228" w:type="dxa"/>
            <w:shd w:val="clear" w:color="auto" w:fill="F2F2F2" w:themeFill="background1" w:themeFillShade="F2"/>
            <w:noWrap/>
            <w:hideMark/>
          </w:tcPr>
          <w:p w14:paraId="6D07A381" w14:textId="77777777" w:rsidR="00824115" w:rsidRPr="008B6783" w:rsidRDefault="00824115" w:rsidP="00003672">
            <w:pPr>
              <w:spacing w:before="0"/>
              <w:rPr>
                <w:rFonts w:ascii="Arial" w:eastAsia="Times New Roman" w:hAnsi="Arial" w:cs="Arial"/>
                <w:b/>
                <w:bCs/>
                <w:lang w:eastAsia="en-AU"/>
              </w:rPr>
            </w:pPr>
            <w:r w:rsidRPr="008B6783">
              <w:rPr>
                <w:rFonts w:ascii="Arial" w:eastAsia="Times New Roman" w:hAnsi="Arial" w:cs="Arial"/>
                <w:b/>
                <w:bCs/>
                <w:lang w:eastAsia="en-AU"/>
              </w:rPr>
              <w:t>Comprehensive</w:t>
            </w:r>
          </w:p>
        </w:tc>
        <w:tc>
          <w:tcPr>
            <w:tcW w:w="2729" w:type="dxa"/>
            <w:shd w:val="clear" w:color="auto" w:fill="F2F2F2" w:themeFill="background1" w:themeFillShade="F2"/>
            <w:noWrap/>
            <w:hideMark/>
          </w:tcPr>
          <w:p w14:paraId="5918737D" w14:textId="77777777" w:rsidR="00824115" w:rsidRPr="008B6783" w:rsidRDefault="00824115" w:rsidP="00003672">
            <w:pPr>
              <w:spacing w:before="0"/>
              <w:rPr>
                <w:rFonts w:ascii="Arial" w:eastAsia="Times New Roman" w:hAnsi="Arial" w:cs="Arial"/>
                <w:b/>
                <w:bCs/>
                <w:lang w:eastAsia="en-AU"/>
              </w:rPr>
            </w:pPr>
            <w:r w:rsidRPr="008B6783">
              <w:rPr>
                <w:rFonts w:ascii="Arial" w:eastAsia="Times New Roman" w:hAnsi="Arial" w:cs="Arial"/>
                <w:b/>
                <w:bCs/>
                <w:lang w:eastAsia="en-AU"/>
              </w:rPr>
              <w:t>Baseline (0 month)</w:t>
            </w:r>
          </w:p>
          <w:p w14:paraId="1A136458" w14:textId="2C3C5255" w:rsidR="00824115" w:rsidRPr="008B6783" w:rsidRDefault="00824115" w:rsidP="00003672">
            <w:pPr>
              <w:spacing w:before="0"/>
              <w:rPr>
                <w:rFonts w:ascii="Arial" w:eastAsia="Times New Roman" w:hAnsi="Arial" w:cs="Arial"/>
                <w:b/>
                <w:bCs/>
                <w:i/>
                <w:iCs/>
                <w:lang w:eastAsia="en-AU"/>
              </w:rPr>
            </w:pPr>
            <w:r w:rsidRPr="008B6783">
              <w:rPr>
                <w:rFonts w:ascii="Arial" w:eastAsia="Times New Roman" w:hAnsi="Arial" w:cs="Arial"/>
                <w:b/>
                <w:bCs/>
                <w:i/>
                <w:iCs/>
                <w:lang w:eastAsia="en-AU"/>
              </w:rPr>
              <w:t>n</w:t>
            </w:r>
            <w:r w:rsidR="00B84C75">
              <w:rPr>
                <w:rFonts w:ascii="Arial" w:eastAsia="Times New Roman" w:hAnsi="Arial" w:cs="Arial"/>
                <w:b/>
                <w:bCs/>
                <w:i/>
                <w:iCs/>
                <w:lang w:eastAsia="en-AU"/>
              </w:rPr>
              <w:t xml:space="preserve"> </w:t>
            </w:r>
            <w:r w:rsidRPr="008B6783">
              <w:rPr>
                <w:rFonts w:ascii="Arial" w:eastAsia="Times New Roman" w:hAnsi="Arial" w:cs="Arial"/>
                <w:b/>
                <w:bCs/>
                <w:i/>
                <w:iCs/>
                <w:lang w:eastAsia="en-AU"/>
              </w:rPr>
              <w:t>= 199</w:t>
            </w:r>
          </w:p>
        </w:tc>
        <w:tc>
          <w:tcPr>
            <w:tcW w:w="1842" w:type="dxa"/>
            <w:shd w:val="clear" w:color="auto" w:fill="F2F2F2" w:themeFill="background1" w:themeFillShade="F2"/>
            <w:noWrap/>
            <w:hideMark/>
          </w:tcPr>
          <w:p w14:paraId="7699C964" w14:textId="13FBE78F" w:rsidR="00940907" w:rsidRPr="008B6783" w:rsidRDefault="00824115" w:rsidP="00003672">
            <w:pPr>
              <w:spacing w:before="0"/>
              <w:rPr>
                <w:rFonts w:ascii="Arial" w:eastAsia="Times New Roman" w:hAnsi="Arial" w:cs="Arial"/>
                <w:b/>
                <w:bCs/>
                <w:lang w:eastAsia="en-AU"/>
              </w:rPr>
            </w:pPr>
            <w:r w:rsidRPr="008B6783">
              <w:rPr>
                <w:rFonts w:ascii="Arial" w:eastAsia="Times New Roman" w:hAnsi="Arial" w:cs="Arial"/>
                <w:b/>
                <w:bCs/>
                <w:lang w:eastAsia="en-AU"/>
              </w:rPr>
              <w:t xml:space="preserve">6 </w:t>
            </w:r>
            <w:proofErr w:type="gramStart"/>
            <w:r w:rsidRPr="008B6783">
              <w:rPr>
                <w:rFonts w:ascii="Arial" w:eastAsia="Times New Roman" w:hAnsi="Arial" w:cs="Arial"/>
                <w:b/>
                <w:bCs/>
                <w:lang w:eastAsia="en-AU"/>
              </w:rPr>
              <w:t>month</w:t>
            </w:r>
            <w:proofErr w:type="gramEnd"/>
            <w:r w:rsidRPr="008B6783">
              <w:rPr>
                <w:rFonts w:ascii="Arial" w:eastAsia="Times New Roman" w:hAnsi="Arial" w:cs="Arial"/>
                <w:b/>
                <w:bCs/>
                <w:lang w:eastAsia="en-AU"/>
              </w:rPr>
              <w:t xml:space="preserve"> </w:t>
            </w:r>
          </w:p>
          <w:p w14:paraId="3397E751" w14:textId="36A6B345" w:rsidR="00824115" w:rsidRPr="008B6783" w:rsidRDefault="00824115" w:rsidP="00003672">
            <w:pPr>
              <w:spacing w:before="0"/>
              <w:rPr>
                <w:rFonts w:ascii="Arial" w:eastAsia="Times New Roman" w:hAnsi="Arial" w:cs="Arial"/>
                <w:b/>
                <w:bCs/>
                <w:i/>
                <w:iCs/>
                <w:lang w:eastAsia="en-AU"/>
              </w:rPr>
            </w:pPr>
            <w:r w:rsidRPr="008B6783">
              <w:rPr>
                <w:rFonts w:ascii="Arial" w:eastAsia="Times New Roman" w:hAnsi="Arial" w:cs="Arial"/>
                <w:b/>
                <w:bCs/>
                <w:i/>
                <w:iCs/>
                <w:lang w:eastAsia="en-AU"/>
              </w:rPr>
              <w:t>n</w:t>
            </w:r>
            <w:r w:rsidR="00B84C75">
              <w:rPr>
                <w:rFonts w:ascii="Arial" w:eastAsia="Times New Roman" w:hAnsi="Arial" w:cs="Arial"/>
                <w:b/>
                <w:bCs/>
                <w:i/>
                <w:iCs/>
                <w:lang w:eastAsia="en-AU"/>
              </w:rPr>
              <w:t xml:space="preserve"> </w:t>
            </w:r>
            <w:r w:rsidRPr="008B6783">
              <w:rPr>
                <w:rFonts w:ascii="Arial" w:eastAsia="Times New Roman" w:hAnsi="Arial" w:cs="Arial"/>
                <w:b/>
                <w:bCs/>
                <w:i/>
                <w:iCs/>
                <w:lang w:eastAsia="en-AU"/>
              </w:rPr>
              <w:t>= 107</w:t>
            </w:r>
          </w:p>
        </w:tc>
        <w:tc>
          <w:tcPr>
            <w:tcW w:w="1843" w:type="dxa"/>
            <w:shd w:val="clear" w:color="auto" w:fill="F2F2F2" w:themeFill="background1" w:themeFillShade="F2"/>
            <w:noWrap/>
            <w:hideMark/>
          </w:tcPr>
          <w:p w14:paraId="4631F206" w14:textId="44F6DDD8" w:rsidR="00940907" w:rsidRDefault="00824115" w:rsidP="00003672">
            <w:pPr>
              <w:spacing w:before="0"/>
              <w:rPr>
                <w:rFonts w:ascii="Arial" w:eastAsia="Times New Roman" w:hAnsi="Arial" w:cs="Arial"/>
                <w:b/>
                <w:bCs/>
                <w:i/>
                <w:iCs/>
                <w:lang w:eastAsia="en-AU"/>
              </w:rPr>
            </w:pPr>
            <w:r w:rsidRPr="008B6783">
              <w:rPr>
                <w:rFonts w:ascii="Arial" w:eastAsia="Times New Roman" w:hAnsi="Arial" w:cs="Arial"/>
                <w:b/>
                <w:bCs/>
                <w:lang w:eastAsia="en-AU"/>
              </w:rPr>
              <w:t xml:space="preserve">12 </w:t>
            </w:r>
            <w:proofErr w:type="gramStart"/>
            <w:r w:rsidRPr="008B6783">
              <w:rPr>
                <w:rFonts w:ascii="Arial" w:eastAsia="Times New Roman" w:hAnsi="Arial" w:cs="Arial"/>
                <w:b/>
                <w:bCs/>
                <w:lang w:eastAsia="en-AU"/>
              </w:rPr>
              <w:t>month</w:t>
            </w:r>
            <w:proofErr w:type="gramEnd"/>
            <w:r w:rsidR="00940907">
              <w:rPr>
                <w:rFonts w:ascii="Arial" w:eastAsia="Times New Roman" w:hAnsi="Arial" w:cs="Arial"/>
                <w:b/>
                <w:bCs/>
                <w:i/>
                <w:iCs/>
                <w:lang w:eastAsia="en-AU"/>
              </w:rPr>
              <w:t xml:space="preserve"> </w:t>
            </w:r>
          </w:p>
          <w:p w14:paraId="281E1AAC" w14:textId="0C842FFF" w:rsidR="00824115" w:rsidRPr="008B6783" w:rsidRDefault="00824115" w:rsidP="00003672">
            <w:pPr>
              <w:spacing w:before="0"/>
              <w:rPr>
                <w:rFonts w:ascii="Arial" w:eastAsia="Times New Roman" w:hAnsi="Arial" w:cs="Arial"/>
                <w:b/>
                <w:bCs/>
                <w:i/>
                <w:iCs/>
                <w:lang w:eastAsia="en-AU"/>
              </w:rPr>
            </w:pPr>
            <w:r w:rsidRPr="008B6783">
              <w:rPr>
                <w:rFonts w:ascii="Arial" w:eastAsia="Times New Roman" w:hAnsi="Arial" w:cs="Arial"/>
                <w:b/>
                <w:bCs/>
                <w:i/>
                <w:iCs/>
                <w:lang w:eastAsia="en-AU"/>
              </w:rPr>
              <w:t>n = 66</w:t>
            </w:r>
          </w:p>
        </w:tc>
      </w:tr>
      <w:tr w:rsidR="00940907" w:rsidRPr="000F778E" w14:paraId="49DE1AAC" w14:textId="77777777" w:rsidTr="008B6783">
        <w:trPr>
          <w:trHeight w:val="300"/>
        </w:trPr>
        <w:tc>
          <w:tcPr>
            <w:tcW w:w="2228" w:type="dxa"/>
            <w:noWrap/>
            <w:hideMark/>
          </w:tcPr>
          <w:p w14:paraId="4FF86B61"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Low</w:t>
            </w:r>
          </w:p>
        </w:tc>
        <w:tc>
          <w:tcPr>
            <w:tcW w:w="2729" w:type="dxa"/>
            <w:noWrap/>
            <w:hideMark/>
          </w:tcPr>
          <w:p w14:paraId="083C49B9"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91%</w:t>
            </w:r>
          </w:p>
        </w:tc>
        <w:tc>
          <w:tcPr>
            <w:tcW w:w="1842" w:type="dxa"/>
            <w:noWrap/>
            <w:hideMark/>
          </w:tcPr>
          <w:p w14:paraId="0BE4FDC0"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92%</w:t>
            </w:r>
          </w:p>
        </w:tc>
        <w:tc>
          <w:tcPr>
            <w:tcW w:w="1843" w:type="dxa"/>
            <w:noWrap/>
            <w:hideMark/>
          </w:tcPr>
          <w:p w14:paraId="6AE7636C"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89%</w:t>
            </w:r>
          </w:p>
        </w:tc>
      </w:tr>
      <w:tr w:rsidR="00940907" w:rsidRPr="000F778E" w14:paraId="1AEA711F" w14:textId="77777777" w:rsidTr="008B6783">
        <w:trPr>
          <w:trHeight w:val="300"/>
        </w:trPr>
        <w:tc>
          <w:tcPr>
            <w:tcW w:w="2228" w:type="dxa"/>
            <w:noWrap/>
            <w:hideMark/>
          </w:tcPr>
          <w:p w14:paraId="68B21CD0"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Medium</w:t>
            </w:r>
          </w:p>
        </w:tc>
        <w:tc>
          <w:tcPr>
            <w:tcW w:w="2729" w:type="dxa"/>
            <w:noWrap/>
            <w:hideMark/>
          </w:tcPr>
          <w:p w14:paraId="140839B9"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5%</w:t>
            </w:r>
          </w:p>
        </w:tc>
        <w:tc>
          <w:tcPr>
            <w:tcW w:w="1842" w:type="dxa"/>
            <w:noWrap/>
            <w:hideMark/>
          </w:tcPr>
          <w:p w14:paraId="1A9B1FBD"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7%</w:t>
            </w:r>
          </w:p>
        </w:tc>
        <w:tc>
          <w:tcPr>
            <w:tcW w:w="1843" w:type="dxa"/>
            <w:noWrap/>
            <w:hideMark/>
          </w:tcPr>
          <w:p w14:paraId="4C1D4B9C"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6%</w:t>
            </w:r>
          </w:p>
        </w:tc>
      </w:tr>
      <w:tr w:rsidR="00940907" w:rsidRPr="000F778E" w14:paraId="26F761C3" w14:textId="77777777" w:rsidTr="008B6783">
        <w:trPr>
          <w:trHeight w:val="300"/>
        </w:trPr>
        <w:tc>
          <w:tcPr>
            <w:tcW w:w="2228" w:type="dxa"/>
            <w:noWrap/>
            <w:hideMark/>
          </w:tcPr>
          <w:p w14:paraId="2F0276BF"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High</w:t>
            </w:r>
          </w:p>
        </w:tc>
        <w:tc>
          <w:tcPr>
            <w:tcW w:w="2729" w:type="dxa"/>
            <w:noWrap/>
            <w:hideMark/>
          </w:tcPr>
          <w:p w14:paraId="0C9257FA"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3%</w:t>
            </w:r>
          </w:p>
        </w:tc>
        <w:tc>
          <w:tcPr>
            <w:tcW w:w="1842" w:type="dxa"/>
            <w:noWrap/>
            <w:hideMark/>
          </w:tcPr>
          <w:p w14:paraId="6545DC72"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2%</w:t>
            </w:r>
          </w:p>
        </w:tc>
        <w:tc>
          <w:tcPr>
            <w:tcW w:w="1843" w:type="dxa"/>
            <w:noWrap/>
            <w:hideMark/>
          </w:tcPr>
          <w:p w14:paraId="4426FE52" w14:textId="77777777" w:rsidR="00824115" w:rsidRPr="000F778E" w:rsidRDefault="00824115"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5%</w:t>
            </w:r>
          </w:p>
        </w:tc>
      </w:tr>
    </w:tbl>
    <w:p w14:paraId="26C28192" w14:textId="6A18524A" w:rsidR="00350CAE" w:rsidRPr="000F778E" w:rsidRDefault="00F4294D" w:rsidP="00EC65C2">
      <w:pPr>
        <w:spacing w:before="160" w:line="240" w:lineRule="auto"/>
        <w:rPr>
          <w:rFonts w:ascii="Arial" w:hAnsi="Arial" w:cs="Arial"/>
          <w:b/>
          <w:bCs/>
        </w:rPr>
      </w:pPr>
      <w:r w:rsidRPr="000F778E">
        <w:rPr>
          <w:rFonts w:ascii="Arial" w:hAnsi="Arial" w:cs="Arial"/>
          <w:b/>
          <w:bCs/>
        </w:rPr>
        <w:t>Risk rating changes</w:t>
      </w:r>
    </w:p>
    <w:p w14:paraId="3D80580B" w14:textId="5A57EA34" w:rsidR="00826D3A" w:rsidRPr="000F778E" w:rsidRDefault="00F4294D" w:rsidP="00EC65C2">
      <w:pPr>
        <w:spacing w:before="160" w:line="240" w:lineRule="auto"/>
        <w:rPr>
          <w:rFonts w:ascii="Arial" w:hAnsi="Arial" w:cs="Arial"/>
        </w:rPr>
      </w:pPr>
      <w:r w:rsidRPr="000F778E">
        <w:rPr>
          <w:rFonts w:ascii="Arial" w:hAnsi="Arial" w:cs="Arial"/>
        </w:rPr>
        <w:t xml:space="preserve">Change in risk identification occurred in 12 instances in the Brief </w:t>
      </w:r>
      <w:r w:rsidR="0054075B" w:rsidRPr="000F778E">
        <w:rPr>
          <w:rFonts w:ascii="Arial" w:hAnsi="Arial" w:cs="Arial"/>
        </w:rPr>
        <w:t>CVD Risk Assessment</w:t>
      </w:r>
      <w:r w:rsidRPr="000F778E">
        <w:rPr>
          <w:rFonts w:ascii="Arial" w:hAnsi="Arial" w:cs="Arial"/>
        </w:rPr>
        <w:t xml:space="preserve"> arm and 10 instances in the Comprehensive </w:t>
      </w:r>
      <w:r w:rsidR="0054075B" w:rsidRPr="000F778E">
        <w:rPr>
          <w:rFonts w:ascii="Arial" w:hAnsi="Arial" w:cs="Arial"/>
        </w:rPr>
        <w:t>CVD Risk Assessment</w:t>
      </w:r>
      <w:r w:rsidRPr="000F778E">
        <w:rPr>
          <w:rFonts w:ascii="Arial" w:hAnsi="Arial" w:cs="Arial"/>
        </w:rPr>
        <w:t xml:space="preserve"> arm.</w:t>
      </w:r>
    </w:p>
    <w:p w14:paraId="757EE205" w14:textId="79C0B171" w:rsidR="00F4294D" w:rsidRPr="000F778E" w:rsidRDefault="00F4294D" w:rsidP="00EC65C2">
      <w:pPr>
        <w:pStyle w:val="Instructionaltext"/>
        <w:spacing w:before="160" w:line="240" w:lineRule="auto"/>
        <w:rPr>
          <w:rFonts w:ascii="Arial" w:hAnsi="Arial" w:cs="Arial"/>
          <w:color w:val="auto"/>
        </w:rPr>
      </w:pPr>
      <w:r w:rsidRPr="000F778E">
        <w:rPr>
          <w:rFonts w:ascii="Arial" w:hAnsi="Arial" w:cs="Arial"/>
          <w:color w:val="auto"/>
        </w:rPr>
        <w:t xml:space="preserve">Whilst the Brief </w:t>
      </w:r>
      <w:r w:rsidR="0054075B" w:rsidRPr="000F778E">
        <w:rPr>
          <w:rFonts w:ascii="Arial" w:hAnsi="Arial" w:cs="Arial"/>
          <w:color w:val="auto"/>
        </w:rPr>
        <w:t>CVD Risk Assessment</w:t>
      </w:r>
      <w:r w:rsidRPr="000F778E">
        <w:rPr>
          <w:rFonts w:ascii="Arial" w:hAnsi="Arial" w:cs="Arial"/>
          <w:color w:val="auto"/>
        </w:rPr>
        <w:t xml:space="preserve"> is less time-consuming and less invasive than the Comprehensive </w:t>
      </w:r>
      <w:r w:rsidR="0054075B" w:rsidRPr="000F778E">
        <w:rPr>
          <w:rFonts w:ascii="Arial" w:hAnsi="Arial" w:cs="Arial"/>
          <w:color w:val="auto"/>
        </w:rPr>
        <w:t xml:space="preserve">CVD Risk Assessment </w:t>
      </w:r>
      <w:r w:rsidRPr="000F778E">
        <w:rPr>
          <w:rFonts w:ascii="Arial" w:hAnsi="Arial" w:cs="Arial"/>
          <w:color w:val="auto"/>
        </w:rPr>
        <w:t xml:space="preserve">the Project Control Group has recognised the expected higher percentage of participants identified as being at medium or high risk of CVD in the Brief </w:t>
      </w:r>
      <w:r w:rsidR="0054075B" w:rsidRPr="000F778E">
        <w:rPr>
          <w:rFonts w:ascii="Arial" w:hAnsi="Arial" w:cs="Arial"/>
          <w:color w:val="auto"/>
        </w:rPr>
        <w:t xml:space="preserve">CVD Risk Assessment </w:t>
      </w:r>
      <w:r w:rsidRPr="000F778E">
        <w:rPr>
          <w:rFonts w:ascii="Arial" w:hAnsi="Arial" w:cs="Arial"/>
          <w:color w:val="auto"/>
        </w:rPr>
        <w:t>arm due to the non-modifiable factors assessed by the AUSDRISK tool.</w:t>
      </w:r>
    </w:p>
    <w:p w14:paraId="3DAE51EB" w14:textId="59458B47" w:rsidR="00F12469" w:rsidRDefault="00F12469">
      <w:pPr>
        <w:spacing w:before="0"/>
        <w:rPr>
          <w:rFonts w:ascii="Arial" w:hAnsi="Arial" w:cs="Arial"/>
        </w:rPr>
      </w:pPr>
      <w:r>
        <w:rPr>
          <w:rFonts w:ascii="Arial" w:hAnsi="Arial" w:cs="Arial"/>
        </w:rPr>
        <w:br w:type="page"/>
      </w:r>
    </w:p>
    <w:p w14:paraId="142A6396" w14:textId="7A5586E7" w:rsidR="008230ED" w:rsidRPr="00A14753" w:rsidRDefault="00962095" w:rsidP="008B6783">
      <w:pPr>
        <w:pStyle w:val="Heading3"/>
        <w:spacing w:before="0" w:after="0"/>
      </w:pPr>
      <w:bookmarkStart w:id="52" w:name="_Toc137535762"/>
      <w:r w:rsidRPr="008B6783">
        <w:rPr>
          <w:rFonts w:ascii="Arial Narrow" w:hAnsi="Arial Narrow"/>
          <w:b/>
          <w:bCs/>
          <w:sz w:val="20"/>
          <w:szCs w:val="20"/>
        </w:rPr>
        <w:lastRenderedPageBreak/>
        <w:t xml:space="preserve">Table </w:t>
      </w:r>
      <w:r w:rsidR="00586473" w:rsidRPr="008B6783">
        <w:rPr>
          <w:rFonts w:ascii="Arial Narrow" w:hAnsi="Arial Narrow"/>
          <w:b/>
          <w:bCs/>
          <w:sz w:val="20"/>
          <w:szCs w:val="20"/>
        </w:rPr>
        <w:t>12: Risk rating change</w:t>
      </w:r>
      <w:bookmarkEnd w:id="52"/>
    </w:p>
    <w:tbl>
      <w:tblPr>
        <w:tblStyle w:val="TableGridLight1"/>
        <w:tblW w:w="8525" w:type="dxa"/>
        <w:tblLook w:val="04A0" w:firstRow="1" w:lastRow="0" w:firstColumn="1" w:lastColumn="0" w:noHBand="0" w:noVBand="1"/>
      </w:tblPr>
      <w:tblGrid>
        <w:gridCol w:w="5665"/>
        <w:gridCol w:w="993"/>
        <w:gridCol w:w="1867"/>
      </w:tblGrid>
      <w:tr w:rsidR="002B0E8E" w:rsidRPr="002B0E8E" w14:paraId="6F7385B3" w14:textId="77777777" w:rsidTr="00EC65C2">
        <w:trPr>
          <w:cnfStyle w:val="100000000000" w:firstRow="1" w:lastRow="0" w:firstColumn="0" w:lastColumn="0" w:oddVBand="0" w:evenVBand="0" w:oddHBand="0" w:evenHBand="0" w:firstRowFirstColumn="0" w:firstRowLastColumn="0" w:lastRowFirstColumn="0" w:lastRowLastColumn="0"/>
          <w:trHeight w:val="300"/>
        </w:trPr>
        <w:tc>
          <w:tcPr>
            <w:tcW w:w="5665" w:type="dxa"/>
            <w:noWrap/>
            <w:hideMark/>
          </w:tcPr>
          <w:p w14:paraId="46187423" w14:textId="77777777" w:rsidR="00720C49" w:rsidRPr="008B6783" w:rsidRDefault="00720C49" w:rsidP="00003672">
            <w:pPr>
              <w:spacing w:before="0"/>
              <w:rPr>
                <w:rFonts w:ascii="Arial" w:eastAsia="Times New Roman" w:hAnsi="Arial" w:cs="Arial"/>
                <w:b/>
                <w:bCs/>
                <w:lang w:eastAsia="en-AU"/>
              </w:rPr>
            </w:pPr>
            <w:r w:rsidRPr="008B6783">
              <w:rPr>
                <w:rFonts w:ascii="Arial" w:eastAsia="Times New Roman" w:hAnsi="Arial" w:cs="Arial"/>
                <w:b/>
                <w:bCs/>
                <w:lang w:eastAsia="en-AU"/>
              </w:rPr>
              <w:t>Change</w:t>
            </w:r>
          </w:p>
        </w:tc>
        <w:tc>
          <w:tcPr>
            <w:tcW w:w="993" w:type="dxa"/>
            <w:noWrap/>
            <w:hideMark/>
          </w:tcPr>
          <w:p w14:paraId="332C29D3" w14:textId="6405982F" w:rsidR="00720C49" w:rsidRPr="008B6783" w:rsidRDefault="00720C49" w:rsidP="00003672">
            <w:pPr>
              <w:spacing w:before="0"/>
              <w:rPr>
                <w:rFonts w:ascii="Arial" w:eastAsia="Times New Roman" w:hAnsi="Arial" w:cs="Arial"/>
                <w:b/>
                <w:bCs/>
                <w:lang w:eastAsia="en-AU"/>
              </w:rPr>
            </w:pPr>
            <w:r w:rsidRPr="008B6783">
              <w:rPr>
                <w:rFonts w:ascii="Arial" w:eastAsia="Times New Roman" w:hAnsi="Arial" w:cs="Arial"/>
                <w:b/>
                <w:bCs/>
                <w:lang w:eastAsia="en-AU"/>
              </w:rPr>
              <w:t>Brief</w:t>
            </w:r>
            <w:r w:rsidR="00A85BF7">
              <w:rPr>
                <w:rFonts w:ascii="Arial" w:eastAsia="Times New Roman" w:hAnsi="Arial" w:cs="Arial"/>
                <w:b/>
                <w:bCs/>
                <w:lang w:eastAsia="en-AU"/>
              </w:rPr>
              <w:t xml:space="preserve"> </w:t>
            </w:r>
          </w:p>
        </w:tc>
        <w:tc>
          <w:tcPr>
            <w:tcW w:w="1867" w:type="dxa"/>
            <w:noWrap/>
            <w:hideMark/>
          </w:tcPr>
          <w:p w14:paraId="404D4597" w14:textId="77777777" w:rsidR="00720C49" w:rsidRPr="008B6783" w:rsidRDefault="00720C49" w:rsidP="00003672">
            <w:pPr>
              <w:spacing w:before="0"/>
              <w:rPr>
                <w:rFonts w:ascii="Arial" w:eastAsia="Times New Roman" w:hAnsi="Arial" w:cs="Arial"/>
                <w:b/>
                <w:bCs/>
                <w:lang w:eastAsia="en-AU"/>
              </w:rPr>
            </w:pPr>
            <w:r w:rsidRPr="008B6783">
              <w:rPr>
                <w:rFonts w:ascii="Arial" w:eastAsia="Times New Roman" w:hAnsi="Arial" w:cs="Arial"/>
                <w:b/>
                <w:bCs/>
                <w:lang w:eastAsia="en-AU"/>
              </w:rPr>
              <w:t>Comprehensive</w:t>
            </w:r>
          </w:p>
        </w:tc>
      </w:tr>
      <w:tr w:rsidR="00720C49" w:rsidRPr="000F778E" w14:paraId="64677F47" w14:textId="77777777" w:rsidTr="00EC65C2">
        <w:trPr>
          <w:trHeight w:val="300"/>
        </w:trPr>
        <w:tc>
          <w:tcPr>
            <w:tcW w:w="5665" w:type="dxa"/>
            <w:noWrap/>
            <w:hideMark/>
          </w:tcPr>
          <w:p w14:paraId="3DDD07AF" w14:textId="77777777" w:rsidR="00720C49" w:rsidRPr="000F778E" w:rsidRDefault="00720C49" w:rsidP="00003672">
            <w:pPr>
              <w:spacing w:before="0"/>
              <w:rPr>
                <w:rFonts w:ascii="Arial" w:eastAsia="Times New Roman" w:hAnsi="Arial" w:cs="Arial"/>
                <w:b/>
                <w:bCs/>
                <w:color w:val="000000"/>
                <w:lang w:eastAsia="en-AU"/>
              </w:rPr>
            </w:pPr>
            <w:r w:rsidRPr="000F778E">
              <w:rPr>
                <w:rFonts w:ascii="Arial" w:eastAsia="Times New Roman" w:hAnsi="Arial" w:cs="Arial"/>
                <w:b/>
                <w:bCs/>
                <w:color w:val="000000"/>
                <w:lang w:eastAsia="en-AU"/>
              </w:rPr>
              <w:t>Risk Rating Changes</w:t>
            </w:r>
          </w:p>
        </w:tc>
        <w:tc>
          <w:tcPr>
            <w:tcW w:w="993" w:type="dxa"/>
            <w:noWrap/>
            <w:hideMark/>
          </w:tcPr>
          <w:p w14:paraId="637C8E87" w14:textId="77777777" w:rsidR="00720C49" w:rsidRPr="000F778E" w:rsidRDefault="00720C49" w:rsidP="00003672">
            <w:pPr>
              <w:spacing w:before="0"/>
              <w:rPr>
                <w:rFonts w:ascii="Arial" w:eastAsia="Times New Roman" w:hAnsi="Arial" w:cs="Arial"/>
                <w:b/>
                <w:bCs/>
                <w:color w:val="000000"/>
                <w:lang w:eastAsia="en-AU"/>
              </w:rPr>
            </w:pPr>
          </w:p>
        </w:tc>
        <w:tc>
          <w:tcPr>
            <w:tcW w:w="1867" w:type="dxa"/>
            <w:noWrap/>
            <w:hideMark/>
          </w:tcPr>
          <w:p w14:paraId="3C74B599" w14:textId="77777777" w:rsidR="00720C49" w:rsidRPr="000F778E" w:rsidRDefault="00720C49" w:rsidP="00003672">
            <w:pPr>
              <w:spacing w:before="0"/>
              <w:rPr>
                <w:rFonts w:ascii="Arial" w:eastAsia="Times New Roman" w:hAnsi="Arial" w:cs="Arial"/>
                <w:sz w:val="20"/>
                <w:szCs w:val="20"/>
                <w:lang w:eastAsia="en-AU"/>
              </w:rPr>
            </w:pPr>
          </w:p>
        </w:tc>
      </w:tr>
      <w:tr w:rsidR="00720C49" w:rsidRPr="000F778E" w14:paraId="7B9A5FCB" w14:textId="77777777" w:rsidTr="00EC65C2">
        <w:trPr>
          <w:trHeight w:val="300"/>
        </w:trPr>
        <w:tc>
          <w:tcPr>
            <w:tcW w:w="5665" w:type="dxa"/>
            <w:noWrap/>
            <w:hideMark/>
          </w:tcPr>
          <w:p w14:paraId="718AB8AE" w14:textId="18B1B2C0"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 xml:space="preserve">Risk </w:t>
            </w:r>
            <w:proofErr w:type="gramStart"/>
            <w:r w:rsidRPr="000F778E">
              <w:rPr>
                <w:rFonts w:ascii="Arial" w:eastAsia="Times New Roman" w:hAnsi="Arial" w:cs="Arial"/>
                <w:color w:val="000000"/>
                <w:lang w:eastAsia="en-AU"/>
              </w:rPr>
              <w:t>increase</w:t>
            </w:r>
            <w:proofErr w:type="gramEnd"/>
            <w:r w:rsidRPr="000F778E">
              <w:rPr>
                <w:rFonts w:ascii="Arial" w:eastAsia="Times New Roman" w:hAnsi="Arial" w:cs="Arial"/>
                <w:color w:val="000000"/>
                <w:lang w:eastAsia="en-AU"/>
              </w:rPr>
              <w:t xml:space="preserve"> </w:t>
            </w:r>
            <w:r w:rsidR="00F4294D" w:rsidRPr="000F778E">
              <w:rPr>
                <w:rFonts w:ascii="Arial" w:eastAsia="Times New Roman" w:hAnsi="Arial" w:cs="Arial"/>
                <w:color w:val="000000"/>
                <w:lang w:eastAsia="en-AU"/>
              </w:rPr>
              <w:t>from Baseline to</w:t>
            </w:r>
            <w:r w:rsidRPr="000F778E">
              <w:rPr>
                <w:rFonts w:ascii="Arial" w:eastAsia="Times New Roman" w:hAnsi="Arial" w:cs="Arial"/>
                <w:color w:val="000000"/>
                <w:lang w:eastAsia="en-AU"/>
              </w:rPr>
              <w:t xml:space="preserve"> 6 months</w:t>
            </w:r>
          </w:p>
        </w:tc>
        <w:tc>
          <w:tcPr>
            <w:tcW w:w="993" w:type="dxa"/>
            <w:noWrap/>
            <w:hideMark/>
          </w:tcPr>
          <w:p w14:paraId="71DBEF02"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2</w:t>
            </w:r>
          </w:p>
        </w:tc>
        <w:tc>
          <w:tcPr>
            <w:tcW w:w="1867" w:type="dxa"/>
            <w:noWrap/>
            <w:hideMark/>
          </w:tcPr>
          <w:p w14:paraId="1D6D0D0D"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2</w:t>
            </w:r>
          </w:p>
        </w:tc>
      </w:tr>
      <w:tr w:rsidR="00720C49" w:rsidRPr="000F778E" w14:paraId="7F1FFAEF" w14:textId="77777777" w:rsidTr="00EC65C2">
        <w:trPr>
          <w:trHeight w:val="300"/>
        </w:trPr>
        <w:tc>
          <w:tcPr>
            <w:tcW w:w="5665" w:type="dxa"/>
            <w:noWrap/>
            <w:hideMark/>
          </w:tcPr>
          <w:p w14:paraId="6C59F82A" w14:textId="52A81C53"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 xml:space="preserve">Risk </w:t>
            </w:r>
            <w:proofErr w:type="gramStart"/>
            <w:r w:rsidRPr="000F778E">
              <w:rPr>
                <w:rFonts w:ascii="Arial" w:eastAsia="Times New Roman" w:hAnsi="Arial" w:cs="Arial"/>
                <w:color w:val="000000"/>
                <w:lang w:eastAsia="en-AU"/>
              </w:rPr>
              <w:t>increase</w:t>
            </w:r>
            <w:proofErr w:type="gramEnd"/>
            <w:r w:rsidRPr="000F778E">
              <w:rPr>
                <w:rFonts w:ascii="Arial" w:eastAsia="Times New Roman" w:hAnsi="Arial" w:cs="Arial"/>
                <w:color w:val="000000"/>
                <w:lang w:eastAsia="en-AU"/>
              </w:rPr>
              <w:t xml:space="preserve"> </w:t>
            </w:r>
            <w:r w:rsidR="00F4294D" w:rsidRPr="000F778E">
              <w:rPr>
                <w:rFonts w:ascii="Arial" w:eastAsia="Times New Roman" w:hAnsi="Arial" w:cs="Arial"/>
                <w:color w:val="000000"/>
                <w:lang w:eastAsia="en-AU"/>
              </w:rPr>
              <w:t>from Baseline to</w:t>
            </w:r>
            <w:r w:rsidRPr="000F778E">
              <w:rPr>
                <w:rFonts w:ascii="Arial" w:eastAsia="Times New Roman" w:hAnsi="Arial" w:cs="Arial"/>
                <w:color w:val="000000"/>
                <w:lang w:eastAsia="en-AU"/>
              </w:rPr>
              <w:t xml:space="preserve"> 12 months</w:t>
            </w:r>
          </w:p>
        </w:tc>
        <w:tc>
          <w:tcPr>
            <w:tcW w:w="993" w:type="dxa"/>
            <w:noWrap/>
            <w:hideMark/>
          </w:tcPr>
          <w:p w14:paraId="52924231"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5</w:t>
            </w:r>
          </w:p>
        </w:tc>
        <w:tc>
          <w:tcPr>
            <w:tcW w:w="1867" w:type="dxa"/>
            <w:noWrap/>
            <w:hideMark/>
          </w:tcPr>
          <w:p w14:paraId="50023109"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4</w:t>
            </w:r>
          </w:p>
        </w:tc>
      </w:tr>
      <w:tr w:rsidR="00720C49" w:rsidRPr="000F778E" w14:paraId="1FEC06FD" w14:textId="77777777" w:rsidTr="00EC65C2">
        <w:trPr>
          <w:trHeight w:val="300"/>
        </w:trPr>
        <w:tc>
          <w:tcPr>
            <w:tcW w:w="5665" w:type="dxa"/>
            <w:noWrap/>
            <w:hideMark/>
          </w:tcPr>
          <w:p w14:paraId="08EAACC5" w14:textId="6E322E39"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 xml:space="preserve">Risk </w:t>
            </w:r>
            <w:proofErr w:type="gramStart"/>
            <w:r w:rsidRPr="000F778E">
              <w:rPr>
                <w:rFonts w:ascii="Arial" w:eastAsia="Times New Roman" w:hAnsi="Arial" w:cs="Arial"/>
                <w:color w:val="000000"/>
                <w:lang w:eastAsia="en-AU"/>
              </w:rPr>
              <w:t>increase</w:t>
            </w:r>
            <w:proofErr w:type="gramEnd"/>
            <w:r w:rsidRPr="000F778E">
              <w:rPr>
                <w:rFonts w:ascii="Arial" w:eastAsia="Times New Roman" w:hAnsi="Arial" w:cs="Arial"/>
                <w:color w:val="000000"/>
                <w:lang w:eastAsia="en-AU"/>
              </w:rPr>
              <w:t xml:space="preserve"> </w:t>
            </w:r>
            <w:r w:rsidR="00F4294D" w:rsidRPr="000F778E">
              <w:rPr>
                <w:rFonts w:ascii="Arial" w:eastAsia="Times New Roman" w:hAnsi="Arial" w:cs="Arial"/>
                <w:color w:val="000000"/>
                <w:lang w:eastAsia="en-AU"/>
              </w:rPr>
              <w:t xml:space="preserve">from Baseline to </w:t>
            </w:r>
            <w:r w:rsidRPr="000F778E">
              <w:rPr>
                <w:rFonts w:ascii="Arial" w:eastAsia="Times New Roman" w:hAnsi="Arial" w:cs="Arial"/>
                <w:color w:val="000000"/>
                <w:lang w:eastAsia="en-AU"/>
              </w:rPr>
              <w:t>6 and 12 months</w:t>
            </w:r>
          </w:p>
        </w:tc>
        <w:tc>
          <w:tcPr>
            <w:tcW w:w="993" w:type="dxa"/>
            <w:noWrap/>
            <w:hideMark/>
          </w:tcPr>
          <w:p w14:paraId="2DF2C47B"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1</w:t>
            </w:r>
          </w:p>
        </w:tc>
        <w:tc>
          <w:tcPr>
            <w:tcW w:w="1867" w:type="dxa"/>
            <w:noWrap/>
            <w:hideMark/>
          </w:tcPr>
          <w:p w14:paraId="55685E07"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0</w:t>
            </w:r>
          </w:p>
        </w:tc>
      </w:tr>
      <w:tr w:rsidR="00720C49" w:rsidRPr="000F778E" w14:paraId="39094624" w14:textId="77777777" w:rsidTr="00EC65C2">
        <w:trPr>
          <w:trHeight w:val="300"/>
        </w:trPr>
        <w:tc>
          <w:tcPr>
            <w:tcW w:w="5665" w:type="dxa"/>
            <w:noWrap/>
            <w:hideMark/>
          </w:tcPr>
          <w:p w14:paraId="3CD4E696" w14:textId="68903CF3"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 xml:space="preserve">Risk </w:t>
            </w:r>
            <w:proofErr w:type="gramStart"/>
            <w:r w:rsidRPr="000F778E">
              <w:rPr>
                <w:rFonts w:ascii="Arial" w:eastAsia="Times New Roman" w:hAnsi="Arial" w:cs="Arial"/>
                <w:color w:val="000000"/>
                <w:lang w:eastAsia="en-AU"/>
              </w:rPr>
              <w:t>increase</w:t>
            </w:r>
            <w:proofErr w:type="gramEnd"/>
            <w:r w:rsidRPr="000F778E">
              <w:rPr>
                <w:rFonts w:ascii="Arial" w:eastAsia="Times New Roman" w:hAnsi="Arial" w:cs="Arial"/>
                <w:color w:val="000000"/>
                <w:lang w:eastAsia="en-AU"/>
              </w:rPr>
              <w:t xml:space="preserve"> </w:t>
            </w:r>
            <w:r w:rsidR="0054075B" w:rsidRPr="000F778E">
              <w:rPr>
                <w:rFonts w:ascii="Arial" w:eastAsia="Times New Roman" w:hAnsi="Arial" w:cs="Arial"/>
                <w:color w:val="000000"/>
                <w:lang w:eastAsia="en-AU"/>
              </w:rPr>
              <w:t xml:space="preserve">from Baseline to </w:t>
            </w:r>
            <w:r w:rsidRPr="000F778E">
              <w:rPr>
                <w:rFonts w:ascii="Arial" w:eastAsia="Times New Roman" w:hAnsi="Arial" w:cs="Arial"/>
                <w:color w:val="000000"/>
                <w:lang w:eastAsia="en-AU"/>
              </w:rPr>
              <w:t>6</w:t>
            </w:r>
            <w:r w:rsidR="00EC65C2">
              <w:rPr>
                <w:rFonts w:ascii="Arial" w:eastAsia="Times New Roman" w:hAnsi="Arial" w:cs="Arial"/>
                <w:color w:val="000000"/>
                <w:lang w:eastAsia="en-AU"/>
              </w:rPr>
              <w:t>mths</w:t>
            </w:r>
            <w:r w:rsidRPr="000F778E">
              <w:rPr>
                <w:rFonts w:ascii="Arial" w:eastAsia="Times New Roman" w:hAnsi="Arial" w:cs="Arial"/>
                <w:color w:val="000000"/>
                <w:lang w:eastAsia="en-AU"/>
              </w:rPr>
              <w:t xml:space="preserve">, </w:t>
            </w:r>
            <w:r w:rsidR="0054075B" w:rsidRPr="000F778E">
              <w:rPr>
                <w:rFonts w:ascii="Arial" w:eastAsia="Times New Roman" w:hAnsi="Arial" w:cs="Arial"/>
                <w:color w:val="000000"/>
                <w:lang w:eastAsia="en-AU"/>
              </w:rPr>
              <w:t xml:space="preserve">then </w:t>
            </w:r>
            <w:r w:rsidRPr="000F778E">
              <w:rPr>
                <w:rFonts w:ascii="Arial" w:eastAsia="Times New Roman" w:hAnsi="Arial" w:cs="Arial"/>
                <w:color w:val="000000"/>
                <w:lang w:eastAsia="en-AU"/>
              </w:rPr>
              <w:t>decrease at 12</w:t>
            </w:r>
            <w:r w:rsidR="00EC65C2">
              <w:rPr>
                <w:rFonts w:ascii="Arial" w:eastAsia="Times New Roman" w:hAnsi="Arial" w:cs="Arial"/>
                <w:color w:val="000000"/>
                <w:lang w:eastAsia="en-AU"/>
              </w:rPr>
              <w:t xml:space="preserve"> months</w:t>
            </w:r>
          </w:p>
        </w:tc>
        <w:tc>
          <w:tcPr>
            <w:tcW w:w="993" w:type="dxa"/>
            <w:noWrap/>
            <w:hideMark/>
          </w:tcPr>
          <w:p w14:paraId="4E9ED7B1"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1</w:t>
            </w:r>
          </w:p>
        </w:tc>
        <w:tc>
          <w:tcPr>
            <w:tcW w:w="1867" w:type="dxa"/>
            <w:noWrap/>
            <w:hideMark/>
          </w:tcPr>
          <w:p w14:paraId="3EC57AEA"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0</w:t>
            </w:r>
          </w:p>
        </w:tc>
      </w:tr>
      <w:tr w:rsidR="00720C49" w:rsidRPr="000F778E" w14:paraId="7DE29C9C" w14:textId="77777777" w:rsidTr="00EC65C2">
        <w:trPr>
          <w:trHeight w:val="300"/>
        </w:trPr>
        <w:tc>
          <w:tcPr>
            <w:tcW w:w="5665" w:type="dxa"/>
            <w:noWrap/>
            <w:hideMark/>
          </w:tcPr>
          <w:p w14:paraId="33D49278" w14:textId="1BA21239"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 xml:space="preserve">Risk </w:t>
            </w:r>
            <w:proofErr w:type="gramStart"/>
            <w:r w:rsidRPr="000F778E">
              <w:rPr>
                <w:rFonts w:ascii="Arial" w:eastAsia="Times New Roman" w:hAnsi="Arial" w:cs="Arial"/>
                <w:color w:val="000000"/>
                <w:lang w:eastAsia="en-AU"/>
              </w:rPr>
              <w:t>decrease</w:t>
            </w:r>
            <w:proofErr w:type="gramEnd"/>
            <w:r w:rsidRPr="000F778E">
              <w:rPr>
                <w:rFonts w:ascii="Arial" w:eastAsia="Times New Roman" w:hAnsi="Arial" w:cs="Arial"/>
                <w:color w:val="000000"/>
                <w:lang w:eastAsia="en-AU"/>
              </w:rPr>
              <w:t xml:space="preserve"> </w:t>
            </w:r>
            <w:r w:rsidR="0054075B" w:rsidRPr="000F778E">
              <w:rPr>
                <w:rFonts w:ascii="Arial" w:eastAsia="Times New Roman" w:hAnsi="Arial" w:cs="Arial"/>
                <w:color w:val="000000"/>
                <w:lang w:eastAsia="en-AU"/>
              </w:rPr>
              <w:t>from Baseline to</w:t>
            </w:r>
            <w:r w:rsidRPr="000F778E">
              <w:rPr>
                <w:rFonts w:ascii="Arial" w:eastAsia="Times New Roman" w:hAnsi="Arial" w:cs="Arial"/>
                <w:color w:val="000000"/>
                <w:lang w:eastAsia="en-AU"/>
              </w:rPr>
              <w:t xml:space="preserve"> 6 months</w:t>
            </w:r>
          </w:p>
        </w:tc>
        <w:tc>
          <w:tcPr>
            <w:tcW w:w="993" w:type="dxa"/>
            <w:noWrap/>
            <w:hideMark/>
          </w:tcPr>
          <w:p w14:paraId="7D03D2B1"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0</w:t>
            </w:r>
          </w:p>
        </w:tc>
        <w:tc>
          <w:tcPr>
            <w:tcW w:w="1867" w:type="dxa"/>
            <w:noWrap/>
            <w:hideMark/>
          </w:tcPr>
          <w:p w14:paraId="16B6CCFC"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2</w:t>
            </w:r>
          </w:p>
        </w:tc>
      </w:tr>
      <w:tr w:rsidR="00720C49" w:rsidRPr="000F778E" w14:paraId="3031237B" w14:textId="77777777" w:rsidTr="00EC65C2">
        <w:trPr>
          <w:trHeight w:val="300"/>
        </w:trPr>
        <w:tc>
          <w:tcPr>
            <w:tcW w:w="5665" w:type="dxa"/>
            <w:noWrap/>
            <w:hideMark/>
          </w:tcPr>
          <w:p w14:paraId="799F0E4B" w14:textId="1F5C1465"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 xml:space="preserve">Risk </w:t>
            </w:r>
            <w:proofErr w:type="gramStart"/>
            <w:r w:rsidRPr="000F778E">
              <w:rPr>
                <w:rFonts w:ascii="Arial" w:eastAsia="Times New Roman" w:hAnsi="Arial" w:cs="Arial"/>
                <w:color w:val="000000"/>
                <w:lang w:eastAsia="en-AU"/>
              </w:rPr>
              <w:t>decrease</w:t>
            </w:r>
            <w:proofErr w:type="gramEnd"/>
            <w:r w:rsidRPr="000F778E">
              <w:rPr>
                <w:rFonts w:ascii="Arial" w:eastAsia="Times New Roman" w:hAnsi="Arial" w:cs="Arial"/>
                <w:color w:val="000000"/>
                <w:lang w:eastAsia="en-AU"/>
              </w:rPr>
              <w:t xml:space="preserve"> </w:t>
            </w:r>
            <w:r w:rsidR="0054075B" w:rsidRPr="000F778E">
              <w:rPr>
                <w:rFonts w:ascii="Arial" w:eastAsia="Times New Roman" w:hAnsi="Arial" w:cs="Arial"/>
                <w:color w:val="000000"/>
                <w:lang w:eastAsia="en-AU"/>
              </w:rPr>
              <w:t>from Baseline to</w:t>
            </w:r>
            <w:r w:rsidRPr="000F778E">
              <w:rPr>
                <w:rFonts w:ascii="Arial" w:eastAsia="Times New Roman" w:hAnsi="Arial" w:cs="Arial"/>
                <w:color w:val="000000"/>
                <w:lang w:eastAsia="en-AU"/>
              </w:rPr>
              <w:t xml:space="preserve"> 12 months</w:t>
            </w:r>
          </w:p>
        </w:tc>
        <w:tc>
          <w:tcPr>
            <w:tcW w:w="993" w:type="dxa"/>
            <w:noWrap/>
            <w:hideMark/>
          </w:tcPr>
          <w:p w14:paraId="65F45CBD"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3</w:t>
            </w:r>
          </w:p>
        </w:tc>
        <w:tc>
          <w:tcPr>
            <w:tcW w:w="1867" w:type="dxa"/>
            <w:noWrap/>
            <w:hideMark/>
          </w:tcPr>
          <w:p w14:paraId="6A96A47C"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2</w:t>
            </w:r>
          </w:p>
        </w:tc>
      </w:tr>
      <w:tr w:rsidR="00720C49" w:rsidRPr="000F778E" w14:paraId="09AEF48A" w14:textId="77777777" w:rsidTr="00EC65C2">
        <w:trPr>
          <w:trHeight w:val="300"/>
        </w:trPr>
        <w:tc>
          <w:tcPr>
            <w:tcW w:w="5665" w:type="dxa"/>
            <w:noWrap/>
            <w:hideMark/>
          </w:tcPr>
          <w:p w14:paraId="682AF7E1" w14:textId="2AA49941"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 xml:space="preserve">Risk </w:t>
            </w:r>
            <w:proofErr w:type="gramStart"/>
            <w:r w:rsidRPr="000F778E">
              <w:rPr>
                <w:rFonts w:ascii="Arial" w:eastAsia="Times New Roman" w:hAnsi="Arial" w:cs="Arial"/>
                <w:color w:val="000000"/>
                <w:lang w:eastAsia="en-AU"/>
              </w:rPr>
              <w:t>decrease</w:t>
            </w:r>
            <w:proofErr w:type="gramEnd"/>
            <w:r w:rsidRPr="000F778E">
              <w:rPr>
                <w:rFonts w:ascii="Arial" w:eastAsia="Times New Roman" w:hAnsi="Arial" w:cs="Arial"/>
                <w:color w:val="000000"/>
                <w:lang w:eastAsia="en-AU"/>
              </w:rPr>
              <w:t xml:space="preserve"> </w:t>
            </w:r>
            <w:r w:rsidR="0054075B" w:rsidRPr="000F778E">
              <w:rPr>
                <w:rFonts w:ascii="Arial" w:eastAsia="Times New Roman" w:hAnsi="Arial" w:cs="Arial"/>
                <w:color w:val="000000"/>
                <w:lang w:eastAsia="en-AU"/>
              </w:rPr>
              <w:t>from Baseline to</w:t>
            </w:r>
            <w:r w:rsidRPr="000F778E">
              <w:rPr>
                <w:rFonts w:ascii="Arial" w:eastAsia="Times New Roman" w:hAnsi="Arial" w:cs="Arial"/>
                <w:color w:val="000000"/>
                <w:lang w:eastAsia="en-AU"/>
              </w:rPr>
              <w:t xml:space="preserve"> 6 and 12 months</w:t>
            </w:r>
          </w:p>
        </w:tc>
        <w:tc>
          <w:tcPr>
            <w:tcW w:w="993" w:type="dxa"/>
            <w:noWrap/>
            <w:hideMark/>
          </w:tcPr>
          <w:p w14:paraId="5374568B"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0</w:t>
            </w:r>
          </w:p>
        </w:tc>
        <w:tc>
          <w:tcPr>
            <w:tcW w:w="1867" w:type="dxa"/>
            <w:noWrap/>
            <w:hideMark/>
          </w:tcPr>
          <w:p w14:paraId="3128EA3D" w14:textId="77777777" w:rsidR="00720C49" w:rsidRPr="000F778E" w:rsidRDefault="00720C49" w:rsidP="00003672">
            <w:pPr>
              <w:spacing w:before="0"/>
              <w:rPr>
                <w:rFonts w:ascii="Arial" w:eastAsia="Times New Roman" w:hAnsi="Arial" w:cs="Arial"/>
                <w:color w:val="000000"/>
                <w:lang w:eastAsia="en-AU"/>
              </w:rPr>
            </w:pPr>
            <w:r w:rsidRPr="000F778E">
              <w:rPr>
                <w:rFonts w:ascii="Arial" w:eastAsia="Times New Roman" w:hAnsi="Arial" w:cs="Arial"/>
                <w:color w:val="000000"/>
                <w:lang w:eastAsia="en-AU"/>
              </w:rPr>
              <w:t>0</w:t>
            </w:r>
          </w:p>
        </w:tc>
      </w:tr>
    </w:tbl>
    <w:p w14:paraId="610CBA07" w14:textId="579831F8" w:rsidR="0054075B" w:rsidRPr="000F778E" w:rsidRDefault="0054075B" w:rsidP="00EC65C2">
      <w:pPr>
        <w:pStyle w:val="Instructionaltext"/>
        <w:spacing w:before="160" w:line="240" w:lineRule="auto"/>
        <w:rPr>
          <w:rFonts w:ascii="Arial" w:hAnsi="Arial" w:cs="Arial"/>
          <w:b/>
          <w:bCs/>
          <w:color w:val="auto"/>
        </w:rPr>
      </w:pPr>
      <w:r w:rsidRPr="000F778E">
        <w:rPr>
          <w:rFonts w:ascii="Arial" w:hAnsi="Arial" w:cs="Arial"/>
          <w:b/>
          <w:bCs/>
          <w:color w:val="auto"/>
        </w:rPr>
        <w:t>Acceptability of community pharmacy for risk assessment</w:t>
      </w:r>
    </w:p>
    <w:p w14:paraId="4F7F631E" w14:textId="4FF51953" w:rsidR="0054075B" w:rsidRPr="000F778E" w:rsidRDefault="0054075B" w:rsidP="00EC65C2">
      <w:pPr>
        <w:pStyle w:val="Instructionaltext"/>
        <w:spacing w:before="160" w:line="240" w:lineRule="auto"/>
        <w:rPr>
          <w:rFonts w:ascii="Arial" w:hAnsi="Arial" w:cs="Arial"/>
          <w:color w:val="auto"/>
        </w:rPr>
      </w:pPr>
      <w:r w:rsidRPr="000F778E">
        <w:rPr>
          <w:rFonts w:ascii="Arial" w:hAnsi="Arial" w:cs="Arial"/>
          <w:color w:val="auto"/>
        </w:rPr>
        <w:t xml:space="preserve">Community pharmacy was reported by trial participants as a highly acceptable and appropriate location for </w:t>
      </w:r>
      <w:r w:rsidR="00586473" w:rsidRPr="000F778E">
        <w:rPr>
          <w:rFonts w:ascii="Arial" w:hAnsi="Arial" w:cs="Arial"/>
          <w:color w:val="auto"/>
        </w:rPr>
        <w:t xml:space="preserve">CVD </w:t>
      </w:r>
      <w:r w:rsidRPr="000F778E">
        <w:rPr>
          <w:rFonts w:ascii="Arial" w:hAnsi="Arial" w:cs="Arial"/>
          <w:color w:val="auto"/>
        </w:rPr>
        <w:t>risk assessment</w:t>
      </w:r>
      <w:r w:rsidR="00586473" w:rsidRPr="000F778E">
        <w:rPr>
          <w:rFonts w:ascii="Arial" w:hAnsi="Arial" w:cs="Arial"/>
          <w:color w:val="auto"/>
        </w:rPr>
        <w:t>.</w:t>
      </w:r>
    </w:p>
    <w:p w14:paraId="147B4ECA" w14:textId="314FFB90" w:rsidR="00586473" w:rsidRPr="000F778E" w:rsidRDefault="00586473" w:rsidP="00EC65C2">
      <w:pPr>
        <w:pStyle w:val="Instructionaltext"/>
        <w:spacing w:before="160" w:line="240" w:lineRule="auto"/>
        <w:rPr>
          <w:rFonts w:ascii="Arial" w:hAnsi="Arial" w:cs="Arial"/>
          <w:color w:val="auto"/>
        </w:rPr>
      </w:pPr>
      <w:r w:rsidRPr="000F778E">
        <w:rPr>
          <w:rFonts w:ascii="Arial" w:hAnsi="Arial" w:cs="Arial"/>
          <w:color w:val="auto"/>
        </w:rPr>
        <w:t xml:space="preserve">Refer Table 9. Screening satisfaction of participants with </w:t>
      </w:r>
      <w:r w:rsidR="00E616B5" w:rsidRPr="000F778E">
        <w:rPr>
          <w:rFonts w:ascii="Arial" w:hAnsi="Arial" w:cs="Arial"/>
          <w:color w:val="auto"/>
        </w:rPr>
        <w:t>pharmacy-based</w:t>
      </w:r>
      <w:r w:rsidRPr="000F778E">
        <w:rPr>
          <w:rFonts w:ascii="Arial" w:hAnsi="Arial" w:cs="Arial"/>
          <w:color w:val="auto"/>
        </w:rPr>
        <w:t xml:space="preserve"> services</w:t>
      </w:r>
      <w:r w:rsidRPr="000F778E">
        <w:rPr>
          <w:rFonts w:ascii="Arial" w:hAnsi="Arial" w:cs="Arial"/>
          <w:b/>
          <w:bCs/>
          <w:color w:val="auto"/>
        </w:rPr>
        <w:t>.</w:t>
      </w:r>
    </w:p>
    <w:p w14:paraId="28D24D2D" w14:textId="1A7FA44D" w:rsidR="00586473" w:rsidRPr="000F778E" w:rsidRDefault="00586473" w:rsidP="00EC65C2">
      <w:pPr>
        <w:pStyle w:val="Instructionaltext"/>
        <w:spacing w:before="160" w:line="240" w:lineRule="auto"/>
        <w:rPr>
          <w:rFonts w:ascii="Arial" w:hAnsi="Arial" w:cs="Arial"/>
          <w:color w:val="auto"/>
        </w:rPr>
      </w:pPr>
      <w:r w:rsidRPr="000F778E">
        <w:rPr>
          <w:rFonts w:ascii="Arial" w:hAnsi="Arial" w:cs="Arial"/>
          <w:b/>
          <w:bCs/>
          <w:color w:val="auto"/>
        </w:rPr>
        <w:t>Participants adherence to pharmacy advice and uptake of primary care referral</w:t>
      </w:r>
    </w:p>
    <w:p w14:paraId="655E1AB0" w14:textId="64729309" w:rsidR="00586473" w:rsidRPr="000F778E" w:rsidRDefault="00586473" w:rsidP="00EC65C2">
      <w:pPr>
        <w:pStyle w:val="Instructionaltext"/>
        <w:spacing w:before="160" w:line="240" w:lineRule="auto"/>
        <w:rPr>
          <w:rFonts w:ascii="Arial" w:hAnsi="Arial" w:cs="Arial"/>
          <w:color w:val="auto"/>
        </w:rPr>
      </w:pPr>
      <w:r w:rsidRPr="000F778E">
        <w:rPr>
          <w:rFonts w:ascii="Arial" w:hAnsi="Arial" w:cs="Arial"/>
          <w:color w:val="auto"/>
        </w:rPr>
        <w:t>Participants self-reported that at 6 months 46% of participants who had been referred to General Practice adhered to the advice; of this 71% attended within the suggested timeframe. At 12 months 56% of participants who had been referred to General Practice adhered to the advice; of this 100% attended within the suggested timeframe.</w:t>
      </w:r>
    </w:p>
    <w:p w14:paraId="401DC05D" w14:textId="2DCEE442" w:rsidR="00586473" w:rsidRPr="000F778E" w:rsidRDefault="00E2618A" w:rsidP="00EC65C2">
      <w:pPr>
        <w:pStyle w:val="Instructionaltext"/>
        <w:spacing w:before="160" w:line="240" w:lineRule="auto"/>
        <w:rPr>
          <w:rFonts w:ascii="Arial" w:hAnsi="Arial" w:cs="Arial"/>
          <w:color w:val="auto"/>
        </w:rPr>
      </w:pPr>
      <w:r w:rsidRPr="000F778E">
        <w:rPr>
          <w:rFonts w:ascii="Arial" w:hAnsi="Arial" w:cs="Arial"/>
          <w:color w:val="auto"/>
        </w:rPr>
        <w:t>Participants self-reported that a</w:t>
      </w:r>
      <w:r w:rsidR="00586473" w:rsidRPr="000F778E">
        <w:rPr>
          <w:rFonts w:ascii="Arial" w:hAnsi="Arial" w:cs="Arial"/>
          <w:color w:val="auto"/>
        </w:rPr>
        <w:t>t 6 months 11% of participants who had been referred to a community-based lifestyle modification program adhered to the advice; of this 21% attended one or more session. At 12 months 8% of participants who had been referred to a community-based lifestyle modification program; 63% attended one or more session.</w:t>
      </w:r>
    </w:p>
    <w:p w14:paraId="44DD998C" w14:textId="751779FC" w:rsidR="00690A3A" w:rsidRPr="000F778E" w:rsidRDefault="00586473" w:rsidP="00EC65C2">
      <w:pPr>
        <w:pStyle w:val="Instructionaltext"/>
        <w:spacing w:before="160" w:line="240" w:lineRule="auto"/>
        <w:rPr>
          <w:rFonts w:ascii="Arial" w:hAnsi="Arial" w:cs="Arial"/>
          <w:color w:val="auto"/>
        </w:rPr>
      </w:pPr>
      <w:r w:rsidRPr="000F778E">
        <w:rPr>
          <w:rFonts w:ascii="Arial" w:hAnsi="Arial" w:cs="Arial"/>
          <w:color w:val="auto"/>
        </w:rPr>
        <w:t xml:space="preserve">Refer Table 7: Screening participants adherence to pharmacy advice and uptake of primary care referral at </w:t>
      </w:r>
      <w:proofErr w:type="gramStart"/>
      <w:r w:rsidRPr="000F778E">
        <w:rPr>
          <w:rFonts w:ascii="Arial" w:hAnsi="Arial" w:cs="Arial"/>
          <w:color w:val="auto"/>
        </w:rPr>
        <w:t>6 and 12 month</w:t>
      </w:r>
      <w:proofErr w:type="gramEnd"/>
      <w:r w:rsidRPr="000F778E">
        <w:rPr>
          <w:rFonts w:ascii="Arial" w:hAnsi="Arial" w:cs="Arial"/>
          <w:color w:val="auto"/>
        </w:rPr>
        <w:t xml:space="preserve"> assessments (General Practice) and Table 8: Screening participants adherence to pharmacy advice and uptake of primary care referral at 6 and 12 month assessments (community lifestyle modification programs)</w:t>
      </w:r>
      <w:r w:rsidR="00E2618A" w:rsidRPr="000F778E">
        <w:rPr>
          <w:rFonts w:ascii="Arial" w:hAnsi="Arial" w:cs="Arial"/>
          <w:color w:val="auto"/>
        </w:rPr>
        <w:t>.</w:t>
      </w:r>
    </w:p>
    <w:p w14:paraId="0D0FF428" w14:textId="20AFB9BA" w:rsidR="00AD7843" w:rsidRPr="00EC65C2" w:rsidRDefault="00690A3A" w:rsidP="00EC65C2">
      <w:pPr>
        <w:pStyle w:val="Instructionaltext"/>
        <w:spacing w:before="160" w:line="240" w:lineRule="auto"/>
        <w:rPr>
          <w:rFonts w:ascii="Arial" w:hAnsi="Arial" w:cs="Arial"/>
          <w:color w:val="auto"/>
        </w:rPr>
      </w:pPr>
      <w:r w:rsidRPr="000F778E">
        <w:rPr>
          <w:rFonts w:ascii="Arial" w:hAnsi="Arial" w:cs="Arial"/>
          <w:color w:val="auto"/>
        </w:rPr>
        <w:t>Whilst not a clinical claim of the trial</w:t>
      </w:r>
      <w:r w:rsidR="00CF5A2E">
        <w:rPr>
          <w:rFonts w:ascii="Arial" w:hAnsi="Arial" w:cs="Arial"/>
          <w:color w:val="auto"/>
        </w:rPr>
        <w:t>,</w:t>
      </w:r>
      <w:r w:rsidRPr="000F778E">
        <w:rPr>
          <w:rFonts w:ascii="Arial" w:hAnsi="Arial" w:cs="Arial"/>
          <w:color w:val="auto"/>
        </w:rPr>
        <w:t xml:space="preserve"> it is noted the comprehensive assessment identified significantly fewer individuals at high risk of CVD. This is an expected outcome due to the use of the AUSDRISK tool as the screening intervention for the brief assessment arm</w:t>
      </w:r>
      <w:r w:rsidR="006262FC" w:rsidRPr="000F778E">
        <w:rPr>
          <w:rFonts w:ascii="Arial" w:hAnsi="Arial" w:cs="Arial"/>
          <w:color w:val="auto"/>
        </w:rPr>
        <w:t xml:space="preserve"> noting the </w:t>
      </w:r>
      <w:proofErr w:type="gramStart"/>
      <w:r w:rsidR="006262FC" w:rsidRPr="000F778E">
        <w:rPr>
          <w:rFonts w:ascii="Arial" w:hAnsi="Arial" w:cs="Arial"/>
          <w:color w:val="auto"/>
        </w:rPr>
        <w:t>high risk</w:t>
      </w:r>
      <w:proofErr w:type="gramEnd"/>
      <w:r w:rsidR="006262FC" w:rsidRPr="000F778E">
        <w:rPr>
          <w:rFonts w:ascii="Arial" w:hAnsi="Arial" w:cs="Arial"/>
          <w:color w:val="auto"/>
        </w:rPr>
        <w:t xml:space="preserve"> outcome is easily achieved by gender, age and ethnicity responses in the target population.</w:t>
      </w:r>
    </w:p>
    <w:p w14:paraId="25169E0B" w14:textId="6DD9677A" w:rsidR="00BA59FB" w:rsidRPr="00AD7843" w:rsidRDefault="00BA59FB" w:rsidP="00EC65C2">
      <w:pPr>
        <w:pStyle w:val="Heading3"/>
        <w:spacing w:before="160" w:after="160"/>
        <w:rPr>
          <w:rFonts w:ascii="Arial" w:hAnsi="Arial" w:cs="Arial"/>
          <w:b/>
          <w:bCs/>
        </w:rPr>
      </w:pPr>
      <w:bookmarkStart w:id="53" w:name="_Toc137535763"/>
      <w:r w:rsidRPr="00AD7843">
        <w:rPr>
          <w:rFonts w:ascii="Arial" w:hAnsi="Arial" w:cs="Arial"/>
          <w:b/>
          <w:bCs/>
        </w:rPr>
        <w:t>2B.5.2</w:t>
      </w:r>
      <w:r w:rsidRPr="00AD7843">
        <w:rPr>
          <w:rFonts w:ascii="Arial" w:hAnsi="Arial" w:cs="Arial"/>
          <w:b/>
          <w:bCs/>
        </w:rPr>
        <w:tab/>
        <w:t xml:space="preserve">Conclusion </w:t>
      </w:r>
      <w:r w:rsidR="00DF431B" w:rsidRPr="00AD7843">
        <w:rPr>
          <w:rFonts w:ascii="Arial" w:hAnsi="Arial" w:cs="Arial"/>
          <w:b/>
          <w:bCs/>
        </w:rPr>
        <w:t>of</w:t>
      </w:r>
      <w:r w:rsidRPr="00AD7843">
        <w:rPr>
          <w:rFonts w:ascii="Arial" w:hAnsi="Arial" w:cs="Arial"/>
          <w:b/>
          <w:bCs/>
        </w:rPr>
        <w:t xml:space="preserve"> the </w:t>
      </w:r>
      <w:r w:rsidR="00AD7843">
        <w:rPr>
          <w:rFonts w:ascii="Arial" w:hAnsi="Arial" w:cs="Arial"/>
          <w:b/>
          <w:bCs/>
        </w:rPr>
        <w:t>C</w:t>
      </w:r>
      <w:r w:rsidRPr="00AD7843">
        <w:rPr>
          <w:rFonts w:ascii="Arial" w:hAnsi="Arial" w:cs="Arial"/>
          <w:b/>
          <w:bCs/>
        </w:rPr>
        <w:t xml:space="preserve">linical </w:t>
      </w:r>
      <w:r w:rsidR="00AD7843">
        <w:rPr>
          <w:rFonts w:ascii="Arial" w:hAnsi="Arial" w:cs="Arial"/>
          <w:b/>
          <w:bCs/>
        </w:rPr>
        <w:t>C</w:t>
      </w:r>
      <w:r w:rsidRPr="00AD7843">
        <w:rPr>
          <w:rFonts w:ascii="Arial" w:hAnsi="Arial" w:cs="Arial"/>
          <w:b/>
          <w:bCs/>
        </w:rPr>
        <w:t>laim</w:t>
      </w:r>
      <w:bookmarkEnd w:id="53"/>
      <w:r w:rsidRPr="00AD7843">
        <w:rPr>
          <w:rFonts w:ascii="Arial" w:hAnsi="Arial" w:cs="Arial"/>
          <w:b/>
          <w:bCs/>
        </w:rPr>
        <w:t xml:space="preserve"> </w:t>
      </w:r>
    </w:p>
    <w:p w14:paraId="34160B90" w14:textId="514A5352" w:rsidR="00AD7843" w:rsidRPr="000F778E" w:rsidRDefault="00BA59FB" w:rsidP="00EC65C2">
      <w:pPr>
        <w:spacing w:before="160" w:line="240" w:lineRule="auto"/>
        <w:rPr>
          <w:rFonts w:ascii="Arial" w:hAnsi="Arial" w:cs="Arial"/>
        </w:rPr>
      </w:pPr>
      <w:r w:rsidRPr="000F778E">
        <w:rPr>
          <w:rFonts w:ascii="Arial" w:hAnsi="Arial" w:cs="Arial"/>
        </w:rPr>
        <w:t xml:space="preserve">The use of </w:t>
      </w:r>
      <w:r w:rsidR="00FC2DA8" w:rsidRPr="000F778E">
        <w:rPr>
          <w:rFonts w:ascii="Arial" w:hAnsi="Arial" w:cs="Arial"/>
        </w:rPr>
        <w:t>CVD risk assessment by community pharmacy in a previously undiagnosed population</w:t>
      </w:r>
      <w:r w:rsidRPr="000F778E">
        <w:rPr>
          <w:rFonts w:ascii="Arial" w:hAnsi="Arial" w:cs="Arial"/>
        </w:rPr>
        <w:t xml:space="preserve"> results in noninferior</w:t>
      </w:r>
      <w:r w:rsidR="00FC2DA8" w:rsidRPr="000F778E">
        <w:rPr>
          <w:rFonts w:ascii="Arial" w:hAnsi="Arial" w:cs="Arial"/>
        </w:rPr>
        <w:t xml:space="preserve"> </w:t>
      </w:r>
      <w:r w:rsidRPr="000F778E">
        <w:rPr>
          <w:rFonts w:ascii="Arial" w:hAnsi="Arial" w:cs="Arial"/>
        </w:rPr>
        <w:t xml:space="preserve">effectiveness compared with </w:t>
      </w:r>
      <w:r w:rsidR="00FC2DA8" w:rsidRPr="000F778E">
        <w:rPr>
          <w:rFonts w:ascii="Arial" w:hAnsi="Arial" w:cs="Arial"/>
        </w:rPr>
        <w:t>a previously undiagnosed population engaged with General Practice.</w:t>
      </w:r>
    </w:p>
    <w:p w14:paraId="61034584" w14:textId="3311E9FD" w:rsidR="002B0E8E" w:rsidRPr="00EC65C2" w:rsidRDefault="00BA59FB" w:rsidP="00EC65C2">
      <w:pPr>
        <w:spacing w:before="160" w:line="240" w:lineRule="auto"/>
        <w:rPr>
          <w:rFonts w:ascii="Arial" w:hAnsi="Arial" w:cs="Arial"/>
        </w:rPr>
      </w:pPr>
      <w:r w:rsidRPr="000F778E">
        <w:rPr>
          <w:rFonts w:ascii="Arial" w:hAnsi="Arial" w:cs="Arial"/>
        </w:rPr>
        <w:t xml:space="preserve">The use of </w:t>
      </w:r>
      <w:r w:rsidR="00FC2DA8" w:rsidRPr="000F778E">
        <w:rPr>
          <w:rFonts w:ascii="Arial" w:hAnsi="Arial" w:cs="Arial"/>
        </w:rPr>
        <w:t xml:space="preserve">CVD risk assessment by community pharmacy in a previously undiagnosed population </w:t>
      </w:r>
      <w:r w:rsidRPr="000F778E">
        <w:rPr>
          <w:rFonts w:ascii="Arial" w:hAnsi="Arial" w:cs="Arial"/>
        </w:rPr>
        <w:t>results in noninferior</w:t>
      </w:r>
      <w:r w:rsidR="00FC2DA8" w:rsidRPr="000F778E">
        <w:rPr>
          <w:rFonts w:ascii="Arial" w:hAnsi="Arial" w:cs="Arial"/>
        </w:rPr>
        <w:t xml:space="preserve"> </w:t>
      </w:r>
      <w:r w:rsidRPr="000F778E">
        <w:rPr>
          <w:rFonts w:ascii="Arial" w:hAnsi="Arial" w:cs="Arial"/>
        </w:rPr>
        <w:t xml:space="preserve">safety compared with </w:t>
      </w:r>
      <w:r w:rsidR="00FC2DA8" w:rsidRPr="000F778E">
        <w:rPr>
          <w:rFonts w:ascii="Arial" w:hAnsi="Arial" w:cs="Arial"/>
        </w:rPr>
        <w:t>a previously undiagnosed population engaged with General Practice.</w:t>
      </w:r>
    </w:p>
    <w:p w14:paraId="72B395D3" w14:textId="2B6B4469" w:rsidR="00055477" w:rsidRPr="00EC65C2" w:rsidRDefault="002B0E8E" w:rsidP="00EC65C2">
      <w:pPr>
        <w:autoSpaceDE w:val="0"/>
        <w:autoSpaceDN w:val="0"/>
        <w:adjustRightInd w:val="0"/>
        <w:spacing w:before="160" w:line="240" w:lineRule="auto"/>
        <w:rPr>
          <w:rFonts w:ascii="Arial" w:eastAsia="CIDFont+F2" w:hAnsi="Arial" w:cs="Arial"/>
        </w:rPr>
      </w:pPr>
      <w:r w:rsidRPr="0026312A">
        <w:rPr>
          <w:rFonts w:ascii="Arial" w:eastAsia="CIDFont+F2" w:hAnsi="Arial" w:cs="Arial"/>
        </w:rPr>
        <w:t>Overall, the trial evaluations suggest supporting the Comprehensive Risk Assessment as the preferred option for CVD screening in pharmacies</w:t>
      </w:r>
      <w:r>
        <w:rPr>
          <w:rFonts w:ascii="Arial" w:eastAsia="CIDFont+F2" w:hAnsi="Arial" w:cs="Arial"/>
        </w:rPr>
        <w:t xml:space="preserve"> due to specificity of the assessment tool supported by point of care testing.</w:t>
      </w:r>
      <w:r w:rsidR="00A85BF7">
        <w:rPr>
          <w:rFonts w:ascii="Arial" w:eastAsia="CIDFont+F2" w:hAnsi="Arial" w:cs="Arial"/>
        </w:rPr>
        <w:t xml:space="preserve"> </w:t>
      </w:r>
      <w:r w:rsidRPr="00234BDF">
        <w:rPr>
          <w:rFonts w:ascii="Arial" w:eastAsia="CIDFont+F2" w:hAnsi="Arial" w:cs="Arial"/>
        </w:rPr>
        <w:t>A community pharmacy-based CVS risk screening program for undiagnosed CVD should adopt a two-step approach, with initial risk assessment using the Framingham Risk Equation screening tool and point-of-care testing followed by referral to General Practice if CVD risk is assessed as medium or high.</w:t>
      </w:r>
    </w:p>
    <w:p w14:paraId="246CAD18" w14:textId="7BC496D1" w:rsidR="00055477" w:rsidRPr="004F019A" w:rsidRDefault="00055477" w:rsidP="00EC65C2">
      <w:pPr>
        <w:pStyle w:val="Instructionaltext"/>
        <w:spacing w:before="160" w:line="240" w:lineRule="auto"/>
        <w:rPr>
          <w:rFonts w:ascii="Arial" w:hAnsi="Arial" w:cs="Arial"/>
          <w:color w:val="auto"/>
        </w:rPr>
      </w:pPr>
      <w:r w:rsidRPr="004F019A">
        <w:rPr>
          <w:rFonts w:ascii="Arial" w:hAnsi="Arial" w:cs="Arial"/>
          <w:color w:val="auto"/>
        </w:rPr>
        <w:lastRenderedPageBreak/>
        <w:t xml:space="preserve">The trial protocol did not include follow-up with general practice of outcomes of </w:t>
      </w:r>
      <w:r w:rsidR="00E616B5" w:rsidRPr="004F019A">
        <w:rPr>
          <w:rFonts w:ascii="Arial" w:hAnsi="Arial" w:cs="Arial"/>
          <w:color w:val="auto"/>
        </w:rPr>
        <w:t>those clients</w:t>
      </w:r>
      <w:r w:rsidRPr="004F019A">
        <w:rPr>
          <w:rFonts w:ascii="Arial" w:hAnsi="Arial" w:cs="Arial"/>
          <w:color w:val="auto"/>
        </w:rPr>
        <w:t xml:space="preserve"> identified as ‘at risk’.</w:t>
      </w:r>
      <w:r w:rsidR="00A85BF7">
        <w:rPr>
          <w:rFonts w:ascii="Arial" w:hAnsi="Arial" w:cs="Arial"/>
          <w:color w:val="auto"/>
        </w:rPr>
        <w:t xml:space="preserve"> </w:t>
      </w:r>
      <w:r w:rsidRPr="004F019A">
        <w:rPr>
          <w:rFonts w:ascii="Arial" w:hAnsi="Arial" w:cs="Arial"/>
          <w:color w:val="auto"/>
        </w:rPr>
        <w:t>Participant adherence to pharmacy advice and uptake of primary care referral and lifestyle modification program was only available as self-report data. Participants did not self-report receiving any diagnostic testing.</w:t>
      </w:r>
    </w:p>
    <w:p w14:paraId="7839397F" w14:textId="3FDAD526" w:rsidR="00055477" w:rsidRPr="00FA28FB" w:rsidRDefault="00055477" w:rsidP="00EC65C2">
      <w:pPr>
        <w:spacing w:before="160" w:line="240" w:lineRule="auto"/>
        <w:rPr>
          <w:rFonts w:ascii="Arial" w:hAnsi="Arial" w:cs="Arial"/>
        </w:rPr>
      </w:pPr>
      <w:r w:rsidRPr="004F019A">
        <w:rPr>
          <w:rFonts w:ascii="Arial" w:hAnsi="Arial" w:cs="Arial"/>
          <w:color w:val="333333"/>
        </w:rPr>
        <w:t>T</w:t>
      </w:r>
      <w:r w:rsidRPr="004F019A">
        <w:rPr>
          <w:rFonts w:ascii="Arial" w:hAnsi="Arial" w:cs="Arial"/>
        </w:rPr>
        <w:t xml:space="preserve">he trial protocol </w:t>
      </w:r>
      <w:r w:rsidRPr="004F019A">
        <w:rPr>
          <w:rFonts w:ascii="Arial" w:hAnsi="Arial" w:cs="Arial"/>
          <w:color w:val="000000"/>
        </w:rPr>
        <w:t>did not compare pharmacy-based screening with usual care (by GP in primary clinical practice).</w:t>
      </w:r>
      <w:r w:rsidR="00A85BF7">
        <w:rPr>
          <w:rFonts w:ascii="Arial" w:hAnsi="Arial" w:cs="Arial"/>
          <w:color w:val="000000"/>
        </w:rPr>
        <w:t xml:space="preserve"> </w:t>
      </w:r>
      <w:r w:rsidRPr="004F019A">
        <w:rPr>
          <w:rFonts w:ascii="Arial" w:hAnsi="Arial" w:cs="Arial"/>
          <w:color w:val="000000"/>
        </w:rPr>
        <w:t>However</w:t>
      </w:r>
      <w:r w:rsidR="00F369C3">
        <w:rPr>
          <w:rFonts w:ascii="Arial" w:hAnsi="Arial" w:cs="Arial"/>
          <w:color w:val="000000"/>
        </w:rPr>
        <w:t>,</w:t>
      </w:r>
      <w:r w:rsidRPr="004F019A">
        <w:rPr>
          <w:rFonts w:ascii="Arial" w:hAnsi="Arial" w:cs="Arial"/>
          <w:color w:val="000000"/>
        </w:rPr>
        <w:t xml:space="preserve"> as</w:t>
      </w:r>
      <w:r w:rsidRPr="004F019A">
        <w:rPr>
          <w:rFonts w:ascii="Arial" w:hAnsi="Arial" w:cs="Arial"/>
          <w:color w:val="333333"/>
        </w:rPr>
        <w:t xml:space="preserve"> </w:t>
      </w:r>
      <w:r w:rsidRPr="004F019A">
        <w:rPr>
          <w:rFonts w:ascii="Arial" w:hAnsi="Arial" w:cs="Arial"/>
        </w:rPr>
        <w:t>46% of participants who had been referred to General Practice at 6 months and 56% of participants who had been referred to General Practice at 12 months followed community pharmacy advice this indicates it is feasible for community pharmacy to screen for CVD and onward refer to primary health care.</w:t>
      </w:r>
    </w:p>
    <w:p w14:paraId="1028777D" w14:textId="1F3CF17F" w:rsidR="004008AF" w:rsidRPr="00CE28E3" w:rsidRDefault="004008AF" w:rsidP="0088445B">
      <w:pPr>
        <w:pStyle w:val="2ChapterText"/>
      </w:pPr>
      <w:r w:rsidRPr="00CE28E3">
        <w:br w:type="page"/>
      </w:r>
      <w:r w:rsidR="00082EB5">
        <w:lastRenderedPageBreak/>
        <w:t xml:space="preserve"> </w:t>
      </w:r>
    </w:p>
    <w:p w14:paraId="2B4C1FBC" w14:textId="02212C53" w:rsidR="00462778" w:rsidRPr="00AD7843" w:rsidRDefault="008157F1" w:rsidP="00AD7843">
      <w:pPr>
        <w:pStyle w:val="Heading1"/>
        <w:numPr>
          <w:ilvl w:val="0"/>
          <w:numId w:val="0"/>
        </w:numPr>
        <w:spacing w:before="0" w:after="0"/>
        <w:ind w:left="357" w:hanging="357"/>
        <w:rPr>
          <w:rFonts w:ascii="Arial" w:hAnsi="Arial" w:cs="Arial"/>
          <w:b/>
          <w:bCs/>
        </w:rPr>
      </w:pPr>
      <w:bookmarkStart w:id="54" w:name="_Toc137535764"/>
      <w:r w:rsidRPr="00AD7843">
        <w:rPr>
          <w:rFonts w:ascii="Arial" w:hAnsi="Arial" w:cs="Arial"/>
          <w:b/>
          <w:bCs/>
        </w:rPr>
        <w:t>Section 3A</w:t>
      </w:r>
      <w:r w:rsidR="005D7471" w:rsidRPr="00AD7843">
        <w:rPr>
          <w:rFonts w:ascii="Arial" w:hAnsi="Arial" w:cs="Arial"/>
          <w:b/>
          <w:bCs/>
        </w:rPr>
        <w:tab/>
      </w:r>
      <w:r w:rsidR="00DB5117" w:rsidRPr="00AD7843">
        <w:rPr>
          <w:rFonts w:ascii="Arial" w:hAnsi="Arial" w:cs="Arial"/>
          <w:b/>
          <w:bCs/>
        </w:rPr>
        <w:t xml:space="preserve">Cost-effectiveness </w:t>
      </w:r>
      <w:r w:rsidR="00AD7843">
        <w:rPr>
          <w:rFonts w:ascii="Arial" w:hAnsi="Arial" w:cs="Arial"/>
          <w:b/>
          <w:bCs/>
        </w:rPr>
        <w:t>A</w:t>
      </w:r>
      <w:r w:rsidR="00DB5117" w:rsidRPr="00AD7843">
        <w:rPr>
          <w:rFonts w:ascii="Arial" w:hAnsi="Arial" w:cs="Arial"/>
          <w:b/>
          <w:bCs/>
        </w:rPr>
        <w:t>nalysis</w:t>
      </w:r>
      <w:bookmarkEnd w:id="54"/>
    </w:p>
    <w:p w14:paraId="6752E680" w14:textId="0E421E1A" w:rsidR="00066204" w:rsidRDefault="00066204" w:rsidP="00C53B06">
      <w:pPr>
        <w:spacing w:before="160" w:line="240" w:lineRule="auto"/>
        <w:rPr>
          <w:rFonts w:ascii="Arial" w:hAnsi="Arial" w:cs="Arial"/>
        </w:rPr>
      </w:pPr>
      <w:r w:rsidRPr="00AD7843">
        <w:rPr>
          <w:rFonts w:ascii="Arial" w:hAnsi="Arial" w:cs="Arial"/>
        </w:rPr>
        <w:t xml:space="preserve">We present a summary of the health economic analysis assessing the cost-effectiveness of the trial. We use quality of life information collected via the SF-36 data to generate the SF-6D utility scores that are used to generate QALYs. Summary statistics are reported with comparisons between the two groups presented. Costs are also summarised for the two groups and comprising of MBS, </w:t>
      </w:r>
      <w:proofErr w:type="gramStart"/>
      <w:r w:rsidRPr="00AD7843">
        <w:rPr>
          <w:rFonts w:ascii="Arial" w:hAnsi="Arial" w:cs="Arial"/>
        </w:rPr>
        <w:t>PBS</w:t>
      </w:r>
      <w:proofErr w:type="gramEnd"/>
      <w:r w:rsidRPr="00AD7843">
        <w:rPr>
          <w:rFonts w:ascii="Arial" w:hAnsi="Arial" w:cs="Arial"/>
        </w:rPr>
        <w:t xml:space="preserve"> and pharmacy time related costs.</w:t>
      </w:r>
    </w:p>
    <w:p w14:paraId="182572FA" w14:textId="43834673" w:rsidR="00AA3BF1" w:rsidRPr="00AD7843" w:rsidRDefault="00AA3BF1" w:rsidP="00C53B06">
      <w:pPr>
        <w:pStyle w:val="Heading2"/>
        <w:numPr>
          <w:ilvl w:val="0"/>
          <w:numId w:val="0"/>
        </w:numPr>
        <w:spacing w:before="160" w:after="160"/>
        <w:rPr>
          <w:rFonts w:ascii="Arial" w:hAnsi="Arial" w:cs="Arial"/>
          <w:b/>
          <w:bCs/>
        </w:rPr>
      </w:pPr>
      <w:bookmarkStart w:id="55" w:name="_Toc137535765"/>
      <w:r w:rsidRPr="00AD7843">
        <w:rPr>
          <w:rFonts w:ascii="Arial" w:hAnsi="Arial" w:cs="Arial"/>
          <w:b/>
          <w:bCs/>
        </w:rPr>
        <w:t>3A.1</w:t>
      </w:r>
      <w:r w:rsidR="007226F5" w:rsidRPr="00AD7843">
        <w:rPr>
          <w:rFonts w:ascii="Arial" w:hAnsi="Arial" w:cs="Arial"/>
          <w:b/>
          <w:bCs/>
        </w:rPr>
        <w:tab/>
      </w:r>
      <w:r w:rsidRPr="00AD7843">
        <w:rPr>
          <w:rFonts w:ascii="Arial" w:hAnsi="Arial" w:cs="Arial"/>
          <w:b/>
          <w:bCs/>
        </w:rPr>
        <w:t>Overview</w:t>
      </w:r>
      <w:r w:rsidR="003D299E" w:rsidRPr="00AD7843">
        <w:rPr>
          <w:rFonts w:ascii="Arial" w:hAnsi="Arial" w:cs="Arial"/>
          <w:b/>
          <w:bCs/>
        </w:rPr>
        <w:t xml:space="preserve"> and rational</w:t>
      </w:r>
      <w:r w:rsidR="0025440D" w:rsidRPr="00AD7843">
        <w:rPr>
          <w:rFonts w:ascii="Arial" w:hAnsi="Arial" w:cs="Arial"/>
          <w:b/>
          <w:bCs/>
        </w:rPr>
        <w:t>e</w:t>
      </w:r>
      <w:r w:rsidR="003D299E" w:rsidRPr="00AD7843">
        <w:rPr>
          <w:rFonts w:ascii="Arial" w:hAnsi="Arial" w:cs="Arial"/>
          <w:b/>
          <w:bCs/>
        </w:rPr>
        <w:t xml:space="preserve"> of the economic evaluation</w:t>
      </w:r>
      <w:bookmarkEnd w:id="55"/>
    </w:p>
    <w:p w14:paraId="64E553F5" w14:textId="1D7AE223" w:rsidR="00120549" w:rsidRPr="00C53B06" w:rsidRDefault="004D0FFF" w:rsidP="00C53B06">
      <w:pPr>
        <w:pStyle w:val="Guidelinescross-ref"/>
        <w:spacing w:before="160" w:after="160" w:line="240" w:lineRule="auto"/>
        <w:rPr>
          <w:rFonts w:ascii="Arial" w:hAnsi="Arial" w:cs="Arial"/>
          <w:b w:val="0"/>
          <w:bCs/>
          <w:color w:val="auto"/>
          <w:sz w:val="22"/>
          <w:szCs w:val="20"/>
        </w:rPr>
      </w:pPr>
      <w:r w:rsidRPr="00AD7843">
        <w:rPr>
          <w:rFonts w:ascii="Arial" w:hAnsi="Arial" w:cs="Arial"/>
          <w:b w:val="0"/>
          <w:bCs/>
          <w:color w:val="auto"/>
          <w:sz w:val="22"/>
          <w:szCs w:val="20"/>
        </w:rPr>
        <w:t>The assessment question addressed by the economic evaluation seeks to determine if</w:t>
      </w:r>
      <w:r w:rsidR="00401875" w:rsidRPr="00AD7843">
        <w:rPr>
          <w:rFonts w:ascii="Arial" w:hAnsi="Arial" w:cs="Arial"/>
          <w:b w:val="0"/>
          <w:bCs/>
          <w:color w:val="auto"/>
          <w:sz w:val="22"/>
          <w:szCs w:val="20"/>
        </w:rPr>
        <w:t xml:space="preserve"> early intervention in CVD risk factor identification by community pharmacy offer</w:t>
      </w:r>
      <w:r w:rsidRPr="00AD7843">
        <w:rPr>
          <w:rFonts w:ascii="Arial" w:hAnsi="Arial" w:cs="Arial"/>
          <w:b w:val="0"/>
          <w:bCs/>
          <w:color w:val="auto"/>
          <w:sz w:val="22"/>
          <w:szCs w:val="20"/>
        </w:rPr>
        <w:t>s</w:t>
      </w:r>
      <w:r w:rsidR="00401875" w:rsidRPr="00AD7843">
        <w:rPr>
          <w:rFonts w:ascii="Arial" w:hAnsi="Arial" w:cs="Arial"/>
          <w:b w:val="0"/>
          <w:bCs/>
          <w:color w:val="auto"/>
          <w:sz w:val="22"/>
          <w:szCs w:val="20"/>
        </w:rPr>
        <w:t xml:space="preserve"> a cost-effective opportunity to reduce burden of disease</w:t>
      </w:r>
      <w:r w:rsidRPr="00AD7843">
        <w:rPr>
          <w:rFonts w:ascii="Arial" w:hAnsi="Arial" w:cs="Arial"/>
          <w:b w:val="0"/>
          <w:bCs/>
          <w:color w:val="auto"/>
          <w:sz w:val="22"/>
          <w:szCs w:val="20"/>
        </w:rPr>
        <w:t>.</w:t>
      </w:r>
    </w:p>
    <w:p w14:paraId="34D0FB67" w14:textId="3F22F0D3" w:rsidR="003E7773" w:rsidRPr="00120549" w:rsidRDefault="00D20031" w:rsidP="00C53B06">
      <w:pPr>
        <w:pStyle w:val="Heading2"/>
        <w:numPr>
          <w:ilvl w:val="0"/>
          <w:numId w:val="0"/>
        </w:numPr>
        <w:spacing w:before="160" w:after="160"/>
        <w:ind w:left="720" w:hanging="720"/>
        <w:rPr>
          <w:rFonts w:ascii="Arial" w:hAnsi="Arial" w:cs="Arial"/>
          <w:b/>
          <w:bCs/>
        </w:rPr>
      </w:pPr>
      <w:bookmarkStart w:id="56" w:name="_Toc137535766"/>
      <w:bookmarkStart w:id="57" w:name="OLE_LINK12"/>
      <w:r w:rsidRPr="00120549">
        <w:rPr>
          <w:rFonts w:ascii="Arial" w:hAnsi="Arial" w:cs="Arial"/>
          <w:b/>
          <w:bCs/>
        </w:rPr>
        <w:t>3A.</w:t>
      </w:r>
      <w:r w:rsidR="00AA3BF1" w:rsidRPr="00120549">
        <w:rPr>
          <w:rFonts w:ascii="Arial" w:hAnsi="Arial" w:cs="Arial"/>
          <w:b/>
          <w:bCs/>
        </w:rPr>
        <w:t>2</w:t>
      </w:r>
      <w:r w:rsidR="007226F5" w:rsidRPr="00120549">
        <w:rPr>
          <w:rFonts w:ascii="Arial" w:hAnsi="Arial" w:cs="Arial"/>
          <w:b/>
          <w:bCs/>
        </w:rPr>
        <w:tab/>
      </w:r>
      <w:r w:rsidR="003E7773" w:rsidRPr="00120549">
        <w:rPr>
          <w:rFonts w:ascii="Arial" w:hAnsi="Arial" w:cs="Arial"/>
          <w:b/>
          <w:bCs/>
        </w:rPr>
        <w:t>Methods</w:t>
      </w:r>
      <w:bookmarkEnd w:id="56"/>
    </w:p>
    <w:p w14:paraId="4DFF9463" w14:textId="3422DC2B" w:rsidR="00F262FB" w:rsidRPr="00C53B06" w:rsidRDefault="00AE7977" w:rsidP="00C53B06">
      <w:pPr>
        <w:pStyle w:val="Heading3"/>
        <w:spacing w:before="160" w:after="160"/>
        <w:rPr>
          <w:rFonts w:ascii="Arial" w:hAnsi="Arial" w:cs="Arial"/>
          <w:b/>
          <w:bCs/>
        </w:rPr>
      </w:pPr>
      <w:bookmarkStart w:id="58" w:name="_Toc137535767"/>
      <w:bookmarkEnd w:id="57"/>
      <w:r w:rsidRPr="00120549">
        <w:rPr>
          <w:rFonts w:ascii="Arial" w:hAnsi="Arial" w:cs="Arial"/>
          <w:b/>
          <w:bCs/>
        </w:rPr>
        <w:t>3A.</w:t>
      </w:r>
      <w:r w:rsidR="00AA3BF1" w:rsidRPr="00120549">
        <w:rPr>
          <w:rFonts w:ascii="Arial" w:hAnsi="Arial" w:cs="Arial"/>
          <w:b/>
          <w:bCs/>
        </w:rPr>
        <w:t>2</w:t>
      </w:r>
      <w:r w:rsidRPr="00120549">
        <w:rPr>
          <w:rFonts w:ascii="Arial" w:hAnsi="Arial" w:cs="Arial"/>
          <w:b/>
          <w:bCs/>
        </w:rPr>
        <w:t>.1</w:t>
      </w:r>
      <w:r w:rsidRPr="00120549">
        <w:rPr>
          <w:rFonts w:ascii="Arial" w:hAnsi="Arial" w:cs="Arial"/>
          <w:b/>
          <w:bCs/>
        </w:rPr>
        <w:tab/>
      </w:r>
      <w:r w:rsidR="003E7773" w:rsidRPr="00120549">
        <w:rPr>
          <w:rFonts w:ascii="Arial" w:hAnsi="Arial" w:cs="Arial"/>
          <w:b/>
          <w:bCs/>
        </w:rPr>
        <w:t>Summary table</w:t>
      </w:r>
      <w:bookmarkEnd w:id="58"/>
    </w:p>
    <w:p w14:paraId="0ED39A78" w14:textId="386533A4" w:rsidR="00421A89" w:rsidRPr="00A14753" w:rsidRDefault="00C772C8" w:rsidP="008B6783">
      <w:pPr>
        <w:pStyle w:val="Heading3"/>
        <w:spacing w:before="0" w:after="0"/>
      </w:pPr>
      <w:bookmarkStart w:id="59" w:name="_Ref69728299"/>
      <w:bookmarkStart w:id="60" w:name="_Toc137535768"/>
      <w:r w:rsidRPr="008B6783">
        <w:rPr>
          <w:rFonts w:ascii="Arial Narrow" w:hAnsi="Arial Narrow"/>
          <w:b/>
          <w:bCs/>
          <w:sz w:val="20"/>
          <w:szCs w:val="20"/>
        </w:rPr>
        <w:t>Table 13</w:t>
      </w:r>
      <w:r w:rsidR="00120549" w:rsidRPr="008B6783">
        <w:rPr>
          <w:rFonts w:ascii="Arial Narrow" w:hAnsi="Arial Narrow"/>
          <w:b/>
          <w:bCs/>
          <w:sz w:val="20"/>
          <w:szCs w:val="20"/>
        </w:rPr>
        <w:t>:</w:t>
      </w:r>
      <w:bookmarkEnd w:id="59"/>
      <w:r w:rsidR="00120549" w:rsidRPr="008B6783">
        <w:rPr>
          <w:rFonts w:ascii="Arial Narrow" w:hAnsi="Arial Narrow"/>
          <w:b/>
          <w:bCs/>
          <w:sz w:val="20"/>
          <w:szCs w:val="20"/>
        </w:rPr>
        <w:t xml:space="preserve"> S</w:t>
      </w:r>
      <w:r w:rsidR="00421A89" w:rsidRPr="008B6783">
        <w:rPr>
          <w:rFonts w:ascii="Arial Narrow" w:hAnsi="Arial Narrow"/>
          <w:b/>
          <w:bCs/>
          <w:sz w:val="20"/>
          <w:szCs w:val="20"/>
        </w:rPr>
        <w:t>ummary of the economic evaluation</w:t>
      </w:r>
      <w:bookmarkEnd w:id="6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544"/>
        <w:gridCol w:w="6523"/>
      </w:tblGrid>
      <w:tr w:rsidR="00120549" w:rsidRPr="00AD7843" w14:paraId="2C67A5E4" w14:textId="77777777" w:rsidTr="00120549">
        <w:trPr>
          <w:tblHeader/>
        </w:trPr>
        <w:tc>
          <w:tcPr>
            <w:tcW w:w="2544" w:type="dxa"/>
          </w:tcPr>
          <w:p w14:paraId="5987F87A" w14:textId="77777777" w:rsidR="00120549" w:rsidRPr="00AD7843" w:rsidRDefault="00120549" w:rsidP="002F3448">
            <w:pPr>
              <w:pStyle w:val="TableHeading"/>
              <w:spacing w:before="0" w:after="0"/>
              <w:rPr>
                <w:rFonts w:ascii="Arial" w:hAnsi="Arial" w:cs="Arial"/>
                <w:szCs w:val="20"/>
              </w:rPr>
            </w:pPr>
            <w:bookmarkStart w:id="61" w:name="Title_Table32" w:colFirst="0" w:colLast="0"/>
            <w:r w:rsidRPr="00AD7843">
              <w:rPr>
                <w:rFonts w:ascii="Arial" w:hAnsi="Arial" w:cs="Arial"/>
                <w:szCs w:val="20"/>
              </w:rPr>
              <w:t>Component</w:t>
            </w:r>
          </w:p>
        </w:tc>
        <w:tc>
          <w:tcPr>
            <w:tcW w:w="6523" w:type="dxa"/>
          </w:tcPr>
          <w:p w14:paraId="50544ED7" w14:textId="77777777" w:rsidR="00120549" w:rsidRPr="00AD7843" w:rsidRDefault="00120549" w:rsidP="002F3448">
            <w:pPr>
              <w:pStyle w:val="TableHeading"/>
              <w:spacing w:before="0" w:after="0"/>
              <w:rPr>
                <w:rFonts w:ascii="Arial" w:hAnsi="Arial" w:cs="Arial"/>
                <w:szCs w:val="20"/>
              </w:rPr>
            </w:pPr>
            <w:r w:rsidRPr="00AD7843">
              <w:rPr>
                <w:rFonts w:ascii="Arial" w:hAnsi="Arial" w:cs="Arial"/>
                <w:szCs w:val="20"/>
              </w:rPr>
              <w:t>Description</w:t>
            </w:r>
          </w:p>
        </w:tc>
      </w:tr>
      <w:bookmarkEnd w:id="61"/>
      <w:tr w:rsidR="00120549" w:rsidRPr="00AD7843" w14:paraId="08FA3108" w14:textId="77777777" w:rsidTr="00120549">
        <w:tc>
          <w:tcPr>
            <w:tcW w:w="2544" w:type="dxa"/>
          </w:tcPr>
          <w:p w14:paraId="1F53DE5E"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Perspective</w:t>
            </w:r>
          </w:p>
        </w:tc>
        <w:tc>
          <w:tcPr>
            <w:tcW w:w="6523" w:type="dxa"/>
          </w:tcPr>
          <w:p w14:paraId="6F867B03" w14:textId="6571CA33"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Health care system perspective</w:t>
            </w:r>
          </w:p>
        </w:tc>
      </w:tr>
      <w:tr w:rsidR="00120549" w:rsidRPr="00AD7843" w14:paraId="6A59C08C" w14:textId="77777777" w:rsidTr="00120549">
        <w:trPr>
          <w:tblHeader/>
        </w:trPr>
        <w:tc>
          <w:tcPr>
            <w:tcW w:w="2544" w:type="dxa"/>
          </w:tcPr>
          <w:p w14:paraId="0137C84B"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Population</w:t>
            </w:r>
          </w:p>
        </w:tc>
        <w:tc>
          <w:tcPr>
            <w:tcW w:w="6523" w:type="dxa"/>
          </w:tcPr>
          <w:p w14:paraId="540B8431" w14:textId="1171A02D" w:rsidR="00120549" w:rsidRPr="00C53B06" w:rsidRDefault="00120549" w:rsidP="002F3448">
            <w:pPr>
              <w:pStyle w:val="TableText"/>
              <w:keepNext/>
              <w:spacing w:before="0" w:after="0"/>
              <w:rPr>
                <w:rFonts w:ascii="Arial" w:hAnsi="Arial" w:cs="Arial"/>
                <w:szCs w:val="20"/>
              </w:rPr>
            </w:pPr>
            <w:r w:rsidRPr="00C53B06">
              <w:rPr>
                <w:rFonts w:ascii="Arial" w:hAnsi="Arial" w:cs="Arial"/>
                <w:sz w:val="18"/>
                <w:szCs w:val="18"/>
              </w:rPr>
              <w:t>Adults aged 45 to 74 years (35 to 74 years for Aboriginal and Torres Strait Islander people) without known history of CVD who engage with community pharmacy.</w:t>
            </w:r>
          </w:p>
        </w:tc>
      </w:tr>
      <w:tr w:rsidR="00120549" w:rsidRPr="00AD7843" w14:paraId="4B134F72" w14:textId="77777777" w:rsidTr="00120549">
        <w:tc>
          <w:tcPr>
            <w:tcW w:w="2544" w:type="dxa"/>
          </w:tcPr>
          <w:p w14:paraId="103CB3DF"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Prior testing</w:t>
            </w:r>
          </w:p>
        </w:tc>
        <w:tc>
          <w:tcPr>
            <w:tcW w:w="6523" w:type="dxa"/>
          </w:tcPr>
          <w:p w14:paraId="03CD32E7" w14:textId="0AA150ED" w:rsidR="00120549" w:rsidRPr="00C53B06" w:rsidRDefault="00120549" w:rsidP="002F3448">
            <w:pPr>
              <w:pStyle w:val="TableText"/>
              <w:keepNext/>
              <w:spacing w:before="0" w:after="0"/>
              <w:rPr>
                <w:rFonts w:ascii="Arial" w:hAnsi="Arial" w:cs="Arial"/>
                <w:szCs w:val="20"/>
              </w:rPr>
            </w:pPr>
            <w:r w:rsidRPr="00C53B06">
              <w:rPr>
                <w:rFonts w:ascii="Arial" w:hAnsi="Arial" w:cs="Arial"/>
                <w:szCs w:val="20"/>
              </w:rPr>
              <w:t xml:space="preserve">Population </w:t>
            </w:r>
            <w:r w:rsidR="00C53B06">
              <w:rPr>
                <w:rFonts w:ascii="Arial" w:hAnsi="Arial" w:cs="Arial"/>
                <w:szCs w:val="20"/>
              </w:rPr>
              <w:t>is</w:t>
            </w:r>
            <w:r w:rsidRPr="00C53B06">
              <w:rPr>
                <w:rFonts w:ascii="Arial" w:hAnsi="Arial" w:cs="Arial"/>
                <w:szCs w:val="20"/>
              </w:rPr>
              <w:t xml:space="preserve"> those without known history of CVD</w:t>
            </w:r>
          </w:p>
        </w:tc>
      </w:tr>
      <w:tr w:rsidR="00120549" w:rsidRPr="00AD7843" w14:paraId="5EC49D19" w14:textId="77777777" w:rsidTr="00120549">
        <w:tc>
          <w:tcPr>
            <w:tcW w:w="2544" w:type="dxa"/>
          </w:tcPr>
          <w:p w14:paraId="3EDBB356"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Comparator</w:t>
            </w:r>
          </w:p>
        </w:tc>
        <w:tc>
          <w:tcPr>
            <w:tcW w:w="6523" w:type="dxa"/>
          </w:tcPr>
          <w:p w14:paraId="0D7BCBCD" w14:textId="0C757C94" w:rsidR="00120549" w:rsidRPr="00AD7843" w:rsidRDefault="00120549" w:rsidP="002F3448">
            <w:pPr>
              <w:spacing w:before="0" w:after="0" w:line="240" w:lineRule="auto"/>
              <w:rPr>
                <w:rFonts w:ascii="Arial" w:hAnsi="Arial" w:cs="Arial"/>
                <w:sz w:val="20"/>
                <w:szCs w:val="20"/>
              </w:rPr>
            </w:pPr>
            <w:r w:rsidRPr="00AD7843">
              <w:rPr>
                <w:rFonts w:ascii="Arial" w:hAnsi="Arial" w:cs="Arial"/>
                <w:sz w:val="20"/>
                <w:szCs w:val="20"/>
              </w:rPr>
              <w:t>Usual care by GP in primary clinical practice</w:t>
            </w:r>
          </w:p>
        </w:tc>
      </w:tr>
      <w:tr w:rsidR="00120549" w:rsidRPr="00AD7843" w14:paraId="2C7C8E35" w14:textId="77777777" w:rsidTr="00120549">
        <w:tc>
          <w:tcPr>
            <w:tcW w:w="2544" w:type="dxa"/>
          </w:tcPr>
          <w:p w14:paraId="37CBBCE5"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Type(s) of analysis</w:t>
            </w:r>
          </w:p>
        </w:tc>
        <w:tc>
          <w:tcPr>
            <w:tcW w:w="6523" w:type="dxa"/>
          </w:tcPr>
          <w:p w14:paraId="1E1A7DDA" w14:textId="0E45F618"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Cost-effectiveness analysis</w:t>
            </w:r>
          </w:p>
        </w:tc>
      </w:tr>
      <w:tr w:rsidR="00120549" w:rsidRPr="00AD7843" w14:paraId="14A77616" w14:textId="77777777" w:rsidTr="00120549">
        <w:tc>
          <w:tcPr>
            <w:tcW w:w="2544" w:type="dxa"/>
          </w:tcPr>
          <w:p w14:paraId="41685135"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Outcomes</w:t>
            </w:r>
          </w:p>
        </w:tc>
        <w:tc>
          <w:tcPr>
            <w:tcW w:w="6523" w:type="dxa"/>
          </w:tcPr>
          <w:p w14:paraId="5A0042CE" w14:textId="12CC6BF6" w:rsidR="00120549" w:rsidRPr="00AD7843" w:rsidRDefault="00120549" w:rsidP="002F3448">
            <w:pPr>
              <w:spacing w:before="0" w:after="0" w:line="240" w:lineRule="auto"/>
              <w:rPr>
                <w:rFonts w:ascii="Arial" w:hAnsi="Arial" w:cs="Arial"/>
                <w:color w:val="000000" w:themeColor="text1"/>
                <w:sz w:val="20"/>
                <w:szCs w:val="20"/>
              </w:rPr>
            </w:pPr>
            <w:r w:rsidRPr="00AD7843">
              <w:rPr>
                <w:rFonts w:ascii="Arial" w:hAnsi="Arial" w:cs="Arial"/>
                <w:color w:val="000000" w:themeColor="text1"/>
                <w:sz w:val="20"/>
                <w:szCs w:val="20"/>
                <w:lang w:eastAsia="en-AU"/>
              </w:rPr>
              <w:t xml:space="preserve">Determination of effectiveness of opportunistic screening by Community Pharmacies in identifying people with, or at risk of, under-recognised conditions; specifically, </w:t>
            </w:r>
            <w:r w:rsidRPr="00AD7843">
              <w:rPr>
                <w:rFonts w:ascii="Arial" w:hAnsi="Arial" w:cs="Arial"/>
                <w:color w:val="000000" w:themeColor="text1"/>
                <w:sz w:val="20"/>
                <w:szCs w:val="20"/>
              </w:rPr>
              <w:t>cardiovascular disease.</w:t>
            </w:r>
          </w:p>
        </w:tc>
      </w:tr>
      <w:tr w:rsidR="00120549" w:rsidRPr="00AD7843" w14:paraId="2881186B" w14:textId="77777777" w:rsidTr="00120549">
        <w:tc>
          <w:tcPr>
            <w:tcW w:w="2544" w:type="dxa"/>
          </w:tcPr>
          <w:p w14:paraId="7769E110"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Time horizon</w:t>
            </w:r>
          </w:p>
        </w:tc>
        <w:tc>
          <w:tcPr>
            <w:tcW w:w="6523" w:type="dxa"/>
          </w:tcPr>
          <w:p w14:paraId="33EC100F" w14:textId="29BC3273"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Data collected across 12 months at pre-defined intervals</w:t>
            </w:r>
          </w:p>
        </w:tc>
      </w:tr>
      <w:tr w:rsidR="00120549" w:rsidRPr="00AD7843" w14:paraId="27282EAD" w14:textId="77777777" w:rsidTr="00120549">
        <w:tc>
          <w:tcPr>
            <w:tcW w:w="2544" w:type="dxa"/>
          </w:tcPr>
          <w:p w14:paraId="7B929B29"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Computational method</w:t>
            </w:r>
          </w:p>
        </w:tc>
        <w:tc>
          <w:tcPr>
            <w:tcW w:w="6523" w:type="dxa"/>
          </w:tcPr>
          <w:p w14:paraId="42576004" w14:textId="605BACE4"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Trial-based economic evaluation</w:t>
            </w:r>
          </w:p>
        </w:tc>
      </w:tr>
      <w:tr w:rsidR="00120549" w:rsidRPr="00AD7843" w14:paraId="605BC846" w14:textId="77777777" w:rsidTr="00120549">
        <w:tc>
          <w:tcPr>
            <w:tcW w:w="2544" w:type="dxa"/>
          </w:tcPr>
          <w:p w14:paraId="4B937BA3"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Generation of the base case</w:t>
            </w:r>
          </w:p>
        </w:tc>
        <w:tc>
          <w:tcPr>
            <w:tcW w:w="6523" w:type="dxa"/>
          </w:tcPr>
          <w:p w14:paraId="73FAFF6B" w14:textId="2A8DD1C4"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Trial based</w:t>
            </w:r>
          </w:p>
        </w:tc>
      </w:tr>
      <w:tr w:rsidR="00120549" w:rsidRPr="00AD7843" w14:paraId="07956A7F" w14:textId="77777777" w:rsidTr="00120549">
        <w:tc>
          <w:tcPr>
            <w:tcW w:w="2544" w:type="dxa"/>
          </w:tcPr>
          <w:p w14:paraId="3C1F032A"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Health states</w:t>
            </w:r>
          </w:p>
        </w:tc>
        <w:tc>
          <w:tcPr>
            <w:tcW w:w="6523" w:type="dxa"/>
          </w:tcPr>
          <w:p w14:paraId="0CC94504" w14:textId="0263F166"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Current health state</w:t>
            </w:r>
          </w:p>
        </w:tc>
      </w:tr>
      <w:tr w:rsidR="00120549" w:rsidRPr="00AD7843" w14:paraId="47F08911" w14:textId="77777777" w:rsidTr="00120549">
        <w:tc>
          <w:tcPr>
            <w:tcW w:w="2544" w:type="dxa"/>
          </w:tcPr>
          <w:p w14:paraId="0A233839"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Cycle length</w:t>
            </w:r>
          </w:p>
        </w:tc>
        <w:tc>
          <w:tcPr>
            <w:tcW w:w="6523" w:type="dxa"/>
          </w:tcPr>
          <w:p w14:paraId="04308B06" w14:textId="0938E84E"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Data collection at 0, 6 and 12 months</w:t>
            </w:r>
          </w:p>
        </w:tc>
      </w:tr>
      <w:tr w:rsidR="00120549" w:rsidRPr="00AD7843" w14:paraId="4899A6E8" w14:textId="77777777" w:rsidTr="00120549">
        <w:tc>
          <w:tcPr>
            <w:tcW w:w="2544" w:type="dxa"/>
          </w:tcPr>
          <w:p w14:paraId="0E0D3A0A"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Discount rate</w:t>
            </w:r>
          </w:p>
        </w:tc>
        <w:tc>
          <w:tcPr>
            <w:tcW w:w="6523" w:type="dxa"/>
          </w:tcPr>
          <w:p w14:paraId="2C784722" w14:textId="11BF7036"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5%</w:t>
            </w:r>
          </w:p>
        </w:tc>
      </w:tr>
      <w:tr w:rsidR="00120549" w:rsidRPr="00AD7843" w14:paraId="6E74CC26" w14:textId="77777777" w:rsidTr="00120549">
        <w:tc>
          <w:tcPr>
            <w:tcW w:w="2544" w:type="dxa"/>
          </w:tcPr>
          <w:p w14:paraId="49A4EA9F" w14:textId="77777777"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Software</w:t>
            </w:r>
          </w:p>
        </w:tc>
        <w:tc>
          <w:tcPr>
            <w:tcW w:w="6523" w:type="dxa"/>
          </w:tcPr>
          <w:p w14:paraId="56C9B585" w14:textId="771EFD68" w:rsidR="00120549" w:rsidRPr="00AD7843" w:rsidRDefault="00120549" w:rsidP="002F3448">
            <w:pPr>
              <w:pStyle w:val="TableText"/>
              <w:keepNext/>
              <w:spacing w:before="0" w:after="0"/>
              <w:rPr>
                <w:rFonts w:ascii="Arial" w:hAnsi="Arial" w:cs="Arial"/>
                <w:szCs w:val="20"/>
              </w:rPr>
            </w:pPr>
            <w:r w:rsidRPr="00AD7843">
              <w:rPr>
                <w:rFonts w:ascii="Arial" w:hAnsi="Arial" w:cs="Arial"/>
                <w:szCs w:val="20"/>
              </w:rPr>
              <w:t>Excel</w:t>
            </w:r>
          </w:p>
        </w:tc>
      </w:tr>
    </w:tbl>
    <w:p w14:paraId="5E0AFF28" w14:textId="3ED0B600" w:rsidR="00120549" w:rsidRPr="00C53B06" w:rsidRDefault="00824B74" w:rsidP="00C53B06">
      <w:pPr>
        <w:pStyle w:val="Heading3"/>
        <w:spacing w:before="160" w:after="160"/>
        <w:rPr>
          <w:rFonts w:ascii="Arial" w:hAnsi="Arial" w:cs="Arial"/>
          <w:b/>
          <w:bCs/>
        </w:rPr>
      </w:pPr>
      <w:bookmarkStart w:id="62" w:name="_Toc137535769"/>
      <w:r w:rsidRPr="00120549">
        <w:rPr>
          <w:rFonts w:ascii="Arial" w:hAnsi="Arial" w:cs="Arial"/>
          <w:b/>
          <w:bCs/>
        </w:rPr>
        <w:t>3A.</w:t>
      </w:r>
      <w:r w:rsidR="00AA3BF1" w:rsidRPr="00120549">
        <w:rPr>
          <w:rFonts w:ascii="Arial" w:hAnsi="Arial" w:cs="Arial"/>
          <w:b/>
          <w:bCs/>
        </w:rPr>
        <w:t>2</w:t>
      </w:r>
      <w:r w:rsidRPr="00120549">
        <w:rPr>
          <w:rFonts w:ascii="Arial" w:hAnsi="Arial" w:cs="Arial"/>
          <w:b/>
          <w:bCs/>
        </w:rPr>
        <w:t>.2</w:t>
      </w:r>
      <w:r w:rsidRPr="00120549">
        <w:rPr>
          <w:rFonts w:ascii="Arial" w:hAnsi="Arial" w:cs="Arial"/>
          <w:b/>
          <w:bCs/>
        </w:rPr>
        <w:tab/>
      </w:r>
      <w:r w:rsidR="003D299E" w:rsidRPr="00120549">
        <w:rPr>
          <w:rFonts w:ascii="Arial" w:hAnsi="Arial" w:cs="Arial"/>
          <w:b/>
          <w:bCs/>
        </w:rPr>
        <w:t>Structure of the economic evaluation</w:t>
      </w:r>
      <w:bookmarkEnd w:id="62"/>
    </w:p>
    <w:p w14:paraId="14427720" w14:textId="5B36BD5A" w:rsidR="00D2450D" w:rsidRPr="00120549" w:rsidRDefault="00D2450D" w:rsidP="00C53B06">
      <w:pPr>
        <w:spacing w:before="160" w:line="240" w:lineRule="auto"/>
        <w:rPr>
          <w:rFonts w:ascii="Arial" w:hAnsi="Arial" w:cs="Arial"/>
          <w:b/>
          <w:bCs/>
          <w:i/>
          <w:iCs/>
        </w:rPr>
      </w:pPr>
      <w:r w:rsidRPr="00120549">
        <w:rPr>
          <w:rFonts w:ascii="Arial" w:hAnsi="Arial" w:cs="Arial"/>
          <w:b/>
          <w:bCs/>
          <w:i/>
          <w:iCs/>
        </w:rPr>
        <w:t xml:space="preserve">SF-6D and QALYs </w:t>
      </w:r>
    </w:p>
    <w:p w14:paraId="54E0B215" w14:textId="595E0211" w:rsidR="00D2450D" w:rsidRPr="00AD7843" w:rsidRDefault="00D2450D" w:rsidP="00C53B06">
      <w:pPr>
        <w:spacing w:before="160" w:line="240" w:lineRule="auto"/>
        <w:rPr>
          <w:rFonts w:ascii="Arial" w:hAnsi="Arial" w:cs="Arial"/>
        </w:rPr>
      </w:pPr>
      <w:r w:rsidRPr="00AD7843">
        <w:rPr>
          <w:rFonts w:ascii="Arial" w:hAnsi="Arial" w:cs="Arial"/>
        </w:rPr>
        <w:t>The SF-36 is a generic health status instrument, comprising eight scales</w:t>
      </w:r>
      <w:r w:rsidR="00120549">
        <w:rPr>
          <w:rStyle w:val="EndnoteReference"/>
          <w:rFonts w:ascii="Arial" w:hAnsi="Arial" w:cs="Arial"/>
        </w:rPr>
        <w:endnoteReference w:id="4"/>
      </w:r>
      <w:r w:rsidRPr="00AD7843">
        <w:rPr>
          <w:rFonts w:ascii="Arial" w:hAnsi="Arial" w:cs="Arial"/>
        </w:rPr>
        <w:t>. We used the SF-36 data collected as part of the trial to generate SF-6D scores that were subsequently used to compute QALYs. For the SF-6D, items of the SF-36 are converted into a six-dimensional health state classification system: physical functioning, role limitation, social functioning, pain, mental health, and vitality, with between two and six levels. This results into 18,000 different health states. The health states are then assigned preference weights derived from valuations of a sample of 249 SF-6D health states using the discrete choice experiment (DCE) in a representative sample of the Australian population value sets. We used the second version of the SF-6D algorithm for this exercise</w:t>
      </w:r>
      <w:r w:rsidR="00120549">
        <w:rPr>
          <w:rStyle w:val="EndnoteReference"/>
          <w:rFonts w:ascii="Arial" w:hAnsi="Arial" w:cs="Arial"/>
        </w:rPr>
        <w:endnoteReference w:id="5"/>
      </w:r>
      <w:r w:rsidRPr="00AD7843">
        <w:rPr>
          <w:rFonts w:ascii="Arial" w:hAnsi="Arial" w:cs="Arial"/>
        </w:rPr>
        <w:t>. QALYs are then calculated using the area under the curve method</w:t>
      </w:r>
      <w:r w:rsidR="00F369C3">
        <w:rPr>
          <w:rStyle w:val="EndnoteReference"/>
          <w:rFonts w:ascii="Arial" w:hAnsi="Arial" w:cs="Arial"/>
        </w:rPr>
        <w:endnoteReference w:id="6"/>
      </w:r>
      <w:r w:rsidR="00F369C3">
        <w:rPr>
          <w:rFonts w:ascii="Arial" w:hAnsi="Arial" w:cs="Arial"/>
        </w:rPr>
        <w:t>.</w:t>
      </w:r>
    </w:p>
    <w:p w14:paraId="2F1B6463" w14:textId="0539EEC8" w:rsidR="00B62533" w:rsidRDefault="00B62533">
      <w:pPr>
        <w:spacing w:before="0"/>
        <w:rPr>
          <w:rFonts w:ascii="Arial" w:hAnsi="Arial" w:cs="Arial"/>
          <w:i/>
          <w:iCs/>
        </w:rPr>
      </w:pPr>
      <w:r>
        <w:rPr>
          <w:rFonts w:ascii="Arial" w:hAnsi="Arial" w:cs="Arial"/>
          <w:i/>
          <w:iCs/>
        </w:rPr>
        <w:br w:type="page"/>
      </w:r>
    </w:p>
    <w:p w14:paraId="4B1CB6F4" w14:textId="1DF646E8" w:rsidR="00D2450D" w:rsidRPr="00120549" w:rsidRDefault="00D2450D" w:rsidP="00C53B06">
      <w:pPr>
        <w:spacing w:before="160" w:line="240" w:lineRule="auto"/>
        <w:rPr>
          <w:rFonts w:ascii="Arial" w:hAnsi="Arial" w:cs="Arial"/>
          <w:b/>
          <w:bCs/>
          <w:i/>
          <w:iCs/>
        </w:rPr>
      </w:pPr>
      <w:r w:rsidRPr="00120549">
        <w:rPr>
          <w:rFonts w:ascii="Arial" w:hAnsi="Arial" w:cs="Arial"/>
          <w:b/>
          <w:bCs/>
          <w:i/>
          <w:iCs/>
        </w:rPr>
        <w:lastRenderedPageBreak/>
        <w:t xml:space="preserve">Cost </w:t>
      </w:r>
      <w:r w:rsidR="00120549">
        <w:rPr>
          <w:rFonts w:ascii="Arial" w:hAnsi="Arial" w:cs="Arial"/>
          <w:b/>
          <w:bCs/>
          <w:i/>
          <w:iCs/>
        </w:rPr>
        <w:t>D</w:t>
      </w:r>
      <w:r w:rsidRPr="00120549">
        <w:rPr>
          <w:rFonts w:ascii="Arial" w:hAnsi="Arial" w:cs="Arial"/>
          <w:b/>
          <w:bCs/>
          <w:i/>
          <w:iCs/>
        </w:rPr>
        <w:t>ata</w:t>
      </w:r>
    </w:p>
    <w:p w14:paraId="059A1847" w14:textId="69E9217E" w:rsidR="0061509E" w:rsidRDefault="00D2450D" w:rsidP="00C53B06">
      <w:pPr>
        <w:spacing w:before="160" w:line="240" w:lineRule="auto"/>
        <w:rPr>
          <w:rFonts w:ascii="Arial" w:hAnsi="Arial" w:cs="Arial"/>
        </w:rPr>
      </w:pPr>
      <w:r w:rsidRPr="00AD7843">
        <w:rPr>
          <w:rFonts w:ascii="Arial" w:hAnsi="Arial" w:cs="Arial"/>
        </w:rPr>
        <w:t xml:space="preserve">Cost data was based on the MBS and PBS data requested for the 2019-2021 period. As this data span multiple years, we adjusted the costs to reflect 2021 average health price inflation </w:t>
      </w:r>
      <w:r w:rsidRPr="00AD7843">
        <w:rPr>
          <w:rFonts w:ascii="Arial" w:hAnsi="Arial" w:cs="Arial"/>
        </w:rPr>
        <w:fldChar w:fldCharType="begin"/>
      </w:r>
      <w:r w:rsidRPr="00AD7843">
        <w:rPr>
          <w:rFonts w:ascii="Arial" w:hAnsi="Arial" w:cs="Arial"/>
        </w:rPr>
        <w:instrText xml:space="preserve"> ADDIN EN.CITE &lt;EndNote&gt;&lt;Cite&gt;&lt;Author&gt;Australian Bureau of Statistics&lt;/Author&gt;&lt;Year&gt;2022&lt;/Year&gt;&lt;RecNum&gt;6&lt;/RecNum&gt;&lt;DisplayText&gt;(Australian Bureau of Statistics, 2022)&lt;/DisplayText&gt;&lt;record&gt;&lt;rec-number&gt;6&lt;/rec-number&gt;&lt;foreign-keys&gt;&lt;key app="EN" db-id="0f9v5px9xe0te5ea9dc5pas5s9929dr5z5rs" timestamp="1665684225"&gt;6&lt;/key&gt;&lt;/foreign-keys&gt;&lt;ref-type name="Web Page"&gt;12&lt;/ref-type&gt;&lt;contributors&gt;&lt;authors&gt;&lt;author&gt;Australian Bureau of Statistics,&lt;/author&gt;&lt;/authors&gt;&lt;/contributors&gt;&lt;titles&gt;&lt;title&gt;Consumer price index, Australia&lt;/title&gt;&lt;/titles&gt;&lt;volume&gt;2022&lt;/volume&gt;&lt;dates&gt;&lt;year&gt;2022&lt;/year&gt;&lt;/dates&gt;&lt;pub-location&gt;Canberra&lt;/pub-location&gt;&lt;publisher&gt;ABS&lt;/publisher&gt;&lt;urls&gt;&lt;/urls&gt;&lt;/record&gt;&lt;/Cite&gt;&lt;/EndNote&gt;</w:instrText>
      </w:r>
      <w:r w:rsidRPr="00AD7843">
        <w:rPr>
          <w:rFonts w:ascii="Arial" w:hAnsi="Arial" w:cs="Arial"/>
        </w:rPr>
        <w:fldChar w:fldCharType="separate"/>
      </w:r>
      <w:r w:rsidRPr="00AD7843">
        <w:rPr>
          <w:rFonts w:ascii="Arial" w:hAnsi="Arial" w:cs="Arial"/>
          <w:noProof/>
        </w:rPr>
        <w:t>(Australian Bureau of Statistics, 2022)</w:t>
      </w:r>
      <w:r w:rsidRPr="00AD7843">
        <w:rPr>
          <w:rFonts w:ascii="Arial" w:hAnsi="Arial" w:cs="Arial"/>
        </w:rPr>
        <w:fldChar w:fldCharType="end"/>
      </w:r>
      <w:r w:rsidRPr="00AD7843">
        <w:rPr>
          <w:rFonts w:ascii="Arial" w:hAnsi="Arial" w:cs="Arial"/>
        </w:rPr>
        <w:t>. The costs in this report reflect cumulative averages.</w:t>
      </w:r>
    </w:p>
    <w:p w14:paraId="18E9577B" w14:textId="3A8DCBD9" w:rsidR="00120549" w:rsidRDefault="00D2450D" w:rsidP="00C53B06">
      <w:pPr>
        <w:spacing w:before="160" w:line="240" w:lineRule="auto"/>
        <w:rPr>
          <w:rFonts w:ascii="Arial" w:hAnsi="Arial" w:cs="Arial"/>
        </w:rPr>
      </w:pPr>
      <w:r w:rsidRPr="00AD7843">
        <w:rPr>
          <w:rFonts w:ascii="Arial" w:hAnsi="Arial" w:cs="Arial"/>
        </w:rPr>
        <w:t xml:space="preserve">Another component of the cost data related to the cost associated with the intervention itself. The community pharmacist spent an estimated 15-20 minutes to conduct each low intensity risk assessment with 25-30 minutes spent on comprehensive intensity risk assessments. In order to calculate the intervention-related costs in terms of the pharmacist’s time, we used the community pharmacist’s median hourly rate of pay in 2019-2020 which was estimated to be $38.00 </w:t>
      </w:r>
      <w:r w:rsidRPr="00AD7843">
        <w:rPr>
          <w:rFonts w:ascii="Arial" w:hAnsi="Arial" w:cs="Arial"/>
        </w:rPr>
        <w:fldChar w:fldCharType="begin"/>
      </w:r>
      <w:r w:rsidRPr="00AD7843">
        <w:rPr>
          <w:rFonts w:ascii="Arial" w:hAnsi="Arial" w:cs="Arial"/>
        </w:rPr>
        <w:instrText xml:space="preserve"> ADDIN EN.CITE &lt;EndNote&gt;&lt;Cite&gt;&lt;Author&gt;Professional Pharmacists Australia&lt;/Author&gt;&lt;Year&gt;2021&lt;/Year&gt;&lt;RecNum&gt;7&lt;/RecNum&gt;&lt;DisplayText&gt;(Professional Pharmacists Australia, 2021)&lt;/DisplayText&gt;&lt;record&gt;&lt;rec-number&gt;7&lt;/rec-number&gt;&lt;foreign-keys&gt;&lt;key app="EN" db-id="0f9v5px9xe0te5ea9dc5pas5s9929dr5z5rs" timestamp="1666143923"&gt;7&lt;/key&gt;&lt;/foreign-keys&gt;&lt;ref-type name="Report"&gt;27&lt;/ref-type&gt;&lt;contributors&gt;&lt;authors&gt;&lt;author&gt;Professional Pharmacists Australia,&lt;/author&gt;&lt;/authors&gt;&lt;/contributors&gt;&lt;titles&gt;&lt;title&gt;Community and Hospital Pharmacists employment and remuneration report 2019-20&lt;/title&gt;&lt;/titles&gt;&lt;dates&gt;&lt;year&gt;2021&lt;/year&gt;&lt;/dates&gt;&lt;urls&gt;&lt;related-urls&gt;&lt;url&gt;https://members.professionalsaustralia.org.au/PPA/Latest_News/19_20_Pharmacists_Employment_Remuneration_Report.aspx&lt;/url&gt;&lt;/related-urls&gt;&lt;/urls&gt;&lt;/record&gt;&lt;/Cite&gt;&lt;/EndNote&gt;</w:instrText>
      </w:r>
      <w:r w:rsidRPr="00AD7843">
        <w:rPr>
          <w:rFonts w:ascii="Arial" w:hAnsi="Arial" w:cs="Arial"/>
        </w:rPr>
        <w:fldChar w:fldCharType="separate"/>
      </w:r>
      <w:r w:rsidRPr="00AD7843">
        <w:rPr>
          <w:rFonts w:ascii="Arial" w:hAnsi="Arial" w:cs="Arial"/>
          <w:noProof/>
        </w:rPr>
        <w:t>(Professional Pharmacists Australia, 2021)</w:t>
      </w:r>
      <w:r w:rsidRPr="00AD7843">
        <w:rPr>
          <w:rFonts w:ascii="Arial" w:hAnsi="Arial" w:cs="Arial"/>
        </w:rPr>
        <w:fldChar w:fldCharType="end"/>
      </w:r>
      <w:r w:rsidRPr="00AD7843">
        <w:rPr>
          <w:rFonts w:ascii="Arial" w:hAnsi="Arial" w:cs="Arial"/>
        </w:rPr>
        <w:t>. This community pharmacy median hourly rate was multiplied by the average time to complete one screening assessment in either arm of the trial (</w:t>
      </w:r>
      <w:r w:rsidR="00AD7B66" w:rsidRPr="00AD7843">
        <w:rPr>
          <w:rFonts w:ascii="Arial" w:hAnsi="Arial" w:cs="Arial"/>
        </w:rPr>
        <w:t>i.e.,</w:t>
      </w:r>
      <w:r w:rsidRPr="00AD7843">
        <w:rPr>
          <w:rFonts w:ascii="Arial" w:hAnsi="Arial" w:cs="Arial"/>
        </w:rPr>
        <w:t xml:space="preserve"> 15-20 minutes in the brief arm and 25-30 minutes in the comprehensive arm) and multiplied by the total number of assessments in either arm of the trial.</w:t>
      </w:r>
    </w:p>
    <w:p w14:paraId="454ACE01" w14:textId="0471033A" w:rsidR="00AE7977" w:rsidRPr="008B6783" w:rsidRDefault="00AE7977" w:rsidP="00C53B06">
      <w:pPr>
        <w:pStyle w:val="Heading3"/>
        <w:spacing w:before="160" w:after="160"/>
        <w:rPr>
          <w:rFonts w:ascii="Arial" w:hAnsi="Arial" w:cs="Arial"/>
          <w:b/>
          <w:bCs/>
        </w:rPr>
      </w:pPr>
      <w:bookmarkStart w:id="63" w:name="_Toc137535770"/>
      <w:r w:rsidRPr="008B6783">
        <w:rPr>
          <w:rFonts w:ascii="Arial" w:hAnsi="Arial" w:cs="Arial"/>
          <w:b/>
          <w:bCs/>
        </w:rPr>
        <w:t>3A.</w:t>
      </w:r>
      <w:r w:rsidR="00AA3BF1" w:rsidRPr="008B6783">
        <w:rPr>
          <w:rFonts w:ascii="Arial" w:hAnsi="Arial" w:cs="Arial"/>
          <w:b/>
          <w:bCs/>
        </w:rPr>
        <w:t>2</w:t>
      </w:r>
      <w:r w:rsidRPr="008B6783">
        <w:rPr>
          <w:rFonts w:ascii="Arial" w:hAnsi="Arial" w:cs="Arial"/>
          <w:b/>
          <w:bCs/>
        </w:rPr>
        <w:t>.</w:t>
      </w:r>
      <w:r w:rsidR="00824B74" w:rsidRPr="008B6783">
        <w:rPr>
          <w:rFonts w:ascii="Arial" w:hAnsi="Arial" w:cs="Arial"/>
          <w:b/>
          <w:bCs/>
        </w:rPr>
        <w:t>3</w:t>
      </w:r>
      <w:r w:rsidRPr="008B6783">
        <w:rPr>
          <w:rFonts w:ascii="Arial" w:hAnsi="Arial" w:cs="Arial"/>
          <w:b/>
          <w:bCs/>
        </w:rPr>
        <w:tab/>
        <w:t>Model population</w:t>
      </w:r>
      <w:r w:rsidR="003D299E" w:rsidRPr="008B6783">
        <w:rPr>
          <w:rFonts w:ascii="Arial" w:hAnsi="Arial" w:cs="Arial"/>
          <w:b/>
          <w:bCs/>
        </w:rPr>
        <w:t xml:space="preserve"> and setting</w:t>
      </w:r>
      <w:bookmarkEnd w:id="63"/>
    </w:p>
    <w:p w14:paraId="299BCB71" w14:textId="6CD21461" w:rsidR="00120549" w:rsidRPr="00C53B06" w:rsidRDefault="00E651CB" w:rsidP="00C53B06">
      <w:pPr>
        <w:spacing w:before="160" w:line="240" w:lineRule="auto"/>
        <w:textAlignment w:val="baseline"/>
        <w:rPr>
          <w:rFonts w:ascii="Arial" w:hAnsi="Arial" w:cs="Arial"/>
          <w:color w:val="000000" w:themeColor="text1"/>
        </w:rPr>
      </w:pPr>
      <w:r w:rsidRPr="00AD7843">
        <w:rPr>
          <w:rFonts w:ascii="Arial" w:hAnsi="Arial" w:cs="Arial"/>
        </w:rPr>
        <w:t>The setting of the economic evaluation is the Australian health care setting, with the modelled population being a</w:t>
      </w:r>
      <w:r w:rsidRPr="00AD7843">
        <w:rPr>
          <w:rFonts w:ascii="Arial" w:hAnsi="Arial" w:cs="Arial"/>
          <w:color w:val="000000" w:themeColor="text1"/>
        </w:rPr>
        <w:t xml:space="preserve">dults aged 45 to 74 years (35 to 74 years for Aboriginal and Torres Strait Islander people) without known history of CVD who engage with community </w:t>
      </w:r>
      <w:r w:rsidR="00AD7B66" w:rsidRPr="00AD7843">
        <w:rPr>
          <w:rFonts w:ascii="Arial" w:hAnsi="Arial" w:cs="Arial"/>
          <w:color w:val="000000" w:themeColor="text1"/>
        </w:rPr>
        <w:t>pharmacy.</w:t>
      </w:r>
    </w:p>
    <w:p w14:paraId="21597060" w14:textId="2A779C6D" w:rsidR="00CA528A" w:rsidRPr="00120549" w:rsidRDefault="00D20031" w:rsidP="00C53B06">
      <w:pPr>
        <w:pStyle w:val="Heading2"/>
        <w:numPr>
          <w:ilvl w:val="0"/>
          <w:numId w:val="0"/>
        </w:numPr>
        <w:spacing w:before="160" w:after="160"/>
        <w:ind w:left="720" w:hanging="720"/>
        <w:rPr>
          <w:rFonts w:ascii="Arial" w:hAnsi="Arial" w:cs="Arial"/>
          <w:b/>
          <w:bCs/>
        </w:rPr>
      </w:pPr>
      <w:bookmarkStart w:id="64" w:name="_Toc137535771"/>
      <w:r w:rsidRPr="00120549">
        <w:rPr>
          <w:rFonts w:ascii="Arial" w:hAnsi="Arial" w:cs="Arial"/>
          <w:b/>
          <w:bCs/>
        </w:rPr>
        <w:t>3A.</w:t>
      </w:r>
      <w:r w:rsidR="00AA3BF1" w:rsidRPr="00120549">
        <w:rPr>
          <w:rFonts w:ascii="Arial" w:hAnsi="Arial" w:cs="Arial"/>
          <w:b/>
          <w:bCs/>
        </w:rPr>
        <w:t>3</w:t>
      </w:r>
      <w:r w:rsidR="00E079B8" w:rsidRPr="00120549">
        <w:rPr>
          <w:rFonts w:ascii="Arial" w:hAnsi="Arial" w:cs="Arial"/>
          <w:b/>
          <w:bCs/>
        </w:rPr>
        <w:tab/>
      </w:r>
      <w:r w:rsidR="00CA528A" w:rsidRPr="00120549">
        <w:rPr>
          <w:rFonts w:ascii="Arial" w:hAnsi="Arial" w:cs="Arial"/>
          <w:b/>
          <w:bCs/>
        </w:rPr>
        <w:t>Results</w:t>
      </w:r>
      <w:bookmarkEnd w:id="64"/>
    </w:p>
    <w:p w14:paraId="6FB50C67" w14:textId="5264B131" w:rsidR="00302252" w:rsidRPr="00C53B06" w:rsidRDefault="007A5617" w:rsidP="00C53B06">
      <w:pPr>
        <w:pStyle w:val="Heading3"/>
        <w:spacing w:before="160" w:after="160"/>
        <w:rPr>
          <w:rFonts w:ascii="Arial" w:hAnsi="Arial" w:cs="Arial"/>
          <w:b/>
          <w:bCs/>
        </w:rPr>
      </w:pPr>
      <w:bookmarkStart w:id="65" w:name="_Toc137535772"/>
      <w:r w:rsidRPr="00120549">
        <w:rPr>
          <w:rFonts w:ascii="Arial" w:hAnsi="Arial" w:cs="Arial"/>
          <w:b/>
          <w:bCs/>
        </w:rPr>
        <w:t>3A.</w:t>
      </w:r>
      <w:r w:rsidR="00AA3BF1" w:rsidRPr="00120549">
        <w:rPr>
          <w:rFonts w:ascii="Arial" w:hAnsi="Arial" w:cs="Arial"/>
          <w:b/>
          <w:bCs/>
        </w:rPr>
        <w:t>3</w:t>
      </w:r>
      <w:r w:rsidRPr="00120549">
        <w:rPr>
          <w:rFonts w:ascii="Arial" w:hAnsi="Arial" w:cs="Arial"/>
          <w:b/>
          <w:bCs/>
        </w:rPr>
        <w:t>.1</w:t>
      </w:r>
      <w:r w:rsidRPr="00120549">
        <w:rPr>
          <w:rFonts w:ascii="Arial" w:hAnsi="Arial" w:cs="Arial"/>
          <w:b/>
          <w:bCs/>
        </w:rPr>
        <w:tab/>
      </w:r>
      <w:r w:rsidR="00C04C3A" w:rsidRPr="00120549">
        <w:rPr>
          <w:rFonts w:ascii="Arial" w:hAnsi="Arial" w:cs="Arial"/>
          <w:b/>
          <w:bCs/>
        </w:rPr>
        <w:t>Base</w:t>
      </w:r>
      <w:r w:rsidR="00CA2FB2" w:rsidRPr="00120549">
        <w:rPr>
          <w:rFonts w:ascii="Arial" w:hAnsi="Arial" w:cs="Arial"/>
          <w:b/>
          <w:bCs/>
        </w:rPr>
        <w:t>-</w:t>
      </w:r>
      <w:r w:rsidR="00C04C3A" w:rsidRPr="00120549">
        <w:rPr>
          <w:rFonts w:ascii="Arial" w:hAnsi="Arial" w:cs="Arial"/>
          <w:b/>
          <w:bCs/>
        </w:rPr>
        <w:t>case analysis</w:t>
      </w:r>
      <w:bookmarkStart w:id="66" w:name="_Toc54940852"/>
      <w:bookmarkEnd w:id="65"/>
    </w:p>
    <w:p w14:paraId="0B732033" w14:textId="5AAACB12" w:rsidR="00D42046" w:rsidRPr="00120549" w:rsidRDefault="00D42046" w:rsidP="00C53B06">
      <w:pPr>
        <w:spacing w:before="160" w:line="240" w:lineRule="auto"/>
        <w:rPr>
          <w:rFonts w:ascii="Arial" w:hAnsi="Arial" w:cs="Arial"/>
          <w:b/>
          <w:i/>
          <w:iCs/>
        </w:rPr>
      </w:pPr>
      <w:r w:rsidRPr="00120549">
        <w:rPr>
          <w:rFonts w:ascii="Arial" w:hAnsi="Arial" w:cs="Arial"/>
          <w:b/>
          <w:i/>
          <w:iCs/>
        </w:rPr>
        <w:t xml:space="preserve">Descriptive </w:t>
      </w:r>
      <w:r w:rsidR="00120549">
        <w:rPr>
          <w:rFonts w:ascii="Arial" w:hAnsi="Arial" w:cs="Arial"/>
          <w:b/>
          <w:i/>
          <w:iCs/>
        </w:rPr>
        <w:t>C</w:t>
      </w:r>
      <w:r w:rsidRPr="00120549">
        <w:rPr>
          <w:rFonts w:ascii="Arial" w:hAnsi="Arial" w:cs="Arial"/>
          <w:b/>
          <w:i/>
          <w:iCs/>
        </w:rPr>
        <w:t>haracteristics</w:t>
      </w:r>
    </w:p>
    <w:p w14:paraId="06AAE42A" w14:textId="09491690" w:rsidR="004C6AAD" w:rsidRDefault="00D42046" w:rsidP="00C53B06">
      <w:pPr>
        <w:spacing w:before="160" w:line="240" w:lineRule="auto"/>
        <w:rPr>
          <w:rFonts w:ascii="Arial" w:hAnsi="Arial" w:cs="Arial"/>
          <w:bCs/>
        </w:rPr>
      </w:pPr>
      <w:r w:rsidRPr="00AD7843">
        <w:rPr>
          <w:rFonts w:ascii="Arial" w:hAnsi="Arial" w:cs="Arial"/>
          <w:bCs/>
        </w:rPr>
        <w:t>Table 1</w:t>
      </w:r>
      <w:r w:rsidR="004C6AAD">
        <w:rPr>
          <w:rFonts w:ascii="Arial" w:hAnsi="Arial" w:cs="Arial"/>
          <w:bCs/>
        </w:rPr>
        <w:t>4</w:t>
      </w:r>
      <w:r w:rsidRPr="00AD7843">
        <w:rPr>
          <w:rFonts w:ascii="Arial" w:hAnsi="Arial" w:cs="Arial"/>
          <w:bCs/>
        </w:rPr>
        <w:t xml:space="preserve"> provides a summary of the basic demographic characteristics, quality of life scores (SF-6D version 2), and risk classification at baseline.</w:t>
      </w:r>
    </w:p>
    <w:p w14:paraId="4C4C8B98" w14:textId="35A9B4FD" w:rsidR="004C6AAD" w:rsidRDefault="00D42046" w:rsidP="00C53B06">
      <w:pPr>
        <w:spacing w:before="160" w:line="240" w:lineRule="auto"/>
        <w:rPr>
          <w:rFonts w:ascii="Arial" w:hAnsi="Arial" w:cs="Arial"/>
          <w:bCs/>
        </w:rPr>
      </w:pPr>
      <w:r w:rsidRPr="00AD7843">
        <w:rPr>
          <w:rFonts w:ascii="Arial" w:hAnsi="Arial" w:cs="Arial"/>
          <w:bCs/>
        </w:rPr>
        <w:t>Overall, 68.69% of study participants were female, 67.27% in the brief intervention arm and 69.52% in the comprehensive intervention arm. Most participants were Australian born (58.92%), 3.37% were Aborigina</w:t>
      </w:r>
      <w:r w:rsidR="00C01521">
        <w:rPr>
          <w:rFonts w:ascii="Arial" w:hAnsi="Arial" w:cs="Arial"/>
          <w:bCs/>
        </w:rPr>
        <w:t>l and Torres Strait Islander people</w:t>
      </w:r>
      <w:r w:rsidRPr="00AD7843">
        <w:rPr>
          <w:rFonts w:ascii="Arial" w:hAnsi="Arial" w:cs="Arial"/>
          <w:bCs/>
        </w:rPr>
        <w:t>, 40.74% were aged 45-54 years, 39.73% were aged 55-64 years and 19.53% were aged 64 years and older. The average health utility score for the overall sample was 0.71 with an interquartile range of (0.65-0.80).</w:t>
      </w:r>
    </w:p>
    <w:p w14:paraId="49BA6CDB" w14:textId="02706DB7" w:rsidR="004C6AAD" w:rsidRDefault="00D42046" w:rsidP="00C53B06">
      <w:pPr>
        <w:spacing w:before="160" w:line="240" w:lineRule="auto"/>
        <w:rPr>
          <w:rFonts w:ascii="Arial" w:hAnsi="Arial" w:cs="Arial"/>
          <w:bCs/>
        </w:rPr>
      </w:pPr>
      <w:r w:rsidRPr="00AD7843">
        <w:rPr>
          <w:rFonts w:ascii="Arial" w:hAnsi="Arial" w:cs="Arial"/>
          <w:bCs/>
        </w:rPr>
        <w:t>Pearson’s chi-square test (or Fisher’s exact test where appropriate) for categorical variables and independent samples t-test for continuous variables found no significant differences between the brief intervention arm and the comprehensive intervention arm on any demographic variables and quality of life tested at baseline. However, statistically significant differences were observed in terms of risk classification.</w:t>
      </w:r>
    </w:p>
    <w:p w14:paraId="63FD0A52" w14:textId="3745673D" w:rsidR="00E87484" w:rsidRDefault="00E87484">
      <w:pPr>
        <w:spacing w:before="0"/>
        <w:rPr>
          <w:rFonts w:ascii="Arial" w:hAnsi="Arial" w:cs="Arial"/>
          <w:bCs/>
        </w:rPr>
      </w:pPr>
      <w:r>
        <w:rPr>
          <w:rFonts w:ascii="Arial" w:hAnsi="Arial" w:cs="Arial"/>
          <w:bCs/>
        </w:rPr>
        <w:br w:type="page"/>
      </w:r>
    </w:p>
    <w:p w14:paraId="507FA750" w14:textId="6002F682" w:rsidR="00D42046" w:rsidRPr="00CD3DF1" w:rsidRDefault="00C772C8" w:rsidP="00CD3DF1">
      <w:pPr>
        <w:pStyle w:val="Heading3"/>
        <w:spacing w:before="0" w:after="0"/>
        <w:rPr>
          <w:rFonts w:ascii="Arial Narrow" w:hAnsi="Arial Narrow"/>
          <w:b/>
          <w:bCs/>
          <w:sz w:val="20"/>
          <w:szCs w:val="20"/>
        </w:rPr>
      </w:pPr>
      <w:bookmarkStart w:id="67" w:name="_Toc137535773"/>
      <w:r w:rsidRPr="00CD3DF1">
        <w:rPr>
          <w:rFonts w:ascii="Arial Narrow" w:hAnsi="Arial Narrow"/>
          <w:b/>
          <w:bCs/>
          <w:sz w:val="20"/>
          <w:szCs w:val="20"/>
        </w:rPr>
        <w:lastRenderedPageBreak/>
        <w:t>Table 1</w:t>
      </w:r>
      <w:r w:rsidR="00E87484" w:rsidRPr="00CD3DF1">
        <w:rPr>
          <w:rFonts w:ascii="Arial Narrow" w:hAnsi="Arial Narrow"/>
          <w:b/>
          <w:bCs/>
          <w:sz w:val="20"/>
          <w:szCs w:val="20"/>
        </w:rPr>
        <w:t>4:</w:t>
      </w:r>
      <w:r w:rsidR="00D42046" w:rsidRPr="00CD3DF1">
        <w:rPr>
          <w:rFonts w:ascii="Arial Narrow" w:hAnsi="Arial Narrow"/>
          <w:b/>
          <w:bCs/>
          <w:sz w:val="20"/>
          <w:szCs w:val="20"/>
        </w:rPr>
        <w:t xml:space="preserve"> Baseline characteristics of participants allocated to the brief and comprehensive intervention arms</w:t>
      </w:r>
      <w:bookmarkEnd w:id="67"/>
    </w:p>
    <w:tbl>
      <w:tblPr>
        <w:tblStyle w:val="TableGrid"/>
        <w:tblW w:w="5000" w:type="pct"/>
        <w:tblBorders>
          <w:top w:val="single" w:sz="4" w:space="0" w:color="000000" w:themeColor="text1"/>
          <w:left w:val="nil"/>
          <w:bottom w:val="nil"/>
          <w:right w:val="nil"/>
          <w:insideH w:val="nil"/>
          <w:insideV w:val="nil"/>
        </w:tblBorders>
        <w:tblLook w:val="04A0" w:firstRow="1" w:lastRow="0" w:firstColumn="1" w:lastColumn="0" w:noHBand="0" w:noVBand="1"/>
      </w:tblPr>
      <w:tblGrid>
        <w:gridCol w:w="3111"/>
        <w:gridCol w:w="1489"/>
        <w:gridCol w:w="1489"/>
        <w:gridCol w:w="2043"/>
        <w:gridCol w:w="894"/>
      </w:tblGrid>
      <w:tr w:rsidR="00D42046" w:rsidRPr="00AD7843" w14:paraId="32A53E55" w14:textId="77777777" w:rsidTr="00561571">
        <w:tc>
          <w:tcPr>
            <w:tcW w:w="1723" w:type="pct"/>
            <w:vAlign w:val="center"/>
          </w:tcPr>
          <w:p w14:paraId="4C428E57" w14:textId="77777777" w:rsidR="00D42046" w:rsidRPr="00AD7843" w:rsidRDefault="00D42046" w:rsidP="002F3448">
            <w:pPr>
              <w:spacing w:before="0"/>
              <w:rPr>
                <w:rFonts w:ascii="Arial" w:hAnsi="Arial" w:cs="Arial"/>
              </w:rPr>
            </w:pPr>
            <w:r w:rsidRPr="00AD7843">
              <w:rPr>
                <w:rFonts w:ascii="Arial" w:hAnsi="Arial" w:cs="Arial"/>
                <w:b/>
              </w:rPr>
              <w:t xml:space="preserve"> </w:t>
            </w:r>
          </w:p>
        </w:tc>
        <w:tc>
          <w:tcPr>
            <w:tcW w:w="825" w:type="pct"/>
            <w:vAlign w:val="center"/>
          </w:tcPr>
          <w:p w14:paraId="305B771F" w14:textId="77777777" w:rsidR="00D42046" w:rsidRPr="00AD7843" w:rsidRDefault="00D42046" w:rsidP="008B6783">
            <w:pPr>
              <w:spacing w:before="0"/>
              <w:rPr>
                <w:rFonts w:ascii="Arial" w:hAnsi="Arial" w:cs="Arial"/>
              </w:rPr>
            </w:pPr>
            <w:r w:rsidRPr="00AD7843">
              <w:rPr>
                <w:rFonts w:ascii="Arial" w:hAnsi="Arial" w:cs="Arial"/>
                <w:b/>
              </w:rPr>
              <w:t>Total</w:t>
            </w:r>
          </w:p>
        </w:tc>
        <w:tc>
          <w:tcPr>
            <w:tcW w:w="825" w:type="pct"/>
            <w:vAlign w:val="center"/>
          </w:tcPr>
          <w:p w14:paraId="3FF5C018" w14:textId="77777777" w:rsidR="00D42046" w:rsidRPr="00AD7843" w:rsidRDefault="00D42046" w:rsidP="008B6783">
            <w:pPr>
              <w:spacing w:before="0"/>
              <w:rPr>
                <w:rFonts w:ascii="Arial" w:hAnsi="Arial" w:cs="Arial"/>
              </w:rPr>
            </w:pPr>
            <w:r w:rsidRPr="00AD7843">
              <w:rPr>
                <w:rFonts w:ascii="Arial" w:hAnsi="Arial" w:cs="Arial"/>
                <w:b/>
              </w:rPr>
              <w:t>Brief arm</w:t>
            </w:r>
          </w:p>
        </w:tc>
        <w:tc>
          <w:tcPr>
            <w:tcW w:w="1132" w:type="pct"/>
            <w:vAlign w:val="center"/>
          </w:tcPr>
          <w:p w14:paraId="51D73EC5" w14:textId="77777777" w:rsidR="00D42046" w:rsidRPr="00AD7843" w:rsidRDefault="00D42046" w:rsidP="008B6783">
            <w:pPr>
              <w:spacing w:before="0"/>
              <w:rPr>
                <w:rFonts w:ascii="Arial" w:hAnsi="Arial" w:cs="Arial"/>
              </w:rPr>
            </w:pPr>
            <w:r w:rsidRPr="00AD7843">
              <w:rPr>
                <w:rFonts w:ascii="Arial" w:hAnsi="Arial" w:cs="Arial"/>
                <w:b/>
              </w:rPr>
              <w:t>Comprehensive arm</w:t>
            </w:r>
          </w:p>
        </w:tc>
        <w:tc>
          <w:tcPr>
            <w:tcW w:w="495" w:type="pct"/>
            <w:vAlign w:val="center"/>
          </w:tcPr>
          <w:p w14:paraId="498FF48A" w14:textId="77777777" w:rsidR="00D42046" w:rsidRPr="00AD7843" w:rsidRDefault="00D42046" w:rsidP="002F3448">
            <w:pPr>
              <w:spacing w:before="0"/>
              <w:rPr>
                <w:rFonts w:ascii="Arial" w:hAnsi="Arial" w:cs="Arial"/>
              </w:rPr>
            </w:pPr>
            <w:r w:rsidRPr="00AD7843">
              <w:rPr>
                <w:rFonts w:ascii="Arial" w:hAnsi="Arial" w:cs="Arial"/>
                <w:b/>
              </w:rPr>
              <w:t>p-value</w:t>
            </w:r>
          </w:p>
        </w:tc>
      </w:tr>
      <w:tr w:rsidR="00D42046" w:rsidRPr="00AD7843" w14:paraId="60E78967" w14:textId="77777777" w:rsidTr="00561571">
        <w:tc>
          <w:tcPr>
            <w:tcW w:w="1723" w:type="pct"/>
            <w:tcBorders>
              <w:bottom w:val="single" w:sz="0" w:space="0" w:color="000000"/>
            </w:tcBorders>
            <w:vAlign w:val="center"/>
          </w:tcPr>
          <w:p w14:paraId="08550173" w14:textId="77777777" w:rsidR="00D42046" w:rsidRPr="00AD7843" w:rsidRDefault="00D42046" w:rsidP="002F3448">
            <w:pPr>
              <w:spacing w:before="0"/>
              <w:rPr>
                <w:rFonts w:ascii="Arial" w:hAnsi="Arial" w:cs="Arial"/>
              </w:rPr>
            </w:pPr>
            <w:r w:rsidRPr="00AD7843">
              <w:rPr>
                <w:rFonts w:ascii="Arial" w:hAnsi="Arial" w:cs="Arial"/>
              </w:rPr>
              <w:t>Variables</w:t>
            </w:r>
          </w:p>
        </w:tc>
        <w:tc>
          <w:tcPr>
            <w:tcW w:w="825" w:type="pct"/>
            <w:tcBorders>
              <w:bottom w:val="single" w:sz="0" w:space="0" w:color="000000"/>
            </w:tcBorders>
            <w:vAlign w:val="center"/>
          </w:tcPr>
          <w:p w14:paraId="40253F97" w14:textId="77777777" w:rsidR="00D42046" w:rsidRPr="00AD7843" w:rsidRDefault="00D42046" w:rsidP="008B6783">
            <w:pPr>
              <w:spacing w:before="0"/>
              <w:rPr>
                <w:rFonts w:ascii="Arial" w:hAnsi="Arial" w:cs="Arial"/>
              </w:rPr>
            </w:pPr>
            <w:r w:rsidRPr="00AD7843">
              <w:rPr>
                <w:rFonts w:ascii="Arial" w:hAnsi="Arial" w:cs="Arial"/>
                <w:b/>
              </w:rPr>
              <w:t>N=297</w:t>
            </w:r>
          </w:p>
        </w:tc>
        <w:tc>
          <w:tcPr>
            <w:tcW w:w="825" w:type="pct"/>
            <w:tcBorders>
              <w:bottom w:val="single" w:sz="0" w:space="0" w:color="000000"/>
            </w:tcBorders>
            <w:vAlign w:val="center"/>
          </w:tcPr>
          <w:p w14:paraId="70056123" w14:textId="77777777" w:rsidR="00D42046" w:rsidRPr="00AD7843" w:rsidRDefault="00D42046" w:rsidP="008B6783">
            <w:pPr>
              <w:spacing w:before="0"/>
              <w:rPr>
                <w:rFonts w:ascii="Arial" w:hAnsi="Arial" w:cs="Arial"/>
              </w:rPr>
            </w:pPr>
            <w:r w:rsidRPr="00AD7843">
              <w:rPr>
                <w:rFonts w:ascii="Arial" w:hAnsi="Arial" w:cs="Arial"/>
                <w:b/>
              </w:rPr>
              <w:t>N=110</w:t>
            </w:r>
          </w:p>
        </w:tc>
        <w:tc>
          <w:tcPr>
            <w:tcW w:w="1132" w:type="pct"/>
            <w:tcBorders>
              <w:bottom w:val="single" w:sz="0" w:space="0" w:color="000000"/>
            </w:tcBorders>
            <w:vAlign w:val="center"/>
          </w:tcPr>
          <w:p w14:paraId="196C8164" w14:textId="77777777" w:rsidR="00D42046" w:rsidRPr="00AD7843" w:rsidRDefault="00D42046" w:rsidP="008B6783">
            <w:pPr>
              <w:spacing w:before="0"/>
              <w:rPr>
                <w:rFonts w:ascii="Arial" w:hAnsi="Arial" w:cs="Arial"/>
              </w:rPr>
            </w:pPr>
            <w:r w:rsidRPr="00AD7843">
              <w:rPr>
                <w:rFonts w:ascii="Arial" w:hAnsi="Arial" w:cs="Arial"/>
                <w:b/>
              </w:rPr>
              <w:t>N=187</w:t>
            </w:r>
          </w:p>
        </w:tc>
        <w:tc>
          <w:tcPr>
            <w:tcW w:w="495" w:type="pct"/>
            <w:tcBorders>
              <w:bottom w:val="single" w:sz="0" w:space="0" w:color="000000"/>
            </w:tcBorders>
            <w:vAlign w:val="center"/>
          </w:tcPr>
          <w:p w14:paraId="72AC8E99" w14:textId="77777777" w:rsidR="00D42046" w:rsidRPr="00AD7843" w:rsidRDefault="00D42046" w:rsidP="002F3448">
            <w:pPr>
              <w:spacing w:before="0"/>
              <w:rPr>
                <w:rFonts w:ascii="Arial" w:hAnsi="Arial" w:cs="Arial"/>
              </w:rPr>
            </w:pPr>
          </w:p>
        </w:tc>
      </w:tr>
      <w:tr w:rsidR="00D42046" w:rsidRPr="00AD7843" w14:paraId="00D00847" w14:textId="77777777" w:rsidTr="00561571">
        <w:tc>
          <w:tcPr>
            <w:tcW w:w="1723" w:type="pct"/>
            <w:tcBorders>
              <w:top w:val="single" w:sz="0" w:space="0" w:color="000000"/>
            </w:tcBorders>
            <w:vAlign w:val="center"/>
          </w:tcPr>
          <w:p w14:paraId="2D8F1E25" w14:textId="77777777" w:rsidR="00D42046" w:rsidRPr="00AD7843" w:rsidRDefault="00D42046" w:rsidP="002F3448">
            <w:pPr>
              <w:spacing w:before="0"/>
              <w:rPr>
                <w:rFonts w:ascii="Arial" w:hAnsi="Arial" w:cs="Arial"/>
              </w:rPr>
            </w:pPr>
            <w:r w:rsidRPr="00AD7843">
              <w:rPr>
                <w:rFonts w:ascii="Arial" w:eastAsia="Calibri" w:hAnsi="Arial" w:cs="Arial"/>
                <w:sz w:val="20"/>
              </w:rPr>
              <w:t xml:space="preserve">Health utility score (SF-6D ver. 2) </w:t>
            </w:r>
          </w:p>
        </w:tc>
        <w:tc>
          <w:tcPr>
            <w:tcW w:w="825" w:type="pct"/>
            <w:tcBorders>
              <w:top w:val="single" w:sz="0" w:space="0" w:color="000000"/>
            </w:tcBorders>
            <w:vAlign w:val="center"/>
          </w:tcPr>
          <w:p w14:paraId="6684303B" w14:textId="77777777" w:rsidR="00D42046" w:rsidRPr="00AD7843" w:rsidRDefault="00D42046" w:rsidP="008B6783">
            <w:pPr>
              <w:spacing w:before="0"/>
              <w:rPr>
                <w:rFonts w:ascii="Arial" w:hAnsi="Arial" w:cs="Arial"/>
              </w:rPr>
            </w:pPr>
            <w:r w:rsidRPr="00AD7843">
              <w:rPr>
                <w:rFonts w:ascii="Arial" w:eastAsia="Calibri" w:hAnsi="Arial" w:cs="Arial"/>
                <w:sz w:val="20"/>
              </w:rPr>
              <w:t>0.71 (0.65-0.80)</w:t>
            </w:r>
          </w:p>
        </w:tc>
        <w:tc>
          <w:tcPr>
            <w:tcW w:w="825" w:type="pct"/>
            <w:tcBorders>
              <w:top w:val="single" w:sz="0" w:space="0" w:color="000000"/>
            </w:tcBorders>
            <w:vAlign w:val="center"/>
          </w:tcPr>
          <w:p w14:paraId="783B2983" w14:textId="77777777" w:rsidR="00D42046" w:rsidRPr="00AD7843" w:rsidRDefault="00D42046" w:rsidP="008B6783">
            <w:pPr>
              <w:spacing w:before="0"/>
              <w:rPr>
                <w:rFonts w:ascii="Arial" w:hAnsi="Arial" w:cs="Arial"/>
              </w:rPr>
            </w:pPr>
            <w:r w:rsidRPr="00AD7843">
              <w:rPr>
                <w:rFonts w:ascii="Arial" w:eastAsia="Calibri" w:hAnsi="Arial" w:cs="Arial"/>
                <w:sz w:val="20"/>
              </w:rPr>
              <w:t>0.72 (0.64-0.80)</w:t>
            </w:r>
          </w:p>
        </w:tc>
        <w:tc>
          <w:tcPr>
            <w:tcW w:w="1132" w:type="pct"/>
            <w:tcBorders>
              <w:top w:val="single" w:sz="0" w:space="0" w:color="000000"/>
            </w:tcBorders>
            <w:vAlign w:val="center"/>
          </w:tcPr>
          <w:p w14:paraId="10B47DE1" w14:textId="77777777" w:rsidR="00D42046" w:rsidRPr="00AD7843" w:rsidRDefault="00D42046" w:rsidP="008B6783">
            <w:pPr>
              <w:spacing w:before="0"/>
              <w:rPr>
                <w:rFonts w:ascii="Arial" w:hAnsi="Arial" w:cs="Arial"/>
              </w:rPr>
            </w:pPr>
            <w:r w:rsidRPr="00AD7843">
              <w:rPr>
                <w:rFonts w:ascii="Arial" w:eastAsia="Calibri" w:hAnsi="Arial" w:cs="Arial"/>
                <w:sz w:val="20"/>
              </w:rPr>
              <w:t>0.70 (0.65-0.79)</w:t>
            </w:r>
          </w:p>
        </w:tc>
        <w:tc>
          <w:tcPr>
            <w:tcW w:w="495" w:type="pct"/>
            <w:tcBorders>
              <w:top w:val="single" w:sz="0" w:space="0" w:color="000000"/>
            </w:tcBorders>
            <w:vAlign w:val="center"/>
          </w:tcPr>
          <w:p w14:paraId="774DDACE" w14:textId="2C722F5E" w:rsidR="00D42046" w:rsidRPr="00AD7843" w:rsidRDefault="00D42046" w:rsidP="002F3448">
            <w:pPr>
              <w:spacing w:before="0"/>
              <w:rPr>
                <w:rFonts w:ascii="Arial" w:hAnsi="Arial" w:cs="Arial"/>
              </w:rPr>
            </w:pPr>
            <w:r w:rsidRPr="00AD7843">
              <w:rPr>
                <w:rFonts w:ascii="Arial" w:eastAsia="Calibri" w:hAnsi="Arial" w:cs="Arial"/>
                <w:sz w:val="20"/>
              </w:rPr>
              <w:t>0.44</w:t>
            </w:r>
          </w:p>
        </w:tc>
      </w:tr>
      <w:tr w:rsidR="00D42046" w:rsidRPr="00AD7843" w14:paraId="691B74FC" w14:textId="77777777" w:rsidTr="00561571">
        <w:tc>
          <w:tcPr>
            <w:tcW w:w="1723" w:type="pct"/>
            <w:vAlign w:val="center"/>
          </w:tcPr>
          <w:p w14:paraId="47DA2D96" w14:textId="77777777" w:rsidR="00D42046" w:rsidRPr="00AD7843" w:rsidRDefault="00D42046" w:rsidP="002F3448">
            <w:pPr>
              <w:spacing w:before="0"/>
              <w:rPr>
                <w:rFonts w:ascii="Arial" w:hAnsi="Arial" w:cs="Arial"/>
              </w:rPr>
            </w:pPr>
            <w:r w:rsidRPr="00AD7843">
              <w:rPr>
                <w:rFonts w:ascii="Arial" w:eastAsia="Calibri" w:hAnsi="Arial" w:cs="Arial"/>
                <w:sz w:val="20"/>
              </w:rPr>
              <w:t xml:space="preserve">Female </w:t>
            </w:r>
          </w:p>
        </w:tc>
        <w:tc>
          <w:tcPr>
            <w:tcW w:w="825" w:type="pct"/>
            <w:vAlign w:val="center"/>
          </w:tcPr>
          <w:p w14:paraId="1813AA43" w14:textId="77777777" w:rsidR="00D42046" w:rsidRPr="00AD7843" w:rsidRDefault="00D42046" w:rsidP="008B6783">
            <w:pPr>
              <w:spacing w:before="0"/>
              <w:rPr>
                <w:rFonts w:ascii="Arial" w:hAnsi="Arial" w:cs="Arial"/>
              </w:rPr>
            </w:pPr>
            <w:r w:rsidRPr="00AD7843">
              <w:rPr>
                <w:rFonts w:ascii="Arial" w:eastAsia="Calibri" w:hAnsi="Arial" w:cs="Arial"/>
                <w:sz w:val="20"/>
              </w:rPr>
              <w:t>204 (68.69%)</w:t>
            </w:r>
          </w:p>
        </w:tc>
        <w:tc>
          <w:tcPr>
            <w:tcW w:w="825" w:type="pct"/>
            <w:vAlign w:val="center"/>
          </w:tcPr>
          <w:p w14:paraId="45779851" w14:textId="77777777" w:rsidR="00D42046" w:rsidRPr="00AD7843" w:rsidRDefault="00D42046" w:rsidP="008B6783">
            <w:pPr>
              <w:spacing w:before="0"/>
              <w:rPr>
                <w:rFonts w:ascii="Arial" w:hAnsi="Arial" w:cs="Arial"/>
              </w:rPr>
            </w:pPr>
            <w:r w:rsidRPr="00AD7843">
              <w:rPr>
                <w:rFonts w:ascii="Arial" w:eastAsia="Calibri" w:hAnsi="Arial" w:cs="Arial"/>
                <w:sz w:val="20"/>
              </w:rPr>
              <w:t>74 (67.27%)</w:t>
            </w:r>
          </w:p>
        </w:tc>
        <w:tc>
          <w:tcPr>
            <w:tcW w:w="1132" w:type="pct"/>
            <w:vAlign w:val="center"/>
          </w:tcPr>
          <w:p w14:paraId="181B3C50" w14:textId="77777777" w:rsidR="00D42046" w:rsidRPr="00AD7843" w:rsidRDefault="00D42046" w:rsidP="008B6783">
            <w:pPr>
              <w:spacing w:before="0"/>
              <w:rPr>
                <w:rFonts w:ascii="Arial" w:hAnsi="Arial" w:cs="Arial"/>
              </w:rPr>
            </w:pPr>
            <w:r w:rsidRPr="00AD7843">
              <w:rPr>
                <w:rFonts w:ascii="Arial" w:eastAsia="Calibri" w:hAnsi="Arial" w:cs="Arial"/>
                <w:sz w:val="20"/>
              </w:rPr>
              <w:t>130 (69.52%)</w:t>
            </w:r>
          </w:p>
        </w:tc>
        <w:tc>
          <w:tcPr>
            <w:tcW w:w="495" w:type="pct"/>
            <w:vAlign w:val="center"/>
          </w:tcPr>
          <w:p w14:paraId="67E57737" w14:textId="338FF128" w:rsidR="00D42046" w:rsidRPr="00AD7843" w:rsidRDefault="00D42046" w:rsidP="002F3448">
            <w:pPr>
              <w:spacing w:before="0"/>
              <w:rPr>
                <w:rFonts w:ascii="Arial" w:hAnsi="Arial" w:cs="Arial"/>
              </w:rPr>
            </w:pPr>
            <w:r w:rsidRPr="00AD7843">
              <w:rPr>
                <w:rFonts w:ascii="Arial" w:eastAsia="Calibri" w:hAnsi="Arial" w:cs="Arial"/>
                <w:sz w:val="20"/>
              </w:rPr>
              <w:t>0.69</w:t>
            </w:r>
          </w:p>
        </w:tc>
      </w:tr>
      <w:tr w:rsidR="00D42046" w:rsidRPr="00AD7843" w14:paraId="3ED90530" w14:textId="77777777" w:rsidTr="00561571">
        <w:tc>
          <w:tcPr>
            <w:tcW w:w="1723" w:type="pct"/>
            <w:vAlign w:val="center"/>
          </w:tcPr>
          <w:p w14:paraId="5D63D8FD" w14:textId="6C77B237" w:rsidR="00D42046" w:rsidRPr="00AD7843" w:rsidRDefault="00D42046" w:rsidP="002F3448">
            <w:pPr>
              <w:spacing w:before="0"/>
              <w:rPr>
                <w:rFonts w:ascii="Arial" w:hAnsi="Arial" w:cs="Arial"/>
              </w:rPr>
            </w:pPr>
            <w:r w:rsidRPr="00AD7843">
              <w:rPr>
                <w:rFonts w:ascii="Arial" w:eastAsia="Calibri" w:hAnsi="Arial" w:cs="Arial"/>
                <w:sz w:val="20"/>
              </w:rPr>
              <w:t>Aboriginal</w:t>
            </w:r>
            <w:r w:rsidR="00C01521">
              <w:rPr>
                <w:rFonts w:ascii="Arial" w:eastAsia="Calibri" w:hAnsi="Arial" w:cs="Arial"/>
                <w:sz w:val="20"/>
              </w:rPr>
              <w:t xml:space="preserve"> and Torres Strait Islander people</w:t>
            </w:r>
            <w:r w:rsidRPr="00AD7843">
              <w:rPr>
                <w:rFonts w:ascii="Arial" w:eastAsia="Calibri" w:hAnsi="Arial" w:cs="Arial"/>
                <w:sz w:val="20"/>
              </w:rPr>
              <w:t xml:space="preserve"> </w:t>
            </w:r>
          </w:p>
        </w:tc>
        <w:tc>
          <w:tcPr>
            <w:tcW w:w="825" w:type="pct"/>
            <w:vAlign w:val="center"/>
          </w:tcPr>
          <w:p w14:paraId="5A883BE6" w14:textId="77777777" w:rsidR="00D42046" w:rsidRPr="00AD7843" w:rsidRDefault="00D42046" w:rsidP="008B6783">
            <w:pPr>
              <w:spacing w:before="0"/>
              <w:rPr>
                <w:rFonts w:ascii="Arial" w:hAnsi="Arial" w:cs="Arial"/>
              </w:rPr>
            </w:pPr>
            <w:r w:rsidRPr="00AD7843">
              <w:rPr>
                <w:rFonts w:ascii="Arial" w:eastAsia="Calibri" w:hAnsi="Arial" w:cs="Arial"/>
                <w:sz w:val="20"/>
              </w:rPr>
              <w:t>10 (3.37%)</w:t>
            </w:r>
          </w:p>
        </w:tc>
        <w:tc>
          <w:tcPr>
            <w:tcW w:w="825" w:type="pct"/>
            <w:vAlign w:val="center"/>
          </w:tcPr>
          <w:p w14:paraId="376EC62A" w14:textId="77777777" w:rsidR="00D42046" w:rsidRPr="00AD7843" w:rsidRDefault="00D42046" w:rsidP="008B6783">
            <w:pPr>
              <w:spacing w:before="0"/>
              <w:rPr>
                <w:rFonts w:ascii="Arial" w:hAnsi="Arial" w:cs="Arial"/>
              </w:rPr>
            </w:pPr>
            <w:r w:rsidRPr="00AD7843">
              <w:rPr>
                <w:rFonts w:ascii="Arial" w:eastAsia="Calibri" w:hAnsi="Arial" w:cs="Arial"/>
                <w:sz w:val="20"/>
              </w:rPr>
              <w:t>5 (4.55%)</w:t>
            </w:r>
          </w:p>
        </w:tc>
        <w:tc>
          <w:tcPr>
            <w:tcW w:w="1132" w:type="pct"/>
            <w:vAlign w:val="center"/>
          </w:tcPr>
          <w:p w14:paraId="2FB50A68" w14:textId="77777777" w:rsidR="00D42046" w:rsidRPr="00AD7843" w:rsidRDefault="00D42046" w:rsidP="008B6783">
            <w:pPr>
              <w:spacing w:before="0"/>
              <w:rPr>
                <w:rFonts w:ascii="Arial" w:hAnsi="Arial" w:cs="Arial"/>
              </w:rPr>
            </w:pPr>
            <w:r w:rsidRPr="00AD7843">
              <w:rPr>
                <w:rFonts w:ascii="Arial" w:eastAsia="Calibri" w:hAnsi="Arial" w:cs="Arial"/>
                <w:sz w:val="20"/>
              </w:rPr>
              <w:t>5 (2.67%)</w:t>
            </w:r>
          </w:p>
        </w:tc>
        <w:tc>
          <w:tcPr>
            <w:tcW w:w="495" w:type="pct"/>
            <w:vAlign w:val="center"/>
          </w:tcPr>
          <w:p w14:paraId="4F5D06C1" w14:textId="3423545D" w:rsidR="00D42046" w:rsidRPr="00AD7843" w:rsidRDefault="00D42046" w:rsidP="002F3448">
            <w:pPr>
              <w:spacing w:before="0"/>
              <w:rPr>
                <w:rFonts w:ascii="Arial" w:hAnsi="Arial" w:cs="Arial"/>
              </w:rPr>
            </w:pPr>
            <w:r w:rsidRPr="00AD7843">
              <w:rPr>
                <w:rFonts w:ascii="Arial" w:eastAsia="Calibri" w:hAnsi="Arial" w:cs="Arial"/>
                <w:sz w:val="20"/>
              </w:rPr>
              <w:t>0.39</w:t>
            </w:r>
          </w:p>
        </w:tc>
      </w:tr>
      <w:tr w:rsidR="00D42046" w:rsidRPr="00AD7843" w14:paraId="57A1BE99" w14:textId="77777777" w:rsidTr="00561571">
        <w:tc>
          <w:tcPr>
            <w:tcW w:w="1723" w:type="pct"/>
            <w:vAlign w:val="center"/>
          </w:tcPr>
          <w:p w14:paraId="26A8CB92" w14:textId="77777777" w:rsidR="00D42046" w:rsidRPr="00AD7843" w:rsidRDefault="00D42046" w:rsidP="002F3448">
            <w:pPr>
              <w:spacing w:before="0"/>
              <w:rPr>
                <w:rFonts w:ascii="Arial" w:hAnsi="Arial" w:cs="Arial"/>
              </w:rPr>
            </w:pPr>
            <w:r w:rsidRPr="00AD7843">
              <w:rPr>
                <w:rFonts w:ascii="Arial" w:eastAsia="Calibri" w:hAnsi="Arial" w:cs="Arial"/>
                <w:sz w:val="20"/>
              </w:rPr>
              <w:t>Australian born</w:t>
            </w:r>
          </w:p>
        </w:tc>
        <w:tc>
          <w:tcPr>
            <w:tcW w:w="825" w:type="pct"/>
            <w:vAlign w:val="center"/>
          </w:tcPr>
          <w:p w14:paraId="34965E4E" w14:textId="77777777" w:rsidR="00D42046" w:rsidRPr="00AD7843" w:rsidRDefault="00D42046" w:rsidP="008B6783">
            <w:pPr>
              <w:spacing w:before="0"/>
              <w:rPr>
                <w:rFonts w:ascii="Arial" w:hAnsi="Arial" w:cs="Arial"/>
              </w:rPr>
            </w:pPr>
            <w:r w:rsidRPr="00AD7843">
              <w:rPr>
                <w:rFonts w:ascii="Arial" w:eastAsia="Calibri" w:hAnsi="Arial" w:cs="Arial"/>
                <w:sz w:val="20"/>
              </w:rPr>
              <w:t>175 (58.92%)</w:t>
            </w:r>
          </w:p>
        </w:tc>
        <w:tc>
          <w:tcPr>
            <w:tcW w:w="825" w:type="pct"/>
            <w:vAlign w:val="center"/>
          </w:tcPr>
          <w:p w14:paraId="07ACAE01" w14:textId="77777777" w:rsidR="00D42046" w:rsidRPr="00AD7843" w:rsidRDefault="00D42046" w:rsidP="008B6783">
            <w:pPr>
              <w:spacing w:before="0"/>
              <w:rPr>
                <w:rFonts w:ascii="Arial" w:hAnsi="Arial" w:cs="Arial"/>
              </w:rPr>
            </w:pPr>
            <w:r w:rsidRPr="00AD7843">
              <w:rPr>
                <w:rFonts w:ascii="Arial" w:eastAsia="Calibri" w:hAnsi="Arial" w:cs="Arial"/>
                <w:sz w:val="20"/>
              </w:rPr>
              <w:t>62 (56.36%)</w:t>
            </w:r>
          </w:p>
        </w:tc>
        <w:tc>
          <w:tcPr>
            <w:tcW w:w="1132" w:type="pct"/>
            <w:vAlign w:val="center"/>
          </w:tcPr>
          <w:p w14:paraId="069C23C6" w14:textId="77777777" w:rsidR="00D42046" w:rsidRPr="00AD7843" w:rsidRDefault="00D42046" w:rsidP="008B6783">
            <w:pPr>
              <w:spacing w:before="0"/>
              <w:rPr>
                <w:rFonts w:ascii="Arial" w:hAnsi="Arial" w:cs="Arial"/>
              </w:rPr>
            </w:pPr>
            <w:r w:rsidRPr="00AD7843">
              <w:rPr>
                <w:rFonts w:ascii="Arial" w:eastAsia="Calibri" w:hAnsi="Arial" w:cs="Arial"/>
                <w:sz w:val="20"/>
              </w:rPr>
              <w:t>113 (60.43%)</w:t>
            </w:r>
          </w:p>
        </w:tc>
        <w:tc>
          <w:tcPr>
            <w:tcW w:w="495" w:type="pct"/>
            <w:vAlign w:val="center"/>
          </w:tcPr>
          <w:p w14:paraId="2F151A61" w14:textId="4A683C8A" w:rsidR="00D42046" w:rsidRPr="00AD7843" w:rsidRDefault="00D42046" w:rsidP="002F3448">
            <w:pPr>
              <w:spacing w:before="0"/>
              <w:rPr>
                <w:rFonts w:ascii="Arial" w:hAnsi="Arial" w:cs="Arial"/>
              </w:rPr>
            </w:pPr>
            <w:r w:rsidRPr="00AD7843">
              <w:rPr>
                <w:rFonts w:ascii="Arial" w:eastAsia="Calibri" w:hAnsi="Arial" w:cs="Arial"/>
                <w:sz w:val="20"/>
              </w:rPr>
              <w:t>0.49</w:t>
            </w:r>
          </w:p>
        </w:tc>
      </w:tr>
      <w:tr w:rsidR="00D42046" w:rsidRPr="00AD7843" w14:paraId="22203911" w14:textId="77777777" w:rsidTr="00561571">
        <w:tc>
          <w:tcPr>
            <w:tcW w:w="1723" w:type="pct"/>
            <w:vAlign w:val="center"/>
          </w:tcPr>
          <w:p w14:paraId="7319D8BC" w14:textId="77148767" w:rsidR="00650E33" w:rsidRPr="00AD7843" w:rsidRDefault="00650E33" w:rsidP="002F3448">
            <w:pPr>
              <w:spacing w:before="0"/>
              <w:rPr>
                <w:rFonts w:ascii="Arial" w:eastAsia="Calibri" w:hAnsi="Arial" w:cs="Arial"/>
                <w:sz w:val="20"/>
              </w:rPr>
            </w:pPr>
          </w:p>
        </w:tc>
        <w:tc>
          <w:tcPr>
            <w:tcW w:w="825" w:type="pct"/>
            <w:vAlign w:val="center"/>
          </w:tcPr>
          <w:p w14:paraId="419C8661" w14:textId="77777777" w:rsidR="00D42046" w:rsidRPr="00AD7843" w:rsidRDefault="00D42046" w:rsidP="008B6783">
            <w:pPr>
              <w:spacing w:before="0"/>
              <w:rPr>
                <w:rFonts w:ascii="Arial" w:eastAsia="Calibri" w:hAnsi="Arial" w:cs="Arial"/>
                <w:sz w:val="20"/>
              </w:rPr>
            </w:pPr>
          </w:p>
        </w:tc>
        <w:tc>
          <w:tcPr>
            <w:tcW w:w="825" w:type="pct"/>
            <w:vAlign w:val="center"/>
          </w:tcPr>
          <w:p w14:paraId="2CDC083D" w14:textId="77777777" w:rsidR="00D42046" w:rsidRPr="00AD7843" w:rsidRDefault="00D42046" w:rsidP="008B6783">
            <w:pPr>
              <w:spacing w:before="0"/>
              <w:rPr>
                <w:rFonts w:ascii="Arial" w:eastAsia="Calibri" w:hAnsi="Arial" w:cs="Arial"/>
                <w:sz w:val="20"/>
              </w:rPr>
            </w:pPr>
          </w:p>
        </w:tc>
        <w:tc>
          <w:tcPr>
            <w:tcW w:w="1132" w:type="pct"/>
            <w:vAlign w:val="center"/>
          </w:tcPr>
          <w:p w14:paraId="1034CD33" w14:textId="77777777" w:rsidR="00D42046" w:rsidRPr="00AD7843" w:rsidRDefault="00D42046" w:rsidP="008B6783">
            <w:pPr>
              <w:spacing w:before="0"/>
              <w:rPr>
                <w:rFonts w:ascii="Arial" w:eastAsia="Calibri" w:hAnsi="Arial" w:cs="Arial"/>
                <w:sz w:val="20"/>
              </w:rPr>
            </w:pPr>
          </w:p>
        </w:tc>
        <w:tc>
          <w:tcPr>
            <w:tcW w:w="495" w:type="pct"/>
            <w:vAlign w:val="center"/>
          </w:tcPr>
          <w:p w14:paraId="54B0EA7A" w14:textId="77777777" w:rsidR="00D42046" w:rsidRPr="00AD7843" w:rsidRDefault="00D42046" w:rsidP="002F3448">
            <w:pPr>
              <w:spacing w:before="0"/>
              <w:rPr>
                <w:rFonts w:ascii="Arial" w:eastAsia="Calibri" w:hAnsi="Arial" w:cs="Arial"/>
                <w:sz w:val="20"/>
              </w:rPr>
            </w:pPr>
          </w:p>
        </w:tc>
      </w:tr>
      <w:tr w:rsidR="00D42046" w:rsidRPr="00AD7843" w14:paraId="37480B16" w14:textId="77777777" w:rsidTr="00561571">
        <w:tc>
          <w:tcPr>
            <w:tcW w:w="1723" w:type="pct"/>
            <w:vAlign w:val="center"/>
          </w:tcPr>
          <w:p w14:paraId="493A067C" w14:textId="77777777" w:rsidR="00D42046" w:rsidRPr="00AD7843" w:rsidRDefault="00D42046" w:rsidP="002F3448">
            <w:pPr>
              <w:spacing w:before="0"/>
              <w:rPr>
                <w:rFonts w:ascii="Arial" w:eastAsia="Calibri" w:hAnsi="Arial" w:cs="Arial"/>
                <w:b/>
                <w:bCs/>
                <w:sz w:val="20"/>
              </w:rPr>
            </w:pPr>
            <w:r w:rsidRPr="00AD7843">
              <w:rPr>
                <w:rFonts w:ascii="Arial" w:eastAsia="Calibri" w:hAnsi="Arial" w:cs="Arial"/>
                <w:b/>
                <w:bCs/>
                <w:sz w:val="20"/>
              </w:rPr>
              <w:t>Age group</w:t>
            </w:r>
          </w:p>
        </w:tc>
        <w:tc>
          <w:tcPr>
            <w:tcW w:w="825" w:type="pct"/>
            <w:vAlign w:val="center"/>
          </w:tcPr>
          <w:p w14:paraId="52179D8F" w14:textId="77777777" w:rsidR="00D42046" w:rsidRPr="00AD7843" w:rsidRDefault="00D42046" w:rsidP="008B6783">
            <w:pPr>
              <w:spacing w:before="0"/>
              <w:rPr>
                <w:rFonts w:ascii="Arial" w:eastAsia="Calibri" w:hAnsi="Arial" w:cs="Arial"/>
                <w:sz w:val="20"/>
              </w:rPr>
            </w:pPr>
          </w:p>
        </w:tc>
        <w:tc>
          <w:tcPr>
            <w:tcW w:w="825" w:type="pct"/>
            <w:vAlign w:val="center"/>
          </w:tcPr>
          <w:p w14:paraId="6F0460F8" w14:textId="77777777" w:rsidR="00D42046" w:rsidRPr="00AD7843" w:rsidRDefault="00D42046" w:rsidP="008B6783">
            <w:pPr>
              <w:spacing w:before="0"/>
              <w:rPr>
                <w:rFonts w:ascii="Arial" w:eastAsia="Calibri" w:hAnsi="Arial" w:cs="Arial"/>
                <w:sz w:val="20"/>
              </w:rPr>
            </w:pPr>
          </w:p>
        </w:tc>
        <w:tc>
          <w:tcPr>
            <w:tcW w:w="1132" w:type="pct"/>
            <w:vAlign w:val="center"/>
          </w:tcPr>
          <w:p w14:paraId="16090B20" w14:textId="77777777" w:rsidR="00D42046" w:rsidRPr="00AD7843" w:rsidRDefault="00D42046" w:rsidP="008B6783">
            <w:pPr>
              <w:spacing w:before="0"/>
              <w:rPr>
                <w:rFonts w:ascii="Arial" w:eastAsia="Calibri" w:hAnsi="Arial" w:cs="Arial"/>
                <w:sz w:val="20"/>
              </w:rPr>
            </w:pPr>
          </w:p>
        </w:tc>
        <w:tc>
          <w:tcPr>
            <w:tcW w:w="495" w:type="pct"/>
            <w:vAlign w:val="center"/>
          </w:tcPr>
          <w:p w14:paraId="73FC7601" w14:textId="77777777" w:rsidR="00D42046" w:rsidRPr="00AD7843" w:rsidRDefault="00D42046" w:rsidP="002F3448">
            <w:pPr>
              <w:spacing w:before="0"/>
              <w:rPr>
                <w:rFonts w:ascii="Arial" w:eastAsia="Calibri" w:hAnsi="Arial" w:cs="Arial"/>
                <w:sz w:val="20"/>
              </w:rPr>
            </w:pPr>
          </w:p>
        </w:tc>
      </w:tr>
      <w:tr w:rsidR="00D42046" w:rsidRPr="00AD7843" w14:paraId="65C01DBB" w14:textId="77777777" w:rsidTr="00561571">
        <w:tc>
          <w:tcPr>
            <w:tcW w:w="1723" w:type="pct"/>
            <w:vAlign w:val="center"/>
          </w:tcPr>
          <w:p w14:paraId="61DE153F" w14:textId="77777777" w:rsidR="00D42046" w:rsidRPr="00AD7843" w:rsidRDefault="00D42046" w:rsidP="002F3448">
            <w:pPr>
              <w:spacing w:before="0"/>
              <w:ind w:left="113"/>
              <w:rPr>
                <w:rFonts w:ascii="Arial" w:eastAsia="Calibri" w:hAnsi="Arial" w:cs="Arial"/>
                <w:sz w:val="20"/>
              </w:rPr>
            </w:pPr>
            <w:r w:rsidRPr="00AD7843">
              <w:rPr>
                <w:rFonts w:ascii="Arial" w:eastAsia="Calibri" w:hAnsi="Arial" w:cs="Arial"/>
                <w:sz w:val="20"/>
              </w:rPr>
              <w:t>45-54 years</w:t>
            </w:r>
          </w:p>
        </w:tc>
        <w:tc>
          <w:tcPr>
            <w:tcW w:w="825" w:type="pct"/>
            <w:vAlign w:val="center"/>
          </w:tcPr>
          <w:p w14:paraId="1FE1EBF4" w14:textId="77777777" w:rsidR="00D42046" w:rsidRPr="00AD7843" w:rsidRDefault="00D42046" w:rsidP="008B6783">
            <w:pPr>
              <w:spacing w:before="0"/>
              <w:rPr>
                <w:rFonts w:ascii="Arial" w:hAnsi="Arial" w:cs="Arial"/>
              </w:rPr>
            </w:pPr>
            <w:r w:rsidRPr="00AD7843">
              <w:rPr>
                <w:rFonts w:ascii="Arial" w:eastAsia="Calibri" w:hAnsi="Arial" w:cs="Arial"/>
                <w:sz w:val="20"/>
              </w:rPr>
              <w:t>121 (40.74%)</w:t>
            </w:r>
          </w:p>
        </w:tc>
        <w:tc>
          <w:tcPr>
            <w:tcW w:w="825" w:type="pct"/>
            <w:vAlign w:val="center"/>
          </w:tcPr>
          <w:p w14:paraId="3925AFDB" w14:textId="77777777" w:rsidR="00D42046" w:rsidRPr="00AD7843" w:rsidRDefault="00D42046" w:rsidP="008B6783">
            <w:pPr>
              <w:spacing w:before="0"/>
              <w:rPr>
                <w:rFonts w:ascii="Arial" w:hAnsi="Arial" w:cs="Arial"/>
              </w:rPr>
            </w:pPr>
            <w:r w:rsidRPr="00AD7843">
              <w:rPr>
                <w:rFonts w:ascii="Arial" w:eastAsia="Calibri" w:hAnsi="Arial" w:cs="Arial"/>
                <w:sz w:val="20"/>
              </w:rPr>
              <w:t>50 (45.45%)</w:t>
            </w:r>
          </w:p>
        </w:tc>
        <w:tc>
          <w:tcPr>
            <w:tcW w:w="1132" w:type="pct"/>
            <w:vAlign w:val="center"/>
          </w:tcPr>
          <w:p w14:paraId="75D83195" w14:textId="77777777" w:rsidR="00D42046" w:rsidRPr="00AD7843" w:rsidRDefault="00D42046" w:rsidP="008B6783">
            <w:pPr>
              <w:spacing w:before="0"/>
              <w:rPr>
                <w:rFonts w:ascii="Arial" w:hAnsi="Arial" w:cs="Arial"/>
              </w:rPr>
            </w:pPr>
            <w:r w:rsidRPr="00AD7843">
              <w:rPr>
                <w:rFonts w:ascii="Arial" w:eastAsia="Calibri" w:hAnsi="Arial" w:cs="Arial"/>
                <w:sz w:val="20"/>
              </w:rPr>
              <w:t>71 (37.97%)</w:t>
            </w:r>
          </w:p>
        </w:tc>
        <w:tc>
          <w:tcPr>
            <w:tcW w:w="495" w:type="pct"/>
            <w:vAlign w:val="center"/>
          </w:tcPr>
          <w:p w14:paraId="01F316D8" w14:textId="1BE76249" w:rsidR="00D42046" w:rsidRPr="00AD7843" w:rsidRDefault="00D42046" w:rsidP="002F3448">
            <w:pPr>
              <w:spacing w:before="0"/>
              <w:rPr>
                <w:rFonts w:ascii="Arial" w:hAnsi="Arial" w:cs="Arial"/>
              </w:rPr>
            </w:pPr>
            <w:r w:rsidRPr="00AD7843">
              <w:rPr>
                <w:rFonts w:ascii="Arial" w:eastAsia="Calibri" w:hAnsi="Arial" w:cs="Arial"/>
                <w:sz w:val="20"/>
              </w:rPr>
              <w:t>0.20</w:t>
            </w:r>
          </w:p>
        </w:tc>
      </w:tr>
      <w:tr w:rsidR="00D42046" w:rsidRPr="00AD7843" w14:paraId="330F9995" w14:textId="77777777" w:rsidTr="00561571">
        <w:tc>
          <w:tcPr>
            <w:tcW w:w="1723" w:type="pct"/>
            <w:vAlign w:val="center"/>
          </w:tcPr>
          <w:p w14:paraId="164170CC" w14:textId="77777777" w:rsidR="00D42046" w:rsidRPr="00AD7843" w:rsidRDefault="00D42046" w:rsidP="002F3448">
            <w:pPr>
              <w:spacing w:before="0"/>
              <w:ind w:left="113"/>
              <w:rPr>
                <w:rFonts w:ascii="Arial" w:eastAsia="Calibri" w:hAnsi="Arial" w:cs="Arial"/>
                <w:sz w:val="20"/>
              </w:rPr>
            </w:pPr>
            <w:r w:rsidRPr="00AD7843">
              <w:rPr>
                <w:rFonts w:ascii="Arial" w:eastAsia="Calibri" w:hAnsi="Arial" w:cs="Arial"/>
                <w:sz w:val="20"/>
              </w:rPr>
              <w:t>55-64 years</w:t>
            </w:r>
          </w:p>
        </w:tc>
        <w:tc>
          <w:tcPr>
            <w:tcW w:w="825" w:type="pct"/>
            <w:vAlign w:val="center"/>
          </w:tcPr>
          <w:p w14:paraId="6790EEC4" w14:textId="77777777" w:rsidR="00D42046" w:rsidRPr="00AD7843" w:rsidRDefault="00D42046" w:rsidP="008B6783">
            <w:pPr>
              <w:spacing w:before="0"/>
              <w:rPr>
                <w:rFonts w:ascii="Arial" w:hAnsi="Arial" w:cs="Arial"/>
              </w:rPr>
            </w:pPr>
            <w:r w:rsidRPr="00AD7843">
              <w:rPr>
                <w:rFonts w:ascii="Arial" w:eastAsia="Calibri" w:hAnsi="Arial" w:cs="Arial"/>
                <w:sz w:val="20"/>
              </w:rPr>
              <w:t>118 (39.73%)</w:t>
            </w:r>
          </w:p>
        </w:tc>
        <w:tc>
          <w:tcPr>
            <w:tcW w:w="825" w:type="pct"/>
            <w:vAlign w:val="center"/>
          </w:tcPr>
          <w:p w14:paraId="3E24B8EF" w14:textId="77777777" w:rsidR="00D42046" w:rsidRPr="00AD7843" w:rsidRDefault="00D42046" w:rsidP="008B6783">
            <w:pPr>
              <w:spacing w:before="0"/>
              <w:rPr>
                <w:rFonts w:ascii="Arial" w:hAnsi="Arial" w:cs="Arial"/>
              </w:rPr>
            </w:pPr>
            <w:r w:rsidRPr="00AD7843">
              <w:rPr>
                <w:rFonts w:ascii="Arial" w:eastAsia="Calibri" w:hAnsi="Arial" w:cs="Arial"/>
                <w:sz w:val="20"/>
              </w:rPr>
              <w:t>43 (39.09%)</w:t>
            </w:r>
          </w:p>
        </w:tc>
        <w:tc>
          <w:tcPr>
            <w:tcW w:w="1132" w:type="pct"/>
            <w:vAlign w:val="center"/>
          </w:tcPr>
          <w:p w14:paraId="21D77999" w14:textId="77777777" w:rsidR="00D42046" w:rsidRPr="00AD7843" w:rsidRDefault="00D42046" w:rsidP="008B6783">
            <w:pPr>
              <w:spacing w:before="0"/>
              <w:rPr>
                <w:rFonts w:ascii="Arial" w:hAnsi="Arial" w:cs="Arial"/>
              </w:rPr>
            </w:pPr>
            <w:r w:rsidRPr="00AD7843">
              <w:rPr>
                <w:rFonts w:ascii="Arial" w:eastAsia="Calibri" w:hAnsi="Arial" w:cs="Arial"/>
                <w:sz w:val="20"/>
              </w:rPr>
              <w:t>75 (40.11%)</w:t>
            </w:r>
          </w:p>
        </w:tc>
        <w:tc>
          <w:tcPr>
            <w:tcW w:w="495" w:type="pct"/>
            <w:vAlign w:val="center"/>
          </w:tcPr>
          <w:p w14:paraId="6260B514" w14:textId="16B2506E" w:rsidR="00D42046" w:rsidRPr="00AD7843" w:rsidRDefault="00D42046" w:rsidP="002F3448">
            <w:pPr>
              <w:spacing w:before="0"/>
              <w:rPr>
                <w:rFonts w:ascii="Arial" w:hAnsi="Arial" w:cs="Arial"/>
              </w:rPr>
            </w:pPr>
            <w:r w:rsidRPr="00AD7843">
              <w:rPr>
                <w:rFonts w:ascii="Arial" w:eastAsia="Calibri" w:hAnsi="Arial" w:cs="Arial"/>
                <w:sz w:val="20"/>
              </w:rPr>
              <w:t>0.86</w:t>
            </w:r>
          </w:p>
        </w:tc>
      </w:tr>
      <w:tr w:rsidR="00D42046" w:rsidRPr="00AD7843" w14:paraId="00E3CE1A" w14:textId="77777777" w:rsidTr="00561571">
        <w:tc>
          <w:tcPr>
            <w:tcW w:w="1723" w:type="pct"/>
            <w:vAlign w:val="center"/>
          </w:tcPr>
          <w:p w14:paraId="7883B062" w14:textId="77777777" w:rsidR="00D42046" w:rsidRPr="00AD7843" w:rsidRDefault="00D42046" w:rsidP="002F3448">
            <w:pPr>
              <w:spacing w:before="0"/>
              <w:ind w:left="113"/>
              <w:rPr>
                <w:rFonts w:ascii="Arial" w:eastAsia="Calibri" w:hAnsi="Arial" w:cs="Arial"/>
                <w:sz w:val="20"/>
              </w:rPr>
            </w:pPr>
            <w:r w:rsidRPr="00AD7843">
              <w:rPr>
                <w:rFonts w:ascii="Arial" w:eastAsia="Calibri" w:hAnsi="Arial" w:cs="Arial"/>
                <w:sz w:val="20"/>
              </w:rPr>
              <w:t>64 years or over</w:t>
            </w:r>
          </w:p>
        </w:tc>
        <w:tc>
          <w:tcPr>
            <w:tcW w:w="825" w:type="pct"/>
            <w:vAlign w:val="center"/>
          </w:tcPr>
          <w:p w14:paraId="6F1295D6" w14:textId="77777777" w:rsidR="00D42046" w:rsidRPr="00AD7843" w:rsidRDefault="00D42046" w:rsidP="008B6783">
            <w:pPr>
              <w:spacing w:before="0"/>
              <w:rPr>
                <w:rFonts w:ascii="Arial" w:hAnsi="Arial" w:cs="Arial"/>
              </w:rPr>
            </w:pPr>
            <w:r w:rsidRPr="00AD7843">
              <w:rPr>
                <w:rFonts w:ascii="Arial" w:eastAsia="Calibri" w:hAnsi="Arial" w:cs="Arial"/>
                <w:sz w:val="20"/>
              </w:rPr>
              <w:t>58 (19.53%)</w:t>
            </w:r>
          </w:p>
        </w:tc>
        <w:tc>
          <w:tcPr>
            <w:tcW w:w="825" w:type="pct"/>
            <w:vAlign w:val="center"/>
          </w:tcPr>
          <w:p w14:paraId="370B24DC" w14:textId="77777777" w:rsidR="00D42046" w:rsidRPr="00AD7843" w:rsidRDefault="00D42046" w:rsidP="008B6783">
            <w:pPr>
              <w:spacing w:before="0"/>
              <w:rPr>
                <w:rFonts w:ascii="Arial" w:hAnsi="Arial" w:cs="Arial"/>
              </w:rPr>
            </w:pPr>
            <w:r w:rsidRPr="00AD7843">
              <w:rPr>
                <w:rFonts w:ascii="Arial" w:eastAsia="Calibri" w:hAnsi="Arial" w:cs="Arial"/>
                <w:sz w:val="20"/>
              </w:rPr>
              <w:t>17 (15.45%)</w:t>
            </w:r>
          </w:p>
        </w:tc>
        <w:tc>
          <w:tcPr>
            <w:tcW w:w="1132" w:type="pct"/>
            <w:vAlign w:val="center"/>
          </w:tcPr>
          <w:p w14:paraId="4191D7F9" w14:textId="77777777" w:rsidR="00D42046" w:rsidRPr="00AD7843" w:rsidRDefault="00D42046" w:rsidP="008B6783">
            <w:pPr>
              <w:spacing w:before="0"/>
              <w:rPr>
                <w:rFonts w:ascii="Arial" w:hAnsi="Arial" w:cs="Arial"/>
              </w:rPr>
            </w:pPr>
            <w:r w:rsidRPr="00AD7843">
              <w:rPr>
                <w:rFonts w:ascii="Arial" w:eastAsia="Calibri" w:hAnsi="Arial" w:cs="Arial"/>
                <w:sz w:val="20"/>
              </w:rPr>
              <w:t>41 (21.93%)</w:t>
            </w:r>
          </w:p>
        </w:tc>
        <w:tc>
          <w:tcPr>
            <w:tcW w:w="495" w:type="pct"/>
            <w:vAlign w:val="center"/>
          </w:tcPr>
          <w:p w14:paraId="13175350" w14:textId="51C4517E" w:rsidR="00D42046" w:rsidRPr="00AD7843" w:rsidRDefault="00D42046" w:rsidP="002F3448">
            <w:pPr>
              <w:spacing w:before="0"/>
              <w:rPr>
                <w:rFonts w:ascii="Arial" w:hAnsi="Arial" w:cs="Arial"/>
              </w:rPr>
            </w:pPr>
            <w:r w:rsidRPr="00AD7843">
              <w:rPr>
                <w:rFonts w:ascii="Arial" w:eastAsia="Calibri" w:hAnsi="Arial" w:cs="Arial"/>
                <w:sz w:val="20"/>
              </w:rPr>
              <w:t>0.17</w:t>
            </w:r>
          </w:p>
        </w:tc>
      </w:tr>
      <w:tr w:rsidR="00D42046" w:rsidRPr="00AD7843" w14:paraId="2690FA54" w14:textId="77777777" w:rsidTr="00561571">
        <w:tc>
          <w:tcPr>
            <w:tcW w:w="1723" w:type="pct"/>
            <w:vAlign w:val="center"/>
          </w:tcPr>
          <w:p w14:paraId="3E666B1A" w14:textId="77777777" w:rsidR="00D42046" w:rsidRPr="00AD7843" w:rsidRDefault="00D42046" w:rsidP="002F3448">
            <w:pPr>
              <w:spacing w:before="0"/>
              <w:rPr>
                <w:rFonts w:ascii="Arial" w:eastAsia="Calibri" w:hAnsi="Arial" w:cs="Arial"/>
                <w:sz w:val="20"/>
              </w:rPr>
            </w:pPr>
          </w:p>
        </w:tc>
        <w:tc>
          <w:tcPr>
            <w:tcW w:w="825" w:type="pct"/>
            <w:vAlign w:val="center"/>
          </w:tcPr>
          <w:p w14:paraId="7A278C00" w14:textId="77777777" w:rsidR="00D42046" w:rsidRPr="00AD7843" w:rsidRDefault="00D42046" w:rsidP="008B6783">
            <w:pPr>
              <w:spacing w:before="0"/>
              <w:rPr>
                <w:rFonts w:ascii="Arial" w:eastAsia="Calibri" w:hAnsi="Arial" w:cs="Arial"/>
                <w:sz w:val="20"/>
              </w:rPr>
            </w:pPr>
          </w:p>
        </w:tc>
        <w:tc>
          <w:tcPr>
            <w:tcW w:w="825" w:type="pct"/>
            <w:vAlign w:val="center"/>
          </w:tcPr>
          <w:p w14:paraId="5A32D336" w14:textId="77777777" w:rsidR="00D42046" w:rsidRPr="00AD7843" w:rsidRDefault="00D42046" w:rsidP="008B6783">
            <w:pPr>
              <w:spacing w:before="0"/>
              <w:rPr>
                <w:rFonts w:ascii="Arial" w:eastAsia="Calibri" w:hAnsi="Arial" w:cs="Arial"/>
                <w:sz w:val="20"/>
              </w:rPr>
            </w:pPr>
          </w:p>
        </w:tc>
        <w:tc>
          <w:tcPr>
            <w:tcW w:w="1132" w:type="pct"/>
            <w:vAlign w:val="center"/>
          </w:tcPr>
          <w:p w14:paraId="6ADD9827" w14:textId="77777777" w:rsidR="00D42046" w:rsidRPr="00AD7843" w:rsidRDefault="00D42046" w:rsidP="008B6783">
            <w:pPr>
              <w:spacing w:before="0"/>
              <w:rPr>
                <w:rFonts w:ascii="Arial" w:eastAsia="Calibri" w:hAnsi="Arial" w:cs="Arial"/>
                <w:sz w:val="20"/>
              </w:rPr>
            </w:pPr>
          </w:p>
        </w:tc>
        <w:tc>
          <w:tcPr>
            <w:tcW w:w="495" w:type="pct"/>
            <w:vAlign w:val="center"/>
          </w:tcPr>
          <w:p w14:paraId="522312B1" w14:textId="77777777" w:rsidR="00D42046" w:rsidRPr="00AD7843" w:rsidRDefault="00D42046" w:rsidP="002F3448">
            <w:pPr>
              <w:spacing w:before="0"/>
              <w:rPr>
                <w:rFonts w:ascii="Arial" w:eastAsia="Calibri" w:hAnsi="Arial" w:cs="Arial"/>
                <w:sz w:val="20"/>
              </w:rPr>
            </w:pPr>
          </w:p>
        </w:tc>
      </w:tr>
      <w:tr w:rsidR="00D42046" w:rsidRPr="00AD7843" w14:paraId="5C6D471F" w14:textId="77777777" w:rsidTr="00561571">
        <w:tc>
          <w:tcPr>
            <w:tcW w:w="1723" w:type="pct"/>
            <w:vAlign w:val="center"/>
          </w:tcPr>
          <w:p w14:paraId="22E01CD1" w14:textId="77777777" w:rsidR="00D42046" w:rsidRPr="00AD7843" w:rsidRDefault="00D42046" w:rsidP="002F3448">
            <w:pPr>
              <w:spacing w:before="0"/>
              <w:rPr>
                <w:rFonts w:ascii="Arial" w:eastAsia="Calibri" w:hAnsi="Arial" w:cs="Arial"/>
                <w:b/>
                <w:bCs/>
                <w:sz w:val="20"/>
              </w:rPr>
            </w:pPr>
            <w:r w:rsidRPr="00AD7843">
              <w:rPr>
                <w:rFonts w:ascii="Arial" w:eastAsia="Calibri" w:hAnsi="Arial" w:cs="Arial"/>
                <w:b/>
                <w:bCs/>
                <w:sz w:val="20"/>
              </w:rPr>
              <w:t>Risk classification</w:t>
            </w:r>
          </w:p>
        </w:tc>
        <w:tc>
          <w:tcPr>
            <w:tcW w:w="825" w:type="pct"/>
            <w:vAlign w:val="center"/>
          </w:tcPr>
          <w:p w14:paraId="0ABE4F87" w14:textId="77777777" w:rsidR="00D42046" w:rsidRPr="00AD7843" w:rsidRDefault="00D42046" w:rsidP="008B6783">
            <w:pPr>
              <w:spacing w:before="0"/>
              <w:rPr>
                <w:rFonts w:ascii="Arial" w:eastAsia="Calibri" w:hAnsi="Arial" w:cs="Arial"/>
                <w:sz w:val="20"/>
              </w:rPr>
            </w:pPr>
          </w:p>
        </w:tc>
        <w:tc>
          <w:tcPr>
            <w:tcW w:w="825" w:type="pct"/>
            <w:vAlign w:val="center"/>
          </w:tcPr>
          <w:p w14:paraId="41FD9A1A" w14:textId="77777777" w:rsidR="00D42046" w:rsidRPr="00AD7843" w:rsidRDefault="00D42046" w:rsidP="008B6783">
            <w:pPr>
              <w:spacing w:before="0"/>
              <w:rPr>
                <w:rFonts w:ascii="Arial" w:eastAsia="Calibri" w:hAnsi="Arial" w:cs="Arial"/>
                <w:sz w:val="20"/>
              </w:rPr>
            </w:pPr>
          </w:p>
        </w:tc>
        <w:tc>
          <w:tcPr>
            <w:tcW w:w="1132" w:type="pct"/>
            <w:vAlign w:val="center"/>
          </w:tcPr>
          <w:p w14:paraId="390DA9CB" w14:textId="77777777" w:rsidR="00D42046" w:rsidRPr="00AD7843" w:rsidRDefault="00D42046" w:rsidP="008B6783">
            <w:pPr>
              <w:spacing w:before="0"/>
              <w:rPr>
                <w:rFonts w:ascii="Arial" w:eastAsia="Calibri" w:hAnsi="Arial" w:cs="Arial"/>
                <w:sz w:val="20"/>
              </w:rPr>
            </w:pPr>
          </w:p>
        </w:tc>
        <w:tc>
          <w:tcPr>
            <w:tcW w:w="495" w:type="pct"/>
            <w:vAlign w:val="center"/>
          </w:tcPr>
          <w:p w14:paraId="5C379C1F" w14:textId="77777777" w:rsidR="00D42046" w:rsidRPr="00AD7843" w:rsidRDefault="00D42046" w:rsidP="002F3448">
            <w:pPr>
              <w:spacing w:before="0"/>
              <w:rPr>
                <w:rFonts w:ascii="Arial" w:eastAsia="Calibri" w:hAnsi="Arial" w:cs="Arial"/>
                <w:sz w:val="20"/>
              </w:rPr>
            </w:pPr>
          </w:p>
        </w:tc>
      </w:tr>
      <w:tr w:rsidR="00D42046" w:rsidRPr="00AD7843" w14:paraId="5256F76C" w14:textId="77777777" w:rsidTr="00561571">
        <w:tc>
          <w:tcPr>
            <w:tcW w:w="1723" w:type="pct"/>
            <w:vAlign w:val="center"/>
          </w:tcPr>
          <w:p w14:paraId="674E65BF" w14:textId="77777777" w:rsidR="00D42046" w:rsidRPr="00AD7843" w:rsidRDefault="00D42046" w:rsidP="002F3448">
            <w:pPr>
              <w:spacing w:before="0"/>
              <w:ind w:left="113"/>
              <w:rPr>
                <w:rFonts w:ascii="Arial" w:hAnsi="Arial" w:cs="Arial"/>
              </w:rPr>
            </w:pPr>
            <w:r w:rsidRPr="00AD7843">
              <w:rPr>
                <w:rFonts w:ascii="Arial" w:eastAsia="Calibri" w:hAnsi="Arial" w:cs="Arial"/>
                <w:sz w:val="20"/>
              </w:rPr>
              <w:t>Low risk</w:t>
            </w:r>
          </w:p>
        </w:tc>
        <w:tc>
          <w:tcPr>
            <w:tcW w:w="825" w:type="pct"/>
            <w:vAlign w:val="center"/>
          </w:tcPr>
          <w:p w14:paraId="45A24965" w14:textId="77777777" w:rsidR="00D42046" w:rsidRPr="00AD7843" w:rsidRDefault="00D42046" w:rsidP="008B6783">
            <w:pPr>
              <w:spacing w:before="0"/>
              <w:rPr>
                <w:rFonts w:ascii="Arial" w:hAnsi="Arial" w:cs="Arial"/>
              </w:rPr>
            </w:pPr>
            <w:r w:rsidRPr="00AD7843">
              <w:rPr>
                <w:rFonts w:ascii="Arial" w:eastAsia="Calibri" w:hAnsi="Arial" w:cs="Arial"/>
                <w:sz w:val="20"/>
              </w:rPr>
              <w:t>185 (62.29%)</w:t>
            </w:r>
          </w:p>
        </w:tc>
        <w:tc>
          <w:tcPr>
            <w:tcW w:w="825" w:type="pct"/>
            <w:vAlign w:val="center"/>
          </w:tcPr>
          <w:p w14:paraId="7DE68EF0" w14:textId="77777777" w:rsidR="00D42046" w:rsidRPr="00AD7843" w:rsidRDefault="00D42046" w:rsidP="008B6783">
            <w:pPr>
              <w:spacing w:before="0"/>
              <w:rPr>
                <w:rFonts w:ascii="Arial" w:hAnsi="Arial" w:cs="Arial"/>
              </w:rPr>
            </w:pPr>
            <w:r w:rsidRPr="00AD7843">
              <w:rPr>
                <w:rFonts w:ascii="Arial" w:eastAsia="Calibri" w:hAnsi="Arial" w:cs="Arial"/>
                <w:sz w:val="20"/>
              </w:rPr>
              <w:t>14 (12.73%)</w:t>
            </w:r>
          </w:p>
        </w:tc>
        <w:tc>
          <w:tcPr>
            <w:tcW w:w="1132" w:type="pct"/>
            <w:vAlign w:val="center"/>
          </w:tcPr>
          <w:p w14:paraId="110698EF" w14:textId="77777777" w:rsidR="00D42046" w:rsidRPr="00AD7843" w:rsidRDefault="00D42046" w:rsidP="008B6783">
            <w:pPr>
              <w:spacing w:before="0"/>
              <w:rPr>
                <w:rFonts w:ascii="Arial" w:hAnsi="Arial" w:cs="Arial"/>
              </w:rPr>
            </w:pPr>
            <w:r w:rsidRPr="00AD7843">
              <w:rPr>
                <w:rFonts w:ascii="Arial" w:eastAsia="Calibri" w:hAnsi="Arial" w:cs="Arial"/>
                <w:sz w:val="20"/>
              </w:rPr>
              <w:t>171 (91.44%)</w:t>
            </w:r>
          </w:p>
        </w:tc>
        <w:tc>
          <w:tcPr>
            <w:tcW w:w="495" w:type="pct"/>
            <w:vAlign w:val="center"/>
          </w:tcPr>
          <w:p w14:paraId="4525B329" w14:textId="77777777" w:rsidR="00D42046" w:rsidRPr="00AD7843" w:rsidRDefault="00D42046" w:rsidP="002F3448">
            <w:pPr>
              <w:spacing w:before="0"/>
              <w:rPr>
                <w:rFonts w:ascii="Arial" w:hAnsi="Arial" w:cs="Arial"/>
              </w:rPr>
            </w:pPr>
            <w:r w:rsidRPr="00AD7843">
              <w:rPr>
                <w:rFonts w:ascii="Arial" w:eastAsia="Calibri" w:hAnsi="Arial" w:cs="Arial"/>
                <w:sz w:val="20"/>
              </w:rPr>
              <w:t>&lt;0.001</w:t>
            </w:r>
          </w:p>
        </w:tc>
      </w:tr>
      <w:tr w:rsidR="00D42046" w:rsidRPr="00AD7843" w14:paraId="67C4B183" w14:textId="77777777" w:rsidTr="00561571">
        <w:tc>
          <w:tcPr>
            <w:tcW w:w="1723" w:type="pct"/>
            <w:vAlign w:val="center"/>
          </w:tcPr>
          <w:p w14:paraId="6D5EC7AB" w14:textId="77777777" w:rsidR="00D42046" w:rsidRPr="00AD7843" w:rsidRDefault="00D42046" w:rsidP="002F3448">
            <w:pPr>
              <w:spacing w:before="0"/>
              <w:ind w:left="113"/>
              <w:rPr>
                <w:rFonts w:ascii="Arial" w:eastAsia="Calibri" w:hAnsi="Arial" w:cs="Arial"/>
                <w:sz w:val="20"/>
              </w:rPr>
            </w:pPr>
            <w:r w:rsidRPr="00AD7843">
              <w:rPr>
                <w:rFonts w:ascii="Arial" w:eastAsia="Calibri" w:hAnsi="Arial" w:cs="Arial"/>
                <w:sz w:val="20"/>
              </w:rPr>
              <w:t>Medium risk</w:t>
            </w:r>
          </w:p>
        </w:tc>
        <w:tc>
          <w:tcPr>
            <w:tcW w:w="825" w:type="pct"/>
            <w:vAlign w:val="center"/>
          </w:tcPr>
          <w:p w14:paraId="681ED85D" w14:textId="77777777" w:rsidR="00D42046" w:rsidRPr="00AD7843" w:rsidRDefault="00D42046" w:rsidP="008B6783">
            <w:pPr>
              <w:spacing w:before="0"/>
              <w:rPr>
                <w:rFonts w:ascii="Arial" w:hAnsi="Arial" w:cs="Arial"/>
              </w:rPr>
            </w:pPr>
            <w:r w:rsidRPr="00AD7843">
              <w:rPr>
                <w:rFonts w:ascii="Arial" w:eastAsia="Calibri" w:hAnsi="Arial" w:cs="Arial"/>
                <w:sz w:val="20"/>
              </w:rPr>
              <w:t>55 (18.52%)</w:t>
            </w:r>
          </w:p>
        </w:tc>
        <w:tc>
          <w:tcPr>
            <w:tcW w:w="825" w:type="pct"/>
            <w:vAlign w:val="center"/>
          </w:tcPr>
          <w:p w14:paraId="025F61B3" w14:textId="77777777" w:rsidR="00D42046" w:rsidRPr="00AD7843" w:rsidRDefault="00D42046" w:rsidP="008B6783">
            <w:pPr>
              <w:spacing w:before="0"/>
              <w:rPr>
                <w:rFonts w:ascii="Arial" w:hAnsi="Arial" w:cs="Arial"/>
              </w:rPr>
            </w:pPr>
            <w:r w:rsidRPr="00AD7843">
              <w:rPr>
                <w:rFonts w:ascii="Arial" w:eastAsia="Calibri" w:hAnsi="Arial" w:cs="Arial"/>
                <w:sz w:val="20"/>
              </w:rPr>
              <w:t>43 (39.09%)</w:t>
            </w:r>
          </w:p>
        </w:tc>
        <w:tc>
          <w:tcPr>
            <w:tcW w:w="1132" w:type="pct"/>
            <w:vAlign w:val="center"/>
          </w:tcPr>
          <w:p w14:paraId="2033B173" w14:textId="77777777" w:rsidR="00D42046" w:rsidRPr="00AD7843" w:rsidRDefault="00D42046" w:rsidP="008B6783">
            <w:pPr>
              <w:spacing w:before="0"/>
              <w:rPr>
                <w:rFonts w:ascii="Arial" w:hAnsi="Arial" w:cs="Arial"/>
              </w:rPr>
            </w:pPr>
            <w:r w:rsidRPr="00AD7843">
              <w:rPr>
                <w:rFonts w:ascii="Arial" w:eastAsia="Calibri" w:hAnsi="Arial" w:cs="Arial"/>
                <w:sz w:val="20"/>
              </w:rPr>
              <w:t>12 (6.42%)</w:t>
            </w:r>
          </w:p>
        </w:tc>
        <w:tc>
          <w:tcPr>
            <w:tcW w:w="495" w:type="pct"/>
            <w:vAlign w:val="center"/>
          </w:tcPr>
          <w:p w14:paraId="7A2B3CB4" w14:textId="77777777" w:rsidR="00D42046" w:rsidRPr="00AD7843" w:rsidRDefault="00D42046" w:rsidP="002F3448">
            <w:pPr>
              <w:spacing w:before="0"/>
              <w:rPr>
                <w:rFonts w:ascii="Arial" w:hAnsi="Arial" w:cs="Arial"/>
              </w:rPr>
            </w:pPr>
            <w:r w:rsidRPr="00AD7843">
              <w:rPr>
                <w:rFonts w:ascii="Arial" w:eastAsia="Calibri" w:hAnsi="Arial" w:cs="Arial"/>
                <w:sz w:val="20"/>
              </w:rPr>
              <w:t>&lt;0.001</w:t>
            </w:r>
          </w:p>
        </w:tc>
      </w:tr>
      <w:tr w:rsidR="00D42046" w:rsidRPr="00AD7843" w14:paraId="6BD38E01" w14:textId="77777777" w:rsidTr="00561571">
        <w:tc>
          <w:tcPr>
            <w:tcW w:w="1723" w:type="pct"/>
            <w:tcBorders>
              <w:bottom w:val="single" w:sz="0" w:space="0" w:color="000000"/>
            </w:tcBorders>
            <w:vAlign w:val="center"/>
          </w:tcPr>
          <w:p w14:paraId="7FDACC9F" w14:textId="77777777" w:rsidR="00D42046" w:rsidRPr="00AD7843" w:rsidRDefault="00D42046" w:rsidP="002F3448">
            <w:pPr>
              <w:spacing w:before="0"/>
              <w:ind w:left="113"/>
              <w:rPr>
                <w:rFonts w:ascii="Arial" w:eastAsia="Calibri" w:hAnsi="Arial" w:cs="Arial"/>
                <w:sz w:val="20"/>
              </w:rPr>
            </w:pPr>
            <w:r w:rsidRPr="00AD7843">
              <w:rPr>
                <w:rFonts w:ascii="Arial" w:eastAsia="Calibri" w:hAnsi="Arial" w:cs="Arial"/>
                <w:sz w:val="20"/>
              </w:rPr>
              <w:t>High risk</w:t>
            </w:r>
          </w:p>
        </w:tc>
        <w:tc>
          <w:tcPr>
            <w:tcW w:w="825" w:type="pct"/>
            <w:tcBorders>
              <w:bottom w:val="single" w:sz="0" w:space="0" w:color="000000"/>
            </w:tcBorders>
            <w:vAlign w:val="center"/>
          </w:tcPr>
          <w:p w14:paraId="07E8EE65" w14:textId="77777777" w:rsidR="00D42046" w:rsidRPr="00AD7843" w:rsidRDefault="00D42046" w:rsidP="008B6783">
            <w:pPr>
              <w:spacing w:before="0"/>
              <w:rPr>
                <w:rFonts w:ascii="Arial" w:hAnsi="Arial" w:cs="Arial"/>
              </w:rPr>
            </w:pPr>
            <w:r w:rsidRPr="00AD7843">
              <w:rPr>
                <w:rFonts w:ascii="Arial" w:eastAsia="Calibri" w:hAnsi="Arial" w:cs="Arial"/>
                <w:sz w:val="20"/>
              </w:rPr>
              <w:t>57 (19.19%)</w:t>
            </w:r>
          </w:p>
        </w:tc>
        <w:tc>
          <w:tcPr>
            <w:tcW w:w="825" w:type="pct"/>
            <w:tcBorders>
              <w:bottom w:val="single" w:sz="0" w:space="0" w:color="000000"/>
            </w:tcBorders>
            <w:vAlign w:val="center"/>
          </w:tcPr>
          <w:p w14:paraId="0E0E4B45" w14:textId="77777777" w:rsidR="00D42046" w:rsidRPr="00AD7843" w:rsidRDefault="00D42046" w:rsidP="008B6783">
            <w:pPr>
              <w:spacing w:before="0"/>
              <w:rPr>
                <w:rFonts w:ascii="Arial" w:hAnsi="Arial" w:cs="Arial"/>
              </w:rPr>
            </w:pPr>
            <w:r w:rsidRPr="00AD7843">
              <w:rPr>
                <w:rFonts w:ascii="Arial" w:eastAsia="Calibri" w:hAnsi="Arial" w:cs="Arial"/>
                <w:sz w:val="20"/>
              </w:rPr>
              <w:t>53 (48.18%)</w:t>
            </w:r>
          </w:p>
        </w:tc>
        <w:tc>
          <w:tcPr>
            <w:tcW w:w="1132" w:type="pct"/>
            <w:tcBorders>
              <w:bottom w:val="single" w:sz="0" w:space="0" w:color="000000"/>
            </w:tcBorders>
            <w:vAlign w:val="center"/>
          </w:tcPr>
          <w:p w14:paraId="556A60D8" w14:textId="77777777" w:rsidR="00D42046" w:rsidRPr="00AD7843" w:rsidRDefault="00D42046" w:rsidP="008B6783">
            <w:pPr>
              <w:spacing w:before="0"/>
              <w:rPr>
                <w:rFonts w:ascii="Arial" w:hAnsi="Arial" w:cs="Arial"/>
              </w:rPr>
            </w:pPr>
            <w:r w:rsidRPr="00AD7843">
              <w:rPr>
                <w:rFonts w:ascii="Arial" w:eastAsia="Calibri" w:hAnsi="Arial" w:cs="Arial"/>
                <w:sz w:val="20"/>
              </w:rPr>
              <w:t>4 (2.14%)</w:t>
            </w:r>
          </w:p>
        </w:tc>
        <w:tc>
          <w:tcPr>
            <w:tcW w:w="495" w:type="pct"/>
            <w:tcBorders>
              <w:bottom w:val="single" w:sz="0" w:space="0" w:color="000000"/>
            </w:tcBorders>
            <w:vAlign w:val="center"/>
          </w:tcPr>
          <w:p w14:paraId="6D1222F2" w14:textId="77777777" w:rsidR="00D42046" w:rsidRPr="00AD7843" w:rsidRDefault="00D42046" w:rsidP="002F3448">
            <w:pPr>
              <w:spacing w:before="0"/>
              <w:rPr>
                <w:rFonts w:ascii="Arial" w:hAnsi="Arial" w:cs="Arial"/>
              </w:rPr>
            </w:pPr>
            <w:r w:rsidRPr="00AD7843">
              <w:rPr>
                <w:rFonts w:ascii="Arial" w:eastAsia="Calibri" w:hAnsi="Arial" w:cs="Arial"/>
                <w:sz w:val="20"/>
              </w:rPr>
              <w:t>&lt;0.001</w:t>
            </w:r>
          </w:p>
        </w:tc>
      </w:tr>
    </w:tbl>
    <w:p w14:paraId="2BF6EA03" w14:textId="27DEEBBD" w:rsidR="00D42046" w:rsidRPr="004E354E" w:rsidRDefault="00D42046" w:rsidP="004E354E">
      <w:pPr>
        <w:spacing w:before="160" w:line="240" w:lineRule="auto"/>
        <w:rPr>
          <w:rFonts w:ascii="Arial" w:hAnsi="Arial" w:cs="Arial"/>
          <w:sz w:val="18"/>
          <w:szCs w:val="18"/>
        </w:rPr>
      </w:pPr>
      <w:r w:rsidRPr="004C6AAD">
        <w:rPr>
          <w:rFonts w:ascii="Arial" w:hAnsi="Arial" w:cs="Arial"/>
          <w:sz w:val="18"/>
          <w:szCs w:val="18"/>
        </w:rPr>
        <w:t>Data are presented as median (IQR) for continuous measures, and n (%) for categorical measures.</w:t>
      </w:r>
      <w:r w:rsidRPr="004C6AAD">
        <w:rPr>
          <w:rFonts w:ascii="Arial" w:hAnsi="Arial" w:cs="Arial"/>
          <w:sz w:val="18"/>
          <w:szCs w:val="18"/>
        </w:rPr>
        <w:br/>
        <w:t>Notes: Data are presented as median (IQR) for continuous variables, and n (%) for categorical variables. Pearson's chi-squared test (p-value) or (Fisher's exact test (p-value) (where appropriate) is reported for categorical measures and independent samples t-test is reported for continuous variables).</w:t>
      </w:r>
    </w:p>
    <w:p w14:paraId="4CA800BF" w14:textId="5D1E3F80" w:rsidR="00D42046" w:rsidRPr="00AD7843" w:rsidRDefault="00D42046" w:rsidP="004E354E">
      <w:pPr>
        <w:spacing w:before="160" w:line="240" w:lineRule="auto"/>
        <w:rPr>
          <w:rFonts w:ascii="Arial" w:hAnsi="Arial" w:cs="Arial"/>
        </w:rPr>
      </w:pPr>
      <w:r w:rsidRPr="00AD7843">
        <w:rPr>
          <w:rFonts w:ascii="Arial" w:hAnsi="Arial" w:cs="Arial"/>
        </w:rPr>
        <w:t xml:space="preserve">Figure </w:t>
      </w:r>
      <w:r w:rsidR="004C6AAD">
        <w:rPr>
          <w:rFonts w:ascii="Arial" w:hAnsi="Arial" w:cs="Arial"/>
        </w:rPr>
        <w:t>3</w:t>
      </w:r>
      <w:r w:rsidRPr="00AD7843">
        <w:rPr>
          <w:rFonts w:ascii="Arial" w:hAnsi="Arial" w:cs="Arial"/>
        </w:rPr>
        <w:t xml:space="preserve"> shows a summary of the SF-6D scores for the brief and comprehensive intervention arms at baseline. The data indicates that at baseline, the distribution of quality of life as measured by the SF-6D score was almost the same.</w:t>
      </w:r>
    </w:p>
    <w:p w14:paraId="64317E18" w14:textId="77777777" w:rsidR="00D42046" w:rsidRPr="00AD7843" w:rsidRDefault="00D42046" w:rsidP="002F3448">
      <w:pPr>
        <w:keepNext/>
        <w:spacing w:before="0" w:after="0" w:line="240" w:lineRule="auto"/>
        <w:rPr>
          <w:rFonts w:ascii="Arial" w:hAnsi="Arial" w:cs="Arial"/>
        </w:rPr>
      </w:pPr>
      <w:r w:rsidRPr="00AD7843">
        <w:rPr>
          <w:rFonts w:ascii="Arial" w:hAnsi="Arial" w:cs="Arial"/>
          <w:noProof/>
        </w:rPr>
        <w:drawing>
          <wp:inline distT="0" distB="0" distL="0" distR="0" wp14:anchorId="5BA61DDE" wp14:editId="584FB89D">
            <wp:extent cx="4905375" cy="3562350"/>
            <wp:effectExtent l="0" t="0" r="9525" b="0"/>
            <wp:docPr id="2" name="Picture 2" descr="A summary of the SF-6D scores for the brief and comprehensive intervention arms at baseline. The data indicates that at baseline, the distribution of quality of life as measured by the SF-6D score was almost the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ummary of the SF-6D scores for the brief and comprehensive intervention arms at baseline. The data indicates that at baseline, the distribution of quality of life as measured by the SF-6D score was almost the sa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5375" cy="3562350"/>
                    </a:xfrm>
                    <a:prstGeom prst="rect">
                      <a:avLst/>
                    </a:prstGeom>
                    <a:noFill/>
                    <a:ln>
                      <a:noFill/>
                    </a:ln>
                  </pic:spPr>
                </pic:pic>
              </a:graphicData>
            </a:graphic>
          </wp:inline>
        </w:drawing>
      </w:r>
    </w:p>
    <w:p w14:paraId="4A207E75" w14:textId="0DF87335" w:rsidR="004C6AAD" w:rsidRPr="004E354E" w:rsidRDefault="00D42046" w:rsidP="004E354E">
      <w:pPr>
        <w:pStyle w:val="Heading3"/>
        <w:spacing w:before="160" w:after="160"/>
        <w:rPr>
          <w:rFonts w:ascii="Arial Narrow" w:hAnsi="Arial Narrow"/>
          <w:b/>
          <w:bCs/>
          <w:sz w:val="20"/>
          <w:szCs w:val="20"/>
        </w:rPr>
      </w:pPr>
      <w:bookmarkStart w:id="68" w:name="_Toc137535774"/>
      <w:r w:rsidRPr="00015B49">
        <w:rPr>
          <w:rFonts w:ascii="Arial Narrow" w:hAnsi="Arial Narrow"/>
          <w:b/>
          <w:bCs/>
          <w:sz w:val="20"/>
          <w:szCs w:val="20"/>
        </w:rPr>
        <w:t xml:space="preserve">Figure </w:t>
      </w:r>
      <w:r w:rsidR="003E7B38" w:rsidRPr="00015B49">
        <w:rPr>
          <w:rFonts w:ascii="Arial Narrow" w:hAnsi="Arial Narrow"/>
          <w:b/>
          <w:bCs/>
          <w:sz w:val="20"/>
          <w:szCs w:val="20"/>
        </w:rPr>
        <w:t>3</w:t>
      </w:r>
      <w:r w:rsidR="00E87484" w:rsidRPr="00015B49">
        <w:rPr>
          <w:rFonts w:ascii="Arial Narrow" w:hAnsi="Arial Narrow"/>
          <w:b/>
          <w:bCs/>
          <w:sz w:val="20"/>
          <w:szCs w:val="20"/>
        </w:rPr>
        <w:t>:</w:t>
      </w:r>
      <w:r w:rsidR="003E7B38" w:rsidRPr="00015B49">
        <w:rPr>
          <w:rFonts w:ascii="Arial Narrow" w:hAnsi="Arial Narrow"/>
          <w:b/>
          <w:bCs/>
          <w:sz w:val="20"/>
          <w:szCs w:val="20"/>
        </w:rPr>
        <w:t xml:space="preserve"> </w:t>
      </w:r>
      <w:r w:rsidRPr="00015B49">
        <w:rPr>
          <w:rFonts w:ascii="Arial Narrow" w:hAnsi="Arial Narrow"/>
          <w:b/>
          <w:bCs/>
          <w:sz w:val="20"/>
          <w:szCs w:val="20"/>
        </w:rPr>
        <w:t>Distribution of the SF-6D scores for the brief and comprehensive intervention arms at baseline.</w:t>
      </w:r>
      <w:bookmarkEnd w:id="68"/>
    </w:p>
    <w:p w14:paraId="1B53704F" w14:textId="2F73D1DD" w:rsidR="00D42046" w:rsidRPr="00AD7843" w:rsidRDefault="00D42046" w:rsidP="004E354E">
      <w:pPr>
        <w:spacing w:before="160" w:line="240" w:lineRule="auto"/>
        <w:rPr>
          <w:rFonts w:ascii="Arial" w:eastAsia="Times New Roman" w:hAnsi="Arial" w:cs="Arial"/>
          <w:bCs/>
          <w:lang w:val="en-US"/>
        </w:rPr>
      </w:pPr>
      <w:r w:rsidRPr="00AD7843">
        <w:rPr>
          <w:rFonts w:ascii="Arial" w:eastAsia="Times New Roman" w:hAnsi="Arial" w:cs="Arial"/>
          <w:bCs/>
          <w:lang w:val="en-US"/>
        </w:rPr>
        <w:t xml:space="preserve">Table </w:t>
      </w:r>
      <w:r w:rsidR="004C6AAD">
        <w:rPr>
          <w:rFonts w:ascii="Arial" w:eastAsia="Times New Roman" w:hAnsi="Arial" w:cs="Arial"/>
          <w:bCs/>
          <w:lang w:val="en-US"/>
        </w:rPr>
        <w:t>15</w:t>
      </w:r>
      <w:r w:rsidRPr="00AD7843">
        <w:rPr>
          <w:rFonts w:ascii="Arial" w:eastAsia="Times New Roman" w:hAnsi="Arial" w:cs="Arial"/>
          <w:bCs/>
          <w:lang w:val="en-US"/>
        </w:rPr>
        <w:t xml:space="preserve"> provides a summary of the quality-of-life scores (SF-6D version 2), risk categories, and referral data for participants in the brief intervention arm and who had complete non-missing data. Quality of life scores as measured by the SF-6D in the brief intervention arm showed some improvements over time especially when comparing the 6-month and 12-month data relative to the baseline. The median SF-6D score in the brief arm at baseline was 0.72 (the mean was 0.69) with an interquartile range (IQR) of (0.64-0.80), 0.76 at 6-</w:t>
      </w:r>
      <w:r w:rsidRPr="00AD7843">
        <w:rPr>
          <w:rFonts w:ascii="Arial" w:eastAsia="Times New Roman" w:hAnsi="Arial" w:cs="Arial"/>
          <w:bCs/>
          <w:lang w:val="en-US"/>
        </w:rPr>
        <w:lastRenderedPageBreak/>
        <w:t>months and 0.75 at the 12-month time point. The Friedman test was used to compare differences in SF-6D health utility scores over time. The results indicate no statistically significant differences in health utility scores over time (p-value = 0.53)</w:t>
      </w:r>
      <w:r w:rsidR="002F3AF8" w:rsidRPr="00AD7843">
        <w:rPr>
          <w:rFonts w:ascii="Arial" w:eastAsia="Times New Roman" w:hAnsi="Arial" w:cs="Arial"/>
          <w:bCs/>
          <w:lang w:val="en-US"/>
        </w:rPr>
        <w:t>.</w:t>
      </w:r>
    </w:p>
    <w:p w14:paraId="6B0846E9" w14:textId="41861393" w:rsidR="00D42046" w:rsidRPr="00015B49" w:rsidRDefault="007C7148" w:rsidP="00015B49">
      <w:pPr>
        <w:pStyle w:val="Heading3"/>
        <w:spacing w:before="0" w:after="0"/>
        <w:rPr>
          <w:rFonts w:ascii="Arial Narrow" w:hAnsi="Arial Narrow"/>
          <w:b/>
          <w:bCs/>
        </w:rPr>
      </w:pPr>
      <w:bookmarkStart w:id="69" w:name="_Toc137535775"/>
      <w:r w:rsidRPr="00015B49">
        <w:rPr>
          <w:rFonts w:ascii="Arial Narrow" w:hAnsi="Arial Narrow"/>
          <w:b/>
          <w:bCs/>
        </w:rPr>
        <w:t xml:space="preserve">Table </w:t>
      </w:r>
      <w:r w:rsidR="00AD7B66" w:rsidRPr="00015B49">
        <w:rPr>
          <w:rFonts w:ascii="Arial Narrow" w:hAnsi="Arial Narrow"/>
          <w:b/>
          <w:bCs/>
        </w:rPr>
        <w:t>15</w:t>
      </w:r>
      <w:r w:rsidR="00E87484" w:rsidRPr="00015B49">
        <w:rPr>
          <w:rFonts w:ascii="Arial Narrow" w:hAnsi="Arial Narrow"/>
          <w:b/>
          <w:bCs/>
        </w:rPr>
        <w:t>:</w:t>
      </w:r>
      <w:r w:rsidR="00AD7B66" w:rsidRPr="00015B49">
        <w:rPr>
          <w:rFonts w:ascii="Arial Narrow" w:hAnsi="Arial Narrow"/>
          <w:b/>
          <w:bCs/>
        </w:rPr>
        <w:t xml:space="preserve"> Outcomes</w:t>
      </w:r>
      <w:r w:rsidR="00D42046" w:rsidRPr="00015B49">
        <w:rPr>
          <w:rFonts w:ascii="Arial Narrow" w:hAnsi="Arial Narrow"/>
          <w:b/>
          <w:bCs/>
        </w:rPr>
        <w:t xml:space="preserve"> for participants in the brief intervention arm with non-missing data</w:t>
      </w:r>
      <w:bookmarkEnd w:id="69"/>
    </w:p>
    <w:tbl>
      <w:tblPr>
        <w:tblStyle w:val="TableGrid"/>
        <w:tblW w:w="0" w:type="auto"/>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1262"/>
        <w:gridCol w:w="1320"/>
        <w:gridCol w:w="1263"/>
        <w:gridCol w:w="1263"/>
        <w:gridCol w:w="859"/>
      </w:tblGrid>
      <w:tr w:rsidR="00D42046" w:rsidRPr="00AD7843" w14:paraId="56124B6E" w14:textId="77777777" w:rsidTr="00561571">
        <w:tc>
          <w:tcPr>
            <w:tcW w:w="0" w:type="auto"/>
            <w:tcBorders>
              <w:top w:val="single" w:sz="4" w:space="0" w:color="000000" w:themeColor="text1"/>
            </w:tcBorders>
            <w:vAlign w:val="center"/>
          </w:tcPr>
          <w:p w14:paraId="37954C09"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b/>
              </w:rPr>
              <w:t xml:space="preserve"> </w:t>
            </w:r>
          </w:p>
        </w:tc>
        <w:tc>
          <w:tcPr>
            <w:tcW w:w="0" w:type="auto"/>
            <w:tcBorders>
              <w:top w:val="single" w:sz="4" w:space="0" w:color="000000" w:themeColor="text1"/>
            </w:tcBorders>
            <w:vAlign w:val="center"/>
          </w:tcPr>
          <w:p w14:paraId="7592C49E"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Total</w:t>
            </w:r>
          </w:p>
        </w:tc>
        <w:tc>
          <w:tcPr>
            <w:tcW w:w="0" w:type="auto"/>
            <w:tcBorders>
              <w:top w:val="single" w:sz="4" w:space="0" w:color="000000" w:themeColor="text1"/>
            </w:tcBorders>
            <w:vAlign w:val="center"/>
          </w:tcPr>
          <w:p w14:paraId="1A8DC8F4"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Baseline</w:t>
            </w:r>
          </w:p>
        </w:tc>
        <w:tc>
          <w:tcPr>
            <w:tcW w:w="0" w:type="auto"/>
            <w:tcBorders>
              <w:top w:val="single" w:sz="4" w:space="0" w:color="000000" w:themeColor="text1"/>
            </w:tcBorders>
            <w:vAlign w:val="center"/>
          </w:tcPr>
          <w:p w14:paraId="4C62ED51"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6 Month</w:t>
            </w:r>
          </w:p>
        </w:tc>
        <w:tc>
          <w:tcPr>
            <w:tcW w:w="0" w:type="auto"/>
            <w:tcBorders>
              <w:top w:val="single" w:sz="4" w:space="0" w:color="000000" w:themeColor="text1"/>
            </w:tcBorders>
            <w:vAlign w:val="center"/>
          </w:tcPr>
          <w:p w14:paraId="0A370A81"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12 Month</w:t>
            </w:r>
          </w:p>
        </w:tc>
        <w:tc>
          <w:tcPr>
            <w:tcW w:w="0" w:type="auto"/>
            <w:tcBorders>
              <w:top w:val="single" w:sz="4" w:space="0" w:color="000000" w:themeColor="text1"/>
            </w:tcBorders>
            <w:vAlign w:val="center"/>
          </w:tcPr>
          <w:p w14:paraId="7C9AB4AD"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b/>
              </w:rPr>
              <w:t>p-value</w:t>
            </w:r>
          </w:p>
        </w:tc>
      </w:tr>
      <w:tr w:rsidR="00D42046" w:rsidRPr="00AD7843" w14:paraId="2E5C2D3E" w14:textId="77777777" w:rsidTr="00561571">
        <w:tc>
          <w:tcPr>
            <w:tcW w:w="0" w:type="auto"/>
            <w:tcBorders>
              <w:bottom w:val="single" w:sz="6" w:space="0" w:color="000000"/>
            </w:tcBorders>
            <w:vAlign w:val="center"/>
          </w:tcPr>
          <w:p w14:paraId="16E49B19" w14:textId="77777777" w:rsidR="00D42046" w:rsidRPr="00AD7843" w:rsidRDefault="00D42046" w:rsidP="002F3448">
            <w:pPr>
              <w:spacing w:before="0"/>
              <w:rPr>
                <w:rFonts w:ascii="Arial" w:eastAsia="Times New Roman" w:hAnsi="Arial" w:cs="Arial"/>
              </w:rPr>
            </w:pPr>
          </w:p>
        </w:tc>
        <w:tc>
          <w:tcPr>
            <w:tcW w:w="0" w:type="auto"/>
            <w:tcBorders>
              <w:bottom w:val="single" w:sz="6" w:space="0" w:color="000000"/>
            </w:tcBorders>
            <w:vAlign w:val="center"/>
          </w:tcPr>
          <w:p w14:paraId="5B1EC348"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N=209</w:t>
            </w:r>
          </w:p>
        </w:tc>
        <w:tc>
          <w:tcPr>
            <w:tcW w:w="0" w:type="auto"/>
            <w:tcBorders>
              <w:bottom w:val="single" w:sz="6" w:space="0" w:color="000000"/>
            </w:tcBorders>
            <w:vAlign w:val="center"/>
          </w:tcPr>
          <w:p w14:paraId="463679A6"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N=110</w:t>
            </w:r>
          </w:p>
        </w:tc>
        <w:tc>
          <w:tcPr>
            <w:tcW w:w="0" w:type="auto"/>
            <w:tcBorders>
              <w:bottom w:val="single" w:sz="6" w:space="0" w:color="000000"/>
            </w:tcBorders>
            <w:vAlign w:val="center"/>
          </w:tcPr>
          <w:p w14:paraId="32E59CA3"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N=34</w:t>
            </w:r>
          </w:p>
        </w:tc>
        <w:tc>
          <w:tcPr>
            <w:tcW w:w="0" w:type="auto"/>
            <w:tcBorders>
              <w:bottom w:val="single" w:sz="6" w:space="0" w:color="000000"/>
            </w:tcBorders>
            <w:vAlign w:val="center"/>
          </w:tcPr>
          <w:p w14:paraId="2DB6F00F"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N=65</w:t>
            </w:r>
          </w:p>
        </w:tc>
        <w:tc>
          <w:tcPr>
            <w:tcW w:w="0" w:type="auto"/>
            <w:tcBorders>
              <w:bottom w:val="single" w:sz="6" w:space="0" w:color="000000"/>
            </w:tcBorders>
            <w:vAlign w:val="center"/>
          </w:tcPr>
          <w:p w14:paraId="5E2436EE" w14:textId="77777777" w:rsidR="00D42046" w:rsidRPr="00AD7843" w:rsidRDefault="00D42046" w:rsidP="002F3448">
            <w:pPr>
              <w:spacing w:before="0"/>
              <w:rPr>
                <w:rFonts w:ascii="Arial" w:eastAsia="Times New Roman" w:hAnsi="Arial" w:cs="Arial"/>
              </w:rPr>
            </w:pPr>
          </w:p>
        </w:tc>
      </w:tr>
      <w:tr w:rsidR="00D42046" w:rsidRPr="00AD7843" w14:paraId="4ECEA942" w14:textId="77777777" w:rsidTr="00561571">
        <w:tc>
          <w:tcPr>
            <w:tcW w:w="0" w:type="auto"/>
            <w:tcBorders>
              <w:top w:val="single" w:sz="6" w:space="0" w:color="000000"/>
            </w:tcBorders>
            <w:vAlign w:val="center"/>
          </w:tcPr>
          <w:p w14:paraId="214062C4"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SF-6D preference-based measured of health (version 2)</w:t>
            </w:r>
          </w:p>
        </w:tc>
        <w:tc>
          <w:tcPr>
            <w:tcW w:w="0" w:type="auto"/>
            <w:tcBorders>
              <w:top w:val="single" w:sz="6" w:space="0" w:color="000000"/>
            </w:tcBorders>
            <w:vAlign w:val="center"/>
          </w:tcPr>
          <w:p w14:paraId="3E19B85E"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0.73 (0.65-0.80)</w:t>
            </w:r>
          </w:p>
        </w:tc>
        <w:tc>
          <w:tcPr>
            <w:tcW w:w="0" w:type="auto"/>
            <w:tcBorders>
              <w:top w:val="single" w:sz="6" w:space="0" w:color="000000"/>
            </w:tcBorders>
            <w:vAlign w:val="center"/>
          </w:tcPr>
          <w:p w14:paraId="7BC2CCB4"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0.72 (0.64-0.80)</w:t>
            </w:r>
          </w:p>
        </w:tc>
        <w:tc>
          <w:tcPr>
            <w:tcW w:w="0" w:type="auto"/>
            <w:tcBorders>
              <w:top w:val="single" w:sz="6" w:space="0" w:color="000000"/>
            </w:tcBorders>
            <w:vAlign w:val="center"/>
          </w:tcPr>
          <w:p w14:paraId="7B341E6E"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0.76 (0.63-0.80)</w:t>
            </w:r>
          </w:p>
        </w:tc>
        <w:tc>
          <w:tcPr>
            <w:tcW w:w="0" w:type="auto"/>
            <w:tcBorders>
              <w:top w:val="single" w:sz="6" w:space="0" w:color="000000"/>
            </w:tcBorders>
            <w:vAlign w:val="center"/>
          </w:tcPr>
          <w:p w14:paraId="19806AB5"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0.75 (0.67-0.81)</w:t>
            </w:r>
          </w:p>
        </w:tc>
        <w:tc>
          <w:tcPr>
            <w:tcW w:w="0" w:type="auto"/>
            <w:tcBorders>
              <w:top w:val="single" w:sz="6" w:space="0" w:color="000000"/>
            </w:tcBorders>
            <w:vAlign w:val="center"/>
          </w:tcPr>
          <w:p w14:paraId="6E8A6842" w14:textId="0946D2D8"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0.53</w:t>
            </w:r>
          </w:p>
        </w:tc>
      </w:tr>
      <w:tr w:rsidR="00D42046" w:rsidRPr="00AD7843" w14:paraId="1DA3272E" w14:textId="77777777" w:rsidTr="00561571">
        <w:tc>
          <w:tcPr>
            <w:tcW w:w="0" w:type="auto"/>
            <w:vAlign w:val="center"/>
          </w:tcPr>
          <w:p w14:paraId="6940176D" w14:textId="77777777" w:rsidR="00D42046" w:rsidRPr="00AD7843" w:rsidRDefault="00D42046" w:rsidP="002F3448">
            <w:pPr>
              <w:spacing w:before="0"/>
              <w:rPr>
                <w:rFonts w:ascii="Arial" w:eastAsia="Times New Roman" w:hAnsi="Arial" w:cs="Arial"/>
              </w:rPr>
            </w:pPr>
            <w:proofErr w:type="spellStart"/>
            <w:r w:rsidRPr="00AD7843">
              <w:rPr>
                <w:rFonts w:ascii="Arial" w:eastAsia="Times New Roman" w:hAnsi="Arial" w:cs="Arial"/>
                <w:sz w:val="20"/>
              </w:rPr>
              <w:t>riskcat</w:t>
            </w:r>
            <w:proofErr w:type="spellEnd"/>
            <w:r w:rsidRPr="00AD7843">
              <w:rPr>
                <w:rFonts w:ascii="Arial" w:eastAsia="Times New Roman" w:hAnsi="Arial" w:cs="Arial"/>
                <w:sz w:val="20"/>
              </w:rPr>
              <w:t>==Low risk</w:t>
            </w:r>
          </w:p>
        </w:tc>
        <w:tc>
          <w:tcPr>
            <w:tcW w:w="0" w:type="auto"/>
            <w:vAlign w:val="center"/>
          </w:tcPr>
          <w:p w14:paraId="5ACF9141"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24 (11.48%)</w:t>
            </w:r>
          </w:p>
        </w:tc>
        <w:tc>
          <w:tcPr>
            <w:tcW w:w="0" w:type="auto"/>
            <w:vAlign w:val="center"/>
          </w:tcPr>
          <w:p w14:paraId="68045097"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14 (12.73%)</w:t>
            </w:r>
          </w:p>
        </w:tc>
        <w:tc>
          <w:tcPr>
            <w:tcW w:w="0" w:type="auto"/>
            <w:vAlign w:val="center"/>
          </w:tcPr>
          <w:p w14:paraId="089492DE"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4 (11.76%)</w:t>
            </w:r>
          </w:p>
        </w:tc>
        <w:tc>
          <w:tcPr>
            <w:tcW w:w="0" w:type="auto"/>
            <w:vAlign w:val="center"/>
          </w:tcPr>
          <w:p w14:paraId="46D2F23D"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6 (9.23%)</w:t>
            </w:r>
          </w:p>
        </w:tc>
        <w:tc>
          <w:tcPr>
            <w:tcW w:w="0" w:type="auto"/>
            <w:vAlign w:val="center"/>
          </w:tcPr>
          <w:p w14:paraId="25A3F2B7" w14:textId="7D136DD9"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0.78</w:t>
            </w:r>
          </w:p>
        </w:tc>
      </w:tr>
      <w:tr w:rsidR="00D42046" w:rsidRPr="00AD7843" w14:paraId="2B7BD5BB" w14:textId="77777777" w:rsidTr="00561571">
        <w:tc>
          <w:tcPr>
            <w:tcW w:w="0" w:type="auto"/>
            <w:vAlign w:val="center"/>
          </w:tcPr>
          <w:p w14:paraId="1722DB3E" w14:textId="77777777" w:rsidR="00D42046" w:rsidRPr="00AD7843" w:rsidRDefault="00D42046" w:rsidP="002F3448">
            <w:pPr>
              <w:spacing w:before="0"/>
              <w:rPr>
                <w:rFonts w:ascii="Arial" w:eastAsia="Times New Roman" w:hAnsi="Arial" w:cs="Arial"/>
              </w:rPr>
            </w:pPr>
            <w:proofErr w:type="spellStart"/>
            <w:r w:rsidRPr="00AD7843">
              <w:rPr>
                <w:rFonts w:ascii="Arial" w:eastAsia="Times New Roman" w:hAnsi="Arial" w:cs="Arial"/>
                <w:sz w:val="20"/>
              </w:rPr>
              <w:t>riskcat</w:t>
            </w:r>
            <w:proofErr w:type="spellEnd"/>
            <w:r w:rsidRPr="00AD7843">
              <w:rPr>
                <w:rFonts w:ascii="Arial" w:eastAsia="Times New Roman" w:hAnsi="Arial" w:cs="Arial"/>
                <w:sz w:val="20"/>
              </w:rPr>
              <w:t>==Medium risk</w:t>
            </w:r>
          </w:p>
        </w:tc>
        <w:tc>
          <w:tcPr>
            <w:tcW w:w="0" w:type="auto"/>
            <w:vAlign w:val="center"/>
          </w:tcPr>
          <w:p w14:paraId="2F419099"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86 (41.15%)</w:t>
            </w:r>
          </w:p>
        </w:tc>
        <w:tc>
          <w:tcPr>
            <w:tcW w:w="0" w:type="auto"/>
            <w:vAlign w:val="center"/>
          </w:tcPr>
          <w:p w14:paraId="01550478"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43 (39.09%)</w:t>
            </w:r>
          </w:p>
        </w:tc>
        <w:tc>
          <w:tcPr>
            <w:tcW w:w="0" w:type="auto"/>
            <w:vAlign w:val="center"/>
          </w:tcPr>
          <w:p w14:paraId="35991CA0"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12 (35.29%)</w:t>
            </w:r>
          </w:p>
        </w:tc>
        <w:tc>
          <w:tcPr>
            <w:tcW w:w="0" w:type="auto"/>
            <w:vAlign w:val="center"/>
          </w:tcPr>
          <w:p w14:paraId="4DEC0655"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31 (47.69%)</w:t>
            </w:r>
          </w:p>
        </w:tc>
        <w:tc>
          <w:tcPr>
            <w:tcW w:w="0" w:type="auto"/>
            <w:vAlign w:val="center"/>
          </w:tcPr>
          <w:p w14:paraId="72BBD8DF" w14:textId="6D6A25AD"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0.40</w:t>
            </w:r>
          </w:p>
        </w:tc>
      </w:tr>
      <w:tr w:rsidR="00D42046" w:rsidRPr="00AD7843" w14:paraId="79993ECA" w14:textId="77777777" w:rsidTr="00561571">
        <w:tc>
          <w:tcPr>
            <w:tcW w:w="0" w:type="auto"/>
            <w:vAlign w:val="center"/>
          </w:tcPr>
          <w:p w14:paraId="48C31E01" w14:textId="77777777" w:rsidR="00D42046" w:rsidRPr="00AD7843" w:rsidRDefault="00D42046" w:rsidP="002F3448">
            <w:pPr>
              <w:spacing w:before="0"/>
              <w:rPr>
                <w:rFonts w:ascii="Arial" w:eastAsia="Times New Roman" w:hAnsi="Arial" w:cs="Arial"/>
              </w:rPr>
            </w:pPr>
            <w:proofErr w:type="spellStart"/>
            <w:r w:rsidRPr="00AD7843">
              <w:rPr>
                <w:rFonts w:ascii="Arial" w:eastAsia="Times New Roman" w:hAnsi="Arial" w:cs="Arial"/>
                <w:sz w:val="20"/>
              </w:rPr>
              <w:t>riskcat</w:t>
            </w:r>
            <w:proofErr w:type="spellEnd"/>
            <w:r w:rsidRPr="00AD7843">
              <w:rPr>
                <w:rFonts w:ascii="Arial" w:eastAsia="Times New Roman" w:hAnsi="Arial" w:cs="Arial"/>
                <w:sz w:val="20"/>
              </w:rPr>
              <w:t>==High risk</w:t>
            </w:r>
          </w:p>
        </w:tc>
        <w:tc>
          <w:tcPr>
            <w:tcW w:w="0" w:type="auto"/>
            <w:vAlign w:val="center"/>
          </w:tcPr>
          <w:p w14:paraId="0062F99D"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99 (47.37%)</w:t>
            </w:r>
          </w:p>
        </w:tc>
        <w:tc>
          <w:tcPr>
            <w:tcW w:w="0" w:type="auto"/>
            <w:vAlign w:val="center"/>
          </w:tcPr>
          <w:p w14:paraId="700EA911"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53 (48.18%)</w:t>
            </w:r>
          </w:p>
        </w:tc>
        <w:tc>
          <w:tcPr>
            <w:tcW w:w="0" w:type="auto"/>
            <w:vAlign w:val="center"/>
          </w:tcPr>
          <w:p w14:paraId="7D78D162"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18 (52.94%)</w:t>
            </w:r>
          </w:p>
        </w:tc>
        <w:tc>
          <w:tcPr>
            <w:tcW w:w="0" w:type="auto"/>
            <w:vAlign w:val="center"/>
          </w:tcPr>
          <w:p w14:paraId="1F058D85"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28 (43.08%)</w:t>
            </w:r>
          </w:p>
        </w:tc>
        <w:tc>
          <w:tcPr>
            <w:tcW w:w="0" w:type="auto"/>
            <w:vAlign w:val="center"/>
          </w:tcPr>
          <w:p w14:paraId="3312F6F7" w14:textId="1C3443D4"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0.63</w:t>
            </w:r>
          </w:p>
        </w:tc>
      </w:tr>
      <w:tr w:rsidR="00D42046" w:rsidRPr="00AD7843" w14:paraId="1A32D6E0" w14:textId="77777777" w:rsidTr="00561571">
        <w:tc>
          <w:tcPr>
            <w:tcW w:w="0" w:type="auto"/>
            <w:vAlign w:val="center"/>
          </w:tcPr>
          <w:p w14:paraId="070ABC27"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Referred to a GP</w:t>
            </w:r>
          </w:p>
        </w:tc>
        <w:tc>
          <w:tcPr>
            <w:tcW w:w="0" w:type="auto"/>
            <w:vAlign w:val="center"/>
          </w:tcPr>
          <w:p w14:paraId="41E0E5E1"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11 (33.33%)</w:t>
            </w:r>
          </w:p>
        </w:tc>
        <w:tc>
          <w:tcPr>
            <w:tcW w:w="0" w:type="auto"/>
            <w:vAlign w:val="center"/>
          </w:tcPr>
          <w:p w14:paraId="6BDFCE0A" w14:textId="77777777" w:rsidR="00D42046" w:rsidRPr="00AD7843" w:rsidRDefault="00D42046" w:rsidP="008B6783">
            <w:pPr>
              <w:spacing w:before="0"/>
              <w:rPr>
                <w:rFonts w:ascii="Arial" w:eastAsia="Times New Roman" w:hAnsi="Arial" w:cs="Arial"/>
              </w:rPr>
            </w:pPr>
          </w:p>
        </w:tc>
        <w:tc>
          <w:tcPr>
            <w:tcW w:w="0" w:type="auto"/>
            <w:vAlign w:val="center"/>
          </w:tcPr>
          <w:p w14:paraId="03F045A8"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6 (37.50%)</w:t>
            </w:r>
          </w:p>
        </w:tc>
        <w:tc>
          <w:tcPr>
            <w:tcW w:w="0" w:type="auto"/>
            <w:vAlign w:val="center"/>
          </w:tcPr>
          <w:p w14:paraId="33ACE06D"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5 (29.41%)</w:t>
            </w:r>
          </w:p>
        </w:tc>
        <w:tc>
          <w:tcPr>
            <w:tcW w:w="0" w:type="auto"/>
            <w:vAlign w:val="center"/>
          </w:tcPr>
          <w:p w14:paraId="0A2A7763" w14:textId="1C1AD7BC"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0.62</w:t>
            </w:r>
          </w:p>
        </w:tc>
      </w:tr>
      <w:tr w:rsidR="00D42046" w:rsidRPr="00AD7843" w14:paraId="1D4954C3" w14:textId="77777777" w:rsidTr="00561571">
        <w:tc>
          <w:tcPr>
            <w:tcW w:w="0" w:type="auto"/>
            <w:vAlign w:val="center"/>
          </w:tcPr>
          <w:p w14:paraId="2B6A14E9"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=1 if referred to GP and attended</w:t>
            </w:r>
          </w:p>
        </w:tc>
        <w:tc>
          <w:tcPr>
            <w:tcW w:w="0" w:type="auto"/>
            <w:vAlign w:val="center"/>
          </w:tcPr>
          <w:p w14:paraId="1FB0F7B4"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6 (50.00%)</w:t>
            </w:r>
          </w:p>
        </w:tc>
        <w:tc>
          <w:tcPr>
            <w:tcW w:w="0" w:type="auto"/>
            <w:vAlign w:val="center"/>
          </w:tcPr>
          <w:p w14:paraId="631B6BB0" w14:textId="77777777" w:rsidR="00D42046" w:rsidRPr="00AD7843" w:rsidRDefault="00D42046" w:rsidP="008B6783">
            <w:pPr>
              <w:spacing w:before="0"/>
              <w:rPr>
                <w:rFonts w:ascii="Arial" w:eastAsia="Times New Roman" w:hAnsi="Arial" w:cs="Arial"/>
              </w:rPr>
            </w:pPr>
          </w:p>
        </w:tc>
        <w:tc>
          <w:tcPr>
            <w:tcW w:w="0" w:type="auto"/>
            <w:vAlign w:val="center"/>
          </w:tcPr>
          <w:p w14:paraId="2DFF1ABA"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2 (33.33%)</w:t>
            </w:r>
          </w:p>
        </w:tc>
        <w:tc>
          <w:tcPr>
            <w:tcW w:w="0" w:type="auto"/>
            <w:vAlign w:val="center"/>
          </w:tcPr>
          <w:p w14:paraId="2EB1189B"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4 (66.67%)</w:t>
            </w:r>
          </w:p>
        </w:tc>
        <w:tc>
          <w:tcPr>
            <w:tcW w:w="0" w:type="auto"/>
            <w:vAlign w:val="center"/>
          </w:tcPr>
          <w:p w14:paraId="5B09AD47" w14:textId="4CD31838"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0.25</w:t>
            </w:r>
          </w:p>
        </w:tc>
      </w:tr>
      <w:tr w:rsidR="00D42046" w:rsidRPr="00AD7843" w14:paraId="393DACE4" w14:textId="77777777" w:rsidTr="00561571">
        <w:tc>
          <w:tcPr>
            <w:tcW w:w="0" w:type="auto"/>
            <w:tcBorders>
              <w:bottom w:val="single" w:sz="6" w:space="0" w:color="000000"/>
            </w:tcBorders>
            <w:vAlign w:val="center"/>
          </w:tcPr>
          <w:p w14:paraId="214579C2"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Referred to GP and attended within timeframe</w:t>
            </w:r>
          </w:p>
        </w:tc>
        <w:tc>
          <w:tcPr>
            <w:tcW w:w="0" w:type="auto"/>
            <w:tcBorders>
              <w:bottom w:val="single" w:sz="6" w:space="0" w:color="000000"/>
            </w:tcBorders>
            <w:vAlign w:val="center"/>
          </w:tcPr>
          <w:p w14:paraId="015CD4CF"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5 (71.43%)</w:t>
            </w:r>
          </w:p>
        </w:tc>
        <w:tc>
          <w:tcPr>
            <w:tcW w:w="0" w:type="auto"/>
            <w:tcBorders>
              <w:bottom w:val="single" w:sz="6" w:space="0" w:color="000000"/>
            </w:tcBorders>
            <w:vAlign w:val="center"/>
          </w:tcPr>
          <w:p w14:paraId="615CA7B1" w14:textId="77777777" w:rsidR="00D42046" w:rsidRPr="00AD7843" w:rsidRDefault="00D42046" w:rsidP="008B6783">
            <w:pPr>
              <w:spacing w:before="0"/>
              <w:rPr>
                <w:rFonts w:ascii="Arial" w:eastAsia="Times New Roman" w:hAnsi="Arial" w:cs="Arial"/>
              </w:rPr>
            </w:pPr>
          </w:p>
        </w:tc>
        <w:tc>
          <w:tcPr>
            <w:tcW w:w="0" w:type="auto"/>
            <w:tcBorders>
              <w:bottom w:val="single" w:sz="6" w:space="0" w:color="000000"/>
            </w:tcBorders>
            <w:vAlign w:val="center"/>
          </w:tcPr>
          <w:p w14:paraId="3A9A2EBC"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1 (50.00%)</w:t>
            </w:r>
          </w:p>
        </w:tc>
        <w:tc>
          <w:tcPr>
            <w:tcW w:w="0" w:type="auto"/>
            <w:tcBorders>
              <w:bottom w:val="single" w:sz="6" w:space="0" w:color="000000"/>
            </w:tcBorders>
            <w:vAlign w:val="center"/>
          </w:tcPr>
          <w:p w14:paraId="47FFA3C9"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4 (80.00%)</w:t>
            </w:r>
          </w:p>
        </w:tc>
        <w:tc>
          <w:tcPr>
            <w:tcW w:w="0" w:type="auto"/>
            <w:tcBorders>
              <w:bottom w:val="single" w:sz="6" w:space="0" w:color="000000"/>
            </w:tcBorders>
            <w:vAlign w:val="center"/>
          </w:tcPr>
          <w:p w14:paraId="353B266B" w14:textId="5954FCC6"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0.43</w:t>
            </w:r>
          </w:p>
        </w:tc>
      </w:tr>
    </w:tbl>
    <w:p w14:paraId="700BB56B" w14:textId="35D9BFD0" w:rsidR="004C6AAD" w:rsidRPr="004E354E" w:rsidRDefault="00D42046" w:rsidP="004E354E">
      <w:pPr>
        <w:spacing w:before="160" w:line="240" w:lineRule="auto"/>
        <w:rPr>
          <w:rFonts w:ascii="Arial" w:hAnsi="Arial" w:cs="Arial"/>
          <w:sz w:val="20"/>
          <w:szCs w:val="20"/>
        </w:rPr>
      </w:pPr>
      <w:r w:rsidRPr="004C6AAD">
        <w:rPr>
          <w:rFonts w:ascii="Arial" w:eastAsia="Times New Roman" w:hAnsi="Arial" w:cs="Arial"/>
          <w:sz w:val="18"/>
          <w:szCs w:val="18"/>
          <w:lang w:val="en-US"/>
        </w:rPr>
        <w:t>Notes: Data are presented as median (IQR) for continuous variables, and n (%) for categorical variables.</w:t>
      </w:r>
    </w:p>
    <w:p w14:paraId="30678D0D" w14:textId="0E2E04F4" w:rsidR="004C6AAD" w:rsidRDefault="00D42046" w:rsidP="004E354E">
      <w:pPr>
        <w:spacing w:before="160" w:line="240" w:lineRule="auto"/>
        <w:rPr>
          <w:rFonts w:ascii="Arial" w:hAnsi="Arial" w:cs="Arial"/>
        </w:rPr>
      </w:pPr>
      <w:r w:rsidRPr="00AD7843">
        <w:rPr>
          <w:rFonts w:ascii="Arial" w:hAnsi="Arial" w:cs="Arial"/>
        </w:rPr>
        <w:t xml:space="preserve">Table </w:t>
      </w:r>
      <w:r w:rsidR="004C6AAD">
        <w:rPr>
          <w:rFonts w:ascii="Arial" w:hAnsi="Arial" w:cs="Arial"/>
        </w:rPr>
        <w:t>15</w:t>
      </w:r>
      <w:r w:rsidRPr="00AD7843">
        <w:rPr>
          <w:rFonts w:ascii="Arial" w:hAnsi="Arial" w:cs="Arial"/>
        </w:rPr>
        <w:t xml:space="preserve"> also shows a summary of the proportion of participants who were screened and classified as either low, medium, or high risk in the brief arm. The results indicate that 12.73% in the brief arm were categorised as low risk at baseline, 39.09% had medium risk and 48.18% had high risk of cardiovascular disease. At 6-months, 52.94% were high risk, 35.29% were medium risk while at 12-months 43.08% were classified as high risk.</w:t>
      </w:r>
    </w:p>
    <w:p w14:paraId="71ABACC9" w14:textId="665483D7" w:rsidR="004C6AAD" w:rsidRPr="00AD7843" w:rsidRDefault="00D42046" w:rsidP="004E354E">
      <w:pPr>
        <w:spacing w:before="160" w:line="240" w:lineRule="auto"/>
        <w:rPr>
          <w:rFonts w:ascii="Arial" w:hAnsi="Arial" w:cs="Arial"/>
        </w:rPr>
      </w:pPr>
      <w:r w:rsidRPr="00AD7843">
        <w:rPr>
          <w:rFonts w:ascii="Arial" w:hAnsi="Arial" w:cs="Arial"/>
        </w:rPr>
        <w:t>However, there were significant differences in the proportion of individuals identified under each risk category over time. At the 6 months point, 37.5% of the participants had been referred to a GP, 33% had attended the GP consultation and 50% had done so within the recommended timeframe. There were no significant differences observed over time in the brief arm on the fraction of people referred to a GP, referred and attended and attendance within the required timeframe.</w:t>
      </w:r>
    </w:p>
    <w:p w14:paraId="09488128" w14:textId="27EB3DC6" w:rsidR="004C6AAD" w:rsidRDefault="00D42046" w:rsidP="004E354E">
      <w:pPr>
        <w:spacing w:before="160" w:line="240" w:lineRule="auto"/>
        <w:rPr>
          <w:rFonts w:ascii="Arial" w:eastAsia="Times New Roman" w:hAnsi="Arial" w:cs="Arial"/>
          <w:bCs/>
          <w:lang w:val="en-US"/>
        </w:rPr>
      </w:pPr>
      <w:r w:rsidRPr="00AD7843">
        <w:rPr>
          <w:rFonts w:ascii="Arial" w:hAnsi="Arial" w:cs="Arial"/>
        </w:rPr>
        <w:t xml:space="preserve">Table </w:t>
      </w:r>
      <w:r w:rsidR="004C6AAD">
        <w:rPr>
          <w:rFonts w:ascii="Arial" w:hAnsi="Arial" w:cs="Arial"/>
        </w:rPr>
        <w:t>16</w:t>
      </w:r>
      <w:r w:rsidRPr="00AD7843">
        <w:rPr>
          <w:rFonts w:ascii="Arial" w:hAnsi="Arial" w:cs="Arial"/>
        </w:rPr>
        <w:t xml:space="preserve"> </w:t>
      </w:r>
      <w:r w:rsidR="00E87484">
        <w:rPr>
          <w:rFonts w:ascii="Arial" w:hAnsi="Arial" w:cs="Arial"/>
        </w:rPr>
        <w:t xml:space="preserve">(following) </w:t>
      </w:r>
      <w:r w:rsidRPr="00AD7843">
        <w:rPr>
          <w:rFonts w:ascii="Arial" w:eastAsia="Times New Roman" w:hAnsi="Arial" w:cs="Arial"/>
          <w:bCs/>
          <w:lang w:val="en-US"/>
        </w:rPr>
        <w:t>provides a summary of the quality-of-life scores, risk classifications, and referral information for participants in the comprehensive intervention arm and who had complete non-missing data.</w:t>
      </w:r>
    </w:p>
    <w:p w14:paraId="488A4818" w14:textId="4D92AA35" w:rsidR="004C6AAD" w:rsidRDefault="00D42046" w:rsidP="004E354E">
      <w:pPr>
        <w:spacing w:before="160" w:line="240" w:lineRule="auto"/>
        <w:rPr>
          <w:rFonts w:ascii="Arial" w:eastAsia="Times New Roman" w:hAnsi="Arial" w:cs="Arial"/>
          <w:bCs/>
          <w:lang w:val="en-US"/>
        </w:rPr>
      </w:pPr>
      <w:r w:rsidRPr="00AD7843">
        <w:rPr>
          <w:rFonts w:ascii="Arial" w:eastAsia="Times New Roman" w:hAnsi="Arial" w:cs="Arial"/>
          <w:bCs/>
          <w:lang w:val="en-US"/>
        </w:rPr>
        <w:t xml:space="preserve">The median SF-6D score at baseline in the comprehensive arm was 0.70 and slightly lower than that in the brief arm (0.72). There was an improvement in the SF-6D score at 6 months point relative to baseline 0.72 and slightly lower </w:t>
      </w:r>
      <w:proofErr w:type="spellStart"/>
      <w:r w:rsidRPr="00AD7843">
        <w:rPr>
          <w:rFonts w:ascii="Arial" w:eastAsia="Times New Roman" w:hAnsi="Arial" w:cs="Arial"/>
          <w:bCs/>
          <w:lang w:val="en-US"/>
        </w:rPr>
        <w:t>that</w:t>
      </w:r>
      <w:proofErr w:type="spellEnd"/>
      <w:r w:rsidRPr="00AD7843">
        <w:rPr>
          <w:rFonts w:ascii="Arial" w:eastAsia="Times New Roman" w:hAnsi="Arial" w:cs="Arial"/>
          <w:bCs/>
          <w:lang w:val="en-US"/>
        </w:rPr>
        <w:t xml:space="preserve"> that in the brief arm at the same time point (0.76). We did not observe any improvement in the SF-6D score between the 6-month and the 12-month time point data in the comprehensive arm. Also, the SF-6D scores did not show statistically significant differences over time as indicated by Friedman’s p-value of 0.48. There were no significant differences in the fraction of people classified as either low, medium, or high risk over time. However, comparing the brief and comprehensive arms indicates significant differences in the fraction of individuals classified as either low, </w:t>
      </w:r>
      <w:proofErr w:type="gramStart"/>
      <w:r w:rsidRPr="00AD7843">
        <w:rPr>
          <w:rFonts w:ascii="Arial" w:eastAsia="Times New Roman" w:hAnsi="Arial" w:cs="Arial"/>
          <w:bCs/>
          <w:lang w:val="en-US"/>
        </w:rPr>
        <w:t>medium</w:t>
      </w:r>
      <w:proofErr w:type="gramEnd"/>
      <w:r w:rsidRPr="00AD7843">
        <w:rPr>
          <w:rFonts w:ascii="Arial" w:eastAsia="Times New Roman" w:hAnsi="Arial" w:cs="Arial"/>
          <w:bCs/>
          <w:lang w:val="en-US"/>
        </w:rPr>
        <w:t xml:space="preserve"> or high risk. For example, at the 6 months point, 52.94% were classified as high risk in the brief arm compared to 1.92%.</w:t>
      </w:r>
    </w:p>
    <w:p w14:paraId="28B6EA27" w14:textId="4782BC18" w:rsidR="002958B1" w:rsidRPr="00AD7843" w:rsidRDefault="00D42046" w:rsidP="002958B1">
      <w:pPr>
        <w:spacing w:before="160" w:after="400" w:line="240" w:lineRule="auto"/>
        <w:rPr>
          <w:rFonts w:ascii="Arial" w:eastAsia="Times New Roman" w:hAnsi="Arial" w:cs="Arial"/>
          <w:bCs/>
          <w:lang w:val="en-US"/>
        </w:rPr>
      </w:pPr>
      <w:r w:rsidRPr="00AD7843">
        <w:rPr>
          <w:rFonts w:ascii="Arial" w:eastAsia="Times New Roman" w:hAnsi="Arial" w:cs="Arial"/>
          <w:bCs/>
          <w:lang w:val="en-US"/>
        </w:rPr>
        <w:t>However, caution should be taken when interpreting or comparing these numbers since the numbers in the comprehensive arm are very low. Similarly, the numbers reported on referrals to GP were also very small and hence less likely to give robust conclusions.</w:t>
      </w:r>
    </w:p>
    <w:p w14:paraId="5D7FE577" w14:textId="06FA06E4" w:rsidR="00D42046" w:rsidRPr="005B6677" w:rsidRDefault="007C7148" w:rsidP="004E354E">
      <w:pPr>
        <w:pStyle w:val="Heading3"/>
        <w:spacing w:before="160" w:after="160"/>
        <w:rPr>
          <w:rFonts w:ascii="Arial Narrow" w:hAnsi="Arial Narrow"/>
          <w:b/>
          <w:bCs/>
          <w:sz w:val="20"/>
          <w:szCs w:val="20"/>
        </w:rPr>
      </w:pPr>
      <w:bookmarkStart w:id="70" w:name="_Toc137535776"/>
      <w:r w:rsidRPr="005B6677">
        <w:rPr>
          <w:rFonts w:ascii="Arial Narrow" w:hAnsi="Arial Narrow"/>
          <w:b/>
          <w:bCs/>
          <w:sz w:val="20"/>
          <w:szCs w:val="20"/>
        </w:rPr>
        <w:lastRenderedPageBreak/>
        <w:t>Table 16</w:t>
      </w:r>
      <w:r w:rsidR="00E87484" w:rsidRPr="005B6677">
        <w:rPr>
          <w:rFonts w:ascii="Arial Narrow" w:hAnsi="Arial Narrow"/>
          <w:b/>
          <w:bCs/>
          <w:sz w:val="20"/>
          <w:szCs w:val="20"/>
        </w:rPr>
        <w:t>:</w:t>
      </w:r>
      <w:r w:rsidR="00D42046" w:rsidRPr="005B6677">
        <w:rPr>
          <w:rFonts w:ascii="Arial Narrow" w:hAnsi="Arial Narrow"/>
          <w:b/>
          <w:bCs/>
          <w:sz w:val="20"/>
          <w:szCs w:val="20"/>
        </w:rPr>
        <w:t xml:space="preserve"> Outcomes for participants in the comprehensive intervention arm with non-missing data.</w:t>
      </w:r>
      <w:bookmarkEnd w:id="70"/>
    </w:p>
    <w:tbl>
      <w:tblPr>
        <w:tblStyle w:val="TableGrid"/>
        <w:tblW w:w="0" w:type="auto"/>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1262"/>
        <w:gridCol w:w="1320"/>
        <w:gridCol w:w="1263"/>
        <w:gridCol w:w="1263"/>
        <w:gridCol w:w="859"/>
      </w:tblGrid>
      <w:tr w:rsidR="00D42046" w:rsidRPr="00AD7843" w14:paraId="60DF8C79" w14:textId="77777777" w:rsidTr="00561571">
        <w:tc>
          <w:tcPr>
            <w:tcW w:w="0" w:type="auto"/>
            <w:tcBorders>
              <w:top w:val="single" w:sz="4" w:space="0" w:color="000000" w:themeColor="text1"/>
            </w:tcBorders>
            <w:vAlign w:val="center"/>
          </w:tcPr>
          <w:p w14:paraId="0E92E146"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b/>
              </w:rPr>
              <w:t xml:space="preserve"> </w:t>
            </w:r>
          </w:p>
        </w:tc>
        <w:tc>
          <w:tcPr>
            <w:tcW w:w="0" w:type="auto"/>
            <w:tcBorders>
              <w:top w:val="single" w:sz="4" w:space="0" w:color="000000" w:themeColor="text1"/>
            </w:tcBorders>
            <w:vAlign w:val="center"/>
          </w:tcPr>
          <w:p w14:paraId="33D8E225"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Total</w:t>
            </w:r>
          </w:p>
        </w:tc>
        <w:tc>
          <w:tcPr>
            <w:tcW w:w="0" w:type="auto"/>
            <w:tcBorders>
              <w:top w:val="single" w:sz="4" w:space="0" w:color="000000" w:themeColor="text1"/>
            </w:tcBorders>
            <w:vAlign w:val="center"/>
          </w:tcPr>
          <w:p w14:paraId="22686342"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Baseline</w:t>
            </w:r>
          </w:p>
        </w:tc>
        <w:tc>
          <w:tcPr>
            <w:tcW w:w="0" w:type="auto"/>
            <w:tcBorders>
              <w:top w:val="single" w:sz="4" w:space="0" w:color="000000" w:themeColor="text1"/>
            </w:tcBorders>
            <w:vAlign w:val="center"/>
          </w:tcPr>
          <w:p w14:paraId="19B4AF33"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6 Month</w:t>
            </w:r>
          </w:p>
        </w:tc>
        <w:tc>
          <w:tcPr>
            <w:tcW w:w="0" w:type="auto"/>
            <w:tcBorders>
              <w:top w:val="single" w:sz="4" w:space="0" w:color="000000" w:themeColor="text1"/>
            </w:tcBorders>
            <w:vAlign w:val="center"/>
          </w:tcPr>
          <w:p w14:paraId="43B1F14C"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12 Month</w:t>
            </w:r>
          </w:p>
        </w:tc>
        <w:tc>
          <w:tcPr>
            <w:tcW w:w="0" w:type="auto"/>
            <w:tcBorders>
              <w:top w:val="single" w:sz="4" w:space="0" w:color="000000" w:themeColor="text1"/>
            </w:tcBorders>
            <w:vAlign w:val="center"/>
          </w:tcPr>
          <w:p w14:paraId="1C82CC2D"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b/>
              </w:rPr>
              <w:t>p-value</w:t>
            </w:r>
          </w:p>
        </w:tc>
      </w:tr>
      <w:tr w:rsidR="00D42046" w:rsidRPr="00AD7843" w14:paraId="199E6F40" w14:textId="77777777" w:rsidTr="00561571">
        <w:tc>
          <w:tcPr>
            <w:tcW w:w="0" w:type="auto"/>
            <w:tcBorders>
              <w:bottom w:val="single" w:sz="6" w:space="0" w:color="000000"/>
            </w:tcBorders>
            <w:vAlign w:val="center"/>
          </w:tcPr>
          <w:p w14:paraId="7B1CEBA6" w14:textId="77777777" w:rsidR="00D42046" w:rsidRPr="00AD7843" w:rsidRDefault="00D42046" w:rsidP="002F3448">
            <w:pPr>
              <w:spacing w:before="0"/>
              <w:rPr>
                <w:rFonts w:ascii="Arial" w:eastAsia="Times New Roman" w:hAnsi="Arial" w:cs="Arial"/>
              </w:rPr>
            </w:pPr>
          </w:p>
        </w:tc>
        <w:tc>
          <w:tcPr>
            <w:tcW w:w="0" w:type="auto"/>
            <w:tcBorders>
              <w:bottom w:val="single" w:sz="6" w:space="0" w:color="000000"/>
            </w:tcBorders>
            <w:vAlign w:val="center"/>
          </w:tcPr>
          <w:p w14:paraId="1F893C83"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N=394</w:t>
            </w:r>
          </w:p>
        </w:tc>
        <w:tc>
          <w:tcPr>
            <w:tcW w:w="0" w:type="auto"/>
            <w:tcBorders>
              <w:bottom w:val="single" w:sz="6" w:space="0" w:color="000000"/>
            </w:tcBorders>
            <w:vAlign w:val="center"/>
          </w:tcPr>
          <w:p w14:paraId="6EE33525"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N=187</w:t>
            </w:r>
          </w:p>
        </w:tc>
        <w:tc>
          <w:tcPr>
            <w:tcW w:w="0" w:type="auto"/>
            <w:tcBorders>
              <w:bottom w:val="single" w:sz="6" w:space="0" w:color="000000"/>
            </w:tcBorders>
            <w:vAlign w:val="center"/>
          </w:tcPr>
          <w:p w14:paraId="1D7AB831"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N=104</w:t>
            </w:r>
          </w:p>
        </w:tc>
        <w:tc>
          <w:tcPr>
            <w:tcW w:w="0" w:type="auto"/>
            <w:tcBorders>
              <w:bottom w:val="single" w:sz="6" w:space="0" w:color="000000"/>
            </w:tcBorders>
            <w:vAlign w:val="center"/>
          </w:tcPr>
          <w:p w14:paraId="07F8EB13"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b/>
              </w:rPr>
              <w:t>N=103</w:t>
            </w:r>
          </w:p>
        </w:tc>
        <w:tc>
          <w:tcPr>
            <w:tcW w:w="0" w:type="auto"/>
            <w:tcBorders>
              <w:bottom w:val="single" w:sz="6" w:space="0" w:color="000000"/>
            </w:tcBorders>
            <w:vAlign w:val="center"/>
          </w:tcPr>
          <w:p w14:paraId="735EDF03" w14:textId="77777777" w:rsidR="00D42046" w:rsidRPr="00AD7843" w:rsidRDefault="00D42046" w:rsidP="002F3448">
            <w:pPr>
              <w:spacing w:before="0"/>
              <w:rPr>
                <w:rFonts w:ascii="Arial" w:eastAsia="Times New Roman" w:hAnsi="Arial" w:cs="Arial"/>
              </w:rPr>
            </w:pPr>
          </w:p>
        </w:tc>
      </w:tr>
      <w:tr w:rsidR="00D42046" w:rsidRPr="00AD7843" w14:paraId="6E4447F0" w14:textId="77777777" w:rsidTr="00561571">
        <w:tc>
          <w:tcPr>
            <w:tcW w:w="0" w:type="auto"/>
            <w:tcBorders>
              <w:top w:val="single" w:sz="6" w:space="0" w:color="000000"/>
            </w:tcBorders>
            <w:vAlign w:val="center"/>
          </w:tcPr>
          <w:p w14:paraId="6E1EB926"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SF-6D preference-based measured of health (version 2)</w:t>
            </w:r>
          </w:p>
        </w:tc>
        <w:tc>
          <w:tcPr>
            <w:tcW w:w="0" w:type="auto"/>
            <w:tcBorders>
              <w:top w:val="single" w:sz="6" w:space="0" w:color="000000"/>
            </w:tcBorders>
            <w:vAlign w:val="center"/>
          </w:tcPr>
          <w:p w14:paraId="2BB1CAE9"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0.72 (0.65-0.79)</w:t>
            </w:r>
          </w:p>
        </w:tc>
        <w:tc>
          <w:tcPr>
            <w:tcW w:w="0" w:type="auto"/>
            <w:tcBorders>
              <w:top w:val="single" w:sz="6" w:space="0" w:color="000000"/>
            </w:tcBorders>
            <w:vAlign w:val="center"/>
          </w:tcPr>
          <w:p w14:paraId="5EC219E5"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0.70 (0.65-0.79)</w:t>
            </w:r>
          </w:p>
        </w:tc>
        <w:tc>
          <w:tcPr>
            <w:tcW w:w="0" w:type="auto"/>
            <w:tcBorders>
              <w:top w:val="single" w:sz="6" w:space="0" w:color="000000"/>
            </w:tcBorders>
            <w:vAlign w:val="center"/>
          </w:tcPr>
          <w:p w14:paraId="57684A72"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0.72 (0.65-0.78)</w:t>
            </w:r>
          </w:p>
        </w:tc>
        <w:tc>
          <w:tcPr>
            <w:tcW w:w="0" w:type="auto"/>
            <w:tcBorders>
              <w:top w:val="single" w:sz="6" w:space="0" w:color="000000"/>
            </w:tcBorders>
            <w:vAlign w:val="center"/>
          </w:tcPr>
          <w:p w14:paraId="56FCD29A"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0.72 (0.67-0.80)</w:t>
            </w:r>
          </w:p>
        </w:tc>
        <w:tc>
          <w:tcPr>
            <w:tcW w:w="0" w:type="auto"/>
            <w:tcBorders>
              <w:top w:val="single" w:sz="6" w:space="0" w:color="000000"/>
            </w:tcBorders>
            <w:vAlign w:val="center"/>
          </w:tcPr>
          <w:p w14:paraId="3C2839F5" w14:textId="5DE1BB9D"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0.48</w:t>
            </w:r>
          </w:p>
        </w:tc>
      </w:tr>
      <w:tr w:rsidR="00D42046" w:rsidRPr="00AD7843" w14:paraId="419AFFC9" w14:textId="77777777" w:rsidTr="00561571">
        <w:tc>
          <w:tcPr>
            <w:tcW w:w="0" w:type="auto"/>
            <w:vAlign w:val="center"/>
          </w:tcPr>
          <w:p w14:paraId="4C88BD85" w14:textId="77777777" w:rsidR="00D42046" w:rsidRPr="00AD7843" w:rsidRDefault="00D42046" w:rsidP="002F3448">
            <w:pPr>
              <w:spacing w:before="0"/>
              <w:rPr>
                <w:rFonts w:ascii="Arial" w:eastAsia="Times New Roman" w:hAnsi="Arial" w:cs="Arial"/>
              </w:rPr>
            </w:pPr>
            <w:proofErr w:type="spellStart"/>
            <w:r w:rsidRPr="00AD7843">
              <w:rPr>
                <w:rFonts w:ascii="Arial" w:eastAsia="Times New Roman" w:hAnsi="Arial" w:cs="Arial"/>
                <w:sz w:val="20"/>
              </w:rPr>
              <w:t>riskcat</w:t>
            </w:r>
            <w:proofErr w:type="spellEnd"/>
            <w:r w:rsidRPr="00AD7843">
              <w:rPr>
                <w:rFonts w:ascii="Arial" w:eastAsia="Times New Roman" w:hAnsi="Arial" w:cs="Arial"/>
                <w:sz w:val="20"/>
              </w:rPr>
              <w:t>==Low risk</w:t>
            </w:r>
          </w:p>
        </w:tc>
        <w:tc>
          <w:tcPr>
            <w:tcW w:w="0" w:type="auto"/>
            <w:vAlign w:val="center"/>
          </w:tcPr>
          <w:p w14:paraId="34DB708F"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359 (91.58%)</w:t>
            </w:r>
          </w:p>
        </w:tc>
        <w:tc>
          <w:tcPr>
            <w:tcW w:w="0" w:type="auto"/>
            <w:vAlign w:val="center"/>
          </w:tcPr>
          <w:p w14:paraId="6179DE3C"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171 (91.44%)</w:t>
            </w:r>
          </w:p>
        </w:tc>
        <w:tc>
          <w:tcPr>
            <w:tcW w:w="0" w:type="auto"/>
            <w:vAlign w:val="center"/>
          </w:tcPr>
          <w:p w14:paraId="1B4F9E28"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95 (91.35%)</w:t>
            </w:r>
          </w:p>
        </w:tc>
        <w:tc>
          <w:tcPr>
            <w:tcW w:w="0" w:type="auto"/>
            <w:vAlign w:val="center"/>
          </w:tcPr>
          <w:p w14:paraId="58732FC2"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93 (92.08%)</w:t>
            </w:r>
          </w:p>
        </w:tc>
        <w:tc>
          <w:tcPr>
            <w:tcW w:w="0" w:type="auto"/>
            <w:vAlign w:val="center"/>
          </w:tcPr>
          <w:p w14:paraId="55FC0D67" w14:textId="37E755A5"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0.98</w:t>
            </w:r>
          </w:p>
        </w:tc>
      </w:tr>
      <w:tr w:rsidR="00D42046" w:rsidRPr="00AD7843" w14:paraId="1754705C" w14:textId="77777777" w:rsidTr="00561571">
        <w:tc>
          <w:tcPr>
            <w:tcW w:w="0" w:type="auto"/>
            <w:vAlign w:val="center"/>
          </w:tcPr>
          <w:p w14:paraId="725393EA" w14:textId="77777777" w:rsidR="00D42046" w:rsidRPr="00AD7843" w:rsidRDefault="00D42046" w:rsidP="002F3448">
            <w:pPr>
              <w:spacing w:before="0"/>
              <w:rPr>
                <w:rFonts w:ascii="Arial" w:eastAsia="Times New Roman" w:hAnsi="Arial" w:cs="Arial"/>
              </w:rPr>
            </w:pPr>
            <w:proofErr w:type="spellStart"/>
            <w:r w:rsidRPr="00AD7843">
              <w:rPr>
                <w:rFonts w:ascii="Arial" w:eastAsia="Times New Roman" w:hAnsi="Arial" w:cs="Arial"/>
                <w:sz w:val="20"/>
              </w:rPr>
              <w:t>riskcat</w:t>
            </w:r>
            <w:proofErr w:type="spellEnd"/>
            <w:r w:rsidRPr="00AD7843">
              <w:rPr>
                <w:rFonts w:ascii="Arial" w:eastAsia="Times New Roman" w:hAnsi="Arial" w:cs="Arial"/>
                <w:sz w:val="20"/>
              </w:rPr>
              <w:t>==Medium risk</w:t>
            </w:r>
          </w:p>
        </w:tc>
        <w:tc>
          <w:tcPr>
            <w:tcW w:w="0" w:type="auto"/>
            <w:vAlign w:val="center"/>
          </w:tcPr>
          <w:p w14:paraId="0B5E664E"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26 (6.63%)</w:t>
            </w:r>
          </w:p>
        </w:tc>
        <w:tc>
          <w:tcPr>
            <w:tcW w:w="0" w:type="auto"/>
            <w:vAlign w:val="center"/>
          </w:tcPr>
          <w:p w14:paraId="3F878033"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12 (6.42%)</w:t>
            </w:r>
          </w:p>
        </w:tc>
        <w:tc>
          <w:tcPr>
            <w:tcW w:w="0" w:type="auto"/>
            <w:vAlign w:val="center"/>
          </w:tcPr>
          <w:p w14:paraId="4C4DF167"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7 (6.73%)</w:t>
            </w:r>
          </w:p>
        </w:tc>
        <w:tc>
          <w:tcPr>
            <w:tcW w:w="0" w:type="auto"/>
            <w:vAlign w:val="center"/>
          </w:tcPr>
          <w:p w14:paraId="6532E431"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7 (6.93%)</w:t>
            </w:r>
          </w:p>
        </w:tc>
        <w:tc>
          <w:tcPr>
            <w:tcW w:w="0" w:type="auto"/>
            <w:vAlign w:val="center"/>
          </w:tcPr>
          <w:p w14:paraId="6C691B97" w14:textId="40CD6C17"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0.99</w:t>
            </w:r>
          </w:p>
        </w:tc>
      </w:tr>
      <w:tr w:rsidR="00D42046" w:rsidRPr="00AD7843" w14:paraId="6845737B" w14:textId="77777777" w:rsidTr="00561571">
        <w:tc>
          <w:tcPr>
            <w:tcW w:w="0" w:type="auto"/>
            <w:vAlign w:val="center"/>
          </w:tcPr>
          <w:p w14:paraId="1D6740AE" w14:textId="77777777" w:rsidR="00D42046" w:rsidRPr="00AD7843" w:rsidRDefault="00D42046" w:rsidP="002F3448">
            <w:pPr>
              <w:spacing w:before="0"/>
              <w:rPr>
                <w:rFonts w:ascii="Arial" w:eastAsia="Times New Roman" w:hAnsi="Arial" w:cs="Arial"/>
              </w:rPr>
            </w:pPr>
            <w:proofErr w:type="spellStart"/>
            <w:r w:rsidRPr="00AD7843">
              <w:rPr>
                <w:rFonts w:ascii="Arial" w:eastAsia="Times New Roman" w:hAnsi="Arial" w:cs="Arial"/>
                <w:sz w:val="20"/>
              </w:rPr>
              <w:t>riskcat</w:t>
            </w:r>
            <w:proofErr w:type="spellEnd"/>
            <w:r w:rsidRPr="00AD7843">
              <w:rPr>
                <w:rFonts w:ascii="Arial" w:eastAsia="Times New Roman" w:hAnsi="Arial" w:cs="Arial"/>
                <w:sz w:val="20"/>
              </w:rPr>
              <w:t>==High risk</w:t>
            </w:r>
          </w:p>
        </w:tc>
        <w:tc>
          <w:tcPr>
            <w:tcW w:w="0" w:type="auto"/>
            <w:vAlign w:val="center"/>
          </w:tcPr>
          <w:p w14:paraId="1D292316"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7 (1.79%)</w:t>
            </w:r>
          </w:p>
        </w:tc>
        <w:tc>
          <w:tcPr>
            <w:tcW w:w="0" w:type="auto"/>
            <w:vAlign w:val="center"/>
          </w:tcPr>
          <w:p w14:paraId="4E33CE98"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4 (2.14%)</w:t>
            </w:r>
          </w:p>
        </w:tc>
        <w:tc>
          <w:tcPr>
            <w:tcW w:w="0" w:type="auto"/>
            <w:vAlign w:val="center"/>
          </w:tcPr>
          <w:p w14:paraId="348981A0"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2 (1.92%)</w:t>
            </w:r>
          </w:p>
        </w:tc>
        <w:tc>
          <w:tcPr>
            <w:tcW w:w="0" w:type="auto"/>
            <w:vAlign w:val="center"/>
          </w:tcPr>
          <w:p w14:paraId="1A3E99E4"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1 (0.99%)</w:t>
            </w:r>
          </w:p>
        </w:tc>
        <w:tc>
          <w:tcPr>
            <w:tcW w:w="0" w:type="auto"/>
            <w:vAlign w:val="center"/>
          </w:tcPr>
          <w:p w14:paraId="6EA26D3B" w14:textId="23B87D55"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0.78</w:t>
            </w:r>
          </w:p>
        </w:tc>
      </w:tr>
      <w:tr w:rsidR="00D42046" w:rsidRPr="00AD7843" w14:paraId="614D2302" w14:textId="77777777" w:rsidTr="00561571">
        <w:tc>
          <w:tcPr>
            <w:tcW w:w="0" w:type="auto"/>
            <w:vAlign w:val="center"/>
          </w:tcPr>
          <w:p w14:paraId="4B6C2A0C"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referred to a GP</w:t>
            </w:r>
          </w:p>
        </w:tc>
        <w:tc>
          <w:tcPr>
            <w:tcW w:w="0" w:type="auto"/>
            <w:vAlign w:val="center"/>
          </w:tcPr>
          <w:p w14:paraId="0F95EB93"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13 (6.53%)</w:t>
            </w:r>
          </w:p>
        </w:tc>
        <w:tc>
          <w:tcPr>
            <w:tcW w:w="0" w:type="auto"/>
            <w:vAlign w:val="center"/>
          </w:tcPr>
          <w:p w14:paraId="057B1862" w14:textId="77777777" w:rsidR="00D42046" w:rsidRPr="00AD7843" w:rsidRDefault="00D42046" w:rsidP="008B6783">
            <w:pPr>
              <w:spacing w:before="0"/>
              <w:rPr>
                <w:rFonts w:ascii="Arial" w:eastAsia="Times New Roman" w:hAnsi="Arial" w:cs="Arial"/>
              </w:rPr>
            </w:pPr>
          </w:p>
        </w:tc>
        <w:tc>
          <w:tcPr>
            <w:tcW w:w="0" w:type="auto"/>
            <w:vAlign w:val="center"/>
          </w:tcPr>
          <w:p w14:paraId="5E6320FF"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9 (9.09%)</w:t>
            </w:r>
          </w:p>
        </w:tc>
        <w:tc>
          <w:tcPr>
            <w:tcW w:w="0" w:type="auto"/>
            <w:vAlign w:val="center"/>
          </w:tcPr>
          <w:p w14:paraId="1BF5B5B9"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4 (4.00%)</w:t>
            </w:r>
          </w:p>
        </w:tc>
        <w:tc>
          <w:tcPr>
            <w:tcW w:w="0" w:type="auto"/>
            <w:vAlign w:val="center"/>
          </w:tcPr>
          <w:p w14:paraId="3C4940F1" w14:textId="77ACEA96"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0.15</w:t>
            </w:r>
          </w:p>
        </w:tc>
      </w:tr>
      <w:tr w:rsidR="00D42046" w:rsidRPr="00AD7843" w14:paraId="1EB5D987" w14:textId="77777777" w:rsidTr="00561571">
        <w:tc>
          <w:tcPr>
            <w:tcW w:w="0" w:type="auto"/>
            <w:vAlign w:val="center"/>
          </w:tcPr>
          <w:p w14:paraId="6744EC2D"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=1 if referred to GP and attended</w:t>
            </w:r>
          </w:p>
        </w:tc>
        <w:tc>
          <w:tcPr>
            <w:tcW w:w="0" w:type="auto"/>
            <w:vAlign w:val="center"/>
          </w:tcPr>
          <w:p w14:paraId="5A255C21"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7 (53.85%)</w:t>
            </w:r>
          </w:p>
        </w:tc>
        <w:tc>
          <w:tcPr>
            <w:tcW w:w="0" w:type="auto"/>
            <w:vAlign w:val="center"/>
          </w:tcPr>
          <w:p w14:paraId="664C3966" w14:textId="77777777" w:rsidR="00D42046" w:rsidRPr="00AD7843" w:rsidRDefault="00D42046" w:rsidP="008B6783">
            <w:pPr>
              <w:spacing w:before="0"/>
              <w:rPr>
                <w:rFonts w:ascii="Arial" w:eastAsia="Times New Roman" w:hAnsi="Arial" w:cs="Arial"/>
              </w:rPr>
            </w:pPr>
          </w:p>
        </w:tc>
        <w:tc>
          <w:tcPr>
            <w:tcW w:w="0" w:type="auto"/>
            <w:vAlign w:val="center"/>
          </w:tcPr>
          <w:p w14:paraId="1542EEF9"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5 (55.56%)</w:t>
            </w:r>
          </w:p>
        </w:tc>
        <w:tc>
          <w:tcPr>
            <w:tcW w:w="0" w:type="auto"/>
            <w:vAlign w:val="center"/>
          </w:tcPr>
          <w:p w14:paraId="43D69608"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2 (50.00%)</w:t>
            </w:r>
          </w:p>
        </w:tc>
        <w:tc>
          <w:tcPr>
            <w:tcW w:w="0" w:type="auto"/>
            <w:vAlign w:val="center"/>
          </w:tcPr>
          <w:p w14:paraId="1A468700" w14:textId="3FB06BFC"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0.85</w:t>
            </w:r>
          </w:p>
        </w:tc>
      </w:tr>
      <w:tr w:rsidR="00D42046" w:rsidRPr="00AD7843" w14:paraId="14BB4CA8" w14:textId="77777777" w:rsidTr="00561571">
        <w:tc>
          <w:tcPr>
            <w:tcW w:w="0" w:type="auto"/>
            <w:tcBorders>
              <w:bottom w:val="single" w:sz="6" w:space="0" w:color="000000"/>
            </w:tcBorders>
            <w:vAlign w:val="center"/>
          </w:tcPr>
          <w:p w14:paraId="4166D14E" w14:textId="77777777"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Referred to GP and attended within timeframe</w:t>
            </w:r>
          </w:p>
        </w:tc>
        <w:tc>
          <w:tcPr>
            <w:tcW w:w="0" w:type="auto"/>
            <w:tcBorders>
              <w:bottom w:val="single" w:sz="6" w:space="0" w:color="000000"/>
            </w:tcBorders>
            <w:vAlign w:val="center"/>
          </w:tcPr>
          <w:p w14:paraId="20787F32"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6 (75.00%)</w:t>
            </w:r>
          </w:p>
        </w:tc>
        <w:tc>
          <w:tcPr>
            <w:tcW w:w="0" w:type="auto"/>
            <w:tcBorders>
              <w:bottom w:val="single" w:sz="6" w:space="0" w:color="000000"/>
            </w:tcBorders>
            <w:vAlign w:val="center"/>
          </w:tcPr>
          <w:p w14:paraId="49B45D2E" w14:textId="77777777" w:rsidR="00D42046" w:rsidRPr="00AD7843" w:rsidRDefault="00D42046" w:rsidP="008B6783">
            <w:pPr>
              <w:spacing w:before="0"/>
              <w:rPr>
                <w:rFonts w:ascii="Arial" w:eastAsia="Times New Roman" w:hAnsi="Arial" w:cs="Arial"/>
              </w:rPr>
            </w:pPr>
          </w:p>
        </w:tc>
        <w:tc>
          <w:tcPr>
            <w:tcW w:w="0" w:type="auto"/>
            <w:tcBorders>
              <w:bottom w:val="single" w:sz="6" w:space="0" w:color="000000"/>
            </w:tcBorders>
            <w:vAlign w:val="center"/>
          </w:tcPr>
          <w:p w14:paraId="27679A82"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4 (80.00%)</w:t>
            </w:r>
          </w:p>
        </w:tc>
        <w:tc>
          <w:tcPr>
            <w:tcW w:w="0" w:type="auto"/>
            <w:tcBorders>
              <w:bottom w:val="single" w:sz="6" w:space="0" w:color="000000"/>
            </w:tcBorders>
            <w:vAlign w:val="center"/>
          </w:tcPr>
          <w:p w14:paraId="4C9F3D2D" w14:textId="77777777" w:rsidR="00D42046" w:rsidRPr="00AD7843" w:rsidRDefault="00D42046" w:rsidP="008B6783">
            <w:pPr>
              <w:spacing w:before="0"/>
              <w:rPr>
                <w:rFonts w:ascii="Arial" w:eastAsia="Times New Roman" w:hAnsi="Arial" w:cs="Arial"/>
              </w:rPr>
            </w:pPr>
            <w:r w:rsidRPr="00AD7843">
              <w:rPr>
                <w:rFonts w:ascii="Arial" w:eastAsia="Times New Roman" w:hAnsi="Arial" w:cs="Arial"/>
                <w:sz w:val="20"/>
              </w:rPr>
              <w:t>2 (66.67%)</w:t>
            </w:r>
          </w:p>
        </w:tc>
        <w:tc>
          <w:tcPr>
            <w:tcW w:w="0" w:type="auto"/>
            <w:tcBorders>
              <w:bottom w:val="single" w:sz="6" w:space="0" w:color="000000"/>
            </w:tcBorders>
            <w:vAlign w:val="center"/>
          </w:tcPr>
          <w:p w14:paraId="13FAB9EC" w14:textId="6E2B872C" w:rsidR="00D42046" w:rsidRPr="00AD7843" w:rsidRDefault="00D42046" w:rsidP="002F3448">
            <w:pPr>
              <w:spacing w:before="0"/>
              <w:rPr>
                <w:rFonts w:ascii="Arial" w:eastAsia="Times New Roman" w:hAnsi="Arial" w:cs="Arial"/>
              </w:rPr>
            </w:pPr>
            <w:r w:rsidRPr="00AD7843">
              <w:rPr>
                <w:rFonts w:ascii="Arial" w:eastAsia="Times New Roman" w:hAnsi="Arial" w:cs="Arial"/>
                <w:sz w:val="20"/>
              </w:rPr>
              <w:t>0.67</w:t>
            </w:r>
          </w:p>
        </w:tc>
      </w:tr>
    </w:tbl>
    <w:p w14:paraId="460574CB" w14:textId="40C1FD7F" w:rsidR="00D42046" w:rsidRPr="004E354E" w:rsidRDefault="00D42046" w:rsidP="004E354E">
      <w:pPr>
        <w:spacing w:before="160" w:line="240" w:lineRule="auto"/>
        <w:rPr>
          <w:rFonts w:ascii="Arial" w:hAnsi="Arial" w:cs="Arial"/>
        </w:rPr>
      </w:pPr>
      <w:r w:rsidRPr="004C6AAD">
        <w:rPr>
          <w:rFonts w:ascii="Arial" w:eastAsia="Times New Roman" w:hAnsi="Arial" w:cs="Arial"/>
          <w:sz w:val="18"/>
          <w:szCs w:val="18"/>
          <w:lang w:val="en-US"/>
        </w:rPr>
        <w:t>Notes: Data are presented as median (IQR) for continuous variables, and n (%) for categorical variables</w:t>
      </w:r>
      <w:r w:rsidRPr="00AD7843">
        <w:rPr>
          <w:rFonts w:ascii="Arial" w:eastAsia="Times New Roman" w:hAnsi="Arial" w:cs="Arial"/>
          <w:sz w:val="20"/>
          <w:szCs w:val="20"/>
          <w:lang w:val="en-US"/>
        </w:rPr>
        <w:t>.</w:t>
      </w:r>
    </w:p>
    <w:p w14:paraId="796AC55D" w14:textId="2392F407" w:rsidR="004E2BD6" w:rsidRPr="004C6AAD" w:rsidRDefault="004E2BD6" w:rsidP="004E354E">
      <w:pPr>
        <w:pStyle w:val="Heading4"/>
        <w:spacing w:before="160" w:after="160"/>
      </w:pPr>
      <w:r w:rsidRPr="004C6AAD">
        <w:t>Intervention costs per patient</w:t>
      </w:r>
      <w:bookmarkEnd w:id="66"/>
    </w:p>
    <w:p w14:paraId="5430AA8D" w14:textId="04F7E27A" w:rsidR="004C6AAD" w:rsidRDefault="00D42046" w:rsidP="004E354E">
      <w:pPr>
        <w:spacing w:before="160" w:line="240" w:lineRule="auto"/>
        <w:rPr>
          <w:rFonts w:ascii="Arial" w:hAnsi="Arial" w:cs="Arial"/>
        </w:rPr>
      </w:pPr>
      <w:r w:rsidRPr="00AD7843">
        <w:rPr>
          <w:rFonts w:ascii="Arial" w:hAnsi="Arial" w:cs="Arial"/>
        </w:rPr>
        <w:t xml:space="preserve">Table </w:t>
      </w:r>
      <w:r w:rsidR="00E87484">
        <w:rPr>
          <w:rFonts w:ascii="Arial" w:hAnsi="Arial" w:cs="Arial"/>
        </w:rPr>
        <w:t>17</w:t>
      </w:r>
      <w:r w:rsidR="00E87484" w:rsidRPr="00AD7843">
        <w:rPr>
          <w:rFonts w:ascii="Arial" w:hAnsi="Arial" w:cs="Arial"/>
        </w:rPr>
        <w:t xml:space="preserve"> </w:t>
      </w:r>
      <w:r w:rsidRPr="00AD7843">
        <w:rPr>
          <w:rFonts w:ascii="Arial" w:hAnsi="Arial" w:cs="Arial"/>
        </w:rPr>
        <w:t>provides a summary of the expenses in terms the pharmacist’s time incurred to provide the intervention. Since the actual time commitment for each assessment was not recorded, we assumed as per the study protocol that a single assessment in the brief arm will require 15-20 minutes and 25-30 minutes for the comprehensive intervention arm. We have also assumed that the pharmacist spent 20 minutes on each assessment in the brief arm and 30 minutes in each comprehensive assessment arm.</w:t>
      </w:r>
    </w:p>
    <w:p w14:paraId="39FF10BD" w14:textId="3FDEC3AD" w:rsidR="004C6AAD" w:rsidRPr="00AD7843" w:rsidRDefault="00D42046" w:rsidP="004E354E">
      <w:pPr>
        <w:spacing w:before="160" w:line="240" w:lineRule="auto"/>
        <w:rPr>
          <w:rFonts w:ascii="Arial" w:hAnsi="Arial" w:cs="Arial"/>
        </w:rPr>
      </w:pPr>
      <w:r w:rsidRPr="00AD7843">
        <w:rPr>
          <w:rFonts w:ascii="Arial" w:hAnsi="Arial" w:cs="Arial"/>
        </w:rPr>
        <w:t>Applying the median annual hourly wage as described earlier, we costed all assessments completed at baseline, 6-months and 12-months incorporating these assumptions. The total costs of assessments in the brief intervention arm were $2,698 and $7,923 in the comprehensive arm with an incremental difference of $5,225. This difference is statistically significant (p-value &lt; 0.001).</w:t>
      </w:r>
    </w:p>
    <w:p w14:paraId="458870E3" w14:textId="76749750" w:rsidR="00D42046" w:rsidRPr="004775D5" w:rsidRDefault="007C7148" w:rsidP="004E354E">
      <w:pPr>
        <w:pStyle w:val="Heading3"/>
        <w:spacing w:before="160" w:after="160"/>
        <w:rPr>
          <w:rFonts w:ascii="Arial Narrow" w:hAnsi="Arial Narrow"/>
          <w:b/>
          <w:bCs/>
        </w:rPr>
      </w:pPr>
      <w:bookmarkStart w:id="71" w:name="_Toc137535777"/>
      <w:r w:rsidRPr="004775D5">
        <w:rPr>
          <w:rFonts w:ascii="Arial Narrow" w:hAnsi="Arial Narrow"/>
          <w:b/>
          <w:bCs/>
          <w:sz w:val="20"/>
          <w:szCs w:val="20"/>
        </w:rPr>
        <w:t xml:space="preserve">Table </w:t>
      </w:r>
      <w:r w:rsidR="00E87484" w:rsidRPr="004775D5">
        <w:rPr>
          <w:rFonts w:ascii="Arial Narrow" w:hAnsi="Arial Narrow"/>
          <w:b/>
          <w:bCs/>
          <w:sz w:val="20"/>
          <w:szCs w:val="20"/>
        </w:rPr>
        <w:t xml:space="preserve">17: </w:t>
      </w:r>
      <w:r w:rsidR="00D42046" w:rsidRPr="004775D5">
        <w:rPr>
          <w:rFonts w:ascii="Arial Narrow" w:hAnsi="Arial Narrow"/>
          <w:b/>
          <w:bCs/>
          <w:sz w:val="20"/>
          <w:szCs w:val="20"/>
        </w:rPr>
        <w:t>Summary of the expenses incurred by the pharmacist in conducting the assessments</w:t>
      </w:r>
      <w:bookmarkEnd w:id="71"/>
    </w:p>
    <w:tbl>
      <w:tblPr>
        <w:tblW w:w="5000" w:type="pct"/>
        <w:tblLook w:val="04A0" w:firstRow="1" w:lastRow="0" w:firstColumn="1" w:lastColumn="0" w:noHBand="0" w:noVBand="1"/>
      </w:tblPr>
      <w:tblGrid>
        <w:gridCol w:w="1586"/>
        <w:gridCol w:w="1111"/>
        <w:gridCol w:w="932"/>
        <w:gridCol w:w="1282"/>
        <w:gridCol w:w="839"/>
        <w:gridCol w:w="255"/>
        <w:gridCol w:w="1002"/>
        <w:gridCol w:w="1282"/>
        <w:gridCol w:w="737"/>
      </w:tblGrid>
      <w:tr w:rsidR="00D42046" w:rsidRPr="004C6AAD" w14:paraId="2D7C23EC" w14:textId="77777777" w:rsidTr="00561571">
        <w:trPr>
          <w:trHeight w:val="371"/>
        </w:trPr>
        <w:tc>
          <w:tcPr>
            <w:tcW w:w="903" w:type="pct"/>
            <w:tcBorders>
              <w:top w:val="single" w:sz="4" w:space="0" w:color="auto"/>
              <w:left w:val="nil"/>
              <w:bottom w:val="nil"/>
              <w:right w:val="nil"/>
            </w:tcBorders>
            <w:shd w:val="clear" w:color="auto" w:fill="auto"/>
            <w:noWrap/>
            <w:vAlign w:val="bottom"/>
            <w:hideMark/>
          </w:tcPr>
          <w:p w14:paraId="1E5F9726"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w:t>
            </w:r>
          </w:p>
        </w:tc>
        <w:tc>
          <w:tcPr>
            <w:tcW w:w="2309" w:type="pct"/>
            <w:gridSpan w:val="4"/>
            <w:tcBorders>
              <w:top w:val="single" w:sz="4" w:space="0" w:color="auto"/>
              <w:left w:val="nil"/>
              <w:bottom w:val="single" w:sz="4" w:space="0" w:color="auto"/>
              <w:right w:val="nil"/>
            </w:tcBorders>
            <w:shd w:val="clear" w:color="auto" w:fill="auto"/>
            <w:noWrap/>
            <w:vAlign w:val="bottom"/>
            <w:hideMark/>
          </w:tcPr>
          <w:p w14:paraId="543648BF" w14:textId="77777777" w:rsidR="00D42046" w:rsidRPr="004C6AAD" w:rsidRDefault="00D42046" w:rsidP="008B6783">
            <w:pPr>
              <w:spacing w:before="0" w:after="0" w:line="240" w:lineRule="auto"/>
              <w:rPr>
                <w:rFonts w:ascii="Arial" w:eastAsia="Times New Roman" w:hAnsi="Arial" w:cs="Arial"/>
                <w:b/>
                <w:bCs/>
                <w:color w:val="000000"/>
                <w:sz w:val="20"/>
                <w:szCs w:val="20"/>
                <w:lang w:eastAsia="en-AU"/>
              </w:rPr>
            </w:pPr>
            <w:r w:rsidRPr="004C6AAD">
              <w:rPr>
                <w:rFonts w:ascii="Arial" w:eastAsia="Times New Roman" w:hAnsi="Arial" w:cs="Arial"/>
                <w:b/>
                <w:bCs/>
                <w:color w:val="000000"/>
                <w:sz w:val="20"/>
                <w:szCs w:val="20"/>
                <w:lang w:eastAsia="en-AU"/>
              </w:rPr>
              <w:t>Brief intervention arm</w:t>
            </w:r>
          </w:p>
        </w:tc>
        <w:tc>
          <w:tcPr>
            <w:tcW w:w="139" w:type="pct"/>
            <w:tcBorders>
              <w:top w:val="single" w:sz="4" w:space="0" w:color="auto"/>
              <w:left w:val="nil"/>
              <w:bottom w:val="nil"/>
              <w:right w:val="nil"/>
            </w:tcBorders>
            <w:shd w:val="clear" w:color="auto" w:fill="auto"/>
            <w:noWrap/>
            <w:vAlign w:val="bottom"/>
            <w:hideMark/>
          </w:tcPr>
          <w:p w14:paraId="4191AD37" w14:textId="77777777" w:rsidR="00D42046" w:rsidRPr="004C6AAD" w:rsidRDefault="00D42046" w:rsidP="002F3448">
            <w:pPr>
              <w:spacing w:before="0" w:after="0" w:line="240" w:lineRule="auto"/>
              <w:rPr>
                <w:rFonts w:ascii="Arial" w:eastAsia="Times New Roman" w:hAnsi="Arial" w:cs="Arial"/>
                <w:b/>
                <w:bCs/>
                <w:color w:val="000000"/>
                <w:sz w:val="20"/>
                <w:szCs w:val="20"/>
                <w:lang w:eastAsia="en-AU"/>
              </w:rPr>
            </w:pPr>
            <w:r w:rsidRPr="004C6AAD">
              <w:rPr>
                <w:rFonts w:ascii="Arial" w:eastAsia="Times New Roman" w:hAnsi="Arial" w:cs="Arial"/>
                <w:b/>
                <w:bCs/>
                <w:color w:val="000000"/>
                <w:sz w:val="20"/>
                <w:szCs w:val="20"/>
                <w:lang w:eastAsia="en-AU"/>
              </w:rPr>
              <w:t> </w:t>
            </w:r>
          </w:p>
        </w:tc>
        <w:tc>
          <w:tcPr>
            <w:tcW w:w="1649" w:type="pct"/>
            <w:gridSpan w:val="3"/>
            <w:tcBorders>
              <w:top w:val="single" w:sz="4" w:space="0" w:color="auto"/>
              <w:left w:val="nil"/>
              <w:bottom w:val="single" w:sz="4" w:space="0" w:color="auto"/>
              <w:right w:val="nil"/>
            </w:tcBorders>
            <w:shd w:val="clear" w:color="auto" w:fill="auto"/>
            <w:noWrap/>
            <w:vAlign w:val="bottom"/>
            <w:hideMark/>
          </w:tcPr>
          <w:p w14:paraId="0CAEEB0E" w14:textId="77777777" w:rsidR="00D42046" w:rsidRPr="004C6AAD" w:rsidRDefault="00D42046" w:rsidP="008B6783">
            <w:pPr>
              <w:spacing w:before="0" w:after="0" w:line="240" w:lineRule="auto"/>
              <w:rPr>
                <w:rFonts w:ascii="Arial" w:eastAsia="Times New Roman" w:hAnsi="Arial" w:cs="Arial"/>
                <w:b/>
                <w:bCs/>
                <w:color w:val="000000"/>
                <w:sz w:val="20"/>
                <w:szCs w:val="20"/>
                <w:lang w:eastAsia="en-AU"/>
              </w:rPr>
            </w:pPr>
            <w:r w:rsidRPr="004C6AAD">
              <w:rPr>
                <w:rFonts w:ascii="Arial" w:eastAsia="Times New Roman" w:hAnsi="Arial" w:cs="Arial"/>
                <w:b/>
                <w:bCs/>
                <w:color w:val="000000"/>
                <w:sz w:val="20"/>
                <w:szCs w:val="20"/>
                <w:lang w:eastAsia="en-AU"/>
              </w:rPr>
              <w:t>Comprehensive intervention arm</w:t>
            </w:r>
          </w:p>
        </w:tc>
      </w:tr>
      <w:tr w:rsidR="00D42046" w:rsidRPr="004C6AAD" w14:paraId="48A12742" w14:textId="77777777" w:rsidTr="00561571">
        <w:trPr>
          <w:trHeight w:val="300"/>
        </w:trPr>
        <w:tc>
          <w:tcPr>
            <w:tcW w:w="903" w:type="pct"/>
            <w:tcBorders>
              <w:top w:val="nil"/>
              <w:left w:val="nil"/>
              <w:bottom w:val="single" w:sz="4" w:space="0" w:color="auto"/>
              <w:right w:val="nil"/>
            </w:tcBorders>
            <w:shd w:val="clear" w:color="auto" w:fill="auto"/>
            <w:noWrap/>
            <w:vAlign w:val="bottom"/>
            <w:hideMark/>
          </w:tcPr>
          <w:p w14:paraId="0E7AD22E"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w:t>
            </w:r>
          </w:p>
        </w:tc>
        <w:tc>
          <w:tcPr>
            <w:tcW w:w="624" w:type="pct"/>
            <w:tcBorders>
              <w:top w:val="nil"/>
              <w:left w:val="nil"/>
              <w:bottom w:val="single" w:sz="4" w:space="0" w:color="auto"/>
              <w:right w:val="nil"/>
            </w:tcBorders>
            <w:shd w:val="clear" w:color="auto" w:fill="auto"/>
            <w:noWrap/>
            <w:vAlign w:val="bottom"/>
            <w:hideMark/>
          </w:tcPr>
          <w:p w14:paraId="18DDE017"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Hourly rate ($)</w:t>
            </w:r>
          </w:p>
        </w:tc>
        <w:tc>
          <w:tcPr>
            <w:tcW w:w="521" w:type="pct"/>
            <w:tcBorders>
              <w:top w:val="nil"/>
              <w:left w:val="nil"/>
              <w:bottom w:val="single" w:sz="4" w:space="0" w:color="auto"/>
              <w:right w:val="nil"/>
            </w:tcBorders>
            <w:shd w:val="clear" w:color="auto" w:fill="auto"/>
            <w:noWrap/>
            <w:vAlign w:val="bottom"/>
            <w:hideMark/>
          </w:tcPr>
          <w:p w14:paraId="12EAA0BC"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xml:space="preserve">Time </w:t>
            </w:r>
          </w:p>
          <w:p w14:paraId="4E24FF9F"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(15-20 min)</w:t>
            </w:r>
          </w:p>
        </w:tc>
        <w:tc>
          <w:tcPr>
            <w:tcW w:w="686" w:type="pct"/>
            <w:tcBorders>
              <w:top w:val="nil"/>
              <w:left w:val="nil"/>
              <w:bottom w:val="single" w:sz="4" w:space="0" w:color="auto"/>
              <w:right w:val="nil"/>
            </w:tcBorders>
            <w:shd w:val="clear" w:color="auto" w:fill="auto"/>
            <w:noWrap/>
            <w:vAlign w:val="bottom"/>
            <w:hideMark/>
          </w:tcPr>
          <w:p w14:paraId="7C6F60DB"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Assessments (N)</w:t>
            </w:r>
          </w:p>
        </w:tc>
        <w:tc>
          <w:tcPr>
            <w:tcW w:w="479" w:type="pct"/>
            <w:tcBorders>
              <w:top w:val="nil"/>
              <w:left w:val="nil"/>
              <w:bottom w:val="single" w:sz="4" w:space="0" w:color="auto"/>
              <w:right w:val="nil"/>
            </w:tcBorders>
            <w:shd w:val="clear" w:color="auto" w:fill="auto"/>
            <w:noWrap/>
            <w:vAlign w:val="bottom"/>
            <w:hideMark/>
          </w:tcPr>
          <w:p w14:paraId="57E3B98D"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Total ($)</w:t>
            </w:r>
          </w:p>
        </w:tc>
        <w:tc>
          <w:tcPr>
            <w:tcW w:w="139" w:type="pct"/>
            <w:tcBorders>
              <w:top w:val="nil"/>
              <w:left w:val="nil"/>
              <w:bottom w:val="single" w:sz="4" w:space="0" w:color="auto"/>
              <w:right w:val="nil"/>
            </w:tcBorders>
            <w:shd w:val="clear" w:color="auto" w:fill="auto"/>
            <w:noWrap/>
            <w:vAlign w:val="bottom"/>
            <w:hideMark/>
          </w:tcPr>
          <w:p w14:paraId="56524A23"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w:t>
            </w:r>
          </w:p>
        </w:tc>
        <w:tc>
          <w:tcPr>
            <w:tcW w:w="554" w:type="pct"/>
            <w:tcBorders>
              <w:top w:val="nil"/>
              <w:left w:val="nil"/>
              <w:bottom w:val="single" w:sz="4" w:space="0" w:color="auto"/>
              <w:right w:val="nil"/>
            </w:tcBorders>
            <w:shd w:val="clear" w:color="auto" w:fill="auto"/>
            <w:noWrap/>
            <w:vAlign w:val="bottom"/>
            <w:hideMark/>
          </w:tcPr>
          <w:p w14:paraId="2DF2FA7B"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xml:space="preserve">Time </w:t>
            </w:r>
          </w:p>
          <w:p w14:paraId="5D800B63"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(25-30 mins)</w:t>
            </w:r>
          </w:p>
        </w:tc>
        <w:tc>
          <w:tcPr>
            <w:tcW w:w="686" w:type="pct"/>
            <w:tcBorders>
              <w:top w:val="nil"/>
              <w:left w:val="nil"/>
              <w:bottom w:val="single" w:sz="4" w:space="0" w:color="auto"/>
              <w:right w:val="nil"/>
            </w:tcBorders>
            <w:shd w:val="clear" w:color="auto" w:fill="auto"/>
            <w:noWrap/>
            <w:vAlign w:val="bottom"/>
            <w:hideMark/>
          </w:tcPr>
          <w:p w14:paraId="1441B27A"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Assessments (N)</w:t>
            </w:r>
          </w:p>
        </w:tc>
        <w:tc>
          <w:tcPr>
            <w:tcW w:w="408" w:type="pct"/>
            <w:tcBorders>
              <w:top w:val="nil"/>
              <w:left w:val="nil"/>
              <w:bottom w:val="single" w:sz="4" w:space="0" w:color="auto"/>
              <w:right w:val="nil"/>
            </w:tcBorders>
            <w:shd w:val="clear" w:color="auto" w:fill="auto"/>
            <w:noWrap/>
            <w:vAlign w:val="bottom"/>
            <w:hideMark/>
          </w:tcPr>
          <w:p w14:paraId="3768C02C"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Total ($)</w:t>
            </w:r>
          </w:p>
        </w:tc>
      </w:tr>
      <w:tr w:rsidR="00D42046" w:rsidRPr="004C6AAD" w14:paraId="77239D89" w14:textId="77777777" w:rsidTr="00561571">
        <w:trPr>
          <w:trHeight w:val="300"/>
        </w:trPr>
        <w:tc>
          <w:tcPr>
            <w:tcW w:w="903" w:type="pct"/>
            <w:tcBorders>
              <w:top w:val="nil"/>
              <w:left w:val="nil"/>
              <w:bottom w:val="nil"/>
              <w:right w:val="nil"/>
            </w:tcBorders>
            <w:shd w:val="clear" w:color="auto" w:fill="auto"/>
            <w:noWrap/>
            <w:vAlign w:val="bottom"/>
            <w:hideMark/>
          </w:tcPr>
          <w:p w14:paraId="696BEF8F"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Baseline</w:t>
            </w:r>
          </w:p>
        </w:tc>
        <w:tc>
          <w:tcPr>
            <w:tcW w:w="624" w:type="pct"/>
            <w:tcBorders>
              <w:top w:val="nil"/>
              <w:left w:val="nil"/>
              <w:bottom w:val="nil"/>
              <w:right w:val="nil"/>
            </w:tcBorders>
            <w:shd w:val="clear" w:color="auto" w:fill="auto"/>
            <w:noWrap/>
            <w:vAlign w:val="bottom"/>
            <w:hideMark/>
          </w:tcPr>
          <w:p w14:paraId="6CD21FF5"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38</w:t>
            </w:r>
          </w:p>
        </w:tc>
        <w:tc>
          <w:tcPr>
            <w:tcW w:w="521" w:type="pct"/>
            <w:tcBorders>
              <w:top w:val="nil"/>
              <w:left w:val="nil"/>
              <w:bottom w:val="nil"/>
              <w:right w:val="nil"/>
            </w:tcBorders>
            <w:shd w:val="clear" w:color="auto" w:fill="auto"/>
            <w:noWrap/>
            <w:vAlign w:val="bottom"/>
            <w:hideMark/>
          </w:tcPr>
          <w:p w14:paraId="5420E021"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20</w:t>
            </w:r>
          </w:p>
        </w:tc>
        <w:tc>
          <w:tcPr>
            <w:tcW w:w="686" w:type="pct"/>
            <w:tcBorders>
              <w:top w:val="nil"/>
              <w:left w:val="nil"/>
              <w:bottom w:val="nil"/>
              <w:right w:val="nil"/>
            </w:tcBorders>
            <w:shd w:val="clear" w:color="auto" w:fill="auto"/>
            <w:noWrap/>
            <w:vAlign w:val="bottom"/>
            <w:hideMark/>
          </w:tcPr>
          <w:p w14:paraId="0C434202"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112</w:t>
            </w:r>
          </w:p>
        </w:tc>
        <w:tc>
          <w:tcPr>
            <w:tcW w:w="479" w:type="pct"/>
            <w:tcBorders>
              <w:top w:val="nil"/>
              <w:left w:val="nil"/>
              <w:bottom w:val="nil"/>
              <w:right w:val="nil"/>
            </w:tcBorders>
            <w:shd w:val="clear" w:color="auto" w:fill="auto"/>
            <w:noWrap/>
            <w:vAlign w:val="bottom"/>
            <w:hideMark/>
          </w:tcPr>
          <w:p w14:paraId="0B480F69" w14:textId="6546599C" w:rsidR="00D42046" w:rsidRPr="004C6AAD" w:rsidRDefault="00A85BF7" w:rsidP="008B6783">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D42046" w:rsidRPr="004C6AAD">
              <w:rPr>
                <w:rFonts w:ascii="Arial" w:eastAsia="Times New Roman" w:hAnsi="Arial" w:cs="Arial"/>
                <w:color w:val="000000"/>
                <w:sz w:val="20"/>
                <w:szCs w:val="20"/>
                <w:lang w:eastAsia="en-AU"/>
              </w:rPr>
              <w:t xml:space="preserve"> 1,418.67 </w:t>
            </w:r>
          </w:p>
        </w:tc>
        <w:tc>
          <w:tcPr>
            <w:tcW w:w="139" w:type="pct"/>
            <w:tcBorders>
              <w:top w:val="nil"/>
              <w:left w:val="nil"/>
              <w:bottom w:val="nil"/>
              <w:right w:val="nil"/>
            </w:tcBorders>
            <w:shd w:val="clear" w:color="auto" w:fill="auto"/>
            <w:noWrap/>
            <w:vAlign w:val="bottom"/>
            <w:hideMark/>
          </w:tcPr>
          <w:p w14:paraId="6683E9F6"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p>
        </w:tc>
        <w:tc>
          <w:tcPr>
            <w:tcW w:w="554" w:type="pct"/>
            <w:tcBorders>
              <w:top w:val="nil"/>
              <w:left w:val="nil"/>
              <w:bottom w:val="nil"/>
              <w:right w:val="nil"/>
            </w:tcBorders>
            <w:shd w:val="clear" w:color="auto" w:fill="auto"/>
            <w:noWrap/>
            <w:vAlign w:val="bottom"/>
            <w:hideMark/>
          </w:tcPr>
          <w:p w14:paraId="6DB372C2"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30</w:t>
            </w:r>
          </w:p>
        </w:tc>
        <w:tc>
          <w:tcPr>
            <w:tcW w:w="686" w:type="pct"/>
            <w:tcBorders>
              <w:top w:val="nil"/>
              <w:left w:val="nil"/>
              <w:bottom w:val="nil"/>
              <w:right w:val="nil"/>
            </w:tcBorders>
            <w:shd w:val="clear" w:color="auto" w:fill="auto"/>
            <w:noWrap/>
            <w:vAlign w:val="bottom"/>
            <w:hideMark/>
          </w:tcPr>
          <w:p w14:paraId="18466800"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199</w:t>
            </w:r>
          </w:p>
        </w:tc>
        <w:tc>
          <w:tcPr>
            <w:tcW w:w="408" w:type="pct"/>
            <w:tcBorders>
              <w:top w:val="nil"/>
              <w:left w:val="nil"/>
              <w:bottom w:val="nil"/>
              <w:right w:val="nil"/>
            </w:tcBorders>
            <w:shd w:val="clear" w:color="auto" w:fill="auto"/>
            <w:noWrap/>
            <w:vAlign w:val="bottom"/>
            <w:hideMark/>
          </w:tcPr>
          <w:p w14:paraId="601094A6" w14:textId="359F4631" w:rsidR="00D42046" w:rsidRPr="004C6AAD" w:rsidRDefault="00A85BF7" w:rsidP="008B6783">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D42046" w:rsidRPr="004C6AAD">
              <w:rPr>
                <w:rFonts w:ascii="Arial" w:eastAsia="Times New Roman" w:hAnsi="Arial" w:cs="Arial"/>
                <w:color w:val="000000"/>
                <w:sz w:val="20"/>
                <w:szCs w:val="20"/>
                <w:lang w:eastAsia="en-AU"/>
              </w:rPr>
              <w:t>3,781</w:t>
            </w:r>
          </w:p>
        </w:tc>
      </w:tr>
      <w:tr w:rsidR="00D42046" w:rsidRPr="004C6AAD" w14:paraId="4DB4FD4B" w14:textId="77777777" w:rsidTr="00561571">
        <w:trPr>
          <w:trHeight w:val="300"/>
        </w:trPr>
        <w:tc>
          <w:tcPr>
            <w:tcW w:w="903" w:type="pct"/>
            <w:tcBorders>
              <w:top w:val="nil"/>
              <w:left w:val="nil"/>
              <w:bottom w:val="nil"/>
              <w:right w:val="nil"/>
            </w:tcBorders>
            <w:shd w:val="clear" w:color="auto" w:fill="auto"/>
            <w:noWrap/>
            <w:vAlign w:val="bottom"/>
            <w:hideMark/>
          </w:tcPr>
          <w:p w14:paraId="2C5F8CED"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6-months</w:t>
            </w:r>
          </w:p>
        </w:tc>
        <w:tc>
          <w:tcPr>
            <w:tcW w:w="624" w:type="pct"/>
            <w:tcBorders>
              <w:top w:val="nil"/>
              <w:left w:val="nil"/>
              <w:bottom w:val="nil"/>
              <w:right w:val="nil"/>
            </w:tcBorders>
            <w:shd w:val="clear" w:color="auto" w:fill="auto"/>
            <w:noWrap/>
            <w:vAlign w:val="bottom"/>
            <w:hideMark/>
          </w:tcPr>
          <w:p w14:paraId="68AE392F"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38</w:t>
            </w:r>
          </w:p>
        </w:tc>
        <w:tc>
          <w:tcPr>
            <w:tcW w:w="521" w:type="pct"/>
            <w:tcBorders>
              <w:top w:val="nil"/>
              <w:left w:val="nil"/>
              <w:bottom w:val="nil"/>
              <w:right w:val="nil"/>
            </w:tcBorders>
            <w:shd w:val="clear" w:color="auto" w:fill="auto"/>
            <w:noWrap/>
            <w:vAlign w:val="bottom"/>
            <w:hideMark/>
          </w:tcPr>
          <w:p w14:paraId="7ED4BF26"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20</w:t>
            </w:r>
          </w:p>
        </w:tc>
        <w:tc>
          <w:tcPr>
            <w:tcW w:w="686" w:type="pct"/>
            <w:tcBorders>
              <w:top w:val="nil"/>
              <w:left w:val="nil"/>
              <w:bottom w:val="nil"/>
              <w:right w:val="nil"/>
            </w:tcBorders>
            <w:shd w:val="clear" w:color="auto" w:fill="auto"/>
            <w:noWrap/>
            <w:vAlign w:val="bottom"/>
            <w:hideMark/>
          </w:tcPr>
          <w:p w14:paraId="42B61768"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34</w:t>
            </w:r>
          </w:p>
        </w:tc>
        <w:tc>
          <w:tcPr>
            <w:tcW w:w="479" w:type="pct"/>
            <w:tcBorders>
              <w:top w:val="nil"/>
              <w:left w:val="nil"/>
              <w:bottom w:val="nil"/>
              <w:right w:val="nil"/>
            </w:tcBorders>
            <w:shd w:val="clear" w:color="auto" w:fill="auto"/>
            <w:noWrap/>
            <w:vAlign w:val="bottom"/>
            <w:hideMark/>
          </w:tcPr>
          <w:p w14:paraId="5EACBB55" w14:textId="32FCE515" w:rsidR="00D42046" w:rsidRPr="004C6AAD" w:rsidRDefault="00A85BF7" w:rsidP="008B6783">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D42046" w:rsidRPr="004C6AAD">
              <w:rPr>
                <w:rFonts w:ascii="Arial" w:eastAsia="Times New Roman" w:hAnsi="Arial" w:cs="Arial"/>
                <w:color w:val="000000"/>
                <w:sz w:val="20"/>
                <w:szCs w:val="20"/>
                <w:lang w:eastAsia="en-AU"/>
              </w:rPr>
              <w:t xml:space="preserve">430.67 </w:t>
            </w:r>
          </w:p>
        </w:tc>
        <w:tc>
          <w:tcPr>
            <w:tcW w:w="139" w:type="pct"/>
            <w:tcBorders>
              <w:top w:val="nil"/>
              <w:left w:val="nil"/>
              <w:bottom w:val="nil"/>
              <w:right w:val="nil"/>
            </w:tcBorders>
            <w:shd w:val="clear" w:color="auto" w:fill="auto"/>
            <w:noWrap/>
            <w:vAlign w:val="bottom"/>
            <w:hideMark/>
          </w:tcPr>
          <w:p w14:paraId="239BA1D1"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p>
        </w:tc>
        <w:tc>
          <w:tcPr>
            <w:tcW w:w="554" w:type="pct"/>
            <w:tcBorders>
              <w:top w:val="nil"/>
              <w:left w:val="nil"/>
              <w:bottom w:val="nil"/>
              <w:right w:val="nil"/>
            </w:tcBorders>
            <w:shd w:val="clear" w:color="auto" w:fill="auto"/>
            <w:noWrap/>
            <w:vAlign w:val="bottom"/>
            <w:hideMark/>
          </w:tcPr>
          <w:p w14:paraId="249BA505"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30</w:t>
            </w:r>
          </w:p>
        </w:tc>
        <w:tc>
          <w:tcPr>
            <w:tcW w:w="686" w:type="pct"/>
            <w:tcBorders>
              <w:top w:val="nil"/>
              <w:left w:val="nil"/>
              <w:bottom w:val="nil"/>
              <w:right w:val="nil"/>
            </w:tcBorders>
            <w:shd w:val="clear" w:color="auto" w:fill="auto"/>
            <w:noWrap/>
            <w:vAlign w:val="bottom"/>
            <w:hideMark/>
          </w:tcPr>
          <w:p w14:paraId="02167F58"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108</w:t>
            </w:r>
          </w:p>
        </w:tc>
        <w:tc>
          <w:tcPr>
            <w:tcW w:w="408" w:type="pct"/>
            <w:tcBorders>
              <w:top w:val="nil"/>
              <w:left w:val="nil"/>
              <w:bottom w:val="nil"/>
              <w:right w:val="nil"/>
            </w:tcBorders>
            <w:shd w:val="clear" w:color="auto" w:fill="auto"/>
            <w:noWrap/>
            <w:vAlign w:val="bottom"/>
            <w:hideMark/>
          </w:tcPr>
          <w:p w14:paraId="3420143B" w14:textId="67B1458A" w:rsidR="00D42046" w:rsidRPr="004C6AAD" w:rsidRDefault="00A85BF7" w:rsidP="008B6783">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D42046" w:rsidRPr="004C6AAD">
              <w:rPr>
                <w:rFonts w:ascii="Arial" w:eastAsia="Times New Roman" w:hAnsi="Arial" w:cs="Arial"/>
                <w:color w:val="000000"/>
                <w:sz w:val="20"/>
                <w:szCs w:val="20"/>
                <w:lang w:eastAsia="en-AU"/>
              </w:rPr>
              <w:t>2,052</w:t>
            </w:r>
          </w:p>
        </w:tc>
      </w:tr>
      <w:tr w:rsidR="00D42046" w:rsidRPr="004C6AAD" w14:paraId="0F49C029" w14:textId="77777777" w:rsidTr="00561571">
        <w:trPr>
          <w:trHeight w:val="300"/>
        </w:trPr>
        <w:tc>
          <w:tcPr>
            <w:tcW w:w="903" w:type="pct"/>
            <w:tcBorders>
              <w:top w:val="nil"/>
              <w:left w:val="nil"/>
              <w:bottom w:val="nil"/>
              <w:right w:val="nil"/>
            </w:tcBorders>
            <w:shd w:val="clear" w:color="auto" w:fill="auto"/>
            <w:noWrap/>
            <w:vAlign w:val="bottom"/>
            <w:hideMark/>
          </w:tcPr>
          <w:p w14:paraId="3365F945"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12-months</w:t>
            </w:r>
          </w:p>
        </w:tc>
        <w:tc>
          <w:tcPr>
            <w:tcW w:w="624" w:type="pct"/>
            <w:tcBorders>
              <w:top w:val="nil"/>
              <w:left w:val="nil"/>
              <w:bottom w:val="nil"/>
              <w:right w:val="nil"/>
            </w:tcBorders>
            <w:shd w:val="clear" w:color="auto" w:fill="auto"/>
            <w:noWrap/>
            <w:vAlign w:val="bottom"/>
            <w:hideMark/>
          </w:tcPr>
          <w:p w14:paraId="6A18896E"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38</w:t>
            </w:r>
          </w:p>
        </w:tc>
        <w:tc>
          <w:tcPr>
            <w:tcW w:w="521" w:type="pct"/>
            <w:tcBorders>
              <w:top w:val="nil"/>
              <w:left w:val="nil"/>
              <w:bottom w:val="nil"/>
              <w:right w:val="nil"/>
            </w:tcBorders>
            <w:shd w:val="clear" w:color="auto" w:fill="auto"/>
            <w:noWrap/>
            <w:vAlign w:val="bottom"/>
            <w:hideMark/>
          </w:tcPr>
          <w:p w14:paraId="4A5D3819"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20</w:t>
            </w:r>
          </w:p>
        </w:tc>
        <w:tc>
          <w:tcPr>
            <w:tcW w:w="686" w:type="pct"/>
            <w:tcBorders>
              <w:top w:val="nil"/>
              <w:left w:val="nil"/>
              <w:bottom w:val="nil"/>
              <w:right w:val="nil"/>
            </w:tcBorders>
            <w:shd w:val="clear" w:color="auto" w:fill="auto"/>
            <w:noWrap/>
            <w:vAlign w:val="bottom"/>
            <w:hideMark/>
          </w:tcPr>
          <w:p w14:paraId="753DE993"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67</w:t>
            </w:r>
          </w:p>
        </w:tc>
        <w:tc>
          <w:tcPr>
            <w:tcW w:w="479" w:type="pct"/>
            <w:tcBorders>
              <w:top w:val="nil"/>
              <w:left w:val="nil"/>
              <w:bottom w:val="nil"/>
              <w:right w:val="nil"/>
            </w:tcBorders>
            <w:shd w:val="clear" w:color="auto" w:fill="auto"/>
            <w:noWrap/>
            <w:vAlign w:val="bottom"/>
            <w:hideMark/>
          </w:tcPr>
          <w:p w14:paraId="6336AC14" w14:textId="4174B3EA" w:rsidR="00D42046" w:rsidRPr="004C6AAD" w:rsidRDefault="00A85BF7" w:rsidP="008B6783">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D42046" w:rsidRPr="004C6AAD">
              <w:rPr>
                <w:rFonts w:ascii="Arial" w:eastAsia="Times New Roman" w:hAnsi="Arial" w:cs="Arial"/>
                <w:color w:val="000000"/>
                <w:sz w:val="20"/>
                <w:szCs w:val="20"/>
                <w:lang w:eastAsia="en-AU"/>
              </w:rPr>
              <w:t xml:space="preserve">848.67 </w:t>
            </w:r>
          </w:p>
        </w:tc>
        <w:tc>
          <w:tcPr>
            <w:tcW w:w="139" w:type="pct"/>
            <w:tcBorders>
              <w:top w:val="nil"/>
              <w:left w:val="nil"/>
              <w:bottom w:val="nil"/>
              <w:right w:val="nil"/>
            </w:tcBorders>
            <w:shd w:val="clear" w:color="auto" w:fill="auto"/>
            <w:noWrap/>
            <w:vAlign w:val="bottom"/>
            <w:hideMark/>
          </w:tcPr>
          <w:p w14:paraId="437468E3"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p>
        </w:tc>
        <w:tc>
          <w:tcPr>
            <w:tcW w:w="554" w:type="pct"/>
            <w:tcBorders>
              <w:top w:val="nil"/>
              <w:left w:val="nil"/>
              <w:bottom w:val="nil"/>
              <w:right w:val="nil"/>
            </w:tcBorders>
            <w:shd w:val="clear" w:color="auto" w:fill="auto"/>
            <w:noWrap/>
            <w:vAlign w:val="bottom"/>
            <w:hideMark/>
          </w:tcPr>
          <w:p w14:paraId="63E89C56"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30</w:t>
            </w:r>
          </w:p>
        </w:tc>
        <w:tc>
          <w:tcPr>
            <w:tcW w:w="686" w:type="pct"/>
            <w:tcBorders>
              <w:top w:val="nil"/>
              <w:left w:val="nil"/>
              <w:bottom w:val="nil"/>
              <w:right w:val="nil"/>
            </w:tcBorders>
            <w:shd w:val="clear" w:color="auto" w:fill="auto"/>
            <w:noWrap/>
            <w:vAlign w:val="bottom"/>
            <w:hideMark/>
          </w:tcPr>
          <w:p w14:paraId="6DC28135"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110</w:t>
            </w:r>
          </w:p>
        </w:tc>
        <w:tc>
          <w:tcPr>
            <w:tcW w:w="408" w:type="pct"/>
            <w:tcBorders>
              <w:top w:val="nil"/>
              <w:left w:val="nil"/>
              <w:bottom w:val="nil"/>
              <w:right w:val="nil"/>
            </w:tcBorders>
            <w:shd w:val="clear" w:color="auto" w:fill="auto"/>
            <w:noWrap/>
            <w:vAlign w:val="bottom"/>
            <w:hideMark/>
          </w:tcPr>
          <w:p w14:paraId="59E3B2A8" w14:textId="2F83C140" w:rsidR="00D42046" w:rsidRPr="004C6AAD" w:rsidRDefault="00A85BF7" w:rsidP="008B6783">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D42046" w:rsidRPr="004C6AAD">
              <w:rPr>
                <w:rFonts w:ascii="Arial" w:eastAsia="Times New Roman" w:hAnsi="Arial" w:cs="Arial"/>
                <w:color w:val="000000"/>
                <w:sz w:val="20"/>
                <w:szCs w:val="20"/>
                <w:lang w:eastAsia="en-AU"/>
              </w:rPr>
              <w:t>2,090</w:t>
            </w:r>
          </w:p>
        </w:tc>
      </w:tr>
      <w:tr w:rsidR="00D42046" w:rsidRPr="004C6AAD" w14:paraId="4C551F4B" w14:textId="77777777" w:rsidTr="00561571">
        <w:trPr>
          <w:trHeight w:val="300"/>
        </w:trPr>
        <w:tc>
          <w:tcPr>
            <w:tcW w:w="903" w:type="pct"/>
            <w:tcBorders>
              <w:top w:val="nil"/>
              <w:left w:val="nil"/>
              <w:bottom w:val="single" w:sz="4" w:space="0" w:color="auto"/>
              <w:right w:val="nil"/>
            </w:tcBorders>
            <w:shd w:val="clear" w:color="auto" w:fill="auto"/>
            <w:noWrap/>
            <w:vAlign w:val="bottom"/>
            <w:hideMark/>
          </w:tcPr>
          <w:p w14:paraId="1B5D924E"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Total intervention cost</w:t>
            </w:r>
          </w:p>
        </w:tc>
        <w:tc>
          <w:tcPr>
            <w:tcW w:w="624" w:type="pct"/>
            <w:tcBorders>
              <w:top w:val="nil"/>
              <w:left w:val="nil"/>
              <w:bottom w:val="single" w:sz="4" w:space="0" w:color="auto"/>
              <w:right w:val="nil"/>
            </w:tcBorders>
            <w:shd w:val="clear" w:color="auto" w:fill="auto"/>
            <w:noWrap/>
            <w:vAlign w:val="bottom"/>
            <w:hideMark/>
          </w:tcPr>
          <w:p w14:paraId="6FC270A8"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w:t>
            </w:r>
          </w:p>
        </w:tc>
        <w:tc>
          <w:tcPr>
            <w:tcW w:w="521" w:type="pct"/>
            <w:tcBorders>
              <w:top w:val="nil"/>
              <w:left w:val="nil"/>
              <w:bottom w:val="single" w:sz="4" w:space="0" w:color="auto"/>
              <w:right w:val="nil"/>
            </w:tcBorders>
            <w:shd w:val="clear" w:color="auto" w:fill="auto"/>
            <w:noWrap/>
            <w:vAlign w:val="bottom"/>
            <w:hideMark/>
          </w:tcPr>
          <w:p w14:paraId="1168D153"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w:t>
            </w:r>
          </w:p>
        </w:tc>
        <w:tc>
          <w:tcPr>
            <w:tcW w:w="686" w:type="pct"/>
            <w:tcBorders>
              <w:top w:val="nil"/>
              <w:left w:val="nil"/>
              <w:bottom w:val="single" w:sz="4" w:space="0" w:color="auto"/>
              <w:right w:val="nil"/>
            </w:tcBorders>
            <w:shd w:val="clear" w:color="auto" w:fill="auto"/>
            <w:noWrap/>
            <w:vAlign w:val="bottom"/>
            <w:hideMark/>
          </w:tcPr>
          <w:p w14:paraId="7D330D07"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w:t>
            </w:r>
          </w:p>
        </w:tc>
        <w:tc>
          <w:tcPr>
            <w:tcW w:w="479" w:type="pct"/>
            <w:tcBorders>
              <w:top w:val="nil"/>
              <w:left w:val="nil"/>
              <w:bottom w:val="single" w:sz="4" w:space="0" w:color="auto"/>
              <w:right w:val="nil"/>
            </w:tcBorders>
            <w:shd w:val="clear" w:color="auto" w:fill="auto"/>
            <w:noWrap/>
            <w:vAlign w:val="bottom"/>
            <w:hideMark/>
          </w:tcPr>
          <w:p w14:paraId="2A87C85F" w14:textId="582C6E33" w:rsidR="00D42046" w:rsidRPr="004C6AAD" w:rsidRDefault="00A85BF7" w:rsidP="008B6783">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D42046" w:rsidRPr="004C6AAD">
              <w:rPr>
                <w:rFonts w:ascii="Arial" w:eastAsia="Times New Roman" w:hAnsi="Arial" w:cs="Arial"/>
                <w:color w:val="000000"/>
                <w:sz w:val="20"/>
                <w:szCs w:val="20"/>
                <w:lang w:eastAsia="en-AU"/>
              </w:rPr>
              <w:t xml:space="preserve"> 2,698 </w:t>
            </w:r>
          </w:p>
        </w:tc>
        <w:tc>
          <w:tcPr>
            <w:tcW w:w="139" w:type="pct"/>
            <w:tcBorders>
              <w:top w:val="nil"/>
              <w:left w:val="nil"/>
              <w:bottom w:val="single" w:sz="4" w:space="0" w:color="auto"/>
              <w:right w:val="nil"/>
            </w:tcBorders>
            <w:shd w:val="clear" w:color="auto" w:fill="auto"/>
            <w:noWrap/>
            <w:vAlign w:val="bottom"/>
            <w:hideMark/>
          </w:tcPr>
          <w:p w14:paraId="361E9DAF" w14:textId="77777777" w:rsidR="00D42046" w:rsidRPr="004C6AAD" w:rsidRDefault="00D42046" w:rsidP="002F3448">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w:t>
            </w:r>
          </w:p>
        </w:tc>
        <w:tc>
          <w:tcPr>
            <w:tcW w:w="554" w:type="pct"/>
            <w:tcBorders>
              <w:top w:val="nil"/>
              <w:left w:val="nil"/>
              <w:bottom w:val="single" w:sz="4" w:space="0" w:color="auto"/>
              <w:right w:val="nil"/>
            </w:tcBorders>
            <w:shd w:val="clear" w:color="auto" w:fill="auto"/>
            <w:noWrap/>
            <w:vAlign w:val="bottom"/>
            <w:hideMark/>
          </w:tcPr>
          <w:p w14:paraId="4F940CC1"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w:t>
            </w:r>
          </w:p>
        </w:tc>
        <w:tc>
          <w:tcPr>
            <w:tcW w:w="686" w:type="pct"/>
            <w:tcBorders>
              <w:top w:val="nil"/>
              <w:left w:val="nil"/>
              <w:bottom w:val="single" w:sz="4" w:space="0" w:color="auto"/>
              <w:right w:val="nil"/>
            </w:tcBorders>
            <w:shd w:val="clear" w:color="auto" w:fill="auto"/>
            <w:noWrap/>
            <w:vAlign w:val="bottom"/>
            <w:hideMark/>
          </w:tcPr>
          <w:p w14:paraId="7DBA1B35" w14:textId="77777777" w:rsidR="00D42046" w:rsidRPr="004C6AAD" w:rsidRDefault="00D42046" w:rsidP="008B6783">
            <w:pPr>
              <w:spacing w:before="0" w:after="0" w:line="240" w:lineRule="auto"/>
              <w:rPr>
                <w:rFonts w:ascii="Arial" w:eastAsia="Times New Roman" w:hAnsi="Arial" w:cs="Arial"/>
                <w:color w:val="000000"/>
                <w:sz w:val="20"/>
                <w:szCs w:val="20"/>
                <w:lang w:eastAsia="en-AU"/>
              </w:rPr>
            </w:pPr>
            <w:r w:rsidRPr="004C6AAD">
              <w:rPr>
                <w:rFonts w:ascii="Arial" w:eastAsia="Times New Roman" w:hAnsi="Arial" w:cs="Arial"/>
                <w:color w:val="000000"/>
                <w:sz w:val="20"/>
                <w:szCs w:val="20"/>
                <w:lang w:eastAsia="en-AU"/>
              </w:rPr>
              <w:t> </w:t>
            </w:r>
          </w:p>
        </w:tc>
        <w:tc>
          <w:tcPr>
            <w:tcW w:w="408" w:type="pct"/>
            <w:tcBorders>
              <w:top w:val="nil"/>
              <w:left w:val="nil"/>
              <w:bottom w:val="single" w:sz="4" w:space="0" w:color="auto"/>
              <w:right w:val="nil"/>
            </w:tcBorders>
            <w:shd w:val="clear" w:color="auto" w:fill="auto"/>
            <w:noWrap/>
            <w:vAlign w:val="bottom"/>
            <w:hideMark/>
          </w:tcPr>
          <w:p w14:paraId="67B2AAF3" w14:textId="1AA8DA29" w:rsidR="00D42046" w:rsidRPr="004C6AAD" w:rsidRDefault="00A85BF7" w:rsidP="008B6783">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D42046" w:rsidRPr="004C6AAD">
              <w:rPr>
                <w:rFonts w:ascii="Arial" w:eastAsia="Times New Roman" w:hAnsi="Arial" w:cs="Arial"/>
                <w:color w:val="000000"/>
                <w:sz w:val="20"/>
                <w:szCs w:val="20"/>
                <w:lang w:eastAsia="en-AU"/>
              </w:rPr>
              <w:t>7,923</w:t>
            </w:r>
          </w:p>
        </w:tc>
      </w:tr>
    </w:tbl>
    <w:p w14:paraId="676BB222" w14:textId="2D1A47A1" w:rsidR="004C6AAD" w:rsidRDefault="00D42046" w:rsidP="004E354E">
      <w:pPr>
        <w:spacing w:before="160" w:line="240" w:lineRule="auto"/>
        <w:rPr>
          <w:rFonts w:ascii="Arial" w:hAnsi="Arial" w:cs="Arial"/>
        </w:rPr>
      </w:pPr>
      <w:r w:rsidRPr="00AD7843">
        <w:rPr>
          <w:rFonts w:ascii="Arial" w:hAnsi="Arial" w:cs="Arial"/>
        </w:rPr>
        <w:t>The costs relating to healthcare services used by study participants and as covered by the MBS and PBS were used. As the data spans the years 2019-2021, we used the average health price inflation index (ABS 2022) to adjust the costs for inflation and such that the data reflected 2021 prices.</w:t>
      </w:r>
    </w:p>
    <w:p w14:paraId="14817C57" w14:textId="3AF398BE" w:rsidR="004C6AAD" w:rsidRDefault="00D42046" w:rsidP="004E354E">
      <w:pPr>
        <w:spacing w:before="160" w:line="240" w:lineRule="auto"/>
        <w:rPr>
          <w:rFonts w:ascii="Arial" w:hAnsi="Arial" w:cs="Arial"/>
        </w:rPr>
      </w:pPr>
      <w:r w:rsidRPr="00AD7843">
        <w:rPr>
          <w:rFonts w:ascii="Arial" w:hAnsi="Arial" w:cs="Arial"/>
        </w:rPr>
        <w:t xml:space="preserve">For each study participant, we summed health service costs over the respective period. Thus, costs reflect average total costs for the period 2019-2021 for which the data was requested for. Observed means and standard deviation of healthcare costs are summarised in </w:t>
      </w:r>
      <w:r w:rsidR="00E87484">
        <w:rPr>
          <w:rFonts w:ascii="Arial" w:hAnsi="Arial" w:cs="Arial"/>
        </w:rPr>
        <w:t>T</w:t>
      </w:r>
      <w:r w:rsidR="00E87484" w:rsidRPr="00AD7843">
        <w:rPr>
          <w:rFonts w:ascii="Arial" w:hAnsi="Arial" w:cs="Arial"/>
        </w:rPr>
        <w:t xml:space="preserve">able </w:t>
      </w:r>
      <w:r w:rsidR="00E87484">
        <w:rPr>
          <w:rFonts w:ascii="Arial" w:hAnsi="Arial" w:cs="Arial"/>
        </w:rPr>
        <w:t>18</w:t>
      </w:r>
      <w:r w:rsidR="00E87484" w:rsidRPr="00AD7843">
        <w:rPr>
          <w:rFonts w:ascii="Arial" w:hAnsi="Arial" w:cs="Arial"/>
        </w:rPr>
        <w:t xml:space="preserve"> </w:t>
      </w:r>
      <w:r w:rsidRPr="00AD7843">
        <w:rPr>
          <w:rFonts w:ascii="Arial" w:hAnsi="Arial" w:cs="Arial"/>
        </w:rPr>
        <w:t>and stratified by the intervention arms.</w:t>
      </w:r>
    </w:p>
    <w:p w14:paraId="7C01588C" w14:textId="7CE6EE3D" w:rsidR="004C6AAD" w:rsidRPr="00AD7843" w:rsidRDefault="00D42046" w:rsidP="004E354E">
      <w:pPr>
        <w:spacing w:before="160" w:line="240" w:lineRule="auto"/>
        <w:rPr>
          <w:rFonts w:ascii="Arial" w:hAnsi="Arial" w:cs="Arial"/>
        </w:rPr>
      </w:pPr>
      <w:r w:rsidRPr="00AD7843">
        <w:rPr>
          <w:rFonts w:ascii="Arial" w:hAnsi="Arial" w:cs="Arial"/>
        </w:rPr>
        <w:lastRenderedPageBreak/>
        <w:t>The average MBS costs for the brief arm were $2634.50 compared to $2608.29 resulting in an incremental cost of $26.21. The incremental cost difference suggests that average MBS costs were slightly higher for the brief intervention compared to the comprehensive intervention. However, this cost difference was not statistically significant. For PBS costs, the average for the brief arm was $642.37 compared to $172.26 for the comprehensive arm and with a cost difference of $470.11. This cost difference was statistically significant.</w:t>
      </w:r>
    </w:p>
    <w:p w14:paraId="07810E65" w14:textId="6AC5BF01" w:rsidR="00D42046" w:rsidRPr="00015B49" w:rsidRDefault="007C7148" w:rsidP="004E354E">
      <w:pPr>
        <w:pStyle w:val="Heading3"/>
        <w:spacing w:before="160" w:after="160"/>
        <w:rPr>
          <w:rFonts w:ascii="Arial Narrow" w:hAnsi="Arial Narrow"/>
          <w:b/>
          <w:bCs/>
          <w:sz w:val="20"/>
          <w:szCs w:val="20"/>
        </w:rPr>
      </w:pPr>
      <w:bookmarkStart w:id="72" w:name="_Toc137535778"/>
      <w:r w:rsidRPr="00015B49">
        <w:rPr>
          <w:rFonts w:ascii="Arial Narrow" w:hAnsi="Arial Narrow"/>
          <w:b/>
          <w:bCs/>
          <w:sz w:val="20"/>
          <w:szCs w:val="20"/>
        </w:rPr>
        <w:t xml:space="preserve">Table </w:t>
      </w:r>
      <w:r w:rsidR="00E87484" w:rsidRPr="00015B49">
        <w:rPr>
          <w:rFonts w:ascii="Arial Narrow" w:hAnsi="Arial Narrow"/>
          <w:b/>
          <w:bCs/>
          <w:sz w:val="20"/>
          <w:szCs w:val="20"/>
        </w:rPr>
        <w:t xml:space="preserve">18: </w:t>
      </w:r>
      <w:r w:rsidR="00D42046" w:rsidRPr="00015B49">
        <w:rPr>
          <w:rFonts w:ascii="Arial Narrow" w:hAnsi="Arial Narrow"/>
          <w:b/>
          <w:bCs/>
          <w:sz w:val="20"/>
          <w:szCs w:val="20"/>
        </w:rPr>
        <w:t>Healthcare costs (MBS/PBS) of study participants</w:t>
      </w:r>
      <w:bookmarkEnd w:id="72"/>
    </w:p>
    <w:tbl>
      <w:tblPr>
        <w:tblStyle w:val="TableGrid"/>
        <w:tblW w:w="5000" w:type="pct"/>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1510"/>
        <w:gridCol w:w="1510"/>
        <w:gridCol w:w="1865"/>
        <w:gridCol w:w="1750"/>
        <w:gridCol w:w="834"/>
      </w:tblGrid>
      <w:tr w:rsidR="00D42046" w:rsidRPr="004C6AAD" w14:paraId="2DAA8649" w14:textId="77777777" w:rsidTr="00561571">
        <w:tc>
          <w:tcPr>
            <w:tcW w:w="881" w:type="pct"/>
            <w:tcBorders>
              <w:top w:val="single" w:sz="4" w:space="0" w:color="000000" w:themeColor="text1"/>
            </w:tcBorders>
            <w:vAlign w:val="center"/>
          </w:tcPr>
          <w:p w14:paraId="7D11EB1D" w14:textId="77777777"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b/>
                <w:sz w:val="20"/>
                <w:szCs w:val="20"/>
              </w:rPr>
              <w:t xml:space="preserve"> </w:t>
            </w:r>
          </w:p>
        </w:tc>
        <w:tc>
          <w:tcPr>
            <w:tcW w:w="854" w:type="pct"/>
            <w:tcBorders>
              <w:top w:val="single" w:sz="4" w:space="0" w:color="000000" w:themeColor="text1"/>
            </w:tcBorders>
            <w:vAlign w:val="center"/>
          </w:tcPr>
          <w:p w14:paraId="3375C11B"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b/>
                <w:sz w:val="20"/>
                <w:szCs w:val="20"/>
              </w:rPr>
              <w:t>Total</w:t>
            </w:r>
          </w:p>
        </w:tc>
        <w:tc>
          <w:tcPr>
            <w:tcW w:w="854" w:type="pct"/>
            <w:tcBorders>
              <w:top w:val="single" w:sz="4" w:space="0" w:color="000000" w:themeColor="text1"/>
            </w:tcBorders>
            <w:vAlign w:val="center"/>
          </w:tcPr>
          <w:p w14:paraId="477DEF2B"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b/>
                <w:sz w:val="20"/>
                <w:szCs w:val="20"/>
              </w:rPr>
              <w:t>Brief arm</w:t>
            </w:r>
          </w:p>
        </w:tc>
        <w:tc>
          <w:tcPr>
            <w:tcW w:w="1051" w:type="pct"/>
            <w:tcBorders>
              <w:top w:val="single" w:sz="4" w:space="0" w:color="000000" w:themeColor="text1"/>
            </w:tcBorders>
            <w:vAlign w:val="center"/>
          </w:tcPr>
          <w:p w14:paraId="454D0D9A"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b/>
                <w:sz w:val="20"/>
                <w:szCs w:val="20"/>
              </w:rPr>
              <w:t>Comprehensive arm</w:t>
            </w:r>
          </w:p>
        </w:tc>
        <w:tc>
          <w:tcPr>
            <w:tcW w:w="933" w:type="pct"/>
            <w:tcBorders>
              <w:top w:val="single" w:sz="4" w:space="0" w:color="000000" w:themeColor="text1"/>
            </w:tcBorders>
          </w:tcPr>
          <w:p w14:paraId="380FA3A3" w14:textId="77777777" w:rsidR="00D42046" w:rsidRPr="004C6AAD" w:rsidRDefault="00D42046" w:rsidP="002F3448">
            <w:pPr>
              <w:spacing w:before="0"/>
              <w:rPr>
                <w:rFonts w:ascii="Arial" w:eastAsia="Times New Roman" w:hAnsi="Arial" w:cs="Arial"/>
                <w:b/>
                <w:sz w:val="20"/>
                <w:szCs w:val="20"/>
              </w:rPr>
            </w:pPr>
            <w:r w:rsidRPr="004C6AAD">
              <w:rPr>
                <w:rFonts w:ascii="Arial" w:eastAsia="Times New Roman" w:hAnsi="Arial" w:cs="Arial"/>
                <w:b/>
                <w:sz w:val="20"/>
                <w:szCs w:val="20"/>
              </w:rPr>
              <w:t>Incremental costs (brief-comprehensive)</w:t>
            </w:r>
          </w:p>
        </w:tc>
        <w:tc>
          <w:tcPr>
            <w:tcW w:w="428" w:type="pct"/>
            <w:tcBorders>
              <w:top w:val="single" w:sz="4" w:space="0" w:color="000000" w:themeColor="text1"/>
            </w:tcBorders>
            <w:vAlign w:val="center"/>
          </w:tcPr>
          <w:p w14:paraId="4B05841F" w14:textId="77777777"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b/>
                <w:sz w:val="20"/>
                <w:szCs w:val="20"/>
              </w:rPr>
              <w:t>p-value</w:t>
            </w:r>
          </w:p>
        </w:tc>
      </w:tr>
      <w:tr w:rsidR="00D42046" w:rsidRPr="004C6AAD" w14:paraId="6DA49EF8" w14:textId="77777777" w:rsidTr="00561571">
        <w:tc>
          <w:tcPr>
            <w:tcW w:w="881" w:type="pct"/>
            <w:tcBorders>
              <w:bottom w:val="single" w:sz="6" w:space="0" w:color="000000"/>
            </w:tcBorders>
            <w:vAlign w:val="center"/>
          </w:tcPr>
          <w:p w14:paraId="01EE5D04" w14:textId="77777777" w:rsidR="00D42046" w:rsidRPr="004C6AAD" w:rsidRDefault="00D42046" w:rsidP="002F3448">
            <w:pPr>
              <w:spacing w:before="0"/>
              <w:rPr>
                <w:rFonts w:ascii="Arial" w:eastAsia="Times New Roman" w:hAnsi="Arial" w:cs="Arial"/>
                <w:sz w:val="20"/>
                <w:szCs w:val="20"/>
              </w:rPr>
            </w:pPr>
          </w:p>
        </w:tc>
        <w:tc>
          <w:tcPr>
            <w:tcW w:w="854" w:type="pct"/>
            <w:tcBorders>
              <w:bottom w:val="single" w:sz="6" w:space="0" w:color="000000"/>
            </w:tcBorders>
            <w:vAlign w:val="center"/>
          </w:tcPr>
          <w:p w14:paraId="3073024D"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b/>
                <w:sz w:val="20"/>
                <w:szCs w:val="20"/>
              </w:rPr>
              <w:t>N=311</w:t>
            </w:r>
          </w:p>
        </w:tc>
        <w:tc>
          <w:tcPr>
            <w:tcW w:w="854" w:type="pct"/>
            <w:tcBorders>
              <w:bottom w:val="single" w:sz="6" w:space="0" w:color="000000"/>
            </w:tcBorders>
            <w:vAlign w:val="center"/>
          </w:tcPr>
          <w:p w14:paraId="472BFF05"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b/>
                <w:sz w:val="20"/>
                <w:szCs w:val="20"/>
              </w:rPr>
              <w:t>N=112</w:t>
            </w:r>
          </w:p>
        </w:tc>
        <w:tc>
          <w:tcPr>
            <w:tcW w:w="1051" w:type="pct"/>
            <w:tcBorders>
              <w:bottom w:val="single" w:sz="6" w:space="0" w:color="000000"/>
            </w:tcBorders>
            <w:vAlign w:val="center"/>
          </w:tcPr>
          <w:p w14:paraId="7DE33263"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b/>
                <w:sz w:val="20"/>
                <w:szCs w:val="20"/>
              </w:rPr>
              <w:t>N=199</w:t>
            </w:r>
          </w:p>
        </w:tc>
        <w:tc>
          <w:tcPr>
            <w:tcW w:w="933" w:type="pct"/>
            <w:tcBorders>
              <w:bottom w:val="single" w:sz="6" w:space="0" w:color="000000"/>
            </w:tcBorders>
          </w:tcPr>
          <w:p w14:paraId="1010FC6D" w14:textId="77777777" w:rsidR="00D42046" w:rsidRPr="004C6AAD" w:rsidRDefault="00D42046" w:rsidP="002F3448">
            <w:pPr>
              <w:spacing w:before="0"/>
              <w:rPr>
                <w:rFonts w:ascii="Arial" w:eastAsia="Times New Roman" w:hAnsi="Arial" w:cs="Arial"/>
                <w:sz w:val="20"/>
                <w:szCs w:val="20"/>
              </w:rPr>
            </w:pPr>
          </w:p>
        </w:tc>
        <w:tc>
          <w:tcPr>
            <w:tcW w:w="428" w:type="pct"/>
            <w:tcBorders>
              <w:bottom w:val="single" w:sz="6" w:space="0" w:color="000000"/>
            </w:tcBorders>
            <w:vAlign w:val="center"/>
          </w:tcPr>
          <w:p w14:paraId="76B089D5" w14:textId="77777777" w:rsidR="00D42046" w:rsidRPr="004C6AAD" w:rsidRDefault="00D42046" w:rsidP="002F3448">
            <w:pPr>
              <w:spacing w:before="0"/>
              <w:rPr>
                <w:rFonts w:ascii="Arial" w:eastAsia="Times New Roman" w:hAnsi="Arial" w:cs="Arial"/>
                <w:sz w:val="20"/>
                <w:szCs w:val="20"/>
              </w:rPr>
            </w:pPr>
          </w:p>
        </w:tc>
      </w:tr>
      <w:tr w:rsidR="00D42046" w:rsidRPr="004C6AAD" w14:paraId="3A0BCB03" w14:textId="77777777" w:rsidTr="00561571">
        <w:tc>
          <w:tcPr>
            <w:tcW w:w="881" w:type="pct"/>
            <w:tcBorders>
              <w:top w:val="single" w:sz="6" w:space="0" w:color="000000"/>
            </w:tcBorders>
            <w:vAlign w:val="center"/>
          </w:tcPr>
          <w:p w14:paraId="5F739431" w14:textId="77777777"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Average MBS costs</w:t>
            </w:r>
          </w:p>
        </w:tc>
        <w:tc>
          <w:tcPr>
            <w:tcW w:w="854" w:type="pct"/>
            <w:tcBorders>
              <w:top w:val="single" w:sz="6" w:space="0" w:color="000000"/>
            </w:tcBorders>
            <w:vAlign w:val="center"/>
          </w:tcPr>
          <w:p w14:paraId="7008FEA1"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2538.85 (2520.83)</w:t>
            </w:r>
          </w:p>
        </w:tc>
        <w:tc>
          <w:tcPr>
            <w:tcW w:w="854" w:type="pct"/>
            <w:tcBorders>
              <w:top w:val="single" w:sz="6" w:space="0" w:color="000000"/>
            </w:tcBorders>
            <w:vAlign w:val="center"/>
          </w:tcPr>
          <w:p w14:paraId="241D56BC"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2557.27 (2533.32)</w:t>
            </w:r>
          </w:p>
        </w:tc>
        <w:tc>
          <w:tcPr>
            <w:tcW w:w="1051" w:type="pct"/>
            <w:tcBorders>
              <w:top w:val="single" w:sz="6" w:space="0" w:color="000000"/>
            </w:tcBorders>
            <w:vAlign w:val="center"/>
          </w:tcPr>
          <w:p w14:paraId="149521AC"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2531.83 (2525.20)</w:t>
            </w:r>
          </w:p>
        </w:tc>
        <w:tc>
          <w:tcPr>
            <w:tcW w:w="933" w:type="pct"/>
            <w:tcBorders>
              <w:top w:val="nil"/>
              <w:left w:val="nil"/>
              <w:bottom w:val="nil"/>
              <w:right w:val="nil"/>
            </w:tcBorders>
            <w:shd w:val="clear" w:color="auto" w:fill="auto"/>
            <w:vAlign w:val="bottom"/>
          </w:tcPr>
          <w:p w14:paraId="38397FE1"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25.44</w:t>
            </w:r>
          </w:p>
        </w:tc>
        <w:tc>
          <w:tcPr>
            <w:tcW w:w="428" w:type="pct"/>
            <w:tcBorders>
              <w:top w:val="single" w:sz="6" w:space="0" w:color="000000"/>
            </w:tcBorders>
            <w:vAlign w:val="center"/>
          </w:tcPr>
          <w:p w14:paraId="10EB9DA7" w14:textId="424E8E99"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0.95</w:t>
            </w:r>
          </w:p>
        </w:tc>
      </w:tr>
      <w:tr w:rsidR="00D42046" w:rsidRPr="004C6AAD" w14:paraId="144F361C" w14:textId="77777777" w:rsidTr="00561571">
        <w:tc>
          <w:tcPr>
            <w:tcW w:w="881" w:type="pct"/>
            <w:vAlign w:val="center"/>
          </w:tcPr>
          <w:p w14:paraId="71780688" w14:textId="77777777"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Average MBS costs (inflation adjusted)</w:t>
            </w:r>
          </w:p>
        </w:tc>
        <w:tc>
          <w:tcPr>
            <w:tcW w:w="854" w:type="pct"/>
            <w:vAlign w:val="center"/>
          </w:tcPr>
          <w:p w14:paraId="249F8472"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2615.52 (2596.95)</w:t>
            </w:r>
          </w:p>
        </w:tc>
        <w:tc>
          <w:tcPr>
            <w:tcW w:w="854" w:type="pct"/>
            <w:vAlign w:val="center"/>
          </w:tcPr>
          <w:p w14:paraId="16A8D8C4"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2634.50 (2609.82)</w:t>
            </w:r>
          </w:p>
        </w:tc>
        <w:tc>
          <w:tcPr>
            <w:tcW w:w="1051" w:type="pct"/>
            <w:vAlign w:val="center"/>
          </w:tcPr>
          <w:p w14:paraId="66909864"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2608.29 (2601.46)</w:t>
            </w:r>
          </w:p>
        </w:tc>
        <w:tc>
          <w:tcPr>
            <w:tcW w:w="933" w:type="pct"/>
          </w:tcPr>
          <w:p w14:paraId="54330F37"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26.21</w:t>
            </w:r>
          </w:p>
        </w:tc>
        <w:tc>
          <w:tcPr>
            <w:tcW w:w="428" w:type="pct"/>
            <w:vAlign w:val="center"/>
          </w:tcPr>
          <w:p w14:paraId="45DB977B" w14:textId="5AC167E9"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0.95</w:t>
            </w:r>
          </w:p>
        </w:tc>
      </w:tr>
      <w:tr w:rsidR="00D42046" w:rsidRPr="004C6AAD" w14:paraId="6093F653" w14:textId="77777777" w:rsidTr="00561571">
        <w:tc>
          <w:tcPr>
            <w:tcW w:w="881" w:type="pct"/>
            <w:vAlign w:val="center"/>
          </w:tcPr>
          <w:p w14:paraId="3DDB7D47" w14:textId="77777777"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Average PBS costs</w:t>
            </w:r>
          </w:p>
        </w:tc>
        <w:tc>
          <w:tcPr>
            <w:tcW w:w="854" w:type="pct"/>
            <w:vAlign w:val="center"/>
          </w:tcPr>
          <w:p w14:paraId="2861F3F9"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293.18 (912.04)</w:t>
            </w:r>
          </w:p>
        </w:tc>
        <w:tc>
          <w:tcPr>
            <w:tcW w:w="854" w:type="pct"/>
            <w:vAlign w:val="center"/>
          </w:tcPr>
          <w:p w14:paraId="50D94F81"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623.54 (1217.13)</w:t>
            </w:r>
          </w:p>
        </w:tc>
        <w:tc>
          <w:tcPr>
            <w:tcW w:w="1051" w:type="pct"/>
            <w:vAlign w:val="center"/>
          </w:tcPr>
          <w:p w14:paraId="3BCBDC9C"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167.21 (731.56)</w:t>
            </w:r>
          </w:p>
        </w:tc>
        <w:tc>
          <w:tcPr>
            <w:tcW w:w="933" w:type="pct"/>
          </w:tcPr>
          <w:p w14:paraId="16DB10DC"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456.33</w:t>
            </w:r>
          </w:p>
        </w:tc>
        <w:tc>
          <w:tcPr>
            <w:tcW w:w="428" w:type="pct"/>
            <w:vAlign w:val="center"/>
          </w:tcPr>
          <w:p w14:paraId="6D2286A2" w14:textId="48BC37CD"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0.002</w:t>
            </w:r>
          </w:p>
        </w:tc>
      </w:tr>
      <w:tr w:rsidR="00D42046" w:rsidRPr="004C6AAD" w14:paraId="2FBD1540" w14:textId="77777777" w:rsidTr="00561571">
        <w:tc>
          <w:tcPr>
            <w:tcW w:w="881" w:type="pct"/>
            <w:vAlign w:val="center"/>
          </w:tcPr>
          <w:p w14:paraId="275DC990" w14:textId="77777777"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Average PBS costs (inflation adjusted)</w:t>
            </w:r>
          </w:p>
        </w:tc>
        <w:tc>
          <w:tcPr>
            <w:tcW w:w="854" w:type="pct"/>
            <w:vAlign w:val="center"/>
          </w:tcPr>
          <w:p w14:paraId="540A5302"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302.03 (939.58)</w:t>
            </w:r>
          </w:p>
        </w:tc>
        <w:tc>
          <w:tcPr>
            <w:tcW w:w="854" w:type="pct"/>
            <w:vAlign w:val="center"/>
          </w:tcPr>
          <w:p w14:paraId="2B1F4852"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642.37 (1253.88)</w:t>
            </w:r>
          </w:p>
        </w:tc>
        <w:tc>
          <w:tcPr>
            <w:tcW w:w="1051" w:type="pct"/>
            <w:vAlign w:val="center"/>
          </w:tcPr>
          <w:p w14:paraId="6A264E66"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172.26 (753.65)</w:t>
            </w:r>
          </w:p>
        </w:tc>
        <w:tc>
          <w:tcPr>
            <w:tcW w:w="933" w:type="pct"/>
          </w:tcPr>
          <w:p w14:paraId="5A9A8C60"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470.11</w:t>
            </w:r>
          </w:p>
        </w:tc>
        <w:tc>
          <w:tcPr>
            <w:tcW w:w="428" w:type="pct"/>
            <w:vAlign w:val="center"/>
          </w:tcPr>
          <w:p w14:paraId="7608193C" w14:textId="77B58B5C"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0.002</w:t>
            </w:r>
          </w:p>
        </w:tc>
      </w:tr>
      <w:tr w:rsidR="00D42046" w:rsidRPr="004C6AAD" w14:paraId="3A96736B" w14:textId="77777777" w:rsidTr="00561571">
        <w:tc>
          <w:tcPr>
            <w:tcW w:w="881" w:type="pct"/>
            <w:vAlign w:val="center"/>
          </w:tcPr>
          <w:p w14:paraId="03E4F4DF" w14:textId="77777777"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 xml:space="preserve">Pharmacy time costs </w:t>
            </w:r>
          </w:p>
        </w:tc>
        <w:tc>
          <w:tcPr>
            <w:tcW w:w="854" w:type="pct"/>
            <w:vAlign w:val="center"/>
          </w:tcPr>
          <w:p w14:paraId="0192C078"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10,621.00</w:t>
            </w:r>
          </w:p>
        </w:tc>
        <w:tc>
          <w:tcPr>
            <w:tcW w:w="854" w:type="pct"/>
            <w:vAlign w:val="center"/>
          </w:tcPr>
          <w:p w14:paraId="75EE6A92"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2,698.00</w:t>
            </w:r>
          </w:p>
        </w:tc>
        <w:tc>
          <w:tcPr>
            <w:tcW w:w="1051" w:type="pct"/>
            <w:vAlign w:val="center"/>
          </w:tcPr>
          <w:p w14:paraId="567B5EF8"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7,923.00</w:t>
            </w:r>
          </w:p>
        </w:tc>
        <w:tc>
          <w:tcPr>
            <w:tcW w:w="933" w:type="pct"/>
          </w:tcPr>
          <w:p w14:paraId="55F7461B"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5,225.00</w:t>
            </w:r>
          </w:p>
        </w:tc>
        <w:tc>
          <w:tcPr>
            <w:tcW w:w="428" w:type="pct"/>
            <w:vAlign w:val="center"/>
          </w:tcPr>
          <w:p w14:paraId="0A4956E0" w14:textId="77777777"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&lt;0.001</w:t>
            </w:r>
          </w:p>
        </w:tc>
      </w:tr>
      <w:tr w:rsidR="00D42046" w:rsidRPr="004C6AAD" w14:paraId="79537304" w14:textId="77777777" w:rsidTr="00561571">
        <w:tc>
          <w:tcPr>
            <w:tcW w:w="881" w:type="pct"/>
            <w:tcBorders>
              <w:bottom w:val="single" w:sz="6" w:space="0" w:color="000000"/>
            </w:tcBorders>
            <w:vAlign w:val="center"/>
          </w:tcPr>
          <w:p w14:paraId="38D69182" w14:textId="77777777" w:rsidR="00D42046" w:rsidRPr="004C6AAD" w:rsidRDefault="00D42046" w:rsidP="002F3448">
            <w:pPr>
              <w:spacing w:before="0"/>
              <w:rPr>
                <w:rFonts w:ascii="Arial" w:eastAsia="Times New Roman" w:hAnsi="Arial" w:cs="Arial"/>
                <w:sz w:val="20"/>
                <w:szCs w:val="20"/>
              </w:rPr>
            </w:pPr>
            <w:r w:rsidRPr="004C6AAD">
              <w:rPr>
                <w:rFonts w:ascii="Arial" w:eastAsia="Times New Roman" w:hAnsi="Arial" w:cs="Arial"/>
                <w:sz w:val="20"/>
                <w:szCs w:val="20"/>
              </w:rPr>
              <w:t>Total costs (unadjusted for inflation)</w:t>
            </w:r>
          </w:p>
        </w:tc>
        <w:tc>
          <w:tcPr>
            <w:tcW w:w="854" w:type="pct"/>
            <w:tcBorders>
              <w:bottom w:val="single" w:sz="6" w:space="0" w:color="000000"/>
            </w:tcBorders>
            <w:vAlign w:val="center"/>
          </w:tcPr>
          <w:p w14:paraId="1A990690" w14:textId="77777777" w:rsidR="00D42046" w:rsidRPr="004C6AAD" w:rsidRDefault="00D42046" w:rsidP="008B6783">
            <w:pPr>
              <w:spacing w:before="0"/>
              <w:rPr>
                <w:rFonts w:ascii="Arial" w:eastAsia="Times New Roman" w:hAnsi="Arial" w:cs="Arial"/>
                <w:sz w:val="20"/>
                <w:szCs w:val="20"/>
              </w:rPr>
            </w:pPr>
            <w:r w:rsidRPr="004C6AAD">
              <w:rPr>
                <w:rFonts w:ascii="Arial" w:eastAsia="Calibri" w:hAnsi="Arial" w:cs="Arial"/>
                <w:sz w:val="20"/>
                <w:szCs w:val="20"/>
              </w:rPr>
              <w:t>9312.71 (3657.92)</w:t>
            </w:r>
          </w:p>
        </w:tc>
        <w:tc>
          <w:tcPr>
            <w:tcW w:w="854" w:type="pct"/>
            <w:tcBorders>
              <w:bottom w:val="single" w:sz="6" w:space="0" w:color="000000"/>
            </w:tcBorders>
            <w:vAlign w:val="center"/>
          </w:tcPr>
          <w:p w14:paraId="7B9D9016" w14:textId="77777777" w:rsidR="00D42046" w:rsidRPr="004C6AAD" w:rsidRDefault="00D42046" w:rsidP="008B6783">
            <w:pPr>
              <w:spacing w:before="0"/>
              <w:rPr>
                <w:rFonts w:ascii="Arial" w:eastAsia="Times New Roman" w:hAnsi="Arial" w:cs="Arial"/>
                <w:sz w:val="20"/>
                <w:szCs w:val="20"/>
              </w:rPr>
            </w:pPr>
            <w:r w:rsidRPr="004C6AAD">
              <w:rPr>
                <w:rFonts w:ascii="Arial" w:eastAsia="Calibri" w:hAnsi="Arial" w:cs="Arial"/>
                <w:sz w:val="20"/>
                <w:szCs w:val="20"/>
              </w:rPr>
              <w:t>5878.81 (3003.19)</w:t>
            </w:r>
          </w:p>
        </w:tc>
        <w:tc>
          <w:tcPr>
            <w:tcW w:w="1051" w:type="pct"/>
            <w:tcBorders>
              <w:bottom w:val="single" w:sz="6" w:space="0" w:color="000000"/>
            </w:tcBorders>
            <w:vAlign w:val="center"/>
          </w:tcPr>
          <w:p w14:paraId="66AD8AA9" w14:textId="77777777" w:rsidR="00D42046" w:rsidRPr="004C6AAD" w:rsidRDefault="00D42046" w:rsidP="008B6783">
            <w:pPr>
              <w:spacing w:before="0"/>
              <w:rPr>
                <w:rFonts w:ascii="Arial" w:eastAsia="Times New Roman" w:hAnsi="Arial" w:cs="Arial"/>
                <w:sz w:val="20"/>
                <w:szCs w:val="20"/>
              </w:rPr>
            </w:pPr>
            <w:r w:rsidRPr="004C6AAD">
              <w:rPr>
                <w:rFonts w:ascii="Arial" w:eastAsia="Calibri" w:hAnsi="Arial" w:cs="Arial"/>
                <w:sz w:val="20"/>
                <w:szCs w:val="20"/>
              </w:rPr>
              <w:t>10622.04 (2977.46)</w:t>
            </w:r>
          </w:p>
        </w:tc>
        <w:tc>
          <w:tcPr>
            <w:tcW w:w="933" w:type="pct"/>
            <w:tcBorders>
              <w:bottom w:val="single" w:sz="6" w:space="0" w:color="000000"/>
            </w:tcBorders>
            <w:vAlign w:val="center"/>
          </w:tcPr>
          <w:p w14:paraId="2AAD5A2D" w14:textId="77777777" w:rsidR="00D42046" w:rsidRPr="004C6AAD" w:rsidRDefault="00D42046" w:rsidP="008B6783">
            <w:pPr>
              <w:spacing w:before="0"/>
              <w:rPr>
                <w:rFonts w:ascii="Arial" w:eastAsia="Times New Roman" w:hAnsi="Arial" w:cs="Arial"/>
                <w:sz w:val="20"/>
                <w:szCs w:val="20"/>
              </w:rPr>
            </w:pPr>
            <w:r w:rsidRPr="004C6AAD">
              <w:rPr>
                <w:rFonts w:ascii="Arial" w:eastAsia="Times New Roman" w:hAnsi="Arial" w:cs="Arial"/>
                <w:sz w:val="20"/>
                <w:szCs w:val="20"/>
              </w:rPr>
              <w:t>4,743.23</w:t>
            </w:r>
          </w:p>
        </w:tc>
        <w:tc>
          <w:tcPr>
            <w:tcW w:w="428" w:type="pct"/>
            <w:tcBorders>
              <w:bottom w:val="single" w:sz="6" w:space="0" w:color="000000"/>
            </w:tcBorders>
            <w:vAlign w:val="center"/>
          </w:tcPr>
          <w:p w14:paraId="57692F96" w14:textId="77777777" w:rsidR="00D42046" w:rsidRPr="004C6AAD" w:rsidRDefault="00D42046" w:rsidP="002F3448">
            <w:pPr>
              <w:spacing w:before="0"/>
              <w:rPr>
                <w:rFonts w:ascii="Arial" w:eastAsia="Times New Roman" w:hAnsi="Arial" w:cs="Arial"/>
                <w:sz w:val="20"/>
                <w:szCs w:val="20"/>
              </w:rPr>
            </w:pPr>
            <w:r w:rsidRPr="004C6AAD">
              <w:rPr>
                <w:rFonts w:ascii="Arial" w:eastAsia="Calibri" w:hAnsi="Arial" w:cs="Arial"/>
                <w:sz w:val="20"/>
                <w:szCs w:val="20"/>
              </w:rPr>
              <w:t>&lt;0.001</w:t>
            </w:r>
          </w:p>
        </w:tc>
      </w:tr>
    </w:tbl>
    <w:p w14:paraId="78928BEE" w14:textId="16EDA104" w:rsidR="003230BE" w:rsidRPr="004E354E" w:rsidRDefault="00D42046" w:rsidP="004E354E">
      <w:pPr>
        <w:spacing w:before="160" w:line="240" w:lineRule="auto"/>
        <w:rPr>
          <w:rFonts w:ascii="Arial" w:hAnsi="Arial" w:cs="Arial"/>
          <w:sz w:val="18"/>
          <w:szCs w:val="18"/>
        </w:rPr>
      </w:pPr>
      <w:r w:rsidRPr="003230BE">
        <w:rPr>
          <w:rFonts w:ascii="Arial" w:hAnsi="Arial" w:cs="Arial"/>
          <w:sz w:val="18"/>
          <w:szCs w:val="18"/>
        </w:rPr>
        <w:t>Notes: Mean and standard deviations in parentheses. Costs were inflated to reflect the 2021 average health prices (ABS 2022).</w:t>
      </w:r>
    </w:p>
    <w:p w14:paraId="091FD8C8" w14:textId="0AD8E4F9" w:rsidR="003E7B38" w:rsidRPr="008B6783" w:rsidRDefault="003E7B38" w:rsidP="004E354E">
      <w:pPr>
        <w:spacing w:before="160" w:line="240" w:lineRule="auto"/>
        <w:rPr>
          <w:rFonts w:ascii="Arial" w:hAnsi="Arial" w:cs="Arial"/>
        </w:rPr>
      </w:pPr>
      <w:r w:rsidRPr="008B6783">
        <w:rPr>
          <w:rFonts w:ascii="Arial" w:hAnsi="Arial" w:cs="Arial"/>
        </w:rPr>
        <w:t>Figure 4 shows a distribution of the total costs (i.e., MBS, PBS, plus program costs) for both intervention groups.</w:t>
      </w:r>
    </w:p>
    <w:p w14:paraId="2478F3AE" w14:textId="27C91061" w:rsidR="003E7B38" w:rsidRPr="008B6783" w:rsidRDefault="003E7B38" w:rsidP="004E354E">
      <w:pPr>
        <w:spacing w:before="160" w:line="240" w:lineRule="auto"/>
        <w:rPr>
          <w:rFonts w:ascii="Arial" w:hAnsi="Arial" w:cs="Arial"/>
        </w:rPr>
      </w:pPr>
      <w:r w:rsidRPr="008B6783">
        <w:rPr>
          <w:rFonts w:ascii="Arial" w:hAnsi="Arial" w:cs="Arial"/>
        </w:rPr>
        <w:t xml:space="preserve">The results indicate a somewhat skewed distribution of the costs with a right skew observed in the comprehensive intervention arm suggesting the existence of a few outliers with higher costs. Figure </w:t>
      </w:r>
      <w:r w:rsidR="00E87484">
        <w:rPr>
          <w:rFonts w:ascii="Arial" w:hAnsi="Arial" w:cs="Arial"/>
        </w:rPr>
        <w:t>5</w:t>
      </w:r>
      <w:r w:rsidRPr="008B6783">
        <w:rPr>
          <w:rFonts w:ascii="Arial" w:hAnsi="Arial" w:cs="Arial"/>
        </w:rPr>
        <w:t xml:space="preserve"> shows that approximately 25% of the people in the brief arm had total costs in the region of $2500-$4000.</w:t>
      </w:r>
    </w:p>
    <w:p w14:paraId="2FAEEF70" w14:textId="131B38EE" w:rsidR="00D42046" w:rsidRPr="00AD7843" w:rsidRDefault="003E7B38" w:rsidP="004E354E">
      <w:pPr>
        <w:spacing w:before="160" w:line="240" w:lineRule="auto"/>
        <w:rPr>
          <w:rFonts w:ascii="Arial" w:hAnsi="Arial" w:cs="Arial"/>
        </w:rPr>
      </w:pPr>
      <w:r w:rsidRPr="008B6783">
        <w:rPr>
          <w:rFonts w:ascii="Arial" w:hAnsi="Arial" w:cs="Arial"/>
        </w:rPr>
        <w:t xml:space="preserve">Similarly, the graph also shows that an estimated 65% of the people had a combined PBS, </w:t>
      </w:r>
      <w:proofErr w:type="gramStart"/>
      <w:r w:rsidRPr="008B6783">
        <w:rPr>
          <w:rFonts w:ascii="Arial" w:hAnsi="Arial" w:cs="Arial"/>
        </w:rPr>
        <w:t>MBS</w:t>
      </w:r>
      <w:proofErr w:type="gramEnd"/>
      <w:r w:rsidRPr="008B6783">
        <w:rPr>
          <w:rFonts w:ascii="Arial" w:hAnsi="Arial" w:cs="Arial"/>
        </w:rPr>
        <w:t xml:space="preserve"> and Program cost in the region of $9000-$10000. Since each bar in the histogram does not represent a single number in terms of costs but rather a range, we are unable to provide a single cost for each bar.</w:t>
      </w:r>
    </w:p>
    <w:p w14:paraId="66A910A0" w14:textId="77777777" w:rsidR="003E7B38" w:rsidRPr="00AD7843" w:rsidRDefault="003E7B38" w:rsidP="002F3448">
      <w:pPr>
        <w:keepNext/>
        <w:spacing w:before="0" w:after="0" w:line="240" w:lineRule="auto"/>
        <w:rPr>
          <w:rFonts w:ascii="Arial" w:hAnsi="Arial" w:cs="Arial"/>
        </w:rPr>
      </w:pPr>
      <w:r w:rsidRPr="00AD7843">
        <w:rPr>
          <w:rFonts w:ascii="Arial" w:hAnsi="Arial" w:cs="Arial"/>
          <w:noProof/>
        </w:rPr>
        <w:lastRenderedPageBreak/>
        <w:drawing>
          <wp:inline distT="0" distB="0" distL="0" distR="0" wp14:anchorId="30DF7B80" wp14:editId="37E61431">
            <wp:extent cx="4895850" cy="3560618"/>
            <wp:effectExtent l="0" t="0" r="0" b="1905"/>
            <wp:docPr id="1" name="Picture 1" descr="Figure 4 shows a distribution of the total costs (i.e., MBS, PBS, plus program costs) for both intervention groups.&#10;&#10;The results indicate a somewhat skewed distribution of the costs with a right skew observed in the comprehensive intervention arm suggesting the existence of a few outliers with higher co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4 shows a distribution of the total costs (i.e., MBS, PBS, plus program costs) for both intervention groups.&#10;&#10;The results indicate a somewhat skewed distribution of the costs with a right skew observed in the comprehensive intervention arm suggesting the existence of a few outliers with higher cost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12561" cy="3572772"/>
                    </a:xfrm>
                    <a:prstGeom prst="rect">
                      <a:avLst/>
                    </a:prstGeom>
                    <a:noFill/>
                    <a:ln>
                      <a:noFill/>
                    </a:ln>
                  </pic:spPr>
                </pic:pic>
              </a:graphicData>
            </a:graphic>
          </wp:inline>
        </w:drawing>
      </w:r>
    </w:p>
    <w:p w14:paraId="4B2FC3DE" w14:textId="7586F5F7" w:rsidR="003E7B38" w:rsidRPr="004E354E" w:rsidRDefault="003E7B38" w:rsidP="004E354E">
      <w:pPr>
        <w:pStyle w:val="Heading3"/>
        <w:spacing w:before="160" w:after="160"/>
        <w:rPr>
          <w:rFonts w:ascii="Arial Narrow" w:hAnsi="Arial Narrow"/>
          <w:b/>
          <w:bCs/>
          <w:sz w:val="20"/>
          <w:szCs w:val="20"/>
        </w:rPr>
      </w:pPr>
      <w:bookmarkStart w:id="73" w:name="_Toc137535779"/>
      <w:r w:rsidRPr="005B6677">
        <w:rPr>
          <w:rFonts w:ascii="Arial Narrow" w:hAnsi="Arial Narrow"/>
          <w:b/>
          <w:bCs/>
          <w:sz w:val="20"/>
          <w:szCs w:val="20"/>
        </w:rPr>
        <w:t>Figure 4</w:t>
      </w:r>
      <w:r w:rsidR="00E87484" w:rsidRPr="005B6677">
        <w:rPr>
          <w:rFonts w:ascii="Arial Narrow" w:hAnsi="Arial Narrow"/>
          <w:b/>
          <w:bCs/>
          <w:sz w:val="20"/>
          <w:szCs w:val="20"/>
        </w:rPr>
        <w:t>:</w:t>
      </w:r>
      <w:r w:rsidRPr="005B6677">
        <w:rPr>
          <w:rFonts w:ascii="Arial Narrow" w:hAnsi="Arial Narrow"/>
          <w:b/>
          <w:bCs/>
          <w:sz w:val="20"/>
          <w:szCs w:val="20"/>
        </w:rPr>
        <w:t xml:space="preserve"> Distribution of costs (MBS and PBS) for the brief and intervention arm inflated to 2021 dollars.</w:t>
      </w:r>
      <w:bookmarkEnd w:id="73"/>
    </w:p>
    <w:p w14:paraId="78ADA67A" w14:textId="5596F592" w:rsidR="0029541A" w:rsidRDefault="003E7B38" w:rsidP="004E354E">
      <w:pPr>
        <w:spacing w:before="160" w:line="240" w:lineRule="auto"/>
      </w:pPr>
      <w:r w:rsidRPr="008B6783">
        <w:t>Figure 5 shows a summary of the distribution of PBS and MBS costs combined for both arms of the trial. The distribution of costs is almost identical to the one exhibited in Figure 4 above with the only difference being that the absolute dollar values are higher in Figure 5 than they are in Figure 4 only because of the inclusion of program costs in Figure 5.</w:t>
      </w:r>
    </w:p>
    <w:p w14:paraId="1B3614CF" w14:textId="77777777" w:rsidR="003E7B38" w:rsidRPr="00C425A7" w:rsidRDefault="003E7B38" w:rsidP="008B6783">
      <w:pPr>
        <w:spacing w:before="0" w:after="0" w:line="240" w:lineRule="auto"/>
      </w:pPr>
      <w:r>
        <w:rPr>
          <w:noProof/>
        </w:rPr>
        <w:drawing>
          <wp:inline distT="0" distB="0" distL="0" distR="0" wp14:anchorId="5A2D6B06" wp14:editId="20D703C6">
            <wp:extent cx="4940300" cy="3591653"/>
            <wp:effectExtent l="0" t="0" r="0" b="8890"/>
            <wp:docPr id="4" name="Picture 4" descr="Figure 1 is a chart showing distribution of total MBS and PBS costs for the brief and (comprehensive) intervention arm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is a chart showing distribution of total MBS and PBS costs for the brief and (comprehensive) intervention arms&#10;&#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71687" cy="3614472"/>
                    </a:xfrm>
                    <a:prstGeom prst="rect">
                      <a:avLst/>
                    </a:prstGeom>
                    <a:noFill/>
                    <a:ln>
                      <a:noFill/>
                    </a:ln>
                  </pic:spPr>
                </pic:pic>
              </a:graphicData>
            </a:graphic>
          </wp:inline>
        </w:drawing>
      </w:r>
    </w:p>
    <w:p w14:paraId="1C8B4F48" w14:textId="1E9B2530" w:rsidR="003230BE" w:rsidRPr="004E354E" w:rsidRDefault="003E7B38" w:rsidP="004E354E">
      <w:pPr>
        <w:pStyle w:val="Heading3"/>
        <w:spacing w:before="160" w:after="160"/>
        <w:rPr>
          <w:rFonts w:ascii="Arial Narrow" w:hAnsi="Arial Narrow"/>
          <w:b/>
          <w:bCs/>
          <w:sz w:val="20"/>
          <w:szCs w:val="20"/>
        </w:rPr>
      </w:pPr>
      <w:bookmarkStart w:id="74" w:name="_Toc137535780"/>
      <w:r w:rsidRPr="00015B49">
        <w:rPr>
          <w:rFonts w:ascii="Arial Narrow" w:hAnsi="Arial Narrow"/>
          <w:b/>
          <w:bCs/>
          <w:sz w:val="20"/>
          <w:szCs w:val="20"/>
        </w:rPr>
        <w:t>Figure 5</w:t>
      </w:r>
      <w:r w:rsidR="00E87484" w:rsidRPr="00015B49">
        <w:rPr>
          <w:rFonts w:ascii="Arial Narrow" w:hAnsi="Arial Narrow"/>
          <w:b/>
          <w:bCs/>
          <w:sz w:val="20"/>
          <w:szCs w:val="20"/>
        </w:rPr>
        <w:t>:</w:t>
      </w:r>
      <w:r w:rsidRPr="00015B49">
        <w:rPr>
          <w:rFonts w:ascii="Arial Narrow" w:hAnsi="Arial Narrow"/>
          <w:b/>
          <w:bCs/>
          <w:sz w:val="20"/>
          <w:szCs w:val="20"/>
        </w:rPr>
        <w:t xml:space="preserve"> Distribution of total costs (MBS+PBS) for the brief and intervention arms.</w:t>
      </w:r>
      <w:bookmarkEnd w:id="74"/>
    </w:p>
    <w:p w14:paraId="57CC1395" w14:textId="5DF01BE6" w:rsidR="00E87484" w:rsidRDefault="00E87484">
      <w:pPr>
        <w:spacing w:before="0"/>
        <w:rPr>
          <w:rFonts w:ascii="Arial" w:hAnsi="Arial" w:cs="Arial"/>
          <w:b/>
          <w:bCs/>
        </w:rPr>
      </w:pPr>
      <w:r>
        <w:rPr>
          <w:rFonts w:ascii="Arial" w:hAnsi="Arial" w:cs="Arial"/>
          <w:b/>
          <w:bCs/>
        </w:rPr>
        <w:br w:type="page"/>
      </w:r>
    </w:p>
    <w:p w14:paraId="3CAB6E2E" w14:textId="04EAEDC7" w:rsidR="003230BE" w:rsidRPr="004E354E" w:rsidRDefault="00D42046" w:rsidP="004E354E">
      <w:pPr>
        <w:spacing w:before="160" w:line="240" w:lineRule="auto"/>
        <w:rPr>
          <w:rFonts w:ascii="Arial" w:hAnsi="Arial" w:cs="Arial"/>
          <w:b/>
          <w:bCs/>
        </w:rPr>
      </w:pPr>
      <w:r w:rsidRPr="00AD7843">
        <w:rPr>
          <w:rFonts w:ascii="Arial" w:hAnsi="Arial" w:cs="Arial"/>
          <w:b/>
          <w:bCs/>
        </w:rPr>
        <w:lastRenderedPageBreak/>
        <w:t xml:space="preserve">Quality </w:t>
      </w:r>
      <w:r w:rsidR="003230BE">
        <w:rPr>
          <w:rFonts w:ascii="Arial" w:hAnsi="Arial" w:cs="Arial"/>
          <w:b/>
          <w:bCs/>
        </w:rPr>
        <w:t>A</w:t>
      </w:r>
      <w:r w:rsidRPr="00AD7843">
        <w:rPr>
          <w:rFonts w:ascii="Arial" w:hAnsi="Arial" w:cs="Arial"/>
          <w:b/>
          <w:bCs/>
        </w:rPr>
        <w:t xml:space="preserve">djusted </w:t>
      </w:r>
      <w:r w:rsidR="003230BE">
        <w:rPr>
          <w:rFonts w:ascii="Arial" w:hAnsi="Arial" w:cs="Arial"/>
          <w:b/>
          <w:bCs/>
        </w:rPr>
        <w:t>L</w:t>
      </w:r>
      <w:r w:rsidRPr="00AD7843">
        <w:rPr>
          <w:rFonts w:ascii="Arial" w:hAnsi="Arial" w:cs="Arial"/>
          <w:b/>
          <w:bCs/>
        </w:rPr>
        <w:t xml:space="preserve">ife </w:t>
      </w:r>
      <w:r w:rsidR="003230BE">
        <w:rPr>
          <w:rFonts w:ascii="Arial" w:hAnsi="Arial" w:cs="Arial"/>
          <w:b/>
          <w:bCs/>
        </w:rPr>
        <w:t>Y</w:t>
      </w:r>
      <w:r w:rsidRPr="00AD7843">
        <w:rPr>
          <w:rFonts w:ascii="Arial" w:hAnsi="Arial" w:cs="Arial"/>
          <w:b/>
          <w:bCs/>
        </w:rPr>
        <w:t>ears (QALYs)</w:t>
      </w:r>
    </w:p>
    <w:p w14:paraId="658341BC" w14:textId="682FA698" w:rsidR="003230BE" w:rsidRDefault="00D42046" w:rsidP="004E354E">
      <w:pPr>
        <w:spacing w:before="160" w:line="240" w:lineRule="auto"/>
        <w:rPr>
          <w:rFonts w:ascii="Arial" w:eastAsia="Times New Roman" w:hAnsi="Arial" w:cs="Arial"/>
          <w:bCs/>
          <w:lang w:val="en-US"/>
        </w:rPr>
      </w:pPr>
      <w:r w:rsidRPr="00AD7843">
        <w:rPr>
          <w:rFonts w:ascii="Arial" w:eastAsia="Times New Roman" w:hAnsi="Arial" w:cs="Arial"/>
          <w:bCs/>
          <w:lang w:val="en-US"/>
        </w:rPr>
        <w:t xml:space="preserve">Table </w:t>
      </w:r>
      <w:r w:rsidR="00891C36">
        <w:rPr>
          <w:rFonts w:ascii="Arial" w:eastAsia="Times New Roman" w:hAnsi="Arial" w:cs="Arial"/>
          <w:bCs/>
          <w:lang w:val="en-US"/>
        </w:rPr>
        <w:t>19</w:t>
      </w:r>
      <w:r w:rsidR="00891C36" w:rsidRPr="00AD7843">
        <w:rPr>
          <w:rFonts w:ascii="Arial" w:eastAsia="Times New Roman" w:hAnsi="Arial" w:cs="Arial"/>
          <w:bCs/>
          <w:lang w:val="en-US"/>
        </w:rPr>
        <w:t xml:space="preserve"> </w:t>
      </w:r>
      <w:r w:rsidRPr="00AD7843">
        <w:rPr>
          <w:rFonts w:ascii="Arial" w:eastAsia="Times New Roman" w:hAnsi="Arial" w:cs="Arial"/>
          <w:bCs/>
          <w:lang w:val="en-US"/>
        </w:rPr>
        <w:t>provides a summary of the Quality adjusted life years data calculated using the SF-6D scores and following the standard methodology in the economic evaluation literature</w:t>
      </w:r>
      <w:r w:rsidR="003230BE">
        <w:rPr>
          <w:rStyle w:val="EndnoteReference"/>
          <w:rFonts w:ascii="Arial" w:eastAsia="Times New Roman" w:hAnsi="Arial" w:cs="Arial"/>
          <w:bCs/>
          <w:lang w:val="en-US"/>
        </w:rPr>
        <w:endnoteReference w:id="7"/>
      </w:r>
      <w:r w:rsidRPr="00AD7843">
        <w:rPr>
          <w:rFonts w:ascii="Arial" w:eastAsia="Times New Roman" w:hAnsi="Arial" w:cs="Arial"/>
          <w:bCs/>
          <w:lang w:val="en-US"/>
        </w:rPr>
        <w:t>.</w:t>
      </w:r>
    </w:p>
    <w:p w14:paraId="2D0D232D" w14:textId="23760DF5" w:rsidR="003230BE" w:rsidRPr="00AD7843" w:rsidRDefault="00D42046" w:rsidP="004E354E">
      <w:pPr>
        <w:spacing w:before="160" w:line="240" w:lineRule="auto"/>
        <w:rPr>
          <w:rFonts w:ascii="Arial" w:eastAsia="Times New Roman" w:hAnsi="Arial" w:cs="Arial"/>
          <w:bCs/>
          <w:lang w:val="en-US"/>
        </w:rPr>
      </w:pPr>
      <w:r w:rsidRPr="00AD7843">
        <w:rPr>
          <w:rFonts w:ascii="Arial" w:eastAsia="Times New Roman" w:hAnsi="Arial" w:cs="Arial"/>
          <w:bCs/>
          <w:lang w:val="en-US"/>
        </w:rPr>
        <w:t>Overall, the results show no significant differences between the two groups regarding QALYs gained at the 12-month time point. However, the point estimates of QALYs were marginally higher for the brief intervention arm compared to the comprehensive arm. For example, the QALYs gained after 12 months were 0.72 in the brief arm compared to 0.69 in the comprehensive arm (p-value = 0.39). However, we wish to point out that the data on quality of life was not always complete for all study participants and had several gaps (or was missing) for several participants.</w:t>
      </w:r>
    </w:p>
    <w:p w14:paraId="3EA93531" w14:textId="36C72869" w:rsidR="00D42046" w:rsidRPr="005B6677" w:rsidRDefault="007C7148" w:rsidP="004E354E">
      <w:pPr>
        <w:pStyle w:val="Heading3"/>
        <w:spacing w:before="160" w:after="160"/>
        <w:rPr>
          <w:rFonts w:ascii="Arial Narrow" w:hAnsi="Arial Narrow"/>
          <w:b/>
          <w:bCs/>
          <w:sz w:val="20"/>
          <w:szCs w:val="20"/>
        </w:rPr>
      </w:pPr>
      <w:bookmarkStart w:id="75" w:name="_Toc137535781"/>
      <w:r w:rsidRPr="005B6677">
        <w:rPr>
          <w:rFonts w:ascii="Arial Narrow" w:hAnsi="Arial Narrow"/>
          <w:b/>
          <w:bCs/>
          <w:sz w:val="20"/>
          <w:szCs w:val="20"/>
        </w:rPr>
        <w:t xml:space="preserve">Table </w:t>
      </w:r>
      <w:r w:rsidR="00891C36" w:rsidRPr="005B6677">
        <w:rPr>
          <w:rFonts w:ascii="Arial Narrow" w:hAnsi="Arial Narrow"/>
          <w:b/>
          <w:bCs/>
          <w:sz w:val="20"/>
          <w:szCs w:val="20"/>
        </w:rPr>
        <w:t xml:space="preserve">19: </w:t>
      </w:r>
      <w:r w:rsidR="00D42046" w:rsidRPr="005B6677">
        <w:rPr>
          <w:rFonts w:ascii="Arial Narrow" w:hAnsi="Arial Narrow"/>
          <w:b/>
          <w:bCs/>
          <w:sz w:val="20"/>
          <w:szCs w:val="20"/>
        </w:rPr>
        <w:t xml:space="preserve">Quality </w:t>
      </w:r>
      <w:r w:rsidR="003230BE" w:rsidRPr="005B6677">
        <w:rPr>
          <w:rFonts w:ascii="Arial Narrow" w:hAnsi="Arial Narrow"/>
          <w:b/>
          <w:bCs/>
          <w:sz w:val="20"/>
          <w:szCs w:val="20"/>
        </w:rPr>
        <w:t>A</w:t>
      </w:r>
      <w:r w:rsidR="00D42046" w:rsidRPr="005B6677">
        <w:rPr>
          <w:rFonts w:ascii="Arial Narrow" w:hAnsi="Arial Narrow"/>
          <w:b/>
          <w:bCs/>
          <w:sz w:val="20"/>
          <w:szCs w:val="20"/>
        </w:rPr>
        <w:t xml:space="preserve">djusted </w:t>
      </w:r>
      <w:r w:rsidR="003230BE" w:rsidRPr="005B6677">
        <w:rPr>
          <w:rFonts w:ascii="Arial Narrow" w:hAnsi="Arial Narrow"/>
          <w:b/>
          <w:bCs/>
          <w:sz w:val="20"/>
          <w:szCs w:val="20"/>
        </w:rPr>
        <w:t>L</w:t>
      </w:r>
      <w:r w:rsidR="00D42046" w:rsidRPr="005B6677">
        <w:rPr>
          <w:rFonts w:ascii="Arial Narrow" w:hAnsi="Arial Narrow"/>
          <w:b/>
          <w:bCs/>
          <w:sz w:val="20"/>
          <w:szCs w:val="20"/>
        </w:rPr>
        <w:t xml:space="preserve">ife </w:t>
      </w:r>
      <w:r w:rsidR="003230BE" w:rsidRPr="005B6677">
        <w:rPr>
          <w:rFonts w:ascii="Arial Narrow" w:hAnsi="Arial Narrow"/>
          <w:b/>
          <w:bCs/>
          <w:sz w:val="20"/>
          <w:szCs w:val="20"/>
        </w:rPr>
        <w:t>Y</w:t>
      </w:r>
      <w:r w:rsidR="00D42046" w:rsidRPr="005B6677">
        <w:rPr>
          <w:rFonts w:ascii="Arial Narrow" w:hAnsi="Arial Narrow"/>
          <w:b/>
          <w:bCs/>
          <w:sz w:val="20"/>
          <w:szCs w:val="20"/>
        </w:rPr>
        <w:t>ears (QALYs) for the brief and comprehensive intervention arms</w:t>
      </w:r>
      <w:bookmarkEnd w:id="75"/>
    </w:p>
    <w:tbl>
      <w:tblPr>
        <w:tblStyle w:val="TableGrid"/>
        <w:tblW w:w="5000" w:type="pct"/>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020"/>
        <w:gridCol w:w="1226"/>
        <w:gridCol w:w="2177"/>
        <w:gridCol w:w="1388"/>
        <w:gridCol w:w="850"/>
      </w:tblGrid>
      <w:tr w:rsidR="00D42046" w:rsidRPr="003230BE" w14:paraId="4C430B58" w14:textId="77777777" w:rsidTr="00561571">
        <w:tc>
          <w:tcPr>
            <w:tcW w:w="1310" w:type="pct"/>
            <w:tcBorders>
              <w:top w:val="single" w:sz="4" w:space="0" w:color="000000" w:themeColor="text1"/>
            </w:tcBorders>
            <w:vAlign w:val="center"/>
          </w:tcPr>
          <w:p w14:paraId="7C6A6440"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b/>
                <w:sz w:val="20"/>
                <w:szCs w:val="20"/>
              </w:rPr>
              <w:t xml:space="preserve"> </w:t>
            </w:r>
          </w:p>
        </w:tc>
        <w:tc>
          <w:tcPr>
            <w:tcW w:w="565" w:type="pct"/>
            <w:tcBorders>
              <w:top w:val="single" w:sz="4" w:space="0" w:color="000000" w:themeColor="text1"/>
            </w:tcBorders>
            <w:vAlign w:val="center"/>
          </w:tcPr>
          <w:p w14:paraId="1894E815"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b/>
                <w:sz w:val="20"/>
                <w:szCs w:val="20"/>
              </w:rPr>
              <w:t>Total</w:t>
            </w:r>
          </w:p>
        </w:tc>
        <w:tc>
          <w:tcPr>
            <w:tcW w:w="679" w:type="pct"/>
            <w:tcBorders>
              <w:top w:val="single" w:sz="4" w:space="0" w:color="000000" w:themeColor="text1"/>
            </w:tcBorders>
            <w:vAlign w:val="center"/>
          </w:tcPr>
          <w:p w14:paraId="239838C9"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b/>
                <w:sz w:val="20"/>
                <w:szCs w:val="20"/>
              </w:rPr>
              <w:t>Brief (1)</w:t>
            </w:r>
          </w:p>
        </w:tc>
        <w:tc>
          <w:tcPr>
            <w:tcW w:w="1206" w:type="pct"/>
            <w:tcBorders>
              <w:top w:val="single" w:sz="4" w:space="0" w:color="000000" w:themeColor="text1"/>
            </w:tcBorders>
            <w:vAlign w:val="center"/>
          </w:tcPr>
          <w:p w14:paraId="21C7319E"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b/>
                <w:sz w:val="20"/>
                <w:szCs w:val="20"/>
              </w:rPr>
              <w:t>Comprehensive (2)</w:t>
            </w:r>
          </w:p>
        </w:tc>
        <w:tc>
          <w:tcPr>
            <w:tcW w:w="769" w:type="pct"/>
            <w:tcBorders>
              <w:top w:val="single" w:sz="4" w:space="0" w:color="000000" w:themeColor="text1"/>
            </w:tcBorders>
          </w:tcPr>
          <w:p w14:paraId="71C72F85" w14:textId="77777777" w:rsidR="00D42046" w:rsidRPr="003230BE" w:rsidRDefault="00D42046" w:rsidP="002F3448">
            <w:pPr>
              <w:spacing w:before="0"/>
              <w:rPr>
                <w:rFonts w:ascii="Arial" w:eastAsia="Times New Roman" w:hAnsi="Arial" w:cs="Arial"/>
                <w:b/>
                <w:sz w:val="20"/>
                <w:szCs w:val="20"/>
              </w:rPr>
            </w:pPr>
            <w:r w:rsidRPr="003230BE">
              <w:rPr>
                <w:rFonts w:ascii="Arial" w:eastAsia="Times New Roman" w:hAnsi="Arial" w:cs="Arial"/>
                <w:b/>
                <w:sz w:val="20"/>
                <w:szCs w:val="20"/>
              </w:rPr>
              <w:t>Incremental QALYs (1)-(2)</w:t>
            </w:r>
          </w:p>
        </w:tc>
        <w:tc>
          <w:tcPr>
            <w:tcW w:w="471" w:type="pct"/>
            <w:tcBorders>
              <w:top w:val="single" w:sz="4" w:space="0" w:color="000000" w:themeColor="text1"/>
            </w:tcBorders>
            <w:vAlign w:val="center"/>
          </w:tcPr>
          <w:p w14:paraId="0176F935"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b/>
                <w:sz w:val="20"/>
                <w:szCs w:val="20"/>
              </w:rPr>
              <w:t>p-value</w:t>
            </w:r>
          </w:p>
        </w:tc>
      </w:tr>
      <w:tr w:rsidR="00D42046" w:rsidRPr="003230BE" w14:paraId="1A412A12" w14:textId="77777777" w:rsidTr="00561571">
        <w:tc>
          <w:tcPr>
            <w:tcW w:w="1310" w:type="pct"/>
            <w:tcBorders>
              <w:bottom w:val="single" w:sz="6" w:space="0" w:color="000000"/>
            </w:tcBorders>
            <w:vAlign w:val="center"/>
          </w:tcPr>
          <w:p w14:paraId="43170570" w14:textId="77777777" w:rsidR="00D42046" w:rsidRPr="003230BE" w:rsidRDefault="00D42046" w:rsidP="002F3448">
            <w:pPr>
              <w:spacing w:before="0"/>
              <w:rPr>
                <w:rFonts w:ascii="Arial" w:eastAsia="Times New Roman" w:hAnsi="Arial" w:cs="Arial"/>
                <w:sz w:val="20"/>
                <w:szCs w:val="20"/>
              </w:rPr>
            </w:pPr>
          </w:p>
        </w:tc>
        <w:tc>
          <w:tcPr>
            <w:tcW w:w="565" w:type="pct"/>
            <w:tcBorders>
              <w:bottom w:val="single" w:sz="6" w:space="0" w:color="000000"/>
            </w:tcBorders>
            <w:vAlign w:val="center"/>
          </w:tcPr>
          <w:p w14:paraId="65387027"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b/>
                <w:sz w:val="20"/>
                <w:szCs w:val="20"/>
              </w:rPr>
              <w:t>N=311</w:t>
            </w:r>
          </w:p>
        </w:tc>
        <w:tc>
          <w:tcPr>
            <w:tcW w:w="679" w:type="pct"/>
            <w:tcBorders>
              <w:bottom w:val="single" w:sz="6" w:space="0" w:color="000000"/>
            </w:tcBorders>
            <w:vAlign w:val="center"/>
          </w:tcPr>
          <w:p w14:paraId="41337989"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b/>
                <w:sz w:val="20"/>
                <w:szCs w:val="20"/>
              </w:rPr>
              <w:t>N=112</w:t>
            </w:r>
          </w:p>
        </w:tc>
        <w:tc>
          <w:tcPr>
            <w:tcW w:w="1206" w:type="pct"/>
            <w:tcBorders>
              <w:bottom w:val="single" w:sz="6" w:space="0" w:color="000000"/>
            </w:tcBorders>
            <w:vAlign w:val="center"/>
          </w:tcPr>
          <w:p w14:paraId="6ECA4FCA"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b/>
                <w:sz w:val="20"/>
                <w:szCs w:val="20"/>
              </w:rPr>
              <w:t>N=199</w:t>
            </w:r>
          </w:p>
        </w:tc>
        <w:tc>
          <w:tcPr>
            <w:tcW w:w="769" w:type="pct"/>
            <w:tcBorders>
              <w:bottom w:val="single" w:sz="6" w:space="0" w:color="000000"/>
            </w:tcBorders>
          </w:tcPr>
          <w:p w14:paraId="6263DC1C" w14:textId="77777777" w:rsidR="00D42046" w:rsidRPr="003230BE" w:rsidRDefault="00D42046" w:rsidP="002F3448">
            <w:pPr>
              <w:spacing w:before="0"/>
              <w:rPr>
                <w:rFonts w:ascii="Arial" w:eastAsia="Times New Roman" w:hAnsi="Arial" w:cs="Arial"/>
                <w:sz w:val="20"/>
                <w:szCs w:val="20"/>
              </w:rPr>
            </w:pPr>
          </w:p>
        </w:tc>
        <w:tc>
          <w:tcPr>
            <w:tcW w:w="471" w:type="pct"/>
            <w:tcBorders>
              <w:bottom w:val="single" w:sz="6" w:space="0" w:color="000000"/>
            </w:tcBorders>
            <w:vAlign w:val="center"/>
          </w:tcPr>
          <w:p w14:paraId="2C001562" w14:textId="77777777" w:rsidR="00D42046" w:rsidRPr="003230BE" w:rsidRDefault="00D42046" w:rsidP="002F3448">
            <w:pPr>
              <w:spacing w:before="0"/>
              <w:rPr>
                <w:rFonts w:ascii="Arial" w:eastAsia="Times New Roman" w:hAnsi="Arial" w:cs="Arial"/>
                <w:sz w:val="20"/>
                <w:szCs w:val="20"/>
              </w:rPr>
            </w:pPr>
          </w:p>
        </w:tc>
      </w:tr>
      <w:tr w:rsidR="00D42046" w:rsidRPr="003230BE" w14:paraId="541FFAD7" w14:textId="77777777" w:rsidTr="00561571">
        <w:tc>
          <w:tcPr>
            <w:tcW w:w="1310" w:type="pct"/>
            <w:tcBorders>
              <w:top w:val="single" w:sz="6" w:space="0" w:color="000000"/>
            </w:tcBorders>
            <w:vAlign w:val="center"/>
          </w:tcPr>
          <w:p w14:paraId="50F7A35E"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QALYs (at 6 month)</w:t>
            </w:r>
          </w:p>
        </w:tc>
        <w:tc>
          <w:tcPr>
            <w:tcW w:w="565" w:type="pct"/>
            <w:tcBorders>
              <w:top w:val="single" w:sz="6" w:space="0" w:color="000000"/>
            </w:tcBorders>
            <w:vAlign w:val="center"/>
          </w:tcPr>
          <w:p w14:paraId="47433B25"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0.35 (0.06)</w:t>
            </w:r>
          </w:p>
        </w:tc>
        <w:tc>
          <w:tcPr>
            <w:tcW w:w="679" w:type="pct"/>
            <w:tcBorders>
              <w:top w:val="single" w:sz="6" w:space="0" w:color="000000"/>
            </w:tcBorders>
            <w:vAlign w:val="center"/>
          </w:tcPr>
          <w:p w14:paraId="7940C6CA"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0.36 (0.07)</w:t>
            </w:r>
          </w:p>
        </w:tc>
        <w:tc>
          <w:tcPr>
            <w:tcW w:w="1206" w:type="pct"/>
            <w:tcBorders>
              <w:top w:val="single" w:sz="6" w:space="0" w:color="000000"/>
            </w:tcBorders>
            <w:vAlign w:val="center"/>
          </w:tcPr>
          <w:p w14:paraId="4517371B"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0.35 (0.06)</w:t>
            </w:r>
          </w:p>
        </w:tc>
        <w:tc>
          <w:tcPr>
            <w:tcW w:w="769" w:type="pct"/>
            <w:tcBorders>
              <w:top w:val="single" w:sz="6" w:space="0" w:color="000000"/>
            </w:tcBorders>
          </w:tcPr>
          <w:p w14:paraId="26A9ED3D"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0.01</w:t>
            </w:r>
          </w:p>
        </w:tc>
        <w:tc>
          <w:tcPr>
            <w:tcW w:w="471" w:type="pct"/>
            <w:tcBorders>
              <w:top w:val="single" w:sz="6" w:space="0" w:color="000000"/>
            </w:tcBorders>
            <w:vAlign w:val="center"/>
          </w:tcPr>
          <w:p w14:paraId="5FFEFC40"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 xml:space="preserve"> 0.29</w:t>
            </w:r>
          </w:p>
        </w:tc>
      </w:tr>
      <w:tr w:rsidR="00D42046" w:rsidRPr="003230BE" w14:paraId="0E53C59A" w14:textId="77777777" w:rsidTr="00561571">
        <w:tc>
          <w:tcPr>
            <w:tcW w:w="1310" w:type="pct"/>
            <w:vAlign w:val="center"/>
          </w:tcPr>
          <w:p w14:paraId="69E6F0E8"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QALYs (12 months)</w:t>
            </w:r>
          </w:p>
        </w:tc>
        <w:tc>
          <w:tcPr>
            <w:tcW w:w="565" w:type="pct"/>
            <w:vAlign w:val="center"/>
          </w:tcPr>
          <w:p w14:paraId="5BB4D636"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0.34 (0.08)</w:t>
            </w:r>
          </w:p>
        </w:tc>
        <w:tc>
          <w:tcPr>
            <w:tcW w:w="679" w:type="pct"/>
            <w:vAlign w:val="center"/>
          </w:tcPr>
          <w:p w14:paraId="438ABEF7"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0.35 (0.08)</w:t>
            </w:r>
          </w:p>
        </w:tc>
        <w:tc>
          <w:tcPr>
            <w:tcW w:w="1206" w:type="pct"/>
            <w:vAlign w:val="center"/>
          </w:tcPr>
          <w:p w14:paraId="3CCCF268"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0.34 (0.09)</w:t>
            </w:r>
          </w:p>
        </w:tc>
        <w:tc>
          <w:tcPr>
            <w:tcW w:w="769" w:type="pct"/>
          </w:tcPr>
          <w:p w14:paraId="1D7C501B"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0.01</w:t>
            </w:r>
          </w:p>
        </w:tc>
        <w:tc>
          <w:tcPr>
            <w:tcW w:w="471" w:type="pct"/>
            <w:vAlign w:val="center"/>
          </w:tcPr>
          <w:p w14:paraId="4519EADC"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 xml:space="preserve"> 0.52</w:t>
            </w:r>
          </w:p>
        </w:tc>
      </w:tr>
      <w:tr w:rsidR="00D42046" w:rsidRPr="003230BE" w14:paraId="17170EF0" w14:textId="77777777" w:rsidTr="00561571">
        <w:tc>
          <w:tcPr>
            <w:tcW w:w="1310" w:type="pct"/>
            <w:vAlign w:val="center"/>
          </w:tcPr>
          <w:p w14:paraId="3ED069F4"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QALYs (overall)</w:t>
            </w:r>
          </w:p>
        </w:tc>
        <w:tc>
          <w:tcPr>
            <w:tcW w:w="565" w:type="pct"/>
            <w:vAlign w:val="center"/>
          </w:tcPr>
          <w:p w14:paraId="5C7D9AA4"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0.70 (0.14)</w:t>
            </w:r>
          </w:p>
        </w:tc>
        <w:tc>
          <w:tcPr>
            <w:tcW w:w="679" w:type="pct"/>
            <w:vAlign w:val="center"/>
          </w:tcPr>
          <w:p w14:paraId="59A28016"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0.72 (0.13)</w:t>
            </w:r>
          </w:p>
        </w:tc>
        <w:tc>
          <w:tcPr>
            <w:tcW w:w="1206" w:type="pct"/>
            <w:vAlign w:val="center"/>
          </w:tcPr>
          <w:p w14:paraId="4A18A528"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0.69 (0.14)</w:t>
            </w:r>
          </w:p>
        </w:tc>
        <w:tc>
          <w:tcPr>
            <w:tcW w:w="769" w:type="pct"/>
          </w:tcPr>
          <w:p w14:paraId="2E84CF37"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0.03</w:t>
            </w:r>
          </w:p>
        </w:tc>
        <w:tc>
          <w:tcPr>
            <w:tcW w:w="471" w:type="pct"/>
            <w:vAlign w:val="center"/>
          </w:tcPr>
          <w:p w14:paraId="380E4919"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 xml:space="preserve"> 0.39</w:t>
            </w:r>
          </w:p>
        </w:tc>
      </w:tr>
      <w:tr w:rsidR="00D42046" w:rsidRPr="003230BE" w14:paraId="6D1BA6E7" w14:textId="77777777" w:rsidTr="00561571">
        <w:tc>
          <w:tcPr>
            <w:tcW w:w="1310" w:type="pct"/>
            <w:tcBorders>
              <w:bottom w:val="single" w:sz="6" w:space="0" w:color="000000"/>
            </w:tcBorders>
            <w:vAlign w:val="center"/>
          </w:tcPr>
          <w:p w14:paraId="6AA4D245"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QALYs (baseline and 12 months)</w:t>
            </w:r>
          </w:p>
        </w:tc>
        <w:tc>
          <w:tcPr>
            <w:tcW w:w="565" w:type="pct"/>
            <w:tcBorders>
              <w:bottom w:val="single" w:sz="6" w:space="0" w:color="000000"/>
            </w:tcBorders>
            <w:vAlign w:val="center"/>
          </w:tcPr>
          <w:p w14:paraId="50238D0A"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0.71 (0.14)</w:t>
            </w:r>
          </w:p>
        </w:tc>
        <w:tc>
          <w:tcPr>
            <w:tcW w:w="679" w:type="pct"/>
            <w:tcBorders>
              <w:bottom w:val="single" w:sz="6" w:space="0" w:color="000000"/>
            </w:tcBorders>
            <w:vAlign w:val="center"/>
          </w:tcPr>
          <w:p w14:paraId="7EE688A7"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0.74 (0.13)</w:t>
            </w:r>
          </w:p>
        </w:tc>
        <w:tc>
          <w:tcPr>
            <w:tcW w:w="1206" w:type="pct"/>
            <w:tcBorders>
              <w:bottom w:val="single" w:sz="6" w:space="0" w:color="000000"/>
            </w:tcBorders>
            <w:vAlign w:val="center"/>
          </w:tcPr>
          <w:p w14:paraId="6D156E91" w14:textId="77777777" w:rsidR="00D42046" w:rsidRPr="003230BE" w:rsidRDefault="00D42046" w:rsidP="008B6783">
            <w:pPr>
              <w:spacing w:before="0"/>
              <w:rPr>
                <w:rFonts w:ascii="Arial" w:eastAsia="Times New Roman" w:hAnsi="Arial" w:cs="Arial"/>
                <w:sz w:val="20"/>
                <w:szCs w:val="20"/>
              </w:rPr>
            </w:pPr>
            <w:r w:rsidRPr="003230BE">
              <w:rPr>
                <w:rFonts w:ascii="Arial" w:eastAsia="Times New Roman" w:hAnsi="Arial" w:cs="Arial"/>
                <w:sz w:val="20"/>
                <w:szCs w:val="20"/>
              </w:rPr>
              <w:t>0.70 (0.15)</w:t>
            </w:r>
          </w:p>
        </w:tc>
        <w:tc>
          <w:tcPr>
            <w:tcW w:w="769" w:type="pct"/>
            <w:tcBorders>
              <w:bottom w:val="single" w:sz="6" w:space="0" w:color="000000"/>
            </w:tcBorders>
          </w:tcPr>
          <w:p w14:paraId="6A3FB346"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0.04</w:t>
            </w:r>
          </w:p>
        </w:tc>
        <w:tc>
          <w:tcPr>
            <w:tcW w:w="471" w:type="pct"/>
            <w:tcBorders>
              <w:bottom w:val="single" w:sz="6" w:space="0" w:color="000000"/>
            </w:tcBorders>
            <w:vAlign w:val="center"/>
          </w:tcPr>
          <w:p w14:paraId="28CD7559" w14:textId="77777777" w:rsidR="00D42046" w:rsidRPr="003230BE" w:rsidRDefault="00D42046" w:rsidP="002F3448">
            <w:pPr>
              <w:spacing w:before="0"/>
              <w:rPr>
                <w:rFonts w:ascii="Arial" w:eastAsia="Times New Roman" w:hAnsi="Arial" w:cs="Arial"/>
                <w:sz w:val="20"/>
                <w:szCs w:val="20"/>
              </w:rPr>
            </w:pPr>
            <w:r w:rsidRPr="003230BE">
              <w:rPr>
                <w:rFonts w:ascii="Arial" w:eastAsia="Times New Roman" w:hAnsi="Arial" w:cs="Arial"/>
                <w:sz w:val="20"/>
                <w:szCs w:val="20"/>
              </w:rPr>
              <w:t xml:space="preserve"> 0.11</w:t>
            </w:r>
          </w:p>
        </w:tc>
      </w:tr>
    </w:tbl>
    <w:p w14:paraId="498FC7FE" w14:textId="33B162D7" w:rsidR="00E23A99" w:rsidRDefault="00792A6E" w:rsidP="0093246E">
      <w:pPr>
        <w:spacing w:before="160" w:line="240" w:lineRule="auto"/>
        <w:rPr>
          <w:rFonts w:ascii="Arial" w:hAnsi="Arial" w:cs="Arial"/>
        </w:rPr>
      </w:pPr>
      <w:r w:rsidRPr="00884F08">
        <w:rPr>
          <w:rFonts w:ascii="Arial" w:hAnsi="Arial" w:cs="Arial"/>
        </w:rPr>
        <w:t>A comparison of the QALYS for the two assessment arms at 12 months revealed that the comprehensive assessment arm did not yield improvements in the QALYS compared to the brief assessment arm, as shown by the negative difference in the QALYS.</w:t>
      </w:r>
      <w:r w:rsidR="00A85BF7">
        <w:rPr>
          <w:rFonts w:ascii="Arial" w:hAnsi="Arial" w:cs="Arial"/>
        </w:rPr>
        <w:t xml:space="preserve"> </w:t>
      </w:r>
      <w:r w:rsidRPr="00884F08">
        <w:rPr>
          <w:rFonts w:ascii="Arial" w:hAnsi="Arial" w:cs="Arial"/>
        </w:rPr>
        <w:t xml:space="preserve">However, the difference was not statistically significant. </w:t>
      </w:r>
      <w:proofErr w:type="gramStart"/>
      <w:r w:rsidRPr="00884F08">
        <w:rPr>
          <w:rFonts w:ascii="Arial" w:hAnsi="Arial" w:cs="Arial"/>
        </w:rPr>
        <w:t>In light of</w:t>
      </w:r>
      <w:proofErr w:type="gramEnd"/>
      <w:r w:rsidRPr="00884F08">
        <w:rPr>
          <w:rFonts w:ascii="Arial" w:hAnsi="Arial" w:cs="Arial"/>
        </w:rPr>
        <w:t xml:space="preserve"> this finding, we concluded that implementation of the comprehensive assessments did not yield any inferior outcome compared to the brief arm. As such, we did not conduct a full economic evaluation.</w:t>
      </w:r>
    </w:p>
    <w:p w14:paraId="2C8DEA4A" w14:textId="4C715AB3" w:rsidR="00E23A99" w:rsidRDefault="00792A6E" w:rsidP="0093246E">
      <w:pPr>
        <w:spacing w:before="160" w:line="240" w:lineRule="auto"/>
        <w:rPr>
          <w:rFonts w:ascii="Arial" w:hAnsi="Arial" w:cs="Arial"/>
        </w:rPr>
      </w:pPr>
      <w:r w:rsidRPr="00884F08">
        <w:rPr>
          <w:rFonts w:ascii="Arial" w:hAnsi="Arial" w:cs="Arial"/>
        </w:rPr>
        <w:t>Furthermore, the data for QALYS was not available for all the study participants with only 96 out of 311 participants having non-missing data on the QALYS.</w:t>
      </w:r>
    </w:p>
    <w:p w14:paraId="4A47957F" w14:textId="01DB741E" w:rsidR="00767E6B" w:rsidRDefault="00E23A99" w:rsidP="0093246E">
      <w:pPr>
        <w:spacing w:before="160" w:line="240" w:lineRule="auto"/>
        <w:rPr>
          <w:rFonts w:ascii="Arial" w:hAnsi="Arial" w:cs="Arial"/>
        </w:rPr>
      </w:pPr>
      <w:r w:rsidRPr="00EF30C9">
        <w:rPr>
          <w:rFonts w:ascii="Arial" w:hAnsi="Arial" w:cs="Arial"/>
        </w:rPr>
        <w:t>Additionally, the statistically insignificant difference in QALYs suggests that the intervention is not in any way superior in terms of QALY gains. Despite this statistically insignificant difference, the incremental QALYs as shown in Table 1</w:t>
      </w:r>
      <w:r w:rsidR="00767E6B">
        <w:rPr>
          <w:rFonts w:ascii="Arial" w:hAnsi="Arial" w:cs="Arial"/>
        </w:rPr>
        <w:t>9</w:t>
      </w:r>
      <w:r w:rsidRPr="00EF30C9">
        <w:rPr>
          <w:rFonts w:ascii="Arial" w:hAnsi="Arial" w:cs="Arial"/>
        </w:rPr>
        <w:t xml:space="preserve"> are negative suggesting that the comprehensive assessment arm is somewhat dominated by the brief assessment arm. Table 1</w:t>
      </w:r>
      <w:r w:rsidR="00767E6B">
        <w:rPr>
          <w:rFonts w:ascii="Arial" w:hAnsi="Arial" w:cs="Arial"/>
        </w:rPr>
        <w:t>8</w:t>
      </w:r>
      <w:r w:rsidRPr="00EF30C9">
        <w:rPr>
          <w:rFonts w:ascii="Arial" w:hAnsi="Arial" w:cs="Arial"/>
        </w:rPr>
        <w:t xml:space="preserve"> also reveals that the comprehensive assessment arm is slightly costly. Thus, we have a scenario where the intervention is costly but non-inferior in terms of QALY gains. As a result of this descriptive observation, we did not conduct a full cost utility analysis in this instance. In this instance, calculating the metric showing the cost per QALY (i.e., the incremental cost effectiveness ratio) is somewhat not useful (see for example, Wordsworth et al., 2016</w:t>
      </w:r>
      <w:r w:rsidRPr="00EF30C9">
        <w:rPr>
          <w:rStyle w:val="FootnoteReference"/>
          <w:rFonts w:ascii="Arial" w:hAnsi="Arial" w:cs="Arial"/>
        </w:rPr>
        <w:footnoteReference w:id="7"/>
      </w:r>
      <w:r w:rsidRPr="00EF30C9">
        <w:rPr>
          <w:rFonts w:ascii="Arial" w:hAnsi="Arial" w:cs="Arial"/>
        </w:rPr>
        <w:t>). The ICER is only applicable in the instance when the comprehensive assessment arm was costly but effective when compared to the brief assessment arm (which is not the case here).</w:t>
      </w:r>
    </w:p>
    <w:p w14:paraId="232E234B" w14:textId="77777777" w:rsidR="00767E6B" w:rsidRDefault="00767E6B">
      <w:pPr>
        <w:spacing w:before="0"/>
        <w:rPr>
          <w:rFonts w:ascii="Arial" w:hAnsi="Arial" w:cs="Arial"/>
        </w:rPr>
      </w:pPr>
      <w:r>
        <w:rPr>
          <w:rFonts w:ascii="Arial" w:hAnsi="Arial" w:cs="Arial"/>
        </w:rPr>
        <w:br w:type="page"/>
      </w:r>
    </w:p>
    <w:p w14:paraId="373F023A" w14:textId="5B02448A" w:rsidR="00E23A99" w:rsidRPr="00EF30C9" w:rsidRDefault="00E23A99" w:rsidP="0093246E">
      <w:pPr>
        <w:spacing w:before="160" w:line="240" w:lineRule="auto"/>
        <w:rPr>
          <w:rFonts w:ascii="Arial" w:hAnsi="Arial" w:cs="Arial"/>
          <w:b/>
          <w:bCs/>
        </w:rPr>
      </w:pPr>
      <w:r w:rsidRPr="00EF30C9">
        <w:rPr>
          <w:rFonts w:ascii="Arial" w:hAnsi="Arial" w:cs="Arial"/>
          <w:b/>
          <w:bCs/>
        </w:rPr>
        <w:lastRenderedPageBreak/>
        <w:t>Sensitivity Analysis</w:t>
      </w:r>
    </w:p>
    <w:p w14:paraId="07465243" w14:textId="125E329D" w:rsidR="00E23A99" w:rsidRPr="00EF30C9" w:rsidRDefault="00E23A99" w:rsidP="0093246E">
      <w:pPr>
        <w:spacing w:before="160" w:line="240" w:lineRule="auto"/>
        <w:rPr>
          <w:rFonts w:ascii="Arial" w:hAnsi="Arial" w:cs="Arial"/>
        </w:rPr>
      </w:pPr>
      <w:r w:rsidRPr="00EF30C9">
        <w:rPr>
          <w:rFonts w:ascii="Arial" w:hAnsi="Arial" w:cs="Arial"/>
        </w:rPr>
        <w:t>The analysis conducted in this report was primarily descriptive. The descriptive assessment revealed no statistically significant differences in QALYs between the comprehensive and brief assessment arms (see Table 1</w:t>
      </w:r>
      <w:r w:rsidR="00767E6B">
        <w:rPr>
          <w:rFonts w:ascii="Arial" w:hAnsi="Arial" w:cs="Arial"/>
        </w:rPr>
        <w:t>9</w:t>
      </w:r>
      <w:r w:rsidRPr="00EF30C9">
        <w:rPr>
          <w:rFonts w:ascii="Arial" w:hAnsi="Arial" w:cs="Arial"/>
        </w:rPr>
        <w:t>). Thus, given the noted differences in QALYs between the two groups, we did not conduct a full cost utility analysis.</w:t>
      </w:r>
    </w:p>
    <w:p w14:paraId="2FCE7875" w14:textId="42C8626A" w:rsidR="00E23A99" w:rsidRPr="00EF30C9" w:rsidRDefault="00E23A99" w:rsidP="0093246E">
      <w:pPr>
        <w:spacing w:before="160" w:line="240" w:lineRule="auto"/>
        <w:rPr>
          <w:rFonts w:ascii="Arial" w:hAnsi="Arial" w:cs="Arial"/>
        </w:rPr>
      </w:pPr>
      <w:r w:rsidRPr="00EF30C9">
        <w:rPr>
          <w:rFonts w:ascii="Arial" w:hAnsi="Arial" w:cs="Arial"/>
        </w:rPr>
        <w:t>For quantifying the pharmacist’s time in conducting the assessments in the low and comprehensive intensity arms, we have assumed following:</w:t>
      </w:r>
    </w:p>
    <w:p w14:paraId="1EEFE91D" w14:textId="77777777" w:rsidR="00E23A99" w:rsidRPr="00EF30C9" w:rsidRDefault="00E23A99" w:rsidP="0093246E">
      <w:pPr>
        <w:pStyle w:val="ListParagraph"/>
        <w:numPr>
          <w:ilvl w:val="0"/>
          <w:numId w:val="37"/>
        </w:numPr>
        <w:spacing w:before="160" w:line="240" w:lineRule="auto"/>
        <w:rPr>
          <w:rFonts w:ascii="Arial" w:hAnsi="Arial" w:cs="Arial"/>
        </w:rPr>
      </w:pPr>
      <w:r w:rsidRPr="00EF30C9">
        <w:rPr>
          <w:rFonts w:ascii="Arial" w:hAnsi="Arial" w:cs="Arial"/>
        </w:rPr>
        <w:t>Low-intensity arm: 20 minutes</w:t>
      </w:r>
    </w:p>
    <w:p w14:paraId="74CEB162" w14:textId="77777777" w:rsidR="00E23A99" w:rsidRPr="00EF30C9" w:rsidRDefault="00E23A99" w:rsidP="0093246E">
      <w:pPr>
        <w:pStyle w:val="ListParagraph"/>
        <w:numPr>
          <w:ilvl w:val="0"/>
          <w:numId w:val="37"/>
        </w:numPr>
        <w:spacing w:before="160" w:line="240" w:lineRule="auto"/>
        <w:rPr>
          <w:rFonts w:ascii="Arial" w:hAnsi="Arial" w:cs="Arial"/>
        </w:rPr>
      </w:pPr>
      <w:r w:rsidRPr="00EF30C9">
        <w:rPr>
          <w:rFonts w:ascii="Arial" w:hAnsi="Arial" w:cs="Arial"/>
        </w:rPr>
        <w:t>Comprehensive arm: 30 minutes</w:t>
      </w:r>
    </w:p>
    <w:p w14:paraId="6C69D0C1" w14:textId="346999CB" w:rsidR="00E23A99" w:rsidRPr="00EF30C9" w:rsidRDefault="00E23A99" w:rsidP="0093246E">
      <w:pPr>
        <w:spacing w:before="160" w:line="240" w:lineRule="auto"/>
        <w:rPr>
          <w:rFonts w:ascii="Arial" w:hAnsi="Arial" w:cs="Arial"/>
        </w:rPr>
      </w:pPr>
      <w:r w:rsidRPr="00EF30C9">
        <w:rPr>
          <w:rFonts w:ascii="Arial" w:hAnsi="Arial" w:cs="Arial"/>
        </w:rPr>
        <w:t>We have also assumed a $38 median wage per hour for the community pharmacist.</w:t>
      </w:r>
    </w:p>
    <w:p w14:paraId="1F95A609" w14:textId="28D944B7" w:rsidR="00E23A99" w:rsidRPr="00EF30C9" w:rsidRDefault="00E23A99" w:rsidP="0093246E">
      <w:pPr>
        <w:spacing w:before="160" w:line="240" w:lineRule="auto"/>
        <w:rPr>
          <w:rFonts w:ascii="Arial" w:hAnsi="Arial" w:cs="Arial"/>
        </w:rPr>
      </w:pPr>
      <w:r w:rsidRPr="00EF30C9">
        <w:rPr>
          <w:rFonts w:ascii="Arial" w:hAnsi="Arial" w:cs="Arial"/>
        </w:rPr>
        <w:t xml:space="preserve">For sensitivity analysis, we considered a one-way sensitivity analysis in which we changed one parameter at a time e.g., time spent by the pharmacist on completing the assessment for each person in each arm. Table </w:t>
      </w:r>
      <w:r w:rsidR="00767E6B">
        <w:rPr>
          <w:rFonts w:ascii="Arial" w:hAnsi="Arial" w:cs="Arial"/>
        </w:rPr>
        <w:t>20</w:t>
      </w:r>
      <w:r w:rsidRPr="00EF30C9">
        <w:rPr>
          <w:rFonts w:ascii="Arial" w:hAnsi="Arial" w:cs="Arial"/>
        </w:rPr>
        <w:t xml:space="preserve"> provides the results when we assume the minimum time of 15 and 20 minutes spent on low intensity and comprehensive assessments. Doing so gives a minimum total cost of completing 213 low-intensity assessments of $2,024 and $5,282 for completing 417 comprehensive assessments. There is a cost difference of $3,259 and this is a statistically significant difference. Changing the wage rate per hour for the community pharmacist’s time will have the effect of increasing the costs in both arms but will not change any conclusions.</w:t>
      </w:r>
    </w:p>
    <w:p w14:paraId="4B0F6742" w14:textId="1D4B0707" w:rsidR="00E23A99" w:rsidRPr="00015B49" w:rsidRDefault="00E23A99" w:rsidP="0093246E">
      <w:pPr>
        <w:pStyle w:val="Heading3"/>
        <w:spacing w:before="160" w:after="160"/>
        <w:rPr>
          <w:rFonts w:ascii="Arial Narrow" w:hAnsi="Arial Narrow"/>
          <w:b/>
          <w:bCs/>
          <w:sz w:val="20"/>
          <w:szCs w:val="20"/>
        </w:rPr>
      </w:pPr>
      <w:bookmarkStart w:id="76" w:name="_Toc137535782"/>
      <w:r w:rsidRPr="00015B49">
        <w:rPr>
          <w:rFonts w:ascii="Arial Narrow" w:hAnsi="Arial Narrow"/>
          <w:b/>
          <w:bCs/>
          <w:sz w:val="20"/>
          <w:szCs w:val="20"/>
        </w:rPr>
        <w:t xml:space="preserve">Table </w:t>
      </w:r>
      <w:r w:rsidR="00767E6B" w:rsidRPr="00015B49">
        <w:rPr>
          <w:rFonts w:ascii="Arial Narrow" w:hAnsi="Arial Narrow"/>
          <w:b/>
          <w:bCs/>
          <w:sz w:val="20"/>
          <w:szCs w:val="20"/>
        </w:rPr>
        <w:t>20</w:t>
      </w:r>
      <w:r w:rsidRPr="00015B49">
        <w:rPr>
          <w:rFonts w:ascii="Arial Narrow" w:hAnsi="Arial Narrow"/>
          <w:b/>
          <w:bCs/>
          <w:sz w:val="20"/>
          <w:szCs w:val="20"/>
        </w:rPr>
        <w:t>: One-way sensitivity analysis: Summary of the expenses incurred by the pharmacist in conducting the assessments.</w:t>
      </w:r>
      <w:bookmarkEnd w:id="76"/>
    </w:p>
    <w:tbl>
      <w:tblPr>
        <w:tblW w:w="5000" w:type="pct"/>
        <w:tblLook w:val="04A0" w:firstRow="1" w:lastRow="0" w:firstColumn="1" w:lastColumn="0" w:noHBand="0" w:noVBand="1"/>
      </w:tblPr>
      <w:tblGrid>
        <w:gridCol w:w="1600"/>
        <w:gridCol w:w="1121"/>
        <w:gridCol w:w="940"/>
        <w:gridCol w:w="1294"/>
        <w:gridCol w:w="767"/>
        <w:gridCol w:w="256"/>
        <w:gridCol w:w="1011"/>
        <w:gridCol w:w="1294"/>
        <w:gridCol w:w="743"/>
      </w:tblGrid>
      <w:tr w:rsidR="00E23A99" w:rsidRPr="00EF30C9" w14:paraId="08C1C114" w14:textId="77777777" w:rsidTr="00FC0DFD">
        <w:trPr>
          <w:trHeight w:val="371"/>
        </w:trPr>
        <w:tc>
          <w:tcPr>
            <w:tcW w:w="903" w:type="pct"/>
            <w:tcBorders>
              <w:top w:val="single" w:sz="4" w:space="0" w:color="auto"/>
              <w:left w:val="nil"/>
              <w:bottom w:val="nil"/>
              <w:right w:val="nil"/>
            </w:tcBorders>
            <w:shd w:val="clear" w:color="auto" w:fill="auto"/>
            <w:noWrap/>
            <w:vAlign w:val="bottom"/>
            <w:hideMark/>
          </w:tcPr>
          <w:p w14:paraId="28F92D76"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w:t>
            </w:r>
          </w:p>
        </w:tc>
        <w:tc>
          <w:tcPr>
            <w:tcW w:w="2309" w:type="pct"/>
            <w:gridSpan w:val="4"/>
            <w:tcBorders>
              <w:top w:val="single" w:sz="4" w:space="0" w:color="auto"/>
              <w:left w:val="nil"/>
              <w:bottom w:val="single" w:sz="4" w:space="0" w:color="auto"/>
              <w:right w:val="nil"/>
            </w:tcBorders>
            <w:shd w:val="clear" w:color="auto" w:fill="auto"/>
            <w:noWrap/>
            <w:vAlign w:val="bottom"/>
            <w:hideMark/>
          </w:tcPr>
          <w:p w14:paraId="7A51E394" w14:textId="77777777" w:rsidR="00E23A99" w:rsidRPr="00EF30C9" w:rsidRDefault="00E23A99" w:rsidP="008B6783">
            <w:pPr>
              <w:spacing w:before="0" w:after="0" w:line="240" w:lineRule="auto"/>
              <w:rPr>
                <w:rFonts w:ascii="Arial" w:eastAsia="Times New Roman" w:hAnsi="Arial" w:cs="Arial"/>
                <w:b/>
                <w:bCs/>
                <w:color w:val="000000"/>
                <w:sz w:val="20"/>
                <w:szCs w:val="20"/>
                <w:lang w:eastAsia="en-AU"/>
              </w:rPr>
            </w:pPr>
            <w:r w:rsidRPr="00EF30C9">
              <w:rPr>
                <w:rFonts w:ascii="Arial" w:eastAsia="Times New Roman" w:hAnsi="Arial" w:cs="Arial"/>
                <w:b/>
                <w:bCs/>
                <w:color w:val="000000"/>
                <w:sz w:val="20"/>
                <w:szCs w:val="20"/>
                <w:lang w:eastAsia="en-AU"/>
              </w:rPr>
              <w:t>Brief intervention arm</w:t>
            </w:r>
          </w:p>
        </w:tc>
        <w:tc>
          <w:tcPr>
            <w:tcW w:w="139" w:type="pct"/>
            <w:tcBorders>
              <w:top w:val="single" w:sz="4" w:space="0" w:color="auto"/>
              <w:left w:val="nil"/>
              <w:bottom w:val="nil"/>
              <w:right w:val="nil"/>
            </w:tcBorders>
            <w:shd w:val="clear" w:color="auto" w:fill="auto"/>
            <w:noWrap/>
            <w:vAlign w:val="bottom"/>
            <w:hideMark/>
          </w:tcPr>
          <w:p w14:paraId="32948B32" w14:textId="77777777" w:rsidR="00E23A99" w:rsidRPr="00EF30C9" w:rsidRDefault="00E23A99" w:rsidP="002F3448">
            <w:pPr>
              <w:spacing w:before="0" w:after="0" w:line="240" w:lineRule="auto"/>
              <w:rPr>
                <w:rFonts w:ascii="Arial" w:eastAsia="Times New Roman" w:hAnsi="Arial" w:cs="Arial"/>
                <w:b/>
                <w:bCs/>
                <w:color w:val="000000"/>
                <w:sz w:val="20"/>
                <w:szCs w:val="20"/>
                <w:lang w:eastAsia="en-AU"/>
              </w:rPr>
            </w:pPr>
            <w:r w:rsidRPr="00EF30C9">
              <w:rPr>
                <w:rFonts w:ascii="Arial" w:eastAsia="Times New Roman" w:hAnsi="Arial" w:cs="Arial"/>
                <w:b/>
                <w:bCs/>
                <w:color w:val="000000"/>
                <w:sz w:val="20"/>
                <w:szCs w:val="20"/>
                <w:lang w:eastAsia="en-AU"/>
              </w:rPr>
              <w:t> </w:t>
            </w:r>
          </w:p>
        </w:tc>
        <w:tc>
          <w:tcPr>
            <w:tcW w:w="1649" w:type="pct"/>
            <w:gridSpan w:val="3"/>
            <w:tcBorders>
              <w:top w:val="single" w:sz="4" w:space="0" w:color="auto"/>
              <w:left w:val="nil"/>
              <w:bottom w:val="single" w:sz="4" w:space="0" w:color="auto"/>
              <w:right w:val="nil"/>
            </w:tcBorders>
            <w:shd w:val="clear" w:color="auto" w:fill="auto"/>
            <w:noWrap/>
            <w:vAlign w:val="bottom"/>
            <w:hideMark/>
          </w:tcPr>
          <w:p w14:paraId="07ACBC55" w14:textId="77777777" w:rsidR="00E23A99" w:rsidRPr="00EF30C9" w:rsidRDefault="00E23A99" w:rsidP="008B6783">
            <w:pPr>
              <w:spacing w:before="0" w:after="0" w:line="240" w:lineRule="auto"/>
              <w:rPr>
                <w:rFonts w:ascii="Arial" w:eastAsia="Times New Roman" w:hAnsi="Arial" w:cs="Arial"/>
                <w:b/>
                <w:bCs/>
                <w:color w:val="000000"/>
                <w:sz w:val="20"/>
                <w:szCs w:val="20"/>
                <w:lang w:eastAsia="en-AU"/>
              </w:rPr>
            </w:pPr>
            <w:r w:rsidRPr="00EF30C9">
              <w:rPr>
                <w:rFonts w:ascii="Arial" w:eastAsia="Times New Roman" w:hAnsi="Arial" w:cs="Arial"/>
                <w:b/>
                <w:bCs/>
                <w:color w:val="000000"/>
                <w:sz w:val="20"/>
                <w:szCs w:val="20"/>
                <w:lang w:eastAsia="en-AU"/>
              </w:rPr>
              <w:t>Comprehensive intervention arm</w:t>
            </w:r>
          </w:p>
        </w:tc>
      </w:tr>
      <w:tr w:rsidR="00E23A99" w:rsidRPr="00EF30C9" w14:paraId="7DBD0F3F" w14:textId="77777777" w:rsidTr="00FC0DFD">
        <w:trPr>
          <w:trHeight w:val="300"/>
        </w:trPr>
        <w:tc>
          <w:tcPr>
            <w:tcW w:w="903" w:type="pct"/>
            <w:tcBorders>
              <w:top w:val="nil"/>
              <w:left w:val="nil"/>
              <w:bottom w:val="single" w:sz="4" w:space="0" w:color="auto"/>
              <w:right w:val="nil"/>
            </w:tcBorders>
            <w:shd w:val="clear" w:color="auto" w:fill="auto"/>
            <w:noWrap/>
            <w:vAlign w:val="bottom"/>
            <w:hideMark/>
          </w:tcPr>
          <w:p w14:paraId="0C18D896"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w:t>
            </w:r>
          </w:p>
        </w:tc>
        <w:tc>
          <w:tcPr>
            <w:tcW w:w="624" w:type="pct"/>
            <w:tcBorders>
              <w:top w:val="nil"/>
              <w:left w:val="nil"/>
              <w:bottom w:val="single" w:sz="4" w:space="0" w:color="auto"/>
              <w:right w:val="nil"/>
            </w:tcBorders>
            <w:shd w:val="clear" w:color="auto" w:fill="auto"/>
            <w:noWrap/>
            <w:vAlign w:val="bottom"/>
            <w:hideMark/>
          </w:tcPr>
          <w:p w14:paraId="3039AE70"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Hourly rate ($)</w:t>
            </w:r>
          </w:p>
        </w:tc>
        <w:tc>
          <w:tcPr>
            <w:tcW w:w="521" w:type="pct"/>
            <w:tcBorders>
              <w:top w:val="nil"/>
              <w:left w:val="nil"/>
              <w:bottom w:val="single" w:sz="4" w:space="0" w:color="auto"/>
              <w:right w:val="nil"/>
            </w:tcBorders>
            <w:shd w:val="clear" w:color="auto" w:fill="auto"/>
            <w:noWrap/>
            <w:vAlign w:val="bottom"/>
            <w:hideMark/>
          </w:tcPr>
          <w:p w14:paraId="2FE5BE27"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xml:space="preserve">Time </w:t>
            </w:r>
          </w:p>
          <w:p w14:paraId="1BBCB23D"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(15-20 min)</w:t>
            </w:r>
          </w:p>
        </w:tc>
        <w:tc>
          <w:tcPr>
            <w:tcW w:w="686" w:type="pct"/>
            <w:tcBorders>
              <w:top w:val="nil"/>
              <w:left w:val="nil"/>
              <w:bottom w:val="single" w:sz="4" w:space="0" w:color="auto"/>
              <w:right w:val="nil"/>
            </w:tcBorders>
            <w:shd w:val="clear" w:color="auto" w:fill="auto"/>
            <w:noWrap/>
            <w:vAlign w:val="bottom"/>
            <w:hideMark/>
          </w:tcPr>
          <w:p w14:paraId="310EA05C"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Assessments (N)</w:t>
            </w:r>
          </w:p>
        </w:tc>
        <w:tc>
          <w:tcPr>
            <w:tcW w:w="479" w:type="pct"/>
            <w:tcBorders>
              <w:top w:val="nil"/>
              <w:left w:val="nil"/>
              <w:bottom w:val="single" w:sz="4" w:space="0" w:color="auto"/>
              <w:right w:val="nil"/>
            </w:tcBorders>
            <w:shd w:val="clear" w:color="auto" w:fill="auto"/>
            <w:noWrap/>
            <w:vAlign w:val="bottom"/>
            <w:hideMark/>
          </w:tcPr>
          <w:p w14:paraId="192AA6DE"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Total ($)</w:t>
            </w:r>
          </w:p>
        </w:tc>
        <w:tc>
          <w:tcPr>
            <w:tcW w:w="139" w:type="pct"/>
            <w:tcBorders>
              <w:top w:val="nil"/>
              <w:left w:val="nil"/>
              <w:bottom w:val="single" w:sz="4" w:space="0" w:color="auto"/>
              <w:right w:val="nil"/>
            </w:tcBorders>
            <w:shd w:val="clear" w:color="auto" w:fill="auto"/>
            <w:noWrap/>
            <w:vAlign w:val="bottom"/>
            <w:hideMark/>
          </w:tcPr>
          <w:p w14:paraId="14504407"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w:t>
            </w:r>
          </w:p>
        </w:tc>
        <w:tc>
          <w:tcPr>
            <w:tcW w:w="554" w:type="pct"/>
            <w:tcBorders>
              <w:top w:val="nil"/>
              <w:left w:val="nil"/>
              <w:bottom w:val="single" w:sz="4" w:space="0" w:color="auto"/>
              <w:right w:val="nil"/>
            </w:tcBorders>
            <w:shd w:val="clear" w:color="auto" w:fill="auto"/>
            <w:noWrap/>
            <w:vAlign w:val="bottom"/>
            <w:hideMark/>
          </w:tcPr>
          <w:p w14:paraId="664E8EEA"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xml:space="preserve">Time </w:t>
            </w:r>
          </w:p>
          <w:p w14:paraId="6ECDA70F"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(25-30 mins)</w:t>
            </w:r>
          </w:p>
        </w:tc>
        <w:tc>
          <w:tcPr>
            <w:tcW w:w="686" w:type="pct"/>
            <w:tcBorders>
              <w:top w:val="nil"/>
              <w:left w:val="nil"/>
              <w:bottom w:val="single" w:sz="4" w:space="0" w:color="auto"/>
              <w:right w:val="nil"/>
            </w:tcBorders>
            <w:shd w:val="clear" w:color="auto" w:fill="auto"/>
            <w:noWrap/>
            <w:vAlign w:val="bottom"/>
            <w:hideMark/>
          </w:tcPr>
          <w:p w14:paraId="628ED48C"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Assessments (N)</w:t>
            </w:r>
          </w:p>
        </w:tc>
        <w:tc>
          <w:tcPr>
            <w:tcW w:w="408" w:type="pct"/>
            <w:tcBorders>
              <w:top w:val="nil"/>
              <w:left w:val="nil"/>
              <w:bottom w:val="single" w:sz="4" w:space="0" w:color="auto"/>
              <w:right w:val="nil"/>
            </w:tcBorders>
            <w:shd w:val="clear" w:color="auto" w:fill="auto"/>
            <w:noWrap/>
            <w:vAlign w:val="bottom"/>
            <w:hideMark/>
          </w:tcPr>
          <w:p w14:paraId="1C7CE07E"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Total ($)</w:t>
            </w:r>
          </w:p>
        </w:tc>
      </w:tr>
      <w:tr w:rsidR="00E23A99" w:rsidRPr="00EF30C9" w14:paraId="68050F45" w14:textId="77777777" w:rsidTr="00FC0DFD">
        <w:trPr>
          <w:trHeight w:val="300"/>
        </w:trPr>
        <w:tc>
          <w:tcPr>
            <w:tcW w:w="903" w:type="pct"/>
            <w:tcBorders>
              <w:top w:val="nil"/>
              <w:left w:val="nil"/>
              <w:bottom w:val="nil"/>
              <w:right w:val="nil"/>
            </w:tcBorders>
            <w:shd w:val="clear" w:color="auto" w:fill="auto"/>
            <w:noWrap/>
            <w:vAlign w:val="bottom"/>
            <w:hideMark/>
          </w:tcPr>
          <w:p w14:paraId="58FEDD0B"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Baseline</w:t>
            </w:r>
          </w:p>
        </w:tc>
        <w:tc>
          <w:tcPr>
            <w:tcW w:w="624" w:type="pct"/>
            <w:tcBorders>
              <w:top w:val="nil"/>
              <w:left w:val="nil"/>
              <w:bottom w:val="nil"/>
              <w:right w:val="nil"/>
            </w:tcBorders>
            <w:shd w:val="clear" w:color="auto" w:fill="auto"/>
            <w:noWrap/>
            <w:vAlign w:val="bottom"/>
            <w:hideMark/>
          </w:tcPr>
          <w:p w14:paraId="4472E442"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38</w:t>
            </w:r>
          </w:p>
        </w:tc>
        <w:tc>
          <w:tcPr>
            <w:tcW w:w="521" w:type="pct"/>
            <w:tcBorders>
              <w:top w:val="nil"/>
              <w:left w:val="nil"/>
              <w:bottom w:val="nil"/>
              <w:right w:val="nil"/>
            </w:tcBorders>
            <w:shd w:val="clear" w:color="auto" w:fill="auto"/>
            <w:noWrap/>
            <w:vAlign w:val="bottom"/>
            <w:hideMark/>
          </w:tcPr>
          <w:p w14:paraId="06AB9C16"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15</w:t>
            </w:r>
          </w:p>
        </w:tc>
        <w:tc>
          <w:tcPr>
            <w:tcW w:w="686" w:type="pct"/>
            <w:tcBorders>
              <w:top w:val="nil"/>
              <w:left w:val="nil"/>
              <w:bottom w:val="nil"/>
              <w:right w:val="nil"/>
            </w:tcBorders>
            <w:shd w:val="clear" w:color="auto" w:fill="auto"/>
            <w:noWrap/>
            <w:vAlign w:val="bottom"/>
            <w:hideMark/>
          </w:tcPr>
          <w:p w14:paraId="008F9EE2"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112</w:t>
            </w:r>
          </w:p>
        </w:tc>
        <w:tc>
          <w:tcPr>
            <w:tcW w:w="479" w:type="pct"/>
            <w:tcBorders>
              <w:top w:val="nil"/>
              <w:left w:val="nil"/>
              <w:bottom w:val="nil"/>
              <w:right w:val="nil"/>
            </w:tcBorders>
            <w:shd w:val="clear" w:color="auto" w:fill="auto"/>
            <w:noWrap/>
            <w:vAlign w:val="bottom"/>
            <w:hideMark/>
          </w:tcPr>
          <w:p w14:paraId="20CF01FF" w14:textId="2912B65D" w:rsidR="00E23A99" w:rsidRPr="00EF30C9" w:rsidRDefault="00A85BF7" w:rsidP="003D538D">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E23A99" w:rsidRPr="00EF30C9">
              <w:rPr>
                <w:rFonts w:ascii="Arial" w:eastAsia="Times New Roman" w:hAnsi="Arial" w:cs="Arial"/>
                <w:color w:val="000000"/>
                <w:sz w:val="20"/>
                <w:szCs w:val="20"/>
                <w:lang w:eastAsia="en-AU"/>
              </w:rPr>
              <w:t xml:space="preserve"> 1,064 </w:t>
            </w:r>
          </w:p>
        </w:tc>
        <w:tc>
          <w:tcPr>
            <w:tcW w:w="139" w:type="pct"/>
            <w:tcBorders>
              <w:top w:val="nil"/>
              <w:left w:val="nil"/>
              <w:bottom w:val="nil"/>
              <w:right w:val="nil"/>
            </w:tcBorders>
            <w:shd w:val="clear" w:color="auto" w:fill="auto"/>
            <w:noWrap/>
            <w:vAlign w:val="bottom"/>
            <w:hideMark/>
          </w:tcPr>
          <w:p w14:paraId="408C4876"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p>
        </w:tc>
        <w:tc>
          <w:tcPr>
            <w:tcW w:w="554" w:type="pct"/>
            <w:tcBorders>
              <w:top w:val="nil"/>
              <w:left w:val="nil"/>
              <w:bottom w:val="nil"/>
              <w:right w:val="nil"/>
            </w:tcBorders>
            <w:shd w:val="clear" w:color="auto" w:fill="auto"/>
            <w:noWrap/>
            <w:vAlign w:val="bottom"/>
            <w:hideMark/>
          </w:tcPr>
          <w:p w14:paraId="60C4BE61"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20</w:t>
            </w:r>
          </w:p>
        </w:tc>
        <w:tc>
          <w:tcPr>
            <w:tcW w:w="686" w:type="pct"/>
            <w:tcBorders>
              <w:top w:val="nil"/>
              <w:left w:val="nil"/>
              <w:bottom w:val="nil"/>
              <w:right w:val="nil"/>
            </w:tcBorders>
            <w:shd w:val="clear" w:color="auto" w:fill="auto"/>
            <w:noWrap/>
            <w:vAlign w:val="bottom"/>
            <w:hideMark/>
          </w:tcPr>
          <w:p w14:paraId="76C879C9"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199</w:t>
            </w:r>
          </w:p>
        </w:tc>
        <w:tc>
          <w:tcPr>
            <w:tcW w:w="408" w:type="pct"/>
            <w:tcBorders>
              <w:top w:val="nil"/>
              <w:left w:val="nil"/>
              <w:bottom w:val="nil"/>
              <w:right w:val="nil"/>
            </w:tcBorders>
            <w:shd w:val="clear" w:color="auto" w:fill="auto"/>
            <w:noWrap/>
            <w:vAlign w:val="bottom"/>
            <w:hideMark/>
          </w:tcPr>
          <w:p w14:paraId="03F4F91A" w14:textId="42FF0DC3" w:rsidR="00E23A99" w:rsidRPr="00EF30C9" w:rsidRDefault="00A85BF7" w:rsidP="003D538D">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E23A99" w:rsidRPr="00EF30C9">
              <w:rPr>
                <w:rFonts w:ascii="Arial" w:eastAsia="Times New Roman" w:hAnsi="Arial" w:cs="Arial"/>
                <w:color w:val="000000"/>
                <w:sz w:val="20"/>
                <w:szCs w:val="20"/>
                <w:lang w:eastAsia="en-AU"/>
              </w:rPr>
              <w:t>2,521</w:t>
            </w:r>
          </w:p>
        </w:tc>
      </w:tr>
      <w:tr w:rsidR="00E23A99" w:rsidRPr="00EF30C9" w14:paraId="02D2D285" w14:textId="77777777" w:rsidTr="00FC0DFD">
        <w:trPr>
          <w:trHeight w:val="300"/>
        </w:trPr>
        <w:tc>
          <w:tcPr>
            <w:tcW w:w="903" w:type="pct"/>
            <w:tcBorders>
              <w:top w:val="nil"/>
              <w:left w:val="nil"/>
              <w:bottom w:val="nil"/>
              <w:right w:val="nil"/>
            </w:tcBorders>
            <w:shd w:val="clear" w:color="auto" w:fill="auto"/>
            <w:noWrap/>
            <w:vAlign w:val="bottom"/>
            <w:hideMark/>
          </w:tcPr>
          <w:p w14:paraId="2527A615"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6-months</w:t>
            </w:r>
          </w:p>
        </w:tc>
        <w:tc>
          <w:tcPr>
            <w:tcW w:w="624" w:type="pct"/>
            <w:tcBorders>
              <w:top w:val="nil"/>
              <w:left w:val="nil"/>
              <w:bottom w:val="nil"/>
              <w:right w:val="nil"/>
            </w:tcBorders>
            <w:shd w:val="clear" w:color="auto" w:fill="auto"/>
            <w:noWrap/>
            <w:vAlign w:val="bottom"/>
            <w:hideMark/>
          </w:tcPr>
          <w:p w14:paraId="7D1B2933"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38</w:t>
            </w:r>
          </w:p>
        </w:tc>
        <w:tc>
          <w:tcPr>
            <w:tcW w:w="521" w:type="pct"/>
            <w:tcBorders>
              <w:top w:val="nil"/>
              <w:left w:val="nil"/>
              <w:bottom w:val="nil"/>
              <w:right w:val="nil"/>
            </w:tcBorders>
            <w:shd w:val="clear" w:color="auto" w:fill="auto"/>
            <w:noWrap/>
            <w:vAlign w:val="bottom"/>
            <w:hideMark/>
          </w:tcPr>
          <w:p w14:paraId="160884DD"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15</w:t>
            </w:r>
          </w:p>
        </w:tc>
        <w:tc>
          <w:tcPr>
            <w:tcW w:w="686" w:type="pct"/>
            <w:tcBorders>
              <w:top w:val="nil"/>
              <w:left w:val="nil"/>
              <w:bottom w:val="nil"/>
              <w:right w:val="nil"/>
            </w:tcBorders>
            <w:shd w:val="clear" w:color="auto" w:fill="auto"/>
            <w:noWrap/>
            <w:vAlign w:val="bottom"/>
            <w:hideMark/>
          </w:tcPr>
          <w:p w14:paraId="5FDDC529"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34</w:t>
            </w:r>
          </w:p>
        </w:tc>
        <w:tc>
          <w:tcPr>
            <w:tcW w:w="479" w:type="pct"/>
            <w:tcBorders>
              <w:top w:val="nil"/>
              <w:left w:val="nil"/>
              <w:bottom w:val="nil"/>
              <w:right w:val="nil"/>
            </w:tcBorders>
            <w:shd w:val="clear" w:color="auto" w:fill="auto"/>
            <w:noWrap/>
            <w:vAlign w:val="bottom"/>
            <w:hideMark/>
          </w:tcPr>
          <w:p w14:paraId="59E19C8C" w14:textId="0EA99038" w:rsidR="00E23A99" w:rsidRPr="00EF30C9" w:rsidRDefault="00A85BF7" w:rsidP="003D538D">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E23A99" w:rsidRPr="00EF30C9">
              <w:rPr>
                <w:rFonts w:ascii="Arial" w:eastAsia="Times New Roman" w:hAnsi="Arial" w:cs="Arial"/>
                <w:color w:val="000000"/>
                <w:sz w:val="20"/>
                <w:szCs w:val="20"/>
                <w:lang w:eastAsia="en-AU"/>
              </w:rPr>
              <w:t xml:space="preserve">323 </w:t>
            </w:r>
          </w:p>
        </w:tc>
        <w:tc>
          <w:tcPr>
            <w:tcW w:w="139" w:type="pct"/>
            <w:tcBorders>
              <w:top w:val="nil"/>
              <w:left w:val="nil"/>
              <w:bottom w:val="nil"/>
              <w:right w:val="nil"/>
            </w:tcBorders>
            <w:shd w:val="clear" w:color="auto" w:fill="auto"/>
            <w:noWrap/>
            <w:vAlign w:val="bottom"/>
            <w:hideMark/>
          </w:tcPr>
          <w:p w14:paraId="3F3F7ADB"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p>
        </w:tc>
        <w:tc>
          <w:tcPr>
            <w:tcW w:w="554" w:type="pct"/>
            <w:tcBorders>
              <w:top w:val="nil"/>
              <w:left w:val="nil"/>
              <w:bottom w:val="nil"/>
              <w:right w:val="nil"/>
            </w:tcBorders>
            <w:shd w:val="clear" w:color="auto" w:fill="auto"/>
            <w:noWrap/>
            <w:vAlign w:val="bottom"/>
            <w:hideMark/>
          </w:tcPr>
          <w:p w14:paraId="0158EECA"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20</w:t>
            </w:r>
          </w:p>
        </w:tc>
        <w:tc>
          <w:tcPr>
            <w:tcW w:w="686" w:type="pct"/>
            <w:tcBorders>
              <w:top w:val="nil"/>
              <w:left w:val="nil"/>
              <w:bottom w:val="nil"/>
              <w:right w:val="nil"/>
            </w:tcBorders>
            <w:shd w:val="clear" w:color="auto" w:fill="auto"/>
            <w:noWrap/>
            <w:vAlign w:val="bottom"/>
            <w:hideMark/>
          </w:tcPr>
          <w:p w14:paraId="4BCD7CF2"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108</w:t>
            </w:r>
          </w:p>
        </w:tc>
        <w:tc>
          <w:tcPr>
            <w:tcW w:w="408" w:type="pct"/>
            <w:tcBorders>
              <w:top w:val="nil"/>
              <w:left w:val="nil"/>
              <w:bottom w:val="nil"/>
              <w:right w:val="nil"/>
            </w:tcBorders>
            <w:shd w:val="clear" w:color="auto" w:fill="auto"/>
            <w:noWrap/>
            <w:vAlign w:val="bottom"/>
            <w:hideMark/>
          </w:tcPr>
          <w:p w14:paraId="253F2749" w14:textId="35C2F430" w:rsidR="00E23A99" w:rsidRPr="00EF30C9" w:rsidRDefault="00A85BF7" w:rsidP="003D538D">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E23A99" w:rsidRPr="00EF30C9">
              <w:rPr>
                <w:rFonts w:ascii="Arial" w:eastAsia="Times New Roman" w:hAnsi="Arial" w:cs="Arial"/>
                <w:color w:val="000000"/>
                <w:sz w:val="20"/>
                <w:szCs w:val="20"/>
                <w:lang w:eastAsia="en-AU"/>
              </w:rPr>
              <w:t>1,368</w:t>
            </w:r>
          </w:p>
        </w:tc>
      </w:tr>
      <w:tr w:rsidR="00E23A99" w:rsidRPr="00EF30C9" w14:paraId="5147A21B" w14:textId="77777777" w:rsidTr="00FC0DFD">
        <w:trPr>
          <w:trHeight w:val="300"/>
        </w:trPr>
        <w:tc>
          <w:tcPr>
            <w:tcW w:w="903" w:type="pct"/>
            <w:tcBorders>
              <w:top w:val="nil"/>
              <w:left w:val="nil"/>
              <w:bottom w:val="nil"/>
              <w:right w:val="nil"/>
            </w:tcBorders>
            <w:shd w:val="clear" w:color="auto" w:fill="auto"/>
            <w:noWrap/>
            <w:vAlign w:val="bottom"/>
            <w:hideMark/>
          </w:tcPr>
          <w:p w14:paraId="6CE2F83A"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12-months</w:t>
            </w:r>
          </w:p>
        </w:tc>
        <w:tc>
          <w:tcPr>
            <w:tcW w:w="624" w:type="pct"/>
            <w:tcBorders>
              <w:top w:val="nil"/>
              <w:left w:val="nil"/>
              <w:bottom w:val="nil"/>
              <w:right w:val="nil"/>
            </w:tcBorders>
            <w:shd w:val="clear" w:color="auto" w:fill="auto"/>
            <w:noWrap/>
            <w:vAlign w:val="bottom"/>
            <w:hideMark/>
          </w:tcPr>
          <w:p w14:paraId="5A59C6F3"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38</w:t>
            </w:r>
          </w:p>
        </w:tc>
        <w:tc>
          <w:tcPr>
            <w:tcW w:w="521" w:type="pct"/>
            <w:tcBorders>
              <w:top w:val="nil"/>
              <w:left w:val="nil"/>
              <w:bottom w:val="nil"/>
              <w:right w:val="nil"/>
            </w:tcBorders>
            <w:shd w:val="clear" w:color="auto" w:fill="auto"/>
            <w:noWrap/>
            <w:vAlign w:val="bottom"/>
            <w:hideMark/>
          </w:tcPr>
          <w:p w14:paraId="41324F30"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15</w:t>
            </w:r>
          </w:p>
        </w:tc>
        <w:tc>
          <w:tcPr>
            <w:tcW w:w="686" w:type="pct"/>
            <w:tcBorders>
              <w:top w:val="nil"/>
              <w:left w:val="nil"/>
              <w:bottom w:val="nil"/>
              <w:right w:val="nil"/>
            </w:tcBorders>
            <w:shd w:val="clear" w:color="auto" w:fill="auto"/>
            <w:noWrap/>
            <w:vAlign w:val="bottom"/>
            <w:hideMark/>
          </w:tcPr>
          <w:p w14:paraId="4214C864"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67</w:t>
            </w:r>
          </w:p>
        </w:tc>
        <w:tc>
          <w:tcPr>
            <w:tcW w:w="479" w:type="pct"/>
            <w:tcBorders>
              <w:top w:val="nil"/>
              <w:left w:val="nil"/>
              <w:bottom w:val="nil"/>
              <w:right w:val="nil"/>
            </w:tcBorders>
            <w:shd w:val="clear" w:color="auto" w:fill="auto"/>
            <w:noWrap/>
            <w:vAlign w:val="bottom"/>
            <w:hideMark/>
          </w:tcPr>
          <w:p w14:paraId="32588A02" w14:textId="3C868D2C" w:rsidR="00E23A99" w:rsidRPr="00EF30C9" w:rsidRDefault="00A85BF7" w:rsidP="003D538D">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E23A99" w:rsidRPr="00EF30C9">
              <w:rPr>
                <w:rFonts w:ascii="Arial" w:eastAsia="Times New Roman" w:hAnsi="Arial" w:cs="Arial"/>
                <w:color w:val="000000"/>
                <w:sz w:val="20"/>
                <w:szCs w:val="20"/>
                <w:lang w:eastAsia="en-AU"/>
              </w:rPr>
              <w:t xml:space="preserve">636.50 </w:t>
            </w:r>
          </w:p>
        </w:tc>
        <w:tc>
          <w:tcPr>
            <w:tcW w:w="139" w:type="pct"/>
            <w:tcBorders>
              <w:top w:val="nil"/>
              <w:left w:val="nil"/>
              <w:bottom w:val="nil"/>
              <w:right w:val="nil"/>
            </w:tcBorders>
            <w:shd w:val="clear" w:color="auto" w:fill="auto"/>
            <w:noWrap/>
            <w:vAlign w:val="bottom"/>
            <w:hideMark/>
          </w:tcPr>
          <w:p w14:paraId="09B334DD"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p>
        </w:tc>
        <w:tc>
          <w:tcPr>
            <w:tcW w:w="554" w:type="pct"/>
            <w:tcBorders>
              <w:top w:val="nil"/>
              <w:left w:val="nil"/>
              <w:bottom w:val="nil"/>
              <w:right w:val="nil"/>
            </w:tcBorders>
            <w:shd w:val="clear" w:color="auto" w:fill="auto"/>
            <w:noWrap/>
            <w:vAlign w:val="bottom"/>
            <w:hideMark/>
          </w:tcPr>
          <w:p w14:paraId="3AFFB65C"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20</w:t>
            </w:r>
          </w:p>
        </w:tc>
        <w:tc>
          <w:tcPr>
            <w:tcW w:w="686" w:type="pct"/>
            <w:tcBorders>
              <w:top w:val="nil"/>
              <w:left w:val="nil"/>
              <w:bottom w:val="nil"/>
              <w:right w:val="nil"/>
            </w:tcBorders>
            <w:shd w:val="clear" w:color="auto" w:fill="auto"/>
            <w:noWrap/>
            <w:vAlign w:val="bottom"/>
            <w:hideMark/>
          </w:tcPr>
          <w:p w14:paraId="7F03CA79"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110</w:t>
            </w:r>
          </w:p>
        </w:tc>
        <w:tc>
          <w:tcPr>
            <w:tcW w:w="408" w:type="pct"/>
            <w:tcBorders>
              <w:top w:val="nil"/>
              <w:left w:val="nil"/>
              <w:bottom w:val="nil"/>
              <w:right w:val="nil"/>
            </w:tcBorders>
            <w:shd w:val="clear" w:color="auto" w:fill="auto"/>
            <w:noWrap/>
            <w:vAlign w:val="bottom"/>
            <w:hideMark/>
          </w:tcPr>
          <w:p w14:paraId="4F7B891B" w14:textId="61788111" w:rsidR="00E23A99" w:rsidRPr="00EF30C9" w:rsidRDefault="00A85BF7" w:rsidP="003D538D">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E23A99" w:rsidRPr="00EF30C9">
              <w:rPr>
                <w:rFonts w:ascii="Arial" w:eastAsia="Times New Roman" w:hAnsi="Arial" w:cs="Arial"/>
                <w:color w:val="000000"/>
                <w:sz w:val="20"/>
                <w:szCs w:val="20"/>
                <w:lang w:eastAsia="en-AU"/>
              </w:rPr>
              <w:t>1,393</w:t>
            </w:r>
          </w:p>
        </w:tc>
      </w:tr>
      <w:tr w:rsidR="00E23A99" w:rsidRPr="00EF30C9" w14:paraId="1E430C02" w14:textId="77777777" w:rsidTr="00FC0DFD">
        <w:trPr>
          <w:trHeight w:val="300"/>
        </w:trPr>
        <w:tc>
          <w:tcPr>
            <w:tcW w:w="903" w:type="pct"/>
            <w:tcBorders>
              <w:top w:val="nil"/>
              <w:left w:val="nil"/>
              <w:bottom w:val="single" w:sz="4" w:space="0" w:color="auto"/>
              <w:right w:val="nil"/>
            </w:tcBorders>
            <w:shd w:val="clear" w:color="auto" w:fill="auto"/>
            <w:noWrap/>
            <w:vAlign w:val="bottom"/>
            <w:hideMark/>
          </w:tcPr>
          <w:p w14:paraId="4422C2B8"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Total intervention cost</w:t>
            </w:r>
          </w:p>
        </w:tc>
        <w:tc>
          <w:tcPr>
            <w:tcW w:w="624" w:type="pct"/>
            <w:tcBorders>
              <w:top w:val="nil"/>
              <w:left w:val="nil"/>
              <w:bottom w:val="single" w:sz="4" w:space="0" w:color="auto"/>
              <w:right w:val="nil"/>
            </w:tcBorders>
            <w:shd w:val="clear" w:color="auto" w:fill="auto"/>
            <w:noWrap/>
            <w:vAlign w:val="bottom"/>
            <w:hideMark/>
          </w:tcPr>
          <w:p w14:paraId="0494EFAE"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w:t>
            </w:r>
          </w:p>
        </w:tc>
        <w:tc>
          <w:tcPr>
            <w:tcW w:w="521" w:type="pct"/>
            <w:tcBorders>
              <w:top w:val="nil"/>
              <w:left w:val="nil"/>
              <w:bottom w:val="single" w:sz="4" w:space="0" w:color="auto"/>
              <w:right w:val="nil"/>
            </w:tcBorders>
            <w:shd w:val="clear" w:color="auto" w:fill="auto"/>
            <w:noWrap/>
            <w:vAlign w:val="bottom"/>
            <w:hideMark/>
          </w:tcPr>
          <w:p w14:paraId="60BB89BA"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w:t>
            </w:r>
          </w:p>
        </w:tc>
        <w:tc>
          <w:tcPr>
            <w:tcW w:w="686" w:type="pct"/>
            <w:tcBorders>
              <w:top w:val="nil"/>
              <w:left w:val="nil"/>
              <w:bottom w:val="single" w:sz="4" w:space="0" w:color="auto"/>
              <w:right w:val="nil"/>
            </w:tcBorders>
            <w:shd w:val="clear" w:color="auto" w:fill="auto"/>
            <w:noWrap/>
            <w:vAlign w:val="bottom"/>
            <w:hideMark/>
          </w:tcPr>
          <w:p w14:paraId="159F8229"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w:t>
            </w:r>
          </w:p>
        </w:tc>
        <w:tc>
          <w:tcPr>
            <w:tcW w:w="479" w:type="pct"/>
            <w:tcBorders>
              <w:top w:val="nil"/>
              <w:left w:val="nil"/>
              <w:bottom w:val="single" w:sz="4" w:space="0" w:color="auto"/>
              <w:right w:val="nil"/>
            </w:tcBorders>
            <w:shd w:val="clear" w:color="auto" w:fill="auto"/>
            <w:noWrap/>
            <w:vAlign w:val="bottom"/>
            <w:hideMark/>
          </w:tcPr>
          <w:p w14:paraId="23510D5A" w14:textId="77FCB29A" w:rsidR="00E23A99" w:rsidRPr="00EF30C9" w:rsidRDefault="00A85BF7" w:rsidP="003D538D">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E23A99" w:rsidRPr="00EF30C9">
              <w:rPr>
                <w:rFonts w:ascii="Arial" w:eastAsia="Times New Roman" w:hAnsi="Arial" w:cs="Arial"/>
                <w:color w:val="000000"/>
                <w:sz w:val="20"/>
                <w:szCs w:val="20"/>
                <w:lang w:eastAsia="en-AU"/>
              </w:rPr>
              <w:t xml:space="preserve"> 2,024 </w:t>
            </w:r>
          </w:p>
        </w:tc>
        <w:tc>
          <w:tcPr>
            <w:tcW w:w="139" w:type="pct"/>
            <w:tcBorders>
              <w:top w:val="nil"/>
              <w:left w:val="nil"/>
              <w:bottom w:val="single" w:sz="4" w:space="0" w:color="auto"/>
              <w:right w:val="nil"/>
            </w:tcBorders>
            <w:shd w:val="clear" w:color="auto" w:fill="auto"/>
            <w:noWrap/>
            <w:vAlign w:val="bottom"/>
            <w:hideMark/>
          </w:tcPr>
          <w:p w14:paraId="777A00D8" w14:textId="77777777" w:rsidR="00E23A99" w:rsidRPr="00EF30C9" w:rsidRDefault="00E23A99" w:rsidP="002F3448">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w:t>
            </w:r>
          </w:p>
        </w:tc>
        <w:tc>
          <w:tcPr>
            <w:tcW w:w="554" w:type="pct"/>
            <w:tcBorders>
              <w:top w:val="nil"/>
              <w:left w:val="nil"/>
              <w:bottom w:val="single" w:sz="4" w:space="0" w:color="auto"/>
              <w:right w:val="nil"/>
            </w:tcBorders>
            <w:shd w:val="clear" w:color="auto" w:fill="auto"/>
            <w:noWrap/>
            <w:vAlign w:val="bottom"/>
            <w:hideMark/>
          </w:tcPr>
          <w:p w14:paraId="1E7F65CB"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w:t>
            </w:r>
          </w:p>
        </w:tc>
        <w:tc>
          <w:tcPr>
            <w:tcW w:w="686" w:type="pct"/>
            <w:tcBorders>
              <w:top w:val="nil"/>
              <w:left w:val="nil"/>
              <w:bottom w:val="single" w:sz="4" w:space="0" w:color="auto"/>
              <w:right w:val="nil"/>
            </w:tcBorders>
            <w:shd w:val="clear" w:color="auto" w:fill="auto"/>
            <w:noWrap/>
            <w:vAlign w:val="bottom"/>
            <w:hideMark/>
          </w:tcPr>
          <w:p w14:paraId="1870D206" w14:textId="77777777" w:rsidR="00E23A99" w:rsidRPr="00EF30C9" w:rsidRDefault="00E23A99" w:rsidP="003D538D">
            <w:pPr>
              <w:spacing w:before="0" w:after="0" w:line="240" w:lineRule="auto"/>
              <w:rPr>
                <w:rFonts w:ascii="Arial" w:eastAsia="Times New Roman" w:hAnsi="Arial" w:cs="Arial"/>
                <w:color w:val="000000"/>
                <w:sz w:val="20"/>
                <w:szCs w:val="20"/>
                <w:lang w:eastAsia="en-AU"/>
              </w:rPr>
            </w:pPr>
            <w:r w:rsidRPr="00EF30C9">
              <w:rPr>
                <w:rFonts w:ascii="Arial" w:eastAsia="Times New Roman" w:hAnsi="Arial" w:cs="Arial"/>
                <w:color w:val="000000"/>
                <w:sz w:val="20"/>
                <w:szCs w:val="20"/>
                <w:lang w:eastAsia="en-AU"/>
              </w:rPr>
              <w:t> </w:t>
            </w:r>
          </w:p>
        </w:tc>
        <w:tc>
          <w:tcPr>
            <w:tcW w:w="408" w:type="pct"/>
            <w:tcBorders>
              <w:top w:val="nil"/>
              <w:left w:val="nil"/>
              <w:bottom w:val="single" w:sz="4" w:space="0" w:color="auto"/>
              <w:right w:val="nil"/>
            </w:tcBorders>
            <w:shd w:val="clear" w:color="auto" w:fill="auto"/>
            <w:noWrap/>
            <w:vAlign w:val="bottom"/>
            <w:hideMark/>
          </w:tcPr>
          <w:p w14:paraId="3B35E947" w14:textId="65874315" w:rsidR="00E23A99" w:rsidRPr="00EF30C9" w:rsidRDefault="00A85BF7" w:rsidP="003D538D">
            <w:pPr>
              <w:spacing w:before="0"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00E23A99" w:rsidRPr="00EF30C9">
              <w:rPr>
                <w:rFonts w:ascii="Arial" w:eastAsia="Times New Roman" w:hAnsi="Arial" w:cs="Arial"/>
                <w:color w:val="000000"/>
                <w:sz w:val="20"/>
                <w:szCs w:val="20"/>
                <w:lang w:eastAsia="en-AU"/>
              </w:rPr>
              <w:t>5,282</w:t>
            </w:r>
          </w:p>
        </w:tc>
      </w:tr>
    </w:tbl>
    <w:p w14:paraId="200ADB88" w14:textId="78C47FAC" w:rsidR="00E23A99" w:rsidRPr="00EF30C9" w:rsidRDefault="00E23A99" w:rsidP="0093246E">
      <w:pPr>
        <w:spacing w:before="160" w:line="240" w:lineRule="auto"/>
        <w:rPr>
          <w:rFonts w:ascii="Arial" w:hAnsi="Arial" w:cs="Arial"/>
        </w:rPr>
      </w:pPr>
      <w:r w:rsidRPr="00EF30C9">
        <w:rPr>
          <w:rFonts w:ascii="Arial" w:hAnsi="Arial" w:cs="Arial"/>
        </w:rPr>
        <w:t xml:space="preserve">As we did not conduct a full cost-utility analysis for this project given the reasons outlined earlier, we are unable to conduct any typical and comprehensive sensitivity analysis as the types usually conducted in cost-utility analysis studies e.g., probabilistic sensitivity analysis. Also, we have reported the QALYs data alongside their standard errors (in Table </w:t>
      </w:r>
      <w:r w:rsidR="00767E6B">
        <w:rPr>
          <w:rFonts w:ascii="Arial" w:hAnsi="Arial" w:cs="Arial"/>
        </w:rPr>
        <w:t>19</w:t>
      </w:r>
      <w:r w:rsidRPr="00EF30C9">
        <w:rPr>
          <w:rFonts w:ascii="Arial" w:hAnsi="Arial" w:cs="Arial"/>
        </w:rPr>
        <w:t xml:space="preserve">) and alongside their 95% confidence intervals (95% CI) in Table </w:t>
      </w:r>
      <w:r w:rsidR="00767E6B">
        <w:rPr>
          <w:rFonts w:ascii="Arial" w:hAnsi="Arial" w:cs="Arial"/>
        </w:rPr>
        <w:t>21</w:t>
      </w:r>
      <w:r w:rsidRPr="00EF30C9">
        <w:rPr>
          <w:rFonts w:ascii="Arial" w:hAnsi="Arial" w:cs="Arial"/>
        </w:rPr>
        <w:t>.</w:t>
      </w:r>
    </w:p>
    <w:p w14:paraId="5B94B185" w14:textId="7735DFCB" w:rsidR="00E23A99" w:rsidRPr="00015B49" w:rsidRDefault="00E23A99" w:rsidP="0093246E">
      <w:pPr>
        <w:pStyle w:val="Heading3"/>
        <w:spacing w:before="160" w:after="160"/>
        <w:rPr>
          <w:rFonts w:ascii="Arial Narrow" w:hAnsi="Arial Narrow"/>
          <w:b/>
          <w:bCs/>
          <w:sz w:val="20"/>
          <w:szCs w:val="20"/>
        </w:rPr>
      </w:pPr>
      <w:bookmarkStart w:id="77" w:name="_Toc137535783"/>
      <w:r w:rsidRPr="00015B49">
        <w:rPr>
          <w:rFonts w:ascii="Arial Narrow" w:hAnsi="Arial Narrow"/>
          <w:b/>
          <w:bCs/>
          <w:sz w:val="20"/>
          <w:szCs w:val="20"/>
        </w:rPr>
        <w:t xml:space="preserve">Table </w:t>
      </w:r>
      <w:r w:rsidR="00767E6B" w:rsidRPr="00015B49">
        <w:rPr>
          <w:rFonts w:ascii="Arial Narrow" w:hAnsi="Arial Narrow"/>
          <w:b/>
          <w:bCs/>
          <w:sz w:val="20"/>
          <w:szCs w:val="20"/>
        </w:rPr>
        <w:t>21:</w:t>
      </w:r>
      <w:r w:rsidRPr="00015B49">
        <w:rPr>
          <w:rFonts w:ascii="Arial Narrow" w:hAnsi="Arial Narrow"/>
          <w:b/>
          <w:bCs/>
          <w:sz w:val="20"/>
          <w:szCs w:val="20"/>
        </w:rPr>
        <w:t xml:space="preserve"> Quality Adjusted Life Years (QALYs) [95% CI) for the brief and comprehensive intervention arms</w:t>
      </w:r>
      <w:bookmarkEnd w:id="77"/>
    </w:p>
    <w:tbl>
      <w:tblPr>
        <w:tblStyle w:val="TableGrid"/>
        <w:tblW w:w="5000" w:type="pct"/>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700"/>
        <w:gridCol w:w="1843"/>
        <w:gridCol w:w="1733"/>
        <w:gridCol w:w="1339"/>
      </w:tblGrid>
      <w:tr w:rsidR="00E23A99" w:rsidRPr="00EF30C9" w14:paraId="22F595A2" w14:textId="77777777" w:rsidTr="00FC0DFD">
        <w:tc>
          <w:tcPr>
            <w:tcW w:w="1335" w:type="pct"/>
            <w:tcBorders>
              <w:top w:val="single" w:sz="4" w:space="0" w:color="000000" w:themeColor="text1"/>
            </w:tcBorders>
            <w:vAlign w:val="center"/>
          </w:tcPr>
          <w:p w14:paraId="726B0F3C" w14:textId="77777777" w:rsidR="00E23A99" w:rsidRPr="00EF30C9" w:rsidRDefault="00E23A99" w:rsidP="002F3448">
            <w:pPr>
              <w:spacing w:before="0"/>
              <w:rPr>
                <w:rFonts w:ascii="Arial" w:eastAsia="Times New Roman" w:hAnsi="Arial" w:cs="Arial"/>
                <w:sz w:val="20"/>
                <w:szCs w:val="20"/>
              </w:rPr>
            </w:pPr>
            <w:r w:rsidRPr="00EF30C9">
              <w:rPr>
                <w:rFonts w:ascii="Arial" w:eastAsia="Times New Roman" w:hAnsi="Arial" w:cs="Arial"/>
                <w:b/>
                <w:sz w:val="20"/>
                <w:szCs w:val="20"/>
              </w:rPr>
              <w:t xml:space="preserve"> </w:t>
            </w:r>
          </w:p>
        </w:tc>
        <w:tc>
          <w:tcPr>
            <w:tcW w:w="942" w:type="pct"/>
            <w:tcBorders>
              <w:top w:val="single" w:sz="4" w:space="0" w:color="000000" w:themeColor="text1"/>
            </w:tcBorders>
            <w:vAlign w:val="center"/>
          </w:tcPr>
          <w:p w14:paraId="10345B6C"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b/>
                <w:sz w:val="20"/>
                <w:szCs w:val="20"/>
              </w:rPr>
              <w:t>Total</w:t>
            </w:r>
          </w:p>
        </w:tc>
        <w:tc>
          <w:tcPr>
            <w:tcW w:w="1021" w:type="pct"/>
            <w:tcBorders>
              <w:top w:val="single" w:sz="4" w:space="0" w:color="000000" w:themeColor="text1"/>
            </w:tcBorders>
            <w:vAlign w:val="center"/>
          </w:tcPr>
          <w:p w14:paraId="43A403FE"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b/>
                <w:sz w:val="20"/>
                <w:szCs w:val="20"/>
              </w:rPr>
              <w:t>Brief (1)</w:t>
            </w:r>
          </w:p>
        </w:tc>
        <w:tc>
          <w:tcPr>
            <w:tcW w:w="960" w:type="pct"/>
            <w:tcBorders>
              <w:top w:val="single" w:sz="4" w:space="0" w:color="000000" w:themeColor="text1"/>
            </w:tcBorders>
            <w:vAlign w:val="center"/>
          </w:tcPr>
          <w:p w14:paraId="063A053D"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b/>
                <w:sz w:val="20"/>
                <w:szCs w:val="20"/>
              </w:rPr>
              <w:t>Comprehensive (2)</w:t>
            </w:r>
          </w:p>
        </w:tc>
        <w:tc>
          <w:tcPr>
            <w:tcW w:w="742" w:type="pct"/>
            <w:tcBorders>
              <w:top w:val="single" w:sz="4" w:space="0" w:color="000000" w:themeColor="text1"/>
            </w:tcBorders>
          </w:tcPr>
          <w:p w14:paraId="7AE7A017" w14:textId="77777777" w:rsidR="00E23A99" w:rsidRPr="00EF30C9" w:rsidRDefault="00E23A99" w:rsidP="002F3448">
            <w:pPr>
              <w:spacing w:before="0"/>
              <w:rPr>
                <w:rFonts w:ascii="Arial" w:eastAsia="Times New Roman" w:hAnsi="Arial" w:cs="Arial"/>
                <w:b/>
                <w:sz w:val="20"/>
                <w:szCs w:val="20"/>
              </w:rPr>
            </w:pPr>
            <w:r w:rsidRPr="00EF30C9">
              <w:rPr>
                <w:rFonts w:ascii="Arial" w:eastAsia="Times New Roman" w:hAnsi="Arial" w:cs="Arial"/>
                <w:b/>
                <w:sz w:val="20"/>
                <w:szCs w:val="20"/>
              </w:rPr>
              <w:t>Incremental QALYs (1)-(2)</w:t>
            </w:r>
          </w:p>
        </w:tc>
      </w:tr>
      <w:tr w:rsidR="00E23A99" w:rsidRPr="00EF30C9" w14:paraId="6B804E8A" w14:textId="77777777" w:rsidTr="00FC0DFD">
        <w:tc>
          <w:tcPr>
            <w:tcW w:w="1335" w:type="pct"/>
            <w:tcBorders>
              <w:bottom w:val="single" w:sz="6" w:space="0" w:color="000000"/>
            </w:tcBorders>
            <w:vAlign w:val="center"/>
          </w:tcPr>
          <w:p w14:paraId="427A2452" w14:textId="77777777" w:rsidR="00E23A99" w:rsidRPr="00EF30C9" w:rsidRDefault="00E23A99" w:rsidP="002F3448">
            <w:pPr>
              <w:spacing w:before="0"/>
              <w:rPr>
                <w:rFonts w:ascii="Arial" w:eastAsia="Times New Roman" w:hAnsi="Arial" w:cs="Arial"/>
                <w:sz w:val="20"/>
                <w:szCs w:val="20"/>
              </w:rPr>
            </w:pPr>
          </w:p>
        </w:tc>
        <w:tc>
          <w:tcPr>
            <w:tcW w:w="942" w:type="pct"/>
            <w:tcBorders>
              <w:bottom w:val="single" w:sz="6" w:space="0" w:color="000000"/>
            </w:tcBorders>
            <w:vAlign w:val="center"/>
          </w:tcPr>
          <w:p w14:paraId="62D027AB"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b/>
                <w:sz w:val="20"/>
                <w:szCs w:val="20"/>
              </w:rPr>
              <w:t>N=311</w:t>
            </w:r>
          </w:p>
        </w:tc>
        <w:tc>
          <w:tcPr>
            <w:tcW w:w="1021" w:type="pct"/>
            <w:tcBorders>
              <w:bottom w:val="single" w:sz="6" w:space="0" w:color="000000"/>
            </w:tcBorders>
            <w:vAlign w:val="center"/>
          </w:tcPr>
          <w:p w14:paraId="668EA8B4"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b/>
                <w:sz w:val="20"/>
                <w:szCs w:val="20"/>
              </w:rPr>
              <w:t>N=112</w:t>
            </w:r>
          </w:p>
        </w:tc>
        <w:tc>
          <w:tcPr>
            <w:tcW w:w="960" w:type="pct"/>
            <w:tcBorders>
              <w:bottom w:val="single" w:sz="6" w:space="0" w:color="000000"/>
            </w:tcBorders>
            <w:vAlign w:val="center"/>
          </w:tcPr>
          <w:p w14:paraId="09EAFC94"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b/>
                <w:sz w:val="20"/>
                <w:szCs w:val="20"/>
              </w:rPr>
              <w:t>N=199</w:t>
            </w:r>
          </w:p>
        </w:tc>
        <w:tc>
          <w:tcPr>
            <w:tcW w:w="742" w:type="pct"/>
            <w:tcBorders>
              <w:bottom w:val="single" w:sz="6" w:space="0" w:color="000000"/>
            </w:tcBorders>
          </w:tcPr>
          <w:p w14:paraId="16E85E8F" w14:textId="77777777" w:rsidR="00E23A99" w:rsidRPr="00EF30C9" w:rsidRDefault="00E23A99" w:rsidP="002F3448">
            <w:pPr>
              <w:spacing w:before="0"/>
              <w:rPr>
                <w:rFonts w:ascii="Arial" w:eastAsia="Times New Roman" w:hAnsi="Arial" w:cs="Arial"/>
                <w:sz w:val="20"/>
                <w:szCs w:val="20"/>
              </w:rPr>
            </w:pPr>
          </w:p>
        </w:tc>
      </w:tr>
      <w:tr w:rsidR="00E23A99" w:rsidRPr="00EF30C9" w14:paraId="1057B7F0" w14:textId="77777777" w:rsidTr="00FC0DFD">
        <w:tc>
          <w:tcPr>
            <w:tcW w:w="1335" w:type="pct"/>
            <w:tcBorders>
              <w:top w:val="single" w:sz="6" w:space="0" w:color="000000"/>
            </w:tcBorders>
            <w:vAlign w:val="center"/>
          </w:tcPr>
          <w:p w14:paraId="345205FC" w14:textId="77777777" w:rsidR="00E23A99" w:rsidRPr="00EF30C9" w:rsidRDefault="00E23A99" w:rsidP="002F3448">
            <w:pPr>
              <w:spacing w:before="0"/>
              <w:rPr>
                <w:rFonts w:ascii="Arial" w:eastAsia="Times New Roman" w:hAnsi="Arial" w:cs="Arial"/>
                <w:sz w:val="20"/>
                <w:szCs w:val="20"/>
              </w:rPr>
            </w:pPr>
            <w:r w:rsidRPr="00EF30C9">
              <w:rPr>
                <w:rFonts w:ascii="Arial" w:eastAsia="Times New Roman" w:hAnsi="Arial" w:cs="Arial"/>
                <w:sz w:val="20"/>
                <w:szCs w:val="20"/>
              </w:rPr>
              <w:t>QALYs (at 6 month)</w:t>
            </w:r>
          </w:p>
        </w:tc>
        <w:tc>
          <w:tcPr>
            <w:tcW w:w="942" w:type="pct"/>
            <w:tcBorders>
              <w:top w:val="single" w:sz="6" w:space="0" w:color="000000"/>
            </w:tcBorders>
            <w:vAlign w:val="center"/>
          </w:tcPr>
          <w:p w14:paraId="49BC6625"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0.35 [0.34-0.37]</w:t>
            </w:r>
          </w:p>
        </w:tc>
        <w:tc>
          <w:tcPr>
            <w:tcW w:w="1021" w:type="pct"/>
            <w:tcBorders>
              <w:top w:val="single" w:sz="6" w:space="0" w:color="000000"/>
            </w:tcBorders>
            <w:vAlign w:val="center"/>
          </w:tcPr>
          <w:p w14:paraId="5BA76BDC"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0.36 [0.34-0.39]</w:t>
            </w:r>
          </w:p>
        </w:tc>
        <w:tc>
          <w:tcPr>
            <w:tcW w:w="960" w:type="pct"/>
            <w:tcBorders>
              <w:top w:val="single" w:sz="6" w:space="0" w:color="000000"/>
            </w:tcBorders>
            <w:vAlign w:val="center"/>
          </w:tcPr>
          <w:p w14:paraId="40E1CFA2"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0.35 [0.33-0.37]</w:t>
            </w:r>
          </w:p>
        </w:tc>
        <w:tc>
          <w:tcPr>
            <w:tcW w:w="742" w:type="pct"/>
            <w:tcBorders>
              <w:top w:val="single" w:sz="6" w:space="0" w:color="000000"/>
            </w:tcBorders>
          </w:tcPr>
          <w:p w14:paraId="31E7453B" w14:textId="77777777" w:rsidR="00E23A99" w:rsidRPr="00EF30C9" w:rsidRDefault="00E23A99" w:rsidP="002F3448">
            <w:pPr>
              <w:spacing w:before="0"/>
              <w:rPr>
                <w:rFonts w:ascii="Arial" w:eastAsia="Times New Roman" w:hAnsi="Arial" w:cs="Arial"/>
                <w:sz w:val="20"/>
                <w:szCs w:val="20"/>
              </w:rPr>
            </w:pPr>
            <w:r w:rsidRPr="00EF30C9">
              <w:rPr>
                <w:rFonts w:ascii="Arial" w:eastAsia="Times New Roman" w:hAnsi="Arial" w:cs="Arial"/>
                <w:sz w:val="20"/>
                <w:szCs w:val="20"/>
              </w:rPr>
              <w:t>-0.01</w:t>
            </w:r>
          </w:p>
        </w:tc>
      </w:tr>
      <w:tr w:rsidR="00E23A99" w:rsidRPr="00EF30C9" w14:paraId="6F6C4BC4" w14:textId="77777777" w:rsidTr="00FC0DFD">
        <w:tc>
          <w:tcPr>
            <w:tcW w:w="1335" w:type="pct"/>
            <w:vAlign w:val="center"/>
          </w:tcPr>
          <w:p w14:paraId="10381AF4" w14:textId="77777777" w:rsidR="00E23A99" w:rsidRPr="00EF30C9" w:rsidRDefault="00E23A99" w:rsidP="002F3448">
            <w:pPr>
              <w:spacing w:before="0"/>
              <w:rPr>
                <w:rFonts w:ascii="Arial" w:eastAsia="Times New Roman" w:hAnsi="Arial" w:cs="Arial"/>
                <w:sz w:val="20"/>
                <w:szCs w:val="20"/>
              </w:rPr>
            </w:pPr>
            <w:r w:rsidRPr="00EF30C9">
              <w:rPr>
                <w:rFonts w:ascii="Arial" w:eastAsia="Times New Roman" w:hAnsi="Arial" w:cs="Arial"/>
                <w:sz w:val="20"/>
                <w:szCs w:val="20"/>
              </w:rPr>
              <w:t>QALYs (12 months)</w:t>
            </w:r>
          </w:p>
        </w:tc>
        <w:tc>
          <w:tcPr>
            <w:tcW w:w="942" w:type="pct"/>
            <w:vAlign w:val="center"/>
          </w:tcPr>
          <w:p w14:paraId="536EAEEC"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0.34 [0.33-0.36]</w:t>
            </w:r>
          </w:p>
        </w:tc>
        <w:tc>
          <w:tcPr>
            <w:tcW w:w="1021" w:type="pct"/>
            <w:vAlign w:val="center"/>
          </w:tcPr>
          <w:p w14:paraId="58397AFC"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0.35 [0.32-0.38]</w:t>
            </w:r>
          </w:p>
        </w:tc>
        <w:tc>
          <w:tcPr>
            <w:tcW w:w="960" w:type="pct"/>
            <w:vAlign w:val="center"/>
          </w:tcPr>
          <w:p w14:paraId="302FFAED"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0.34 [0.32-0.36]</w:t>
            </w:r>
          </w:p>
        </w:tc>
        <w:tc>
          <w:tcPr>
            <w:tcW w:w="742" w:type="pct"/>
          </w:tcPr>
          <w:p w14:paraId="3BBA26B9" w14:textId="77777777" w:rsidR="00E23A99" w:rsidRPr="00EF30C9" w:rsidRDefault="00E23A99" w:rsidP="002F3448">
            <w:pPr>
              <w:spacing w:before="0"/>
              <w:rPr>
                <w:rFonts w:ascii="Arial" w:eastAsia="Times New Roman" w:hAnsi="Arial" w:cs="Arial"/>
                <w:sz w:val="20"/>
                <w:szCs w:val="20"/>
              </w:rPr>
            </w:pPr>
            <w:r w:rsidRPr="00EF30C9">
              <w:rPr>
                <w:rFonts w:ascii="Arial" w:eastAsia="Times New Roman" w:hAnsi="Arial" w:cs="Arial"/>
                <w:sz w:val="20"/>
                <w:szCs w:val="20"/>
              </w:rPr>
              <w:t>-0.01</w:t>
            </w:r>
          </w:p>
        </w:tc>
      </w:tr>
      <w:tr w:rsidR="00E23A99" w:rsidRPr="00EF30C9" w14:paraId="19BAC54B" w14:textId="77777777" w:rsidTr="00FC0DFD">
        <w:tc>
          <w:tcPr>
            <w:tcW w:w="1335" w:type="pct"/>
            <w:vAlign w:val="center"/>
          </w:tcPr>
          <w:p w14:paraId="28A37FC3" w14:textId="77777777" w:rsidR="00E23A99" w:rsidRPr="00EF30C9" w:rsidRDefault="00E23A99" w:rsidP="002F3448">
            <w:pPr>
              <w:spacing w:before="0"/>
              <w:rPr>
                <w:rFonts w:ascii="Arial" w:eastAsia="Times New Roman" w:hAnsi="Arial" w:cs="Arial"/>
                <w:sz w:val="20"/>
                <w:szCs w:val="20"/>
              </w:rPr>
            </w:pPr>
            <w:r w:rsidRPr="00EF30C9">
              <w:rPr>
                <w:rFonts w:ascii="Arial" w:eastAsia="Times New Roman" w:hAnsi="Arial" w:cs="Arial"/>
                <w:sz w:val="20"/>
                <w:szCs w:val="20"/>
              </w:rPr>
              <w:t>QALYs (overall)</w:t>
            </w:r>
          </w:p>
        </w:tc>
        <w:tc>
          <w:tcPr>
            <w:tcW w:w="942" w:type="pct"/>
            <w:vAlign w:val="center"/>
          </w:tcPr>
          <w:p w14:paraId="23692280"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0.70 [0.67-0.73]</w:t>
            </w:r>
          </w:p>
        </w:tc>
        <w:tc>
          <w:tcPr>
            <w:tcW w:w="1021" w:type="pct"/>
            <w:vAlign w:val="center"/>
          </w:tcPr>
          <w:p w14:paraId="135D46FE"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0.72 [0.67-0.77]</w:t>
            </w:r>
          </w:p>
        </w:tc>
        <w:tc>
          <w:tcPr>
            <w:tcW w:w="960" w:type="pct"/>
            <w:vAlign w:val="center"/>
          </w:tcPr>
          <w:p w14:paraId="7C79447A"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0.69 [0.66-0.72]</w:t>
            </w:r>
          </w:p>
        </w:tc>
        <w:tc>
          <w:tcPr>
            <w:tcW w:w="742" w:type="pct"/>
          </w:tcPr>
          <w:p w14:paraId="53450417" w14:textId="77777777" w:rsidR="00E23A99" w:rsidRPr="00EF30C9" w:rsidRDefault="00E23A99" w:rsidP="002F3448">
            <w:pPr>
              <w:spacing w:before="0"/>
              <w:rPr>
                <w:rFonts w:ascii="Arial" w:eastAsia="Times New Roman" w:hAnsi="Arial" w:cs="Arial"/>
                <w:sz w:val="20"/>
                <w:szCs w:val="20"/>
              </w:rPr>
            </w:pPr>
            <w:r w:rsidRPr="00EF30C9">
              <w:rPr>
                <w:rFonts w:ascii="Arial" w:eastAsia="Times New Roman" w:hAnsi="Arial" w:cs="Arial"/>
                <w:sz w:val="20"/>
                <w:szCs w:val="20"/>
              </w:rPr>
              <w:t>-0.03</w:t>
            </w:r>
          </w:p>
        </w:tc>
      </w:tr>
      <w:tr w:rsidR="00E23A99" w:rsidRPr="00EF30C9" w14:paraId="4EB577A2" w14:textId="77777777" w:rsidTr="00FC0DFD">
        <w:tc>
          <w:tcPr>
            <w:tcW w:w="1335" w:type="pct"/>
            <w:tcBorders>
              <w:bottom w:val="single" w:sz="6" w:space="0" w:color="000000"/>
            </w:tcBorders>
            <w:vAlign w:val="center"/>
          </w:tcPr>
          <w:p w14:paraId="2D2F870B" w14:textId="77777777" w:rsidR="00E23A99" w:rsidRPr="00EF30C9" w:rsidRDefault="00E23A99" w:rsidP="002F3448">
            <w:pPr>
              <w:spacing w:before="0"/>
              <w:rPr>
                <w:rFonts w:ascii="Arial" w:eastAsia="Times New Roman" w:hAnsi="Arial" w:cs="Arial"/>
                <w:sz w:val="20"/>
                <w:szCs w:val="20"/>
              </w:rPr>
            </w:pPr>
            <w:r w:rsidRPr="00EF30C9">
              <w:rPr>
                <w:rFonts w:ascii="Arial" w:eastAsia="Times New Roman" w:hAnsi="Arial" w:cs="Arial"/>
                <w:sz w:val="20"/>
                <w:szCs w:val="20"/>
              </w:rPr>
              <w:t>QALYs (baseline and 12 months)</w:t>
            </w:r>
          </w:p>
        </w:tc>
        <w:tc>
          <w:tcPr>
            <w:tcW w:w="942" w:type="pct"/>
            <w:tcBorders>
              <w:bottom w:val="single" w:sz="6" w:space="0" w:color="000000"/>
            </w:tcBorders>
            <w:vAlign w:val="center"/>
          </w:tcPr>
          <w:p w14:paraId="135C7EB3"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0.71 [0.67-0.73]</w:t>
            </w:r>
          </w:p>
        </w:tc>
        <w:tc>
          <w:tcPr>
            <w:tcW w:w="1021" w:type="pct"/>
            <w:tcBorders>
              <w:bottom w:val="single" w:sz="6" w:space="0" w:color="000000"/>
            </w:tcBorders>
            <w:vAlign w:val="center"/>
          </w:tcPr>
          <w:p w14:paraId="5E755A5D"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0.74 [0.67-0.78]</w:t>
            </w:r>
          </w:p>
        </w:tc>
        <w:tc>
          <w:tcPr>
            <w:tcW w:w="960" w:type="pct"/>
            <w:tcBorders>
              <w:bottom w:val="single" w:sz="6" w:space="0" w:color="000000"/>
            </w:tcBorders>
            <w:vAlign w:val="center"/>
          </w:tcPr>
          <w:p w14:paraId="57188A9C" w14:textId="77777777" w:rsidR="00E23A99" w:rsidRPr="00EF30C9" w:rsidRDefault="00E23A99" w:rsidP="003D538D">
            <w:pPr>
              <w:spacing w:before="0"/>
              <w:rPr>
                <w:rFonts w:ascii="Arial" w:eastAsia="Times New Roman" w:hAnsi="Arial" w:cs="Arial"/>
                <w:sz w:val="20"/>
                <w:szCs w:val="20"/>
              </w:rPr>
            </w:pPr>
            <w:r w:rsidRPr="00EF30C9">
              <w:rPr>
                <w:rFonts w:ascii="Arial" w:eastAsia="Times New Roman" w:hAnsi="Arial" w:cs="Arial"/>
                <w:sz w:val="20"/>
                <w:szCs w:val="20"/>
              </w:rPr>
              <w:t>0.70 [0.65-0.73]</w:t>
            </w:r>
          </w:p>
        </w:tc>
        <w:tc>
          <w:tcPr>
            <w:tcW w:w="742" w:type="pct"/>
            <w:tcBorders>
              <w:bottom w:val="single" w:sz="6" w:space="0" w:color="000000"/>
            </w:tcBorders>
          </w:tcPr>
          <w:p w14:paraId="638A60EE" w14:textId="77777777" w:rsidR="00E23A99" w:rsidRPr="00EF30C9" w:rsidRDefault="00E23A99" w:rsidP="002F3448">
            <w:pPr>
              <w:spacing w:before="0"/>
              <w:rPr>
                <w:rFonts w:ascii="Arial" w:eastAsia="Times New Roman" w:hAnsi="Arial" w:cs="Arial"/>
                <w:sz w:val="20"/>
                <w:szCs w:val="20"/>
              </w:rPr>
            </w:pPr>
            <w:r w:rsidRPr="00EF30C9">
              <w:rPr>
                <w:rFonts w:ascii="Arial" w:eastAsia="Times New Roman" w:hAnsi="Arial" w:cs="Arial"/>
                <w:sz w:val="20"/>
                <w:szCs w:val="20"/>
              </w:rPr>
              <w:t>-0.04</w:t>
            </w:r>
          </w:p>
        </w:tc>
      </w:tr>
    </w:tbl>
    <w:p w14:paraId="22BB4E48" w14:textId="77777777" w:rsidR="00E23A99" w:rsidRPr="00EF30C9" w:rsidRDefault="00E23A99" w:rsidP="002F3448">
      <w:pPr>
        <w:spacing w:before="0" w:after="0" w:line="240" w:lineRule="auto"/>
        <w:rPr>
          <w:rFonts w:ascii="Arial" w:hAnsi="Arial" w:cs="Arial"/>
        </w:rPr>
      </w:pPr>
    </w:p>
    <w:p w14:paraId="30742D6B" w14:textId="6E7F66A9" w:rsidR="00E23A99" w:rsidRPr="0093246E" w:rsidRDefault="00E23A99" w:rsidP="0093246E">
      <w:pPr>
        <w:spacing w:before="160" w:line="240" w:lineRule="auto"/>
        <w:rPr>
          <w:rFonts w:ascii="Arial" w:hAnsi="Arial" w:cs="Arial"/>
        </w:rPr>
      </w:pPr>
      <w:r w:rsidRPr="00EF30C9">
        <w:rPr>
          <w:rFonts w:ascii="Arial" w:hAnsi="Arial" w:cs="Arial"/>
        </w:rPr>
        <w:lastRenderedPageBreak/>
        <w:t xml:space="preserve">Table </w:t>
      </w:r>
      <w:r w:rsidR="00767E6B">
        <w:rPr>
          <w:rFonts w:ascii="Arial" w:hAnsi="Arial" w:cs="Arial"/>
        </w:rPr>
        <w:t>21</w:t>
      </w:r>
      <w:r w:rsidRPr="00EF30C9">
        <w:rPr>
          <w:rFonts w:ascii="Arial" w:hAnsi="Arial" w:cs="Arial"/>
        </w:rPr>
        <w:t xml:space="preserve"> gives the average QALYs for the two arms of the study alongside their 95% confidence intervals. 95% confidence intervals around point estimates are typically used as measures of uncertainty in economic evaluations (Briggs 1999</w:t>
      </w:r>
      <w:r w:rsidRPr="00EF30C9">
        <w:rPr>
          <w:rStyle w:val="FootnoteReference"/>
          <w:rFonts w:ascii="Arial" w:hAnsi="Arial" w:cs="Arial"/>
        </w:rPr>
        <w:footnoteReference w:id="8"/>
      </w:r>
      <w:r w:rsidRPr="00EF30C9">
        <w:rPr>
          <w:rFonts w:ascii="Arial" w:hAnsi="Arial" w:cs="Arial"/>
        </w:rPr>
        <w:t>).</w:t>
      </w:r>
    </w:p>
    <w:p w14:paraId="73FF39C2" w14:textId="7ABFDE78" w:rsidR="00E23A99" w:rsidRPr="00EF30C9" w:rsidRDefault="00E23A99" w:rsidP="0093246E">
      <w:pPr>
        <w:spacing w:before="160" w:line="240" w:lineRule="auto"/>
        <w:rPr>
          <w:rFonts w:ascii="Arial" w:hAnsi="Arial" w:cs="Arial"/>
          <w:b/>
          <w:bCs/>
        </w:rPr>
      </w:pPr>
      <w:r w:rsidRPr="00EF30C9">
        <w:rPr>
          <w:rFonts w:ascii="Arial" w:hAnsi="Arial" w:cs="Arial"/>
          <w:b/>
          <w:bCs/>
        </w:rPr>
        <w:t>Future costs if implemented</w:t>
      </w:r>
    </w:p>
    <w:p w14:paraId="21B16482" w14:textId="03A85638" w:rsidR="00D42046" w:rsidRPr="00AD7843" w:rsidRDefault="00E23A99" w:rsidP="0093246E">
      <w:pPr>
        <w:spacing w:before="160" w:line="240" w:lineRule="auto"/>
        <w:rPr>
          <w:rFonts w:ascii="Arial" w:hAnsi="Arial" w:cs="Arial"/>
        </w:rPr>
      </w:pPr>
      <w:r w:rsidRPr="00EF30C9">
        <w:rPr>
          <w:rFonts w:ascii="Arial" w:hAnsi="Arial" w:cs="Arial"/>
        </w:rPr>
        <w:t>If the program is implemented in other areas, sources of costs will include the cost of conducting assessments (either as comprehensive or brief). As these costs are calculated using information on the annual salaries or wages of pharmacists involved in conducting the assessments, applicable hourly wages for these health professionals will be used to calculate the cost of assessments. At the time of conducting this economic evaluation, we did not have exact data on the actual time that pharmacists spent on conducting the assessments. This data was not captured and made available for use in the economic evaluation.</w:t>
      </w:r>
    </w:p>
    <w:p w14:paraId="0762857F" w14:textId="6C0060AF" w:rsidR="003230BE" w:rsidRPr="0093246E" w:rsidRDefault="00D20031" w:rsidP="0093246E">
      <w:pPr>
        <w:pStyle w:val="Heading2"/>
        <w:numPr>
          <w:ilvl w:val="0"/>
          <w:numId w:val="0"/>
        </w:numPr>
        <w:spacing w:before="160" w:after="160"/>
        <w:ind w:left="720" w:hanging="720"/>
        <w:rPr>
          <w:rFonts w:ascii="Arial" w:hAnsi="Arial" w:cs="Arial"/>
          <w:b/>
          <w:bCs/>
        </w:rPr>
      </w:pPr>
      <w:bookmarkStart w:id="78" w:name="_Toc137535784"/>
      <w:r w:rsidRPr="003230BE">
        <w:rPr>
          <w:rFonts w:ascii="Arial" w:hAnsi="Arial" w:cs="Arial"/>
          <w:b/>
          <w:bCs/>
        </w:rPr>
        <w:t>3A.</w:t>
      </w:r>
      <w:r w:rsidR="00AA3BF1" w:rsidRPr="003230BE">
        <w:rPr>
          <w:rFonts w:ascii="Arial" w:hAnsi="Arial" w:cs="Arial"/>
          <w:b/>
          <w:bCs/>
        </w:rPr>
        <w:t>4</w:t>
      </w:r>
      <w:r w:rsidR="00E079B8" w:rsidRPr="003230BE">
        <w:rPr>
          <w:rFonts w:ascii="Arial" w:hAnsi="Arial" w:cs="Arial"/>
          <w:b/>
          <w:bCs/>
        </w:rPr>
        <w:tab/>
      </w:r>
      <w:r w:rsidR="005310AF" w:rsidRPr="003230BE">
        <w:rPr>
          <w:rFonts w:ascii="Arial" w:hAnsi="Arial" w:cs="Arial"/>
          <w:b/>
          <w:bCs/>
        </w:rPr>
        <w:t>Conclusions</w:t>
      </w:r>
      <w:bookmarkEnd w:id="78"/>
    </w:p>
    <w:p w14:paraId="27E7CE77" w14:textId="7903F2F9" w:rsidR="003230BE" w:rsidRDefault="002544AD" w:rsidP="0093246E">
      <w:pPr>
        <w:spacing w:before="160" w:line="240" w:lineRule="auto"/>
        <w:rPr>
          <w:rFonts w:ascii="Arial" w:hAnsi="Arial" w:cs="Arial"/>
        </w:rPr>
      </w:pPr>
      <w:r w:rsidRPr="00AD7843">
        <w:rPr>
          <w:rFonts w:ascii="Arial" w:hAnsi="Arial" w:cs="Arial"/>
        </w:rPr>
        <w:t>The health economic analysis did not reveal statistically significant differences in quality of life between the two groups. However, the data show slight improvements in quality of life in both arms of the trial relative to the baseline point, despite showing no statistical significance.</w:t>
      </w:r>
    </w:p>
    <w:p w14:paraId="02D1286D" w14:textId="44AB95CC" w:rsidR="002B0E8E" w:rsidRDefault="002544AD" w:rsidP="0093246E">
      <w:pPr>
        <w:spacing w:before="160" w:line="240" w:lineRule="auto"/>
        <w:rPr>
          <w:rFonts w:ascii="Arial" w:hAnsi="Arial" w:cs="Arial"/>
        </w:rPr>
      </w:pPr>
      <w:r w:rsidRPr="00AD7843">
        <w:rPr>
          <w:rFonts w:ascii="Arial" w:hAnsi="Arial" w:cs="Arial"/>
        </w:rPr>
        <w:t>We did note significant differences in the PBS costs with the brief arm having higher costs compared to the comprehensive arm. There were no significant differences in the MBS costs. However, the total costs (MBS + PBS + pharmacy time costs) were statistically and significantly different (p &lt; 0.001) with the comprehensive arm having much higher intervention costs mostly due to the relatively larger time commitment to complete assessments for this group.</w:t>
      </w:r>
    </w:p>
    <w:p w14:paraId="5BDEC546" w14:textId="2E589A89" w:rsidR="002B0E8E" w:rsidRDefault="002B0E8E" w:rsidP="0093246E">
      <w:pPr>
        <w:spacing w:before="160" w:line="240" w:lineRule="auto"/>
        <w:rPr>
          <w:rFonts w:ascii="Arial" w:eastAsia="CIDFont+F2" w:hAnsi="Arial" w:cs="Arial"/>
        </w:rPr>
      </w:pPr>
      <w:r w:rsidRPr="00295E16">
        <w:rPr>
          <w:rFonts w:ascii="Arial" w:eastAsia="CIDFont+F2" w:hAnsi="Arial" w:cs="Arial"/>
        </w:rPr>
        <w:t>The trial evidenced a low rate of re-presentation for 6 and 12 month follow up screening by participants in both the Brief and Comprehensive Risk Assessment arms</w:t>
      </w:r>
      <w:r>
        <w:rPr>
          <w:rFonts w:ascii="Arial" w:eastAsia="CIDFont+F2" w:hAnsi="Arial" w:cs="Arial"/>
        </w:rPr>
        <w:t>; 26% and 25% respectively.</w:t>
      </w:r>
    </w:p>
    <w:p w14:paraId="4DD44C25" w14:textId="182D58DB" w:rsidR="002B0E8E" w:rsidRPr="0093246E" w:rsidRDefault="002B0E8E" w:rsidP="0093246E">
      <w:pPr>
        <w:spacing w:before="160" w:line="240" w:lineRule="auto"/>
        <w:rPr>
          <w:rFonts w:ascii="Arial" w:eastAsia="CIDFont+F2" w:hAnsi="Arial" w:cs="Arial"/>
        </w:rPr>
      </w:pPr>
      <w:r>
        <w:rPr>
          <w:rFonts w:ascii="Arial" w:eastAsia="CIDFont+F2" w:hAnsi="Arial" w:cs="Arial"/>
        </w:rPr>
        <w:t>Risk rating between 0, 6 and 12 months for participants in the Comprehensive arm did not show considerable change across the life of the trial.</w:t>
      </w:r>
      <w:r w:rsidR="00A85BF7">
        <w:rPr>
          <w:rFonts w:ascii="Arial" w:eastAsia="CIDFont+F2" w:hAnsi="Arial" w:cs="Arial"/>
        </w:rPr>
        <w:t xml:space="preserve"> </w:t>
      </w:r>
      <w:r>
        <w:rPr>
          <w:rFonts w:ascii="Arial" w:eastAsia="CIDFont+F2" w:hAnsi="Arial" w:cs="Arial"/>
        </w:rPr>
        <w:t>Risk rating between 0, 6 and 12 months for participants in the Brief arm showed some change at 6 months, however the small number of participants, 30% of the baseline cohort, attending at 6 months may influence this change.</w:t>
      </w:r>
    </w:p>
    <w:p w14:paraId="702FCCC1" w14:textId="1EB6904B" w:rsidR="00613FBA" w:rsidRPr="0093246E" w:rsidRDefault="00613FBA" w:rsidP="0093246E">
      <w:pPr>
        <w:spacing w:before="160" w:line="240" w:lineRule="auto"/>
        <w:rPr>
          <w:rFonts w:ascii="Arial" w:eastAsia="CIDFont+F2" w:hAnsi="Arial" w:cs="Arial"/>
        </w:rPr>
      </w:pPr>
      <w:r w:rsidRPr="00830280">
        <w:rPr>
          <w:rFonts w:ascii="Arial" w:eastAsia="CIDFont+F2" w:hAnsi="Arial" w:cs="Arial"/>
        </w:rPr>
        <w:t>The trial recognises community pharmacy offers access to the target population, who are not engaging with General Practice, to receive Cardiovascular Disease Risk Screening.</w:t>
      </w:r>
      <w:r w:rsidR="00A85BF7">
        <w:rPr>
          <w:rFonts w:ascii="Arial" w:eastAsia="CIDFont+F2" w:hAnsi="Arial" w:cs="Arial"/>
        </w:rPr>
        <w:t xml:space="preserve"> </w:t>
      </w:r>
      <w:r w:rsidRPr="00830280">
        <w:rPr>
          <w:rFonts w:ascii="Arial" w:eastAsia="CIDFont+F2" w:hAnsi="Arial" w:cs="Arial"/>
        </w:rPr>
        <w:t>The trial further recognises where a participant is identified as being at risk of CVD, moderate or high, and referred to General Practice, further diagnostic testing and/or treatment is likely to be undertaken. The trial did not seek participant data from General Practice to inform ongoing intervention costs.</w:t>
      </w:r>
      <w:r w:rsidR="00A85BF7">
        <w:rPr>
          <w:rFonts w:ascii="Arial" w:eastAsia="CIDFont+F2" w:hAnsi="Arial" w:cs="Arial"/>
        </w:rPr>
        <w:t xml:space="preserve"> </w:t>
      </w:r>
      <w:r w:rsidRPr="00830280">
        <w:rPr>
          <w:rFonts w:ascii="Arial" w:eastAsia="CIDFont+F2" w:hAnsi="Arial" w:cs="Arial"/>
        </w:rPr>
        <w:t xml:space="preserve"> MBS and PBS data informs ongoing intervention and treatment costs.</w:t>
      </w:r>
    </w:p>
    <w:p w14:paraId="040403AF" w14:textId="7FDB4014" w:rsidR="002F13FD" w:rsidRDefault="002F13FD">
      <w:pPr>
        <w:spacing w:before="0"/>
        <w:rPr>
          <w:rFonts w:ascii="Arial" w:hAnsi="Arial" w:cs="Arial"/>
        </w:rPr>
      </w:pPr>
      <w:r>
        <w:rPr>
          <w:rFonts w:ascii="Arial" w:hAnsi="Arial" w:cs="Arial"/>
        </w:rPr>
        <w:br w:type="page"/>
      </w:r>
    </w:p>
    <w:p w14:paraId="69ADB892" w14:textId="77777777" w:rsidR="00D20031" w:rsidRPr="00AD7843" w:rsidRDefault="00D20031" w:rsidP="00AD7843">
      <w:pPr>
        <w:spacing w:before="0" w:after="0" w:line="240" w:lineRule="auto"/>
        <w:rPr>
          <w:rFonts w:ascii="Arial" w:hAnsi="Arial" w:cs="Arial"/>
        </w:rPr>
      </w:pPr>
    </w:p>
    <w:p w14:paraId="0223CC16" w14:textId="4A7EB824" w:rsidR="00F854EE" w:rsidRPr="003230BE" w:rsidRDefault="00505E19" w:rsidP="003230BE">
      <w:pPr>
        <w:pStyle w:val="Heading1"/>
        <w:numPr>
          <w:ilvl w:val="0"/>
          <w:numId w:val="0"/>
        </w:numPr>
        <w:spacing w:before="0" w:after="0"/>
        <w:ind w:left="1985" w:hanging="1985"/>
        <w:rPr>
          <w:rFonts w:ascii="Arial" w:hAnsi="Arial" w:cs="Arial"/>
          <w:b/>
          <w:bCs/>
        </w:rPr>
      </w:pPr>
      <w:bookmarkStart w:id="79" w:name="_Toc137535785"/>
      <w:r w:rsidRPr="003230BE">
        <w:rPr>
          <w:rFonts w:ascii="Arial" w:hAnsi="Arial" w:cs="Arial"/>
          <w:b/>
          <w:bCs/>
        </w:rPr>
        <w:t>Section 4</w:t>
      </w:r>
      <w:r w:rsidRPr="003230BE">
        <w:rPr>
          <w:rFonts w:ascii="Arial" w:hAnsi="Arial" w:cs="Arial"/>
          <w:b/>
          <w:bCs/>
        </w:rPr>
        <w:tab/>
      </w:r>
      <w:r w:rsidR="00A85BF7">
        <w:rPr>
          <w:rFonts w:ascii="Arial" w:hAnsi="Arial" w:cs="Arial"/>
          <w:b/>
          <w:bCs/>
        </w:rPr>
        <w:t xml:space="preserve"> </w:t>
      </w:r>
      <w:r w:rsidR="00F854EE" w:rsidRPr="003230BE">
        <w:rPr>
          <w:rFonts w:ascii="Arial" w:hAnsi="Arial" w:cs="Arial"/>
          <w:b/>
          <w:bCs/>
        </w:rPr>
        <w:t xml:space="preserve">Use of the </w:t>
      </w:r>
      <w:r w:rsidR="00E31702" w:rsidRPr="003230BE">
        <w:rPr>
          <w:rFonts w:ascii="Arial" w:hAnsi="Arial" w:cs="Arial"/>
          <w:b/>
          <w:bCs/>
        </w:rPr>
        <w:t>health technology</w:t>
      </w:r>
      <w:r w:rsidR="00F854EE" w:rsidRPr="003230BE">
        <w:rPr>
          <w:rFonts w:ascii="Arial" w:hAnsi="Arial" w:cs="Arial"/>
          <w:b/>
          <w:bCs/>
        </w:rPr>
        <w:t xml:space="preserve"> in practice</w:t>
      </w:r>
      <w:bookmarkEnd w:id="79"/>
    </w:p>
    <w:p w14:paraId="52FE2696" w14:textId="12B419E2" w:rsidR="00F854EE" w:rsidRPr="003230BE" w:rsidRDefault="00F854EE" w:rsidP="0093246E">
      <w:pPr>
        <w:pStyle w:val="Heading2"/>
        <w:numPr>
          <w:ilvl w:val="0"/>
          <w:numId w:val="0"/>
        </w:numPr>
        <w:spacing w:before="300" w:after="160"/>
        <w:rPr>
          <w:rFonts w:ascii="Arial" w:hAnsi="Arial" w:cs="Arial"/>
          <w:b/>
          <w:bCs/>
        </w:rPr>
      </w:pPr>
      <w:bookmarkStart w:id="80" w:name="_Toc137535786"/>
      <w:r w:rsidRPr="003230BE">
        <w:rPr>
          <w:rFonts w:ascii="Arial" w:hAnsi="Arial" w:cs="Arial"/>
          <w:b/>
          <w:bCs/>
        </w:rPr>
        <w:t>4.1</w:t>
      </w:r>
      <w:r w:rsidR="000E03DC" w:rsidRPr="003230BE">
        <w:rPr>
          <w:rFonts w:ascii="Arial" w:hAnsi="Arial" w:cs="Arial"/>
          <w:b/>
          <w:bCs/>
        </w:rPr>
        <w:tab/>
      </w:r>
      <w:r w:rsidRPr="003230BE">
        <w:rPr>
          <w:rFonts w:ascii="Arial" w:hAnsi="Arial" w:cs="Arial"/>
          <w:b/>
          <w:bCs/>
        </w:rPr>
        <w:t xml:space="preserve">Justification of the selection of </w:t>
      </w:r>
      <w:r w:rsidR="00E31702" w:rsidRPr="003230BE">
        <w:rPr>
          <w:rFonts w:ascii="Arial" w:hAnsi="Arial" w:cs="Arial"/>
          <w:b/>
          <w:bCs/>
        </w:rPr>
        <w:t xml:space="preserve">approach and </w:t>
      </w:r>
      <w:r w:rsidRPr="003230BE">
        <w:rPr>
          <w:rFonts w:ascii="Arial" w:hAnsi="Arial" w:cs="Arial"/>
          <w:b/>
          <w:bCs/>
        </w:rPr>
        <w:t>data sources</w:t>
      </w:r>
      <w:bookmarkEnd w:id="80"/>
    </w:p>
    <w:p w14:paraId="0AEE88A4" w14:textId="3510791B" w:rsidR="00690A3A" w:rsidRPr="003230BE" w:rsidRDefault="004F06F7" w:rsidP="0093246E">
      <w:pPr>
        <w:pStyle w:val="Instructionaltext"/>
        <w:spacing w:before="160" w:line="240" w:lineRule="auto"/>
        <w:rPr>
          <w:rFonts w:ascii="Arial" w:hAnsi="Arial" w:cs="Arial"/>
          <w:color w:val="auto"/>
        </w:rPr>
      </w:pPr>
      <w:r w:rsidRPr="003230BE">
        <w:rPr>
          <w:rFonts w:ascii="Arial" w:hAnsi="Arial" w:cs="Arial"/>
          <w:color w:val="auto"/>
        </w:rPr>
        <w:t xml:space="preserve">The economic </w:t>
      </w:r>
      <w:r w:rsidR="00731C2F" w:rsidRPr="003230BE">
        <w:rPr>
          <w:rFonts w:ascii="Arial" w:hAnsi="Arial" w:cs="Arial"/>
          <w:color w:val="auto"/>
        </w:rPr>
        <w:t>evaluation considered</w:t>
      </w:r>
      <w:r w:rsidRPr="003230BE">
        <w:rPr>
          <w:rFonts w:ascii="Arial" w:hAnsi="Arial" w:cs="Arial"/>
          <w:color w:val="auto"/>
        </w:rPr>
        <w:t xml:space="preserve"> the time needed to provide high and low intensity screens, and through a combination of self-report and linked Medicare</w:t>
      </w:r>
      <w:r w:rsidR="003230BE">
        <w:rPr>
          <w:rFonts w:ascii="Arial" w:hAnsi="Arial" w:cs="Arial"/>
          <w:color w:val="auto"/>
        </w:rPr>
        <w:t xml:space="preserve"> and PBS</w:t>
      </w:r>
      <w:r w:rsidRPr="003230BE">
        <w:rPr>
          <w:rFonts w:ascii="Arial" w:hAnsi="Arial" w:cs="Arial"/>
          <w:color w:val="auto"/>
        </w:rPr>
        <w:t xml:space="preserve"> data</w:t>
      </w:r>
      <w:r w:rsidR="003230BE">
        <w:rPr>
          <w:rFonts w:ascii="Arial" w:hAnsi="Arial" w:cs="Arial"/>
          <w:color w:val="auto"/>
        </w:rPr>
        <w:t>,</w:t>
      </w:r>
      <w:r w:rsidRPr="003230BE">
        <w:rPr>
          <w:rFonts w:ascii="Arial" w:hAnsi="Arial" w:cs="Arial"/>
          <w:color w:val="auto"/>
        </w:rPr>
        <w:t xml:space="preserve"> estimate</w:t>
      </w:r>
      <w:r w:rsidR="003230BE">
        <w:rPr>
          <w:rFonts w:ascii="Arial" w:hAnsi="Arial" w:cs="Arial"/>
          <w:color w:val="auto"/>
        </w:rPr>
        <w:t>d</w:t>
      </w:r>
      <w:r w:rsidRPr="003230BE">
        <w:rPr>
          <w:rFonts w:ascii="Arial" w:hAnsi="Arial" w:cs="Arial"/>
          <w:color w:val="auto"/>
        </w:rPr>
        <w:t xml:space="preserve"> the incremental downstream costs associated with the interventions relative to one another.</w:t>
      </w:r>
    </w:p>
    <w:p w14:paraId="09C3D276" w14:textId="5402E330" w:rsidR="00DB6031" w:rsidRPr="00015B49" w:rsidRDefault="007C7148" w:rsidP="0093246E">
      <w:pPr>
        <w:pStyle w:val="Heading3"/>
        <w:spacing w:before="160" w:after="160"/>
        <w:rPr>
          <w:rFonts w:ascii="Arial Narrow" w:hAnsi="Arial Narrow"/>
          <w:b/>
          <w:bCs/>
          <w:sz w:val="20"/>
          <w:szCs w:val="20"/>
        </w:rPr>
      </w:pPr>
      <w:bookmarkStart w:id="81" w:name="_Ref69728465"/>
      <w:bookmarkStart w:id="82" w:name="_Toc137535787"/>
      <w:r w:rsidRPr="00015B49">
        <w:rPr>
          <w:rFonts w:ascii="Arial Narrow" w:hAnsi="Arial Narrow"/>
          <w:b/>
          <w:bCs/>
          <w:sz w:val="20"/>
          <w:szCs w:val="20"/>
        </w:rPr>
        <w:t xml:space="preserve">Table </w:t>
      </w:r>
      <w:r w:rsidR="00FE676B" w:rsidRPr="00015B49">
        <w:rPr>
          <w:rFonts w:ascii="Arial Narrow" w:hAnsi="Arial Narrow"/>
          <w:b/>
          <w:bCs/>
          <w:sz w:val="20"/>
          <w:szCs w:val="20"/>
        </w:rPr>
        <w:t>2</w:t>
      </w:r>
      <w:r w:rsidR="00767E6B" w:rsidRPr="00015B49">
        <w:rPr>
          <w:rFonts w:ascii="Arial Narrow" w:hAnsi="Arial Narrow"/>
          <w:b/>
          <w:bCs/>
          <w:sz w:val="20"/>
          <w:szCs w:val="20"/>
        </w:rPr>
        <w:t>2:</w:t>
      </w:r>
      <w:bookmarkEnd w:id="81"/>
      <w:r w:rsidR="003230BE" w:rsidRPr="00015B49">
        <w:rPr>
          <w:rFonts w:ascii="Arial Narrow" w:hAnsi="Arial Narrow"/>
          <w:b/>
          <w:bCs/>
          <w:sz w:val="20"/>
          <w:szCs w:val="20"/>
        </w:rPr>
        <w:t xml:space="preserve"> </w:t>
      </w:r>
      <w:r w:rsidR="00DB6031" w:rsidRPr="00015B49">
        <w:rPr>
          <w:rFonts w:ascii="Arial Narrow" w:hAnsi="Arial Narrow"/>
          <w:b/>
          <w:bCs/>
          <w:sz w:val="20"/>
          <w:szCs w:val="20"/>
        </w:rPr>
        <w:t>Data sources and parameter values applied in the utilisation and financial estimates</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24"/>
        <w:gridCol w:w="4767"/>
      </w:tblGrid>
      <w:tr w:rsidR="0095207B" w:rsidRPr="003230BE" w14:paraId="74CB0346" w14:textId="77777777" w:rsidTr="00DB6031">
        <w:trPr>
          <w:tblHeader/>
        </w:trPr>
        <w:tc>
          <w:tcPr>
            <w:tcW w:w="2125" w:type="dxa"/>
          </w:tcPr>
          <w:p w14:paraId="6808E1A7" w14:textId="77777777" w:rsidR="0095207B" w:rsidRPr="003230BE" w:rsidRDefault="0095207B" w:rsidP="002F3448">
            <w:pPr>
              <w:pStyle w:val="TableHeading"/>
              <w:spacing w:before="0" w:after="0"/>
              <w:rPr>
                <w:rFonts w:ascii="Arial" w:hAnsi="Arial" w:cs="Arial"/>
              </w:rPr>
            </w:pPr>
            <w:bookmarkStart w:id="83" w:name="ColumnTitle_Table39"/>
            <w:r w:rsidRPr="003230BE">
              <w:rPr>
                <w:rFonts w:ascii="Arial" w:hAnsi="Arial" w:cs="Arial"/>
              </w:rPr>
              <w:t>Data</w:t>
            </w:r>
          </w:p>
        </w:tc>
        <w:tc>
          <w:tcPr>
            <w:tcW w:w="2124" w:type="dxa"/>
          </w:tcPr>
          <w:p w14:paraId="37C5C2F9" w14:textId="77777777" w:rsidR="0095207B" w:rsidRPr="003230BE" w:rsidRDefault="0095207B" w:rsidP="002F3448">
            <w:pPr>
              <w:pStyle w:val="TableHeading"/>
              <w:spacing w:before="0" w:after="0"/>
              <w:rPr>
                <w:rFonts w:ascii="Arial" w:hAnsi="Arial" w:cs="Arial"/>
              </w:rPr>
            </w:pPr>
            <w:r w:rsidRPr="003230BE">
              <w:rPr>
                <w:rFonts w:ascii="Arial" w:hAnsi="Arial" w:cs="Arial"/>
              </w:rPr>
              <w:t>Source and value</w:t>
            </w:r>
          </w:p>
        </w:tc>
        <w:tc>
          <w:tcPr>
            <w:tcW w:w="4767" w:type="dxa"/>
          </w:tcPr>
          <w:p w14:paraId="38D5953C" w14:textId="77777777" w:rsidR="0095207B" w:rsidRPr="003230BE" w:rsidRDefault="0095207B" w:rsidP="002F3448">
            <w:pPr>
              <w:pStyle w:val="TableHeading"/>
              <w:spacing w:before="0" w:after="0"/>
              <w:rPr>
                <w:rFonts w:ascii="Arial" w:hAnsi="Arial" w:cs="Arial"/>
              </w:rPr>
            </w:pPr>
            <w:r w:rsidRPr="003230BE">
              <w:rPr>
                <w:rFonts w:ascii="Arial" w:hAnsi="Arial" w:cs="Arial"/>
              </w:rPr>
              <w:t>Justification</w:t>
            </w:r>
          </w:p>
        </w:tc>
      </w:tr>
      <w:bookmarkEnd w:id="83"/>
      <w:tr w:rsidR="0095207B" w:rsidRPr="003230BE" w14:paraId="7F2A572A" w14:textId="77777777" w:rsidTr="00DB6031">
        <w:trPr>
          <w:tblHeader/>
        </w:trPr>
        <w:tc>
          <w:tcPr>
            <w:tcW w:w="2125" w:type="dxa"/>
          </w:tcPr>
          <w:p w14:paraId="2B498486" w14:textId="34ACBE30" w:rsidR="0095207B" w:rsidRPr="003230BE" w:rsidRDefault="00D52C0C" w:rsidP="002F3448">
            <w:pPr>
              <w:pStyle w:val="TableText"/>
              <w:spacing w:before="0" w:after="0"/>
              <w:rPr>
                <w:rFonts w:ascii="Arial" w:hAnsi="Arial" w:cs="Arial"/>
              </w:rPr>
            </w:pPr>
            <w:r w:rsidRPr="003230BE">
              <w:rPr>
                <w:rFonts w:ascii="Arial" w:hAnsi="Arial" w:cs="Arial"/>
              </w:rPr>
              <w:t>Pharmacy median hourly wage ($AUD)</w:t>
            </w:r>
          </w:p>
        </w:tc>
        <w:tc>
          <w:tcPr>
            <w:tcW w:w="2124" w:type="dxa"/>
          </w:tcPr>
          <w:p w14:paraId="3E6DD854" w14:textId="0EF88C4B" w:rsidR="0095207B" w:rsidRPr="003230BE" w:rsidRDefault="00D52C0C" w:rsidP="002F3448">
            <w:pPr>
              <w:pStyle w:val="TableText"/>
              <w:spacing w:before="0" w:after="0"/>
              <w:rPr>
                <w:rFonts w:ascii="Arial" w:hAnsi="Arial" w:cs="Arial"/>
              </w:rPr>
            </w:pPr>
            <w:r w:rsidRPr="003230BE">
              <w:rPr>
                <w:rFonts w:ascii="Arial" w:hAnsi="Arial" w:cs="Arial"/>
              </w:rPr>
              <w:t xml:space="preserve">Professional Pharmacists Australia – report (Professional Pharmacists Australia, 2021) - </w:t>
            </w:r>
            <w:r w:rsidRPr="003230BE">
              <w:rPr>
                <w:rFonts w:ascii="Arial" w:hAnsi="Arial" w:cs="Arial"/>
                <w:b/>
                <w:bCs/>
              </w:rPr>
              <w:t>$38.00 / hour</w:t>
            </w:r>
          </w:p>
        </w:tc>
        <w:tc>
          <w:tcPr>
            <w:tcW w:w="4767" w:type="dxa"/>
          </w:tcPr>
          <w:p w14:paraId="1710EB94" w14:textId="485B71AA" w:rsidR="0095207B" w:rsidRPr="003230BE" w:rsidRDefault="00D52C0C" w:rsidP="002F3448">
            <w:pPr>
              <w:pStyle w:val="TableText"/>
              <w:spacing w:before="0" w:after="0"/>
              <w:rPr>
                <w:rFonts w:ascii="Arial" w:hAnsi="Arial" w:cs="Arial"/>
              </w:rPr>
            </w:pPr>
            <w:r w:rsidRPr="003230BE">
              <w:rPr>
                <w:rFonts w:ascii="Arial" w:hAnsi="Arial" w:cs="Arial"/>
              </w:rPr>
              <w:t>The Pharmacists employment remuneration report contains up to date wage information for community pharmacists in Australia and is a respectable source for getting such information.</w:t>
            </w:r>
          </w:p>
        </w:tc>
      </w:tr>
      <w:tr w:rsidR="0095207B" w:rsidRPr="003230BE" w14:paraId="54AD223A" w14:textId="77777777" w:rsidTr="00DB6031">
        <w:trPr>
          <w:tblHeader/>
        </w:trPr>
        <w:tc>
          <w:tcPr>
            <w:tcW w:w="2125" w:type="dxa"/>
          </w:tcPr>
          <w:p w14:paraId="165EF4A0" w14:textId="56221E81" w:rsidR="0095207B" w:rsidRPr="003230BE" w:rsidRDefault="00D52C0C" w:rsidP="002F3448">
            <w:pPr>
              <w:pStyle w:val="TableText"/>
              <w:spacing w:before="0" w:after="0"/>
              <w:rPr>
                <w:rFonts w:ascii="Arial" w:hAnsi="Arial" w:cs="Arial"/>
              </w:rPr>
            </w:pPr>
            <w:r w:rsidRPr="003230BE">
              <w:rPr>
                <w:rFonts w:ascii="Arial" w:hAnsi="Arial" w:cs="Arial"/>
              </w:rPr>
              <w:t>SF-6D version 2 health utility scores</w:t>
            </w:r>
          </w:p>
        </w:tc>
        <w:tc>
          <w:tcPr>
            <w:tcW w:w="2124" w:type="dxa"/>
          </w:tcPr>
          <w:p w14:paraId="53DB5618" w14:textId="11E92660" w:rsidR="0095207B" w:rsidRPr="003230BE" w:rsidRDefault="00D52C0C" w:rsidP="002F3448">
            <w:pPr>
              <w:pStyle w:val="TableText"/>
              <w:spacing w:before="0" w:after="0"/>
              <w:rPr>
                <w:rFonts w:ascii="Arial" w:hAnsi="Arial" w:cs="Arial"/>
              </w:rPr>
            </w:pPr>
            <w:r w:rsidRPr="003230BE">
              <w:rPr>
                <w:rFonts w:ascii="Arial" w:hAnsi="Arial" w:cs="Arial"/>
              </w:rPr>
              <w:t xml:space="preserve">B. Mulhern, Norman, &amp; Brazier, 2021; B. J. Mulhern, </w:t>
            </w:r>
            <w:proofErr w:type="spellStart"/>
            <w:r w:rsidRPr="003230BE">
              <w:rPr>
                <w:rFonts w:ascii="Arial" w:hAnsi="Arial" w:cs="Arial"/>
              </w:rPr>
              <w:t>Bansback</w:t>
            </w:r>
            <w:proofErr w:type="spellEnd"/>
            <w:r w:rsidRPr="003230BE">
              <w:rPr>
                <w:rFonts w:ascii="Arial" w:hAnsi="Arial" w:cs="Arial"/>
              </w:rPr>
              <w:t>, Norman, &amp; Brazier, 2020</w:t>
            </w:r>
          </w:p>
        </w:tc>
        <w:tc>
          <w:tcPr>
            <w:tcW w:w="4767" w:type="dxa"/>
          </w:tcPr>
          <w:p w14:paraId="2082CADC" w14:textId="0DD2953D" w:rsidR="0095207B" w:rsidRPr="003230BE" w:rsidRDefault="00D52C0C" w:rsidP="002F3448">
            <w:pPr>
              <w:pStyle w:val="TableText"/>
              <w:spacing w:before="0" w:after="0"/>
              <w:rPr>
                <w:rFonts w:ascii="Arial" w:hAnsi="Arial" w:cs="Arial"/>
              </w:rPr>
            </w:pPr>
            <w:r w:rsidRPr="003230BE">
              <w:rPr>
                <w:rFonts w:ascii="Arial" w:hAnsi="Arial" w:cs="Arial"/>
              </w:rPr>
              <w:t>The SF-6Dv2 is the updated version of the SF-6D with improved consistency and dimension descriptors and representative of the Australian population value sets.</w:t>
            </w:r>
          </w:p>
        </w:tc>
      </w:tr>
      <w:tr w:rsidR="0095207B" w:rsidRPr="003230BE" w14:paraId="046A298E" w14:textId="77777777" w:rsidTr="00DB6031">
        <w:trPr>
          <w:tblHeader/>
        </w:trPr>
        <w:tc>
          <w:tcPr>
            <w:tcW w:w="2125" w:type="dxa"/>
          </w:tcPr>
          <w:p w14:paraId="1106EFC7" w14:textId="02FC7D8C" w:rsidR="0095207B" w:rsidRPr="003230BE" w:rsidRDefault="00D52C0C" w:rsidP="002F3448">
            <w:pPr>
              <w:pStyle w:val="TableText"/>
              <w:spacing w:before="0" w:after="0"/>
              <w:rPr>
                <w:rFonts w:ascii="Arial" w:hAnsi="Arial" w:cs="Arial"/>
              </w:rPr>
            </w:pPr>
            <w:r w:rsidRPr="003230BE">
              <w:rPr>
                <w:rFonts w:ascii="Arial" w:hAnsi="Arial" w:cs="Arial"/>
              </w:rPr>
              <w:t>MBS &amp; PBS</w:t>
            </w:r>
          </w:p>
        </w:tc>
        <w:tc>
          <w:tcPr>
            <w:tcW w:w="2124" w:type="dxa"/>
          </w:tcPr>
          <w:p w14:paraId="52295D90" w14:textId="736B2FD4" w:rsidR="0095207B" w:rsidRPr="003230BE" w:rsidRDefault="00D52C0C" w:rsidP="002F3448">
            <w:pPr>
              <w:pStyle w:val="TableText"/>
              <w:spacing w:before="0" w:after="0"/>
              <w:rPr>
                <w:rFonts w:ascii="Arial" w:hAnsi="Arial" w:cs="Arial"/>
              </w:rPr>
            </w:pPr>
            <w:r w:rsidRPr="003230BE">
              <w:rPr>
                <w:rFonts w:ascii="Arial" w:hAnsi="Arial" w:cs="Arial"/>
              </w:rPr>
              <w:t>MBS / PBS</w:t>
            </w:r>
          </w:p>
        </w:tc>
        <w:tc>
          <w:tcPr>
            <w:tcW w:w="4767" w:type="dxa"/>
          </w:tcPr>
          <w:p w14:paraId="17F746F7" w14:textId="71D9C050" w:rsidR="0095207B" w:rsidRPr="003230BE" w:rsidRDefault="00D52C0C" w:rsidP="002F3448">
            <w:pPr>
              <w:pStyle w:val="TableText"/>
              <w:spacing w:before="0" w:after="0"/>
              <w:rPr>
                <w:rFonts w:ascii="Arial" w:hAnsi="Arial" w:cs="Arial"/>
              </w:rPr>
            </w:pPr>
            <w:r w:rsidRPr="003230BE">
              <w:rPr>
                <w:rFonts w:ascii="Arial" w:hAnsi="Arial" w:cs="Arial"/>
              </w:rPr>
              <w:t>Used to quantify health resource usage costs.</w:t>
            </w:r>
          </w:p>
        </w:tc>
      </w:tr>
      <w:tr w:rsidR="0095207B" w:rsidRPr="003230BE" w14:paraId="2988AD51" w14:textId="77777777" w:rsidTr="00DB6031">
        <w:trPr>
          <w:tblHeader/>
        </w:trPr>
        <w:tc>
          <w:tcPr>
            <w:tcW w:w="2125" w:type="dxa"/>
          </w:tcPr>
          <w:p w14:paraId="7EDB3383" w14:textId="77777777" w:rsidR="00D52C0C" w:rsidRPr="003230BE" w:rsidRDefault="00D52C0C" w:rsidP="002F3448">
            <w:pPr>
              <w:pStyle w:val="TableText"/>
              <w:spacing w:before="0" w:after="0"/>
              <w:rPr>
                <w:rFonts w:ascii="Arial" w:hAnsi="Arial" w:cs="Arial"/>
              </w:rPr>
            </w:pPr>
            <w:r w:rsidRPr="003230BE">
              <w:rPr>
                <w:rFonts w:ascii="Arial" w:hAnsi="Arial" w:cs="Arial"/>
              </w:rPr>
              <w:t xml:space="preserve">Health care utilisation – self report </w:t>
            </w:r>
          </w:p>
          <w:p w14:paraId="4812B7E9" w14:textId="77777777" w:rsidR="00D52C0C" w:rsidRPr="003230BE" w:rsidRDefault="00D52C0C" w:rsidP="002F3448">
            <w:pPr>
              <w:pStyle w:val="TableText"/>
              <w:spacing w:before="0" w:after="0"/>
              <w:rPr>
                <w:rFonts w:ascii="Arial" w:hAnsi="Arial" w:cs="Arial"/>
              </w:rPr>
            </w:pPr>
            <w:r w:rsidRPr="003230BE">
              <w:rPr>
                <w:rFonts w:ascii="Arial" w:hAnsi="Arial" w:cs="Arial"/>
              </w:rPr>
              <w:t xml:space="preserve">SF36 </w:t>
            </w:r>
          </w:p>
          <w:p w14:paraId="4E6E2683" w14:textId="77777777" w:rsidR="001653C9" w:rsidRPr="003230BE" w:rsidRDefault="001653C9" w:rsidP="002F3448">
            <w:pPr>
              <w:pStyle w:val="TableText"/>
              <w:spacing w:before="0" w:after="0"/>
              <w:rPr>
                <w:rFonts w:ascii="Arial" w:hAnsi="Arial" w:cs="Arial"/>
              </w:rPr>
            </w:pPr>
          </w:p>
          <w:p w14:paraId="77C8EC6C" w14:textId="6D2563AF" w:rsidR="0095207B" w:rsidRPr="003230BE" w:rsidRDefault="00D52C0C" w:rsidP="002F3448">
            <w:pPr>
              <w:pStyle w:val="TableText"/>
              <w:spacing w:before="0" w:after="0"/>
              <w:rPr>
                <w:rFonts w:ascii="Arial" w:hAnsi="Arial" w:cs="Arial"/>
              </w:rPr>
            </w:pPr>
            <w:r w:rsidRPr="003230BE">
              <w:rPr>
                <w:rFonts w:ascii="Arial" w:hAnsi="Arial" w:cs="Arial"/>
              </w:rPr>
              <w:t>Assessments</w:t>
            </w:r>
          </w:p>
        </w:tc>
        <w:tc>
          <w:tcPr>
            <w:tcW w:w="2124" w:type="dxa"/>
          </w:tcPr>
          <w:p w14:paraId="6229CC7B" w14:textId="77777777" w:rsidR="0095207B" w:rsidRPr="003230BE" w:rsidRDefault="001653C9" w:rsidP="002F3448">
            <w:pPr>
              <w:pStyle w:val="TableText"/>
              <w:spacing w:before="0" w:after="0"/>
              <w:rPr>
                <w:rFonts w:ascii="Arial" w:hAnsi="Arial" w:cs="Arial"/>
              </w:rPr>
            </w:pPr>
            <w:r w:rsidRPr="003230BE">
              <w:rPr>
                <w:rFonts w:ascii="Arial" w:hAnsi="Arial" w:cs="Arial"/>
              </w:rPr>
              <w:t>Within-trial data collection</w:t>
            </w:r>
          </w:p>
          <w:p w14:paraId="40A04C0E" w14:textId="77777777" w:rsidR="001653C9" w:rsidRPr="003230BE" w:rsidRDefault="001653C9" w:rsidP="002F3448">
            <w:pPr>
              <w:pStyle w:val="TableText"/>
              <w:spacing w:before="0" w:after="0"/>
              <w:rPr>
                <w:rFonts w:ascii="Arial" w:hAnsi="Arial" w:cs="Arial"/>
              </w:rPr>
            </w:pPr>
          </w:p>
          <w:p w14:paraId="6EB13F19" w14:textId="77777777" w:rsidR="001653C9" w:rsidRPr="003230BE" w:rsidRDefault="001653C9" w:rsidP="002F3448">
            <w:pPr>
              <w:pStyle w:val="TableText"/>
              <w:spacing w:before="0" w:after="0"/>
              <w:rPr>
                <w:rFonts w:ascii="Arial" w:hAnsi="Arial" w:cs="Arial"/>
              </w:rPr>
            </w:pPr>
            <w:r w:rsidRPr="003230BE">
              <w:rPr>
                <w:rFonts w:ascii="Arial" w:hAnsi="Arial" w:cs="Arial"/>
              </w:rPr>
              <w:t>Within-trial collection</w:t>
            </w:r>
          </w:p>
          <w:p w14:paraId="5EA863CB" w14:textId="77777777" w:rsidR="001653C9" w:rsidRPr="003230BE" w:rsidRDefault="001653C9" w:rsidP="002F3448">
            <w:pPr>
              <w:pStyle w:val="TableText"/>
              <w:spacing w:before="0" w:after="0"/>
              <w:rPr>
                <w:rFonts w:ascii="Arial" w:hAnsi="Arial" w:cs="Arial"/>
              </w:rPr>
            </w:pPr>
          </w:p>
          <w:p w14:paraId="7222E225" w14:textId="73DC1F44" w:rsidR="001653C9" w:rsidRPr="003230BE" w:rsidRDefault="001653C9" w:rsidP="002F3448">
            <w:pPr>
              <w:pStyle w:val="TableText"/>
              <w:spacing w:before="0" w:after="0"/>
              <w:rPr>
                <w:rFonts w:ascii="Arial" w:hAnsi="Arial" w:cs="Arial"/>
              </w:rPr>
            </w:pPr>
            <w:r w:rsidRPr="003230BE">
              <w:rPr>
                <w:rFonts w:ascii="Arial" w:hAnsi="Arial" w:cs="Arial"/>
              </w:rPr>
              <w:t>Within-trial collection</w:t>
            </w:r>
          </w:p>
        </w:tc>
        <w:tc>
          <w:tcPr>
            <w:tcW w:w="4767" w:type="dxa"/>
          </w:tcPr>
          <w:p w14:paraId="527B0503" w14:textId="77777777" w:rsidR="0095207B" w:rsidRPr="003230BE" w:rsidRDefault="001653C9" w:rsidP="002F3448">
            <w:pPr>
              <w:pStyle w:val="TableText"/>
              <w:spacing w:before="0" w:after="0"/>
              <w:rPr>
                <w:rFonts w:ascii="Arial" w:hAnsi="Arial" w:cs="Arial"/>
              </w:rPr>
            </w:pPr>
            <w:r w:rsidRPr="003230BE">
              <w:rPr>
                <w:rFonts w:ascii="Arial" w:hAnsi="Arial" w:cs="Arial"/>
              </w:rPr>
              <w:t>Used to determine referrals and adherence to pharmacist’s advice.</w:t>
            </w:r>
          </w:p>
          <w:p w14:paraId="667555EA" w14:textId="77777777" w:rsidR="001653C9" w:rsidRPr="003230BE" w:rsidRDefault="001653C9" w:rsidP="002F3448">
            <w:pPr>
              <w:pStyle w:val="TableText"/>
              <w:spacing w:before="0" w:after="0"/>
              <w:rPr>
                <w:rFonts w:ascii="Arial" w:hAnsi="Arial" w:cs="Arial"/>
              </w:rPr>
            </w:pPr>
            <w:r w:rsidRPr="003230BE">
              <w:rPr>
                <w:rFonts w:ascii="Arial" w:hAnsi="Arial" w:cs="Arial"/>
              </w:rPr>
              <w:t>Required to map the SF36 to SF-6Dv2 and used to calculate health utility scores and Quality Adjusted Life Years (QALYs)</w:t>
            </w:r>
          </w:p>
          <w:p w14:paraId="6A9EE789" w14:textId="77777777" w:rsidR="001653C9" w:rsidRPr="003230BE" w:rsidRDefault="001653C9" w:rsidP="002F3448">
            <w:pPr>
              <w:pStyle w:val="TableText"/>
              <w:spacing w:before="0" w:after="0"/>
              <w:rPr>
                <w:rFonts w:ascii="Arial" w:hAnsi="Arial" w:cs="Arial"/>
              </w:rPr>
            </w:pPr>
          </w:p>
          <w:p w14:paraId="3F4A8979" w14:textId="7D0958C1" w:rsidR="001653C9" w:rsidRPr="003230BE" w:rsidRDefault="001653C9" w:rsidP="002F3448">
            <w:pPr>
              <w:pStyle w:val="TableText"/>
              <w:spacing w:before="0" w:after="0"/>
              <w:rPr>
                <w:rFonts w:ascii="Arial" w:hAnsi="Arial" w:cs="Arial"/>
              </w:rPr>
            </w:pPr>
            <w:r w:rsidRPr="003230BE">
              <w:rPr>
                <w:rFonts w:ascii="Arial" w:hAnsi="Arial" w:cs="Arial"/>
              </w:rPr>
              <w:t xml:space="preserve">Used to quantify CVD risk into low, </w:t>
            </w:r>
            <w:proofErr w:type="gramStart"/>
            <w:r w:rsidRPr="003230BE">
              <w:rPr>
                <w:rFonts w:ascii="Arial" w:hAnsi="Arial" w:cs="Arial"/>
              </w:rPr>
              <w:t>medium</w:t>
            </w:r>
            <w:proofErr w:type="gramEnd"/>
            <w:r w:rsidRPr="003230BE">
              <w:rPr>
                <w:rFonts w:ascii="Arial" w:hAnsi="Arial" w:cs="Arial"/>
              </w:rPr>
              <w:t xml:space="preserve"> and high</w:t>
            </w:r>
          </w:p>
        </w:tc>
      </w:tr>
    </w:tbl>
    <w:p w14:paraId="252DD5D7" w14:textId="77777777" w:rsidR="00EC54A4" w:rsidRDefault="00EC54A4" w:rsidP="003D538D">
      <w:pPr>
        <w:spacing w:before="0" w:after="0" w:line="240" w:lineRule="auto"/>
        <w:rPr>
          <w:rFonts w:ascii="Arial" w:eastAsiaTheme="majorEastAsia" w:hAnsi="Arial" w:cs="Arial"/>
          <w:color w:val="000000" w:themeColor="text1"/>
          <w:sz w:val="32"/>
          <w:szCs w:val="26"/>
        </w:rPr>
      </w:pPr>
      <w:bookmarkStart w:id="84" w:name="_Toc54940862"/>
      <w:r>
        <w:rPr>
          <w:rFonts w:ascii="Arial" w:hAnsi="Arial" w:cs="Arial"/>
        </w:rPr>
        <w:br w:type="page"/>
      </w:r>
    </w:p>
    <w:p w14:paraId="2A683AAA" w14:textId="0A3B0ABF" w:rsidR="00173D85" w:rsidRPr="00EC54A4" w:rsidRDefault="007A19F6" w:rsidP="0093246E">
      <w:pPr>
        <w:pStyle w:val="Heading2"/>
        <w:numPr>
          <w:ilvl w:val="0"/>
          <w:numId w:val="0"/>
        </w:numPr>
        <w:spacing w:before="0" w:after="0"/>
        <w:rPr>
          <w:rFonts w:ascii="Arial" w:hAnsi="Arial" w:cs="Arial"/>
          <w:b/>
          <w:bCs/>
        </w:rPr>
      </w:pPr>
      <w:bookmarkStart w:id="85" w:name="_Toc137535788"/>
      <w:r w:rsidRPr="00EC54A4">
        <w:rPr>
          <w:rFonts w:ascii="Arial" w:hAnsi="Arial" w:cs="Arial"/>
          <w:b/>
          <w:bCs/>
        </w:rPr>
        <w:lastRenderedPageBreak/>
        <w:t>4.2</w:t>
      </w:r>
      <w:r w:rsidR="000E03DC" w:rsidRPr="00EC54A4">
        <w:rPr>
          <w:rFonts w:ascii="Arial" w:hAnsi="Arial" w:cs="Arial"/>
          <w:b/>
          <w:bCs/>
        </w:rPr>
        <w:tab/>
      </w:r>
      <w:r w:rsidRPr="00EC54A4">
        <w:rPr>
          <w:rFonts w:ascii="Arial" w:hAnsi="Arial" w:cs="Arial"/>
          <w:b/>
          <w:bCs/>
        </w:rPr>
        <w:t>Estimation of use and financial impact of the proposed health technology</w:t>
      </w:r>
      <w:bookmarkEnd w:id="84"/>
      <w:bookmarkEnd w:id="85"/>
    </w:p>
    <w:p w14:paraId="2E0A58EC" w14:textId="78CB0D7D" w:rsidR="00932A4E" w:rsidRPr="00A24C7E" w:rsidRDefault="00932A4E" w:rsidP="0093246E">
      <w:pPr>
        <w:shd w:val="clear" w:color="auto" w:fill="FFFFFF"/>
        <w:spacing w:before="160" w:line="240" w:lineRule="auto"/>
        <w:rPr>
          <w:rFonts w:ascii="Arial" w:hAnsi="Arial" w:cs="Arial"/>
          <w:color w:val="231F20"/>
          <w:shd w:val="clear" w:color="auto" w:fill="FFFFFF"/>
        </w:rPr>
      </w:pPr>
      <w:r>
        <w:rPr>
          <w:rFonts w:ascii="Arial" w:hAnsi="Arial" w:cs="Arial"/>
          <w:color w:val="231F20"/>
          <w:shd w:val="clear" w:color="auto" w:fill="FFFFFF"/>
        </w:rPr>
        <w:t>A</w:t>
      </w:r>
      <w:r w:rsidRPr="00A24C7E">
        <w:rPr>
          <w:rFonts w:ascii="Arial" w:hAnsi="Arial" w:cs="Arial"/>
          <w:color w:val="231F20"/>
          <w:shd w:val="clear" w:color="auto" w:fill="FFFFFF"/>
        </w:rPr>
        <w:t>s a major cause of death and disability in Australia, CVD places a huge burden on the economy as well as the healthcare system, costing $11.8 billion a year and being responsible for 11 per cent of all hospitalisations.</w:t>
      </w:r>
      <w:r w:rsidRPr="00A24C7E">
        <w:rPr>
          <w:rStyle w:val="FootnoteReference"/>
          <w:rFonts w:ascii="Arial" w:hAnsi="Arial" w:cs="Arial"/>
          <w:color w:val="231F20"/>
          <w:shd w:val="clear" w:color="auto" w:fill="FFFFFF"/>
        </w:rPr>
        <w:footnoteReference w:id="9"/>
      </w:r>
    </w:p>
    <w:p w14:paraId="1216838B" w14:textId="20116A29" w:rsidR="00932A4E" w:rsidRPr="00A24C7E" w:rsidRDefault="00932A4E" w:rsidP="0093246E">
      <w:pPr>
        <w:shd w:val="clear" w:color="auto" w:fill="FFFFFF"/>
        <w:spacing w:before="160" w:line="240" w:lineRule="auto"/>
        <w:rPr>
          <w:rFonts w:ascii="Arial" w:hAnsi="Arial" w:cs="Arial"/>
          <w:color w:val="231F20"/>
          <w:shd w:val="clear" w:color="auto" w:fill="FFFFFF"/>
        </w:rPr>
      </w:pPr>
      <w:r w:rsidRPr="00A24C7E">
        <w:rPr>
          <w:rFonts w:ascii="Arial" w:hAnsi="Arial" w:cs="Arial"/>
          <w:color w:val="231F20"/>
          <w:shd w:val="clear" w:color="auto" w:fill="FFFFFF"/>
        </w:rPr>
        <w:t xml:space="preserve">An estimated 1.2 million Australians aged 18 and over (6.2% of the adult population) had 1 or more conditions related to heart, </w:t>
      </w:r>
      <w:proofErr w:type="gramStart"/>
      <w:r w:rsidRPr="00A24C7E">
        <w:rPr>
          <w:rFonts w:ascii="Arial" w:hAnsi="Arial" w:cs="Arial"/>
          <w:color w:val="231F20"/>
          <w:shd w:val="clear" w:color="auto" w:fill="FFFFFF"/>
        </w:rPr>
        <w:t>stroke</w:t>
      </w:r>
      <w:proofErr w:type="gramEnd"/>
      <w:r w:rsidRPr="00A24C7E">
        <w:rPr>
          <w:rFonts w:ascii="Arial" w:hAnsi="Arial" w:cs="Arial"/>
          <w:color w:val="231F20"/>
          <w:shd w:val="clear" w:color="auto" w:fill="FFFFFF"/>
        </w:rPr>
        <w:t xml:space="preserve"> or vascular disease, based on self-reported data from the ABS 2017-18 National Health Survey</w:t>
      </w:r>
      <w:r w:rsidRPr="00A24C7E">
        <w:rPr>
          <w:rStyle w:val="FootnoteReference"/>
          <w:rFonts w:ascii="Arial" w:hAnsi="Arial" w:cs="Arial"/>
          <w:color w:val="231F20"/>
          <w:shd w:val="clear" w:color="auto" w:fill="FFFFFF"/>
        </w:rPr>
        <w:footnoteReference w:id="10"/>
      </w:r>
      <w:r w:rsidRPr="00A24C7E">
        <w:rPr>
          <w:rFonts w:ascii="Arial" w:hAnsi="Arial" w:cs="Arial"/>
          <w:color w:val="231F20"/>
          <w:shd w:val="clear" w:color="auto" w:fill="FFFFFF"/>
        </w:rPr>
        <w:t>.</w:t>
      </w:r>
      <w:r>
        <w:rPr>
          <w:rFonts w:ascii="Arial" w:hAnsi="Arial" w:cs="Arial"/>
          <w:color w:val="231F20"/>
          <w:shd w:val="clear" w:color="auto" w:fill="FFFFFF"/>
        </w:rPr>
        <w:t xml:space="preserve"> </w:t>
      </w:r>
      <w:r w:rsidRPr="00A24C7E">
        <w:rPr>
          <w:rFonts w:ascii="Arial" w:hAnsi="Arial" w:cs="Arial"/>
          <w:color w:val="231F20"/>
          <w:shd w:val="clear" w:color="auto" w:fill="FFFFFF"/>
        </w:rPr>
        <w:t>In 2019 CVD was the underlying cause of 42,300 death (25% of all deaths)</w:t>
      </w:r>
      <w:r w:rsidR="0093246E">
        <w:rPr>
          <w:rFonts w:ascii="Arial" w:hAnsi="Arial" w:cs="Arial"/>
          <w:color w:val="231F20"/>
          <w:shd w:val="clear" w:color="auto" w:fill="FFFFFF"/>
        </w:rPr>
        <w:t>.</w:t>
      </w:r>
      <w:r w:rsidRPr="00A24C7E">
        <w:rPr>
          <w:rStyle w:val="FootnoteReference"/>
          <w:rFonts w:ascii="Arial" w:hAnsi="Arial" w:cs="Arial"/>
          <w:color w:val="231F20"/>
          <w:shd w:val="clear" w:color="auto" w:fill="FFFFFF"/>
        </w:rPr>
        <w:t>7</w:t>
      </w:r>
    </w:p>
    <w:p w14:paraId="7E2A5B02" w14:textId="57227545" w:rsidR="00932A4E" w:rsidRDefault="00932A4E" w:rsidP="0093246E">
      <w:pPr>
        <w:shd w:val="clear" w:color="auto" w:fill="FFFFFF"/>
        <w:spacing w:before="160" w:line="240" w:lineRule="auto"/>
        <w:rPr>
          <w:rFonts w:ascii="Arial" w:hAnsi="Arial" w:cs="Arial"/>
          <w:color w:val="231F20"/>
          <w:shd w:val="clear" w:color="auto" w:fill="FFFFFF"/>
        </w:rPr>
      </w:pPr>
      <w:r w:rsidRPr="00A24C7E">
        <w:rPr>
          <w:rFonts w:ascii="Arial" w:hAnsi="Arial" w:cs="Arial"/>
          <w:color w:val="231F20"/>
          <w:shd w:val="clear" w:color="auto" w:fill="FFFFFF"/>
        </w:rPr>
        <w:t xml:space="preserve">In Australia, </w:t>
      </w:r>
      <w:r>
        <w:rPr>
          <w:rFonts w:ascii="Arial" w:hAnsi="Arial" w:cs="Arial"/>
          <w:color w:val="231F20"/>
          <w:shd w:val="clear" w:color="auto" w:fill="FFFFFF"/>
        </w:rPr>
        <w:t xml:space="preserve">the cost of </w:t>
      </w:r>
      <w:r w:rsidRPr="00A24C7E">
        <w:rPr>
          <w:rFonts w:ascii="Arial" w:hAnsi="Arial" w:cs="Arial"/>
          <w:color w:val="231F20"/>
          <w:shd w:val="clear" w:color="auto" w:fill="FFFFFF"/>
        </w:rPr>
        <w:t xml:space="preserve">heart health checks </w:t>
      </w:r>
      <w:proofErr w:type="gramStart"/>
      <w:r w:rsidRPr="00A24C7E">
        <w:rPr>
          <w:rFonts w:ascii="Arial" w:hAnsi="Arial" w:cs="Arial"/>
          <w:color w:val="231F20"/>
          <w:shd w:val="clear" w:color="auto" w:fill="FFFFFF"/>
        </w:rPr>
        <w:t>are</w:t>
      </w:r>
      <w:proofErr w:type="gramEnd"/>
      <w:r w:rsidRPr="00A24C7E">
        <w:rPr>
          <w:rFonts w:ascii="Arial" w:hAnsi="Arial" w:cs="Arial"/>
          <w:color w:val="231F20"/>
          <w:shd w:val="clear" w:color="auto" w:fill="FFFFFF"/>
        </w:rPr>
        <w:t xml:space="preserve"> covered by Medicare, however this requires people </w:t>
      </w:r>
      <w:r>
        <w:rPr>
          <w:rFonts w:ascii="Arial" w:hAnsi="Arial" w:cs="Arial"/>
          <w:color w:val="231F20"/>
          <w:shd w:val="clear" w:color="auto" w:fill="FFFFFF"/>
        </w:rPr>
        <w:t>to present at</w:t>
      </w:r>
      <w:r w:rsidRPr="00A24C7E">
        <w:rPr>
          <w:rFonts w:ascii="Arial" w:hAnsi="Arial" w:cs="Arial"/>
          <w:color w:val="231F20"/>
          <w:shd w:val="clear" w:color="auto" w:fill="FFFFFF"/>
        </w:rPr>
        <w:t xml:space="preserve"> General Practice for an assessment. CVD Risk Assessment in community pharmacy enables easy access for opportunistic testing and </w:t>
      </w:r>
      <w:r w:rsidR="00AD7B66" w:rsidRPr="00A24C7E">
        <w:rPr>
          <w:rFonts w:ascii="Arial" w:hAnsi="Arial" w:cs="Arial"/>
          <w:color w:val="231F20"/>
          <w:shd w:val="clear" w:color="auto" w:fill="FFFFFF"/>
        </w:rPr>
        <w:t>assessment,</w:t>
      </w:r>
      <w:r w:rsidRPr="00A24C7E">
        <w:rPr>
          <w:rFonts w:ascii="Arial" w:hAnsi="Arial" w:cs="Arial"/>
          <w:color w:val="231F20"/>
          <w:shd w:val="clear" w:color="auto" w:fill="FFFFFF"/>
        </w:rPr>
        <w:t xml:space="preserve"> onward referral to General Practice for further testing and health and lifestyle advice</w:t>
      </w:r>
      <w:r>
        <w:rPr>
          <w:rFonts w:ascii="Arial" w:hAnsi="Arial" w:cs="Arial"/>
          <w:color w:val="231F20"/>
          <w:shd w:val="clear" w:color="auto" w:fill="FFFFFF"/>
        </w:rPr>
        <w:t>.</w:t>
      </w:r>
    </w:p>
    <w:p w14:paraId="39F24F57" w14:textId="5FF9B1C1" w:rsidR="00932A4E" w:rsidRDefault="00932A4E" w:rsidP="0093246E">
      <w:pPr>
        <w:shd w:val="clear" w:color="auto" w:fill="FFFFFF"/>
        <w:spacing w:before="160" w:line="240" w:lineRule="auto"/>
        <w:rPr>
          <w:rFonts w:ascii="Arial" w:hAnsi="Arial" w:cs="Arial"/>
          <w:color w:val="231F20"/>
          <w:shd w:val="clear" w:color="auto" w:fill="FFFFFF"/>
        </w:rPr>
      </w:pPr>
      <w:r>
        <w:rPr>
          <w:rFonts w:ascii="Arial" w:hAnsi="Arial" w:cs="Arial"/>
          <w:color w:val="231F20"/>
          <w:shd w:val="clear" w:color="auto" w:fill="FFFFFF"/>
        </w:rPr>
        <w:t>The proportion of people attending General Practice per age group</w:t>
      </w:r>
      <w:r>
        <w:rPr>
          <w:rStyle w:val="FootnoteReference"/>
          <w:rFonts w:ascii="Arial" w:hAnsi="Arial" w:cs="Arial"/>
          <w:color w:val="231F20"/>
          <w:shd w:val="clear" w:color="auto" w:fill="FFFFFF"/>
        </w:rPr>
        <w:footnoteReference w:id="11"/>
      </w:r>
      <w:r>
        <w:rPr>
          <w:rFonts w:ascii="Arial" w:hAnsi="Arial" w:cs="Arial"/>
          <w:color w:val="231F20"/>
          <w:shd w:val="clear" w:color="auto" w:fill="FFFFFF"/>
        </w:rPr>
        <w:t>, relevant to the target age cohort for the trial in 2018 was:</w:t>
      </w:r>
    </w:p>
    <w:p w14:paraId="1FDAA0F0" w14:textId="73281AEC" w:rsidR="00932A4E" w:rsidRPr="00B37119" w:rsidRDefault="00932A4E" w:rsidP="002F3448">
      <w:pPr>
        <w:pStyle w:val="ListParagraph"/>
        <w:numPr>
          <w:ilvl w:val="0"/>
          <w:numId w:val="35"/>
        </w:numPr>
        <w:shd w:val="clear" w:color="auto" w:fill="FFFFFF"/>
        <w:spacing w:before="0" w:after="0" w:line="240" w:lineRule="auto"/>
        <w:rPr>
          <w:rFonts w:ascii="Arial" w:hAnsi="Arial" w:cs="Arial"/>
          <w:color w:val="231F20"/>
          <w:shd w:val="clear" w:color="auto" w:fill="FFFFFF"/>
        </w:rPr>
      </w:pPr>
      <w:r w:rsidRPr="00B37119">
        <w:rPr>
          <w:rFonts w:ascii="Arial" w:hAnsi="Arial" w:cs="Arial"/>
          <w:color w:val="231F20"/>
          <w:shd w:val="clear" w:color="auto" w:fill="FFFFFF"/>
        </w:rPr>
        <w:t xml:space="preserve">45 - 54years: 85.7% attended General </w:t>
      </w:r>
      <w:proofErr w:type="gramStart"/>
      <w:r w:rsidRPr="00B37119">
        <w:rPr>
          <w:rFonts w:ascii="Arial" w:hAnsi="Arial" w:cs="Arial"/>
          <w:color w:val="231F20"/>
          <w:shd w:val="clear" w:color="auto" w:fill="FFFFFF"/>
        </w:rPr>
        <w:t>Practice;</w:t>
      </w:r>
      <w:proofErr w:type="gramEnd"/>
      <w:r w:rsidRPr="00B37119">
        <w:rPr>
          <w:rFonts w:ascii="Arial" w:hAnsi="Arial" w:cs="Arial"/>
          <w:color w:val="231F20"/>
          <w:shd w:val="clear" w:color="auto" w:fill="FFFFFF"/>
        </w:rPr>
        <w:t xml:space="preserve"> </w:t>
      </w:r>
      <w:r w:rsidR="007E30A9" w:rsidRPr="00B37119">
        <w:rPr>
          <w:rFonts w:ascii="Arial" w:hAnsi="Arial" w:cs="Arial"/>
          <w:color w:val="231F20"/>
          <w:shd w:val="clear" w:color="auto" w:fill="FFFFFF"/>
        </w:rPr>
        <w:t>i.e.</w:t>
      </w:r>
      <w:r w:rsidRPr="00B37119">
        <w:rPr>
          <w:rFonts w:ascii="Arial" w:hAnsi="Arial" w:cs="Arial"/>
          <w:color w:val="231F20"/>
          <w:shd w:val="clear" w:color="auto" w:fill="FFFFFF"/>
        </w:rPr>
        <w:t xml:space="preserve"> 14.3% did not attend </w:t>
      </w:r>
    </w:p>
    <w:p w14:paraId="215CD2FC" w14:textId="2A87D90E" w:rsidR="00932A4E" w:rsidRPr="00B37119" w:rsidRDefault="00932A4E" w:rsidP="002F3448">
      <w:pPr>
        <w:pStyle w:val="ListParagraph"/>
        <w:numPr>
          <w:ilvl w:val="0"/>
          <w:numId w:val="35"/>
        </w:numPr>
        <w:shd w:val="clear" w:color="auto" w:fill="FFFFFF"/>
        <w:spacing w:before="0" w:after="0" w:line="240" w:lineRule="auto"/>
        <w:rPr>
          <w:rFonts w:ascii="Arial" w:hAnsi="Arial" w:cs="Arial"/>
          <w:color w:val="231F20"/>
          <w:shd w:val="clear" w:color="auto" w:fill="FFFFFF"/>
        </w:rPr>
      </w:pPr>
      <w:r w:rsidRPr="00B37119">
        <w:rPr>
          <w:rFonts w:ascii="Arial" w:hAnsi="Arial" w:cs="Arial"/>
          <w:color w:val="231F20"/>
          <w:shd w:val="clear" w:color="auto" w:fill="FFFFFF"/>
        </w:rPr>
        <w:t xml:space="preserve">55 – 64years: 88.8% attended General </w:t>
      </w:r>
      <w:proofErr w:type="gramStart"/>
      <w:r w:rsidRPr="00B37119">
        <w:rPr>
          <w:rFonts w:ascii="Arial" w:hAnsi="Arial" w:cs="Arial"/>
          <w:color w:val="231F20"/>
          <w:shd w:val="clear" w:color="auto" w:fill="FFFFFF"/>
        </w:rPr>
        <w:t>Practice;</w:t>
      </w:r>
      <w:proofErr w:type="gramEnd"/>
      <w:r w:rsidRPr="00B37119">
        <w:rPr>
          <w:rFonts w:ascii="Arial" w:hAnsi="Arial" w:cs="Arial"/>
          <w:color w:val="231F20"/>
          <w:shd w:val="clear" w:color="auto" w:fill="FFFFFF"/>
        </w:rPr>
        <w:t xml:space="preserve"> </w:t>
      </w:r>
      <w:r w:rsidR="007E30A9" w:rsidRPr="00B37119">
        <w:rPr>
          <w:rFonts w:ascii="Arial" w:hAnsi="Arial" w:cs="Arial"/>
          <w:color w:val="231F20"/>
          <w:shd w:val="clear" w:color="auto" w:fill="FFFFFF"/>
        </w:rPr>
        <w:t>i.e.</w:t>
      </w:r>
      <w:r w:rsidRPr="00B37119">
        <w:rPr>
          <w:rFonts w:ascii="Arial" w:hAnsi="Arial" w:cs="Arial"/>
          <w:color w:val="231F20"/>
          <w:shd w:val="clear" w:color="auto" w:fill="FFFFFF"/>
        </w:rPr>
        <w:t xml:space="preserve"> 11.2% did not attend</w:t>
      </w:r>
    </w:p>
    <w:p w14:paraId="60AD1836" w14:textId="5F6F494A" w:rsidR="00932A4E" w:rsidRPr="0093246E" w:rsidRDefault="00932A4E" w:rsidP="0093246E">
      <w:pPr>
        <w:pStyle w:val="ListParagraph"/>
        <w:numPr>
          <w:ilvl w:val="0"/>
          <w:numId w:val="35"/>
        </w:numPr>
        <w:shd w:val="clear" w:color="auto" w:fill="FFFFFF"/>
        <w:spacing w:before="0" w:after="0" w:line="240" w:lineRule="auto"/>
        <w:rPr>
          <w:rFonts w:ascii="Arial" w:hAnsi="Arial" w:cs="Arial"/>
          <w:color w:val="231F20"/>
          <w:shd w:val="clear" w:color="auto" w:fill="FFFFFF"/>
        </w:rPr>
      </w:pPr>
      <w:r w:rsidRPr="00B37119">
        <w:rPr>
          <w:rFonts w:ascii="Arial" w:hAnsi="Arial" w:cs="Arial"/>
          <w:color w:val="231F20"/>
          <w:shd w:val="clear" w:color="auto" w:fill="FFFFFF"/>
        </w:rPr>
        <w:t xml:space="preserve">64 - 75years: 94.7% attended General </w:t>
      </w:r>
      <w:proofErr w:type="gramStart"/>
      <w:r w:rsidRPr="00B37119">
        <w:rPr>
          <w:rFonts w:ascii="Arial" w:hAnsi="Arial" w:cs="Arial"/>
          <w:color w:val="231F20"/>
          <w:shd w:val="clear" w:color="auto" w:fill="FFFFFF"/>
        </w:rPr>
        <w:t>Practice;</w:t>
      </w:r>
      <w:proofErr w:type="gramEnd"/>
      <w:r w:rsidRPr="00B37119">
        <w:rPr>
          <w:rFonts w:ascii="Arial" w:hAnsi="Arial" w:cs="Arial"/>
          <w:color w:val="231F20"/>
          <w:shd w:val="clear" w:color="auto" w:fill="FFFFFF"/>
        </w:rPr>
        <w:t xml:space="preserve"> </w:t>
      </w:r>
      <w:r w:rsidR="007E30A9" w:rsidRPr="00B37119">
        <w:rPr>
          <w:rFonts w:ascii="Arial" w:hAnsi="Arial" w:cs="Arial"/>
          <w:color w:val="231F20"/>
          <w:shd w:val="clear" w:color="auto" w:fill="FFFFFF"/>
        </w:rPr>
        <w:t>i.e.</w:t>
      </w:r>
      <w:r w:rsidRPr="00B37119">
        <w:rPr>
          <w:rFonts w:ascii="Arial" w:hAnsi="Arial" w:cs="Arial"/>
          <w:color w:val="231F20"/>
          <w:shd w:val="clear" w:color="auto" w:fill="FFFFFF"/>
        </w:rPr>
        <w:t xml:space="preserve"> 5.3% did not attend</w:t>
      </w:r>
    </w:p>
    <w:p w14:paraId="6B86C76D" w14:textId="77777777" w:rsidR="00932A4E" w:rsidRDefault="00932A4E" w:rsidP="0093246E">
      <w:pPr>
        <w:shd w:val="clear" w:color="auto" w:fill="FFFFFF"/>
        <w:spacing w:before="160" w:line="240" w:lineRule="auto"/>
        <w:rPr>
          <w:rFonts w:ascii="Arial" w:hAnsi="Arial" w:cs="Arial"/>
          <w:color w:val="231F20"/>
          <w:shd w:val="clear" w:color="auto" w:fill="FFFFFF"/>
        </w:rPr>
      </w:pPr>
      <w:r>
        <w:rPr>
          <w:rFonts w:ascii="Arial" w:hAnsi="Arial" w:cs="Arial"/>
          <w:color w:val="231F20"/>
          <w:shd w:val="clear" w:color="auto" w:fill="FFFFFF"/>
        </w:rPr>
        <w:t>In 2021</w:t>
      </w:r>
      <w:r>
        <w:rPr>
          <w:rStyle w:val="FootnoteReference"/>
          <w:rFonts w:ascii="Arial" w:hAnsi="Arial" w:cs="Arial"/>
          <w:color w:val="231F20"/>
          <w:shd w:val="clear" w:color="auto" w:fill="FFFFFF"/>
        </w:rPr>
        <w:footnoteReference w:id="12"/>
      </w:r>
      <w:r>
        <w:rPr>
          <w:rFonts w:ascii="Arial" w:hAnsi="Arial" w:cs="Arial"/>
          <w:color w:val="231F20"/>
          <w:shd w:val="clear" w:color="auto" w:fill="FFFFFF"/>
        </w:rPr>
        <w:t>:</w:t>
      </w:r>
    </w:p>
    <w:p w14:paraId="2C9D96E9" w14:textId="77777777" w:rsidR="00932A4E" w:rsidRPr="00E068BF" w:rsidRDefault="00932A4E" w:rsidP="0093246E">
      <w:pPr>
        <w:pStyle w:val="ListParagraph"/>
        <w:numPr>
          <w:ilvl w:val="0"/>
          <w:numId w:val="36"/>
        </w:numPr>
        <w:shd w:val="clear" w:color="auto" w:fill="FFFFFF"/>
        <w:spacing w:before="160" w:line="240" w:lineRule="auto"/>
        <w:rPr>
          <w:rFonts w:ascii="Arial" w:hAnsi="Arial" w:cs="Arial"/>
          <w:color w:val="231F20"/>
          <w:shd w:val="clear" w:color="auto" w:fill="FFFFFF"/>
        </w:rPr>
      </w:pPr>
      <w:r w:rsidRPr="00E068BF">
        <w:rPr>
          <w:rFonts w:ascii="Arial" w:hAnsi="Arial" w:cs="Arial"/>
          <w:color w:val="231F20"/>
          <w:shd w:val="clear" w:color="auto" w:fill="FFFFFF"/>
        </w:rPr>
        <w:t>1,589,685 Australians were aged 45 – 54 years</w:t>
      </w:r>
    </w:p>
    <w:p w14:paraId="34B33B4B" w14:textId="77777777" w:rsidR="00932A4E" w:rsidRPr="00E068BF" w:rsidRDefault="00932A4E" w:rsidP="0093246E">
      <w:pPr>
        <w:pStyle w:val="ListParagraph"/>
        <w:numPr>
          <w:ilvl w:val="0"/>
          <w:numId w:val="36"/>
        </w:numPr>
        <w:shd w:val="clear" w:color="auto" w:fill="FFFFFF"/>
        <w:spacing w:before="160" w:line="240" w:lineRule="auto"/>
        <w:rPr>
          <w:rFonts w:ascii="Arial" w:hAnsi="Arial" w:cs="Arial"/>
          <w:color w:val="231F20"/>
          <w:shd w:val="clear" w:color="auto" w:fill="FFFFFF"/>
        </w:rPr>
      </w:pPr>
      <w:r w:rsidRPr="00E068BF">
        <w:rPr>
          <w:rFonts w:ascii="Arial" w:hAnsi="Arial" w:cs="Arial"/>
          <w:color w:val="231F20"/>
          <w:shd w:val="clear" w:color="auto" w:fill="FFFFFF"/>
        </w:rPr>
        <w:t>1,465,393 Australians were aged 55 – 64 years</w:t>
      </w:r>
    </w:p>
    <w:p w14:paraId="3AC596BB" w14:textId="02339011" w:rsidR="00932A4E" w:rsidRPr="0093246E" w:rsidRDefault="00932A4E" w:rsidP="0093246E">
      <w:pPr>
        <w:pStyle w:val="ListParagraph"/>
        <w:numPr>
          <w:ilvl w:val="0"/>
          <w:numId w:val="36"/>
        </w:numPr>
        <w:shd w:val="clear" w:color="auto" w:fill="FFFFFF"/>
        <w:spacing w:before="160" w:line="240" w:lineRule="auto"/>
        <w:rPr>
          <w:rFonts w:ascii="Arial" w:hAnsi="Arial" w:cs="Arial"/>
          <w:color w:val="231F20"/>
          <w:shd w:val="clear" w:color="auto" w:fill="FFFFFF"/>
        </w:rPr>
      </w:pPr>
      <w:r w:rsidRPr="00E068BF">
        <w:rPr>
          <w:rFonts w:ascii="Arial" w:hAnsi="Arial" w:cs="Arial"/>
          <w:color w:val="231F20"/>
          <w:shd w:val="clear" w:color="auto" w:fill="FFFFFF"/>
        </w:rPr>
        <w:t>1,187,180 Australians were age 65 – 74 years</w:t>
      </w:r>
    </w:p>
    <w:p w14:paraId="4934548E" w14:textId="53764AC1" w:rsidR="00932A4E" w:rsidRPr="008017BE" w:rsidRDefault="00932A4E" w:rsidP="0093246E">
      <w:pPr>
        <w:pStyle w:val="Instructionaltext"/>
        <w:spacing w:before="160" w:line="240" w:lineRule="auto"/>
        <w:rPr>
          <w:rFonts w:ascii="Arial" w:hAnsi="Arial" w:cs="Arial"/>
          <w:color w:val="auto"/>
        </w:rPr>
      </w:pPr>
      <w:r w:rsidRPr="008017BE">
        <w:rPr>
          <w:rFonts w:ascii="Arial" w:hAnsi="Arial" w:cs="Arial"/>
          <w:color w:val="auto"/>
        </w:rPr>
        <w:t xml:space="preserve">The CVD Risk Assessment in a population that does not </w:t>
      </w:r>
      <w:r w:rsidR="00AD7B66" w:rsidRPr="008017BE">
        <w:rPr>
          <w:rFonts w:ascii="Arial" w:hAnsi="Arial" w:cs="Arial"/>
          <w:color w:val="auto"/>
        </w:rPr>
        <w:t>engage</w:t>
      </w:r>
      <w:r w:rsidRPr="008017BE">
        <w:rPr>
          <w:rFonts w:ascii="Arial" w:hAnsi="Arial" w:cs="Arial"/>
          <w:color w:val="auto"/>
        </w:rPr>
        <w:t xml:space="preserve"> with General Practice within a </w:t>
      </w:r>
      <w:proofErr w:type="gramStart"/>
      <w:r w:rsidRPr="008017BE">
        <w:rPr>
          <w:rFonts w:ascii="Arial" w:hAnsi="Arial" w:cs="Arial"/>
          <w:color w:val="auto"/>
        </w:rPr>
        <w:t>12 month</w:t>
      </w:r>
      <w:proofErr w:type="gramEnd"/>
      <w:r w:rsidRPr="008017BE">
        <w:rPr>
          <w:rFonts w:ascii="Arial" w:hAnsi="Arial" w:cs="Arial"/>
          <w:color w:val="auto"/>
        </w:rPr>
        <w:t xml:space="preserve"> period may be applied to</w:t>
      </w:r>
      <w:r w:rsidR="002F3AF8">
        <w:rPr>
          <w:rFonts w:ascii="Arial" w:hAnsi="Arial" w:cs="Arial"/>
          <w:color w:val="auto"/>
        </w:rPr>
        <w:t>:</w:t>
      </w:r>
    </w:p>
    <w:p w14:paraId="779CB681" w14:textId="77777777" w:rsidR="00932A4E" w:rsidRPr="00E068BF" w:rsidRDefault="00932A4E" w:rsidP="0093246E">
      <w:pPr>
        <w:pStyle w:val="ListParagraph"/>
        <w:numPr>
          <w:ilvl w:val="0"/>
          <w:numId w:val="36"/>
        </w:numPr>
        <w:shd w:val="clear" w:color="auto" w:fill="FFFFFF"/>
        <w:spacing w:before="160" w:line="240" w:lineRule="auto"/>
        <w:rPr>
          <w:rFonts w:ascii="Arial" w:hAnsi="Arial" w:cs="Arial"/>
          <w:color w:val="231F20"/>
          <w:shd w:val="clear" w:color="auto" w:fill="FFFFFF"/>
        </w:rPr>
      </w:pPr>
      <w:r>
        <w:rPr>
          <w:rFonts w:ascii="Arial" w:hAnsi="Arial" w:cs="Arial"/>
          <w:color w:val="231F20"/>
          <w:shd w:val="clear" w:color="auto" w:fill="FFFFFF"/>
        </w:rPr>
        <w:t>227,325</w:t>
      </w:r>
      <w:r w:rsidRPr="00E068BF">
        <w:rPr>
          <w:rFonts w:ascii="Arial" w:hAnsi="Arial" w:cs="Arial"/>
          <w:color w:val="231F20"/>
          <w:shd w:val="clear" w:color="auto" w:fill="FFFFFF"/>
        </w:rPr>
        <w:t xml:space="preserve"> Australians aged 45 – 54 years</w:t>
      </w:r>
    </w:p>
    <w:p w14:paraId="52127AC8" w14:textId="77777777" w:rsidR="00932A4E" w:rsidRPr="00E068BF" w:rsidRDefault="00932A4E" w:rsidP="0093246E">
      <w:pPr>
        <w:pStyle w:val="ListParagraph"/>
        <w:numPr>
          <w:ilvl w:val="0"/>
          <w:numId w:val="36"/>
        </w:numPr>
        <w:shd w:val="clear" w:color="auto" w:fill="FFFFFF"/>
        <w:spacing w:before="160" w:line="240" w:lineRule="auto"/>
        <w:rPr>
          <w:rFonts w:ascii="Arial" w:hAnsi="Arial" w:cs="Arial"/>
          <w:color w:val="231F20"/>
          <w:shd w:val="clear" w:color="auto" w:fill="FFFFFF"/>
        </w:rPr>
      </w:pPr>
      <w:r>
        <w:rPr>
          <w:rFonts w:ascii="Arial" w:hAnsi="Arial" w:cs="Arial"/>
          <w:color w:val="231F20"/>
          <w:shd w:val="clear" w:color="auto" w:fill="FFFFFF"/>
        </w:rPr>
        <w:t>164.124</w:t>
      </w:r>
      <w:r w:rsidRPr="00E068BF">
        <w:rPr>
          <w:rFonts w:ascii="Arial" w:hAnsi="Arial" w:cs="Arial"/>
          <w:color w:val="231F20"/>
          <w:shd w:val="clear" w:color="auto" w:fill="FFFFFF"/>
        </w:rPr>
        <w:t xml:space="preserve"> Australians aged 55 – 64 years</w:t>
      </w:r>
    </w:p>
    <w:p w14:paraId="724DCCB3" w14:textId="3C732582" w:rsidR="00932A4E" w:rsidRPr="0093246E" w:rsidRDefault="00932A4E" w:rsidP="0093246E">
      <w:pPr>
        <w:pStyle w:val="ListParagraph"/>
        <w:numPr>
          <w:ilvl w:val="0"/>
          <w:numId w:val="36"/>
        </w:numPr>
        <w:shd w:val="clear" w:color="auto" w:fill="FFFFFF"/>
        <w:spacing w:before="160" w:line="240" w:lineRule="auto"/>
        <w:rPr>
          <w:rFonts w:ascii="Arial" w:hAnsi="Arial" w:cs="Arial"/>
          <w:color w:val="231F20"/>
          <w:shd w:val="clear" w:color="auto" w:fill="FFFFFF"/>
        </w:rPr>
      </w:pPr>
      <w:r>
        <w:rPr>
          <w:rFonts w:ascii="Arial" w:hAnsi="Arial" w:cs="Arial"/>
          <w:color w:val="231F20"/>
          <w:shd w:val="clear" w:color="auto" w:fill="FFFFFF"/>
        </w:rPr>
        <w:t>62,920</w:t>
      </w:r>
      <w:r w:rsidRPr="00E068BF">
        <w:rPr>
          <w:rFonts w:ascii="Arial" w:hAnsi="Arial" w:cs="Arial"/>
          <w:color w:val="231F20"/>
          <w:shd w:val="clear" w:color="auto" w:fill="FFFFFF"/>
        </w:rPr>
        <w:t xml:space="preserve"> Australians age</w:t>
      </w:r>
      <w:r>
        <w:rPr>
          <w:rFonts w:ascii="Arial" w:hAnsi="Arial" w:cs="Arial"/>
          <w:color w:val="231F20"/>
          <w:shd w:val="clear" w:color="auto" w:fill="FFFFFF"/>
        </w:rPr>
        <w:t>d</w:t>
      </w:r>
      <w:r w:rsidRPr="00E068BF">
        <w:rPr>
          <w:rFonts w:ascii="Arial" w:hAnsi="Arial" w:cs="Arial"/>
          <w:color w:val="231F20"/>
          <w:shd w:val="clear" w:color="auto" w:fill="FFFFFF"/>
        </w:rPr>
        <w:t xml:space="preserve"> 65 – 74 years</w:t>
      </w:r>
    </w:p>
    <w:p w14:paraId="419F5E10" w14:textId="2872B429" w:rsidR="00932A4E" w:rsidRPr="0093246E" w:rsidRDefault="00932A4E" w:rsidP="0093246E">
      <w:pPr>
        <w:shd w:val="clear" w:color="auto" w:fill="FFFFFF"/>
        <w:spacing w:before="160" w:line="240" w:lineRule="auto"/>
        <w:rPr>
          <w:rFonts w:ascii="Arial" w:hAnsi="Arial" w:cs="Arial"/>
          <w:color w:val="231F20"/>
          <w:shd w:val="clear" w:color="auto" w:fill="FFFFFF"/>
        </w:rPr>
      </w:pPr>
      <w:r w:rsidRPr="00E068BF">
        <w:rPr>
          <w:rFonts w:ascii="Arial" w:hAnsi="Arial" w:cs="Arial"/>
          <w:color w:val="231F20"/>
          <w:shd w:val="clear" w:color="auto" w:fill="FFFFFF"/>
        </w:rPr>
        <w:t>Whilst this does not speak the risk of CVD within the population it may indicate an estimated use of the CVD Risk Assessment in people not engaging with General Practice.</w:t>
      </w:r>
    </w:p>
    <w:p w14:paraId="5ED9A3EE" w14:textId="7C1EC15A" w:rsidR="007E6B37" w:rsidRPr="003230BE" w:rsidRDefault="00996CDC" w:rsidP="0093246E">
      <w:pPr>
        <w:spacing w:before="160" w:line="240" w:lineRule="auto"/>
        <w:rPr>
          <w:rFonts w:ascii="Arial" w:hAnsi="Arial" w:cs="Arial"/>
        </w:rPr>
      </w:pPr>
      <w:r w:rsidRPr="00884F08">
        <w:rPr>
          <w:rFonts w:ascii="Arial" w:hAnsi="Arial" w:cs="Arial"/>
        </w:rPr>
        <w:t>As noted in 3A.3 if the program is to be implemented, financial determinations will include the cost of conducting assessments (either as comprehensive or brief).</w:t>
      </w:r>
      <w:r w:rsidR="00A85BF7">
        <w:rPr>
          <w:rFonts w:ascii="Arial" w:hAnsi="Arial" w:cs="Arial"/>
        </w:rPr>
        <w:t xml:space="preserve"> </w:t>
      </w:r>
      <w:r w:rsidRPr="00884F08">
        <w:rPr>
          <w:rFonts w:ascii="Arial" w:hAnsi="Arial" w:cs="Arial"/>
        </w:rPr>
        <w:t>At the time of conducting this economic evaluation, we did not have exact data on the actual time that pharmacists spent on conducting the assessments, or associated salary and wages information.</w:t>
      </w:r>
      <w:r w:rsidR="00A85BF7">
        <w:rPr>
          <w:rFonts w:ascii="Arial" w:hAnsi="Arial" w:cs="Arial"/>
        </w:rPr>
        <w:t xml:space="preserve"> </w:t>
      </w:r>
      <w:r w:rsidRPr="00884F08">
        <w:rPr>
          <w:rFonts w:ascii="Arial" w:hAnsi="Arial" w:cs="Arial"/>
        </w:rPr>
        <w:t>It is difficult to provide an estimate on how much the future costs might look if the program is implemented.</w:t>
      </w:r>
    </w:p>
    <w:p w14:paraId="14CC87A0" w14:textId="2AF9BB1E" w:rsidR="007A19F6" w:rsidRPr="00EC54A4" w:rsidRDefault="007A19F6" w:rsidP="002F3448">
      <w:pPr>
        <w:pStyle w:val="Heading2"/>
        <w:numPr>
          <w:ilvl w:val="0"/>
          <w:numId w:val="0"/>
        </w:numPr>
        <w:spacing w:before="0" w:after="0"/>
        <w:ind w:left="720" w:hanging="720"/>
        <w:rPr>
          <w:rFonts w:ascii="Arial" w:hAnsi="Arial" w:cs="Arial"/>
          <w:b/>
          <w:bCs/>
        </w:rPr>
      </w:pPr>
      <w:bookmarkStart w:id="86" w:name="_Toc54940863"/>
      <w:bookmarkStart w:id="87" w:name="_Toc137535789"/>
      <w:r w:rsidRPr="00EC54A4">
        <w:rPr>
          <w:rFonts w:ascii="Arial" w:hAnsi="Arial" w:cs="Arial"/>
          <w:b/>
          <w:bCs/>
        </w:rPr>
        <w:lastRenderedPageBreak/>
        <w:t>4.3</w:t>
      </w:r>
      <w:r w:rsidR="000E03DC" w:rsidRPr="00EC54A4">
        <w:rPr>
          <w:rFonts w:ascii="Arial" w:hAnsi="Arial" w:cs="Arial"/>
          <w:b/>
          <w:bCs/>
        </w:rPr>
        <w:tab/>
      </w:r>
      <w:r w:rsidRPr="00EC54A4">
        <w:rPr>
          <w:rFonts w:ascii="Arial" w:hAnsi="Arial" w:cs="Arial"/>
          <w:b/>
          <w:bCs/>
        </w:rPr>
        <w:t>Estimation of changes in use and financial impact of other health technologies</w:t>
      </w:r>
      <w:bookmarkEnd w:id="86"/>
      <w:bookmarkEnd w:id="87"/>
    </w:p>
    <w:p w14:paraId="6BD47525" w14:textId="51799A16" w:rsidR="00326BFF" w:rsidRDefault="00326BFF" w:rsidP="00BB6A22">
      <w:pPr>
        <w:pStyle w:val="Instructionaltext"/>
        <w:spacing w:before="160" w:line="240" w:lineRule="auto"/>
        <w:rPr>
          <w:rFonts w:ascii="Arial" w:hAnsi="Arial" w:cs="Arial"/>
          <w:color w:val="auto"/>
        </w:rPr>
      </w:pPr>
      <w:r>
        <w:rPr>
          <w:rFonts w:ascii="Arial" w:hAnsi="Arial" w:cs="Arial"/>
          <w:color w:val="auto"/>
        </w:rPr>
        <w:t>As the trial compared the costs of the Brief CVD Risk Assessment and Comprehensive CVD Risk Assessment, an estimation of change in use and financial impact of other health technologies was not considered.</w:t>
      </w:r>
    </w:p>
    <w:p w14:paraId="72CA67AB" w14:textId="41190EB1" w:rsidR="007E6B37" w:rsidRPr="003230BE" w:rsidRDefault="00326BFF" w:rsidP="00BB6A22">
      <w:pPr>
        <w:pStyle w:val="Instructionaltext"/>
        <w:spacing w:before="160" w:line="240" w:lineRule="auto"/>
        <w:rPr>
          <w:rFonts w:ascii="Arial" w:hAnsi="Arial" w:cs="Arial"/>
          <w:color w:val="auto"/>
        </w:rPr>
      </w:pPr>
      <w:r>
        <w:rPr>
          <w:rFonts w:ascii="Arial" w:hAnsi="Arial" w:cs="Arial"/>
          <w:color w:val="auto"/>
        </w:rPr>
        <w:t xml:space="preserve">The Comprehensive CVD Risk Assessment was higher specificity and resulted in less participants being referred to General Practice than the Brief CVD Risk Assessment. As the Protocol required referral to General Practice for medium and </w:t>
      </w:r>
      <w:proofErr w:type="gramStart"/>
      <w:r>
        <w:rPr>
          <w:rFonts w:ascii="Arial" w:hAnsi="Arial" w:cs="Arial"/>
          <w:color w:val="auto"/>
        </w:rPr>
        <w:t>high risk</w:t>
      </w:r>
      <w:proofErr w:type="gramEnd"/>
      <w:r>
        <w:rPr>
          <w:rFonts w:ascii="Arial" w:hAnsi="Arial" w:cs="Arial"/>
          <w:color w:val="auto"/>
        </w:rPr>
        <w:t xml:space="preserve"> participants there is a resultant financial impact as General Practice is expected to undertake further investigative activity.</w:t>
      </w:r>
    </w:p>
    <w:p w14:paraId="06B27169" w14:textId="795567D3" w:rsidR="0095207B" w:rsidRPr="00EC54A4" w:rsidRDefault="0095207B" w:rsidP="00BB6A22">
      <w:pPr>
        <w:pStyle w:val="Heading2"/>
        <w:numPr>
          <w:ilvl w:val="0"/>
          <w:numId w:val="0"/>
        </w:numPr>
        <w:spacing w:before="160" w:after="160"/>
        <w:ind w:left="720" w:hanging="720"/>
        <w:rPr>
          <w:rFonts w:ascii="Arial" w:hAnsi="Arial" w:cs="Arial"/>
          <w:b/>
          <w:bCs/>
        </w:rPr>
      </w:pPr>
      <w:bookmarkStart w:id="88" w:name="_Toc137535790"/>
      <w:r w:rsidRPr="00EC54A4">
        <w:rPr>
          <w:rFonts w:ascii="Arial" w:hAnsi="Arial" w:cs="Arial"/>
          <w:b/>
          <w:bCs/>
        </w:rPr>
        <w:t>4.4</w:t>
      </w:r>
      <w:r w:rsidR="000E03DC" w:rsidRPr="00EC54A4">
        <w:rPr>
          <w:rFonts w:ascii="Arial" w:hAnsi="Arial" w:cs="Arial"/>
          <w:b/>
          <w:bCs/>
        </w:rPr>
        <w:tab/>
      </w:r>
      <w:r w:rsidR="00A05EA2" w:rsidRPr="00EC54A4">
        <w:rPr>
          <w:rFonts w:ascii="Arial" w:hAnsi="Arial" w:cs="Arial"/>
          <w:b/>
          <w:bCs/>
        </w:rPr>
        <w:t>N</w:t>
      </w:r>
      <w:r w:rsidRPr="00EC54A4">
        <w:rPr>
          <w:rFonts w:ascii="Arial" w:hAnsi="Arial" w:cs="Arial"/>
          <w:b/>
          <w:bCs/>
        </w:rPr>
        <w:t>et financial impact</w:t>
      </w:r>
      <w:bookmarkEnd w:id="88"/>
    </w:p>
    <w:p w14:paraId="4585EFB2" w14:textId="4479E219" w:rsidR="00326BFF" w:rsidRDefault="00326BFF" w:rsidP="00BB6A22">
      <w:pPr>
        <w:spacing w:before="160" w:line="240" w:lineRule="auto"/>
        <w:rPr>
          <w:rFonts w:ascii="Arial" w:hAnsi="Arial" w:cs="Arial"/>
        </w:rPr>
      </w:pPr>
      <w:r w:rsidRPr="00AD7843">
        <w:rPr>
          <w:rFonts w:ascii="Arial" w:hAnsi="Arial" w:cs="Arial"/>
        </w:rPr>
        <w:t xml:space="preserve">We did note significant differences in the PBS costs with the </w:t>
      </w:r>
      <w:r>
        <w:rPr>
          <w:rFonts w:ascii="Arial" w:hAnsi="Arial" w:cs="Arial"/>
        </w:rPr>
        <w:t>B</w:t>
      </w:r>
      <w:r w:rsidRPr="00AD7843">
        <w:rPr>
          <w:rFonts w:ascii="Arial" w:hAnsi="Arial" w:cs="Arial"/>
        </w:rPr>
        <w:t xml:space="preserve">rief </w:t>
      </w:r>
      <w:r>
        <w:rPr>
          <w:rFonts w:ascii="Arial" w:hAnsi="Arial" w:cs="Arial"/>
        </w:rPr>
        <w:t xml:space="preserve">CVD Risk Assessment </w:t>
      </w:r>
      <w:r w:rsidRPr="00AD7843">
        <w:rPr>
          <w:rFonts w:ascii="Arial" w:hAnsi="Arial" w:cs="Arial"/>
        </w:rPr>
        <w:t xml:space="preserve">arm having higher costs compared to the </w:t>
      </w:r>
      <w:r>
        <w:rPr>
          <w:rFonts w:ascii="Arial" w:hAnsi="Arial" w:cs="Arial"/>
        </w:rPr>
        <w:t>C</w:t>
      </w:r>
      <w:r w:rsidRPr="00AD7843">
        <w:rPr>
          <w:rFonts w:ascii="Arial" w:hAnsi="Arial" w:cs="Arial"/>
        </w:rPr>
        <w:t xml:space="preserve">omprehensive </w:t>
      </w:r>
      <w:r>
        <w:rPr>
          <w:rFonts w:ascii="Arial" w:hAnsi="Arial" w:cs="Arial"/>
        </w:rPr>
        <w:t xml:space="preserve">CVD Risk Assessment </w:t>
      </w:r>
      <w:r w:rsidRPr="00AD7843">
        <w:rPr>
          <w:rFonts w:ascii="Arial" w:hAnsi="Arial" w:cs="Arial"/>
        </w:rPr>
        <w:t>arm. There were no significant differences in the MBS costs.</w:t>
      </w:r>
    </w:p>
    <w:p w14:paraId="1EBC3E62" w14:textId="63B52967" w:rsidR="00326BFF" w:rsidRDefault="00326BFF" w:rsidP="00BB6A22">
      <w:pPr>
        <w:spacing w:before="160" w:line="240" w:lineRule="auto"/>
        <w:rPr>
          <w:rFonts w:ascii="Arial" w:hAnsi="Arial" w:cs="Arial"/>
        </w:rPr>
      </w:pPr>
      <w:r w:rsidRPr="00AD7843">
        <w:rPr>
          <w:rFonts w:ascii="Arial" w:hAnsi="Arial" w:cs="Arial"/>
        </w:rPr>
        <w:t>However, the total costs (MBS + PBS + pharmacy time costs) were statistically and significantly different (p &lt; 0.001) with the comprehensive arm having much higher intervention costs mostly due to the relatively larger time commitment to complete assessments for this group.</w:t>
      </w:r>
    </w:p>
    <w:p w14:paraId="1971EAEE" w14:textId="38024BA1" w:rsidR="00EC54A4" w:rsidRPr="00BB6A22" w:rsidRDefault="00326BFF" w:rsidP="00BB6A22">
      <w:pPr>
        <w:pStyle w:val="Instructionaltext"/>
        <w:spacing w:before="160" w:line="240" w:lineRule="auto"/>
        <w:rPr>
          <w:rFonts w:ascii="Arial" w:hAnsi="Arial" w:cs="Arial"/>
          <w:color w:val="auto"/>
        </w:rPr>
      </w:pPr>
      <w:r>
        <w:rPr>
          <w:rFonts w:ascii="Arial" w:hAnsi="Arial" w:cs="Arial"/>
          <w:color w:val="auto"/>
        </w:rPr>
        <w:t xml:space="preserve">As the Protocol required referral to General Practice for medium and </w:t>
      </w:r>
      <w:proofErr w:type="gramStart"/>
      <w:r>
        <w:rPr>
          <w:rFonts w:ascii="Arial" w:hAnsi="Arial" w:cs="Arial"/>
          <w:color w:val="auto"/>
        </w:rPr>
        <w:t>high risk</w:t>
      </w:r>
      <w:proofErr w:type="gramEnd"/>
      <w:r>
        <w:rPr>
          <w:rFonts w:ascii="Arial" w:hAnsi="Arial" w:cs="Arial"/>
          <w:color w:val="auto"/>
        </w:rPr>
        <w:t xml:space="preserve"> participants there is a resultant financial impact as General Practice is expected to undertake further investigative activity. This investigative activity was not measured as part of the trial.</w:t>
      </w:r>
    </w:p>
    <w:p w14:paraId="3B4967A6" w14:textId="098B859E" w:rsidR="00A05EA2" w:rsidRPr="00EC54A4" w:rsidRDefault="00A05EA2" w:rsidP="00BB6A22">
      <w:pPr>
        <w:pStyle w:val="Heading2"/>
        <w:numPr>
          <w:ilvl w:val="0"/>
          <w:numId w:val="0"/>
        </w:numPr>
        <w:spacing w:before="160" w:after="160"/>
        <w:ind w:left="720" w:hanging="720"/>
        <w:rPr>
          <w:rFonts w:ascii="Arial" w:hAnsi="Arial" w:cs="Arial"/>
          <w:b/>
          <w:bCs/>
        </w:rPr>
      </w:pPr>
      <w:bookmarkStart w:id="89" w:name="_Toc137535791"/>
      <w:r w:rsidRPr="00EC54A4">
        <w:rPr>
          <w:rFonts w:ascii="Arial" w:hAnsi="Arial" w:cs="Arial"/>
          <w:b/>
          <w:bCs/>
        </w:rPr>
        <w:t>4.5</w:t>
      </w:r>
      <w:r w:rsidR="000E03DC" w:rsidRPr="00EC54A4">
        <w:rPr>
          <w:rFonts w:ascii="Arial" w:hAnsi="Arial" w:cs="Arial"/>
          <w:b/>
          <w:bCs/>
        </w:rPr>
        <w:tab/>
      </w:r>
      <w:r w:rsidRPr="00EC54A4">
        <w:rPr>
          <w:rFonts w:ascii="Arial" w:hAnsi="Arial" w:cs="Arial"/>
          <w:b/>
          <w:bCs/>
        </w:rPr>
        <w:t xml:space="preserve">Net financial impact to </w:t>
      </w:r>
      <w:r w:rsidR="004C4FA3" w:rsidRPr="00EC54A4">
        <w:rPr>
          <w:rFonts w:ascii="Arial" w:hAnsi="Arial" w:cs="Arial"/>
          <w:b/>
          <w:bCs/>
        </w:rPr>
        <w:t>other</w:t>
      </w:r>
      <w:r w:rsidRPr="00EC54A4">
        <w:rPr>
          <w:rFonts w:ascii="Arial" w:hAnsi="Arial" w:cs="Arial"/>
          <w:b/>
          <w:bCs/>
        </w:rPr>
        <w:t xml:space="preserve"> health budget</w:t>
      </w:r>
      <w:r w:rsidR="004C4FA3" w:rsidRPr="00EC54A4">
        <w:rPr>
          <w:rFonts w:ascii="Arial" w:hAnsi="Arial" w:cs="Arial"/>
          <w:b/>
          <w:bCs/>
        </w:rPr>
        <w:t>s</w:t>
      </w:r>
      <w:bookmarkEnd w:id="89"/>
    </w:p>
    <w:p w14:paraId="2A300090" w14:textId="01AF6964" w:rsidR="000D5410" w:rsidRPr="003230BE" w:rsidRDefault="00326BFF" w:rsidP="00BB6A22">
      <w:pPr>
        <w:autoSpaceDE w:val="0"/>
        <w:autoSpaceDN w:val="0"/>
        <w:adjustRightInd w:val="0"/>
        <w:spacing w:before="160" w:line="240" w:lineRule="auto"/>
        <w:rPr>
          <w:rFonts w:ascii="Arial" w:hAnsi="Arial" w:cs="Arial"/>
        </w:rPr>
      </w:pPr>
      <w:r w:rsidRPr="00A24C7E">
        <w:rPr>
          <w:rFonts w:ascii="Arial" w:eastAsia="CIDFont+F2" w:hAnsi="Arial" w:cs="Arial"/>
        </w:rPr>
        <w:t xml:space="preserve">In terms of financial cost impacts for the health system, the </w:t>
      </w:r>
      <w:r>
        <w:rPr>
          <w:rFonts w:ascii="Arial" w:eastAsia="CIDFont+F2" w:hAnsi="Arial" w:cs="Arial"/>
        </w:rPr>
        <w:t xml:space="preserve">Comprehensive Risk assessment </w:t>
      </w:r>
      <w:r w:rsidRPr="00A24C7E">
        <w:rPr>
          <w:rFonts w:ascii="Arial" w:eastAsia="CIDFont+F2" w:hAnsi="Arial" w:cs="Arial"/>
        </w:rPr>
        <w:t>indicates a potential for cost savings</w:t>
      </w:r>
      <w:r>
        <w:rPr>
          <w:rFonts w:ascii="Arial" w:eastAsia="CIDFont+F2" w:hAnsi="Arial" w:cs="Arial"/>
        </w:rPr>
        <w:t>.</w:t>
      </w:r>
      <w:r w:rsidR="00A85BF7">
        <w:rPr>
          <w:rFonts w:ascii="Arial" w:eastAsia="CIDFont+F2" w:hAnsi="Arial" w:cs="Arial"/>
        </w:rPr>
        <w:t xml:space="preserve"> </w:t>
      </w:r>
      <w:r>
        <w:rPr>
          <w:rFonts w:ascii="Arial" w:eastAsia="CIDFont+F2" w:hAnsi="Arial" w:cs="Arial"/>
        </w:rPr>
        <w:t>This is applied where people are assessed and referred for diagnosis before their CVD has significant impact on their health resulting in a progressed illness or a requirement for crisis intervention through the ter</w:t>
      </w:r>
      <w:r w:rsidR="00E23A99">
        <w:rPr>
          <w:rFonts w:ascii="Arial" w:eastAsia="CIDFont+F2" w:hAnsi="Arial" w:cs="Arial"/>
        </w:rPr>
        <w:t>t</w:t>
      </w:r>
      <w:r>
        <w:rPr>
          <w:rFonts w:ascii="Arial" w:eastAsia="CIDFont+F2" w:hAnsi="Arial" w:cs="Arial"/>
        </w:rPr>
        <w:t>ia</w:t>
      </w:r>
      <w:r w:rsidR="00E23A99">
        <w:rPr>
          <w:rFonts w:ascii="Arial" w:eastAsia="CIDFont+F2" w:hAnsi="Arial" w:cs="Arial"/>
        </w:rPr>
        <w:t>r</w:t>
      </w:r>
      <w:r>
        <w:rPr>
          <w:rFonts w:ascii="Arial" w:eastAsia="CIDFont+F2" w:hAnsi="Arial" w:cs="Arial"/>
        </w:rPr>
        <w:t>y health system.</w:t>
      </w:r>
    </w:p>
    <w:p w14:paraId="62F82225" w14:textId="16BE4F82" w:rsidR="00804632" w:rsidRPr="00EC54A4" w:rsidRDefault="00804632" w:rsidP="002F3448">
      <w:pPr>
        <w:pStyle w:val="Heading1"/>
        <w:numPr>
          <w:ilvl w:val="0"/>
          <w:numId w:val="0"/>
        </w:numPr>
        <w:tabs>
          <w:tab w:val="left" w:pos="2835"/>
        </w:tabs>
        <w:spacing w:before="0" w:after="0"/>
        <w:ind w:left="2835" w:hanging="2835"/>
        <w:rPr>
          <w:rFonts w:ascii="Arial" w:hAnsi="Arial" w:cs="Arial"/>
          <w:b/>
          <w:bCs/>
        </w:rPr>
      </w:pPr>
      <w:bookmarkStart w:id="90" w:name="_Ref56607849"/>
      <w:bookmarkStart w:id="91" w:name="_Toc54940865"/>
      <w:bookmarkStart w:id="92" w:name="_Toc137535792"/>
      <w:r w:rsidRPr="00EC54A4">
        <w:rPr>
          <w:rFonts w:ascii="Arial" w:hAnsi="Arial" w:cs="Arial"/>
          <w:b/>
          <w:bCs/>
        </w:rPr>
        <w:lastRenderedPageBreak/>
        <w:t xml:space="preserve">Appendix </w:t>
      </w:r>
      <w:r w:rsidR="00DD1502" w:rsidRPr="00EC54A4">
        <w:rPr>
          <w:rFonts w:ascii="Arial" w:hAnsi="Arial" w:cs="Arial"/>
          <w:b/>
          <w:bCs/>
        </w:rPr>
        <w:fldChar w:fldCharType="begin"/>
      </w:r>
      <w:r w:rsidR="00DD1502" w:rsidRPr="00EC54A4">
        <w:rPr>
          <w:rFonts w:ascii="Arial" w:hAnsi="Arial" w:cs="Arial"/>
          <w:b/>
          <w:bCs/>
        </w:rPr>
        <w:instrText xml:space="preserve"> SEQ Appendix \* ALPHABETIC </w:instrText>
      </w:r>
      <w:r w:rsidR="00DD1502" w:rsidRPr="00EC54A4">
        <w:rPr>
          <w:rFonts w:ascii="Arial" w:hAnsi="Arial" w:cs="Arial"/>
          <w:b/>
          <w:bCs/>
        </w:rPr>
        <w:fldChar w:fldCharType="separate"/>
      </w:r>
      <w:r w:rsidR="00013620">
        <w:rPr>
          <w:rFonts w:ascii="Arial" w:hAnsi="Arial" w:cs="Arial"/>
          <w:b/>
          <w:bCs/>
          <w:noProof/>
        </w:rPr>
        <w:t>A</w:t>
      </w:r>
      <w:r w:rsidR="00DD1502" w:rsidRPr="00EC54A4">
        <w:rPr>
          <w:rFonts w:ascii="Arial" w:hAnsi="Arial" w:cs="Arial"/>
          <w:b/>
          <w:bCs/>
          <w:noProof/>
        </w:rPr>
        <w:fldChar w:fldCharType="end"/>
      </w:r>
      <w:bookmarkEnd w:id="90"/>
      <w:r w:rsidRPr="00EC54A4">
        <w:rPr>
          <w:rFonts w:ascii="Arial" w:hAnsi="Arial" w:cs="Arial"/>
          <w:b/>
          <w:bCs/>
        </w:rPr>
        <w:tab/>
      </w:r>
      <w:bookmarkEnd w:id="91"/>
      <w:r w:rsidRPr="00EC54A4">
        <w:rPr>
          <w:rFonts w:ascii="Arial" w:hAnsi="Arial" w:cs="Arial"/>
          <w:b/>
          <w:bCs/>
        </w:rPr>
        <w:t>Systematic review methods</w:t>
      </w:r>
      <w:bookmarkEnd w:id="92"/>
    </w:p>
    <w:p w14:paraId="319984BE" w14:textId="64DDBA57" w:rsidR="00804632" w:rsidRPr="00EC54A4" w:rsidRDefault="00804632" w:rsidP="002523F5">
      <w:pPr>
        <w:pStyle w:val="Heading2"/>
        <w:numPr>
          <w:ilvl w:val="0"/>
          <w:numId w:val="0"/>
        </w:numPr>
        <w:spacing w:before="400" w:after="160"/>
        <w:rPr>
          <w:rFonts w:ascii="Arial" w:hAnsi="Arial" w:cs="Arial"/>
          <w:b/>
          <w:bCs/>
        </w:rPr>
      </w:pPr>
      <w:bookmarkStart w:id="93" w:name="_Toc54940792"/>
      <w:bookmarkStart w:id="94" w:name="_Toc137535793"/>
      <w:r w:rsidRPr="00EC54A4">
        <w:rPr>
          <w:rFonts w:ascii="Arial" w:hAnsi="Arial" w:cs="Arial"/>
          <w:b/>
          <w:bCs/>
        </w:rPr>
        <w:t>Method of assessment and research questions</w:t>
      </w:r>
      <w:bookmarkEnd w:id="93"/>
      <w:bookmarkEnd w:id="94"/>
    </w:p>
    <w:p w14:paraId="0497E00B" w14:textId="43B60537" w:rsidR="003C1AE2" w:rsidRPr="00EC54A4" w:rsidRDefault="00A67F49" w:rsidP="003D538D">
      <w:pPr>
        <w:keepNext/>
        <w:spacing w:before="0" w:after="0" w:line="240" w:lineRule="auto"/>
        <w:rPr>
          <w:rFonts w:ascii="Arial" w:hAnsi="Arial" w:cs="Arial"/>
        </w:rPr>
      </w:pPr>
      <w:r w:rsidRPr="00EC54A4">
        <w:rPr>
          <w:rFonts w:ascii="Arial" w:hAnsi="Arial" w:cs="Arial"/>
        </w:rPr>
        <w:object w:dxaOrig="8929" w:dyaOrig="4073" w14:anchorId="58EF11BF">
          <v:shape id="_x0000_i1027" type="#_x0000_t75" alt="Figure 6 is a flow chart showing an assessment framework for evaluation of risk identification of CVD in community pharmacy" style="width:446.4pt;height:201.6pt" o:ole="">
            <v:imagedata r:id="rId12" o:title=""/>
          </v:shape>
          <o:OLEObject Type="Embed" ProgID="Visio.Drawing.11" ShapeID="_x0000_i1027" DrawAspect="Content" ObjectID="_1750849057" r:id="rId22"/>
        </w:object>
      </w:r>
    </w:p>
    <w:p w14:paraId="7E282FF8" w14:textId="7B43A1C3" w:rsidR="00EC54A4" w:rsidRPr="002523F5" w:rsidRDefault="00767E6B" w:rsidP="002523F5">
      <w:pPr>
        <w:pStyle w:val="Heading3"/>
        <w:spacing w:before="160" w:after="160"/>
        <w:rPr>
          <w:rFonts w:ascii="Arial Narrow" w:hAnsi="Arial Narrow"/>
          <w:b/>
          <w:bCs/>
          <w:sz w:val="20"/>
          <w:szCs w:val="20"/>
        </w:rPr>
      </w:pPr>
      <w:bookmarkStart w:id="95" w:name="_Toc137535794"/>
      <w:r w:rsidRPr="005B6677">
        <w:rPr>
          <w:rFonts w:ascii="Arial Narrow" w:hAnsi="Arial Narrow"/>
          <w:b/>
          <w:bCs/>
          <w:sz w:val="20"/>
          <w:szCs w:val="20"/>
        </w:rPr>
        <w:t>Figure 6:</w:t>
      </w:r>
      <w:r w:rsidR="00017425" w:rsidRPr="005B6677">
        <w:rPr>
          <w:rFonts w:ascii="Arial Narrow" w:hAnsi="Arial Narrow"/>
          <w:b/>
          <w:bCs/>
          <w:sz w:val="20"/>
          <w:szCs w:val="20"/>
        </w:rPr>
        <w:t xml:space="preserve"> </w:t>
      </w:r>
      <w:r w:rsidR="00804632" w:rsidRPr="005B6677">
        <w:rPr>
          <w:rFonts w:ascii="Arial Narrow" w:hAnsi="Arial Narrow"/>
          <w:b/>
          <w:bCs/>
          <w:sz w:val="20"/>
          <w:szCs w:val="20"/>
        </w:rPr>
        <w:t xml:space="preserve">Assessment framework for </w:t>
      </w:r>
      <w:r w:rsidR="002D1DCB" w:rsidRPr="005B6677">
        <w:rPr>
          <w:rFonts w:ascii="Arial Narrow" w:hAnsi="Arial Narrow"/>
          <w:b/>
          <w:bCs/>
          <w:sz w:val="20"/>
          <w:szCs w:val="20"/>
        </w:rPr>
        <w:t>evaluation of risk identification of CVD in community pharmacy</w:t>
      </w:r>
      <w:bookmarkStart w:id="96" w:name="_Toc54940794"/>
      <w:bookmarkEnd w:id="95"/>
    </w:p>
    <w:p w14:paraId="51F91983" w14:textId="1B67F4D4" w:rsidR="00804632" w:rsidRPr="00EC54A4" w:rsidRDefault="00804632" w:rsidP="002523F5">
      <w:pPr>
        <w:pStyle w:val="Heading2"/>
        <w:numPr>
          <w:ilvl w:val="0"/>
          <w:numId w:val="0"/>
        </w:numPr>
        <w:spacing w:before="160" w:after="160"/>
        <w:ind w:left="357" w:hanging="357"/>
        <w:rPr>
          <w:rFonts w:ascii="Arial" w:hAnsi="Arial" w:cs="Arial"/>
          <w:b/>
          <w:bCs/>
        </w:rPr>
      </w:pPr>
      <w:bookmarkStart w:id="97" w:name="_Toc137535795"/>
      <w:r w:rsidRPr="00EC54A4">
        <w:rPr>
          <w:rFonts w:ascii="Arial" w:hAnsi="Arial" w:cs="Arial"/>
          <w:b/>
          <w:bCs/>
        </w:rPr>
        <w:t>Development of a research protocol</w:t>
      </w:r>
      <w:bookmarkEnd w:id="96"/>
      <w:bookmarkEnd w:id="97"/>
    </w:p>
    <w:p w14:paraId="5C54A94E" w14:textId="08349C16" w:rsidR="00804632" w:rsidRPr="00EC54A4" w:rsidRDefault="00804632" w:rsidP="002523F5">
      <w:pPr>
        <w:spacing w:before="160" w:line="240" w:lineRule="auto"/>
        <w:rPr>
          <w:rFonts w:ascii="Arial" w:hAnsi="Arial" w:cs="Arial"/>
        </w:rPr>
      </w:pPr>
      <w:r w:rsidRPr="00EC54A4">
        <w:rPr>
          <w:rFonts w:ascii="Arial" w:hAnsi="Arial" w:cs="Arial"/>
        </w:rPr>
        <w:t>Prior to the start of the systematic review, a research protocol was developed, based on the PICO confirmation ratified by the</w:t>
      </w:r>
      <w:r w:rsidR="00AC720A" w:rsidRPr="00EC54A4">
        <w:rPr>
          <w:rFonts w:ascii="Arial" w:hAnsi="Arial" w:cs="Arial"/>
        </w:rPr>
        <w:t xml:space="preserve"> </w:t>
      </w:r>
      <w:r w:rsidR="00D45750" w:rsidRPr="00EC54A4">
        <w:rPr>
          <w:rFonts w:ascii="Arial" w:hAnsi="Arial" w:cs="Arial"/>
        </w:rPr>
        <w:t>PICO</w:t>
      </w:r>
      <w:r w:rsidRPr="00EC54A4">
        <w:rPr>
          <w:rFonts w:ascii="Arial" w:hAnsi="Arial" w:cs="Arial"/>
        </w:rPr>
        <w:t xml:space="preserve"> Advisory Sub-Committee of MSAC. The research protocol was registered with the </w:t>
      </w:r>
      <w:r w:rsidR="003B3A7A" w:rsidRPr="00EC54A4">
        <w:rPr>
          <w:rFonts w:ascii="Arial" w:hAnsi="Arial" w:cs="Arial"/>
        </w:rPr>
        <w:t xml:space="preserve">Australian New Zealand Clinical Trials Registry (ANZCTR) </w:t>
      </w:r>
      <w:r w:rsidRPr="00EC54A4">
        <w:rPr>
          <w:rFonts w:ascii="Arial" w:hAnsi="Arial" w:cs="Arial"/>
        </w:rPr>
        <w:t xml:space="preserve">with the registration number </w:t>
      </w:r>
      <w:r w:rsidR="003B3A7A" w:rsidRPr="00EC54A4">
        <w:rPr>
          <w:rFonts w:ascii="Arial" w:hAnsi="Arial" w:cs="Arial"/>
        </w:rPr>
        <w:t>ACTRN12619000405112</w:t>
      </w:r>
      <w:r w:rsidR="00017425" w:rsidRPr="00EC54A4">
        <w:rPr>
          <w:rFonts w:ascii="Arial" w:hAnsi="Arial" w:cs="Arial"/>
        </w:rPr>
        <w:t>P</w:t>
      </w:r>
      <w:r w:rsidRPr="00EC54A4">
        <w:rPr>
          <w:rFonts w:ascii="Arial" w:hAnsi="Arial" w:cs="Arial"/>
        </w:rPr>
        <w:t>.</w:t>
      </w:r>
    </w:p>
    <w:p w14:paraId="36EFF2B3" w14:textId="77777777" w:rsidR="00804632" w:rsidRPr="00EC54A4" w:rsidRDefault="00804632" w:rsidP="002F3448">
      <w:pPr>
        <w:pStyle w:val="Heading2"/>
        <w:numPr>
          <w:ilvl w:val="0"/>
          <w:numId w:val="0"/>
        </w:numPr>
        <w:spacing w:before="0" w:after="0"/>
        <w:ind w:left="357" w:hanging="357"/>
        <w:rPr>
          <w:rFonts w:ascii="Arial" w:hAnsi="Arial" w:cs="Arial"/>
          <w:b/>
          <w:bCs/>
        </w:rPr>
      </w:pPr>
      <w:bookmarkStart w:id="98" w:name="_Toc54940795"/>
      <w:bookmarkStart w:id="99" w:name="_Toc137535796"/>
      <w:r w:rsidRPr="00EC54A4">
        <w:rPr>
          <w:rFonts w:ascii="Arial" w:hAnsi="Arial" w:cs="Arial"/>
          <w:b/>
          <w:bCs/>
        </w:rPr>
        <w:lastRenderedPageBreak/>
        <w:t>PICO criteria</w:t>
      </w:r>
      <w:bookmarkEnd w:id="98"/>
      <w:bookmarkEnd w:id="99"/>
    </w:p>
    <w:p w14:paraId="52697E0A" w14:textId="770E844C" w:rsidR="00CA4229" w:rsidRPr="00A14753" w:rsidRDefault="007C7148" w:rsidP="00D80862">
      <w:pPr>
        <w:pStyle w:val="Heading3"/>
        <w:spacing w:before="160" w:after="160"/>
      </w:pPr>
      <w:bookmarkStart w:id="100" w:name="_Toc137535797"/>
      <w:bookmarkStart w:id="101" w:name="_Toc54940796"/>
      <w:r w:rsidRPr="003D538D">
        <w:rPr>
          <w:rFonts w:ascii="Arial Narrow" w:hAnsi="Arial Narrow"/>
          <w:b/>
          <w:bCs/>
          <w:sz w:val="20"/>
          <w:szCs w:val="20"/>
        </w:rPr>
        <w:t xml:space="preserve">Table </w:t>
      </w:r>
      <w:r w:rsidR="00FE676B" w:rsidRPr="003D538D">
        <w:rPr>
          <w:rFonts w:ascii="Arial Narrow" w:hAnsi="Arial Narrow"/>
          <w:b/>
          <w:bCs/>
          <w:sz w:val="20"/>
          <w:szCs w:val="20"/>
        </w:rPr>
        <w:t>2</w:t>
      </w:r>
      <w:r w:rsidR="00767E6B" w:rsidRPr="003D538D">
        <w:rPr>
          <w:rFonts w:ascii="Arial Narrow" w:hAnsi="Arial Narrow"/>
          <w:b/>
          <w:bCs/>
          <w:sz w:val="20"/>
          <w:szCs w:val="20"/>
        </w:rPr>
        <w:t>3</w:t>
      </w:r>
      <w:r w:rsidR="00CA4229" w:rsidRPr="003D538D">
        <w:rPr>
          <w:rFonts w:ascii="Arial Narrow" w:hAnsi="Arial Narrow"/>
          <w:b/>
          <w:bCs/>
          <w:noProof/>
          <w:sz w:val="20"/>
          <w:szCs w:val="20"/>
        </w:rPr>
        <w:t xml:space="preserve">: </w:t>
      </w:r>
      <w:r w:rsidR="00CA4229" w:rsidRPr="003D538D">
        <w:rPr>
          <w:rFonts w:ascii="Arial Narrow" w:hAnsi="Arial Narrow"/>
          <w:b/>
          <w:bCs/>
          <w:sz w:val="20"/>
          <w:szCs w:val="20"/>
        </w:rPr>
        <w:t>PICO criteria for assessing early detection and management of cardiovascular disease risk factors in community pharmacy</w:t>
      </w:r>
      <w:bookmarkEnd w:id="100"/>
    </w:p>
    <w:tbl>
      <w:tblPr>
        <w:tblStyle w:val="TableGrid"/>
        <w:tblW w:w="0" w:type="auto"/>
        <w:tblLook w:val="04A0" w:firstRow="1" w:lastRow="0" w:firstColumn="1" w:lastColumn="0" w:noHBand="0" w:noVBand="1"/>
      </w:tblPr>
      <w:tblGrid>
        <w:gridCol w:w="1555"/>
        <w:gridCol w:w="7461"/>
      </w:tblGrid>
      <w:tr w:rsidR="00CA4229" w:rsidRPr="00EC54A4" w14:paraId="4FCB33BB" w14:textId="77777777" w:rsidTr="00A94B54">
        <w:tc>
          <w:tcPr>
            <w:tcW w:w="1555" w:type="dxa"/>
          </w:tcPr>
          <w:p w14:paraId="34153580" w14:textId="77777777" w:rsidR="00CA4229" w:rsidRPr="00EC54A4" w:rsidRDefault="00CA4229" w:rsidP="002F3448">
            <w:pPr>
              <w:pStyle w:val="Caption"/>
              <w:spacing w:before="0" w:after="0"/>
              <w:rPr>
                <w:rFonts w:ascii="Arial" w:hAnsi="Arial" w:cs="Arial"/>
              </w:rPr>
            </w:pPr>
            <w:r w:rsidRPr="00EC54A4">
              <w:rPr>
                <w:rFonts w:ascii="Arial" w:hAnsi="Arial" w:cs="Arial"/>
              </w:rPr>
              <w:t>Component</w:t>
            </w:r>
          </w:p>
        </w:tc>
        <w:tc>
          <w:tcPr>
            <w:tcW w:w="7461" w:type="dxa"/>
          </w:tcPr>
          <w:p w14:paraId="2CB2509C" w14:textId="77777777" w:rsidR="00CA4229" w:rsidRPr="00EC54A4" w:rsidRDefault="00CA4229" w:rsidP="002F3448">
            <w:pPr>
              <w:pStyle w:val="Caption"/>
              <w:spacing w:before="0" w:after="0"/>
              <w:rPr>
                <w:rFonts w:ascii="Arial" w:hAnsi="Arial" w:cs="Arial"/>
              </w:rPr>
            </w:pPr>
            <w:r w:rsidRPr="00EC54A4">
              <w:rPr>
                <w:rFonts w:ascii="Arial" w:hAnsi="Arial" w:cs="Arial"/>
              </w:rPr>
              <w:t>Description</w:t>
            </w:r>
          </w:p>
        </w:tc>
      </w:tr>
      <w:tr w:rsidR="00CA4229" w:rsidRPr="00EC54A4" w14:paraId="5AB5CA84" w14:textId="77777777" w:rsidTr="00A94B54">
        <w:tc>
          <w:tcPr>
            <w:tcW w:w="1555" w:type="dxa"/>
          </w:tcPr>
          <w:p w14:paraId="418C7C94" w14:textId="77777777" w:rsidR="00CA4229" w:rsidRPr="00EC54A4" w:rsidRDefault="00CA4229" w:rsidP="002F3448">
            <w:pPr>
              <w:pStyle w:val="Caption"/>
              <w:spacing w:before="0" w:after="0"/>
              <w:rPr>
                <w:rFonts w:ascii="Arial" w:hAnsi="Arial" w:cs="Arial"/>
                <w:b w:val="0"/>
                <w:bCs w:val="0"/>
                <w:sz w:val="18"/>
                <w:szCs w:val="18"/>
              </w:rPr>
            </w:pPr>
            <w:r w:rsidRPr="00EC54A4">
              <w:rPr>
                <w:rFonts w:ascii="Arial" w:hAnsi="Arial" w:cs="Arial"/>
                <w:b w:val="0"/>
                <w:bCs w:val="0"/>
                <w:sz w:val="18"/>
                <w:szCs w:val="18"/>
              </w:rPr>
              <w:t>Population</w:t>
            </w:r>
          </w:p>
        </w:tc>
        <w:tc>
          <w:tcPr>
            <w:tcW w:w="7461" w:type="dxa"/>
          </w:tcPr>
          <w:p w14:paraId="459405F8" w14:textId="77777777" w:rsidR="00CA4229" w:rsidRPr="00EC54A4" w:rsidRDefault="00CA4229" w:rsidP="002F3448">
            <w:pPr>
              <w:pStyle w:val="Caption"/>
              <w:spacing w:before="0" w:after="0"/>
              <w:rPr>
                <w:rFonts w:ascii="Arial" w:hAnsi="Arial" w:cs="Arial"/>
                <w:b w:val="0"/>
                <w:bCs w:val="0"/>
                <w:color w:val="000000" w:themeColor="text1"/>
                <w:sz w:val="18"/>
                <w:szCs w:val="18"/>
              </w:rPr>
            </w:pPr>
            <w:r w:rsidRPr="00EC54A4">
              <w:rPr>
                <w:rFonts w:ascii="Arial" w:hAnsi="Arial" w:cs="Arial"/>
                <w:b w:val="0"/>
                <w:bCs w:val="0"/>
                <w:color w:val="000000" w:themeColor="text1"/>
                <w:sz w:val="18"/>
                <w:szCs w:val="18"/>
              </w:rPr>
              <w:t>Adults aged 45 to 74 years (35 to 74 years for Aboriginal and Torres Strait Islander people) without known history of CVD who engage with community pharmacy.</w:t>
            </w:r>
          </w:p>
        </w:tc>
      </w:tr>
      <w:tr w:rsidR="00CA4229" w:rsidRPr="00EC54A4" w14:paraId="14A29016" w14:textId="77777777" w:rsidTr="00A94B54">
        <w:tc>
          <w:tcPr>
            <w:tcW w:w="1555" w:type="dxa"/>
          </w:tcPr>
          <w:p w14:paraId="0B27187A" w14:textId="77777777" w:rsidR="00CA4229" w:rsidRPr="00EC54A4" w:rsidRDefault="00CA4229" w:rsidP="002F3448">
            <w:pPr>
              <w:pStyle w:val="Caption"/>
              <w:spacing w:before="0" w:after="0"/>
              <w:rPr>
                <w:rFonts w:ascii="Arial" w:hAnsi="Arial" w:cs="Arial"/>
                <w:b w:val="0"/>
                <w:bCs w:val="0"/>
                <w:sz w:val="18"/>
                <w:szCs w:val="18"/>
              </w:rPr>
            </w:pPr>
            <w:r w:rsidRPr="00EC54A4">
              <w:rPr>
                <w:rFonts w:ascii="Arial" w:hAnsi="Arial" w:cs="Arial"/>
                <w:b w:val="0"/>
                <w:bCs w:val="0"/>
                <w:sz w:val="18"/>
                <w:szCs w:val="18"/>
              </w:rPr>
              <w:t>Prior tests</w:t>
            </w:r>
          </w:p>
        </w:tc>
        <w:tc>
          <w:tcPr>
            <w:tcW w:w="7461" w:type="dxa"/>
          </w:tcPr>
          <w:p w14:paraId="75E2B0B9" w14:textId="77777777" w:rsidR="00CA4229" w:rsidRPr="00EC54A4" w:rsidRDefault="00CA4229" w:rsidP="002F3448">
            <w:pPr>
              <w:pStyle w:val="Caption"/>
              <w:spacing w:before="0" w:after="0"/>
              <w:rPr>
                <w:rFonts w:ascii="Arial" w:eastAsia="Arial Unicode MS" w:hAnsi="Arial" w:cs="Arial"/>
                <w:b w:val="0"/>
                <w:bCs w:val="0"/>
                <w:color w:val="000000" w:themeColor="text1"/>
                <w:sz w:val="18"/>
                <w:szCs w:val="18"/>
                <w:lang w:eastAsia="en-AU"/>
              </w:rPr>
            </w:pPr>
            <w:r w:rsidRPr="00EC54A4">
              <w:rPr>
                <w:rFonts w:ascii="Arial" w:eastAsia="Arial Unicode MS" w:hAnsi="Arial" w:cs="Arial"/>
                <w:b w:val="0"/>
                <w:bCs w:val="0"/>
                <w:color w:val="000000" w:themeColor="text1"/>
                <w:sz w:val="18"/>
                <w:szCs w:val="18"/>
                <w:lang w:eastAsia="en-AU"/>
              </w:rPr>
              <w:t>Those reporting a known history of CVD or outside the target age range will be deemed ineligible for program enrolment and screening.</w:t>
            </w:r>
          </w:p>
        </w:tc>
      </w:tr>
      <w:tr w:rsidR="00CA4229" w:rsidRPr="00EC54A4" w14:paraId="1504A443" w14:textId="77777777" w:rsidTr="00A94B54">
        <w:tc>
          <w:tcPr>
            <w:tcW w:w="1555" w:type="dxa"/>
          </w:tcPr>
          <w:p w14:paraId="3B7E5E9B" w14:textId="77777777" w:rsidR="00CA4229" w:rsidRPr="00EC54A4" w:rsidRDefault="00CA4229" w:rsidP="002F3448">
            <w:pPr>
              <w:pStyle w:val="Caption"/>
              <w:spacing w:before="0" w:after="0"/>
              <w:rPr>
                <w:rFonts w:ascii="Arial" w:hAnsi="Arial" w:cs="Arial"/>
                <w:b w:val="0"/>
                <w:bCs w:val="0"/>
                <w:sz w:val="18"/>
                <w:szCs w:val="18"/>
              </w:rPr>
            </w:pPr>
            <w:r w:rsidRPr="00EC54A4">
              <w:rPr>
                <w:rFonts w:ascii="Arial" w:hAnsi="Arial" w:cs="Arial"/>
                <w:b w:val="0"/>
                <w:bCs w:val="0"/>
                <w:sz w:val="18"/>
                <w:szCs w:val="18"/>
              </w:rPr>
              <w:t>Intervention</w:t>
            </w:r>
          </w:p>
        </w:tc>
        <w:tc>
          <w:tcPr>
            <w:tcW w:w="7461" w:type="dxa"/>
          </w:tcPr>
          <w:p w14:paraId="7A002623" w14:textId="77777777" w:rsidR="00CA4229" w:rsidRPr="00EC54A4" w:rsidRDefault="00CA4229" w:rsidP="002F3448">
            <w:pPr>
              <w:spacing w:before="0"/>
              <w:rPr>
                <w:rFonts w:ascii="Arial" w:hAnsi="Arial" w:cs="Arial"/>
                <w:sz w:val="18"/>
                <w:szCs w:val="18"/>
              </w:rPr>
            </w:pPr>
            <w:r w:rsidRPr="00EC54A4">
              <w:rPr>
                <w:rFonts w:ascii="Arial" w:hAnsi="Arial" w:cs="Arial"/>
                <w:sz w:val="18"/>
                <w:szCs w:val="18"/>
              </w:rPr>
              <w:t>Integrated health check delivered by pharmacists within community pharmacy to:</w:t>
            </w:r>
          </w:p>
          <w:p w14:paraId="72C41801" w14:textId="77777777" w:rsidR="00CA4229" w:rsidRPr="00EC54A4" w:rsidRDefault="00CA4229" w:rsidP="002F3448">
            <w:pPr>
              <w:pStyle w:val="ListParagraph"/>
              <w:numPr>
                <w:ilvl w:val="0"/>
                <w:numId w:val="11"/>
              </w:numPr>
              <w:spacing w:before="0"/>
              <w:rPr>
                <w:rFonts w:ascii="Arial" w:hAnsi="Arial" w:cs="Arial"/>
                <w:sz w:val="18"/>
                <w:szCs w:val="18"/>
              </w:rPr>
            </w:pPr>
            <w:r w:rsidRPr="00EC54A4">
              <w:rPr>
                <w:rFonts w:ascii="Arial" w:hAnsi="Arial" w:cs="Arial"/>
                <w:sz w:val="18"/>
                <w:szCs w:val="18"/>
              </w:rPr>
              <w:t>assess the risk of CVD</w:t>
            </w:r>
          </w:p>
          <w:p w14:paraId="67D9D1FA" w14:textId="77777777" w:rsidR="00CA4229" w:rsidRPr="00EC54A4" w:rsidRDefault="00CA4229" w:rsidP="002F3448">
            <w:pPr>
              <w:pStyle w:val="ListParagraph"/>
              <w:numPr>
                <w:ilvl w:val="0"/>
                <w:numId w:val="11"/>
              </w:numPr>
              <w:spacing w:before="0"/>
              <w:rPr>
                <w:rFonts w:ascii="Arial" w:hAnsi="Arial" w:cs="Arial"/>
                <w:sz w:val="18"/>
                <w:szCs w:val="18"/>
              </w:rPr>
            </w:pPr>
            <w:r w:rsidRPr="00EC54A4">
              <w:rPr>
                <w:rFonts w:ascii="Arial" w:hAnsi="Arial" w:cs="Arial"/>
                <w:sz w:val="18"/>
                <w:szCs w:val="18"/>
              </w:rPr>
              <w:t>screen for clinical markers using point of care testing device for indicative presence of CVD</w:t>
            </w:r>
          </w:p>
          <w:p w14:paraId="2A594827" w14:textId="77777777" w:rsidR="00CA4229" w:rsidRPr="00EC54A4" w:rsidRDefault="00CA4229" w:rsidP="002F3448">
            <w:pPr>
              <w:pStyle w:val="ListParagraph"/>
              <w:numPr>
                <w:ilvl w:val="0"/>
                <w:numId w:val="11"/>
              </w:numPr>
              <w:spacing w:before="0"/>
              <w:rPr>
                <w:rFonts w:ascii="Arial" w:hAnsi="Arial" w:cs="Arial"/>
                <w:sz w:val="18"/>
                <w:szCs w:val="18"/>
              </w:rPr>
            </w:pPr>
            <w:r w:rsidRPr="00EC54A4">
              <w:rPr>
                <w:rFonts w:ascii="Arial" w:hAnsi="Arial" w:cs="Arial"/>
                <w:color w:val="000000" w:themeColor="text1"/>
                <w:sz w:val="18"/>
                <w:szCs w:val="18"/>
              </w:rPr>
              <w:t xml:space="preserve">deliver key health promotion messages </w:t>
            </w:r>
          </w:p>
          <w:p w14:paraId="3E31BBF6" w14:textId="6F29D2CC" w:rsidR="00CA4229" w:rsidRPr="00EC54A4" w:rsidRDefault="00CA4229" w:rsidP="003D538D">
            <w:pPr>
              <w:pStyle w:val="Caption"/>
              <w:numPr>
                <w:ilvl w:val="0"/>
                <w:numId w:val="11"/>
              </w:numPr>
              <w:spacing w:before="0" w:after="0"/>
              <w:rPr>
                <w:rFonts w:ascii="Arial" w:eastAsia="Arial Unicode MS" w:hAnsi="Arial" w:cs="Arial"/>
                <w:b w:val="0"/>
                <w:bCs w:val="0"/>
                <w:color w:val="000000" w:themeColor="text1"/>
                <w:sz w:val="18"/>
                <w:szCs w:val="18"/>
                <w:lang w:eastAsia="en-AU"/>
              </w:rPr>
            </w:pPr>
            <w:r w:rsidRPr="00EC54A4">
              <w:rPr>
                <w:rFonts w:ascii="Arial" w:eastAsia="Arial Unicode MS" w:hAnsi="Arial" w:cs="Arial"/>
                <w:b w:val="0"/>
                <w:bCs w:val="0"/>
                <w:color w:val="000000" w:themeColor="text1"/>
                <w:sz w:val="18"/>
                <w:szCs w:val="18"/>
                <w:lang w:eastAsia="en-AU"/>
              </w:rPr>
              <w:t>provide referral to local risk reduction and care management services and providers (</w:t>
            </w:r>
            <w:r w:rsidR="00AD7B66" w:rsidRPr="00EC54A4">
              <w:rPr>
                <w:rFonts w:ascii="Arial" w:eastAsia="Arial Unicode MS" w:hAnsi="Arial" w:cs="Arial"/>
                <w:b w:val="0"/>
                <w:bCs w:val="0"/>
                <w:color w:val="000000" w:themeColor="text1"/>
                <w:sz w:val="18"/>
                <w:szCs w:val="18"/>
                <w:lang w:eastAsia="en-AU"/>
              </w:rPr>
              <w:t>i.e.,</w:t>
            </w:r>
            <w:r w:rsidRPr="00EC54A4">
              <w:rPr>
                <w:rFonts w:ascii="Arial" w:eastAsia="Arial Unicode MS" w:hAnsi="Arial" w:cs="Arial"/>
                <w:b w:val="0"/>
                <w:bCs w:val="0"/>
                <w:color w:val="000000" w:themeColor="text1"/>
                <w:sz w:val="18"/>
                <w:szCs w:val="18"/>
                <w:lang w:eastAsia="en-AU"/>
              </w:rPr>
              <w:t xml:space="preserve"> GP, lifestyle management programs)</w:t>
            </w:r>
          </w:p>
        </w:tc>
      </w:tr>
      <w:tr w:rsidR="00CA4229" w:rsidRPr="00EC54A4" w14:paraId="3DA25E65" w14:textId="77777777" w:rsidTr="00A94B54">
        <w:tc>
          <w:tcPr>
            <w:tcW w:w="1555" w:type="dxa"/>
          </w:tcPr>
          <w:p w14:paraId="6E1E5449" w14:textId="77777777" w:rsidR="00CA4229" w:rsidRPr="00EC54A4" w:rsidRDefault="00CA4229" w:rsidP="002F3448">
            <w:pPr>
              <w:pStyle w:val="Caption"/>
              <w:spacing w:before="0" w:after="0"/>
              <w:rPr>
                <w:rFonts w:ascii="Arial" w:hAnsi="Arial" w:cs="Arial"/>
                <w:b w:val="0"/>
                <w:bCs w:val="0"/>
                <w:sz w:val="18"/>
                <w:szCs w:val="18"/>
              </w:rPr>
            </w:pPr>
            <w:r w:rsidRPr="00EC54A4">
              <w:rPr>
                <w:rFonts w:ascii="Arial" w:hAnsi="Arial" w:cs="Arial"/>
                <w:b w:val="0"/>
                <w:bCs w:val="0"/>
                <w:sz w:val="18"/>
                <w:szCs w:val="18"/>
              </w:rPr>
              <w:t>Comparator</w:t>
            </w:r>
          </w:p>
        </w:tc>
        <w:tc>
          <w:tcPr>
            <w:tcW w:w="7461" w:type="dxa"/>
          </w:tcPr>
          <w:p w14:paraId="1C946C55" w14:textId="450ACE6B" w:rsidR="00CA4229" w:rsidRPr="00EC54A4" w:rsidRDefault="00CA4229" w:rsidP="002F3448">
            <w:pPr>
              <w:spacing w:before="0"/>
              <w:rPr>
                <w:rFonts w:ascii="Arial" w:hAnsi="Arial" w:cs="Arial"/>
                <w:sz w:val="18"/>
                <w:szCs w:val="18"/>
              </w:rPr>
            </w:pPr>
            <w:r w:rsidRPr="00EC54A4">
              <w:rPr>
                <w:rFonts w:ascii="Arial" w:hAnsi="Arial" w:cs="Arial"/>
                <w:sz w:val="18"/>
                <w:szCs w:val="18"/>
              </w:rPr>
              <w:t>In the absence of Community Pharmacy screening program, comparator is usual care by GP in primary clinical practice.</w:t>
            </w:r>
          </w:p>
          <w:p w14:paraId="050CBD71" w14:textId="77777777" w:rsidR="00CA4229" w:rsidRPr="00EC54A4" w:rsidRDefault="00CA4229" w:rsidP="002F3448">
            <w:pPr>
              <w:pStyle w:val="Caption"/>
              <w:spacing w:before="0" w:after="0"/>
              <w:rPr>
                <w:rFonts w:ascii="Arial" w:hAnsi="Arial" w:cs="Arial"/>
                <w:b w:val="0"/>
                <w:bCs w:val="0"/>
                <w:sz w:val="18"/>
                <w:szCs w:val="18"/>
              </w:rPr>
            </w:pPr>
          </w:p>
          <w:p w14:paraId="54CC533E" w14:textId="77777777" w:rsidR="00CA4229" w:rsidRPr="00EC54A4" w:rsidRDefault="00CA4229" w:rsidP="002F3448">
            <w:pPr>
              <w:pStyle w:val="Caption"/>
              <w:spacing w:before="0" w:after="0"/>
              <w:rPr>
                <w:rFonts w:ascii="Arial" w:hAnsi="Arial" w:cs="Arial"/>
                <w:b w:val="0"/>
                <w:bCs w:val="0"/>
                <w:sz w:val="18"/>
                <w:szCs w:val="18"/>
              </w:rPr>
            </w:pPr>
            <w:r w:rsidRPr="00EC54A4">
              <w:rPr>
                <w:rFonts w:ascii="Arial" w:hAnsi="Arial" w:cs="Arial"/>
                <w:b w:val="0"/>
                <w:bCs w:val="0"/>
                <w:sz w:val="18"/>
                <w:szCs w:val="18"/>
              </w:rPr>
              <w:t>Screening activities in General Practice are supported by MBS health assessment items, administered on the clinical judgement of the practitioner.</w:t>
            </w:r>
          </w:p>
        </w:tc>
      </w:tr>
      <w:tr w:rsidR="00CA4229" w:rsidRPr="00EC54A4" w14:paraId="454EB2C1" w14:textId="77777777" w:rsidTr="003D538D">
        <w:trPr>
          <w:trHeight w:val="4604"/>
        </w:trPr>
        <w:tc>
          <w:tcPr>
            <w:tcW w:w="1555" w:type="dxa"/>
          </w:tcPr>
          <w:p w14:paraId="190C1F9C" w14:textId="77777777" w:rsidR="00CA4229" w:rsidRPr="00EC54A4" w:rsidRDefault="00CA4229" w:rsidP="002F3448">
            <w:pPr>
              <w:pStyle w:val="Caption"/>
              <w:spacing w:before="0" w:after="0"/>
              <w:rPr>
                <w:rFonts w:ascii="Arial" w:hAnsi="Arial" w:cs="Arial"/>
                <w:b w:val="0"/>
                <w:bCs w:val="0"/>
                <w:sz w:val="18"/>
                <w:szCs w:val="18"/>
              </w:rPr>
            </w:pPr>
            <w:r w:rsidRPr="00EC54A4">
              <w:rPr>
                <w:rFonts w:ascii="Arial" w:hAnsi="Arial" w:cs="Arial"/>
                <w:b w:val="0"/>
                <w:bCs w:val="0"/>
                <w:sz w:val="18"/>
                <w:szCs w:val="18"/>
              </w:rPr>
              <w:t>Outcomes</w:t>
            </w:r>
          </w:p>
        </w:tc>
        <w:tc>
          <w:tcPr>
            <w:tcW w:w="7461" w:type="dxa"/>
          </w:tcPr>
          <w:p w14:paraId="01257220" w14:textId="77777777" w:rsidR="00CA4229" w:rsidRPr="00EC54A4" w:rsidRDefault="00CA4229" w:rsidP="002F3448">
            <w:pPr>
              <w:spacing w:before="0"/>
              <w:rPr>
                <w:rFonts w:ascii="Arial" w:hAnsi="Arial" w:cs="Arial"/>
                <w:color w:val="000000" w:themeColor="text1"/>
                <w:sz w:val="18"/>
                <w:szCs w:val="18"/>
              </w:rPr>
            </w:pPr>
            <w:r w:rsidRPr="00EC54A4">
              <w:rPr>
                <w:rFonts w:ascii="Arial" w:hAnsi="Arial" w:cs="Arial"/>
                <w:color w:val="000000" w:themeColor="text1"/>
                <w:sz w:val="18"/>
                <w:szCs w:val="18"/>
                <w:lang w:eastAsia="en-AU"/>
              </w:rPr>
              <w:t xml:space="preserve">How effective is opportunistic screening by Community Pharmacies in identifying people with, or at risk of, under-recognised conditions; specifically, </w:t>
            </w:r>
            <w:r w:rsidRPr="00EC54A4">
              <w:rPr>
                <w:rFonts w:ascii="Arial" w:hAnsi="Arial" w:cs="Arial"/>
                <w:color w:val="000000" w:themeColor="text1"/>
                <w:sz w:val="18"/>
                <w:szCs w:val="18"/>
              </w:rPr>
              <w:t>cardiovascular disease.</w:t>
            </w:r>
          </w:p>
          <w:p w14:paraId="1497EFEC" w14:textId="77777777" w:rsidR="00CA4229" w:rsidRPr="00EC54A4" w:rsidRDefault="00CA4229" w:rsidP="002F3448">
            <w:pPr>
              <w:spacing w:before="0"/>
              <w:rPr>
                <w:rFonts w:ascii="Arial" w:hAnsi="Arial" w:cs="Arial"/>
                <w:sz w:val="18"/>
                <w:szCs w:val="18"/>
              </w:rPr>
            </w:pPr>
            <w:r w:rsidRPr="00EC54A4">
              <w:rPr>
                <w:rFonts w:ascii="Arial" w:hAnsi="Arial" w:cs="Arial"/>
                <w:sz w:val="18"/>
                <w:szCs w:val="18"/>
              </w:rPr>
              <w:t>Suggested measures include:</w:t>
            </w:r>
          </w:p>
          <w:p w14:paraId="23DBF05A" w14:textId="77777777" w:rsidR="00CA4229" w:rsidRPr="00EC54A4" w:rsidRDefault="00CA4229" w:rsidP="002F3448">
            <w:pPr>
              <w:pStyle w:val="ListParagraph"/>
              <w:numPr>
                <w:ilvl w:val="0"/>
                <w:numId w:val="15"/>
              </w:numPr>
              <w:spacing w:before="0"/>
              <w:rPr>
                <w:rFonts w:ascii="Arial" w:hAnsi="Arial" w:cs="Arial"/>
                <w:sz w:val="18"/>
                <w:szCs w:val="18"/>
              </w:rPr>
            </w:pPr>
            <w:r w:rsidRPr="00EC54A4">
              <w:rPr>
                <w:rFonts w:ascii="Arial" w:hAnsi="Arial" w:cs="Arial"/>
                <w:sz w:val="18"/>
                <w:szCs w:val="18"/>
              </w:rPr>
              <w:t>Proportion of screened individuals, identified with disease risk factors (by risk score)</w:t>
            </w:r>
          </w:p>
          <w:p w14:paraId="47A073D7" w14:textId="77777777" w:rsidR="00CA4229" w:rsidRPr="00EC54A4" w:rsidRDefault="00CA4229" w:rsidP="002F3448">
            <w:pPr>
              <w:pStyle w:val="ListParagraph"/>
              <w:numPr>
                <w:ilvl w:val="0"/>
                <w:numId w:val="15"/>
              </w:numPr>
              <w:spacing w:before="0"/>
              <w:rPr>
                <w:rFonts w:ascii="Arial" w:hAnsi="Arial" w:cs="Arial"/>
                <w:sz w:val="18"/>
                <w:szCs w:val="18"/>
              </w:rPr>
            </w:pPr>
            <w:r w:rsidRPr="00EC54A4">
              <w:rPr>
                <w:rFonts w:ascii="Arial" w:hAnsi="Arial" w:cs="Arial"/>
                <w:sz w:val="18"/>
                <w:szCs w:val="18"/>
              </w:rPr>
              <w:t>Percentage of screened population referred on to primary care services</w:t>
            </w:r>
          </w:p>
          <w:p w14:paraId="7188D7B5" w14:textId="77777777" w:rsidR="00CA4229" w:rsidRPr="00EC54A4" w:rsidRDefault="00CA4229" w:rsidP="002F3448">
            <w:pPr>
              <w:pStyle w:val="ListParagraph"/>
              <w:numPr>
                <w:ilvl w:val="0"/>
                <w:numId w:val="15"/>
              </w:numPr>
              <w:spacing w:before="0"/>
              <w:rPr>
                <w:rFonts w:ascii="Arial" w:hAnsi="Arial" w:cs="Arial"/>
                <w:sz w:val="18"/>
                <w:szCs w:val="18"/>
              </w:rPr>
            </w:pPr>
            <w:r w:rsidRPr="00EC54A4">
              <w:rPr>
                <w:rFonts w:ascii="Arial" w:hAnsi="Arial" w:cs="Arial"/>
                <w:sz w:val="18"/>
                <w:szCs w:val="18"/>
              </w:rPr>
              <w:t xml:space="preserve">Participants’ adherence to pharmacy advice and uptake of primary care referral </w:t>
            </w:r>
          </w:p>
          <w:p w14:paraId="29C81FC2" w14:textId="77777777" w:rsidR="00CA4229" w:rsidRPr="00EC54A4" w:rsidRDefault="00CA4229" w:rsidP="002F3448">
            <w:pPr>
              <w:pStyle w:val="ListParagraph"/>
              <w:numPr>
                <w:ilvl w:val="0"/>
                <w:numId w:val="15"/>
              </w:numPr>
              <w:spacing w:before="0"/>
              <w:rPr>
                <w:rFonts w:ascii="Arial" w:hAnsi="Arial" w:cs="Arial"/>
                <w:sz w:val="18"/>
                <w:szCs w:val="18"/>
              </w:rPr>
            </w:pPr>
            <w:r w:rsidRPr="00EC54A4">
              <w:rPr>
                <w:rFonts w:ascii="Arial" w:hAnsi="Arial" w:cs="Arial"/>
                <w:sz w:val="18"/>
                <w:szCs w:val="18"/>
              </w:rPr>
              <w:t xml:space="preserve">Screening participants’ satisfaction with </w:t>
            </w:r>
            <w:proofErr w:type="gramStart"/>
            <w:r w:rsidRPr="00EC54A4">
              <w:rPr>
                <w:rFonts w:ascii="Arial" w:hAnsi="Arial" w:cs="Arial"/>
                <w:sz w:val="18"/>
                <w:szCs w:val="18"/>
              </w:rPr>
              <w:t>pharmacy based</w:t>
            </w:r>
            <w:proofErr w:type="gramEnd"/>
            <w:r w:rsidRPr="00EC54A4">
              <w:rPr>
                <w:rFonts w:ascii="Arial" w:hAnsi="Arial" w:cs="Arial"/>
                <w:sz w:val="18"/>
                <w:szCs w:val="18"/>
              </w:rPr>
              <w:t xml:space="preserve"> service</w:t>
            </w:r>
          </w:p>
          <w:p w14:paraId="7D77299E" w14:textId="77777777" w:rsidR="00CA4229" w:rsidRPr="00EC54A4" w:rsidRDefault="00CA4229" w:rsidP="002F3448">
            <w:pPr>
              <w:pStyle w:val="ListParagraph"/>
              <w:numPr>
                <w:ilvl w:val="0"/>
                <w:numId w:val="15"/>
              </w:numPr>
              <w:spacing w:before="0"/>
              <w:rPr>
                <w:rFonts w:ascii="Arial" w:hAnsi="Arial" w:cs="Arial"/>
                <w:sz w:val="18"/>
                <w:szCs w:val="18"/>
              </w:rPr>
            </w:pPr>
            <w:r w:rsidRPr="00EC54A4">
              <w:rPr>
                <w:rFonts w:ascii="Arial" w:hAnsi="Arial" w:cs="Arial"/>
                <w:sz w:val="18"/>
                <w:szCs w:val="18"/>
              </w:rPr>
              <w:t xml:space="preserve">Service providers’ satisfaction with </w:t>
            </w:r>
            <w:proofErr w:type="gramStart"/>
            <w:r w:rsidRPr="00EC54A4">
              <w:rPr>
                <w:rFonts w:ascii="Arial" w:hAnsi="Arial" w:cs="Arial"/>
                <w:sz w:val="18"/>
                <w:szCs w:val="18"/>
              </w:rPr>
              <w:t>pharmacy based</w:t>
            </w:r>
            <w:proofErr w:type="gramEnd"/>
            <w:r w:rsidRPr="00EC54A4">
              <w:rPr>
                <w:rFonts w:ascii="Arial" w:hAnsi="Arial" w:cs="Arial"/>
                <w:sz w:val="18"/>
                <w:szCs w:val="18"/>
              </w:rPr>
              <w:t xml:space="preserve"> service</w:t>
            </w:r>
          </w:p>
          <w:p w14:paraId="5F8491ED" w14:textId="77777777" w:rsidR="00CA4229" w:rsidRPr="00EC54A4" w:rsidRDefault="00CA4229" w:rsidP="002F3448">
            <w:pPr>
              <w:pStyle w:val="ListParagraph"/>
              <w:numPr>
                <w:ilvl w:val="0"/>
                <w:numId w:val="15"/>
              </w:numPr>
              <w:spacing w:before="0"/>
              <w:rPr>
                <w:rFonts w:ascii="Arial" w:hAnsi="Arial" w:cs="Arial"/>
                <w:i/>
                <w:sz w:val="18"/>
                <w:szCs w:val="18"/>
                <w:u w:val="single"/>
                <w:lang w:val="en-US"/>
              </w:rPr>
            </w:pPr>
            <w:r w:rsidRPr="00EC54A4">
              <w:rPr>
                <w:rFonts w:ascii="Arial" w:hAnsi="Arial" w:cs="Arial"/>
                <w:sz w:val="18"/>
                <w:szCs w:val="18"/>
              </w:rPr>
              <w:t xml:space="preserve">Participant awareness </w:t>
            </w:r>
            <w:r w:rsidRPr="00EC54A4">
              <w:rPr>
                <w:rFonts w:ascii="Arial" w:hAnsi="Arial" w:cs="Arial"/>
                <w:sz w:val="18"/>
                <w:szCs w:val="18"/>
                <w:lang w:val="en-US"/>
              </w:rPr>
              <w:t>of CVD and its risk factors</w:t>
            </w:r>
          </w:p>
          <w:p w14:paraId="7BDF10ED" w14:textId="77777777" w:rsidR="00CA4229" w:rsidRPr="00EC54A4" w:rsidRDefault="00CA4229" w:rsidP="002F3448">
            <w:pPr>
              <w:pStyle w:val="ListParagraph"/>
              <w:numPr>
                <w:ilvl w:val="0"/>
                <w:numId w:val="15"/>
              </w:numPr>
              <w:spacing w:before="0"/>
              <w:rPr>
                <w:rFonts w:ascii="Arial" w:hAnsi="Arial" w:cs="Arial"/>
                <w:sz w:val="18"/>
                <w:szCs w:val="18"/>
              </w:rPr>
            </w:pPr>
            <w:r w:rsidRPr="00EC54A4">
              <w:rPr>
                <w:rFonts w:ascii="Arial" w:hAnsi="Arial" w:cs="Arial"/>
                <w:sz w:val="18"/>
                <w:szCs w:val="18"/>
              </w:rPr>
              <w:t xml:space="preserve">Pharmacist influence of participant health seeking behaviour </w:t>
            </w:r>
          </w:p>
          <w:p w14:paraId="37996084" w14:textId="77777777" w:rsidR="00CA4229" w:rsidRPr="00EC54A4" w:rsidRDefault="00CA4229" w:rsidP="002F3448">
            <w:pPr>
              <w:pStyle w:val="ListParagraph"/>
              <w:numPr>
                <w:ilvl w:val="0"/>
                <w:numId w:val="15"/>
              </w:numPr>
              <w:spacing w:before="0"/>
              <w:rPr>
                <w:rFonts w:ascii="Arial" w:hAnsi="Arial" w:cs="Arial"/>
                <w:sz w:val="18"/>
                <w:szCs w:val="18"/>
              </w:rPr>
            </w:pPr>
            <w:r w:rsidRPr="00EC54A4">
              <w:rPr>
                <w:rFonts w:ascii="Arial" w:hAnsi="Arial" w:cs="Arial"/>
                <w:sz w:val="18"/>
                <w:szCs w:val="18"/>
              </w:rPr>
              <w:t>Participant reported outcomes – health related quality of care</w:t>
            </w:r>
          </w:p>
          <w:p w14:paraId="12186AB8" w14:textId="77777777" w:rsidR="00CA4229" w:rsidRPr="00EC54A4" w:rsidRDefault="00CA4229" w:rsidP="002F3448">
            <w:pPr>
              <w:pStyle w:val="TableText"/>
              <w:spacing w:before="0" w:after="0"/>
              <w:rPr>
                <w:rFonts w:ascii="Arial" w:hAnsi="Arial" w:cs="Arial"/>
                <w:sz w:val="18"/>
                <w:szCs w:val="18"/>
              </w:rPr>
            </w:pPr>
          </w:p>
          <w:p w14:paraId="4DC2C240" w14:textId="77777777" w:rsidR="00CA4229" w:rsidRPr="00EC54A4" w:rsidRDefault="00CA4229" w:rsidP="002F3448">
            <w:pPr>
              <w:spacing w:before="0"/>
              <w:rPr>
                <w:rFonts w:ascii="Arial" w:hAnsi="Arial" w:cs="Arial"/>
                <w:i/>
                <w:sz w:val="18"/>
                <w:szCs w:val="18"/>
                <w:u w:val="single"/>
              </w:rPr>
            </w:pPr>
            <w:r w:rsidRPr="00EC54A4">
              <w:rPr>
                <w:rFonts w:ascii="Arial" w:hAnsi="Arial" w:cs="Arial"/>
                <w:i/>
                <w:sz w:val="18"/>
                <w:szCs w:val="18"/>
                <w:u w:val="single"/>
              </w:rPr>
              <w:t>Cost Effectiveness</w:t>
            </w:r>
          </w:p>
          <w:p w14:paraId="43A2EDF0" w14:textId="1A2BE35F" w:rsidR="00CA4229" w:rsidRPr="00EC54A4" w:rsidRDefault="00CA4229" w:rsidP="002F3448">
            <w:pPr>
              <w:spacing w:before="0"/>
              <w:rPr>
                <w:rFonts w:ascii="Arial" w:hAnsi="Arial" w:cs="Arial"/>
                <w:sz w:val="18"/>
                <w:szCs w:val="18"/>
              </w:rPr>
            </w:pPr>
            <w:r w:rsidRPr="00EC54A4">
              <w:rPr>
                <w:rFonts w:ascii="Arial" w:hAnsi="Arial" w:cs="Arial"/>
                <w:sz w:val="18"/>
                <w:szCs w:val="18"/>
              </w:rPr>
              <w:t>Cost of program will be compared to usual costs that would have been applicable in absence of program. This includes prevented GP consultations and pathology investigations, and their resultant reduction in MBS/PBS billing.</w:t>
            </w:r>
          </w:p>
          <w:p w14:paraId="5C8EDE1D" w14:textId="77777777" w:rsidR="00CA4229" w:rsidRPr="00D80862" w:rsidRDefault="00CA4229" w:rsidP="002F3448">
            <w:pPr>
              <w:spacing w:before="0"/>
              <w:ind w:left="15"/>
              <w:rPr>
                <w:rFonts w:ascii="Arial" w:hAnsi="Arial" w:cs="Arial"/>
                <w:i/>
                <w:sz w:val="18"/>
                <w:szCs w:val="18"/>
                <w:u w:val="single"/>
              </w:rPr>
            </w:pPr>
            <w:r w:rsidRPr="00D80862">
              <w:rPr>
                <w:rFonts w:ascii="Arial" w:hAnsi="Arial" w:cs="Arial"/>
                <w:i/>
                <w:sz w:val="18"/>
                <w:szCs w:val="18"/>
                <w:u w:val="single"/>
              </w:rPr>
              <w:t>Rationale</w:t>
            </w:r>
          </w:p>
          <w:p w14:paraId="6FEBD4C6" w14:textId="77777777" w:rsidR="00CA4229" w:rsidRPr="00EC54A4" w:rsidRDefault="00CA4229" w:rsidP="002F3448">
            <w:pPr>
              <w:pStyle w:val="Caption"/>
              <w:spacing w:before="0" w:after="0"/>
              <w:rPr>
                <w:rFonts w:ascii="Arial" w:hAnsi="Arial" w:cs="Arial"/>
                <w:b w:val="0"/>
                <w:bCs w:val="0"/>
                <w:sz w:val="18"/>
                <w:szCs w:val="18"/>
              </w:rPr>
            </w:pPr>
            <w:r w:rsidRPr="00EC54A4">
              <w:rPr>
                <w:rFonts w:ascii="Arial" w:hAnsi="Arial" w:cs="Arial"/>
                <w:b w:val="0"/>
                <w:bCs w:val="0"/>
                <w:sz w:val="18"/>
                <w:szCs w:val="18"/>
              </w:rPr>
              <w:t xml:space="preserve">Delayed detection of CVD risk and clinical markers results in later symptomatic or acute presentation at General Practice or hospital requiring more advanced and costly diagnosis, </w:t>
            </w:r>
            <w:proofErr w:type="gramStart"/>
            <w:r w:rsidRPr="00EC54A4">
              <w:rPr>
                <w:rFonts w:ascii="Arial" w:hAnsi="Arial" w:cs="Arial"/>
                <w:b w:val="0"/>
                <w:bCs w:val="0"/>
                <w:sz w:val="18"/>
                <w:szCs w:val="18"/>
              </w:rPr>
              <w:t>treatment</w:t>
            </w:r>
            <w:proofErr w:type="gramEnd"/>
            <w:r w:rsidRPr="00EC54A4">
              <w:rPr>
                <w:rFonts w:ascii="Arial" w:hAnsi="Arial" w:cs="Arial"/>
                <w:b w:val="0"/>
                <w:bCs w:val="0"/>
                <w:sz w:val="18"/>
                <w:szCs w:val="18"/>
              </w:rPr>
              <w:t xml:space="preserve"> and management interventions.</w:t>
            </w:r>
          </w:p>
        </w:tc>
      </w:tr>
    </w:tbl>
    <w:p w14:paraId="34F3EFB1" w14:textId="61C6B338" w:rsidR="00804632" w:rsidRPr="00EC54A4" w:rsidRDefault="00804632" w:rsidP="00D80862">
      <w:pPr>
        <w:pStyle w:val="Heading2"/>
        <w:numPr>
          <w:ilvl w:val="0"/>
          <w:numId w:val="0"/>
        </w:numPr>
        <w:spacing w:before="400" w:after="0"/>
        <w:rPr>
          <w:rFonts w:ascii="Arial" w:hAnsi="Arial" w:cs="Arial"/>
          <w:b/>
          <w:bCs/>
        </w:rPr>
      </w:pPr>
      <w:bookmarkStart w:id="102" w:name="_Toc137535798"/>
      <w:r w:rsidRPr="00EC54A4">
        <w:rPr>
          <w:rFonts w:ascii="Arial" w:hAnsi="Arial" w:cs="Arial"/>
          <w:b/>
          <w:bCs/>
        </w:rPr>
        <w:t>Literature sources and search strategies</w:t>
      </w:r>
      <w:bookmarkEnd w:id="101"/>
      <w:bookmarkEnd w:id="102"/>
    </w:p>
    <w:p w14:paraId="091B0A26" w14:textId="182EC0C8" w:rsidR="00571FAB" w:rsidRPr="00D80862" w:rsidRDefault="00571FAB" w:rsidP="00D80862">
      <w:pPr>
        <w:pStyle w:val="Instructionaltext"/>
        <w:spacing w:before="160" w:line="240" w:lineRule="auto"/>
        <w:rPr>
          <w:rFonts w:ascii="Arial" w:hAnsi="Arial" w:cs="Arial"/>
          <w:color w:val="auto"/>
        </w:rPr>
      </w:pPr>
      <w:r w:rsidRPr="00EC54A4">
        <w:rPr>
          <w:rFonts w:ascii="Arial" w:hAnsi="Arial" w:cs="Arial"/>
          <w:color w:val="auto"/>
        </w:rPr>
        <w:t xml:space="preserve">A </w:t>
      </w:r>
      <w:r w:rsidR="003B3A7A" w:rsidRPr="00EC54A4">
        <w:rPr>
          <w:rFonts w:ascii="Arial" w:hAnsi="Arial" w:cs="Arial"/>
          <w:color w:val="auto"/>
        </w:rPr>
        <w:t xml:space="preserve">non-exhaustive desktop literature review was conducted January 2022 to identify relevant studies and systematic reviews published during the period </w:t>
      </w:r>
      <w:r w:rsidRPr="00EC54A4">
        <w:rPr>
          <w:rFonts w:ascii="Arial" w:hAnsi="Arial" w:cs="Arial"/>
          <w:color w:val="auto"/>
        </w:rPr>
        <w:t>2007</w:t>
      </w:r>
      <w:r w:rsidR="003B3A7A" w:rsidRPr="00EC54A4">
        <w:rPr>
          <w:rFonts w:ascii="Arial" w:hAnsi="Arial" w:cs="Arial"/>
          <w:color w:val="auto"/>
        </w:rPr>
        <w:t xml:space="preserve"> to </w:t>
      </w:r>
      <w:r w:rsidRPr="00EC54A4">
        <w:rPr>
          <w:rFonts w:ascii="Arial" w:hAnsi="Arial" w:cs="Arial"/>
          <w:color w:val="auto"/>
        </w:rPr>
        <w:t>2020</w:t>
      </w:r>
      <w:r w:rsidR="003B3A7A" w:rsidRPr="00EC54A4">
        <w:rPr>
          <w:rFonts w:ascii="Arial" w:hAnsi="Arial" w:cs="Arial"/>
          <w:color w:val="auto"/>
        </w:rPr>
        <w:t xml:space="preserve">. Searches were conducted of the databases and sources described in </w:t>
      </w:r>
      <w:r w:rsidR="003134F1">
        <w:rPr>
          <w:rFonts w:ascii="Arial" w:hAnsi="Arial" w:cs="Arial"/>
          <w:color w:val="auto"/>
        </w:rPr>
        <w:t>Table 24.</w:t>
      </w:r>
    </w:p>
    <w:p w14:paraId="795370F5" w14:textId="10471DC0" w:rsidR="000D5410" w:rsidRPr="00EC54A4" w:rsidRDefault="00571FAB" w:rsidP="00D80862">
      <w:pPr>
        <w:pStyle w:val="Instructionaltext"/>
        <w:spacing w:before="160" w:line="240" w:lineRule="auto"/>
        <w:rPr>
          <w:rFonts w:ascii="Arial" w:hAnsi="Arial" w:cs="Arial"/>
          <w:color w:val="auto"/>
        </w:rPr>
      </w:pPr>
      <w:r w:rsidRPr="00EC54A4">
        <w:rPr>
          <w:rFonts w:ascii="Arial" w:hAnsi="Arial" w:cs="Arial"/>
          <w:color w:val="auto"/>
        </w:rPr>
        <w:t xml:space="preserve">The search </w:t>
      </w:r>
      <w:r w:rsidR="003B3A7A" w:rsidRPr="00EC54A4">
        <w:rPr>
          <w:rFonts w:ascii="Arial" w:hAnsi="Arial" w:cs="Arial"/>
          <w:color w:val="auto"/>
        </w:rPr>
        <w:t xml:space="preserve">located several relevant studies reporting on the effectiveness of opportunistic disease screening and preventative intervention strategies within community pharmacy. In addition, there is one systematic review assessing the feasibility and acceptability of </w:t>
      </w:r>
      <w:r w:rsidR="002F3AF8" w:rsidRPr="00EC54A4">
        <w:rPr>
          <w:rFonts w:ascii="Arial" w:hAnsi="Arial" w:cs="Arial"/>
          <w:color w:val="auto"/>
        </w:rPr>
        <w:t>community-based</w:t>
      </w:r>
      <w:r w:rsidR="003B3A7A" w:rsidRPr="00EC54A4">
        <w:rPr>
          <w:rFonts w:ascii="Arial" w:hAnsi="Arial" w:cs="Arial"/>
          <w:color w:val="auto"/>
        </w:rPr>
        <w:t xml:space="preserve"> pharmacy screening for major diseases and one systematic review assessing effectiveness of screening for diabetes and cardiovascular disease risk factors in community pharmacy.</w:t>
      </w:r>
    </w:p>
    <w:p w14:paraId="73136505" w14:textId="134D0693" w:rsidR="003B3A7A" w:rsidRPr="00EC54A4" w:rsidRDefault="003B3A7A" w:rsidP="00D80862">
      <w:pPr>
        <w:pStyle w:val="Instructionaltext"/>
        <w:spacing w:before="160" w:line="240" w:lineRule="auto"/>
        <w:rPr>
          <w:rFonts w:ascii="Arial" w:hAnsi="Arial" w:cs="Arial"/>
          <w:color w:val="auto"/>
        </w:rPr>
      </w:pPr>
      <w:r w:rsidRPr="00EC54A4">
        <w:rPr>
          <w:rFonts w:ascii="Arial" w:hAnsi="Arial" w:cs="Arial"/>
          <w:color w:val="auto"/>
        </w:rPr>
        <w:t>The following search terms were used in the desktop literature review; community pharmacy; CVD, cardiovascular disease; screening; intervention.</w:t>
      </w:r>
    </w:p>
    <w:tbl>
      <w:tblPr>
        <w:tblW w:w="586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1"/>
        <w:gridCol w:w="735"/>
        <w:gridCol w:w="805"/>
        <w:gridCol w:w="986"/>
        <w:gridCol w:w="1359"/>
        <w:gridCol w:w="1207"/>
        <w:gridCol w:w="1389"/>
        <w:gridCol w:w="1941"/>
        <w:gridCol w:w="603"/>
      </w:tblGrid>
      <w:tr w:rsidR="00767E6B" w:rsidRPr="00615F0C" w14:paraId="32D9061E" w14:textId="6E6D9B25" w:rsidTr="003D538D">
        <w:trPr>
          <w:tblHeader/>
        </w:trPr>
        <w:tc>
          <w:tcPr>
            <w:tcW w:w="5002" w:type="pct"/>
            <w:gridSpan w:val="8"/>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FFB9D94" w14:textId="682F85A7" w:rsidR="00767E6B" w:rsidRPr="00A14753" w:rsidRDefault="00767E6B" w:rsidP="003D538D">
            <w:pPr>
              <w:pStyle w:val="Heading3"/>
              <w:spacing w:before="0" w:after="0"/>
              <w:rPr>
                <w:bCs/>
                <w:szCs w:val="20"/>
              </w:rPr>
            </w:pPr>
            <w:bookmarkStart w:id="103" w:name="_Toc137535799"/>
            <w:r w:rsidRPr="003D538D">
              <w:rPr>
                <w:rFonts w:ascii="Arial Narrow" w:hAnsi="Arial Narrow"/>
                <w:b/>
                <w:bCs/>
                <w:sz w:val="20"/>
                <w:szCs w:val="20"/>
              </w:rPr>
              <w:lastRenderedPageBreak/>
              <w:t>Table 24: Literature sources and search strategies</w:t>
            </w:r>
            <w:bookmarkEnd w:id="103"/>
          </w:p>
        </w:tc>
        <w:tc>
          <w:tcPr>
            <w:tcW w:w="5002" w:type="pct"/>
            <w:tcBorders>
              <w:top w:val="nil"/>
              <w:left w:val="single" w:sz="4" w:space="0" w:color="FFFFFF" w:themeColor="background1"/>
              <w:bottom w:val="nil"/>
            </w:tcBorders>
          </w:tcPr>
          <w:p w14:paraId="7DE5D41F" w14:textId="77777777" w:rsidR="00767E6B" w:rsidRPr="00A14753" w:rsidRDefault="00767E6B" w:rsidP="003D538D">
            <w:pPr>
              <w:pStyle w:val="Heading3"/>
              <w:spacing w:before="0" w:after="0"/>
              <w:rPr>
                <w:bCs/>
                <w:szCs w:val="20"/>
              </w:rPr>
            </w:pPr>
          </w:p>
        </w:tc>
      </w:tr>
      <w:tr w:rsidR="00767E6B" w:rsidRPr="007452E8" w14:paraId="2AF7336D" w14:textId="318E0721" w:rsidTr="003D538D">
        <w:trPr>
          <w:tblHeader/>
        </w:trPr>
        <w:tc>
          <w:tcPr>
            <w:tcW w:w="769" w:type="pct"/>
            <w:tcBorders>
              <w:top w:val="single" w:sz="4" w:space="0" w:color="auto"/>
            </w:tcBorders>
            <w:shd w:val="clear" w:color="auto" w:fill="auto"/>
            <w:vAlign w:val="center"/>
          </w:tcPr>
          <w:p w14:paraId="0A1E43A6" w14:textId="0A05D6C4" w:rsidR="00767E6B" w:rsidRPr="007452E8" w:rsidRDefault="00767E6B" w:rsidP="002F3448">
            <w:pPr>
              <w:pStyle w:val="TableHeading"/>
              <w:spacing w:before="0" w:after="0"/>
              <w:rPr>
                <w:sz w:val="18"/>
                <w:szCs w:val="18"/>
              </w:rPr>
            </w:pPr>
            <w:r w:rsidRPr="007452E8">
              <w:rPr>
                <w:sz w:val="18"/>
                <w:szCs w:val="18"/>
              </w:rPr>
              <w:t>Trial/Study</w:t>
            </w:r>
          </w:p>
        </w:tc>
        <w:tc>
          <w:tcPr>
            <w:tcW w:w="348" w:type="pct"/>
            <w:tcBorders>
              <w:top w:val="single" w:sz="4" w:space="0" w:color="auto"/>
            </w:tcBorders>
            <w:shd w:val="clear" w:color="auto" w:fill="auto"/>
            <w:vAlign w:val="center"/>
          </w:tcPr>
          <w:p w14:paraId="4615DB45" w14:textId="77777777" w:rsidR="00767E6B" w:rsidRPr="007452E8" w:rsidRDefault="00767E6B" w:rsidP="002F3448">
            <w:pPr>
              <w:pStyle w:val="TableHeading"/>
              <w:spacing w:before="0" w:after="0"/>
              <w:rPr>
                <w:sz w:val="18"/>
                <w:szCs w:val="18"/>
              </w:rPr>
            </w:pPr>
            <w:r w:rsidRPr="007452E8">
              <w:rPr>
                <w:sz w:val="18"/>
                <w:szCs w:val="18"/>
              </w:rPr>
              <w:t>N</w:t>
            </w:r>
          </w:p>
        </w:tc>
        <w:tc>
          <w:tcPr>
            <w:tcW w:w="452" w:type="pct"/>
            <w:tcBorders>
              <w:top w:val="single" w:sz="4" w:space="0" w:color="auto"/>
            </w:tcBorders>
            <w:shd w:val="clear" w:color="auto" w:fill="auto"/>
            <w:vAlign w:val="center"/>
          </w:tcPr>
          <w:p w14:paraId="4F89C719" w14:textId="77777777" w:rsidR="00767E6B" w:rsidRPr="007452E8" w:rsidRDefault="00767E6B" w:rsidP="002F3448">
            <w:pPr>
              <w:pStyle w:val="TableHeading"/>
              <w:spacing w:before="0" w:after="0"/>
              <w:rPr>
                <w:sz w:val="18"/>
                <w:szCs w:val="18"/>
              </w:rPr>
            </w:pPr>
            <w:r w:rsidRPr="007452E8">
              <w:rPr>
                <w:sz w:val="18"/>
                <w:szCs w:val="18"/>
              </w:rPr>
              <w:t>Study design</w:t>
            </w:r>
          </w:p>
          <w:p w14:paraId="73A7EC89" w14:textId="77777777" w:rsidR="00767E6B" w:rsidRPr="007452E8" w:rsidRDefault="00767E6B" w:rsidP="002F3448">
            <w:pPr>
              <w:pStyle w:val="TableHeading"/>
              <w:spacing w:before="0" w:after="0"/>
              <w:rPr>
                <w:sz w:val="18"/>
                <w:szCs w:val="18"/>
              </w:rPr>
            </w:pPr>
            <w:r w:rsidRPr="007452E8">
              <w:rPr>
                <w:sz w:val="18"/>
                <w:szCs w:val="18"/>
              </w:rPr>
              <w:t>Risk of bias</w:t>
            </w:r>
          </w:p>
        </w:tc>
        <w:tc>
          <w:tcPr>
            <w:tcW w:w="502" w:type="pct"/>
            <w:tcBorders>
              <w:top w:val="single" w:sz="4" w:space="0" w:color="auto"/>
            </w:tcBorders>
            <w:vAlign w:val="center"/>
          </w:tcPr>
          <w:p w14:paraId="0C2A378A" w14:textId="77777777" w:rsidR="00767E6B" w:rsidRPr="007452E8" w:rsidRDefault="00767E6B" w:rsidP="002F3448">
            <w:pPr>
              <w:pStyle w:val="TableHeading"/>
              <w:spacing w:before="0" w:after="0"/>
              <w:rPr>
                <w:sz w:val="18"/>
                <w:szCs w:val="18"/>
              </w:rPr>
            </w:pPr>
            <w:r w:rsidRPr="007452E8">
              <w:rPr>
                <w:sz w:val="18"/>
                <w:szCs w:val="18"/>
              </w:rPr>
              <w:t>Population</w:t>
            </w:r>
          </w:p>
        </w:tc>
        <w:tc>
          <w:tcPr>
            <w:tcW w:w="678" w:type="pct"/>
            <w:tcBorders>
              <w:top w:val="single" w:sz="4" w:space="0" w:color="auto"/>
            </w:tcBorders>
            <w:vAlign w:val="center"/>
          </w:tcPr>
          <w:p w14:paraId="4AA14EAC" w14:textId="77777777" w:rsidR="00767E6B" w:rsidRPr="007452E8" w:rsidRDefault="00767E6B" w:rsidP="002F3448">
            <w:pPr>
              <w:pStyle w:val="TableHeading"/>
              <w:spacing w:before="0" w:after="0"/>
              <w:rPr>
                <w:sz w:val="18"/>
                <w:szCs w:val="18"/>
              </w:rPr>
            </w:pPr>
            <w:r w:rsidRPr="007452E8">
              <w:rPr>
                <w:sz w:val="18"/>
                <w:szCs w:val="18"/>
              </w:rPr>
              <w:t>Intervention</w:t>
            </w:r>
          </w:p>
        </w:tc>
        <w:tc>
          <w:tcPr>
            <w:tcW w:w="606" w:type="pct"/>
            <w:tcBorders>
              <w:top w:val="single" w:sz="4" w:space="0" w:color="auto"/>
            </w:tcBorders>
            <w:shd w:val="clear" w:color="auto" w:fill="auto"/>
            <w:vAlign w:val="center"/>
          </w:tcPr>
          <w:p w14:paraId="2953F666" w14:textId="77777777" w:rsidR="00767E6B" w:rsidRPr="007452E8" w:rsidRDefault="00767E6B" w:rsidP="002F3448">
            <w:pPr>
              <w:pStyle w:val="TableHeading"/>
              <w:spacing w:before="0" w:after="0"/>
              <w:rPr>
                <w:sz w:val="18"/>
                <w:szCs w:val="18"/>
              </w:rPr>
            </w:pPr>
            <w:r w:rsidRPr="007452E8">
              <w:rPr>
                <w:sz w:val="18"/>
                <w:szCs w:val="18"/>
              </w:rPr>
              <w:t>Comparator</w:t>
            </w:r>
          </w:p>
        </w:tc>
        <w:tc>
          <w:tcPr>
            <w:tcW w:w="692" w:type="pct"/>
            <w:tcBorders>
              <w:top w:val="single" w:sz="4" w:space="0" w:color="auto"/>
            </w:tcBorders>
            <w:shd w:val="clear" w:color="auto" w:fill="auto"/>
            <w:vAlign w:val="center"/>
          </w:tcPr>
          <w:p w14:paraId="15207FB3" w14:textId="77777777" w:rsidR="00767E6B" w:rsidRPr="007452E8" w:rsidRDefault="00767E6B" w:rsidP="002F3448">
            <w:pPr>
              <w:pStyle w:val="TableHeading"/>
              <w:spacing w:before="0" w:after="0"/>
              <w:rPr>
                <w:sz w:val="18"/>
                <w:szCs w:val="18"/>
              </w:rPr>
            </w:pPr>
            <w:r w:rsidRPr="007452E8">
              <w:rPr>
                <w:sz w:val="18"/>
                <w:szCs w:val="18"/>
              </w:rPr>
              <w:t>Key outcome(s)</w:t>
            </w:r>
          </w:p>
        </w:tc>
        <w:tc>
          <w:tcPr>
            <w:tcW w:w="952" w:type="pct"/>
            <w:gridSpan w:val="2"/>
            <w:tcBorders>
              <w:top w:val="single" w:sz="4" w:space="0" w:color="auto"/>
            </w:tcBorders>
          </w:tcPr>
          <w:p w14:paraId="1ACFA4EF" w14:textId="77777777" w:rsidR="00767E6B" w:rsidRPr="007452E8" w:rsidRDefault="00767E6B" w:rsidP="002F3448">
            <w:pPr>
              <w:pStyle w:val="TableHeading"/>
              <w:spacing w:before="0" w:after="0"/>
              <w:rPr>
                <w:sz w:val="18"/>
                <w:szCs w:val="18"/>
              </w:rPr>
            </w:pPr>
            <w:r w:rsidRPr="007452E8">
              <w:rPr>
                <w:sz w:val="18"/>
                <w:szCs w:val="18"/>
              </w:rPr>
              <w:t>Result used in economic model</w:t>
            </w:r>
          </w:p>
        </w:tc>
      </w:tr>
      <w:tr w:rsidR="00767E6B" w:rsidRPr="007452E8" w14:paraId="4A22FBED" w14:textId="28775DE8" w:rsidTr="003D538D">
        <w:trPr>
          <w:trHeight w:val="1839"/>
          <w:tblHeader/>
        </w:trPr>
        <w:tc>
          <w:tcPr>
            <w:tcW w:w="769" w:type="pct"/>
            <w:shd w:val="clear" w:color="auto" w:fill="auto"/>
          </w:tcPr>
          <w:p w14:paraId="687CA4D4" w14:textId="77777777" w:rsidR="00767E6B" w:rsidRPr="007452E8" w:rsidRDefault="00767E6B" w:rsidP="002F3448">
            <w:pPr>
              <w:pStyle w:val="TableHeading"/>
              <w:spacing w:before="0" w:after="0"/>
              <w:rPr>
                <w:rFonts w:cs="Arial"/>
                <w:b w:val="0"/>
                <w:bCs/>
                <w:sz w:val="16"/>
                <w:szCs w:val="16"/>
              </w:rPr>
            </w:pPr>
            <w:r w:rsidRPr="007452E8">
              <w:rPr>
                <w:rFonts w:cs="Arial"/>
                <w:b w:val="0"/>
                <w:bCs/>
                <w:sz w:val="16"/>
                <w:szCs w:val="16"/>
              </w:rPr>
              <w:t>Diabetes and cardiovascular disease risk screening model in community pharmacies in a developing primary healthcare system: a feasibility study</w:t>
            </w:r>
          </w:p>
        </w:tc>
        <w:tc>
          <w:tcPr>
            <w:tcW w:w="348" w:type="pct"/>
            <w:shd w:val="clear" w:color="auto" w:fill="auto"/>
          </w:tcPr>
          <w:p w14:paraId="10CC36C1" w14:textId="77777777" w:rsidR="00767E6B" w:rsidRPr="007452E8" w:rsidRDefault="00767E6B" w:rsidP="002F3448">
            <w:pPr>
              <w:pStyle w:val="TableHeading"/>
              <w:spacing w:before="0" w:after="0"/>
              <w:rPr>
                <w:rFonts w:cs="Arial"/>
                <w:b w:val="0"/>
                <w:bCs/>
                <w:sz w:val="16"/>
                <w:szCs w:val="16"/>
              </w:rPr>
            </w:pPr>
            <w:r w:rsidRPr="007452E8">
              <w:rPr>
                <w:rFonts w:cs="Arial"/>
                <w:b w:val="0"/>
                <w:bCs/>
                <w:sz w:val="16"/>
                <w:szCs w:val="16"/>
              </w:rPr>
              <w:t>12 community pharmacies</w:t>
            </w:r>
          </w:p>
          <w:p w14:paraId="055D4682" w14:textId="77777777" w:rsidR="00767E6B" w:rsidRPr="007452E8" w:rsidRDefault="00767E6B" w:rsidP="002F3448">
            <w:pPr>
              <w:pStyle w:val="TableHeading"/>
              <w:spacing w:before="0" w:after="0"/>
              <w:rPr>
                <w:rFonts w:cs="Arial"/>
                <w:b w:val="0"/>
                <w:bCs/>
                <w:sz w:val="16"/>
                <w:szCs w:val="16"/>
              </w:rPr>
            </w:pPr>
          </w:p>
          <w:p w14:paraId="6666AC23" w14:textId="77777777" w:rsidR="00767E6B" w:rsidRPr="007452E8" w:rsidRDefault="00767E6B" w:rsidP="002F3448">
            <w:pPr>
              <w:pStyle w:val="TableHeading"/>
              <w:spacing w:before="0" w:after="0"/>
              <w:rPr>
                <w:rFonts w:cs="Arial"/>
                <w:b w:val="0"/>
                <w:bCs/>
                <w:sz w:val="16"/>
                <w:szCs w:val="16"/>
              </w:rPr>
            </w:pPr>
            <w:r w:rsidRPr="007452E8">
              <w:rPr>
                <w:rFonts w:cs="Arial"/>
                <w:b w:val="0"/>
                <w:bCs/>
                <w:sz w:val="16"/>
                <w:szCs w:val="16"/>
              </w:rPr>
              <w:t>115 participants</w:t>
            </w:r>
          </w:p>
        </w:tc>
        <w:tc>
          <w:tcPr>
            <w:tcW w:w="452" w:type="pct"/>
            <w:shd w:val="clear" w:color="auto" w:fill="auto"/>
          </w:tcPr>
          <w:p w14:paraId="0BE69C6D" w14:textId="77777777" w:rsidR="00767E6B" w:rsidRPr="007452E8" w:rsidRDefault="00767E6B" w:rsidP="002F3448">
            <w:pPr>
              <w:pStyle w:val="TableHeading"/>
              <w:spacing w:before="0" w:after="0"/>
              <w:rPr>
                <w:rFonts w:cs="Arial"/>
                <w:b w:val="0"/>
                <w:bCs/>
                <w:sz w:val="16"/>
                <w:szCs w:val="16"/>
              </w:rPr>
            </w:pPr>
            <w:r w:rsidRPr="007452E8">
              <w:rPr>
                <w:rFonts w:cs="Arial"/>
                <w:b w:val="0"/>
                <w:bCs/>
                <w:sz w:val="16"/>
                <w:szCs w:val="16"/>
              </w:rPr>
              <w:t>Feasibility</w:t>
            </w:r>
          </w:p>
        </w:tc>
        <w:tc>
          <w:tcPr>
            <w:tcW w:w="502" w:type="pct"/>
          </w:tcPr>
          <w:p w14:paraId="290BAFAE" w14:textId="77777777" w:rsidR="00767E6B" w:rsidRPr="007452E8" w:rsidRDefault="00767E6B" w:rsidP="002F3448">
            <w:pPr>
              <w:pStyle w:val="TableHeading"/>
              <w:spacing w:before="0" w:after="0"/>
              <w:rPr>
                <w:rFonts w:cs="Arial"/>
                <w:b w:val="0"/>
                <w:bCs/>
                <w:sz w:val="16"/>
                <w:szCs w:val="16"/>
              </w:rPr>
            </w:pPr>
            <w:r w:rsidRPr="007452E8">
              <w:rPr>
                <w:rFonts w:cs="Arial"/>
                <w:b w:val="0"/>
                <w:bCs/>
                <w:color w:val="212121"/>
                <w:sz w:val="16"/>
                <w:szCs w:val="16"/>
                <w:shd w:val="clear" w:color="auto" w:fill="FFFFFF"/>
              </w:rPr>
              <w:t>Adults 40 years of age and above who have not been previously diagnosed with either diabetes or CVD.</w:t>
            </w:r>
          </w:p>
        </w:tc>
        <w:tc>
          <w:tcPr>
            <w:tcW w:w="678" w:type="pct"/>
          </w:tcPr>
          <w:p w14:paraId="405F74E3" w14:textId="1F2A1C13" w:rsidR="00767E6B" w:rsidRPr="007452E8" w:rsidRDefault="00767E6B" w:rsidP="002F3448">
            <w:pPr>
              <w:pStyle w:val="TableHeading"/>
              <w:spacing w:before="0" w:after="0"/>
              <w:rPr>
                <w:rFonts w:cs="Arial"/>
                <w:b w:val="0"/>
                <w:bCs/>
                <w:sz w:val="16"/>
                <w:szCs w:val="16"/>
              </w:rPr>
            </w:pPr>
            <w:r w:rsidRPr="007452E8">
              <w:rPr>
                <w:rFonts w:cs="Arial"/>
                <w:b w:val="0"/>
                <w:bCs/>
                <w:color w:val="212121"/>
                <w:sz w:val="16"/>
                <w:szCs w:val="16"/>
                <w:shd w:val="clear" w:color="auto" w:fill="FFFFFF"/>
              </w:rPr>
              <w:t>Pharmacist screening including history, demographics, anthropometric measurements, blood pressure and point-of-care testing including HbA1c and lipids.</w:t>
            </w:r>
          </w:p>
        </w:tc>
        <w:tc>
          <w:tcPr>
            <w:tcW w:w="606" w:type="pct"/>
            <w:shd w:val="clear" w:color="auto" w:fill="auto"/>
          </w:tcPr>
          <w:p w14:paraId="2913F7AA" w14:textId="77777777" w:rsidR="00767E6B" w:rsidRPr="007452E8" w:rsidRDefault="00767E6B" w:rsidP="002F3448">
            <w:pPr>
              <w:pStyle w:val="TableHeading"/>
              <w:spacing w:before="0" w:after="0"/>
              <w:rPr>
                <w:rFonts w:cs="Arial"/>
                <w:b w:val="0"/>
                <w:bCs/>
                <w:sz w:val="16"/>
                <w:szCs w:val="16"/>
              </w:rPr>
            </w:pPr>
            <w:r>
              <w:rPr>
                <w:rFonts w:cs="Arial"/>
                <w:b w:val="0"/>
                <w:bCs/>
                <w:sz w:val="16"/>
                <w:szCs w:val="16"/>
              </w:rPr>
              <w:t>Usual care</w:t>
            </w:r>
          </w:p>
        </w:tc>
        <w:tc>
          <w:tcPr>
            <w:tcW w:w="692" w:type="pct"/>
            <w:shd w:val="clear" w:color="auto" w:fill="auto"/>
          </w:tcPr>
          <w:p w14:paraId="7E110E5E" w14:textId="0D01F53F" w:rsidR="00767E6B" w:rsidRPr="007452E8" w:rsidRDefault="00767E6B" w:rsidP="002F3448">
            <w:pPr>
              <w:pStyle w:val="TableHeading"/>
              <w:spacing w:before="0" w:after="0"/>
              <w:rPr>
                <w:rFonts w:cs="Arial"/>
                <w:b w:val="0"/>
                <w:bCs/>
                <w:sz w:val="16"/>
                <w:szCs w:val="16"/>
              </w:rPr>
            </w:pPr>
            <w:r w:rsidRPr="007452E8">
              <w:rPr>
                <w:rFonts w:cs="Segoe UI"/>
                <w:b w:val="0"/>
                <w:bCs/>
                <w:color w:val="212121"/>
                <w:sz w:val="16"/>
                <w:szCs w:val="16"/>
                <w:shd w:val="clear" w:color="auto" w:fill="FFFFFF"/>
              </w:rPr>
              <w:t>C</w:t>
            </w:r>
            <w:r w:rsidRPr="007452E8">
              <w:rPr>
                <w:rFonts w:cs="Arial"/>
                <w:b w:val="0"/>
                <w:bCs/>
                <w:color w:val="212121"/>
                <w:sz w:val="16"/>
                <w:szCs w:val="16"/>
                <w:shd w:val="clear" w:color="auto" w:fill="FFFFFF"/>
              </w:rPr>
              <w:t>ommunity pharmacist-delivered screening of diabetes and CVD risk is feasible in the UAE. The model offers a platform to increase screening capacity within primary care and provides an opportunity for early detection and treatment.</w:t>
            </w:r>
          </w:p>
          <w:p w14:paraId="6F6135A4" w14:textId="77777777" w:rsidR="00767E6B" w:rsidRPr="007452E8" w:rsidRDefault="00767E6B" w:rsidP="003D538D">
            <w:pPr>
              <w:spacing w:before="0" w:after="0" w:line="240" w:lineRule="auto"/>
              <w:rPr>
                <w:rFonts w:ascii="Arial Narrow" w:hAnsi="Arial Narrow"/>
                <w:sz w:val="16"/>
                <w:szCs w:val="16"/>
              </w:rPr>
            </w:pPr>
          </w:p>
        </w:tc>
        <w:tc>
          <w:tcPr>
            <w:tcW w:w="952" w:type="pct"/>
            <w:gridSpan w:val="2"/>
          </w:tcPr>
          <w:p w14:paraId="7F53BA67" w14:textId="77777777" w:rsidR="00767E6B" w:rsidRPr="007452E8" w:rsidRDefault="00767E6B" w:rsidP="002F3448">
            <w:pPr>
              <w:pStyle w:val="TableHeading"/>
              <w:spacing w:before="0" w:after="0"/>
              <w:rPr>
                <w:rFonts w:cs="Arial"/>
                <w:b w:val="0"/>
                <w:bCs/>
                <w:sz w:val="16"/>
                <w:szCs w:val="16"/>
              </w:rPr>
            </w:pPr>
          </w:p>
        </w:tc>
      </w:tr>
      <w:tr w:rsidR="00767E6B" w:rsidRPr="007452E8" w14:paraId="74ED1030" w14:textId="135AA84E" w:rsidTr="003D538D">
        <w:trPr>
          <w:tblHeader/>
        </w:trPr>
        <w:tc>
          <w:tcPr>
            <w:tcW w:w="769" w:type="pct"/>
            <w:shd w:val="clear" w:color="auto" w:fill="auto"/>
          </w:tcPr>
          <w:p w14:paraId="3B278C56" w14:textId="77777777" w:rsidR="00767E6B" w:rsidRDefault="00767E6B" w:rsidP="002F3448">
            <w:pPr>
              <w:pStyle w:val="TableHeading"/>
              <w:spacing w:before="0" w:after="0"/>
              <w:rPr>
                <w:rFonts w:cs="Arial"/>
                <w:b w:val="0"/>
                <w:bCs/>
                <w:color w:val="212121"/>
                <w:sz w:val="16"/>
                <w:szCs w:val="16"/>
              </w:rPr>
            </w:pPr>
            <w:r>
              <w:rPr>
                <w:rFonts w:cs="Arial"/>
                <w:b w:val="0"/>
                <w:bCs/>
                <w:color w:val="212121"/>
                <w:sz w:val="16"/>
                <w:szCs w:val="16"/>
              </w:rPr>
              <w:t>Pharmacy diabetes care program:</w:t>
            </w:r>
          </w:p>
          <w:p w14:paraId="773FA5E4" w14:textId="77777777" w:rsidR="00767E6B" w:rsidRPr="007452E8" w:rsidRDefault="00767E6B" w:rsidP="002F3448">
            <w:pPr>
              <w:pStyle w:val="TableHeading"/>
              <w:spacing w:before="0" w:after="0"/>
              <w:rPr>
                <w:rFonts w:cs="Arial"/>
                <w:b w:val="0"/>
                <w:bCs/>
                <w:color w:val="212121"/>
                <w:sz w:val="16"/>
                <w:szCs w:val="16"/>
              </w:rPr>
            </w:pPr>
            <w:r w:rsidRPr="007452E8">
              <w:rPr>
                <w:rFonts w:cs="Arial"/>
                <w:b w:val="0"/>
                <w:bCs/>
                <w:color w:val="212121"/>
                <w:sz w:val="16"/>
                <w:szCs w:val="16"/>
              </w:rPr>
              <w:t>analysis of two screening methods for undiagnosed type 2 diabetes in</w:t>
            </w:r>
            <w:r>
              <w:rPr>
                <w:rFonts w:cs="Arial"/>
                <w:b w:val="0"/>
                <w:bCs/>
                <w:color w:val="212121"/>
                <w:sz w:val="16"/>
                <w:szCs w:val="16"/>
              </w:rPr>
              <w:t xml:space="preserve"> Australian community pharmacy</w:t>
            </w:r>
          </w:p>
        </w:tc>
        <w:tc>
          <w:tcPr>
            <w:tcW w:w="348" w:type="pct"/>
            <w:shd w:val="clear" w:color="auto" w:fill="auto"/>
          </w:tcPr>
          <w:p w14:paraId="5FCC162F" w14:textId="77777777" w:rsidR="00767E6B" w:rsidRPr="007452E8" w:rsidRDefault="00767E6B" w:rsidP="002F3448">
            <w:pPr>
              <w:pStyle w:val="TableHeading"/>
              <w:spacing w:before="0" w:after="0"/>
              <w:rPr>
                <w:b w:val="0"/>
                <w:sz w:val="16"/>
                <w:szCs w:val="16"/>
              </w:rPr>
            </w:pPr>
            <w:r w:rsidRPr="007452E8">
              <w:rPr>
                <w:b w:val="0"/>
                <w:sz w:val="16"/>
                <w:szCs w:val="16"/>
              </w:rPr>
              <w:t>30 pharmacies</w:t>
            </w:r>
          </w:p>
          <w:p w14:paraId="337BFABE" w14:textId="77777777" w:rsidR="00767E6B" w:rsidRPr="007452E8" w:rsidRDefault="00767E6B" w:rsidP="002F3448">
            <w:pPr>
              <w:pStyle w:val="TableHeading"/>
              <w:spacing w:before="0" w:after="0"/>
              <w:rPr>
                <w:b w:val="0"/>
                <w:sz w:val="16"/>
                <w:szCs w:val="16"/>
              </w:rPr>
            </w:pPr>
          </w:p>
          <w:p w14:paraId="364F138E" w14:textId="77777777" w:rsidR="00767E6B" w:rsidRPr="007452E8" w:rsidRDefault="00767E6B" w:rsidP="002F3448">
            <w:pPr>
              <w:pStyle w:val="TableHeading"/>
              <w:spacing w:before="0" w:after="0"/>
              <w:rPr>
                <w:b w:val="0"/>
                <w:sz w:val="16"/>
                <w:szCs w:val="16"/>
              </w:rPr>
            </w:pPr>
            <w:r w:rsidRPr="007452E8">
              <w:rPr>
                <w:b w:val="0"/>
                <w:sz w:val="16"/>
                <w:szCs w:val="16"/>
              </w:rPr>
              <w:t>1286 participants</w:t>
            </w:r>
          </w:p>
        </w:tc>
        <w:tc>
          <w:tcPr>
            <w:tcW w:w="452" w:type="pct"/>
            <w:shd w:val="clear" w:color="auto" w:fill="auto"/>
          </w:tcPr>
          <w:p w14:paraId="12AE01D6" w14:textId="77777777" w:rsidR="00767E6B" w:rsidRPr="007452E8" w:rsidRDefault="00767E6B" w:rsidP="002F3448">
            <w:pPr>
              <w:pStyle w:val="TableHeading"/>
              <w:spacing w:before="0" w:after="0"/>
              <w:rPr>
                <w:b w:val="0"/>
                <w:sz w:val="16"/>
                <w:szCs w:val="16"/>
              </w:rPr>
            </w:pPr>
            <w:r w:rsidRPr="007452E8">
              <w:rPr>
                <w:b w:val="0"/>
                <w:sz w:val="16"/>
                <w:szCs w:val="16"/>
              </w:rPr>
              <w:t>Randomised</w:t>
            </w:r>
          </w:p>
        </w:tc>
        <w:tc>
          <w:tcPr>
            <w:tcW w:w="502" w:type="pct"/>
          </w:tcPr>
          <w:p w14:paraId="38891AA7" w14:textId="77777777" w:rsidR="00767E6B" w:rsidRPr="007452E8" w:rsidRDefault="00767E6B" w:rsidP="002F3448">
            <w:pPr>
              <w:pStyle w:val="TableHeading"/>
              <w:spacing w:before="0" w:after="0"/>
              <w:rPr>
                <w:b w:val="0"/>
                <w:sz w:val="16"/>
                <w:szCs w:val="16"/>
              </w:rPr>
            </w:pPr>
            <w:r w:rsidRPr="007452E8">
              <w:rPr>
                <w:b w:val="0"/>
                <w:sz w:val="16"/>
                <w:szCs w:val="16"/>
              </w:rPr>
              <w:t>Undiagnosed type 2 diabetes in Australian community pharmacy</w:t>
            </w:r>
          </w:p>
        </w:tc>
        <w:tc>
          <w:tcPr>
            <w:tcW w:w="678" w:type="pct"/>
          </w:tcPr>
          <w:p w14:paraId="7ED03D13" w14:textId="77777777" w:rsidR="00767E6B" w:rsidRPr="007452E8" w:rsidRDefault="00767E6B" w:rsidP="002F3448">
            <w:pPr>
              <w:pStyle w:val="TableHeading"/>
              <w:spacing w:before="0" w:after="0"/>
              <w:rPr>
                <w:rFonts w:cs="Arial"/>
                <w:b w:val="0"/>
                <w:bCs/>
                <w:color w:val="505050"/>
                <w:sz w:val="16"/>
                <w:szCs w:val="16"/>
                <w:shd w:val="clear" w:color="auto" w:fill="FFFFFF"/>
              </w:rPr>
            </w:pPr>
            <w:r w:rsidRPr="007452E8">
              <w:rPr>
                <w:rFonts w:cs="Arial"/>
                <w:b w:val="0"/>
                <w:bCs/>
                <w:color w:val="505050"/>
                <w:sz w:val="16"/>
                <w:szCs w:val="16"/>
                <w:shd w:val="clear" w:color="auto" w:fill="FFFFFF"/>
              </w:rPr>
              <w:t xml:space="preserve">Comparison of Tick Test Only (TTO) and Sequential Screening for T2DM. </w:t>
            </w:r>
          </w:p>
          <w:p w14:paraId="15C3FBE3" w14:textId="2D83C27F" w:rsidR="00767E6B" w:rsidRPr="007452E8" w:rsidRDefault="00767E6B" w:rsidP="002F3448">
            <w:pPr>
              <w:pStyle w:val="TableHeading"/>
              <w:spacing w:before="0" w:after="0"/>
              <w:rPr>
                <w:b w:val="0"/>
                <w:sz w:val="16"/>
                <w:szCs w:val="16"/>
              </w:rPr>
            </w:pPr>
            <w:r w:rsidRPr="007452E8">
              <w:rPr>
                <w:rFonts w:cs="Arial"/>
                <w:b w:val="0"/>
                <w:bCs/>
                <w:color w:val="505050"/>
                <w:sz w:val="16"/>
                <w:szCs w:val="16"/>
                <w:shd w:val="clear" w:color="auto" w:fill="FFFFFF"/>
              </w:rPr>
              <w:t>Both methods used the same initial risk assessment for type 2 diabetes. Additionally, the SS method, patients with risk factors were offered a capillary blood glucose test.</w:t>
            </w:r>
          </w:p>
        </w:tc>
        <w:tc>
          <w:tcPr>
            <w:tcW w:w="606" w:type="pct"/>
            <w:shd w:val="clear" w:color="auto" w:fill="auto"/>
          </w:tcPr>
          <w:p w14:paraId="1AA30238" w14:textId="77777777" w:rsidR="00767E6B" w:rsidRPr="007452E8" w:rsidRDefault="00767E6B" w:rsidP="002F3448">
            <w:pPr>
              <w:pStyle w:val="TableHeading"/>
              <w:spacing w:before="0" w:after="0"/>
              <w:rPr>
                <w:b w:val="0"/>
                <w:sz w:val="16"/>
                <w:szCs w:val="16"/>
              </w:rPr>
            </w:pPr>
            <w:r>
              <w:rPr>
                <w:b w:val="0"/>
                <w:sz w:val="16"/>
                <w:szCs w:val="16"/>
              </w:rPr>
              <w:t>Usual care</w:t>
            </w:r>
          </w:p>
        </w:tc>
        <w:tc>
          <w:tcPr>
            <w:tcW w:w="692" w:type="pct"/>
            <w:shd w:val="clear" w:color="auto" w:fill="auto"/>
          </w:tcPr>
          <w:p w14:paraId="7A98CE25" w14:textId="77777777" w:rsidR="00767E6B" w:rsidRPr="007452E8" w:rsidRDefault="00767E6B" w:rsidP="002F3448">
            <w:pPr>
              <w:pStyle w:val="TableHeading"/>
              <w:spacing w:before="0" w:after="0"/>
              <w:rPr>
                <w:rFonts w:cs="Arial"/>
                <w:b w:val="0"/>
                <w:bCs/>
                <w:color w:val="212121"/>
                <w:sz w:val="16"/>
                <w:szCs w:val="16"/>
                <w:shd w:val="clear" w:color="auto" w:fill="FFFFFF"/>
              </w:rPr>
            </w:pPr>
            <w:r w:rsidRPr="007452E8">
              <w:rPr>
                <w:rFonts w:cs="Arial"/>
                <w:b w:val="0"/>
                <w:bCs/>
                <w:color w:val="212121"/>
                <w:sz w:val="16"/>
                <w:szCs w:val="16"/>
                <w:shd w:val="clear" w:color="auto" w:fill="FFFFFF"/>
              </w:rPr>
              <w:t>The rate of diagnosis of diabetes was significantly higher for Sequential Screening compared with the Tick Test Only (TTO) method The SS method resulted in fewer referrals to the GP and a higher uptake of referrals than the TTO method and so was the more cost-effective screening method.</w:t>
            </w:r>
          </w:p>
        </w:tc>
        <w:tc>
          <w:tcPr>
            <w:tcW w:w="952" w:type="pct"/>
            <w:gridSpan w:val="2"/>
          </w:tcPr>
          <w:p w14:paraId="53295D4C" w14:textId="77777777" w:rsidR="00767E6B" w:rsidRPr="007452E8" w:rsidRDefault="00767E6B" w:rsidP="002F3448">
            <w:pPr>
              <w:pStyle w:val="TableHeading"/>
              <w:spacing w:before="0" w:after="0"/>
              <w:rPr>
                <w:b w:val="0"/>
                <w:sz w:val="16"/>
                <w:szCs w:val="16"/>
              </w:rPr>
            </w:pPr>
          </w:p>
        </w:tc>
      </w:tr>
      <w:tr w:rsidR="00767E6B" w:rsidRPr="007452E8" w14:paraId="128C8AF1" w14:textId="23F82C9A" w:rsidTr="003D538D">
        <w:trPr>
          <w:tblHeader/>
        </w:trPr>
        <w:tc>
          <w:tcPr>
            <w:tcW w:w="769" w:type="pct"/>
            <w:shd w:val="clear" w:color="auto" w:fill="auto"/>
          </w:tcPr>
          <w:p w14:paraId="4592EAA3" w14:textId="7FCFFA3C" w:rsidR="00767E6B" w:rsidRPr="007452E8" w:rsidRDefault="00767E6B" w:rsidP="002F3448">
            <w:pPr>
              <w:pStyle w:val="TableHeading"/>
              <w:spacing w:before="0" w:after="0"/>
              <w:rPr>
                <w:rFonts w:cs="Arial"/>
                <w:b w:val="0"/>
                <w:bCs/>
                <w:color w:val="212121"/>
                <w:sz w:val="16"/>
                <w:szCs w:val="16"/>
              </w:rPr>
            </w:pPr>
            <w:r>
              <w:rPr>
                <w:rFonts w:cs="Arial"/>
                <w:b w:val="0"/>
                <w:bCs/>
                <w:color w:val="212121"/>
                <w:sz w:val="16"/>
                <w:szCs w:val="16"/>
              </w:rPr>
              <w:t xml:space="preserve">The effectiveness of Pharmacist Interventions on Cardiovascular Risk: The Multicentre Randomised Controlled </w:t>
            </w:r>
            <w:proofErr w:type="spellStart"/>
            <w:r>
              <w:rPr>
                <w:rFonts w:cs="Arial"/>
                <w:b w:val="0"/>
                <w:bCs/>
                <w:color w:val="212121"/>
                <w:sz w:val="16"/>
                <w:szCs w:val="16"/>
              </w:rPr>
              <w:t>RxEACH</w:t>
            </w:r>
            <w:proofErr w:type="spellEnd"/>
            <w:r w:rsidR="00A85BF7">
              <w:rPr>
                <w:rFonts w:cs="Arial"/>
                <w:b w:val="0"/>
                <w:bCs/>
                <w:color w:val="212121"/>
                <w:sz w:val="16"/>
                <w:szCs w:val="16"/>
              </w:rPr>
              <w:t xml:space="preserve"> </w:t>
            </w:r>
            <w:r>
              <w:rPr>
                <w:rFonts w:cs="Arial"/>
                <w:b w:val="0"/>
                <w:bCs/>
                <w:color w:val="212121"/>
                <w:sz w:val="16"/>
                <w:szCs w:val="16"/>
              </w:rPr>
              <w:t>trial</w:t>
            </w:r>
          </w:p>
        </w:tc>
        <w:tc>
          <w:tcPr>
            <w:tcW w:w="348" w:type="pct"/>
            <w:shd w:val="clear" w:color="auto" w:fill="auto"/>
          </w:tcPr>
          <w:p w14:paraId="304049F4" w14:textId="77777777" w:rsidR="00767E6B" w:rsidRDefault="00767E6B" w:rsidP="002F3448">
            <w:pPr>
              <w:pStyle w:val="TableHeading"/>
              <w:spacing w:before="0" w:after="0"/>
              <w:rPr>
                <w:b w:val="0"/>
                <w:sz w:val="16"/>
                <w:szCs w:val="16"/>
              </w:rPr>
            </w:pPr>
          </w:p>
          <w:p w14:paraId="2D61EE35" w14:textId="77777777" w:rsidR="00767E6B" w:rsidRDefault="00767E6B" w:rsidP="002F3448">
            <w:pPr>
              <w:pStyle w:val="TableHeading"/>
              <w:spacing w:before="0" w:after="0"/>
              <w:rPr>
                <w:b w:val="0"/>
                <w:sz w:val="16"/>
                <w:szCs w:val="16"/>
              </w:rPr>
            </w:pPr>
            <w:r>
              <w:rPr>
                <w:b w:val="0"/>
                <w:sz w:val="16"/>
                <w:szCs w:val="16"/>
              </w:rPr>
              <w:t>56 community pharmacies</w:t>
            </w:r>
          </w:p>
          <w:p w14:paraId="20FC358E" w14:textId="77777777" w:rsidR="00767E6B" w:rsidRDefault="00767E6B" w:rsidP="002F3448">
            <w:pPr>
              <w:pStyle w:val="TableHeading"/>
              <w:spacing w:before="0" w:after="0"/>
              <w:rPr>
                <w:b w:val="0"/>
                <w:sz w:val="16"/>
                <w:szCs w:val="16"/>
              </w:rPr>
            </w:pPr>
          </w:p>
          <w:p w14:paraId="069F5B50" w14:textId="77777777" w:rsidR="00767E6B" w:rsidRPr="007452E8" w:rsidRDefault="00767E6B" w:rsidP="002F3448">
            <w:pPr>
              <w:pStyle w:val="TableHeading"/>
              <w:spacing w:before="0" w:after="0"/>
              <w:rPr>
                <w:b w:val="0"/>
                <w:sz w:val="16"/>
                <w:szCs w:val="16"/>
              </w:rPr>
            </w:pPr>
            <w:r>
              <w:rPr>
                <w:b w:val="0"/>
                <w:sz w:val="16"/>
                <w:szCs w:val="16"/>
              </w:rPr>
              <w:t>723 participants</w:t>
            </w:r>
          </w:p>
        </w:tc>
        <w:tc>
          <w:tcPr>
            <w:tcW w:w="452" w:type="pct"/>
            <w:shd w:val="clear" w:color="auto" w:fill="auto"/>
          </w:tcPr>
          <w:p w14:paraId="2A7EAD8F" w14:textId="77777777" w:rsidR="00767E6B" w:rsidRPr="007452E8" w:rsidRDefault="00767E6B" w:rsidP="002F3448">
            <w:pPr>
              <w:pStyle w:val="TableHeading"/>
              <w:spacing w:before="0" w:after="0"/>
              <w:rPr>
                <w:b w:val="0"/>
                <w:sz w:val="16"/>
                <w:szCs w:val="16"/>
              </w:rPr>
            </w:pPr>
            <w:r>
              <w:rPr>
                <w:b w:val="0"/>
                <w:sz w:val="16"/>
                <w:szCs w:val="16"/>
              </w:rPr>
              <w:t>Randomised controlled</w:t>
            </w:r>
          </w:p>
        </w:tc>
        <w:tc>
          <w:tcPr>
            <w:tcW w:w="502" w:type="pct"/>
          </w:tcPr>
          <w:p w14:paraId="58D501D7" w14:textId="77777777" w:rsidR="00767E6B" w:rsidRPr="004F0066" w:rsidRDefault="00767E6B" w:rsidP="002F3448">
            <w:pPr>
              <w:pStyle w:val="TableHeading"/>
              <w:spacing w:before="0" w:after="0"/>
              <w:rPr>
                <w:b w:val="0"/>
                <w:bCs/>
                <w:sz w:val="18"/>
                <w:szCs w:val="18"/>
              </w:rPr>
            </w:pPr>
            <w:r>
              <w:rPr>
                <w:b w:val="0"/>
                <w:bCs/>
                <w:color w:val="333333"/>
                <w:sz w:val="18"/>
                <w:szCs w:val="18"/>
                <w:shd w:val="clear" w:color="auto" w:fill="FFFFFF"/>
              </w:rPr>
              <w:t>A</w:t>
            </w:r>
            <w:r w:rsidRPr="004F0066">
              <w:rPr>
                <w:b w:val="0"/>
                <w:bCs/>
                <w:color w:val="333333"/>
                <w:sz w:val="18"/>
                <w:szCs w:val="18"/>
                <w:shd w:val="clear" w:color="auto" w:fill="FFFFFF"/>
              </w:rPr>
              <w:t>dults at high risk for CVD</w:t>
            </w:r>
          </w:p>
        </w:tc>
        <w:tc>
          <w:tcPr>
            <w:tcW w:w="678" w:type="pct"/>
          </w:tcPr>
          <w:p w14:paraId="7EB48C76" w14:textId="77777777" w:rsidR="00767E6B" w:rsidRPr="004F0066" w:rsidRDefault="00767E6B" w:rsidP="002F3448">
            <w:pPr>
              <w:pStyle w:val="TableHeading"/>
              <w:spacing w:before="0" w:after="0"/>
              <w:rPr>
                <w:b w:val="0"/>
                <w:bCs/>
                <w:color w:val="333333"/>
                <w:sz w:val="16"/>
                <w:szCs w:val="16"/>
                <w:shd w:val="clear" w:color="auto" w:fill="FFFFFF"/>
              </w:rPr>
            </w:pPr>
            <w:r>
              <w:rPr>
                <w:b w:val="0"/>
                <w:bCs/>
                <w:color w:val="333333"/>
                <w:sz w:val="16"/>
                <w:szCs w:val="16"/>
                <w:shd w:val="clear" w:color="auto" w:fill="FFFFFF"/>
              </w:rPr>
              <w:t>Comparison of</w:t>
            </w:r>
            <w:r w:rsidRPr="004F0066">
              <w:rPr>
                <w:b w:val="0"/>
                <w:bCs/>
                <w:color w:val="333333"/>
                <w:sz w:val="16"/>
                <w:szCs w:val="16"/>
                <w:shd w:val="clear" w:color="auto" w:fill="FFFFFF"/>
              </w:rPr>
              <w:t xml:space="preserve"> usual care or intervention, comprising a Medication Therapy Management review from their pharmacist and CVD risk assessment and education. </w:t>
            </w:r>
          </w:p>
          <w:p w14:paraId="6F7D98A1" w14:textId="77777777" w:rsidR="00767E6B" w:rsidRPr="004F0066" w:rsidRDefault="00767E6B" w:rsidP="002F3448">
            <w:pPr>
              <w:pStyle w:val="TableHeading"/>
              <w:spacing w:before="0" w:after="0"/>
              <w:rPr>
                <w:b w:val="0"/>
                <w:bCs/>
                <w:color w:val="333333"/>
                <w:sz w:val="16"/>
                <w:szCs w:val="16"/>
                <w:shd w:val="clear" w:color="auto" w:fill="FFFFFF"/>
              </w:rPr>
            </w:pPr>
            <w:r>
              <w:rPr>
                <w:b w:val="0"/>
                <w:bCs/>
                <w:color w:val="333333"/>
                <w:sz w:val="16"/>
                <w:szCs w:val="16"/>
                <w:shd w:val="clear" w:color="auto" w:fill="FFFFFF"/>
              </w:rPr>
              <w:t>Mo</w:t>
            </w:r>
            <w:r w:rsidRPr="004F0066">
              <w:rPr>
                <w:b w:val="0"/>
                <w:bCs/>
                <w:color w:val="333333"/>
                <w:sz w:val="16"/>
                <w:szCs w:val="16"/>
                <w:shd w:val="clear" w:color="auto" w:fill="FFFFFF"/>
              </w:rPr>
              <w:t>nthly follow-up visits for 3 months. </w:t>
            </w:r>
          </w:p>
          <w:p w14:paraId="40554BCE" w14:textId="77777777" w:rsidR="00767E6B" w:rsidRPr="004F0066" w:rsidRDefault="00767E6B" w:rsidP="002F3448">
            <w:pPr>
              <w:pStyle w:val="TableHeading"/>
              <w:spacing w:before="0" w:after="0"/>
              <w:rPr>
                <w:b w:val="0"/>
                <w:bCs/>
                <w:sz w:val="16"/>
                <w:szCs w:val="16"/>
              </w:rPr>
            </w:pPr>
            <w:r w:rsidRPr="004F0066">
              <w:rPr>
                <w:b w:val="0"/>
                <w:bCs/>
                <w:color w:val="333333"/>
                <w:sz w:val="16"/>
                <w:szCs w:val="16"/>
                <w:shd w:val="clear" w:color="auto" w:fill="FFFFFF"/>
              </w:rPr>
              <w:t>CVD risk estimated using the greater of the Framingham, International, or United Kingdom Prospective Diabetes Study risk scores</w:t>
            </w:r>
          </w:p>
        </w:tc>
        <w:tc>
          <w:tcPr>
            <w:tcW w:w="606" w:type="pct"/>
            <w:shd w:val="clear" w:color="auto" w:fill="auto"/>
          </w:tcPr>
          <w:p w14:paraId="2349E64B" w14:textId="77777777" w:rsidR="00767E6B" w:rsidRPr="004F0066" w:rsidRDefault="00767E6B" w:rsidP="002F3448">
            <w:pPr>
              <w:pStyle w:val="TableHeading"/>
              <w:spacing w:before="0" w:after="0"/>
              <w:rPr>
                <w:b w:val="0"/>
                <w:bCs/>
                <w:sz w:val="16"/>
                <w:szCs w:val="16"/>
              </w:rPr>
            </w:pPr>
            <w:r>
              <w:rPr>
                <w:b w:val="0"/>
                <w:bCs/>
                <w:color w:val="333333"/>
                <w:sz w:val="16"/>
                <w:szCs w:val="16"/>
                <w:shd w:val="clear" w:color="auto" w:fill="FFFFFF"/>
              </w:rPr>
              <w:t>U</w:t>
            </w:r>
            <w:r w:rsidRPr="004F0066">
              <w:rPr>
                <w:b w:val="0"/>
                <w:bCs/>
                <w:color w:val="333333"/>
                <w:sz w:val="16"/>
                <w:szCs w:val="16"/>
                <w:shd w:val="clear" w:color="auto" w:fill="FFFFFF"/>
              </w:rPr>
              <w:t xml:space="preserve">sual care </w:t>
            </w:r>
          </w:p>
        </w:tc>
        <w:tc>
          <w:tcPr>
            <w:tcW w:w="692" w:type="pct"/>
            <w:shd w:val="clear" w:color="auto" w:fill="auto"/>
          </w:tcPr>
          <w:p w14:paraId="65149785" w14:textId="77777777" w:rsidR="00767E6B" w:rsidRPr="004F0066" w:rsidRDefault="00767E6B" w:rsidP="002F3448">
            <w:pPr>
              <w:pStyle w:val="TableHeading"/>
              <w:spacing w:before="0" w:after="0"/>
              <w:rPr>
                <w:rFonts w:cs="Arial"/>
                <w:b w:val="0"/>
                <w:bCs/>
                <w:color w:val="212121"/>
                <w:sz w:val="16"/>
                <w:szCs w:val="16"/>
                <w:shd w:val="clear" w:color="auto" w:fill="FFFFFF"/>
              </w:rPr>
            </w:pPr>
            <w:r w:rsidRPr="004F0066">
              <w:rPr>
                <w:b w:val="0"/>
                <w:bCs/>
                <w:color w:val="333333"/>
                <w:sz w:val="16"/>
                <w:szCs w:val="16"/>
                <w:shd w:val="clear" w:color="auto" w:fill="FFFFFF"/>
              </w:rPr>
              <w:t>21% difference in change in risk for CVD events (p &lt; 0.001) between the intervention and usual care groups.</w:t>
            </w:r>
          </w:p>
        </w:tc>
        <w:tc>
          <w:tcPr>
            <w:tcW w:w="952" w:type="pct"/>
            <w:gridSpan w:val="2"/>
          </w:tcPr>
          <w:p w14:paraId="6205C612" w14:textId="77777777" w:rsidR="00767E6B" w:rsidRPr="007452E8" w:rsidRDefault="00767E6B" w:rsidP="002F3448">
            <w:pPr>
              <w:pStyle w:val="TableHeading"/>
              <w:spacing w:before="0" w:after="0"/>
              <w:rPr>
                <w:b w:val="0"/>
                <w:sz w:val="16"/>
                <w:szCs w:val="16"/>
              </w:rPr>
            </w:pPr>
          </w:p>
        </w:tc>
      </w:tr>
      <w:tr w:rsidR="00767E6B" w:rsidRPr="007452E8" w14:paraId="26E38AF0" w14:textId="61CAFA04" w:rsidTr="003D538D">
        <w:trPr>
          <w:tblHeader/>
        </w:trPr>
        <w:tc>
          <w:tcPr>
            <w:tcW w:w="769" w:type="pct"/>
            <w:shd w:val="clear" w:color="auto" w:fill="auto"/>
          </w:tcPr>
          <w:p w14:paraId="34BAF055" w14:textId="77777777" w:rsidR="00767E6B" w:rsidRPr="007452E8" w:rsidRDefault="00767E6B" w:rsidP="002F3448">
            <w:pPr>
              <w:pStyle w:val="TableHeading"/>
              <w:spacing w:before="0" w:after="0"/>
              <w:rPr>
                <w:rFonts w:cs="Arial"/>
                <w:b w:val="0"/>
                <w:bCs/>
                <w:sz w:val="16"/>
                <w:szCs w:val="16"/>
              </w:rPr>
            </w:pPr>
            <w:r w:rsidRPr="007452E8">
              <w:rPr>
                <w:rFonts w:cs="Arial"/>
                <w:b w:val="0"/>
                <w:bCs/>
                <w:color w:val="212121"/>
                <w:sz w:val="16"/>
                <w:szCs w:val="16"/>
              </w:rPr>
              <w:t>The effectiveness of screening for diabetes and cardiovascular disease risk factors in a community pharmacy setting</w:t>
            </w:r>
          </w:p>
        </w:tc>
        <w:tc>
          <w:tcPr>
            <w:tcW w:w="348" w:type="pct"/>
            <w:shd w:val="clear" w:color="auto" w:fill="auto"/>
          </w:tcPr>
          <w:p w14:paraId="02A2A9E0" w14:textId="77777777" w:rsidR="00767E6B" w:rsidRPr="007452E8" w:rsidRDefault="00767E6B" w:rsidP="002F3448">
            <w:pPr>
              <w:pStyle w:val="TableHeading"/>
              <w:spacing w:before="0" w:after="0"/>
              <w:rPr>
                <w:b w:val="0"/>
                <w:sz w:val="16"/>
                <w:szCs w:val="16"/>
              </w:rPr>
            </w:pPr>
            <w:r w:rsidRPr="007452E8">
              <w:rPr>
                <w:b w:val="0"/>
                <w:sz w:val="16"/>
                <w:szCs w:val="16"/>
              </w:rPr>
              <w:t>16 studies</w:t>
            </w:r>
          </w:p>
          <w:p w14:paraId="355BA44F" w14:textId="77777777" w:rsidR="00767E6B" w:rsidRPr="007452E8" w:rsidRDefault="00767E6B" w:rsidP="002F3448">
            <w:pPr>
              <w:pStyle w:val="TableHeading"/>
              <w:spacing w:before="0" w:after="0"/>
              <w:rPr>
                <w:b w:val="0"/>
                <w:sz w:val="16"/>
                <w:szCs w:val="16"/>
              </w:rPr>
            </w:pPr>
          </w:p>
          <w:p w14:paraId="17BB2B71" w14:textId="77777777" w:rsidR="00767E6B" w:rsidRPr="007452E8" w:rsidRDefault="00767E6B" w:rsidP="002F3448">
            <w:pPr>
              <w:pStyle w:val="TableHeading"/>
              <w:spacing w:before="0" w:after="0"/>
              <w:rPr>
                <w:b w:val="0"/>
                <w:sz w:val="16"/>
                <w:szCs w:val="16"/>
              </w:rPr>
            </w:pPr>
            <w:r w:rsidRPr="007452E8">
              <w:rPr>
                <w:b w:val="0"/>
                <w:sz w:val="16"/>
                <w:szCs w:val="16"/>
              </w:rPr>
              <w:t>108,414 participants</w:t>
            </w:r>
          </w:p>
        </w:tc>
        <w:tc>
          <w:tcPr>
            <w:tcW w:w="452" w:type="pct"/>
            <w:shd w:val="clear" w:color="auto" w:fill="auto"/>
          </w:tcPr>
          <w:p w14:paraId="027E5623" w14:textId="77777777" w:rsidR="00767E6B" w:rsidRPr="007452E8" w:rsidRDefault="00767E6B" w:rsidP="002F3448">
            <w:pPr>
              <w:pStyle w:val="TableHeading"/>
              <w:spacing w:before="0" w:after="0"/>
              <w:rPr>
                <w:b w:val="0"/>
                <w:sz w:val="16"/>
                <w:szCs w:val="16"/>
              </w:rPr>
            </w:pPr>
            <w:r w:rsidRPr="007452E8">
              <w:rPr>
                <w:b w:val="0"/>
                <w:sz w:val="16"/>
                <w:szCs w:val="16"/>
              </w:rPr>
              <w:t>Systematic review and meta data analysis</w:t>
            </w:r>
          </w:p>
        </w:tc>
        <w:tc>
          <w:tcPr>
            <w:tcW w:w="502" w:type="pct"/>
          </w:tcPr>
          <w:p w14:paraId="43BB2626" w14:textId="77777777" w:rsidR="00767E6B" w:rsidRPr="007452E8" w:rsidRDefault="00767E6B" w:rsidP="002F3448">
            <w:pPr>
              <w:pStyle w:val="TableHeading"/>
              <w:spacing w:before="0" w:after="0"/>
              <w:rPr>
                <w:b w:val="0"/>
                <w:sz w:val="16"/>
                <w:szCs w:val="16"/>
              </w:rPr>
            </w:pPr>
          </w:p>
        </w:tc>
        <w:tc>
          <w:tcPr>
            <w:tcW w:w="678" w:type="pct"/>
          </w:tcPr>
          <w:p w14:paraId="7DB36ACD" w14:textId="77777777" w:rsidR="00767E6B" w:rsidRPr="007452E8" w:rsidRDefault="00767E6B" w:rsidP="002F3448">
            <w:pPr>
              <w:pStyle w:val="TableHeading"/>
              <w:spacing w:before="0" w:after="0"/>
              <w:rPr>
                <w:b w:val="0"/>
                <w:sz w:val="16"/>
                <w:szCs w:val="16"/>
              </w:rPr>
            </w:pPr>
          </w:p>
        </w:tc>
        <w:tc>
          <w:tcPr>
            <w:tcW w:w="606" w:type="pct"/>
            <w:shd w:val="clear" w:color="auto" w:fill="auto"/>
          </w:tcPr>
          <w:p w14:paraId="67153A00" w14:textId="77777777" w:rsidR="00767E6B" w:rsidRPr="007452E8" w:rsidRDefault="00767E6B" w:rsidP="002F3448">
            <w:pPr>
              <w:pStyle w:val="TableHeading"/>
              <w:spacing w:before="0" w:after="0"/>
              <w:rPr>
                <w:b w:val="0"/>
                <w:sz w:val="16"/>
                <w:szCs w:val="16"/>
              </w:rPr>
            </w:pPr>
          </w:p>
        </w:tc>
        <w:tc>
          <w:tcPr>
            <w:tcW w:w="692" w:type="pct"/>
            <w:shd w:val="clear" w:color="auto" w:fill="auto"/>
          </w:tcPr>
          <w:p w14:paraId="345EF1D6" w14:textId="32C94174" w:rsidR="00767E6B" w:rsidRPr="007452E8" w:rsidRDefault="00767E6B" w:rsidP="002F3448">
            <w:pPr>
              <w:pStyle w:val="TableHeading"/>
              <w:spacing w:before="0" w:after="0"/>
              <w:rPr>
                <w:rFonts w:cs="Arial"/>
                <w:b w:val="0"/>
                <w:bCs/>
                <w:sz w:val="16"/>
                <w:szCs w:val="16"/>
              </w:rPr>
            </w:pPr>
            <w:r w:rsidRPr="007452E8">
              <w:rPr>
                <w:rFonts w:cs="Arial"/>
                <w:b w:val="0"/>
                <w:bCs/>
                <w:color w:val="212121"/>
                <w:sz w:val="16"/>
                <w:szCs w:val="16"/>
                <w:shd w:val="clear" w:color="auto" w:fill="FFFFFF"/>
              </w:rPr>
              <w:t>Results show pharmacies are feasible sites for screening for diabetes and those at risk of cardiovascular disease. A significant number of previously unknown cases of cardiovascular disease risk factors such as hypertension, hypercholesterolemia and diabetes are identified, however a significant number of referred participants at high risk do not attend their practitioner for follow up.</w:t>
            </w:r>
          </w:p>
        </w:tc>
        <w:tc>
          <w:tcPr>
            <w:tcW w:w="952" w:type="pct"/>
            <w:gridSpan w:val="2"/>
          </w:tcPr>
          <w:p w14:paraId="39705E6F" w14:textId="77777777" w:rsidR="00767E6B" w:rsidRPr="007452E8" w:rsidRDefault="00767E6B" w:rsidP="002F3448">
            <w:pPr>
              <w:pStyle w:val="TableHeading"/>
              <w:spacing w:before="0" w:after="0"/>
              <w:rPr>
                <w:b w:val="0"/>
                <w:sz w:val="16"/>
                <w:szCs w:val="16"/>
              </w:rPr>
            </w:pPr>
          </w:p>
        </w:tc>
      </w:tr>
      <w:tr w:rsidR="004F6D22" w:rsidRPr="007452E8" w14:paraId="53935394" w14:textId="243C1D17" w:rsidTr="003D538D">
        <w:trPr>
          <w:tblHeader/>
        </w:trPr>
        <w:tc>
          <w:tcPr>
            <w:tcW w:w="769" w:type="pct"/>
            <w:shd w:val="clear" w:color="auto" w:fill="auto"/>
          </w:tcPr>
          <w:p w14:paraId="0255DF06" w14:textId="77777777" w:rsidR="004F6D22" w:rsidRPr="007452E8" w:rsidRDefault="004F6D22" w:rsidP="002F3448">
            <w:pPr>
              <w:pStyle w:val="TableHeading"/>
              <w:spacing w:before="0" w:after="0"/>
              <w:rPr>
                <w:rFonts w:cs="Arial"/>
                <w:b w:val="0"/>
                <w:bCs/>
                <w:color w:val="212121"/>
                <w:sz w:val="16"/>
                <w:szCs w:val="16"/>
              </w:rPr>
            </w:pPr>
            <w:r w:rsidRPr="007452E8">
              <w:rPr>
                <w:rFonts w:eastAsia="Arial Unicode MS" w:cs="Arial"/>
                <w:b w:val="0"/>
                <w:bCs/>
                <w:sz w:val="16"/>
                <w:szCs w:val="16"/>
              </w:rPr>
              <w:lastRenderedPageBreak/>
              <w:t>Screening for major diseases in community pharmacies: a systematic review</w:t>
            </w:r>
          </w:p>
        </w:tc>
        <w:tc>
          <w:tcPr>
            <w:tcW w:w="348" w:type="pct"/>
            <w:shd w:val="clear" w:color="auto" w:fill="auto"/>
          </w:tcPr>
          <w:p w14:paraId="3359A7BF" w14:textId="77777777" w:rsidR="004F6D22" w:rsidRPr="007452E8" w:rsidRDefault="004F6D22" w:rsidP="002F3448">
            <w:pPr>
              <w:pStyle w:val="TableHeading"/>
              <w:spacing w:before="0" w:after="0"/>
              <w:rPr>
                <w:b w:val="0"/>
                <w:sz w:val="16"/>
                <w:szCs w:val="16"/>
              </w:rPr>
            </w:pPr>
            <w:r w:rsidRPr="007452E8">
              <w:rPr>
                <w:b w:val="0"/>
                <w:sz w:val="16"/>
                <w:szCs w:val="16"/>
              </w:rPr>
              <w:t>51 studies</w:t>
            </w:r>
          </w:p>
          <w:p w14:paraId="11851792" w14:textId="77777777" w:rsidR="004F6D22" w:rsidRPr="007452E8" w:rsidRDefault="004F6D22" w:rsidP="002F3448">
            <w:pPr>
              <w:pStyle w:val="TableHeading"/>
              <w:spacing w:before="0" w:after="0"/>
              <w:rPr>
                <w:b w:val="0"/>
                <w:sz w:val="16"/>
                <w:szCs w:val="16"/>
              </w:rPr>
            </w:pPr>
          </w:p>
        </w:tc>
        <w:tc>
          <w:tcPr>
            <w:tcW w:w="452" w:type="pct"/>
            <w:shd w:val="clear" w:color="auto" w:fill="auto"/>
          </w:tcPr>
          <w:p w14:paraId="39E5E39A" w14:textId="77777777" w:rsidR="004F6D22" w:rsidRPr="007452E8" w:rsidRDefault="004F6D22" w:rsidP="002F3448">
            <w:pPr>
              <w:pStyle w:val="TableHeading"/>
              <w:spacing w:before="0" w:after="0"/>
              <w:rPr>
                <w:b w:val="0"/>
                <w:sz w:val="16"/>
                <w:szCs w:val="16"/>
              </w:rPr>
            </w:pPr>
            <w:r w:rsidRPr="007452E8">
              <w:rPr>
                <w:b w:val="0"/>
                <w:sz w:val="16"/>
                <w:szCs w:val="16"/>
              </w:rPr>
              <w:t>Systematic review</w:t>
            </w:r>
          </w:p>
        </w:tc>
        <w:tc>
          <w:tcPr>
            <w:tcW w:w="502" w:type="pct"/>
          </w:tcPr>
          <w:p w14:paraId="43596130" w14:textId="77777777" w:rsidR="004F6D22" w:rsidRPr="007452E8" w:rsidRDefault="004F6D22" w:rsidP="002F3448">
            <w:pPr>
              <w:pStyle w:val="TableHeading"/>
              <w:spacing w:before="0" w:after="0"/>
              <w:rPr>
                <w:b w:val="0"/>
                <w:sz w:val="16"/>
                <w:szCs w:val="16"/>
              </w:rPr>
            </w:pPr>
          </w:p>
        </w:tc>
        <w:tc>
          <w:tcPr>
            <w:tcW w:w="678" w:type="pct"/>
          </w:tcPr>
          <w:p w14:paraId="56F24AE6" w14:textId="6DE0C545" w:rsidR="004F6D22" w:rsidRPr="007452E8" w:rsidRDefault="004F6D22" w:rsidP="002F3448">
            <w:pPr>
              <w:pStyle w:val="TableHeading"/>
              <w:spacing w:before="0" w:after="0"/>
              <w:rPr>
                <w:rFonts w:cs="Arial"/>
                <w:b w:val="0"/>
                <w:bCs/>
                <w:sz w:val="16"/>
                <w:szCs w:val="16"/>
              </w:rPr>
            </w:pPr>
            <w:r w:rsidRPr="007452E8">
              <w:rPr>
                <w:rFonts w:cs="Arial"/>
                <w:b w:val="0"/>
                <w:bCs/>
                <w:color w:val="212121"/>
                <w:sz w:val="16"/>
                <w:szCs w:val="16"/>
                <w:shd w:val="clear" w:color="auto" w:fill="FFFFFF"/>
              </w:rPr>
              <w:t xml:space="preserve">Screening </w:t>
            </w:r>
            <w:r>
              <w:rPr>
                <w:rFonts w:cs="Arial"/>
                <w:b w:val="0"/>
                <w:bCs/>
                <w:color w:val="212121"/>
                <w:sz w:val="16"/>
                <w:szCs w:val="16"/>
                <w:shd w:val="clear" w:color="auto" w:fill="FFFFFF"/>
              </w:rPr>
              <w:t>predominantly</w:t>
            </w:r>
            <w:r w:rsidRPr="007452E8">
              <w:rPr>
                <w:rFonts w:cs="Arial"/>
                <w:b w:val="0"/>
                <w:bCs/>
                <w:color w:val="212121"/>
                <w:sz w:val="16"/>
                <w:szCs w:val="16"/>
                <w:shd w:val="clear" w:color="auto" w:fill="FFFFFF"/>
              </w:rPr>
              <w:t xml:space="preserve"> opportunistic and screening tools included questionnaires or risk assessment forms, medical equipment </w:t>
            </w:r>
            <w:r>
              <w:rPr>
                <w:rFonts w:cs="Arial"/>
                <w:b w:val="0"/>
                <w:bCs/>
                <w:color w:val="212121"/>
                <w:sz w:val="16"/>
                <w:szCs w:val="16"/>
                <w:shd w:val="clear" w:color="auto" w:fill="FFFFFF"/>
              </w:rPr>
              <w:t>for</w:t>
            </w:r>
            <w:r w:rsidRPr="007452E8">
              <w:rPr>
                <w:rFonts w:cs="Arial"/>
                <w:b w:val="0"/>
                <w:bCs/>
                <w:color w:val="212121"/>
                <w:sz w:val="16"/>
                <w:szCs w:val="16"/>
                <w:shd w:val="clear" w:color="auto" w:fill="FFFFFF"/>
              </w:rPr>
              <w:t xml:space="preserve"> physiological measurements, or a combination of both.</w:t>
            </w:r>
          </w:p>
        </w:tc>
        <w:tc>
          <w:tcPr>
            <w:tcW w:w="606" w:type="pct"/>
            <w:shd w:val="clear" w:color="auto" w:fill="auto"/>
          </w:tcPr>
          <w:p w14:paraId="283038F1" w14:textId="77777777" w:rsidR="004F6D22" w:rsidRPr="007452E8" w:rsidRDefault="004F6D22" w:rsidP="002F3448">
            <w:pPr>
              <w:pStyle w:val="TableHeading"/>
              <w:spacing w:before="0" w:after="0"/>
              <w:rPr>
                <w:rFonts w:cs="Arial"/>
                <w:b w:val="0"/>
                <w:bCs/>
                <w:sz w:val="16"/>
                <w:szCs w:val="16"/>
              </w:rPr>
            </w:pPr>
          </w:p>
        </w:tc>
        <w:tc>
          <w:tcPr>
            <w:tcW w:w="692" w:type="pct"/>
            <w:shd w:val="clear" w:color="auto" w:fill="auto"/>
          </w:tcPr>
          <w:p w14:paraId="5D0531CB" w14:textId="77777777" w:rsidR="004F6D22" w:rsidRPr="007452E8" w:rsidRDefault="004F6D22" w:rsidP="002F3448">
            <w:pPr>
              <w:pStyle w:val="TableHeading"/>
              <w:spacing w:before="0" w:after="0"/>
              <w:rPr>
                <w:rFonts w:cs="Arial"/>
                <w:b w:val="0"/>
                <w:bCs/>
                <w:color w:val="212121"/>
                <w:sz w:val="16"/>
                <w:szCs w:val="16"/>
                <w:shd w:val="clear" w:color="auto" w:fill="FFFFFF"/>
              </w:rPr>
            </w:pPr>
            <w:r w:rsidRPr="007452E8">
              <w:rPr>
                <w:rFonts w:cs="Arial"/>
                <w:b w:val="0"/>
                <w:bCs/>
                <w:color w:val="212121"/>
                <w:sz w:val="16"/>
                <w:szCs w:val="16"/>
                <w:shd w:val="clear" w:color="auto" w:fill="FFFFFF"/>
              </w:rPr>
              <w:t>The proportion of screened individuals, identified with disease risk factors or the disease, ranged from 4% to 89%. Where assessed, patient satisfaction with pharmacy-based screening was high, but individuals who screened positive often did not follow pharmacist advice to seek further medical help.</w:t>
            </w:r>
          </w:p>
        </w:tc>
        <w:tc>
          <w:tcPr>
            <w:tcW w:w="952" w:type="pct"/>
            <w:gridSpan w:val="2"/>
          </w:tcPr>
          <w:p w14:paraId="2B541416" w14:textId="77777777" w:rsidR="004F6D22" w:rsidRPr="007452E8" w:rsidRDefault="004F6D22" w:rsidP="002F3448">
            <w:pPr>
              <w:pStyle w:val="TableHeading"/>
              <w:spacing w:before="0" w:after="0"/>
              <w:rPr>
                <w:b w:val="0"/>
                <w:sz w:val="16"/>
                <w:szCs w:val="16"/>
              </w:rPr>
            </w:pPr>
          </w:p>
        </w:tc>
      </w:tr>
    </w:tbl>
    <w:sdt>
      <w:sdtPr>
        <w:id w:val="-2141563259"/>
        <w:docPartObj>
          <w:docPartGallery w:val="Bibliographies"/>
          <w:docPartUnique/>
        </w:docPartObj>
      </w:sdtPr>
      <w:sdtEndPr/>
      <w:sdtContent>
        <w:p w14:paraId="323BE5FB" w14:textId="77777777" w:rsidR="002F3448" w:rsidRDefault="002F3448" w:rsidP="002F3448">
          <w:pPr>
            <w:pStyle w:val="Heading1"/>
            <w:numPr>
              <w:ilvl w:val="0"/>
              <w:numId w:val="0"/>
            </w:numPr>
            <w:spacing w:before="0" w:after="0"/>
          </w:pPr>
        </w:p>
        <w:p w14:paraId="731F9211" w14:textId="7C786808" w:rsidR="005837AA" w:rsidRPr="00DA29DA" w:rsidRDefault="005837AA" w:rsidP="00053C48">
          <w:pPr>
            <w:pStyle w:val="Heading1"/>
            <w:numPr>
              <w:ilvl w:val="0"/>
              <w:numId w:val="0"/>
            </w:numPr>
          </w:pPr>
          <w:bookmarkStart w:id="104" w:name="_Toc137535800"/>
          <w:r w:rsidRPr="00DA29DA">
            <w:t>References</w:t>
          </w:r>
        </w:p>
      </w:sdtContent>
    </w:sdt>
    <w:bookmarkEnd w:id="104" w:displacedByCustomXml="prev"/>
    <w:sectPr w:rsidR="005837AA" w:rsidRPr="00DA29DA" w:rsidSect="004C6A63">
      <w:pgSz w:w="11906" w:h="16838"/>
      <w:pgMar w:top="1134"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616C" w14:textId="77777777" w:rsidR="006B3050" w:rsidRDefault="006B3050" w:rsidP="00B62DF2">
      <w:pPr>
        <w:spacing w:after="0" w:line="240" w:lineRule="auto"/>
      </w:pPr>
      <w:r>
        <w:separator/>
      </w:r>
    </w:p>
  </w:endnote>
  <w:endnote w:type="continuationSeparator" w:id="0">
    <w:p w14:paraId="4DF3F66E" w14:textId="77777777" w:rsidR="006B3050" w:rsidRDefault="006B3050" w:rsidP="00B62DF2">
      <w:pPr>
        <w:spacing w:after="0" w:line="240" w:lineRule="auto"/>
      </w:pPr>
      <w:r>
        <w:continuationSeparator/>
      </w:r>
    </w:p>
  </w:endnote>
  <w:endnote w:type="continuationNotice" w:id="1">
    <w:p w14:paraId="2E392781" w14:textId="77777777" w:rsidR="006B3050" w:rsidRDefault="006B3050">
      <w:pPr>
        <w:spacing w:before="0" w:after="0" w:line="240" w:lineRule="auto"/>
      </w:pPr>
    </w:p>
  </w:endnote>
  <w:endnote w:id="2">
    <w:p w14:paraId="7D483B3D" w14:textId="77777777" w:rsidR="00FA54BC" w:rsidRPr="00800001" w:rsidRDefault="00FA54BC" w:rsidP="00FA54BC">
      <w:pPr>
        <w:pStyle w:val="Footnote"/>
        <w:rPr>
          <w:rFonts w:eastAsia="Times New Roman"/>
        </w:rPr>
      </w:pPr>
      <w:r w:rsidRPr="009C19DC">
        <w:rPr>
          <w:rStyle w:val="EndnoteReference"/>
        </w:rPr>
        <w:endnoteRef/>
      </w:r>
      <w:r w:rsidRPr="009C19DC">
        <w:t xml:space="preserve"> </w:t>
      </w:r>
      <w:r w:rsidRPr="00727D22">
        <w:t>Banks E et al, Absolute risk of cardiovascular disease events, and blood pressure- and lipid-lowering therapy in Australia. MJA 204 (8):320e1-320e8</w:t>
      </w:r>
    </w:p>
  </w:endnote>
  <w:endnote w:id="3">
    <w:p w14:paraId="571592FD" w14:textId="77777777" w:rsidR="00FA54BC" w:rsidRPr="00BD704D" w:rsidRDefault="00FA54BC" w:rsidP="00FA54BC">
      <w:pPr>
        <w:pStyle w:val="Footnote"/>
      </w:pPr>
      <w:r w:rsidRPr="00BD704D">
        <w:rPr>
          <w:rStyle w:val="EndnoteReference"/>
        </w:rPr>
        <w:endnoteRef/>
      </w:r>
      <w:r w:rsidRPr="00BD704D">
        <w:t xml:space="preserve"> Australian Institute of Health and Welfare (2015). Cardiovascular disease Retrieved from </w:t>
      </w:r>
      <w:hyperlink r:id="rId1" w:history="1">
        <w:r w:rsidRPr="00BD704D">
          <w:rPr>
            <w:rStyle w:val="Hyperlink"/>
          </w:rPr>
          <w:t>http://www.aihw.gov.au</w:t>
        </w:r>
      </w:hyperlink>
    </w:p>
  </w:endnote>
  <w:endnote w:id="4">
    <w:p w14:paraId="409AD7C7" w14:textId="49540583" w:rsidR="00120549" w:rsidRDefault="00120549">
      <w:pPr>
        <w:pStyle w:val="EndnoteText"/>
      </w:pPr>
      <w:r>
        <w:rPr>
          <w:rStyle w:val="EndnoteReference"/>
        </w:rPr>
        <w:endnoteRef/>
      </w:r>
      <w:r>
        <w:t xml:space="preserve"> </w:t>
      </w:r>
      <w:r w:rsidRPr="00AD7843">
        <w:rPr>
          <w:rFonts w:asciiTheme="minorHAnsi" w:hAnsiTheme="minorHAnsi" w:cstheme="minorHAnsi"/>
          <w:sz w:val="18"/>
          <w:szCs w:val="18"/>
        </w:rPr>
        <w:fldChar w:fldCharType="begin"/>
      </w:r>
      <w:r w:rsidRPr="00C04970">
        <w:rPr>
          <w:rFonts w:asciiTheme="minorHAnsi" w:hAnsiTheme="minorHAnsi" w:cstheme="minorHAnsi"/>
          <w:sz w:val="18"/>
          <w:szCs w:val="18"/>
        </w:rPr>
        <w:instrText xml:space="preserve"> ADDIN EN.CITE &lt;EndNote&gt;&lt;Cite&gt;&lt;Author&gt;Brazier&lt;/Author&gt;&lt;Year&gt;2002&lt;/Year&gt;&lt;RecNum&gt;3&lt;/RecNum&gt;&lt;DisplayText&gt;(Brazier, Roberts, &amp;amp; Deverill, 2002)&lt;/DisplayText&gt;&lt;record&gt;&lt;rec-number&gt;3&lt;/rec-number&gt;&lt;foreign-keys&gt;&lt;key app="EN" db-id="0f9v5px9xe0te5ea9dc5pas5s9929dr5z5rs" timestamp="1665683133"&gt;3&lt;/key&gt;&lt;/foreign-keys&gt;&lt;ref-type name="Journal Article"&gt;17&lt;/ref-type&gt;&lt;contributors&gt;&lt;authors&gt;&lt;author&gt;Brazier, John&lt;/author&gt;&lt;author&gt;Roberts, Jennifer&lt;/author&gt;&lt;author&gt;Deverill, Mark&lt;/author&gt;&lt;/authors&gt;&lt;/contributors&gt;&lt;titles&gt;&lt;title&gt;The estimation of a preference-based measure of health from the SF-36&lt;/title&gt;&lt;secondary-title&gt;Journal of health economics&lt;/secondary-title&gt;&lt;/titles&gt;&lt;periodical&gt;&lt;full-title&gt;Journal of health economics&lt;/full-title&gt;&lt;/periodical&gt;&lt;pages&gt;271-292&lt;/pages&gt;&lt;volume&gt;21&lt;/volume&gt;&lt;number&gt;2&lt;/number&gt;&lt;dates&gt;&lt;year&gt;2002&lt;/year&gt;&lt;/dates&gt;&lt;isbn&gt;0167-6296&lt;/isbn&gt;&lt;urls&gt;&lt;/urls&gt;&lt;/record&gt;&lt;/Cite&gt;&lt;/EndNote&gt;</w:instrText>
      </w:r>
      <w:r w:rsidRPr="00AD7843">
        <w:rPr>
          <w:rFonts w:asciiTheme="minorHAnsi" w:hAnsiTheme="minorHAnsi" w:cstheme="minorHAnsi"/>
          <w:sz w:val="18"/>
          <w:szCs w:val="18"/>
        </w:rPr>
        <w:fldChar w:fldCharType="separate"/>
      </w:r>
      <w:r w:rsidRPr="00C04970">
        <w:rPr>
          <w:rFonts w:asciiTheme="minorHAnsi" w:hAnsiTheme="minorHAnsi" w:cstheme="minorHAnsi"/>
          <w:noProof/>
          <w:sz w:val="18"/>
          <w:szCs w:val="18"/>
        </w:rPr>
        <w:t>Brazier</w:t>
      </w:r>
      <w:r w:rsidRPr="00AD7843">
        <w:rPr>
          <w:rFonts w:ascii="Arial" w:hAnsi="Arial" w:cs="Arial"/>
          <w:noProof/>
        </w:rPr>
        <w:t xml:space="preserve">, </w:t>
      </w:r>
      <w:r w:rsidRPr="00C04970">
        <w:rPr>
          <w:rFonts w:asciiTheme="minorHAnsi" w:hAnsiTheme="minorHAnsi" w:cstheme="minorHAnsi"/>
          <w:noProof/>
        </w:rPr>
        <w:t>Roberts, &amp; Deverill, 2002</w:t>
      </w:r>
      <w:r w:rsidRPr="00AD7843">
        <w:rPr>
          <w:rFonts w:ascii="Arial" w:hAnsi="Arial" w:cs="Arial"/>
        </w:rPr>
        <w:fldChar w:fldCharType="end"/>
      </w:r>
    </w:p>
  </w:endnote>
  <w:endnote w:id="5">
    <w:p w14:paraId="2FF5DC60" w14:textId="7607D3EC" w:rsidR="00120549" w:rsidRDefault="00120549">
      <w:pPr>
        <w:pStyle w:val="EndnoteText"/>
      </w:pPr>
      <w:r>
        <w:rPr>
          <w:rStyle w:val="EndnoteReference"/>
        </w:rPr>
        <w:endnoteRef/>
      </w:r>
      <w:r>
        <w:t xml:space="preserve"> </w:t>
      </w:r>
      <w:r w:rsidRPr="00C04970">
        <w:rPr>
          <w:rFonts w:asciiTheme="minorHAnsi" w:hAnsiTheme="minorHAnsi" w:cstheme="minorHAnsi"/>
        </w:rPr>
        <w:fldChar w:fldCharType="begin"/>
      </w:r>
      <w:r w:rsidRPr="00C04970">
        <w:rPr>
          <w:rFonts w:asciiTheme="minorHAnsi" w:hAnsiTheme="minorHAnsi" w:cstheme="minorHAnsi"/>
        </w:rPr>
        <w:instrText xml:space="preserve"> ADDIN EN.CITE &lt;EndNote&gt;&lt;Cite&gt;&lt;Author&gt;Mulhern&lt;/Author&gt;&lt;Year&gt;2020&lt;/Year&gt;&lt;RecNum&gt;1&lt;/RecNum&gt;&lt;DisplayText&gt;(B. Mulhern, Norman, &amp;amp; Brazier, 2021; B. J. Mulhern, Bansback, Norman, &amp;amp; Brazier, 2020)&lt;/DisplayText&gt;&lt;record&gt;&lt;rec-number&gt;1&lt;/rec-number&gt;&lt;foreign-keys&gt;&lt;key app="EN" db-id="0f9v5px9xe0te5ea9dc5pas5s9929dr5z5rs" timestamp="1665682764"&gt;1&lt;/key&gt;&lt;/foreign-keys&gt;&lt;ref-type name="Journal Article"&gt;17&lt;/ref-type&gt;&lt;contributors&gt;&lt;authors&gt;&lt;author&gt;Mulhern, Brendan J&lt;/author&gt;&lt;author&gt;Bansback, Nick&lt;/author&gt;&lt;author&gt;Norman, Richard&lt;/author&gt;&lt;author&gt;Brazier, John&lt;/author&gt;&lt;/authors&gt;&lt;/contributors&gt;&lt;titles&gt;&lt;title&gt;Valuing the SF-6Dv2 classification system in the United Kingdom using a discrete-choice experiment with duration&lt;/title&gt;&lt;secondary-title&gt;Medical care&lt;/secondary-title&gt;&lt;/titles&gt;&lt;periodical&gt;&lt;full-title&gt;Medical care&lt;/full-title&gt;&lt;/periodical&gt;&lt;pages&gt;566-573&lt;/pages&gt;&lt;volume&gt;58&lt;/volume&gt;&lt;number&gt;6&lt;/number&gt;&lt;dates&gt;&lt;year&gt;2020&lt;/year&gt;&lt;/dates&gt;&lt;isbn&gt;0025-7079&lt;/isbn&gt;&lt;urls&gt;&lt;/urls&gt;&lt;/record&gt;&lt;/Cite&gt;&lt;Cite&gt;&lt;Author&gt;Mulhern&lt;/Author&gt;&lt;Year&gt;2021&lt;/Year&gt;&lt;RecNum&gt;8&lt;/RecNum&gt;&lt;record&gt;&lt;rec-number&gt;8&lt;/rec-number&gt;&lt;foreign-keys&gt;&lt;key app="EN" db-id="0f9v5px9xe0te5ea9dc5pas5s9929dr5z5rs" timestamp="1666168128"&gt;8&lt;/key&gt;&lt;/foreign-keys&gt;&lt;ref-type name="Journal Article"&gt;17&lt;/ref-type&gt;&lt;contributors&gt;&lt;authors&gt;&lt;author&gt;Mulhern, Brendan&lt;/author&gt;&lt;author&gt;Norman, Richard&lt;/author&gt;&lt;author&gt;Brazier, John&lt;/author&gt;&lt;/authors&gt;&lt;/contributors&gt;&lt;titles&gt;&lt;title&gt;Valuing SF-6Dv2 in Australia Using an International Protocol&lt;/title&gt;&lt;secondary-title&gt;PharmacoEconomics&lt;/secondary-title&gt;&lt;/titles&gt;&lt;periodical&gt;&lt;full-title&gt;PharmacoEconomics&lt;/full-title&gt;&lt;/periodical&gt;&lt;pages&gt;1151-1162&lt;/pages&gt;&lt;volume&gt;39&lt;/volume&gt;&lt;number&gt;10&lt;/number&gt;&lt;dates&gt;&lt;year&gt;2021&lt;/year&gt;&lt;/dates&gt;&lt;isbn&gt;1179-2027&lt;/isbn&gt;&lt;urls&gt;&lt;/urls&gt;&lt;/record&gt;&lt;/Cite&gt;&lt;/EndNote&gt;</w:instrText>
      </w:r>
      <w:r w:rsidRPr="00C04970">
        <w:rPr>
          <w:rFonts w:asciiTheme="minorHAnsi" w:hAnsiTheme="minorHAnsi" w:cstheme="minorHAnsi"/>
        </w:rPr>
        <w:fldChar w:fldCharType="separate"/>
      </w:r>
      <w:r w:rsidRPr="00C04970">
        <w:rPr>
          <w:rFonts w:asciiTheme="minorHAnsi" w:hAnsiTheme="minorHAnsi" w:cstheme="minorHAnsi"/>
          <w:noProof/>
        </w:rPr>
        <w:t>B. Mulhern, Norman, &amp; Brazier, 2021; B. J. Mulhern, Bansback, Norman, &amp; Brazier, 2020</w:t>
      </w:r>
      <w:r w:rsidRPr="00C04970">
        <w:rPr>
          <w:rFonts w:asciiTheme="minorHAnsi" w:hAnsiTheme="minorHAnsi" w:cstheme="minorHAnsi"/>
        </w:rPr>
        <w:fldChar w:fldCharType="end"/>
      </w:r>
    </w:p>
  </w:endnote>
  <w:endnote w:id="6">
    <w:p w14:paraId="69B8727A" w14:textId="77777777" w:rsidR="00F369C3" w:rsidRPr="008A5BF0" w:rsidRDefault="00F369C3" w:rsidP="008A5BF0">
      <w:pPr>
        <w:spacing w:before="0" w:after="0" w:line="240" w:lineRule="auto"/>
        <w:rPr>
          <w:rFonts w:asciiTheme="minorHAnsi" w:hAnsiTheme="minorHAnsi" w:cstheme="minorHAnsi"/>
          <w:sz w:val="20"/>
          <w:szCs w:val="20"/>
        </w:rPr>
      </w:pPr>
      <w:r>
        <w:rPr>
          <w:rStyle w:val="EndnoteReference"/>
        </w:rPr>
        <w:endnoteRef/>
      </w:r>
      <w:r>
        <w:t xml:space="preserve"> </w:t>
      </w:r>
      <w:r w:rsidRPr="007969F9">
        <w:rPr>
          <w:rFonts w:asciiTheme="minorHAnsi" w:hAnsiTheme="minorHAnsi" w:cstheme="minorHAnsi"/>
          <w:sz w:val="20"/>
          <w:szCs w:val="20"/>
        </w:rPr>
        <w:fldChar w:fldCharType="begin"/>
      </w:r>
      <w:r w:rsidRPr="007969F9">
        <w:rPr>
          <w:rFonts w:asciiTheme="minorHAnsi" w:hAnsiTheme="minorHAnsi" w:cstheme="minorHAnsi"/>
          <w:sz w:val="20"/>
          <w:szCs w:val="20"/>
        </w:rPr>
        <w:instrText xml:space="preserve"> ADDIN EN.CITE &lt;EndNote&gt;&lt;Cite&gt;&lt;Author&gt;Richardson&lt;/Author&gt;&lt;Year&gt;2004&lt;/Year&gt;&lt;RecNum&gt;4&lt;/RecNum&gt;&lt;DisplayText&gt;(Glick, Doshi, Sonnad, &amp;amp; Polsky, 2014; Richardson &amp;amp; Manca, 2004)&lt;/DisplayText&gt;&lt;record&gt;&lt;rec-number&gt;4&lt;/rec-number&gt;&lt;foreign-keys&gt;&lt;key app="EN" db-id="0f9v5px9xe0te5ea9dc5pas5s9929dr5z5rs" timestamp="1665683581"&gt;4&lt;/key&gt;&lt;/foreign-keys&gt;&lt;ref-type name="Journal Article"&gt;17&lt;/ref-type&gt;&lt;contributors&gt;&lt;authors&gt;&lt;author&gt;Richardson, Gerald&lt;/author&gt;&lt;author&gt;Manca, Andrea&lt;/author&gt;&lt;/authors&gt;&lt;/contributors&gt;&lt;titles&gt;&lt;title&gt;Calculation of quality adjusted life years in the published literature: a review of methodology and transparency&lt;/title&gt;&lt;secondary-title&gt;Health economics&lt;/secondary-title&gt;&lt;/titles&gt;&lt;periodical&gt;&lt;full-title&gt;Health economics&lt;/full-title&gt;&lt;/periodical&gt;&lt;pages&gt;1203-1210&lt;/pages&gt;&lt;volume&gt;13&lt;/volume&gt;&lt;number&gt;12&lt;/number&gt;&lt;dates&gt;&lt;year&gt;2004&lt;/year&gt;&lt;/dates&gt;&lt;isbn&gt;1057-9230&lt;/isbn&gt;&lt;urls&gt;&lt;/urls&gt;&lt;/record&gt;&lt;/Cite&gt;&lt;Cite&gt;&lt;Author&gt;Glick&lt;/Author&gt;&lt;Year&gt;2014&lt;/Year&gt;&lt;RecNum&gt;5&lt;/RecNum&gt;&lt;record&gt;&lt;rec-number&gt;5&lt;/rec-number&gt;&lt;foreign-keys&gt;&lt;key app="EN" db-id="0f9v5px9xe0te5ea9dc5pas5s9929dr5z5rs" timestamp="1665683669"&gt;5&lt;/key&gt;&lt;/foreign-keys&gt;&lt;ref-type name="Book"&gt;6&lt;/ref-type&gt;&lt;contributors&gt;&lt;authors&gt;&lt;author&gt;Glick, Henry A&lt;/author&gt;&lt;author&gt;Doshi, Jalpa A&lt;/author&gt;&lt;author&gt;Sonnad, Seema S&lt;/author&gt;&lt;author&gt;Polsky, Daniel&lt;/author&gt;&lt;/authors&gt;&lt;/contributors&gt;&lt;titles&gt;&lt;title&gt;Economic evaluation in clinical trials&lt;/title&gt;&lt;/titles&gt;&lt;dates&gt;&lt;year&gt;2014&lt;/year&gt;&lt;/dates&gt;&lt;publisher&gt;OUP Oxford&lt;/publisher&gt;&lt;isbn&gt;0191508055&lt;/isbn&gt;&lt;urls&gt;&lt;/urls&gt;&lt;/record&gt;&lt;/Cite&gt;&lt;/EndNote&gt;</w:instrText>
      </w:r>
      <w:r w:rsidRPr="007969F9">
        <w:rPr>
          <w:rFonts w:asciiTheme="minorHAnsi" w:hAnsiTheme="minorHAnsi" w:cstheme="minorHAnsi"/>
          <w:sz w:val="20"/>
          <w:szCs w:val="20"/>
        </w:rPr>
        <w:fldChar w:fldCharType="separate"/>
      </w:r>
      <w:r w:rsidRPr="007969F9">
        <w:rPr>
          <w:rFonts w:asciiTheme="minorHAnsi" w:hAnsiTheme="minorHAnsi" w:cstheme="minorHAnsi"/>
          <w:noProof/>
          <w:sz w:val="20"/>
          <w:szCs w:val="20"/>
        </w:rPr>
        <w:t>Glick, Doshi, Sonnad, &amp; Polsky, 2014; Richardson &amp; Manca, 2004</w:t>
      </w:r>
      <w:r w:rsidRPr="007969F9">
        <w:rPr>
          <w:rFonts w:asciiTheme="minorHAnsi" w:hAnsiTheme="minorHAnsi" w:cstheme="minorHAnsi"/>
          <w:sz w:val="20"/>
          <w:szCs w:val="20"/>
        </w:rPr>
        <w:fldChar w:fldCharType="end"/>
      </w:r>
    </w:p>
  </w:endnote>
  <w:endnote w:id="7">
    <w:p w14:paraId="3747DFA7" w14:textId="3420E629" w:rsidR="003230BE" w:rsidRPr="007969F9" w:rsidRDefault="003230BE">
      <w:pPr>
        <w:pStyle w:val="EndnoteText"/>
        <w:rPr>
          <w:rFonts w:asciiTheme="minorHAnsi" w:hAnsiTheme="minorHAnsi" w:cstheme="minorHAnsi"/>
        </w:rPr>
      </w:pPr>
      <w:r w:rsidRPr="007969F9">
        <w:rPr>
          <w:rStyle w:val="EndnoteReference"/>
          <w:rFonts w:asciiTheme="minorHAnsi" w:hAnsiTheme="minorHAnsi" w:cstheme="minorHAnsi"/>
        </w:rPr>
        <w:endnoteRef/>
      </w:r>
      <w:r w:rsidRPr="007969F9">
        <w:rPr>
          <w:rFonts w:asciiTheme="minorHAnsi" w:hAnsiTheme="minorHAnsi" w:cstheme="minorHAnsi"/>
        </w:rPr>
        <w:t xml:space="preserve"> </w:t>
      </w:r>
      <w:r w:rsidRPr="007969F9">
        <w:rPr>
          <w:rFonts w:asciiTheme="minorHAnsi" w:eastAsia="Times New Roman" w:hAnsiTheme="minorHAnsi" w:cstheme="minorHAnsi"/>
          <w:bCs/>
          <w:lang w:val="en-US"/>
        </w:rPr>
        <w:fldChar w:fldCharType="begin"/>
      </w:r>
      <w:r w:rsidRPr="007969F9">
        <w:rPr>
          <w:rFonts w:asciiTheme="minorHAnsi" w:eastAsia="Times New Roman" w:hAnsiTheme="minorHAnsi" w:cstheme="minorHAnsi"/>
          <w:bCs/>
          <w:lang w:val="en-US"/>
        </w:rPr>
        <w:instrText xml:space="preserve"> ADDIN EN.CITE &lt;EndNote&gt;&lt;Cite&gt;&lt;Author&gt;Drummond&lt;/Author&gt;&lt;Year&gt;2015&lt;/Year&gt;&lt;RecNum&gt;2&lt;/RecNum&gt;&lt;DisplayText&gt;(Drummond, Sculpher, Claxton, Stoddart, &amp;amp; Torrance, 2015; B. J. Mulhern et al., 2020)&lt;/DisplayText&gt;&lt;record&gt;&lt;rec-number&gt;2&lt;/rec-number&gt;&lt;foreign-keys&gt;&lt;key app="EN" db-id="0f9v5px9xe0te5ea9dc5pas5s9929dr5z5rs" timestamp="1665682789"&gt;2&lt;/key&gt;&lt;/foreign-keys&gt;&lt;ref-type name="Book"&gt;6&lt;/ref-type&gt;&lt;contributors&gt;&lt;authors&gt;&lt;author&gt;Drummond, Michael F&lt;/author&gt;&lt;author&gt;Sculpher, Mark J&lt;/author&gt;&lt;author&gt;Claxton, Karl&lt;/author&gt;&lt;author&gt;Stoddart, Greg L&lt;/author&gt;&lt;author&gt;Torrance, George W&lt;/author&gt;&lt;/authors&gt;&lt;/contributors&gt;&lt;titles&gt;&lt;title&gt;Methods for the economic evaluation of health care programmes&lt;/title&gt;&lt;/titles&gt;&lt;dates&gt;&lt;year&gt;2015&lt;/year&gt;&lt;/dates&gt;&lt;publisher&gt;Oxford university press&lt;/publisher&gt;&lt;isbn&gt;0191643580&lt;/isbn&gt;&lt;urls&gt;&lt;/urls&gt;&lt;/record&gt;&lt;/Cite&gt;&lt;Cite&gt;&lt;Author&gt;Mulhern&lt;/Author&gt;&lt;Year&gt;2020&lt;/Year&gt;&lt;RecNum&gt;1&lt;/RecNum&gt;&lt;record&gt;&lt;rec-number&gt;1&lt;/rec-number&gt;&lt;foreign-keys&gt;&lt;key app="EN" db-id="0f9v5px9xe0te5ea9dc5pas5s9929dr5z5rs" timestamp="1665682764"&gt;1&lt;/key&gt;&lt;/foreign-keys&gt;&lt;ref-type name="Journal Article"&gt;17&lt;/ref-type&gt;&lt;contributors&gt;&lt;authors&gt;&lt;author&gt;Mulhern, Brendan J&lt;/author&gt;&lt;author&gt;Bansback, Nick&lt;/author&gt;&lt;author&gt;Norman, Richard&lt;/author&gt;&lt;author&gt;Brazier, John&lt;/author&gt;&lt;/authors&gt;&lt;/contributors&gt;&lt;titles&gt;&lt;title&gt;Valuing the SF-6Dv2 classification system in the United Kingdom using a discrete-choice experiment with duration&lt;/title&gt;&lt;secondary-title&gt;Medical care&lt;/secondary-title&gt;&lt;/titles&gt;&lt;periodical&gt;&lt;full-title&gt;Medical care&lt;/full-title&gt;&lt;/periodical&gt;&lt;pages&gt;566-573&lt;/pages&gt;&lt;volume&gt;58&lt;/volume&gt;&lt;number&gt;6&lt;/number&gt;&lt;dates&gt;&lt;year&gt;2020&lt;/year&gt;&lt;/dates&gt;&lt;isbn&gt;0025-7079&lt;/isbn&gt;&lt;urls&gt;&lt;/urls&gt;&lt;/record&gt;&lt;/Cite&gt;&lt;/EndNote&gt;</w:instrText>
      </w:r>
      <w:r w:rsidRPr="007969F9">
        <w:rPr>
          <w:rFonts w:asciiTheme="minorHAnsi" w:eastAsia="Times New Roman" w:hAnsiTheme="minorHAnsi" w:cstheme="minorHAnsi"/>
          <w:bCs/>
          <w:lang w:val="en-US"/>
        </w:rPr>
        <w:fldChar w:fldCharType="separate"/>
      </w:r>
      <w:r w:rsidRPr="007969F9">
        <w:rPr>
          <w:rFonts w:asciiTheme="minorHAnsi" w:eastAsia="Times New Roman" w:hAnsiTheme="minorHAnsi" w:cstheme="minorHAnsi"/>
          <w:bCs/>
          <w:noProof/>
          <w:lang w:val="en-US"/>
        </w:rPr>
        <w:t>Drummond, Sculpher, Claxton, Stoddart, &amp; Torrance, 2015; B. J. Mulhern et al., 2020</w:t>
      </w:r>
      <w:r w:rsidRPr="007969F9">
        <w:rPr>
          <w:rFonts w:asciiTheme="minorHAnsi" w:eastAsia="Times New Roman" w:hAnsiTheme="minorHAnsi" w:cstheme="minorHAnsi"/>
          <w:bCs/>
          <w:lang w:val="en-US"/>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09B19054" w:rsidR="003560AF" w:rsidRDefault="003560AF">
        <w:pPr>
          <w:pStyle w:val="Footer"/>
        </w:pPr>
        <w:r>
          <w:fldChar w:fldCharType="begin"/>
        </w:r>
        <w:r>
          <w:instrText xml:space="preserve"> PAGE   \* MERGEFORMAT </w:instrText>
        </w:r>
        <w:r>
          <w:fldChar w:fldCharType="separate"/>
        </w:r>
        <w:r w:rsidR="004C4FA3">
          <w:rPr>
            <w:noProof/>
          </w:rPr>
          <w:t>56</w:t>
        </w:r>
        <w:r>
          <w:rPr>
            <w:noProof/>
          </w:rPr>
          <w:fldChar w:fldCharType="end"/>
        </w:r>
        <w:r>
          <w:rPr>
            <w:noProof/>
          </w:rPr>
          <w:tab/>
        </w:r>
        <w:r>
          <w:t xml:space="preserve">MSAC </w:t>
        </w:r>
        <w:r w:rsidRPr="00807A3E">
          <w:t xml:space="preserve">assessment report </w:t>
        </w:r>
        <w:r w:rsidR="005F0AC1">
          <w:t>CVD Risk Assessment in Community Pharmacy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0D93A8E4" w:rsidR="003560AF" w:rsidRDefault="009043BF" w:rsidP="005F0AC1">
        <w:pPr>
          <w:pStyle w:val="Footer"/>
        </w:pPr>
        <w:r>
          <w:t>MSAC A</w:t>
        </w:r>
        <w:r w:rsidR="003560AF" w:rsidRPr="00052DD3">
          <w:t xml:space="preserve">ssessment report </w:t>
        </w:r>
        <w:r>
          <w:t xml:space="preserve">– </w:t>
        </w:r>
        <w:r w:rsidR="00375C4C">
          <w:t>CVD Risk Assessment in Community Pharmacy</w:t>
        </w:r>
        <w:r w:rsidR="003560AF">
          <w:t xml:space="preserve"> </w:t>
        </w:r>
        <w:r w:rsidR="003560AF">
          <w:tab/>
        </w:r>
        <w:r w:rsidR="003560AF">
          <w:fldChar w:fldCharType="begin"/>
        </w:r>
        <w:r w:rsidR="003560AF">
          <w:instrText xml:space="preserve"> PAGE   \* MERGEFORMAT </w:instrText>
        </w:r>
        <w:r w:rsidR="003560AF">
          <w:fldChar w:fldCharType="separate"/>
        </w:r>
        <w:r w:rsidR="004C4FA3">
          <w:rPr>
            <w:noProof/>
          </w:rPr>
          <w:t>57</w:t>
        </w:r>
        <w:r w:rsidR="003560A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7BA4" w14:textId="77777777" w:rsidR="006B3050" w:rsidRDefault="006B3050" w:rsidP="00B62DF2">
      <w:pPr>
        <w:spacing w:after="0" w:line="240" w:lineRule="auto"/>
      </w:pPr>
      <w:r>
        <w:separator/>
      </w:r>
    </w:p>
  </w:footnote>
  <w:footnote w:type="continuationSeparator" w:id="0">
    <w:p w14:paraId="115C0574" w14:textId="77777777" w:rsidR="006B3050" w:rsidRDefault="006B3050" w:rsidP="00B62DF2">
      <w:pPr>
        <w:spacing w:after="0" w:line="240" w:lineRule="auto"/>
      </w:pPr>
      <w:r>
        <w:continuationSeparator/>
      </w:r>
    </w:p>
  </w:footnote>
  <w:footnote w:type="continuationNotice" w:id="1">
    <w:p w14:paraId="3BEF813B" w14:textId="77777777" w:rsidR="006B3050" w:rsidRDefault="006B3050">
      <w:pPr>
        <w:spacing w:before="0" w:after="0" w:line="240" w:lineRule="auto"/>
      </w:pPr>
    </w:p>
  </w:footnote>
  <w:footnote w:id="2">
    <w:p w14:paraId="3FC5A464" w14:textId="0415E135" w:rsidR="002B0E8E" w:rsidRDefault="002B0E8E" w:rsidP="002B0E8E">
      <w:pPr>
        <w:pStyle w:val="FootnoteText"/>
      </w:pPr>
      <w:r w:rsidRPr="00C802CA">
        <w:rPr>
          <w:rStyle w:val="FootnoteReference"/>
        </w:rPr>
        <w:footnoteRef/>
      </w:r>
      <w:r w:rsidRPr="00C802CA">
        <w:t xml:space="preserve"> </w:t>
      </w:r>
      <w:r w:rsidRPr="00C802CA">
        <w:rPr>
          <w:sz w:val="20"/>
        </w:rPr>
        <w:t>4364.0.55.001 - National Health Survey: First Results, 2014-15</w:t>
      </w:r>
      <w:r w:rsidR="00A85BF7">
        <w:rPr>
          <w:sz w:val="20"/>
        </w:rPr>
        <w:t xml:space="preserve"> </w:t>
      </w:r>
    </w:p>
  </w:footnote>
  <w:footnote w:id="3">
    <w:p w14:paraId="1C40685F" w14:textId="77777777" w:rsidR="002B0E8E" w:rsidRDefault="002B0E8E" w:rsidP="002B0E8E">
      <w:pPr>
        <w:pStyle w:val="FootnoteText"/>
      </w:pPr>
      <w:r>
        <w:rPr>
          <w:rStyle w:val="FootnoteReference"/>
        </w:rPr>
        <w:footnoteRef/>
      </w:r>
      <w:r>
        <w:t xml:space="preserve"> </w:t>
      </w:r>
      <w:r w:rsidRPr="00C802CA">
        <w:rPr>
          <w:sz w:val="20"/>
        </w:rPr>
        <w:t>Retrieved 21/2/17 from http://www.australiandoctor.com.au/cmspages/getfile.aspx</w:t>
      </w:r>
      <w:r>
        <w:rPr>
          <w:sz w:val="22"/>
          <w:szCs w:val="22"/>
        </w:rPr>
        <w:t xml:space="preserve"> </w:t>
      </w:r>
    </w:p>
  </w:footnote>
  <w:footnote w:id="4">
    <w:p w14:paraId="6DF0C865" w14:textId="77777777" w:rsidR="002B0E8E" w:rsidRPr="00EB6754" w:rsidRDefault="002B0E8E" w:rsidP="002B0E8E">
      <w:pPr>
        <w:pStyle w:val="FootnoteText"/>
      </w:pPr>
      <w:r>
        <w:rPr>
          <w:rStyle w:val="FootnoteReference"/>
        </w:rPr>
        <w:footnoteRef/>
      </w:r>
      <w:r>
        <w:t xml:space="preserve"> </w:t>
      </w:r>
      <w:r w:rsidRPr="00EB6754">
        <w:rPr>
          <w:rFonts w:ascii="Calibri" w:hAnsi="Calibri" w:cs="Calibri"/>
          <w:sz w:val="20"/>
        </w:rPr>
        <w:t xml:space="preserve">Carleton RA, </w:t>
      </w:r>
      <w:proofErr w:type="spellStart"/>
      <w:r w:rsidRPr="00EB6754">
        <w:rPr>
          <w:rFonts w:ascii="Calibri" w:hAnsi="Calibri" w:cs="Calibri"/>
          <w:sz w:val="20"/>
        </w:rPr>
        <w:t>Bazzarre</w:t>
      </w:r>
      <w:proofErr w:type="spellEnd"/>
      <w:r w:rsidRPr="00EB6754">
        <w:rPr>
          <w:rFonts w:ascii="Calibri" w:hAnsi="Calibri" w:cs="Calibri"/>
          <w:sz w:val="20"/>
        </w:rPr>
        <w:t xml:space="preserve"> T, Drake J, Dunn A, Fisher EB, Jr., Grundy SM, et al. Report of the Expert Panel on Awareness and </w:t>
      </w:r>
      <w:proofErr w:type="spellStart"/>
      <w:r w:rsidRPr="00EB6754">
        <w:rPr>
          <w:rFonts w:ascii="Calibri" w:hAnsi="Calibri" w:cs="Calibri"/>
          <w:sz w:val="20"/>
        </w:rPr>
        <w:t>Behavior</w:t>
      </w:r>
      <w:proofErr w:type="spellEnd"/>
      <w:r w:rsidRPr="00EB6754">
        <w:rPr>
          <w:rFonts w:ascii="Calibri" w:hAnsi="Calibri" w:cs="Calibri"/>
          <w:sz w:val="20"/>
        </w:rPr>
        <w:t xml:space="preserve"> Change to the Board of Directors, American Heart Association. Circulation 1996;93(9):1768-72.</w:t>
      </w:r>
    </w:p>
  </w:footnote>
  <w:footnote w:id="5">
    <w:p w14:paraId="4944BA42" w14:textId="77777777" w:rsidR="002B0E8E" w:rsidRPr="00EB6754" w:rsidRDefault="002B0E8E" w:rsidP="002B0E8E">
      <w:pPr>
        <w:pStyle w:val="FootnoteText"/>
      </w:pPr>
      <w:r w:rsidRPr="00EB6754">
        <w:rPr>
          <w:rStyle w:val="FootnoteReference"/>
        </w:rPr>
        <w:footnoteRef/>
      </w:r>
      <w:r w:rsidRPr="00EB6754">
        <w:t xml:space="preserve"> </w:t>
      </w:r>
      <w:proofErr w:type="spellStart"/>
      <w:r w:rsidRPr="00EB6754">
        <w:rPr>
          <w:rFonts w:ascii="Calibri" w:hAnsi="Calibri" w:cs="Calibri"/>
          <w:color w:val="000000"/>
          <w:sz w:val="20"/>
        </w:rPr>
        <w:t>Baberg</w:t>
      </w:r>
      <w:proofErr w:type="spellEnd"/>
      <w:r w:rsidRPr="00EB6754">
        <w:rPr>
          <w:rFonts w:ascii="Calibri" w:hAnsi="Calibri" w:cs="Calibri"/>
          <w:color w:val="000000"/>
          <w:sz w:val="20"/>
        </w:rPr>
        <w:t xml:space="preserve"> HT, Jager D, </w:t>
      </w:r>
      <w:proofErr w:type="spellStart"/>
      <w:r w:rsidRPr="00EB6754">
        <w:rPr>
          <w:rFonts w:ascii="Calibri" w:hAnsi="Calibri" w:cs="Calibri"/>
          <w:color w:val="000000"/>
          <w:sz w:val="20"/>
        </w:rPr>
        <w:t>Kahrmann</w:t>
      </w:r>
      <w:proofErr w:type="spellEnd"/>
      <w:r w:rsidRPr="00EB6754">
        <w:rPr>
          <w:rFonts w:ascii="Calibri" w:hAnsi="Calibri" w:cs="Calibri"/>
          <w:color w:val="000000"/>
          <w:sz w:val="20"/>
        </w:rPr>
        <w:t xml:space="preserve"> G, de </w:t>
      </w:r>
      <w:proofErr w:type="spellStart"/>
      <w:r w:rsidRPr="00EB6754">
        <w:rPr>
          <w:rFonts w:ascii="Calibri" w:hAnsi="Calibri" w:cs="Calibri"/>
          <w:color w:val="000000"/>
          <w:sz w:val="20"/>
        </w:rPr>
        <w:t>Zeeuw</w:t>
      </w:r>
      <w:proofErr w:type="spellEnd"/>
      <w:r w:rsidRPr="00EB6754">
        <w:rPr>
          <w:rFonts w:ascii="Calibri" w:hAnsi="Calibri" w:cs="Calibri"/>
          <w:color w:val="000000"/>
          <w:sz w:val="20"/>
        </w:rPr>
        <w:t xml:space="preserve"> J, </w:t>
      </w:r>
      <w:proofErr w:type="spellStart"/>
      <w:r w:rsidRPr="00EB6754">
        <w:rPr>
          <w:rFonts w:ascii="Calibri" w:hAnsi="Calibri" w:cs="Calibri"/>
          <w:color w:val="000000"/>
          <w:sz w:val="20"/>
        </w:rPr>
        <w:t>Bojara</w:t>
      </w:r>
      <w:proofErr w:type="spellEnd"/>
      <w:r w:rsidRPr="00EB6754">
        <w:rPr>
          <w:rFonts w:ascii="Calibri" w:hAnsi="Calibri" w:cs="Calibri"/>
          <w:color w:val="000000"/>
          <w:sz w:val="20"/>
        </w:rPr>
        <w:t xml:space="preserve"> W, Lemke B, et al. [Health promotion and cardiovascular risk factors. The level of knowledge among 510 inpatients of an acute coronary care unit]. Med </w:t>
      </w:r>
      <w:proofErr w:type="spellStart"/>
      <w:r w:rsidRPr="00EB6754">
        <w:rPr>
          <w:rFonts w:ascii="Calibri" w:hAnsi="Calibri" w:cs="Calibri"/>
          <w:color w:val="000000"/>
          <w:sz w:val="20"/>
        </w:rPr>
        <w:t>Klin</w:t>
      </w:r>
      <w:proofErr w:type="spellEnd"/>
      <w:r w:rsidRPr="00EB6754">
        <w:rPr>
          <w:rFonts w:ascii="Calibri" w:hAnsi="Calibri" w:cs="Calibri"/>
          <w:color w:val="000000"/>
          <w:sz w:val="20"/>
        </w:rPr>
        <w:t xml:space="preserve"> (Munich) 2000;95(2):75-80</w:t>
      </w:r>
    </w:p>
  </w:footnote>
  <w:footnote w:id="6">
    <w:p w14:paraId="6CAA61A5" w14:textId="3CCF85AA" w:rsidR="002B0E8E" w:rsidRDefault="002B0E8E" w:rsidP="002B0E8E">
      <w:pPr>
        <w:pStyle w:val="FootnoteText"/>
      </w:pPr>
      <w:r w:rsidRPr="00EB6754">
        <w:rPr>
          <w:rStyle w:val="FootnoteReference"/>
        </w:rPr>
        <w:footnoteRef/>
      </w:r>
      <w:r w:rsidRPr="00EB6754">
        <w:t xml:space="preserve"> </w:t>
      </w:r>
      <w:r w:rsidRPr="00EB6754">
        <w:rPr>
          <w:rFonts w:ascii="Calibri" w:hAnsi="Calibri" w:cs="Calibri"/>
          <w:sz w:val="20"/>
        </w:rPr>
        <w:t xml:space="preserve">Davis SK, </w:t>
      </w:r>
      <w:proofErr w:type="spellStart"/>
      <w:r w:rsidRPr="00EB6754">
        <w:rPr>
          <w:rFonts w:ascii="Calibri" w:hAnsi="Calibri" w:cs="Calibri"/>
          <w:sz w:val="20"/>
        </w:rPr>
        <w:t>Winkleby</w:t>
      </w:r>
      <w:proofErr w:type="spellEnd"/>
      <w:r w:rsidRPr="00EB6754">
        <w:rPr>
          <w:rFonts w:ascii="Calibri" w:hAnsi="Calibri" w:cs="Calibri"/>
          <w:sz w:val="20"/>
        </w:rPr>
        <w:t xml:space="preserve"> MA, Farquhar JW. Increasing disparity in knowledge of cardiovascular disease risk factors and risk-reduction strategies by socioeconomic status: implications for policymakers. Am J </w:t>
      </w:r>
      <w:proofErr w:type="spellStart"/>
      <w:r w:rsidRPr="00EB6754">
        <w:rPr>
          <w:rFonts w:ascii="Calibri" w:hAnsi="Calibri" w:cs="Calibri"/>
          <w:sz w:val="20"/>
        </w:rPr>
        <w:t>Prev</w:t>
      </w:r>
      <w:proofErr w:type="spellEnd"/>
      <w:r w:rsidRPr="00EB6754">
        <w:rPr>
          <w:rFonts w:ascii="Calibri" w:hAnsi="Calibri" w:cs="Calibri"/>
          <w:sz w:val="20"/>
        </w:rPr>
        <w:t xml:space="preserve"> Med 1995;11(5):318-23</w:t>
      </w:r>
      <w:r w:rsidR="00A85BF7">
        <w:rPr>
          <w:rFonts w:ascii="Calibri" w:hAnsi="Calibri" w:cs="Calibri"/>
          <w:sz w:val="20"/>
        </w:rPr>
        <w:t xml:space="preserve"> </w:t>
      </w:r>
    </w:p>
  </w:footnote>
  <w:footnote w:id="7">
    <w:p w14:paraId="3FF30B9E" w14:textId="77777777" w:rsidR="00E23A99" w:rsidRDefault="00E23A99" w:rsidP="00E23A99">
      <w:pPr>
        <w:pStyle w:val="EndnoteText"/>
        <w:rPr>
          <w:rFonts w:asciiTheme="minorHAnsi" w:eastAsia="Times New Roman" w:hAnsiTheme="minorHAnsi" w:cstheme="minorHAnsi"/>
          <w:bCs/>
        </w:rPr>
      </w:pPr>
      <w:r>
        <w:rPr>
          <w:rStyle w:val="FootnoteReference"/>
        </w:rPr>
        <w:footnoteRef/>
      </w:r>
      <w:r>
        <w:t xml:space="preserve"> </w:t>
      </w:r>
      <w:r w:rsidRPr="00D00FA6">
        <w:rPr>
          <w:rFonts w:asciiTheme="minorHAnsi" w:eastAsia="Times New Roman" w:hAnsiTheme="minorHAnsi" w:cstheme="minorHAnsi"/>
          <w:bCs/>
        </w:rPr>
        <w:t>Wordsworth S, Buchanan J, Towse A, 2016. Chapter 5 - Health Economic Perspectives of Genomics, In: Kumar D, Chadwick R (Eds), Genomics and Society. Academic Press, Oxford; 2016. pp. 83-117.</w:t>
      </w:r>
    </w:p>
    <w:p w14:paraId="6A1170E1" w14:textId="77777777" w:rsidR="00E23A99" w:rsidRDefault="00E23A99" w:rsidP="00E23A99">
      <w:pPr>
        <w:pStyle w:val="FootnoteText"/>
      </w:pPr>
    </w:p>
  </w:footnote>
  <w:footnote w:id="8">
    <w:p w14:paraId="3A2468B1" w14:textId="77777777" w:rsidR="00E23A99" w:rsidRPr="000832A0" w:rsidRDefault="00E23A99" w:rsidP="00E23A99">
      <w:pPr>
        <w:pStyle w:val="EndnoteText"/>
        <w:rPr>
          <w:rFonts w:asciiTheme="minorHAnsi" w:eastAsia="Times New Roman" w:hAnsiTheme="minorHAnsi" w:cstheme="minorHAnsi"/>
          <w:bCs/>
        </w:rPr>
      </w:pPr>
      <w:r>
        <w:rPr>
          <w:rStyle w:val="FootnoteReference"/>
        </w:rPr>
        <w:footnoteRef/>
      </w:r>
      <w:r>
        <w:t xml:space="preserve"> </w:t>
      </w:r>
      <w:r w:rsidRPr="000832A0">
        <w:rPr>
          <w:rFonts w:asciiTheme="minorHAnsi" w:eastAsia="Times New Roman" w:hAnsiTheme="minorHAnsi" w:cstheme="minorHAnsi"/>
          <w:bCs/>
        </w:rPr>
        <w:t>Briggs, A. (1999). Handling uncertainty in economic evaluation. BMJ, 319(7202), 120.</w:t>
      </w:r>
    </w:p>
    <w:p w14:paraId="21D118EE" w14:textId="77777777" w:rsidR="00E23A99" w:rsidRDefault="00E23A99" w:rsidP="00E23A99">
      <w:pPr>
        <w:pStyle w:val="FootnoteText"/>
      </w:pPr>
    </w:p>
  </w:footnote>
  <w:footnote w:id="9">
    <w:p w14:paraId="19E871B8" w14:textId="77777777" w:rsidR="00932A4E" w:rsidRPr="002958B1" w:rsidRDefault="00932A4E" w:rsidP="00932A4E">
      <w:pPr>
        <w:shd w:val="clear" w:color="auto" w:fill="FFFFFF"/>
        <w:spacing w:before="100" w:beforeAutospacing="1" w:after="240"/>
      </w:pPr>
      <w:r>
        <w:rPr>
          <w:rStyle w:val="FootnoteReference"/>
        </w:rPr>
        <w:footnoteRef/>
      </w:r>
      <w:r>
        <w:t xml:space="preserve"> </w:t>
      </w:r>
      <w:r w:rsidRPr="00ED7AD5">
        <w:rPr>
          <w:rFonts w:asciiTheme="minorHAnsi" w:eastAsia="Times New Roman" w:hAnsiTheme="minorHAnsi" w:cstheme="minorHAnsi"/>
          <w:color w:val="231F20"/>
          <w:sz w:val="18"/>
          <w:szCs w:val="18"/>
          <w:lang w:eastAsia="en-AU"/>
        </w:rPr>
        <w:t xml:space="preserve">Australian </w:t>
      </w:r>
      <w:r w:rsidRPr="002958B1">
        <w:rPr>
          <w:rFonts w:asciiTheme="minorHAnsi" w:eastAsia="Times New Roman" w:hAnsiTheme="minorHAnsi" w:cstheme="minorHAnsi"/>
          <w:sz w:val="18"/>
          <w:szCs w:val="18"/>
          <w:lang w:eastAsia="en-AU"/>
        </w:rPr>
        <w:t xml:space="preserve">Bureau of Statistics 2020, Causes of death 2019, cat. No. 3303.0, </w:t>
      </w:r>
    </w:p>
  </w:footnote>
  <w:footnote w:id="10">
    <w:p w14:paraId="055F5486" w14:textId="77777777" w:rsidR="00932A4E" w:rsidRPr="002958B1" w:rsidRDefault="00932A4E" w:rsidP="00932A4E">
      <w:pPr>
        <w:pStyle w:val="FootnoteText"/>
      </w:pPr>
      <w:r w:rsidRPr="002958B1">
        <w:rPr>
          <w:rStyle w:val="FootnoteReference"/>
        </w:rPr>
        <w:footnoteRef/>
      </w:r>
      <w:r w:rsidRPr="002958B1">
        <w:t xml:space="preserve"> </w:t>
      </w:r>
      <w:hyperlink r:id="rId1" w:history="1">
        <w:r w:rsidRPr="002958B1">
          <w:rPr>
            <w:rStyle w:val="Hyperlink"/>
            <w:color w:val="auto"/>
          </w:rPr>
          <w:t xml:space="preserve">Heart, </w:t>
        </w:r>
        <w:proofErr w:type="gramStart"/>
        <w:r w:rsidRPr="002958B1">
          <w:rPr>
            <w:rStyle w:val="Hyperlink"/>
            <w:color w:val="auto"/>
          </w:rPr>
          <w:t>stroke</w:t>
        </w:r>
        <w:proofErr w:type="gramEnd"/>
        <w:r w:rsidRPr="002958B1">
          <w:rPr>
            <w:rStyle w:val="Hyperlink"/>
            <w:color w:val="auto"/>
          </w:rPr>
          <w:t xml:space="preserve"> and vascular disease—Australian facts, Total heart, stroke and vascular disease - Australian Institute of Health and Welfare (aihw.gov.au)</w:t>
        </w:r>
      </w:hyperlink>
    </w:p>
  </w:footnote>
  <w:footnote w:id="11">
    <w:p w14:paraId="353A4065" w14:textId="77777777" w:rsidR="00932A4E" w:rsidRPr="002958B1" w:rsidRDefault="00932A4E" w:rsidP="00932A4E">
      <w:pPr>
        <w:pStyle w:val="FootnoteText"/>
      </w:pPr>
      <w:r w:rsidRPr="002958B1">
        <w:rPr>
          <w:rStyle w:val="FootnoteReference"/>
        </w:rPr>
        <w:footnoteRef/>
      </w:r>
      <w:r w:rsidRPr="002958B1">
        <w:t xml:space="preserve"> </w:t>
      </w:r>
      <w:hyperlink r:id="rId2" w:history="1">
        <w:r w:rsidRPr="002958B1">
          <w:rPr>
            <w:rStyle w:val="Hyperlink"/>
            <w:color w:val="auto"/>
          </w:rPr>
          <w:t>Australia: proportion of visits to a general practitioner by age | Statista</w:t>
        </w:r>
      </w:hyperlink>
    </w:p>
  </w:footnote>
  <w:footnote w:id="12">
    <w:p w14:paraId="16C52083" w14:textId="77777777" w:rsidR="00932A4E" w:rsidRPr="002958B1" w:rsidRDefault="00932A4E" w:rsidP="00932A4E">
      <w:pPr>
        <w:pStyle w:val="FootnoteText"/>
      </w:pPr>
      <w:r w:rsidRPr="002958B1">
        <w:rPr>
          <w:rStyle w:val="FootnoteReference"/>
        </w:rPr>
        <w:footnoteRef/>
      </w:r>
      <w:r w:rsidRPr="002958B1">
        <w:t xml:space="preserve"> </w:t>
      </w:r>
      <w:hyperlink r:id="rId3" w:history="1">
        <w:proofErr w:type="gramStart"/>
        <w:r w:rsidRPr="002958B1">
          <w:rPr>
            <w:rStyle w:val="Hyperlink"/>
            <w:color w:val="auto"/>
          </w:rPr>
          <w:t>Five year</w:t>
        </w:r>
        <w:proofErr w:type="gramEnd"/>
        <w:r w:rsidRPr="002958B1">
          <w:rPr>
            <w:rStyle w:val="Hyperlink"/>
            <w:color w:val="auto"/>
          </w:rPr>
          <w:t xml:space="preserve"> age groups | Australia | Community profile (id.com.au)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5B4"/>
    <w:multiLevelType w:val="hybridMultilevel"/>
    <w:tmpl w:val="E974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16ABE"/>
    <w:multiLevelType w:val="hybridMultilevel"/>
    <w:tmpl w:val="7A708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F4F5F"/>
    <w:multiLevelType w:val="hybridMultilevel"/>
    <w:tmpl w:val="80AE13D0"/>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E75BD0"/>
    <w:multiLevelType w:val="hybridMultilevel"/>
    <w:tmpl w:val="E6E47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43177"/>
    <w:multiLevelType w:val="hybridMultilevel"/>
    <w:tmpl w:val="9E38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841FF"/>
    <w:multiLevelType w:val="hybridMultilevel"/>
    <w:tmpl w:val="49F817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E36E6"/>
    <w:multiLevelType w:val="hybridMultilevel"/>
    <w:tmpl w:val="B31EF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9" w15:restartNumberingAfterBreak="0">
    <w:nsid w:val="25E334E2"/>
    <w:multiLevelType w:val="hybridMultilevel"/>
    <w:tmpl w:val="C986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B64F22"/>
    <w:multiLevelType w:val="hybridMultilevel"/>
    <w:tmpl w:val="24705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4371DC"/>
    <w:multiLevelType w:val="multilevel"/>
    <w:tmpl w:val="9CA052A4"/>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E611BF"/>
    <w:multiLevelType w:val="hybridMultilevel"/>
    <w:tmpl w:val="F982A37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063B43"/>
    <w:multiLevelType w:val="hybridMultilevel"/>
    <w:tmpl w:val="94A4E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A043F2E"/>
    <w:multiLevelType w:val="hybridMultilevel"/>
    <w:tmpl w:val="0EF0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20395"/>
    <w:multiLevelType w:val="hybridMultilevel"/>
    <w:tmpl w:val="40184924"/>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905A05"/>
    <w:multiLevelType w:val="hybridMultilevel"/>
    <w:tmpl w:val="71BCA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5D739F"/>
    <w:multiLevelType w:val="hybridMultilevel"/>
    <w:tmpl w:val="B36E0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9A0AD2"/>
    <w:multiLevelType w:val="hybridMultilevel"/>
    <w:tmpl w:val="AF2E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320A7"/>
    <w:multiLevelType w:val="hybridMultilevel"/>
    <w:tmpl w:val="C66E0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0440AC"/>
    <w:multiLevelType w:val="hybridMultilevel"/>
    <w:tmpl w:val="903A7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8F5DB2"/>
    <w:multiLevelType w:val="hybridMultilevel"/>
    <w:tmpl w:val="85BAA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D50A4F"/>
    <w:multiLevelType w:val="hybridMultilevel"/>
    <w:tmpl w:val="730E7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5"/>
  </w:num>
  <w:num w:numId="2">
    <w:abstractNumId w:val="32"/>
  </w:num>
  <w:num w:numId="3">
    <w:abstractNumId w:val="3"/>
  </w:num>
  <w:num w:numId="4">
    <w:abstractNumId w:val="8"/>
  </w:num>
  <w:num w:numId="5">
    <w:abstractNumId w:val="29"/>
  </w:num>
  <w:num w:numId="6">
    <w:abstractNumId w:val="10"/>
  </w:num>
  <w:num w:numId="7">
    <w:abstractNumId w:val="18"/>
  </w:num>
  <w:num w:numId="8">
    <w:abstractNumId w:val="11"/>
  </w:num>
  <w:num w:numId="9">
    <w:abstractNumId w:val="14"/>
  </w:num>
  <w:num w:numId="10">
    <w:abstractNumId w:val="23"/>
  </w:num>
  <w:num w:numId="11">
    <w:abstractNumId w:val="9"/>
  </w:num>
  <w:num w:numId="12">
    <w:abstractNumId w:val="19"/>
  </w:num>
  <w:num w:numId="13">
    <w:abstractNumId w:val="27"/>
  </w:num>
  <w:num w:numId="14">
    <w:abstractNumId w:val="12"/>
  </w:num>
  <w:num w:numId="15">
    <w:abstractNumId w:val="25"/>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0"/>
  </w:num>
  <w:num w:numId="23">
    <w:abstractNumId w:val="1"/>
  </w:num>
  <w:num w:numId="24">
    <w:abstractNumId w:val="5"/>
  </w:num>
  <w:num w:numId="25">
    <w:abstractNumId w:val="24"/>
  </w:num>
  <w:num w:numId="26">
    <w:abstractNumId w:val="17"/>
  </w:num>
  <w:num w:numId="27">
    <w:abstractNumId w:val="21"/>
  </w:num>
  <w:num w:numId="28">
    <w:abstractNumId w:val="31"/>
  </w:num>
  <w:num w:numId="29">
    <w:abstractNumId w:val="26"/>
  </w:num>
  <w:num w:numId="30">
    <w:abstractNumId w:val="0"/>
  </w:num>
  <w:num w:numId="31">
    <w:abstractNumId w:val="16"/>
  </w:num>
  <w:num w:numId="32">
    <w:abstractNumId w:val="4"/>
  </w:num>
  <w:num w:numId="33">
    <w:abstractNumId w:val="28"/>
  </w:num>
  <w:num w:numId="34">
    <w:abstractNumId w:val="22"/>
  </w:num>
  <w:num w:numId="35">
    <w:abstractNumId w:val="30"/>
  </w:num>
  <w:num w:numId="36">
    <w:abstractNumId w:val="13"/>
  </w:num>
  <w:num w:numId="3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220"/>
    <w:rsid w:val="0000109A"/>
    <w:rsid w:val="00001AE6"/>
    <w:rsid w:val="00003672"/>
    <w:rsid w:val="000036A0"/>
    <w:rsid w:val="00004D69"/>
    <w:rsid w:val="00004F7F"/>
    <w:rsid w:val="000054C9"/>
    <w:rsid w:val="00011568"/>
    <w:rsid w:val="00012FAA"/>
    <w:rsid w:val="00013620"/>
    <w:rsid w:val="00014974"/>
    <w:rsid w:val="00015B49"/>
    <w:rsid w:val="00016775"/>
    <w:rsid w:val="00017425"/>
    <w:rsid w:val="0002082F"/>
    <w:rsid w:val="000228B8"/>
    <w:rsid w:val="0002381B"/>
    <w:rsid w:val="00024EA5"/>
    <w:rsid w:val="0002650C"/>
    <w:rsid w:val="0002755F"/>
    <w:rsid w:val="0003423A"/>
    <w:rsid w:val="0003477F"/>
    <w:rsid w:val="000350DE"/>
    <w:rsid w:val="00035537"/>
    <w:rsid w:val="00036AD8"/>
    <w:rsid w:val="00037037"/>
    <w:rsid w:val="00037302"/>
    <w:rsid w:val="0004005D"/>
    <w:rsid w:val="00040ADF"/>
    <w:rsid w:val="00040FB4"/>
    <w:rsid w:val="0004178C"/>
    <w:rsid w:val="00041F5D"/>
    <w:rsid w:val="000443A6"/>
    <w:rsid w:val="000449D1"/>
    <w:rsid w:val="00045B8D"/>
    <w:rsid w:val="00045CC5"/>
    <w:rsid w:val="00046B6A"/>
    <w:rsid w:val="000472D4"/>
    <w:rsid w:val="00052DD3"/>
    <w:rsid w:val="0005326D"/>
    <w:rsid w:val="00053C48"/>
    <w:rsid w:val="00053F6C"/>
    <w:rsid w:val="00055477"/>
    <w:rsid w:val="00056D87"/>
    <w:rsid w:val="0006339C"/>
    <w:rsid w:val="00064783"/>
    <w:rsid w:val="000647C2"/>
    <w:rsid w:val="00066204"/>
    <w:rsid w:val="0007021F"/>
    <w:rsid w:val="000709A0"/>
    <w:rsid w:val="00073770"/>
    <w:rsid w:val="00074199"/>
    <w:rsid w:val="000747C5"/>
    <w:rsid w:val="00077807"/>
    <w:rsid w:val="00080241"/>
    <w:rsid w:val="00081778"/>
    <w:rsid w:val="00082427"/>
    <w:rsid w:val="00082EB5"/>
    <w:rsid w:val="0008506F"/>
    <w:rsid w:val="000870B6"/>
    <w:rsid w:val="00087AB3"/>
    <w:rsid w:val="0009018A"/>
    <w:rsid w:val="00090613"/>
    <w:rsid w:val="00090BD1"/>
    <w:rsid w:val="00091857"/>
    <w:rsid w:val="00091C59"/>
    <w:rsid w:val="00092A21"/>
    <w:rsid w:val="00093D9A"/>
    <w:rsid w:val="000940DC"/>
    <w:rsid w:val="00094656"/>
    <w:rsid w:val="00096B52"/>
    <w:rsid w:val="00097BC5"/>
    <w:rsid w:val="000A10BF"/>
    <w:rsid w:val="000A2413"/>
    <w:rsid w:val="000A2ACD"/>
    <w:rsid w:val="000A2B65"/>
    <w:rsid w:val="000A2DA8"/>
    <w:rsid w:val="000A5C47"/>
    <w:rsid w:val="000A629E"/>
    <w:rsid w:val="000A6B30"/>
    <w:rsid w:val="000A6DB5"/>
    <w:rsid w:val="000A7998"/>
    <w:rsid w:val="000B28FE"/>
    <w:rsid w:val="000B3330"/>
    <w:rsid w:val="000B6CF0"/>
    <w:rsid w:val="000B720C"/>
    <w:rsid w:val="000B7665"/>
    <w:rsid w:val="000C7C46"/>
    <w:rsid w:val="000D1B52"/>
    <w:rsid w:val="000D1B5C"/>
    <w:rsid w:val="000D4C1B"/>
    <w:rsid w:val="000D5410"/>
    <w:rsid w:val="000D5523"/>
    <w:rsid w:val="000D6848"/>
    <w:rsid w:val="000E03DC"/>
    <w:rsid w:val="000E10B6"/>
    <w:rsid w:val="000E1124"/>
    <w:rsid w:val="000E1313"/>
    <w:rsid w:val="000E5531"/>
    <w:rsid w:val="000E60DB"/>
    <w:rsid w:val="000E639A"/>
    <w:rsid w:val="000E6410"/>
    <w:rsid w:val="000E678B"/>
    <w:rsid w:val="000F125F"/>
    <w:rsid w:val="000F2E01"/>
    <w:rsid w:val="000F5A54"/>
    <w:rsid w:val="000F778E"/>
    <w:rsid w:val="000F7987"/>
    <w:rsid w:val="0010051C"/>
    <w:rsid w:val="001022B4"/>
    <w:rsid w:val="00102537"/>
    <w:rsid w:val="0010448B"/>
    <w:rsid w:val="0010521F"/>
    <w:rsid w:val="00105905"/>
    <w:rsid w:val="00105FFE"/>
    <w:rsid w:val="0010625A"/>
    <w:rsid w:val="00107524"/>
    <w:rsid w:val="00107DCD"/>
    <w:rsid w:val="00107EF0"/>
    <w:rsid w:val="00111417"/>
    <w:rsid w:val="00113C60"/>
    <w:rsid w:val="00114837"/>
    <w:rsid w:val="00114C3B"/>
    <w:rsid w:val="00115691"/>
    <w:rsid w:val="00115D1C"/>
    <w:rsid w:val="00117039"/>
    <w:rsid w:val="00117F04"/>
    <w:rsid w:val="00120549"/>
    <w:rsid w:val="00122AE3"/>
    <w:rsid w:val="00122EE1"/>
    <w:rsid w:val="00123658"/>
    <w:rsid w:val="001237AF"/>
    <w:rsid w:val="00123B26"/>
    <w:rsid w:val="001247EB"/>
    <w:rsid w:val="00124F3C"/>
    <w:rsid w:val="00125B61"/>
    <w:rsid w:val="00126122"/>
    <w:rsid w:val="00126906"/>
    <w:rsid w:val="00131D45"/>
    <w:rsid w:val="001320F0"/>
    <w:rsid w:val="001336E0"/>
    <w:rsid w:val="00133F34"/>
    <w:rsid w:val="00134349"/>
    <w:rsid w:val="00134622"/>
    <w:rsid w:val="00135273"/>
    <w:rsid w:val="00135FC9"/>
    <w:rsid w:val="00143478"/>
    <w:rsid w:val="00143F2F"/>
    <w:rsid w:val="00146624"/>
    <w:rsid w:val="00150376"/>
    <w:rsid w:val="00151DBD"/>
    <w:rsid w:val="001531D6"/>
    <w:rsid w:val="00155434"/>
    <w:rsid w:val="00155BDA"/>
    <w:rsid w:val="00156FA7"/>
    <w:rsid w:val="0016023A"/>
    <w:rsid w:val="00162DBF"/>
    <w:rsid w:val="00164CF8"/>
    <w:rsid w:val="00164F76"/>
    <w:rsid w:val="001653AE"/>
    <w:rsid w:val="001653C9"/>
    <w:rsid w:val="00165F16"/>
    <w:rsid w:val="00170D5B"/>
    <w:rsid w:val="00172B8F"/>
    <w:rsid w:val="001736F8"/>
    <w:rsid w:val="00173D85"/>
    <w:rsid w:val="00174FD4"/>
    <w:rsid w:val="00175EE0"/>
    <w:rsid w:val="00176AE6"/>
    <w:rsid w:val="0017741B"/>
    <w:rsid w:val="00183A98"/>
    <w:rsid w:val="00184BAE"/>
    <w:rsid w:val="001875D1"/>
    <w:rsid w:val="00191E1C"/>
    <w:rsid w:val="0019362A"/>
    <w:rsid w:val="0019474E"/>
    <w:rsid w:val="00195728"/>
    <w:rsid w:val="001970C0"/>
    <w:rsid w:val="001A0EA1"/>
    <w:rsid w:val="001A1CB7"/>
    <w:rsid w:val="001A420B"/>
    <w:rsid w:val="001A4B97"/>
    <w:rsid w:val="001A4F7D"/>
    <w:rsid w:val="001A7B42"/>
    <w:rsid w:val="001A7D8F"/>
    <w:rsid w:val="001B0C5B"/>
    <w:rsid w:val="001B0DB4"/>
    <w:rsid w:val="001B2A97"/>
    <w:rsid w:val="001B2CD4"/>
    <w:rsid w:val="001B4854"/>
    <w:rsid w:val="001B7329"/>
    <w:rsid w:val="001B77E0"/>
    <w:rsid w:val="001C0789"/>
    <w:rsid w:val="001C174A"/>
    <w:rsid w:val="001C17DF"/>
    <w:rsid w:val="001C1D05"/>
    <w:rsid w:val="001C2A48"/>
    <w:rsid w:val="001C454F"/>
    <w:rsid w:val="001C69E3"/>
    <w:rsid w:val="001C6DFD"/>
    <w:rsid w:val="001D32C0"/>
    <w:rsid w:val="001D3A64"/>
    <w:rsid w:val="001D5793"/>
    <w:rsid w:val="001D74A7"/>
    <w:rsid w:val="001E11C3"/>
    <w:rsid w:val="001E13F0"/>
    <w:rsid w:val="001E15F2"/>
    <w:rsid w:val="001E18DE"/>
    <w:rsid w:val="001E22F7"/>
    <w:rsid w:val="001E27BC"/>
    <w:rsid w:val="001E465F"/>
    <w:rsid w:val="001E4AA1"/>
    <w:rsid w:val="001E5E7A"/>
    <w:rsid w:val="001F2902"/>
    <w:rsid w:val="001F3975"/>
    <w:rsid w:val="001F3F36"/>
    <w:rsid w:val="001F46E1"/>
    <w:rsid w:val="001F658C"/>
    <w:rsid w:val="001F675C"/>
    <w:rsid w:val="001F6F44"/>
    <w:rsid w:val="001F7120"/>
    <w:rsid w:val="001F7563"/>
    <w:rsid w:val="0020095D"/>
    <w:rsid w:val="00203A98"/>
    <w:rsid w:val="00207C26"/>
    <w:rsid w:val="00207F59"/>
    <w:rsid w:val="00211DC3"/>
    <w:rsid w:val="002155B6"/>
    <w:rsid w:val="002157E4"/>
    <w:rsid w:val="00215AFB"/>
    <w:rsid w:val="00215DEA"/>
    <w:rsid w:val="002171FC"/>
    <w:rsid w:val="002200D8"/>
    <w:rsid w:val="00222A36"/>
    <w:rsid w:val="00222CC5"/>
    <w:rsid w:val="002234C5"/>
    <w:rsid w:val="00223664"/>
    <w:rsid w:val="00223A56"/>
    <w:rsid w:val="00225833"/>
    <w:rsid w:val="00225EA2"/>
    <w:rsid w:val="00226095"/>
    <w:rsid w:val="00226F36"/>
    <w:rsid w:val="00227B89"/>
    <w:rsid w:val="00227F43"/>
    <w:rsid w:val="00234640"/>
    <w:rsid w:val="00240106"/>
    <w:rsid w:val="002411C7"/>
    <w:rsid w:val="00242F4E"/>
    <w:rsid w:val="002452A0"/>
    <w:rsid w:val="002463A6"/>
    <w:rsid w:val="00246ADB"/>
    <w:rsid w:val="002517A5"/>
    <w:rsid w:val="00251F6C"/>
    <w:rsid w:val="002523F5"/>
    <w:rsid w:val="0025249C"/>
    <w:rsid w:val="002539ED"/>
    <w:rsid w:val="00253BC5"/>
    <w:rsid w:val="0025440D"/>
    <w:rsid w:val="002544AD"/>
    <w:rsid w:val="0025450E"/>
    <w:rsid w:val="00255152"/>
    <w:rsid w:val="0025554E"/>
    <w:rsid w:val="00255652"/>
    <w:rsid w:val="0026012A"/>
    <w:rsid w:val="00261076"/>
    <w:rsid w:val="002638F4"/>
    <w:rsid w:val="00271279"/>
    <w:rsid w:val="002714E8"/>
    <w:rsid w:val="0027160C"/>
    <w:rsid w:val="0027373A"/>
    <w:rsid w:val="002751D1"/>
    <w:rsid w:val="00275209"/>
    <w:rsid w:val="00282201"/>
    <w:rsid w:val="00284340"/>
    <w:rsid w:val="00284CC6"/>
    <w:rsid w:val="00287128"/>
    <w:rsid w:val="00287E78"/>
    <w:rsid w:val="00290676"/>
    <w:rsid w:val="00291462"/>
    <w:rsid w:val="00291572"/>
    <w:rsid w:val="0029541A"/>
    <w:rsid w:val="002958B1"/>
    <w:rsid w:val="002A04B4"/>
    <w:rsid w:val="002A145B"/>
    <w:rsid w:val="002A18BE"/>
    <w:rsid w:val="002A1CD5"/>
    <w:rsid w:val="002A1DD8"/>
    <w:rsid w:val="002A36F6"/>
    <w:rsid w:val="002A4084"/>
    <w:rsid w:val="002A4AD6"/>
    <w:rsid w:val="002A67DE"/>
    <w:rsid w:val="002A7196"/>
    <w:rsid w:val="002A76AE"/>
    <w:rsid w:val="002B0E8E"/>
    <w:rsid w:val="002B1384"/>
    <w:rsid w:val="002B2F12"/>
    <w:rsid w:val="002B3681"/>
    <w:rsid w:val="002B667C"/>
    <w:rsid w:val="002B7177"/>
    <w:rsid w:val="002C065D"/>
    <w:rsid w:val="002C0C2C"/>
    <w:rsid w:val="002C11CA"/>
    <w:rsid w:val="002C162E"/>
    <w:rsid w:val="002C22EE"/>
    <w:rsid w:val="002C45E8"/>
    <w:rsid w:val="002C6692"/>
    <w:rsid w:val="002C70CE"/>
    <w:rsid w:val="002D1DCB"/>
    <w:rsid w:val="002D35D4"/>
    <w:rsid w:val="002D5097"/>
    <w:rsid w:val="002D55E4"/>
    <w:rsid w:val="002D690D"/>
    <w:rsid w:val="002E2C82"/>
    <w:rsid w:val="002E7775"/>
    <w:rsid w:val="002E7AD2"/>
    <w:rsid w:val="002F1399"/>
    <w:rsid w:val="002F13FD"/>
    <w:rsid w:val="002F32FB"/>
    <w:rsid w:val="002F3448"/>
    <w:rsid w:val="002F3AF8"/>
    <w:rsid w:val="002F55AD"/>
    <w:rsid w:val="002F5611"/>
    <w:rsid w:val="002F5F5E"/>
    <w:rsid w:val="002F5F85"/>
    <w:rsid w:val="002F693F"/>
    <w:rsid w:val="002F7252"/>
    <w:rsid w:val="003008CC"/>
    <w:rsid w:val="00301763"/>
    <w:rsid w:val="00301E95"/>
    <w:rsid w:val="00302252"/>
    <w:rsid w:val="00303C60"/>
    <w:rsid w:val="00304FB8"/>
    <w:rsid w:val="00305914"/>
    <w:rsid w:val="00307299"/>
    <w:rsid w:val="00310B9B"/>
    <w:rsid w:val="00310C3F"/>
    <w:rsid w:val="00310EAD"/>
    <w:rsid w:val="003134F1"/>
    <w:rsid w:val="003140D2"/>
    <w:rsid w:val="00314AA5"/>
    <w:rsid w:val="00314C8A"/>
    <w:rsid w:val="00317714"/>
    <w:rsid w:val="00320A17"/>
    <w:rsid w:val="003219B6"/>
    <w:rsid w:val="00322DA9"/>
    <w:rsid w:val="003230BE"/>
    <w:rsid w:val="00323AF6"/>
    <w:rsid w:val="003251C2"/>
    <w:rsid w:val="00325FA0"/>
    <w:rsid w:val="00326BFF"/>
    <w:rsid w:val="00326F1C"/>
    <w:rsid w:val="00327162"/>
    <w:rsid w:val="00330A0A"/>
    <w:rsid w:val="003328A9"/>
    <w:rsid w:val="00333A0E"/>
    <w:rsid w:val="003371B5"/>
    <w:rsid w:val="00337A07"/>
    <w:rsid w:val="00337BAF"/>
    <w:rsid w:val="00340341"/>
    <w:rsid w:val="003417CB"/>
    <w:rsid w:val="003435A9"/>
    <w:rsid w:val="00344649"/>
    <w:rsid w:val="00345496"/>
    <w:rsid w:val="00345BCF"/>
    <w:rsid w:val="003466F9"/>
    <w:rsid w:val="00350092"/>
    <w:rsid w:val="00350CAE"/>
    <w:rsid w:val="003519AD"/>
    <w:rsid w:val="00351E0E"/>
    <w:rsid w:val="00354BCC"/>
    <w:rsid w:val="00354EB4"/>
    <w:rsid w:val="003560AF"/>
    <w:rsid w:val="00356D29"/>
    <w:rsid w:val="003571C2"/>
    <w:rsid w:val="0036220F"/>
    <w:rsid w:val="003640A7"/>
    <w:rsid w:val="00365447"/>
    <w:rsid w:val="0036794E"/>
    <w:rsid w:val="0037471D"/>
    <w:rsid w:val="00375C4C"/>
    <w:rsid w:val="0038146C"/>
    <w:rsid w:val="00382609"/>
    <w:rsid w:val="00383FB0"/>
    <w:rsid w:val="003841A2"/>
    <w:rsid w:val="003853EA"/>
    <w:rsid w:val="00386124"/>
    <w:rsid w:val="003864D5"/>
    <w:rsid w:val="00387DB3"/>
    <w:rsid w:val="00390567"/>
    <w:rsid w:val="00392030"/>
    <w:rsid w:val="003966F6"/>
    <w:rsid w:val="0039677D"/>
    <w:rsid w:val="003A0660"/>
    <w:rsid w:val="003A0D52"/>
    <w:rsid w:val="003A10B7"/>
    <w:rsid w:val="003A2ED1"/>
    <w:rsid w:val="003A43A4"/>
    <w:rsid w:val="003A4C47"/>
    <w:rsid w:val="003A6724"/>
    <w:rsid w:val="003A6E1A"/>
    <w:rsid w:val="003B0BA1"/>
    <w:rsid w:val="003B3A7A"/>
    <w:rsid w:val="003B4599"/>
    <w:rsid w:val="003B61B7"/>
    <w:rsid w:val="003C1133"/>
    <w:rsid w:val="003C1AE2"/>
    <w:rsid w:val="003C4F8F"/>
    <w:rsid w:val="003C6B59"/>
    <w:rsid w:val="003D0EEE"/>
    <w:rsid w:val="003D299E"/>
    <w:rsid w:val="003D3A30"/>
    <w:rsid w:val="003D41CC"/>
    <w:rsid w:val="003D538D"/>
    <w:rsid w:val="003D55E1"/>
    <w:rsid w:val="003D592A"/>
    <w:rsid w:val="003D5BD8"/>
    <w:rsid w:val="003D641A"/>
    <w:rsid w:val="003D71EB"/>
    <w:rsid w:val="003E1DD8"/>
    <w:rsid w:val="003E22CB"/>
    <w:rsid w:val="003E232E"/>
    <w:rsid w:val="003E2343"/>
    <w:rsid w:val="003E37D2"/>
    <w:rsid w:val="003E406B"/>
    <w:rsid w:val="003E4C5D"/>
    <w:rsid w:val="003E4F96"/>
    <w:rsid w:val="003E5CCA"/>
    <w:rsid w:val="003E7773"/>
    <w:rsid w:val="003E7A3C"/>
    <w:rsid w:val="003E7B38"/>
    <w:rsid w:val="003F00FF"/>
    <w:rsid w:val="003F013E"/>
    <w:rsid w:val="003F115E"/>
    <w:rsid w:val="003F14C2"/>
    <w:rsid w:val="003F2210"/>
    <w:rsid w:val="003F535C"/>
    <w:rsid w:val="003F7196"/>
    <w:rsid w:val="003F7B1F"/>
    <w:rsid w:val="004008AF"/>
    <w:rsid w:val="00400B5F"/>
    <w:rsid w:val="00401875"/>
    <w:rsid w:val="00401D1D"/>
    <w:rsid w:val="00401DBF"/>
    <w:rsid w:val="004033D9"/>
    <w:rsid w:val="00404A94"/>
    <w:rsid w:val="0040551F"/>
    <w:rsid w:val="0040771F"/>
    <w:rsid w:val="004111F7"/>
    <w:rsid w:val="00411E48"/>
    <w:rsid w:val="0041217D"/>
    <w:rsid w:val="004125C6"/>
    <w:rsid w:val="0041275F"/>
    <w:rsid w:val="00421A89"/>
    <w:rsid w:val="00421EBC"/>
    <w:rsid w:val="0042304B"/>
    <w:rsid w:val="00424084"/>
    <w:rsid w:val="004273AD"/>
    <w:rsid w:val="004302F3"/>
    <w:rsid w:val="004305AE"/>
    <w:rsid w:val="00431800"/>
    <w:rsid w:val="00431F50"/>
    <w:rsid w:val="00433541"/>
    <w:rsid w:val="00436514"/>
    <w:rsid w:val="00441199"/>
    <w:rsid w:val="004423F7"/>
    <w:rsid w:val="00442A49"/>
    <w:rsid w:val="0044690B"/>
    <w:rsid w:val="00446BBE"/>
    <w:rsid w:val="0044782C"/>
    <w:rsid w:val="0045093D"/>
    <w:rsid w:val="00451645"/>
    <w:rsid w:val="00454F8E"/>
    <w:rsid w:val="00455690"/>
    <w:rsid w:val="00462778"/>
    <w:rsid w:val="00464F6C"/>
    <w:rsid w:val="0046785D"/>
    <w:rsid w:val="00471D0D"/>
    <w:rsid w:val="004724A9"/>
    <w:rsid w:val="00474E01"/>
    <w:rsid w:val="004775D5"/>
    <w:rsid w:val="00482804"/>
    <w:rsid w:val="00482A3D"/>
    <w:rsid w:val="00482B47"/>
    <w:rsid w:val="0048323E"/>
    <w:rsid w:val="00484DC5"/>
    <w:rsid w:val="00485675"/>
    <w:rsid w:val="00487A77"/>
    <w:rsid w:val="00487C85"/>
    <w:rsid w:val="00490DC4"/>
    <w:rsid w:val="0049105E"/>
    <w:rsid w:val="00492B13"/>
    <w:rsid w:val="00493B09"/>
    <w:rsid w:val="00494284"/>
    <w:rsid w:val="00494F64"/>
    <w:rsid w:val="00497B9F"/>
    <w:rsid w:val="004A2084"/>
    <w:rsid w:val="004A4430"/>
    <w:rsid w:val="004A470D"/>
    <w:rsid w:val="004A4FDF"/>
    <w:rsid w:val="004A5489"/>
    <w:rsid w:val="004A5E73"/>
    <w:rsid w:val="004A6760"/>
    <w:rsid w:val="004A7A52"/>
    <w:rsid w:val="004A7CAE"/>
    <w:rsid w:val="004B19FE"/>
    <w:rsid w:val="004B201B"/>
    <w:rsid w:val="004B2A4D"/>
    <w:rsid w:val="004B2F45"/>
    <w:rsid w:val="004B33C2"/>
    <w:rsid w:val="004B34C5"/>
    <w:rsid w:val="004B4214"/>
    <w:rsid w:val="004B689D"/>
    <w:rsid w:val="004C0E97"/>
    <w:rsid w:val="004C1DE6"/>
    <w:rsid w:val="004C2720"/>
    <w:rsid w:val="004C41A7"/>
    <w:rsid w:val="004C48C8"/>
    <w:rsid w:val="004C4FA3"/>
    <w:rsid w:val="004C55C4"/>
    <w:rsid w:val="004C598D"/>
    <w:rsid w:val="004C6A63"/>
    <w:rsid w:val="004C6AAD"/>
    <w:rsid w:val="004D0E36"/>
    <w:rsid w:val="004D0FFF"/>
    <w:rsid w:val="004D3598"/>
    <w:rsid w:val="004D3897"/>
    <w:rsid w:val="004D4425"/>
    <w:rsid w:val="004E1996"/>
    <w:rsid w:val="004E2BD6"/>
    <w:rsid w:val="004E354E"/>
    <w:rsid w:val="004E36A3"/>
    <w:rsid w:val="004E4B32"/>
    <w:rsid w:val="004F0066"/>
    <w:rsid w:val="004F06F7"/>
    <w:rsid w:val="004F3608"/>
    <w:rsid w:val="004F6AD3"/>
    <w:rsid w:val="004F6D22"/>
    <w:rsid w:val="00501386"/>
    <w:rsid w:val="00501BD9"/>
    <w:rsid w:val="00501C25"/>
    <w:rsid w:val="005027A6"/>
    <w:rsid w:val="00502DAE"/>
    <w:rsid w:val="00502FFB"/>
    <w:rsid w:val="005038A0"/>
    <w:rsid w:val="00504A82"/>
    <w:rsid w:val="00505E19"/>
    <w:rsid w:val="005103C5"/>
    <w:rsid w:val="005105A1"/>
    <w:rsid w:val="00510CBA"/>
    <w:rsid w:val="005131D3"/>
    <w:rsid w:val="0051352C"/>
    <w:rsid w:val="00514FC2"/>
    <w:rsid w:val="00515BFA"/>
    <w:rsid w:val="00517A86"/>
    <w:rsid w:val="0052349D"/>
    <w:rsid w:val="00524BE8"/>
    <w:rsid w:val="0052575D"/>
    <w:rsid w:val="00526C92"/>
    <w:rsid w:val="005275FC"/>
    <w:rsid w:val="0052768C"/>
    <w:rsid w:val="00530896"/>
    <w:rsid w:val="005310AB"/>
    <w:rsid w:val="005310AF"/>
    <w:rsid w:val="00531609"/>
    <w:rsid w:val="00533843"/>
    <w:rsid w:val="005342C3"/>
    <w:rsid w:val="005362F5"/>
    <w:rsid w:val="0053725B"/>
    <w:rsid w:val="0054075B"/>
    <w:rsid w:val="00540C57"/>
    <w:rsid w:val="00547FD2"/>
    <w:rsid w:val="005531BD"/>
    <w:rsid w:val="0055619C"/>
    <w:rsid w:val="005567B2"/>
    <w:rsid w:val="00557870"/>
    <w:rsid w:val="00560277"/>
    <w:rsid w:val="005606F4"/>
    <w:rsid w:val="00560938"/>
    <w:rsid w:val="00560AF1"/>
    <w:rsid w:val="00561562"/>
    <w:rsid w:val="00561A6D"/>
    <w:rsid w:val="00563DE6"/>
    <w:rsid w:val="0056528D"/>
    <w:rsid w:val="0056628B"/>
    <w:rsid w:val="00566298"/>
    <w:rsid w:val="0057091E"/>
    <w:rsid w:val="00571FAB"/>
    <w:rsid w:val="005723D6"/>
    <w:rsid w:val="00574A6E"/>
    <w:rsid w:val="00576346"/>
    <w:rsid w:val="00577145"/>
    <w:rsid w:val="005773BE"/>
    <w:rsid w:val="00581479"/>
    <w:rsid w:val="00582365"/>
    <w:rsid w:val="005837AA"/>
    <w:rsid w:val="00585C1B"/>
    <w:rsid w:val="00586473"/>
    <w:rsid w:val="00587639"/>
    <w:rsid w:val="00592161"/>
    <w:rsid w:val="00592638"/>
    <w:rsid w:val="00593138"/>
    <w:rsid w:val="00593A33"/>
    <w:rsid w:val="005947B5"/>
    <w:rsid w:val="005960BB"/>
    <w:rsid w:val="00597407"/>
    <w:rsid w:val="005A0496"/>
    <w:rsid w:val="005A076F"/>
    <w:rsid w:val="005A1E2A"/>
    <w:rsid w:val="005A4047"/>
    <w:rsid w:val="005A4384"/>
    <w:rsid w:val="005A5E28"/>
    <w:rsid w:val="005A7012"/>
    <w:rsid w:val="005A7A5E"/>
    <w:rsid w:val="005B1C07"/>
    <w:rsid w:val="005B3432"/>
    <w:rsid w:val="005B3BD6"/>
    <w:rsid w:val="005B6677"/>
    <w:rsid w:val="005B7D6C"/>
    <w:rsid w:val="005C144E"/>
    <w:rsid w:val="005C7215"/>
    <w:rsid w:val="005C73C4"/>
    <w:rsid w:val="005D00EA"/>
    <w:rsid w:val="005D023B"/>
    <w:rsid w:val="005D2304"/>
    <w:rsid w:val="005D3A04"/>
    <w:rsid w:val="005D48FE"/>
    <w:rsid w:val="005D4B68"/>
    <w:rsid w:val="005D7471"/>
    <w:rsid w:val="005D749D"/>
    <w:rsid w:val="005E0E74"/>
    <w:rsid w:val="005E2702"/>
    <w:rsid w:val="005E2A64"/>
    <w:rsid w:val="005E486C"/>
    <w:rsid w:val="005E5874"/>
    <w:rsid w:val="005E75D5"/>
    <w:rsid w:val="005F0633"/>
    <w:rsid w:val="005F0AB5"/>
    <w:rsid w:val="005F0AC1"/>
    <w:rsid w:val="005F1555"/>
    <w:rsid w:val="005F1F96"/>
    <w:rsid w:val="005F25D0"/>
    <w:rsid w:val="005F2978"/>
    <w:rsid w:val="005F35FC"/>
    <w:rsid w:val="005F4445"/>
    <w:rsid w:val="005F4721"/>
    <w:rsid w:val="005F720A"/>
    <w:rsid w:val="00602F43"/>
    <w:rsid w:val="00603B08"/>
    <w:rsid w:val="00603B9A"/>
    <w:rsid w:val="0060527C"/>
    <w:rsid w:val="00605776"/>
    <w:rsid w:val="0060615B"/>
    <w:rsid w:val="006067A3"/>
    <w:rsid w:val="00610162"/>
    <w:rsid w:val="00610ABA"/>
    <w:rsid w:val="00613037"/>
    <w:rsid w:val="006130C7"/>
    <w:rsid w:val="006135AB"/>
    <w:rsid w:val="006138E4"/>
    <w:rsid w:val="00613FBA"/>
    <w:rsid w:val="006144F6"/>
    <w:rsid w:val="0061509E"/>
    <w:rsid w:val="006154AD"/>
    <w:rsid w:val="00615F0C"/>
    <w:rsid w:val="00616407"/>
    <w:rsid w:val="00620E5A"/>
    <w:rsid w:val="00621DBA"/>
    <w:rsid w:val="006250E9"/>
    <w:rsid w:val="0062541C"/>
    <w:rsid w:val="006262FC"/>
    <w:rsid w:val="00630962"/>
    <w:rsid w:val="00633B2F"/>
    <w:rsid w:val="0063562F"/>
    <w:rsid w:val="00640C31"/>
    <w:rsid w:val="006416F2"/>
    <w:rsid w:val="006422AF"/>
    <w:rsid w:val="00643226"/>
    <w:rsid w:val="006459EF"/>
    <w:rsid w:val="00645EA9"/>
    <w:rsid w:val="006463B0"/>
    <w:rsid w:val="006465F3"/>
    <w:rsid w:val="00650E33"/>
    <w:rsid w:val="006534BF"/>
    <w:rsid w:val="006537D7"/>
    <w:rsid w:val="0065444A"/>
    <w:rsid w:val="00654F68"/>
    <w:rsid w:val="006556D7"/>
    <w:rsid w:val="00655CF9"/>
    <w:rsid w:val="00655D45"/>
    <w:rsid w:val="0065714C"/>
    <w:rsid w:val="0066048E"/>
    <w:rsid w:val="00660A74"/>
    <w:rsid w:val="00661A3C"/>
    <w:rsid w:val="00662E5F"/>
    <w:rsid w:val="00664434"/>
    <w:rsid w:val="0066561F"/>
    <w:rsid w:val="00666A58"/>
    <w:rsid w:val="00670650"/>
    <w:rsid w:val="006712C0"/>
    <w:rsid w:val="006744AC"/>
    <w:rsid w:val="00674C7D"/>
    <w:rsid w:val="00680100"/>
    <w:rsid w:val="00680B40"/>
    <w:rsid w:val="00681EC9"/>
    <w:rsid w:val="006822FA"/>
    <w:rsid w:val="0068288C"/>
    <w:rsid w:val="006832F0"/>
    <w:rsid w:val="00683F36"/>
    <w:rsid w:val="00684F69"/>
    <w:rsid w:val="00685589"/>
    <w:rsid w:val="0068682C"/>
    <w:rsid w:val="00690A3A"/>
    <w:rsid w:val="006938AA"/>
    <w:rsid w:val="0069474B"/>
    <w:rsid w:val="0069475D"/>
    <w:rsid w:val="00697966"/>
    <w:rsid w:val="006A18AE"/>
    <w:rsid w:val="006A3A2B"/>
    <w:rsid w:val="006A6BF1"/>
    <w:rsid w:val="006B3032"/>
    <w:rsid w:val="006B3050"/>
    <w:rsid w:val="006B4266"/>
    <w:rsid w:val="006B4B4A"/>
    <w:rsid w:val="006B75C6"/>
    <w:rsid w:val="006C2D01"/>
    <w:rsid w:val="006C354C"/>
    <w:rsid w:val="006C3B76"/>
    <w:rsid w:val="006C4572"/>
    <w:rsid w:val="006C4D3A"/>
    <w:rsid w:val="006C5136"/>
    <w:rsid w:val="006C7B03"/>
    <w:rsid w:val="006C7C72"/>
    <w:rsid w:val="006D084E"/>
    <w:rsid w:val="006D0D31"/>
    <w:rsid w:val="006D0EC2"/>
    <w:rsid w:val="006D1E01"/>
    <w:rsid w:val="006D48C9"/>
    <w:rsid w:val="006D4C72"/>
    <w:rsid w:val="006D4E4C"/>
    <w:rsid w:val="006D5585"/>
    <w:rsid w:val="006D5F76"/>
    <w:rsid w:val="006D6D96"/>
    <w:rsid w:val="006D7211"/>
    <w:rsid w:val="006D75C8"/>
    <w:rsid w:val="006E3005"/>
    <w:rsid w:val="006F0D46"/>
    <w:rsid w:val="006F23DD"/>
    <w:rsid w:val="006F4706"/>
    <w:rsid w:val="006F4A6B"/>
    <w:rsid w:val="006F5158"/>
    <w:rsid w:val="006F6804"/>
    <w:rsid w:val="00700950"/>
    <w:rsid w:val="00701136"/>
    <w:rsid w:val="0070319A"/>
    <w:rsid w:val="00703929"/>
    <w:rsid w:val="00703CB4"/>
    <w:rsid w:val="00707C18"/>
    <w:rsid w:val="007103A9"/>
    <w:rsid w:val="007134D5"/>
    <w:rsid w:val="00716AD2"/>
    <w:rsid w:val="007203CA"/>
    <w:rsid w:val="00720C49"/>
    <w:rsid w:val="007226F5"/>
    <w:rsid w:val="00723B2C"/>
    <w:rsid w:val="0072444E"/>
    <w:rsid w:val="00724D93"/>
    <w:rsid w:val="00724ED0"/>
    <w:rsid w:val="00724F92"/>
    <w:rsid w:val="007253D6"/>
    <w:rsid w:val="0072578A"/>
    <w:rsid w:val="0072597A"/>
    <w:rsid w:val="007268E7"/>
    <w:rsid w:val="00731C2F"/>
    <w:rsid w:val="00731D33"/>
    <w:rsid w:val="0073792C"/>
    <w:rsid w:val="0074257A"/>
    <w:rsid w:val="007452E8"/>
    <w:rsid w:val="00747434"/>
    <w:rsid w:val="0074788B"/>
    <w:rsid w:val="0075137C"/>
    <w:rsid w:val="0075418A"/>
    <w:rsid w:val="00754E25"/>
    <w:rsid w:val="00757BA3"/>
    <w:rsid w:val="0076260D"/>
    <w:rsid w:val="007628DE"/>
    <w:rsid w:val="00763B77"/>
    <w:rsid w:val="00764923"/>
    <w:rsid w:val="0076702C"/>
    <w:rsid w:val="00767E6B"/>
    <w:rsid w:val="00767F6C"/>
    <w:rsid w:val="00772829"/>
    <w:rsid w:val="00772898"/>
    <w:rsid w:val="00777848"/>
    <w:rsid w:val="00777893"/>
    <w:rsid w:val="00781492"/>
    <w:rsid w:val="007829B6"/>
    <w:rsid w:val="00783157"/>
    <w:rsid w:val="00784A1D"/>
    <w:rsid w:val="007852E9"/>
    <w:rsid w:val="00787818"/>
    <w:rsid w:val="00790436"/>
    <w:rsid w:val="00790B15"/>
    <w:rsid w:val="00790F49"/>
    <w:rsid w:val="00791BF2"/>
    <w:rsid w:val="00792A6E"/>
    <w:rsid w:val="007931CB"/>
    <w:rsid w:val="007951D4"/>
    <w:rsid w:val="007969F9"/>
    <w:rsid w:val="00797C46"/>
    <w:rsid w:val="007A19F6"/>
    <w:rsid w:val="007A2964"/>
    <w:rsid w:val="007A2B65"/>
    <w:rsid w:val="007A5617"/>
    <w:rsid w:val="007A6124"/>
    <w:rsid w:val="007A6D57"/>
    <w:rsid w:val="007B0245"/>
    <w:rsid w:val="007B083F"/>
    <w:rsid w:val="007B0880"/>
    <w:rsid w:val="007B0D01"/>
    <w:rsid w:val="007B13AF"/>
    <w:rsid w:val="007B16FB"/>
    <w:rsid w:val="007B2085"/>
    <w:rsid w:val="007B2FDC"/>
    <w:rsid w:val="007B38A0"/>
    <w:rsid w:val="007B38B7"/>
    <w:rsid w:val="007B4F61"/>
    <w:rsid w:val="007B4F7B"/>
    <w:rsid w:val="007B54DE"/>
    <w:rsid w:val="007B583D"/>
    <w:rsid w:val="007B6625"/>
    <w:rsid w:val="007B6684"/>
    <w:rsid w:val="007B6B21"/>
    <w:rsid w:val="007B6D23"/>
    <w:rsid w:val="007B7024"/>
    <w:rsid w:val="007C0390"/>
    <w:rsid w:val="007C14A2"/>
    <w:rsid w:val="007C300E"/>
    <w:rsid w:val="007C328D"/>
    <w:rsid w:val="007C336F"/>
    <w:rsid w:val="007C41B1"/>
    <w:rsid w:val="007C4FDD"/>
    <w:rsid w:val="007C7148"/>
    <w:rsid w:val="007D30B7"/>
    <w:rsid w:val="007E15AD"/>
    <w:rsid w:val="007E16A4"/>
    <w:rsid w:val="007E25ED"/>
    <w:rsid w:val="007E2BC0"/>
    <w:rsid w:val="007E30A9"/>
    <w:rsid w:val="007E4C36"/>
    <w:rsid w:val="007E6B37"/>
    <w:rsid w:val="007E7B98"/>
    <w:rsid w:val="007F4F81"/>
    <w:rsid w:val="007F5253"/>
    <w:rsid w:val="007F67E9"/>
    <w:rsid w:val="007F7C7B"/>
    <w:rsid w:val="008040A2"/>
    <w:rsid w:val="00804632"/>
    <w:rsid w:val="008054D9"/>
    <w:rsid w:val="00806688"/>
    <w:rsid w:val="00806970"/>
    <w:rsid w:val="00807A3E"/>
    <w:rsid w:val="00810338"/>
    <w:rsid w:val="00811626"/>
    <w:rsid w:val="00812282"/>
    <w:rsid w:val="008148E4"/>
    <w:rsid w:val="008157F1"/>
    <w:rsid w:val="00816EC2"/>
    <w:rsid w:val="008230ED"/>
    <w:rsid w:val="008236E1"/>
    <w:rsid w:val="00824115"/>
    <w:rsid w:val="00824458"/>
    <w:rsid w:val="008249BE"/>
    <w:rsid w:val="008249F7"/>
    <w:rsid w:val="00824B74"/>
    <w:rsid w:val="00826D3A"/>
    <w:rsid w:val="00826E47"/>
    <w:rsid w:val="00827027"/>
    <w:rsid w:val="00835EC9"/>
    <w:rsid w:val="008378D5"/>
    <w:rsid w:val="0084023E"/>
    <w:rsid w:val="00841388"/>
    <w:rsid w:val="008415A9"/>
    <w:rsid w:val="00841EFB"/>
    <w:rsid w:val="00841F44"/>
    <w:rsid w:val="00842C82"/>
    <w:rsid w:val="008436D7"/>
    <w:rsid w:val="008440FE"/>
    <w:rsid w:val="00845470"/>
    <w:rsid w:val="00846119"/>
    <w:rsid w:val="008474E3"/>
    <w:rsid w:val="00847B00"/>
    <w:rsid w:val="00850C7D"/>
    <w:rsid w:val="008527ED"/>
    <w:rsid w:val="008537F7"/>
    <w:rsid w:val="00853F46"/>
    <w:rsid w:val="008546BE"/>
    <w:rsid w:val="00854E6A"/>
    <w:rsid w:val="008559EC"/>
    <w:rsid w:val="00856074"/>
    <w:rsid w:val="00857949"/>
    <w:rsid w:val="00857C04"/>
    <w:rsid w:val="00860653"/>
    <w:rsid w:val="00865FA4"/>
    <w:rsid w:val="008663F8"/>
    <w:rsid w:val="008675FF"/>
    <w:rsid w:val="0087277A"/>
    <w:rsid w:val="00872A47"/>
    <w:rsid w:val="00872CE0"/>
    <w:rsid w:val="008736E2"/>
    <w:rsid w:val="00874565"/>
    <w:rsid w:val="00877247"/>
    <w:rsid w:val="008801AE"/>
    <w:rsid w:val="00880AA3"/>
    <w:rsid w:val="0088300E"/>
    <w:rsid w:val="0088421C"/>
    <w:rsid w:val="0088445B"/>
    <w:rsid w:val="0089155C"/>
    <w:rsid w:val="00891AF6"/>
    <w:rsid w:val="00891B54"/>
    <w:rsid w:val="00891BC3"/>
    <w:rsid w:val="00891C36"/>
    <w:rsid w:val="0089258E"/>
    <w:rsid w:val="008937C8"/>
    <w:rsid w:val="00894808"/>
    <w:rsid w:val="0089559C"/>
    <w:rsid w:val="008967C4"/>
    <w:rsid w:val="008A0D2A"/>
    <w:rsid w:val="008A1693"/>
    <w:rsid w:val="008A254F"/>
    <w:rsid w:val="008A2630"/>
    <w:rsid w:val="008A4C39"/>
    <w:rsid w:val="008A5833"/>
    <w:rsid w:val="008A5BF0"/>
    <w:rsid w:val="008A5FBF"/>
    <w:rsid w:val="008A7A92"/>
    <w:rsid w:val="008B215F"/>
    <w:rsid w:val="008B3A88"/>
    <w:rsid w:val="008B3F4B"/>
    <w:rsid w:val="008B4BFC"/>
    <w:rsid w:val="008B51B4"/>
    <w:rsid w:val="008B5B67"/>
    <w:rsid w:val="008B5D7A"/>
    <w:rsid w:val="008B66E3"/>
    <w:rsid w:val="008B6783"/>
    <w:rsid w:val="008B7848"/>
    <w:rsid w:val="008C1AFB"/>
    <w:rsid w:val="008C1E05"/>
    <w:rsid w:val="008C3194"/>
    <w:rsid w:val="008C34BB"/>
    <w:rsid w:val="008C45E2"/>
    <w:rsid w:val="008C65C4"/>
    <w:rsid w:val="008D3726"/>
    <w:rsid w:val="008D4CB0"/>
    <w:rsid w:val="008D6397"/>
    <w:rsid w:val="008D73C9"/>
    <w:rsid w:val="008E0C40"/>
    <w:rsid w:val="008E16BF"/>
    <w:rsid w:val="008E2F92"/>
    <w:rsid w:val="008E3049"/>
    <w:rsid w:val="008E35A3"/>
    <w:rsid w:val="008E7274"/>
    <w:rsid w:val="008F0562"/>
    <w:rsid w:val="008F260B"/>
    <w:rsid w:val="008F2E9D"/>
    <w:rsid w:val="00902549"/>
    <w:rsid w:val="00904225"/>
    <w:rsid w:val="009043BF"/>
    <w:rsid w:val="00904461"/>
    <w:rsid w:val="00906E65"/>
    <w:rsid w:val="009078A0"/>
    <w:rsid w:val="009103B2"/>
    <w:rsid w:val="00911E08"/>
    <w:rsid w:val="009144D5"/>
    <w:rsid w:val="00915929"/>
    <w:rsid w:val="00915F98"/>
    <w:rsid w:val="00915FA3"/>
    <w:rsid w:val="009217F8"/>
    <w:rsid w:val="009237AA"/>
    <w:rsid w:val="0092470E"/>
    <w:rsid w:val="00924864"/>
    <w:rsid w:val="00925187"/>
    <w:rsid w:val="00925B52"/>
    <w:rsid w:val="0092709C"/>
    <w:rsid w:val="0092717F"/>
    <w:rsid w:val="00927744"/>
    <w:rsid w:val="00927B05"/>
    <w:rsid w:val="00930F4E"/>
    <w:rsid w:val="0093246E"/>
    <w:rsid w:val="00932A4E"/>
    <w:rsid w:val="00933572"/>
    <w:rsid w:val="00936062"/>
    <w:rsid w:val="00937CBE"/>
    <w:rsid w:val="00940907"/>
    <w:rsid w:val="00944087"/>
    <w:rsid w:val="00944E74"/>
    <w:rsid w:val="00947A1D"/>
    <w:rsid w:val="0095012E"/>
    <w:rsid w:val="009506EB"/>
    <w:rsid w:val="00951934"/>
    <w:rsid w:val="0095207B"/>
    <w:rsid w:val="00954C8C"/>
    <w:rsid w:val="00956ACE"/>
    <w:rsid w:val="009572A0"/>
    <w:rsid w:val="00957B7E"/>
    <w:rsid w:val="00957D24"/>
    <w:rsid w:val="00960DCF"/>
    <w:rsid w:val="00961B53"/>
    <w:rsid w:val="00962095"/>
    <w:rsid w:val="00963264"/>
    <w:rsid w:val="0096389D"/>
    <w:rsid w:val="00965D17"/>
    <w:rsid w:val="009676C0"/>
    <w:rsid w:val="00967A3B"/>
    <w:rsid w:val="009721F0"/>
    <w:rsid w:val="00973733"/>
    <w:rsid w:val="0097377A"/>
    <w:rsid w:val="00977EA5"/>
    <w:rsid w:val="009803A9"/>
    <w:rsid w:val="009803CB"/>
    <w:rsid w:val="009803D4"/>
    <w:rsid w:val="009807A2"/>
    <w:rsid w:val="0098199C"/>
    <w:rsid w:val="00984519"/>
    <w:rsid w:val="00986D41"/>
    <w:rsid w:val="00986D92"/>
    <w:rsid w:val="00986ECC"/>
    <w:rsid w:val="009873F3"/>
    <w:rsid w:val="00991259"/>
    <w:rsid w:val="00992FC1"/>
    <w:rsid w:val="00995E98"/>
    <w:rsid w:val="00996CDC"/>
    <w:rsid w:val="00996F15"/>
    <w:rsid w:val="00997BA8"/>
    <w:rsid w:val="009A0190"/>
    <w:rsid w:val="009A066C"/>
    <w:rsid w:val="009A06F4"/>
    <w:rsid w:val="009A1587"/>
    <w:rsid w:val="009A16D1"/>
    <w:rsid w:val="009A3778"/>
    <w:rsid w:val="009A3E2E"/>
    <w:rsid w:val="009A72BC"/>
    <w:rsid w:val="009A7F34"/>
    <w:rsid w:val="009B2245"/>
    <w:rsid w:val="009B258E"/>
    <w:rsid w:val="009B5997"/>
    <w:rsid w:val="009B6B23"/>
    <w:rsid w:val="009B7ABD"/>
    <w:rsid w:val="009C1D27"/>
    <w:rsid w:val="009C3BD9"/>
    <w:rsid w:val="009C5B82"/>
    <w:rsid w:val="009C756E"/>
    <w:rsid w:val="009D0A94"/>
    <w:rsid w:val="009D21BE"/>
    <w:rsid w:val="009D3C3D"/>
    <w:rsid w:val="009D5288"/>
    <w:rsid w:val="009E2AD3"/>
    <w:rsid w:val="009E40FF"/>
    <w:rsid w:val="009E47E5"/>
    <w:rsid w:val="009F146F"/>
    <w:rsid w:val="009F3C75"/>
    <w:rsid w:val="009F6253"/>
    <w:rsid w:val="00A0037E"/>
    <w:rsid w:val="00A009FD"/>
    <w:rsid w:val="00A00C0B"/>
    <w:rsid w:val="00A01303"/>
    <w:rsid w:val="00A02C4F"/>
    <w:rsid w:val="00A04A09"/>
    <w:rsid w:val="00A051DE"/>
    <w:rsid w:val="00A05821"/>
    <w:rsid w:val="00A05B63"/>
    <w:rsid w:val="00A05D1D"/>
    <w:rsid w:val="00A05EA2"/>
    <w:rsid w:val="00A076CC"/>
    <w:rsid w:val="00A1165C"/>
    <w:rsid w:val="00A125D6"/>
    <w:rsid w:val="00A14753"/>
    <w:rsid w:val="00A14E53"/>
    <w:rsid w:val="00A14EC5"/>
    <w:rsid w:val="00A14FF6"/>
    <w:rsid w:val="00A15580"/>
    <w:rsid w:val="00A16449"/>
    <w:rsid w:val="00A22EFC"/>
    <w:rsid w:val="00A24D86"/>
    <w:rsid w:val="00A26389"/>
    <w:rsid w:val="00A30000"/>
    <w:rsid w:val="00A303B8"/>
    <w:rsid w:val="00A3516C"/>
    <w:rsid w:val="00A361C3"/>
    <w:rsid w:val="00A366C3"/>
    <w:rsid w:val="00A402CE"/>
    <w:rsid w:val="00A411FA"/>
    <w:rsid w:val="00A44EC1"/>
    <w:rsid w:val="00A454B3"/>
    <w:rsid w:val="00A45E52"/>
    <w:rsid w:val="00A46652"/>
    <w:rsid w:val="00A46D15"/>
    <w:rsid w:val="00A4713D"/>
    <w:rsid w:val="00A5323B"/>
    <w:rsid w:val="00A54FB4"/>
    <w:rsid w:val="00A56DE0"/>
    <w:rsid w:val="00A571BD"/>
    <w:rsid w:val="00A63C18"/>
    <w:rsid w:val="00A63FAA"/>
    <w:rsid w:val="00A654A1"/>
    <w:rsid w:val="00A662DC"/>
    <w:rsid w:val="00A6741B"/>
    <w:rsid w:val="00A67931"/>
    <w:rsid w:val="00A67D7F"/>
    <w:rsid w:val="00A67F49"/>
    <w:rsid w:val="00A72E02"/>
    <w:rsid w:val="00A74226"/>
    <w:rsid w:val="00A757B0"/>
    <w:rsid w:val="00A776A4"/>
    <w:rsid w:val="00A8049D"/>
    <w:rsid w:val="00A82291"/>
    <w:rsid w:val="00A822C2"/>
    <w:rsid w:val="00A82990"/>
    <w:rsid w:val="00A85BF7"/>
    <w:rsid w:val="00A90401"/>
    <w:rsid w:val="00A921E3"/>
    <w:rsid w:val="00A94D20"/>
    <w:rsid w:val="00A966D5"/>
    <w:rsid w:val="00A9752B"/>
    <w:rsid w:val="00AA1E57"/>
    <w:rsid w:val="00AA2461"/>
    <w:rsid w:val="00AA2533"/>
    <w:rsid w:val="00AA2865"/>
    <w:rsid w:val="00AA3A9B"/>
    <w:rsid w:val="00AA3BF1"/>
    <w:rsid w:val="00AA5410"/>
    <w:rsid w:val="00AB21C6"/>
    <w:rsid w:val="00AB2841"/>
    <w:rsid w:val="00AB3558"/>
    <w:rsid w:val="00AC2C23"/>
    <w:rsid w:val="00AC4FCB"/>
    <w:rsid w:val="00AC5370"/>
    <w:rsid w:val="00AC63C6"/>
    <w:rsid w:val="00AC6F7D"/>
    <w:rsid w:val="00AC720A"/>
    <w:rsid w:val="00AD5616"/>
    <w:rsid w:val="00AD60EA"/>
    <w:rsid w:val="00AD6260"/>
    <w:rsid w:val="00AD67D4"/>
    <w:rsid w:val="00AD7843"/>
    <w:rsid w:val="00AD7B66"/>
    <w:rsid w:val="00AE3A1C"/>
    <w:rsid w:val="00AE4331"/>
    <w:rsid w:val="00AE614D"/>
    <w:rsid w:val="00AE7849"/>
    <w:rsid w:val="00AE7977"/>
    <w:rsid w:val="00AF1F10"/>
    <w:rsid w:val="00AF1F4F"/>
    <w:rsid w:val="00AF3D39"/>
    <w:rsid w:val="00AF497B"/>
    <w:rsid w:val="00AF572B"/>
    <w:rsid w:val="00AF6A4C"/>
    <w:rsid w:val="00B00850"/>
    <w:rsid w:val="00B02183"/>
    <w:rsid w:val="00B04003"/>
    <w:rsid w:val="00B047C2"/>
    <w:rsid w:val="00B04CB1"/>
    <w:rsid w:val="00B04D15"/>
    <w:rsid w:val="00B05635"/>
    <w:rsid w:val="00B057EC"/>
    <w:rsid w:val="00B07414"/>
    <w:rsid w:val="00B07620"/>
    <w:rsid w:val="00B1314F"/>
    <w:rsid w:val="00B13384"/>
    <w:rsid w:val="00B151CF"/>
    <w:rsid w:val="00B17E19"/>
    <w:rsid w:val="00B20D51"/>
    <w:rsid w:val="00B24503"/>
    <w:rsid w:val="00B247AD"/>
    <w:rsid w:val="00B25D05"/>
    <w:rsid w:val="00B26622"/>
    <w:rsid w:val="00B26669"/>
    <w:rsid w:val="00B276B4"/>
    <w:rsid w:val="00B303F6"/>
    <w:rsid w:val="00B307B7"/>
    <w:rsid w:val="00B329E2"/>
    <w:rsid w:val="00B33B1D"/>
    <w:rsid w:val="00B35723"/>
    <w:rsid w:val="00B36028"/>
    <w:rsid w:val="00B40064"/>
    <w:rsid w:val="00B433D3"/>
    <w:rsid w:val="00B437CB"/>
    <w:rsid w:val="00B502B0"/>
    <w:rsid w:val="00B50A44"/>
    <w:rsid w:val="00B50DF5"/>
    <w:rsid w:val="00B51FE7"/>
    <w:rsid w:val="00B53856"/>
    <w:rsid w:val="00B5486C"/>
    <w:rsid w:val="00B55524"/>
    <w:rsid w:val="00B575BF"/>
    <w:rsid w:val="00B612EA"/>
    <w:rsid w:val="00B61C66"/>
    <w:rsid w:val="00B62533"/>
    <w:rsid w:val="00B62604"/>
    <w:rsid w:val="00B62DF2"/>
    <w:rsid w:val="00B66A87"/>
    <w:rsid w:val="00B70FA0"/>
    <w:rsid w:val="00B712D0"/>
    <w:rsid w:val="00B7322E"/>
    <w:rsid w:val="00B757E5"/>
    <w:rsid w:val="00B7643F"/>
    <w:rsid w:val="00B77199"/>
    <w:rsid w:val="00B80B88"/>
    <w:rsid w:val="00B81F38"/>
    <w:rsid w:val="00B83B62"/>
    <w:rsid w:val="00B847C4"/>
    <w:rsid w:val="00B84C75"/>
    <w:rsid w:val="00B8535F"/>
    <w:rsid w:val="00B878CD"/>
    <w:rsid w:val="00B907A5"/>
    <w:rsid w:val="00B90ACB"/>
    <w:rsid w:val="00B918CB"/>
    <w:rsid w:val="00B91CB1"/>
    <w:rsid w:val="00B9249B"/>
    <w:rsid w:val="00B92AA9"/>
    <w:rsid w:val="00B9536C"/>
    <w:rsid w:val="00BA1FFB"/>
    <w:rsid w:val="00BA2B3F"/>
    <w:rsid w:val="00BA3340"/>
    <w:rsid w:val="00BA4E45"/>
    <w:rsid w:val="00BA59FB"/>
    <w:rsid w:val="00BB14A3"/>
    <w:rsid w:val="00BB5291"/>
    <w:rsid w:val="00BB6A22"/>
    <w:rsid w:val="00BC15DE"/>
    <w:rsid w:val="00BC17C8"/>
    <w:rsid w:val="00BC369C"/>
    <w:rsid w:val="00BC3E79"/>
    <w:rsid w:val="00BC4972"/>
    <w:rsid w:val="00BC5015"/>
    <w:rsid w:val="00BC6897"/>
    <w:rsid w:val="00BD2694"/>
    <w:rsid w:val="00BD33D4"/>
    <w:rsid w:val="00BD40B1"/>
    <w:rsid w:val="00BE13AF"/>
    <w:rsid w:val="00BE47BF"/>
    <w:rsid w:val="00BE5374"/>
    <w:rsid w:val="00BE627A"/>
    <w:rsid w:val="00BE6CE8"/>
    <w:rsid w:val="00BE7B9B"/>
    <w:rsid w:val="00BF0742"/>
    <w:rsid w:val="00BF5260"/>
    <w:rsid w:val="00BF7C54"/>
    <w:rsid w:val="00C01521"/>
    <w:rsid w:val="00C01D5F"/>
    <w:rsid w:val="00C0230B"/>
    <w:rsid w:val="00C0345A"/>
    <w:rsid w:val="00C03511"/>
    <w:rsid w:val="00C04970"/>
    <w:rsid w:val="00C04C3A"/>
    <w:rsid w:val="00C05700"/>
    <w:rsid w:val="00C074CD"/>
    <w:rsid w:val="00C07EF8"/>
    <w:rsid w:val="00C07FB2"/>
    <w:rsid w:val="00C10169"/>
    <w:rsid w:val="00C107C3"/>
    <w:rsid w:val="00C13520"/>
    <w:rsid w:val="00C14F9B"/>
    <w:rsid w:val="00C14FAB"/>
    <w:rsid w:val="00C15F42"/>
    <w:rsid w:val="00C1610B"/>
    <w:rsid w:val="00C1611D"/>
    <w:rsid w:val="00C16C9A"/>
    <w:rsid w:val="00C175E4"/>
    <w:rsid w:val="00C232E0"/>
    <w:rsid w:val="00C23467"/>
    <w:rsid w:val="00C23F96"/>
    <w:rsid w:val="00C24B5E"/>
    <w:rsid w:val="00C250A3"/>
    <w:rsid w:val="00C2534F"/>
    <w:rsid w:val="00C30058"/>
    <w:rsid w:val="00C309AB"/>
    <w:rsid w:val="00C317A2"/>
    <w:rsid w:val="00C343FC"/>
    <w:rsid w:val="00C3623A"/>
    <w:rsid w:val="00C3651F"/>
    <w:rsid w:val="00C36633"/>
    <w:rsid w:val="00C36E9D"/>
    <w:rsid w:val="00C37C86"/>
    <w:rsid w:val="00C412B1"/>
    <w:rsid w:val="00C418DF"/>
    <w:rsid w:val="00C44199"/>
    <w:rsid w:val="00C4436C"/>
    <w:rsid w:val="00C461B2"/>
    <w:rsid w:val="00C47B02"/>
    <w:rsid w:val="00C47C8E"/>
    <w:rsid w:val="00C5063A"/>
    <w:rsid w:val="00C52FD1"/>
    <w:rsid w:val="00C5359B"/>
    <w:rsid w:val="00C53AF7"/>
    <w:rsid w:val="00C53B06"/>
    <w:rsid w:val="00C554B5"/>
    <w:rsid w:val="00C56EF2"/>
    <w:rsid w:val="00C570A6"/>
    <w:rsid w:val="00C579F3"/>
    <w:rsid w:val="00C600B3"/>
    <w:rsid w:val="00C61464"/>
    <w:rsid w:val="00C64FF8"/>
    <w:rsid w:val="00C673ED"/>
    <w:rsid w:val="00C67B37"/>
    <w:rsid w:val="00C67E8E"/>
    <w:rsid w:val="00C72177"/>
    <w:rsid w:val="00C74245"/>
    <w:rsid w:val="00C74B8C"/>
    <w:rsid w:val="00C772C8"/>
    <w:rsid w:val="00C812F9"/>
    <w:rsid w:val="00C82445"/>
    <w:rsid w:val="00C8268F"/>
    <w:rsid w:val="00C83535"/>
    <w:rsid w:val="00C83D84"/>
    <w:rsid w:val="00C87436"/>
    <w:rsid w:val="00C87E07"/>
    <w:rsid w:val="00C91651"/>
    <w:rsid w:val="00C917A4"/>
    <w:rsid w:val="00C922A2"/>
    <w:rsid w:val="00C97CEE"/>
    <w:rsid w:val="00CA26EA"/>
    <w:rsid w:val="00CA2F42"/>
    <w:rsid w:val="00CA2FB2"/>
    <w:rsid w:val="00CA3D3A"/>
    <w:rsid w:val="00CA4229"/>
    <w:rsid w:val="00CA42D6"/>
    <w:rsid w:val="00CA528A"/>
    <w:rsid w:val="00CB15E9"/>
    <w:rsid w:val="00CB2BD5"/>
    <w:rsid w:val="00CB5B6B"/>
    <w:rsid w:val="00CB5C55"/>
    <w:rsid w:val="00CB7947"/>
    <w:rsid w:val="00CB7A58"/>
    <w:rsid w:val="00CC1D1A"/>
    <w:rsid w:val="00CC2618"/>
    <w:rsid w:val="00CC6260"/>
    <w:rsid w:val="00CD06DD"/>
    <w:rsid w:val="00CD1404"/>
    <w:rsid w:val="00CD270A"/>
    <w:rsid w:val="00CD3DF1"/>
    <w:rsid w:val="00CD5105"/>
    <w:rsid w:val="00CD63AF"/>
    <w:rsid w:val="00CE28E3"/>
    <w:rsid w:val="00CE2C93"/>
    <w:rsid w:val="00CE4149"/>
    <w:rsid w:val="00CE6374"/>
    <w:rsid w:val="00CF1A2D"/>
    <w:rsid w:val="00CF2913"/>
    <w:rsid w:val="00CF439F"/>
    <w:rsid w:val="00CF5A2C"/>
    <w:rsid w:val="00CF5A2E"/>
    <w:rsid w:val="00CF7120"/>
    <w:rsid w:val="00CF724C"/>
    <w:rsid w:val="00D001B4"/>
    <w:rsid w:val="00D003B7"/>
    <w:rsid w:val="00D00E36"/>
    <w:rsid w:val="00D02F4F"/>
    <w:rsid w:val="00D04CB3"/>
    <w:rsid w:val="00D04F43"/>
    <w:rsid w:val="00D05F26"/>
    <w:rsid w:val="00D104DE"/>
    <w:rsid w:val="00D10AFB"/>
    <w:rsid w:val="00D14E59"/>
    <w:rsid w:val="00D167E0"/>
    <w:rsid w:val="00D20031"/>
    <w:rsid w:val="00D20466"/>
    <w:rsid w:val="00D209A9"/>
    <w:rsid w:val="00D224DC"/>
    <w:rsid w:val="00D224E4"/>
    <w:rsid w:val="00D2450D"/>
    <w:rsid w:val="00D313B3"/>
    <w:rsid w:val="00D3292B"/>
    <w:rsid w:val="00D33F02"/>
    <w:rsid w:val="00D358F7"/>
    <w:rsid w:val="00D36376"/>
    <w:rsid w:val="00D367F8"/>
    <w:rsid w:val="00D36E67"/>
    <w:rsid w:val="00D37EF5"/>
    <w:rsid w:val="00D419C9"/>
    <w:rsid w:val="00D42046"/>
    <w:rsid w:val="00D428B9"/>
    <w:rsid w:val="00D43246"/>
    <w:rsid w:val="00D45750"/>
    <w:rsid w:val="00D457EA"/>
    <w:rsid w:val="00D45C42"/>
    <w:rsid w:val="00D50A7C"/>
    <w:rsid w:val="00D52C0C"/>
    <w:rsid w:val="00D52E54"/>
    <w:rsid w:val="00D52FF5"/>
    <w:rsid w:val="00D53A0F"/>
    <w:rsid w:val="00D53B10"/>
    <w:rsid w:val="00D55890"/>
    <w:rsid w:val="00D56DFA"/>
    <w:rsid w:val="00D60E22"/>
    <w:rsid w:val="00D61302"/>
    <w:rsid w:val="00D62F4D"/>
    <w:rsid w:val="00D647CB"/>
    <w:rsid w:val="00D652D9"/>
    <w:rsid w:val="00D66E1D"/>
    <w:rsid w:val="00D67B4D"/>
    <w:rsid w:val="00D70DDA"/>
    <w:rsid w:val="00D70FA5"/>
    <w:rsid w:val="00D721DD"/>
    <w:rsid w:val="00D73AD9"/>
    <w:rsid w:val="00D77275"/>
    <w:rsid w:val="00D80862"/>
    <w:rsid w:val="00D80C29"/>
    <w:rsid w:val="00D8316D"/>
    <w:rsid w:val="00D83B51"/>
    <w:rsid w:val="00D84ECA"/>
    <w:rsid w:val="00D8525E"/>
    <w:rsid w:val="00D85437"/>
    <w:rsid w:val="00D9041B"/>
    <w:rsid w:val="00D90DBB"/>
    <w:rsid w:val="00D9141D"/>
    <w:rsid w:val="00D91973"/>
    <w:rsid w:val="00D9333F"/>
    <w:rsid w:val="00D946C9"/>
    <w:rsid w:val="00D94CF3"/>
    <w:rsid w:val="00D95252"/>
    <w:rsid w:val="00D967A8"/>
    <w:rsid w:val="00DA058E"/>
    <w:rsid w:val="00DA20D2"/>
    <w:rsid w:val="00DA29DA"/>
    <w:rsid w:val="00DA512C"/>
    <w:rsid w:val="00DA5159"/>
    <w:rsid w:val="00DA6765"/>
    <w:rsid w:val="00DB003C"/>
    <w:rsid w:val="00DB11CC"/>
    <w:rsid w:val="00DB1E91"/>
    <w:rsid w:val="00DB4410"/>
    <w:rsid w:val="00DB5117"/>
    <w:rsid w:val="00DB6031"/>
    <w:rsid w:val="00DB664A"/>
    <w:rsid w:val="00DB7340"/>
    <w:rsid w:val="00DB7463"/>
    <w:rsid w:val="00DC14AF"/>
    <w:rsid w:val="00DC1720"/>
    <w:rsid w:val="00DC3633"/>
    <w:rsid w:val="00DC4108"/>
    <w:rsid w:val="00DC4EC7"/>
    <w:rsid w:val="00DC4F64"/>
    <w:rsid w:val="00DC50C5"/>
    <w:rsid w:val="00DC64A7"/>
    <w:rsid w:val="00DC69B0"/>
    <w:rsid w:val="00DD0293"/>
    <w:rsid w:val="00DD0953"/>
    <w:rsid w:val="00DD1502"/>
    <w:rsid w:val="00DD1A95"/>
    <w:rsid w:val="00DD2C81"/>
    <w:rsid w:val="00DD681B"/>
    <w:rsid w:val="00DE2496"/>
    <w:rsid w:val="00DE7099"/>
    <w:rsid w:val="00DF0FAA"/>
    <w:rsid w:val="00DF1CA6"/>
    <w:rsid w:val="00DF341B"/>
    <w:rsid w:val="00DF39E9"/>
    <w:rsid w:val="00DF431B"/>
    <w:rsid w:val="00DF6FD4"/>
    <w:rsid w:val="00DF74D9"/>
    <w:rsid w:val="00E0360B"/>
    <w:rsid w:val="00E03A96"/>
    <w:rsid w:val="00E05D56"/>
    <w:rsid w:val="00E0769E"/>
    <w:rsid w:val="00E079B8"/>
    <w:rsid w:val="00E105A9"/>
    <w:rsid w:val="00E15056"/>
    <w:rsid w:val="00E15DB1"/>
    <w:rsid w:val="00E17552"/>
    <w:rsid w:val="00E21B03"/>
    <w:rsid w:val="00E22445"/>
    <w:rsid w:val="00E22935"/>
    <w:rsid w:val="00E2353D"/>
    <w:rsid w:val="00E23A99"/>
    <w:rsid w:val="00E24FEE"/>
    <w:rsid w:val="00E2501B"/>
    <w:rsid w:val="00E260A3"/>
    <w:rsid w:val="00E2618A"/>
    <w:rsid w:val="00E2652B"/>
    <w:rsid w:val="00E26D15"/>
    <w:rsid w:val="00E26E68"/>
    <w:rsid w:val="00E2701A"/>
    <w:rsid w:val="00E27DDB"/>
    <w:rsid w:val="00E31702"/>
    <w:rsid w:val="00E31B75"/>
    <w:rsid w:val="00E3242E"/>
    <w:rsid w:val="00E330C9"/>
    <w:rsid w:val="00E3330E"/>
    <w:rsid w:val="00E3351F"/>
    <w:rsid w:val="00E33992"/>
    <w:rsid w:val="00E33EE5"/>
    <w:rsid w:val="00E40DAE"/>
    <w:rsid w:val="00E40F62"/>
    <w:rsid w:val="00E43249"/>
    <w:rsid w:val="00E436A2"/>
    <w:rsid w:val="00E43754"/>
    <w:rsid w:val="00E458D8"/>
    <w:rsid w:val="00E518A7"/>
    <w:rsid w:val="00E529F5"/>
    <w:rsid w:val="00E5356B"/>
    <w:rsid w:val="00E53E00"/>
    <w:rsid w:val="00E54221"/>
    <w:rsid w:val="00E5650A"/>
    <w:rsid w:val="00E574EC"/>
    <w:rsid w:val="00E57F9C"/>
    <w:rsid w:val="00E615F9"/>
    <w:rsid w:val="00E616B5"/>
    <w:rsid w:val="00E6183C"/>
    <w:rsid w:val="00E6193C"/>
    <w:rsid w:val="00E62BC2"/>
    <w:rsid w:val="00E63DAA"/>
    <w:rsid w:val="00E64D96"/>
    <w:rsid w:val="00E651CB"/>
    <w:rsid w:val="00E66254"/>
    <w:rsid w:val="00E7221D"/>
    <w:rsid w:val="00E72D97"/>
    <w:rsid w:val="00E75951"/>
    <w:rsid w:val="00E7615F"/>
    <w:rsid w:val="00E76AE0"/>
    <w:rsid w:val="00E77410"/>
    <w:rsid w:val="00E81A87"/>
    <w:rsid w:val="00E83948"/>
    <w:rsid w:val="00E83CF9"/>
    <w:rsid w:val="00E84647"/>
    <w:rsid w:val="00E84F3F"/>
    <w:rsid w:val="00E854A2"/>
    <w:rsid w:val="00E87484"/>
    <w:rsid w:val="00E92688"/>
    <w:rsid w:val="00E92974"/>
    <w:rsid w:val="00E92F98"/>
    <w:rsid w:val="00E9331D"/>
    <w:rsid w:val="00E95322"/>
    <w:rsid w:val="00E95490"/>
    <w:rsid w:val="00E968C1"/>
    <w:rsid w:val="00E971F6"/>
    <w:rsid w:val="00EA0E54"/>
    <w:rsid w:val="00EA0FD1"/>
    <w:rsid w:val="00EA1769"/>
    <w:rsid w:val="00EA2481"/>
    <w:rsid w:val="00EA3671"/>
    <w:rsid w:val="00EB076A"/>
    <w:rsid w:val="00EB0DEA"/>
    <w:rsid w:val="00EB1F63"/>
    <w:rsid w:val="00EB27BC"/>
    <w:rsid w:val="00EB55FF"/>
    <w:rsid w:val="00EB6A32"/>
    <w:rsid w:val="00EC1711"/>
    <w:rsid w:val="00EC2101"/>
    <w:rsid w:val="00EC33A0"/>
    <w:rsid w:val="00EC4836"/>
    <w:rsid w:val="00EC5088"/>
    <w:rsid w:val="00EC54A4"/>
    <w:rsid w:val="00EC58FC"/>
    <w:rsid w:val="00EC65C2"/>
    <w:rsid w:val="00ED494F"/>
    <w:rsid w:val="00ED5E38"/>
    <w:rsid w:val="00ED5FDF"/>
    <w:rsid w:val="00EE1154"/>
    <w:rsid w:val="00EE14E7"/>
    <w:rsid w:val="00EE154D"/>
    <w:rsid w:val="00EE4490"/>
    <w:rsid w:val="00EE4EEF"/>
    <w:rsid w:val="00EE6832"/>
    <w:rsid w:val="00EE7D49"/>
    <w:rsid w:val="00EF1755"/>
    <w:rsid w:val="00EF1F15"/>
    <w:rsid w:val="00EF3D58"/>
    <w:rsid w:val="00EF493F"/>
    <w:rsid w:val="00EF598B"/>
    <w:rsid w:val="00EF7063"/>
    <w:rsid w:val="00EF7084"/>
    <w:rsid w:val="00EF7A50"/>
    <w:rsid w:val="00F001B2"/>
    <w:rsid w:val="00F03B39"/>
    <w:rsid w:val="00F04052"/>
    <w:rsid w:val="00F04FED"/>
    <w:rsid w:val="00F06673"/>
    <w:rsid w:val="00F06961"/>
    <w:rsid w:val="00F1066F"/>
    <w:rsid w:val="00F12469"/>
    <w:rsid w:val="00F1415F"/>
    <w:rsid w:val="00F14201"/>
    <w:rsid w:val="00F1508C"/>
    <w:rsid w:val="00F1578E"/>
    <w:rsid w:val="00F165D8"/>
    <w:rsid w:val="00F1667E"/>
    <w:rsid w:val="00F17C79"/>
    <w:rsid w:val="00F17D6D"/>
    <w:rsid w:val="00F17F0B"/>
    <w:rsid w:val="00F20763"/>
    <w:rsid w:val="00F227C8"/>
    <w:rsid w:val="00F23CB7"/>
    <w:rsid w:val="00F24452"/>
    <w:rsid w:val="00F252A5"/>
    <w:rsid w:val="00F257B5"/>
    <w:rsid w:val="00F262FB"/>
    <w:rsid w:val="00F2720E"/>
    <w:rsid w:val="00F2776D"/>
    <w:rsid w:val="00F346E6"/>
    <w:rsid w:val="00F347FD"/>
    <w:rsid w:val="00F369C3"/>
    <w:rsid w:val="00F40864"/>
    <w:rsid w:val="00F421BA"/>
    <w:rsid w:val="00F4294D"/>
    <w:rsid w:val="00F42C6F"/>
    <w:rsid w:val="00F44895"/>
    <w:rsid w:val="00F50585"/>
    <w:rsid w:val="00F516E3"/>
    <w:rsid w:val="00F517EF"/>
    <w:rsid w:val="00F54832"/>
    <w:rsid w:val="00F57885"/>
    <w:rsid w:val="00F66144"/>
    <w:rsid w:val="00F6713F"/>
    <w:rsid w:val="00F709DC"/>
    <w:rsid w:val="00F74B51"/>
    <w:rsid w:val="00F77EA0"/>
    <w:rsid w:val="00F80240"/>
    <w:rsid w:val="00F80C3F"/>
    <w:rsid w:val="00F81362"/>
    <w:rsid w:val="00F8230D"/>
    <w:rsid w:val="00F830CA"/>
    <w:rsid w:val="00F83D52"/>
    <w:rsid w:val="00F8459C"/>
    <w:rsid w:val="00F854EE"/>
    <w:rsid w:val="00F8785D"/>
    <w:rsid w:val="00F91353"/>
    <w:rsid w:val="00F95B71"/>
    <w:rsid w:val="00F9684A"/>
    <w:rsid w:val="00F96D57"/>
    <w:rsid w:val="00FA0825"/>
    <w:rsid w:val="00FA08AD"/>
    <w:rsid w:val="00FA2F27"/>
    <w:rsid w:val="00FA4150"/>
    <w:rsid w:val="00FA54BC"/>
    <w:rsid w:val="00FA5766"/>
    <w:rsid w:val="00FA7D7D"/>
    <w:rsid w:val="00FB620D"/>
    <w:rsid w:val="00FB6F67"/>
    <w:rsid w:val="00FC0AD7"/>
    <w:rsid w:val="00FC10DE"/>
    <w:rsid w:val="00FC2D5F"/>
    <w:rsid w:val="00FC2DA8"/>
    <w:rsid w:val="00FC3F16"/>
    <w:rsid w:val="00FC5603"/>
    <w:rsid w:val="00FC5CFF"/>
    <w:rsid w:val="00FC6566"/>
    <w:rsid w:val="00FD0B28"/>
    <w:rsid w:val="00FD17BA"/>
    <w:rsid w:val="00FD2C9D"/>
    <w:rsid w:val="00FD2F74"/>
    <w:rsid w:val="00FD3B94"/>
    <w:rsid w:val="00FD40DD"/>
    <w:rsid w:val="00FD43B3"/>
    <w:rsid w:val="00FD6295"/>
    <w:rsid w:val="00FE1118"/>
    <w:rsid w:val="00FE40E5"/>
    <w:rsid w:val="00FE4739"/>
    <w:rsid w:val="00FE4DB2"/>
    <w:rsid w:val="00FE5239"/>
    <w:rsid w:val="00FE676B"/>
    <w:rsid w:val="00FE681D"/>
    <w:rsid w:val="00FE7240"/>
    <w:rsid w:val="00FE74DF"/>
    <w:rsid w:val="00FF0DBD"/>
    <w:rsid w:val="00FF2100"/>
    <w:rsid w:val="00FF3A07"/>
    <w:rsid w:val="00FF3FEA"/>
    <w:rsid w:val="00FF4C68"/>
    <w:rsid w:val="00FF68D3"/>
    <w:rsid w:val="00FF7E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548C47A"/>
  <w15:chartTrackingRefBased/>
  <w15:docId w15:val="{114C360A-2999-4E8E-BCB1-16C3D034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ind w:left="72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056D87"/>
    <w:pPr>
      <w:spacing w:before="0" w:after="0"/>
      <w:outlineLvl w:val="3"/>
    </w:pPr>
    <w:rPr>
      <w:rFonts w:ascii="Arial Narrow" w:hAnsi="Arial Narrow" w:cs="Arial"/>
      <w:b/>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Recommendation,Bullet point,List Paragraph1,List Paragraph11,Body text,Styl moj,Akapit z listą1,Akapit z listą1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6E3005"/>
    <w:pPr>
      <w:keepNext/>
      <w:spacing w:before="0" w:after="0" w:line="240" w:lineRule="auto"/>
      <w:ind w:left="851" w:hanging="851"/>
    </w:pPr>
    <w:rPr>
      <w:rFonts w:ascii="Arial" w:hAnsi="Arial" w:cs="Arial"/>
      <w:b/>
      <w:bCs/>
      <w:sz w:val="20"/>
      <w:szCs w:val="20"/>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056D87"/>
    <w:rPr>
      <w:rFonts w:ascii="Arial Narrow" w:eastAsiaTheme="majorEastAsia" w:hAnsi="Arial Narrow" w:cs="Arial"/>
      <w:b/>
      <w:bCs/>
      <w:iCs/>
      <w:sz w:val="20"/>
      <w:szCs w:val="20"/>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053C48"/>
    <w:pPr>
      <w:tabs>
        <w:tab w:val="left" w:pos="1100"/>
        <w:tab w:val="left" w:pos="1276"/>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175EE0"/>
    <w:pPr>
      <w:tabs>
        <w:tab w:val="left" w:pos="1089"/>
        <w:tab w:val="right" w:leader="dot" w:pos="9010"/>
      </w:tabs>
      <w:spacing w:after="100" w:line="240" w:lineRule="auto"/>
      <w:ind w:left="709"/>
    </w:pPr>
    <w:rPr>
      <w:rFonts w:asciiTheme="minorHAnsi" w:hAnsiTheme="minorHAnsi"/>
    </w:rPr>
  </w:style>
  <w:style w:type="paragraph" w:styleId="TOC3">
    <w:name w:val="toc 3"/>
    <w:basedOn w:val="Normal"/>
    <w:next w:val="Normal"/>
    <w:autoRedefine/>
    <w:uiPriority w:val="39"/>
    <w:unhideWhenUsed/>
    <w:rsid w:val="00CD3DF1"/>
    <w:pPr>
      <w:tabs>
        <w:tab w:val="left" w:pos="1760"/>
        <w:tab w:val="right" w:pos="9016"/>
      </w:tabs>
      <w:spacing w:after="100" w:line="240" w:lineRule="auto"/>
      <w:ind w:left="720"/>
    </w:pPr>
    <w:rPr>
      <w:rFonts w:ascii="Arial Narrow" w:hAnsi="Arial Narrow"/>
      <w:noProof/>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Recommendation Char,Bullet point Char,List Paragraph1 Char,List Paragraph11 Char,Body text Char,Styl moj Char,Akapit z listą1 Char,Akapit z listą11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qFormat/>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8"/>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9"/>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2"/>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BE13AF"/>
    <w:rPr>
      <w:color w:val="605E5C"/>
      <w:shd w:val="clear" w:color="auto" w:fill="E1DFDD"/>
    </w:rPr>
  </w:style>
  <w:style w:type="paragraph" w:styleId="NormalWeb">
    <w:name w:val="Normal (Web)"/>
    <w:basedOn w:val="Normal"/>
    <w:uiPriority w:val="99"/>
    <w:semiHidden/>
    <w:unhideWhenUsed/>
    <w:rsid w:val="00857C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Last">
    <w:name w:val="Bullet Last"/>
    <w:basedOn w:val="Bullet"/>
    <w:qFormat/>
    <w:rsid w:val="004B201B"/>
    <w:pPr>
      <w:numPr>
        <w:numId w:val="13"/>
      </w:numPr>
      <w:spacing w:before="0" w:after="240"/>
      <w:ind w:left="357" w:hanging="357"/>
    </w:pPr>
  </w:style>
  <w:style w:type="paragraph" w:customStyle="1" w:styleId="FigureName">
    <w:name w:val="FigureName"/>
    <w:basedOn w:val="Normal"/>
    <w:qFormat/>
    <w:rsid w:val="00B77199"/>
    <w:pPr>
      <w:keepNext/>
      <w:spacing w:before="0" w:after="240" w:line="240" w:lineRule="auto"/>
      <w:ind w:left="1531" w:hanging="1531"/>
    </w:pPr>
    <w:rPr>
      <w:rFonts w:ascii="Franklin Gothic Medium" w:hAnsi="Franklin Gothic Medium"/>
    </w:rPr>
  </w:style>
  <w:style w:type="paragraph" w:customStyle="1" w:styleId="BulletBeforeDash">
    <w:name w:val="Bullet Before Dash"/>
    <w:basedOn w:val="Bullet"/>
    <w:qFormat/>
    <w:rsid w:val="00B77199"/>
    <w:pPr>
      <w:numPr>
        <w:numId w:val="14"/>
      </w:numPr>
      <w:spacing w:before="0" w:after="60"/>
      <w:ind w:left="357" w:hanging="357"/>
    </w:pPr>
  </w:style>
  <w:style w:type="paragraph" w:customStyle="1" w:styleId="AppendixH2">
    <w:name w:val="AppendixH2"/>
    <w:basedOn w:val="Heading2"/>
    <w:qFormat/>
    <w:rsid w:val="00B77199"/>
    <w:pPr>
      <w:numPr>
        <w:ilvl w:val="0"/>
        <w:numId w:val="0"/>
      </w:numPr>
      <w:tabs>
        <w:tab w:val="left" w:pos="1701"/>
      </w:tabs>
      <w:spacing w:before="120"/>
    </w:pPr>
  </w:style>
  <w:style w:type="character" w:customStyle="1" w:styleId="InternalLink">
    <w:name w:val="InternalLink"/>
    <w:basedOn w:val="DefaultParagraphFont"/>
    <w:uiPriority w:val="1"/>
    <w:qFormat/>
    <w:rsid w:val="00B77199"/>
    <w:rPr>
      <w:color w:val="595959" w:themeColor="text1" w:themeTint="A6"/>
      <w:u w:val="single"/>
      <w:bdr w:val="none" w:sz="0" w:space="0" w:color="auto"/>
    </w:rPr>
  </w:style>
  <w:style w:type="paragraph" w:customStyle="1" w:styleId="Footnote">
    <w:name w:val="Footnote"/>
    <w:basedOn w:val="Normal"/>
    <w:qFormat/>
    <w:rsid w:val="00C5063A"/>
    <w:pPr>
      <w:spacing w:before="0" w:after="0" w:line="240" w:lineRule="auto"/>
    </w:pPr>
    <w:rPr>
      <w:rFonts w:asciiTheme="minorHAnsi" w:hAnsiTheme="minorHAnsi" w:cs="Times New Roman"/>
      <w:sz w:val="20"/>
      <w:szCs w:val="20"/>
      <w:lang w:val="en-US"/>
    </w:rPr>
  </w:style>
  <w:style w:type="character" w:customStyle="1" w:styleId="authors-list-item">
    <w:name w:val="authors-list-item"/>
    <w:basedOn w:val="DefaultParagraphFont"/>
    <w:rsid w:val="007B4F61"/>
  </w:style>
  <w:style w:type="character" w:customStyle="1" w:styleId="author-sup-separator">
    <w:name w:val="author-sup-separator"/>
    <w:basedOn w:val="DefaultParagraphFont"/>
    <w:rsid w:val="007B4F61"/>
  </w:style>
  <w:style w:type="character" w:customStyle="1" w:styleId="comma">
    <w:name w:val="comma"/>
    <w:basedOn w:val="DefaultParagraphFont"/>
    <w:rsid w:val="007B4F61"/>
  </w:style>
  <w:style w:type="character" w:customStyle="1" w:styleId="Title1">
    <w:name w:val="Title1"/>
    <w:basedOn w:val="DefaultParagraphFont"/>
    <w:rsid w:val="00487A77"/>
  </w:style>
  <w:style w:type="character" w:customStyle="1" w:styleId="identifier">
    <w:name w:val="identifier"/>
    <w:basedOn w:val="DefaultParagraphFont"/>
    <w:rsid w:val="00487A77"/>
  </w:style>
  <w:style w:type="character" w:customStyle="1" w:styleId="id-label">
    <w:name w:val="id-label"/>
    <w:basedOn w:val="DefaultParagraphFont"/>
    <w:rsid w:val="00487A77"/>
  </w:style>
  <w:style w:type="character" w:customStyle="1" w:styleId="free-label">
    <w:name w:val="free-label"/>
    <w:basedOn w:val="DefaultParagraphFont"/>
    <w:rsid w:val="00487A77"/>
  </w:style>
  <w:style w:type="paragraph" w:customStyle="1" w:styleId="p">
    <w:name w:val="p"/>
    <w:basedOn w:val="Normal"/>
    <w:rsid w:val="00D05F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kwd-text">
    <w:name w:val="kwd-text"/>
    <w:basedOn w:val="DefaultParagraphFont"/>
    <w:rsid w:val="00D05F26"/>
  </w:style>
  <w:style w:type="table" w:styleId="GridTable4-Accent3">
    <w:name w:val="Grid Table 4 Accent 3"/>
    <w:basedOn w:val="TableNormal"/>
    <w:uiPriority w:val="49"/>
    <w:rsid w:val="00C250A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
    <w:name w:val="List Table 7 Colorful"/>
    <w:basedOn w:val="TableNormal"/>
    <w:uiPriority w:val="52"/>
    <w:rsid w:val="00C250A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C250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7Colorful-Accent3">
    <w:name w:val="List Table 7 Colorful Accent 3"/>
    <w:basedOn w:val="TableNormal"/>
    <w:uiPriority w:val="52"/>
    <w:rsid w:val="00C250A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B50DF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CE637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EndnoteText">
    <w:name w:val="endnote text"/>
    <w:basedOn w:val="Normal"/>
    <w:link w:val="EndnoteTextChar"/>
    <w:uiPriority w:val="99"/>
    <w:unhideWhenUsed/>
    <w:rsid w:val="00222CC5"/>
    <w:pPr>
      <w:spacing w:before="0" w:after="0" w:line="240" w:lineRule="auto"/>
    </w:pPr>
    <w:rPr>
      <w:sz w:val="20"/>
      <w:szCs w:val="20"/>
    </w:rPr>
  </w:style>
  <w:style w:type="character" w:customStyle="1" w:styleId="EndnoteTextChar">
    <w:name w:val="Endnote Text Char"/>
    <w:basedOn w:val="DefaultParagraphFont"/>
    <w:link w:val="EndnoteText"/>
    <w:uiPriority w:val="99"/>
    <w:rsid w:val="00222CC5"/>
    <w:rPr>
      <w:rFonts w:ascii="Franklin Gothic Book" w:hAnsi="Franklin Gothic Book"/>
      <w:sz w:val="20"/>
      <w:szCs w:val="20"/>
    </w:rPr>
  </w:style>
  <w:style w:type="character" w:styleId="EndnoteReference">
    <w:name w:val="endnote reference"/>
    <w:basedOn w:val="DefaultParagraphFont"/>
    <w:uiPriority w:val="99"/>
    <w:semiHidden/>
    <w:unhideWhenUsed/>
    <w:rsid w:val="00222CC5"/>
    <w:rPr>
      <w:vertAlign w:val="superscript"/>
    </w:rPr>
  </w:style>
  <w:style w:type="paragraph" w:customStyle="1" w:styleId="Default">
    <w:name w:val="Default"/>
    <w:rsid w:val="002B0E8E"/>
    <w:pPr>
      <w:autoSpaceDE w:val="0"/>
      <w:autoSpaceDN w:val="0"/>
      <w:adjustRightInd w:val="0"/>
      <w:spacing w:after="0" w:line="240" w:lineRule="auto"/>
    </w:pPr>
    <w:rPr>
      <w:rFonts w:ascii="Arial" w:hAnsi="Arial" w:cs="Arial"/>
      <w:color w:val="000000"/>
      <w:sz w:val="24"/>
      <w:szCs w:val="24"/>
    </w:rPr>
  </w:style>
  <w:style w:type="table" w:styleId="PlainTable2">
    <w:name w:val="Plain Table 2"/>
    <w:basedOn w:val="TableNormal"/>
    <w:uiPriority w:val="42"/>
    <w:rsid w:val="002B0E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C67B37"/>
    <w:pPr>
      <w:spacing w:before="0" w:after="0"/>
      <w:ind w:left="440" w:hanging="440"/>
    </w:pPr>
    <w:rPr>
      <w:rFonts w:asciiTheme="minorHAnsi" w:hAnsiTheme="minorHAnsi" w:cstheme="minorHAns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184">
      <w:bodyDiv w:val="1"/>
      <w:marLeft w:val="0"/>
      <w:marRight w:val="0"/>
      <w:marTop w:val="0"/>
      <w:marBottom w:val="0"/>
      <w:divBdr>
        <w:top w:val="none" w:sz="0" w:space="0" w:color="auto"/>
        <w:left w:val="none" w:sz="0" w:space="0" w:color="auto"/>
        <w:bottom w:val="none" w:sz="0" w:space="0" w:color="auto"/>
        <w:right w:val="none" w:sz="0" w:space="0" w:color="auto"/>
      </w:divBdr>
      <w:divsChild>
        <w:div w:id="1746368619">
          <w:marLeft w:val="0"/>
          <w:marRight w:val="0"/>
          <w:marTop w:val="0"/>
          <w:marBottom w:val="0"/>
          <w:divBdr>
            <w:top w:val="none" w:sz="0" w:space="0" w:color="auto"/>
            <w:left w:val="none" w:sz="0" w:space="0" w:color="auto"/>
            <w:bottom w:val="none" w:sz="0" w:space="0" w:color="auto"/>
            <w:right w:val="none" w:sz="0" w:space="0" w:color="auto"/>
          </w:divBdr>
          <w:divsChild>
            <w:div w:id="1757708240">
              <w:marLeft w:val="0"/>
              <w:marRight w:val="0"/>
              <w:marTop w:val="0"/>
              <w:marBottom w:val="0"/>
              <w:divBdr>
                <w:top w:val="none" w:sz="0" w:space="0" w:color="auto"/>
                <w:left w:val="none" w:sz="0" w:space="0" w:color="auto"/>
                <w:bottom w:val="none" w:sz="0" w:space="0" w:color="auto"/>
                <w:right w:val="none" w:sz="0" w:space="0" w:color="auto"/>
              </w:divBdr>
              <w:divsChild>
                <w:div w:id="915358744">
                  <w:marLeft w:val="0"/>
                  <w:marRight w:val="0"/>
                  <w:marTop w:val="0"/>
                  <w:marBottom w:val="0"/>
                  <w:divBdr>
                    <w:top w:val="none" w:sz="0" w:space="0" w:color="auto"/>
                    <w:left w:val="none" w:sz="0" w:space="0" w:color="auto"/>
                    <w:bottom w:val="none" w:sz="0" w:space="0" w:color="auto"/>
                    <w:right w:val="none" w:sz="0" w:space="0" w:color="auto"/>
                  </w:divBdr>
                  <w:divsChild>
                    <w:div w:id="9801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458">
              <w:marLeft w:val="0"/>
              <w:marRight w:val="0"/>
              <w:marTop w:val="0"/>
              <w:marBottom w:val="0"/>
              <w:divBdr>
                <w:top w:val="none" w:sz="0" w:space="0" w:color="auto"/>
                <w:left w:val="none" w:sz="0" w:space="0" w:color="auto"/>
                <w:bottom w:val="none" w:sz="0" w:space="0" w:color="auto"/>
                <w:right w:val="none" w:sz="0" w:space="0" w:color="auto"/>
              </w:divBdr>
            </w:div>
          </w:divsChild>
        </w:div>
        <w:div w:id="1407724253">
          <w:marLeft w:val="0"/>
          <w:marRight w:val="0"/>
          <w:marTop w:val="0"/>
          <w:marBottom w:val="0"/>
          <w:divBdr>
            <w:top w:val="none" w:sz="0" w:space="0" w:color="auto"/>
            <w:left w:val="none" w:sz="0" w:space="0" w:color="auto"/>
            <w:bottom w:val="none" w:sz="0" w:space="0" w:color="auto"/>
            <w:right w:val="none" w:sz="0" w:space="0" w:color="auto"/>
          </w:divBdr>
          <w:divsChild>
            <w:div w:id="108510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55781618">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19767016">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33318142">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79476312">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7068865">
      <w:bodyDiv w:val="1"/>
      <w:marLeft w:val="0"/>
      <w:marRight w:val="0"/>
      <w:marTop w:val="0"/>
      <w:marBottom w:val="0"/>
      <w:divBdr>
        <w:top w:val="none" w:sz="0" w:space="0" w:color="auto"/>
        <w:left w:val="none" w:sz="0" w:space="0" w:color="auto"/>
        <w:bottom w:val="none" w:sz="0" w:space="0" w:color="auto"/>
        <w:right w:val="none" w:sz="0" w:space="0" w:color="auto"/>
      </w:divBdr>
    </w:div>
    <w:div w:id="463817812">
      <w:bodyDiv w:val="1"/>
      <w:marLeft w:val="0"/>
      <w:marRight w:val="0"/>
      <w:marTop w:val="0"/>
      <w:marBottom w:val="0"/>
      <w:divBdr>
        <w:top w:val="none" w:sz="0" w:space="0" w:color="auto"/>
        <w:left w:val="none" w:sz="0" w:space="0" w:color="auto"/>
        <w:bottom w:val="none" w:sz="0" w:space="0" w:color="auto"/>
        <w:right w:val="none" w:sz="0" w:space="0" w:color="auto"/>
      </w:divBdr>
    </w:div>
    <w:div w:id="472790983">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6409392">
      <w:bodyDiv w:val="1"/>
      <w:marLeft w:val="0"/>
      <w:marRight w:val="0"/>
      <w:marTop w:val="0"/>
      <w:marBottom w:val="0"/>
      <w:divBdr>
        <w:top w:val="none" w:sz="0" w:space="0" w:color="auto"/>
        <w:left w:val="none" w:sz="0" w:space="0" w:color="auto"/>
        <w:bottom w:val="none" w:sz="0" w:space="0" w:color="auto"/>
        <w:right w:val="none" w:sz="0" w:space="0" w:color="auto"/>
      </w:divBdr>
    </w:div>
    <w:div w:id="542181576">
      <w:bodyDiv w:val="1"/>
      <w:marLeft w:val="0"/>
      <w:marRight w:val="0"/>
      <w:marTop w:val="0"/>
      <w:marBottom w:val="0"/>
      <w:divBdr>
        <w:top w:val="none" w:sz="0" w:space="0" w:color="auto"/>
        <w:left w:val="none" w:sz="0" w:space="0" w:color="auto"/>
        <w:bottom w:val="none" w:sz="0" w:space="0" w:color="auto"/>
        <w:right w:val="none" w:sz="0" w:space="0" w:color="auto"/>
      </w:divBdr>
      <w:divsChild>
        <w:div w:id="1692340134">
          <w:marLeft w:val="0"/>
          <w:marRight w:val="0"/>
          <w:marTop w:val="0"/>
          <w:marBottom w:val="0"/>
          <w:divBdr>
            <w:top w:val="none" w:sz="0" w:space="0" w:color="auto"/>
            <w:left w:val="none" w:sz="0" w:space="0" w:color="auto"/>
            <w:bottom w:val="none" w:sz="0" w:space="0" w:color="auto"/>
            <w:right w:val="none" w:sz="0" w:space="0" w:color="auto"/>
          </w:divBdr>
          <w:divsChild>
            <w:div w:id="191653205">
              <w:marLeft w:val="0"/>
              <w:marRight w:val="0"/>
              <w:marTop w:val="0"/>
              <w:marBottom w:val="0"/>
              <w:divBdr>
                <w:top w:val="none" w:sz="0" w:space="0" w:color="auto"/>
                <w:left w:val="none" w:sz="0" w:space="0" w:color="auto"/>
                <w:bottom w:val="none" w:sz="0" w:space="0" w:color="auto"/>
                <w:right w:val="none" w:sz="0" w:space="0" w:color="auto"/>
              </w:divBdr>
              <w:divsChild>
                <w:div w:id="1622420130">
                  <w:marLeft w:val="0"/>
                  <w:marRight w:val="0"/>
                  <w:marTop w:val="0"/>
                  <w:marBottom w:val="0"/>
                  <w:divBdr>
                    <w:top w:val="none" w:sz="0" w:space="0" w:color="auto"/>
                    <w:left w:val="none" w:sz="0" w:space="0" w:color="auto"/>
                    <w:bottom w:val="none" w:sz="0" w:space="0" w:color="auto"/>
                    <w:right w:val="none" w:sz="0" w:space="0" w:color="auto"/>
                  </w:divBdr>
                  <w:divsChild>
                    <w:div w:id="6100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8113">
              <w:marLeft w:val="0"/>
              <w:marRight w:val="0"/>
              <w:marTop w:val="0"/>
              <w:marBottom w:val="0"/>
              <w:divBdr>
                <w:top w:val="none" w:sz="0" w:space="0" w:color="auto"/>
                <w:left w:val="none" w:sz="0" w:space="0" w:color="auto"/>
                <w:bottom w:val="none" w:sz="0" w:space="0" w:color="auto"/>
                <w:right w:val="none" w:sz="0" w:space="0" w:color="auto"/>
              </w:divBdr>
            </w:div>
          </w:divsChild>
        </w:div>
        <w:div w:id="1408501491">
          <w:marLeft w:val="0"/>
          <w:marRight w:val="0"/>
          <w:marTop w:val="0"/>
          <w:marBottom w:val="0"/>
          <w:divBdr>
            <w:top w:val="none" w:sz="0" w:space="0" w:color="auto"/>
            <w:left w:val="none" w:sz="0" w:space="0" w:color="auto"/>
            <w:bottom w:val="none" w:sz="0" w:space="0" w:color="auto"/>
            <w:right w:val="none" w:sz="0" w:space="0" w:color="auto"/>
          </w:divBdr>
          <w:divsChild>
            <w:div w:id="15957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4454459">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03768476">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47667375">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1238873">
      <w:bodyDiv w:val="1"/>
      <w:marLeft w:val="0"/>
      <w:marRight w:val="0"/>
      <w:marTop w:val="0"/>
      <w:marBottom w:val="0"/>
      <w:divBdr>
        <w:top w:val="none" w:sz="0" w:space="0" w:color="auto"/>
        <w:left w:val="none" w:sz="0" w:space="0" w:color="auto"/>
        <w:bottom w:val="none" w:sz="0" w:space="0" w:color="auto"/>
        <w:right w:val="none" w:sz="0" w:space="0" w:color="auto"/>
      </w:divBdr>
      <w:divsChild>
        <w:div w:id="1863202256">
          <w:marLeft w:val="0"/>
          <w:marRight w:val="0"/>
          <w:marTop w:val="0"/>
          <w:marBottom w:val="0"/>
          <w:divBdr>
            <w:top w:val="none" w:sz="0" w:space="0" w:color="auto"/>
            <w:left w:val="none" w:sz="0" w:space="0" w:color="auto"/>
            <w:bottom w:val="none" w:sz="0" w:space="0" w:color="auto"/>
            <w:right w:val="none" w:sz="0" w:space="0" w:color="auto"/>
          </w:divBdr>
          <w:divsChild>
            <w:div w:id="1616523017">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1610">
          <w:marLeft w:val="0"/>
          <w:marRight w:val="0"/>
          <w:marTop w:val="0"/>
          <w:marBottom w:val="0"/>
          <w:divBdr>
            <w:top w:val="none" w:sz="0" w:space="0" w:color="auto"/>
            <w:left w:val="none" w:sz="0" w:space="0" w:color="auto"/>
            <w:bottom w:val="none" w:sz="0" w:space="0" w:color="auto"/>
            <w:right w:val="none" w:sz="0" w:space="0" w:color="auto"/>
          </w:divBdr>
        </w:div>
      </w:divsChild>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5013253">
      <w:bodyDiv w:val="1"/>
      <w:marLeft w:val="0"/>
      <w:marRight w:val="0"/>
      <w:marTop w:val="0"/>
      <w:marBottom w:val="0"/>
      <w:divBdr>
        <w:top w:val="none" w:sz="0" w:space="0" w:color="auto"/>
        <w:left w:val="none" w:sz="0" w:space="0" w:color="auto"/>
        <w:bottom w:val="none" w:sz="0" w:space="0" w:color="auto"/>
        <w:right w:val="none" w:sz="0" w:space="0" w:color="auto"/>
      </w:divBdr>
      <w:divsChild>
        <w:div w:id="1549801813">
          <w:marLeft w:val="0"/>
          <w:marRight w:val="0"/>
          <w:marTop w:val="150"/>
          <w:marBottom w:val="150"/>
          <w:divBdr>
            <w:top w:val="none" w:sz="0" w:space="0" w:color="auto"/>
            <w:left w:val="none" w:sz="0" w:space="0" w:color="auto"/>
            <w:bottom w:val="none" w:sz="0" w:space="0" w:color="auto"/>
            <w:right w:val="none" w:sz="0" w:space="0" w:color="auto"/>
          </w:divBdr>
        </w:div>
      </w:divsChild>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22483625">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71161495">
      <w:bodyDiv w:val="1"/>
      <w:marLeft w:val="0"/>
      <w:marRight w:val="0"/>
      <w:marTop w:val="0"/>
      <w:marBottom w:val="0"/>
      <w:divBdr>
        <w:top w:val="none" w:sz="0" w:space="0" w:color="auto"/>
        <w:left w:val="none" w:sz="0" w:space="0" w:color="auto"/>
        <w:bottom w:val="none" w:sz="0" w:space="0" w:color="auto"/>
        <w:right w:val="none" w:sz="0" w:space="0" w:color="auto"/>
      </w:divBdr>
      <w:divsChild>
        <w:div w:id="406149646">
          <w:marLeft w:val="0"/>
          <w:marRight w:val="0"/>
          <w:marTop w:val="0"/>
          <w:marBottom w:val="166"/>
          <w:divBdr>
            <w:top w:val="none" w:sz="0" w:space="0" w:color="auto"/>
            <w:left w:val="none" w:sz="0" w:space="0" w:color="auto"/>
            <w:bottom w:val="none" w:sz="0" w:space="0" w:color="auto"/>
            <w:right w:val="none" w:sz="0" w:space="0" w:color="auto"/>
          </w:divBdr>
          <w:divsChild>
            <w:div w:id="1845050264">
              <w:marLeft w:val="0"/>
              <w:marRight w:val="0"/>
              <w:marTop w:val="166"/>
              <w:marBottom w:val="166"/>
              <w:divBdr>
                <w:top w:val="none" w:sz="0" w:space="0" w:color="auto"/>
                <w:left w:val="none" w:sz="0" w:space="0" w:color="auto"/>
                <w:bottom w:val="none" w:sz="0" w:space="0" w:color="auto"/>
                <w:right w:val="none" w:sz="0" w:space="0" w:color="auto"/>
              </w:divBdr>
              <w:divsChild>
                <w:div w:id="1217624022">
                  <w:marLeft w:val="0"/>
                  <w:marRight w:val="0"/>
                  <w:marTop w:val="0"/>
                  <w:marBottom w:val="0"/>
                  <w:divBdr>
                    <w:top w:val="none" w:sz="0" w:space="0" w:color="auto"/>
                    <w:left w:val="none" w:sz="0" w:space="0" w:color="auto"/>
                    <w:bottom w:val="none" w:sz="0" w:space="0" w:color="auto"/>
                    <w:right w:val="none" w:sz="0" w:space="0" w:color="auto"/>
                  </w:divBdr>
                </w:div>
              </w:divsChild>
            </w:div>
            <w:div w:id="1705323292">
              <w:marLeft w:val="0"/>
              <w:marRight w:val="0"/>
              <w:marTop w:val="166"/>
              <w:marBottom w:val="166"/>
              <w:divBdr>
                <w:top w:val="none" w:sz="0" w:space="0" w:color="auto"/>
                <w:left w:val="none" w:sz="0" w:space="0" w:color="auto"/>
                <w:bottom w:val="none" w:sz="0" w:space="0" w:color="auto"/>
                <w:right w:val="none" w:sz="0" w:space="0" w:color="auto"/>
              </w:divBdr>
              <w:divsChild>
                <w:div w:id="1353725755">
                  <w:marLeft w:val="0"/>
                  <w:marRight w:val="0"/>
                  <w:marTop w:val="0"/>
                  <w:marBottom w:val="0"/>
                  <w:divBdr>
                    <w:top w:val="none" w:sz="0" w:space="0" w:color="auto"/>
                    <w:left w:val="none" w:sz="0" w:space="0" w:color="auto"/>
                    <w:bottom w:val="none" w:sz="0" w:space="0" w:color="auto"/>
                    <w:right w:val="none" w:sz="0" w:space="0" w:color="auto"/>
                  </w:divBdr>
                </w:div>
              </w:divsChild>
            </w:div>
            <w:div w:id="904485631">
              <w:marLeft w:val="0"/>
              <w:marRight w:val="0"/>
              <w:marTop w:val="332"/>
              <w:marBottom w:val="332"/>
              <w:divBdr>
                <w:top w:val="single" w:sz="6" w:space="5" w:color="EAC3AF"/>
                <w:left w:val="single" w:sz="6" w:space="8" w:color="EAC3AF"/>
                <w:bottom w:val="single" w:sz="6" w:space="5" w:color="EAC3AF"/>
                <w:right w:val="single" w:sz="6" w:space="8" w:color="EAC3AF"/>
              </w:divBdr>
              <w:divsChild>
                <w:div w:id="16647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5063">
          <w:marLeft w:val="0"/>
          <w:marRight w:val="0"/>
          <w:marTop w:val="0"/>
          <w:marBottom w:val="0"/>
          <w:divBdr>
            <w:top w:val="none" w:sz="0" w:space="0" w:color="auto"/>
            <w:left w:val="none" w:sz="0" w:space="0" w:color="auto"/>
            <w:bottom w:val="none" w:sz="0" w:space="0" w:color="auto"/>
            <w:right w:val="none" w:sz="0" w:space="0" w:color="auto"/>
          </w:divBdr>
          <w:divsChild>
            <w:div w:id="1701273370">
              <w:marLeft w:val="0"/>
              <w:marRight w:val="0"/>
              <w:marTop w:val="0"/>
              <w:marBottom w:val="0"/>
              <w:divBdr>
                <w:top w:val="none" w:sz="0" w:space="0" w:color="auto"/>
                <w:left w:val="none" w:sz="0" w:space="0" w:color="auto"/>
                <w:bottom w:val="none" w:sz="0" w:space="0" w:color="auto"/>
                <w:right w:val="none" w:sz="0" w:space="0" w:color="auto"/>
              </w:divBdr>
            </w:div>
            <w:div w:id="217480200">
              <w:marLeft w:val="0"/>
              <w:marRight w:val="0"/>
              <w:marTop w:val="0"/>
              <w:marBottom w:val="0"/>
              <w:divBdr>
                <w:top w:val="none" w:sz="0" w:space="0" w:color="auto"/>
                <w:left w:val="none" w:sz="0" w:space="0" w:color="auto"/>
                <w:bottom w:val="none" w:sz="0" w:space="0" w:color="auto"/>
                <w:right w:val="none" w:sz="0" w:space="0" w:color="auto"/>
              </w:divBdr>
            </w:div>
            <w:div w:id="1666200937">
              <w:marLeft w:val="0"/>
              <w:marRight w:val="0"/>
              <w:marTop w:val="0"/>
              <w:marBottom w:val="0"/>
              <w:divBdr>
                <w:top w:val="none" w:sz="0" w:space="0" w:color="auto"/>
                <w:left w:val="none" w:sz="0" w:space="0" w:color="auto"/>
                <w:bottom w:val="none" w:sz="0" w:space="0" w:color="auto"/>
                <w:right w:val="none" w:sz="0" w:space="0" w:color="auto"/>
              </w:divBdr>
            </w:div>
            <w:div w:id="651299198">
              <w:marLeft w:val="0"/>
              <w:marRight w:val="0"/>
              <w:marTop w:val="0"/>
              <w:marBottom w:val="0"/>
              <w:divBdr>
                <w:top w:val="none" w:sz="0" w:space="0" w:color="auto"/>
                <w:left w:val="none" w:sz="0" w:space="0" w:color="auto"/>
                <w:bottom w:val="none" w:sz="0" w:space="0" w:color="auto"/>
                <w:right w:val="none" w:sz="0" w:space="0" w:color="auto"/>
              </w:divBdr>
            </w:div>
            <w:div w:id="1139617834">
              <w:marLeft w:val="0"/>
              <w:marRight w:val="0"/>
              <w:marTop w:val="0"/>
              <w:marBottom w:val="0"/>
              <w:divBdr>
                <w:top w:val="none" w:sz="0" w:space="0" w:color="auto"/>
                <w:left w:val="none" w:sz="0" w:space="0" w:color="auto"/>
                <w:bottom w:val="none" w:sz="0" w:space="0" w:color="auto"/>
                <w:right w:val="none" w:sz="0" w:space="0" w:color="auto"/>
              </w:divBdr>
            </w:div>
          </w:divsChild>
        </w:div>
        <w:div w:id="1646006499">
          <w:marLeft w:val="0"/>
          <w:marRight w:val="0"/>
          <w:marTop w:val="0"/>
          <w:marBottom w:val="0"/>
          <w:divBdr>
            <w:top w:val="none" w:sz="0" w:space="0" w:color="auto"/>
            <w:left w:val="none" w:sz="0" w:space="0" w:color="auto"/>
            <w:bottom w:val="none" w:sz="0" w:space="0" w:color="auto"/>
            <w:right w:val="none" w:sz="0" w:space="0" w:color="auto"/>
          </w:divBdr>
        </w:div>
      </w:divsChild>
    </w:div>
    <w:div w:id="1572353758">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45620506">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96226841">
      <w:bodyDiv w:val="1"/>
      <w:marLeft w:val="0"/>
      <w:marRight w:val="0"/>
      <w:marTop w:val="0"/>
      <w:marBottom w:val="0"/>
      <w:divBdr>
        <w:top w:val="none" w:sz="0" w:space="0" w:color="auto"/>
        <w:left w:val="none" w:sz="0" w:space="0" w:color="auto"/>
        <w:bottom w:val="none" w:sz="0" w:space="0" w:color="auto"/>
        <w:right w:val="none" w:sz="0" w:space="0" w:color="auto"/>
      </w:divBdr>
    </w:div>
    <w:div w:id="1740398815">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7453424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5698303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84121521">
      <w:bodyDiv w:val="1"/>
      <w:marLeft w:val="0"/>
      <w:marRight w:val="0"/>
      <w:marTop w:val="0"/>
      <w:marBottom w:val="0"/>
      <w:divBdr>
        <w:top w:val="none" w:sz="0" w:space="0" w:color="auto"/>
        <w:left w:val="none" w:sz="0" w:space="0" w:color="auto"/>
        <w:bottom w:val="none" w:sz="0" w:space="0" w:color="auto"/>
        <w:right w:val="none" w:sz="0" w:space="0" w:color="auto"/>
      </w:divBdr>
    </w:div>
    <w:div w:id="2003698680">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52463440">
      <w:bodyDiv w:val="1"/>
      <w:marLeft w:val="0"/>
      <w:marRight w:val="0"/>
      <w:marTop w:val="0"/>
      <w:marBottom w:val="0"/>
      <w:divBdr>
        <w:top w:val="none" w:sz="0" w:space="0" w:color="auto"/>
        <w:left w:val="none" w:sz="0" w:space="0" w:color="auto"/>
        <w:bottom w:val="none" w:sz="0" w:space="0" w:color="auto"/>
        <w:right w:val="none" w:sz="0" w:space="0" w:color="auto"/>
      </w:divBdr>
      <w:divsChild>
        <w:div w:id="809976396">
          <w:marLeft w:val="0"/>
          <w:marRight w:val="0"/>
          <w:marTop w:val="0"/>
          <w:marBottom w:val="0"/>
          <w:divBdr>
            <w:top w:val="none" w:sz="0" w:space="0" w:color="auto"/>
            <w:left w:val="none" w:sz="0" w:space="0" w:color="auto"/>
            <w:bottom w:val="none" w:sz="0" w:space="0" w:color="auto"/>
            <w:right w:val="none" w:sz="0" w:space="0" w:color="auto"/>
          </w:divBdr>
          <w:divsChild>
            <w:div w:id="1522083363">
              <w:marLeft w:val="0"/>
              <w:marRight w:val="0"/>
              <w:marTop w:val="0"/>
              <w:marBottom w:val="0"/>
              <w:divBdr>
                <w:top w:val="none" w:sz="0" w:space="0" w:color="auto"/>
                <w:left w:val="none" w:sz="0" w:space="0" w:color="auto"/>
                <w:bottom w:val="none" w:sz="0" w:space="0" w:color="auto"/>
                <w:right w:val="none" w:sz="0" w:space="0" w:color="auto"/>
              </w:divBdr>
              <w:divsChild>
                <w:div w:id="4949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Visio_2003-2010_Drawing1.vsd"/><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10.tif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g"/><Relationship Id="rId22" Type="http://schemas.openxmlformats.org/officeDocument/2006/relationships/oleObject" Target="embeddings/Microsoft_Visio_2003-2010_Drawing2.vsd"/></Relationships>
</file>

<file path=word/_rels/endnotes.xml.rels><?xml version="1.0" encoding="UTF-8" standalone="yes"?>
<Relationships xmlns="http://schemas.openxmlformats.org/package/2006/relationships"><Relationship Id="rId1" Type="http://schemas.openxmlformats.org/officeDocument/2006/relationships/hyperlink" Target="http://www.aihw.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rofile.id.com.au/australia/five-year-age-groups?Sex=1" TargetMode="External"/><Relationship Id="rId2" Type="http://schemas.openxmlformats.org/officeDocument/2006/relationships/hyperlink" Target="https://www.statista.com/statistics/939824/proportion-visits-general-practitioner-by-age-australia/" TargetMode="External"/><Relationship Id="rId1" Type="http://schemas.openxmlformats.org/officeDocument/2006/relationships/hyperlink" Target="https://www.aihw.gov.au/reports/heart-stroke-vascular-diseases/hsvd-facts/contents/heart-stroke-and-vascular-disease-and-subtypes/total-heart-stroke-and-vascular-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D775-91B8-4697-8806-DA0058D7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49</Pages>
  <Words>15827</Words>
  <Characters>91851</Characters>
  <Application>Microsoft Office Word</Application>
  <DocSecurity>0</DocSecurity>
  <Lines>2839</Lines>
  <Paragraphs>1242</Paragraphs>
  <ScaleCrop>false</ScaleCrop>
  <HeadingPairs>
    <vt:vector size="2" baseType="variant">
      <vt:variant>
        <vt:lpstr>Title</vt:lpstr>
      </vt:variant>
      <vt:variant>
        <vt:i4>1</vt:i4>
      </vt:variant>
    </vt:vector>
  </HeadingPairs>
  <TitlesOfParts>
    <vt:vector size="1" baseType="lpstr">
      <vt:lpstr>Early detection and management of cardiovascular disease risk factors and chronic disease markers in community pharmacy – Final report</vt:lpstr>
    </vt:vector>
  </TitlesOfParts>
  <Company/>
  <LinksUpToDate>false</LinksUpToDate>
  <CharactersWithSpaces>107021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detection and management of cardiovascular disease risk factors and chronic disease markers in community pharmacy – Final report</dc:title>
  <dc:subject>Medicines</dc:subject>
  <dc:creator>Australian Government Department of Health and Aged Care</dc:creator>
  <cp:keywords>PTP; Pharmacy Trial Program</cp:keywords>
  <dc:description/>
  <cp:lastModifiedBy>MCCAY, Meryl</cp:lastModifiedBy>
  <cp:revision>50</cp:revision>
  <cp:lastPrinted>2023-06-27T01:20:00Z</cp:lastPrinted>
  <dcterms:created xsi:type="dcterms:W3CDTF">2023-06-12T12:28:00Z</dcterms:created>
  <dcterms:modified xsi:type="dcterms:W3CDTF">2023-07-14T04:11:00Z</dcterms:modified>
</cp:coreProperties>
</file>