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04CA" w14:textId="789B1CBE" w:rsidR="00503A47" w:rsidRPr="007825C4" w:rsidRDefault="00206929" w:rsidP="0005545A">
      <w:pPr>
        <w:pStyle w:val="PolicySectionHeader1"/>
      </w:pPr>
      <w:r w:rsidRPr="007825C4">
        <w:t>Duty of Care</w:t>
      </w:r>
    </w:p>
    <w:p w14:paraId="34BC0477" w14:textId="3081C6AB" w:rsidR="00431EBA" w:rsidRPr="007825C4" w:rsidRDefault="00431EBA" w:rsidP="005B61A4">
      <w:pPr>
        <w:rPr>
          <w:i/>
          <w:iCs/>
        </w:rPr>
      </w:pPr>
      <w:r w:rsidRPr="007825C4">
        <w:rPr>
          <w:i/>
          <w:iCs/>
        </w:rPr>
        <w:t xml:space="preserve">Disclaimer: This video is designed to be a conversation starter on the topic of duty of care in a remote aged care context. The facilitator should make use of other resources to ensure the learner </w:t>
      </w:r>
      <w:r w:rsidR="0071314F" w:rsidRPr="007825C4">
        <w:rPr>
          <w:i/>
          <w:iCs/>
        </w:rPr>
        <w:t>continues to develop their understanding of</w:t>
      </w:r>
      <w:r w:rsidRPr="007825C4">
        <w:rPr>
          <w:i/>
          <w:iCs/>
        </w:rPr>
        <w:t xml:space="preserve"> duty of care in their workplace</w:t>
      </w:r>
      <w:r w:rsidR="0071314F" w:rsidRPr="007825C4">
        <w:rPr>
          <w:i/>
          <w:iCs/>
        </w:rPr>
        <w:t xml:space="preserve"> and their responsibilities</w:t>
      </w:r>
      <w:r w:rsidRPr="007825C4">
        <w:rPr>
          <w:i/>
          <w:iCs/>
        </w:rPr>
        <w:t xml:space="preserve">. </w:t>
      </w:r>
    </w:p>
    <w:p w14:paraId="0B8BC70C" w14:textId="2A0B13FF" w:rsidR="005B61A4" w:rsidRPr="007825C4" w:rsidRDefault="00206929" w:rsidP="005B61A4">
      <w:r w:rsidRPr="007825C4">
        <w:t xml:space="preserve">Duty of care in an aged care setting means ensuring your actions or inactions do not result in harm or injury to the </w:t>
      </w:r>
      <w:r w:rsidR="0071314F" w:rsidRPr="007825C4">
        <w:t>person receiving care</w:t>
      </w:r>
      <w:r w:rsidRPr="007825C4">
        <w:t>. It means taking reasonable measures to protect, or at least not cause foreseeable harm, to another person or their property.</w:t>
      </w:r>
    </w:p>
    <w:p w14:paraId="5FF80A33" w14:textId="565E9459" w:rsidR="0005545A" w:rsidRPr="007825C4" w:rsidRDefault="00206929" w:rsidP="0005545A">
      <w:r w:rsidRPr="007825C4">
        <w:t>Working in the aged or disability sector, you have a legal and moral responsibility to keep the people you support safe from harm while using your service or in your care.</w:t>
      </w:r>
    </w:p>
    <w:p w14:paraId="6BE783FD" w14:textId="3DE266F5" w:rsidR="005B61A4" w:rsidRPr="007825C4" w:rsidRDefault="00206929">
      <w:r w:rsidRPr="007825C4">
        <w:t xml:space="preserve">In our modern aged care framework, a duty of care also means providing a high standard of care and services that meet the person's assessed needs and listening to and facilitating consumer dignity and choice. </w:t>
      </w:r>
    </w:p>
    <w:p w14:paraId="41622E94" w14:textId="261A7435" w:rsidR="0005545A" w:rsidRPr="007825C4" w:rsidRDefault="00206929" w:rsidP="005B61A4">
      <w:pPr>
        <w:pStyle w:val="Heading2"/>
      </w:pPr>
      <w:r w:rsidRPr="007825C4">
        <w:t>Risk assessments for activities</w:t>
      </w:r>
    </w:p>
    <w:p w14:paraId="66532D68" w14:textId="34D1DB5F" w:rsidR="00AD61DD" w:rsidRPr="007825C4" w:rsidRDefault="00206929">
      <w:r w:rsidRPr="007825C4">
        <w:t xml:space="preserve">The setting for this video revolves around taking </w:t>
      </w:r>
      <w:r w:rsidR="0071314F" w:rsidRPr="007825C4">
        <w:t>a group of care recipients</w:t>
      </w:r>
      <w:r w:rsidRPr="007825C4">
        <w:t xml:space="preserve"> out on a bush trip or picnic. The video opens with the preparation phase and emphasises how important this is to support the safety of </w:t>
      </w:r>
      <w:r w:rsidR="0071314F" w:rsidRPr="007825C4">
        <w:t>those</w:t>
      </w:r>
      <w:r w:rsidRPr="007825C4">
        <w:t xml:space="preserve"> attending the activity. </w:t>
      </w:r>
    </w:p>
    <w:p w14:paraId="6C039EBC" w14:textId="59F78303" w:rsidR="005B61A4" w:rsidRPr="007825C4" w:rsidRDefault="00206929">
      <w:r w:rsidRPr="007825C4">
        <w:t xml:space="preserve">Judith and Tamika discuss completing a vehicle checklist </w:t>
      </w:r>
      <w:r w:rsidR="00AD61DD" w:rsidRPr="007825C4">
        <w:t>and</w:t>
      </w:r>
      <w:r w:rsidRPr="007825C4">
        <w:t xml:space="preserve"> an activity risk assessment.</w:t>
      </w:r>
    </w:p>
    <w:p w14:paraId="04C9F044" w14:textId="1AC1EED4" w:rsidR="00AD61DD" w:rsidRPr="007825C4" w:rsidRDefault="00206929">
      <w:r w:rsidRPr="007825C4">
        <w:t>Enid and Judith run through the activity risk assessment together and confirm things like who is going</w:t>
      </w:r>
      <w:r w:rsidR="00A54B9B" w:rsidRPr="007825C4">
        <w:t>,</w:t>
      </w:r>
      <w:r w:rsidRPr="007825C4">
        <w:t xml:space="preserve"> communication and timeframes. They also identify specific </w:t>
      </w:r>
      <w:r w:rsidR="0071314F" w:rsidRPr="007825C4">
        <w:t>people</w:t>
      </w:r>
      <w:r w:rsidRPr="007825C4">
        <w:t xml:space="preserve"> who may be more vulnerable. </w:t>
      </w:r>
    </w:p>
    <w:p w14:paraId="4D457E7C" w14:textId="39B1763C" w:rsidR="005B61A4" w:rsidRPr="007825C4" w:rsidRDefault="00206929" w:rsidP="005B61A4">
      <w:pPr>
        <w:pStyle w:val="ListParagraph"/>
        <w:numPr>
          <w:ilvl w:val="0"/>
          <w:numId w:val="2"/>
        </w:numPr>
        <w:rPr>
          <w:i/>
          <w:iCs/>
        </w:rPr>
      </w:pPr>
      <w:r w:rsidRPr="007825C4">
        <w:rPr>
          <w:i/>
          <w:iCs/>
        </w:rPr>
        <w:t xml:space="preserve">Talk about the risk assessments and paperwork that is completed in your organisation before taking </w:t>
      </w:r>
      <w:r w:rsidR="0071314F" w:rsidRPr="007825C4">
        <w:rPr>
          <w:i/>
          <w:iCs/>
        </w:rPr>
        <w:t>people</w:t>
      </w:r>
      <w:r w:rsidRPr="007825C4">
        <w:rPr>
          <w:i/>
          <w:iCs/>
        </w:rPr>
        <w:t xml:space="preserve"> out on activities.</w:t>
      </w:r>
    </w:p>
    <w:p w14:paraId="3E5BDF17" w14:textId="70461BC2" w:rsidR="005B61A4" w:rsidRPr="007825C4" w:rsidRDefault="00206929" w:rsidP="005B61A4">
      <w:pPr>
        <w:pStyle w:val="ListParagraph"/>
        <w:numPr>
          <w:ilvl w:val="0"/>
          <w:numId w:val="2"/>
        </w:numPr>
        <w:rPr>
          <w:i/>
          <w:iCs/>
        </w:rPr>
      </w:pPr>
      <w:r w:rsidRPr="007825C4">
        <w:rPr>
          <w:i/>
          <w:iCs/>
        </w:rPr>
        <w:t xml:space="preserve">If the </w:t>
      </w:r>
      <w:r w:rsidR="0071314F" w:rsidRPr="007825C4">
        <w:rPr>
          <w:i/>
          <w:iCs/>
        </w:rPr>
        <w:t>staff member will be</w:t>
      </w:r>
      <w:r w:rsidRPr="007825C4">
        <w:rPr>
          <w:i/>
          <w:iCs/>
        </w:rPr>
        <w:t xml:space="preserve"> taking </w:t>
      </w:r>
      <w:r w:rsidR="0071314F" w:rsidRPr="007825C4">
        <w:rPr>
          <w:i/>
          <w:iCs/>
        </w:rPr>
        <w:t>people</w:t>
      </w:r>
      <w:r w:rsidRPr="007825C4">
        <w:rPr>
          <w:i/>
          <w:iCs/>
        </w:rPr>
        <w:t xml:space="preserve"> out on social support activities, talk about things they might need to consider before going out.</w:t>
      </w:r>
    </w:p>
    <w:p w14:paraId="3B2A4DE5" w14:textId="4191E5F3" w:rsidR="005B61A4" w:rsidRPr="007825C4" w:rsidRDefault="00206929" w:rsidP="005B61A4">
      <w:pPr>
        <w:pStyle w:val="ListParagraph"/>
        <w:numPr>
          <w:ilvl w:val="0"/>
          <w:numId w:val="2"/>
        </w:numPr>
        <w:rPr>
          <w:i/>
          <w:iCs/>
        </w:rPr>
      </w:pPr>
      <w:r w:rsidRPr="007825C4">
        <w:rPr>
          <w:i/>
          <w:iCs/>
        </w:rPr>
        <w:t xml:space="preserve">If you are watching this video as a group, talk about vulnerable </w:t>
      </w:r>
      <w:r w:rsidR="0071314F" w:rsidRPr="007825C4">
        <w:rPr>
          <w:i/>
          <w:iCs/>
        </w:rPr>
        <w:t>people</w:t>
      </w:r>
      <w:r w:rsidRPr="007825C4">
        <w:rPr>
          <w:i/>
          <w:iCs/>
        </w:rPr>
        <w:t xml:space="preserve"> you know who might need additional care and support.</w:t>
      </w:r>
    </w:p>
    <w:p w14:paraId="274CA65D" w14:textId="416387A8" w:rsidR="00AD61DD" w:rsidRPr="007825C4" w:rsidRDefault="00206929" w:rsidP="00AD61DD">
      <w:pPr>
        <w:pStyle w:val="Heading2"/>
      </w:pPr>
      <w:r w:rsidRPr="007825C4">
        <w:t xml:space="preserve">Monitoring </w:t>
      </w:r>
      <w:r w:rsidR="0071314F" w:rsidRPr="007825C4">
        <w:t>person receiving care</w:t>
      </w:r>
      <w:r w:rsidRPr="007825C4">
        <w:t>s</w:t>
      </w:r>
    </w:p>
    <w:p w14:paraId="3D8570FC" w14:textId="0BFE4176" w:rsidR="00A54B9B" w:rsidRPr="007825C4" w:rsidRDefault="0071314F" w:rsidP="00AD61DD">
      <w:r w:rsidRPr="007825C4">
        <w:t xml:space="preserve">When running an activity, staff need to continually monitor where everyone is to ensure they are safe. </w:t>
      </w:r>
    </w:p>
    <w:p w14:paraId="5126979C" w14:textId="1241A13C" w:rsidR="00AD61DD" w:rsidRPr="007825C4" w:rsidRDefault="00206929" w:rsidP="00AD61DD">
      <w:r w:rsidRPr="007825C4">
        <w:t xml:space="preserve">For example, in the bush activity scene, one </w:t>
      </w:r>
      <w:r w:rsidR="0071314F" w:rsidRPr="007825C4">
        <w:t>person</w:t>
      </w:r>
      <w:r w:rsidRPr="007825C4">
        <w:t xml:space="preserve"> </w:t>
      </w:r>
      <w:r w:rsidR="0071314F" w:rsidRPr="007825C4">
        <w:t>wanders away</w:t>
      </w:r>
      <w:r w:rsidRPr="007825C4">
        <w:t xml:space="preserve"> from the group. While the </w:t>
      </w:r>
      <w:r w:rsidR="0071314F" w:rsidRPr="007825C4">
        <w:t xml:space="preserve">person </w:t>
      </w:r>
      <w:r w:rsidRPr="007825C4">
        <w:t xml:space="preserve">is found quickly, it is vital for staff to understand that if a person goes missing from a group activity, this must be reported under the Serious Incident Response Scheme (SIRS). </w:t>
      </w:r>
    </w:p>
    <w:p w14:paraId="59E4A3DB" w14:textId="36FDA5BA" w:rsidR="00AD61DD" w:rsidRPr="007825C4" w:rsidRDefault="00206929" w:rsidP="00AD61DD">
      <w:pPr>
        <w:pStyle w:val="ListParagraph"/>
        <w:numPr>
          <w:ilvl w:val="0"/>
          <w:numId w:val="3"/>
        </w:numPr>
        <w:rPr>
          <w:i/>
          <w:iCs/>
        </w:rPr>
      </w:pPr>
      <w:r w:rsidRPr="007825C4">
        <w:rPr>
          <w:i/>
          <w:iCs/>
        </w:rPr>
        <w:t>Talk about SIRS and what things need to be reported by staff under this program.</w:t>
      </w:r>
    </w:p>
    <w:p w14:paraId="3BCBA949" w14:textId="0D88ACB4" w:rsidR="00AD61DD" w:rsidRPr="007825C4" w:rsidRDefault="00206929" w:rsidP="00AD61DD">
      <w:r w:rsidRPr="007825C4">
        <w:lastRenderedPageBreak/>
        <w:t>A second incident during the outing was when Tamika left the group to do her own thing. This c</w:t>
      </w:r>
      <w:r w:rsidR="0071314F" w:rsidRPr="007825C4">
        <w:t>ould</w:t>
      </w:r>
      <w:r w:rsidRPr="007825C4">
        <w:t xml:space="preserve"> put </w:t>
      </w:r>
      <w:r w:rsidR="00350DE5" w:rsidRPr="007825C4">
        <w:t xml:space="preserve">the </w:t>
      </w:r>
      <w:r w:rsidR="0071314F" w:rsidRPr="007825C4">
        <w:t xml:space="preserve">group of older ladies </w:t>
      </w:r>
      <w:r w:rsidR="00350DE5" w:rsidRPr="007825C4">
        <w:t>at risk</w:t>
      </w:r>
      <w:r w:rsidR="0071314F" w:rsidRPr="007825C4">
        <w:t>, with</w:t>
      </w:r>
      <w:r w:rsidR="00350DE5" w:rsidRPr="007825C4">
        <w:t xml:space="preserve"> no support person to assist them if something goes wrong. Additionally, one of</w:t>
      </w:r>
      <w:r w:rsidRPr="007825C4">
        <w:t xml:space="preserve"> the</w:t>
      </w:r>
      <w:r w:rsidR="00350DE5" w:rsidRPr="007825C4">
        <w:t xml:space="preserve"> </w:t>
      </w:r>
      <w:r w:rsidR="0071314F" w:rsidRPr="007825C4">
        <w:t>ladies</w:t>
      </w:r>
      <w:r w:rsidR="00350DE5" w:rsidRPr="007825C4">
        <w:t xml:space="preserve"> had been identified as having dementia and was therefore</w:t>
      </w:r>
      <w:r w:rsidR="0071314F" w:rsidRPr="007825C4">
        <w:t xml:space="preserve"> </w:t>
      </w:r>
      <w:r w:rsidR="00350DE5" w:rsidRPr="007825C4">
        <w:t xml:space="preserve">vulnerable. </w:t>
      </w:r>
    </w:p>
    <w:p w14:paraId="4ED9AAA2" w14:textId="63BC2655" w:rsidR="0005545A" w:rsidRPr="007825C4" w:rsidRDefault="00206929" w:rsidP="00350DE5">
      <w:pPr>
        <w:pStyle w:val="ListParagraph"/>
        <w:numPr>
          <w:ilvl w:val="0"/>
          <w:numId w:val="3"/>
        </w:numPr>
        <w:rPr>
          <w:i/>
          <w:iCs/>
        </w:rPr>
      </w:pPr>
      <w:r w:rsidRPr="007825C4">
        <w:rPr>
          <w:i/>
          <w:iCs/>
        </w:rPr>
        <w:t xml:space="preserve">Talk about how important it is for staff to stay with and monitor vulnerable </w:t>
      </w:r>
      <w:r w:rsidR="0071314F" w:rsidRPr="007825C4">
        <w:rPr>
          <w:i/>
          <w:iCs/>
        </w:rPr>
        <w:t>people, both</w:t>
      </w:r>
      <w:r w:rsidRPr="007825C4">
        <w:rPr>
          <w:i/>
          <w:iCs/>
        </w:rPr>
        <w:t xml:space="preserve"> in the home if they provide in-home respite</w:t>
      </w:r>
      <w:r w:rsidR="0071314F" w:rsidRPr="007825C4">
        <w:rPr>
          <w:i/>
          <w:iCs/>
        </w:rPr>
        <w:t>,</w:t>
      </w:r>
      <w:r w:rsidRPr="007825C4">
        <w:rPr>
          <w:i/>
          <w:iCs/>
        </w:rPr>
        <w:t xml:space="preserve"> or when out on activities.</w:t>
      </w:r>
    </w:p>
    <w:p w14:paraId="7D21833C" w14:textId="2B8704BF" w:rsidR="00350DE5" w:rsidRPr="007825C4" w:rsidRDefault="00206929" w:rsidP="00350DE5">
      <w:pPr>
        <w:pStyle w:val="Heading2"/>
      </w:pPr>
      <w:r w:rsidRPr="007825C4">
        <w:t>Review of Activity</w:t>
      </w:r>
    </w:p>
    <w:p w14:paraId="75CDE787" w14:textId="4AE859E5" w:rsidR="00350DE5" w:rsidRPr="007825C4" w:rsidRDefault="00206929" w:rsidP="00350DE5">
      <w:r w:rsidRPr="007825C4">
        <w:t xml:space="preserve">In the final scene, Judith and Tamika review the activity and talk about what went well and what didn't. </w:t>
      </w:r>
    </w:p>
    <w:p w14:paraId="4ECD8666" w14:textId="06839999" w:rsidR="00350DE5" w:rsidRPr="007825C4" w:rsidRDefault="00206929" w:rsidP="00350DE5">
      <w:r w:rsidRPr="007825C4">
        <w:t xml:space="preserve">Judith challenges Tamika about leaving the </w:t>
      </w:r>
      <w:r w:rsidR="0071314F" w:rsidRPr="007825C4">
        <w:t>ladies</w:t>
      </w:r>
      <w:r w:rsidRPr="007825C4">
        <w:t xml:space="preserve"> alone to do her own thing, saying that although nothing terrible happened, they have a duty of care to keep the</w:t>
      </w:r>
      <w:r w:rsidR="0071314F" w:rsidRPr="007825C4">
        <w:t xml:space="preserve">m </w:t>
      </w:r>
      <w:r w:rsidRPr="007825C4">
        <w:t xml:space="preserve">safe. </w:t>
      </w:r>
    </w:p>
    <w:p w14:paraId="13776D7D" w14:textId="095EE926" w:rsidR="00350DE5" w:rsidRPr="007825C4" w:rsidRDefault="00206929" w:rsidP="00350DE5">
      <w:r w:rsidRPr="007825C4">
        <w:t xml:space="preserve">Tamika raises the concept of </w:t>
      </w:r>
      <w:r w:rsidR="0071314F" w:rsidRPr="007825C4">
        <w:t>supporting</w:t>
      </w:r>
      <w:r w:rsidRPr="007825C4">
        <w:t xml:space="preserve"> </w:t>
      </w:r>
      <w:r w:rsidR="0071314F" w:rsidRPr="007825C4">
        <w:t xml:space="preserve">the </w:t>
      </w:r>
      <w:r w:rsidRPr="007825C4">
        <w:t xml:space="preserve">independence </w:t>
      </w:r>
      <w:r w:rsidR="0071314F" w:rsidRPr="007825C4">
        <w:t xml:space="preserve">of people receiving care </w:t>
      </w:r>
      <w:r w:rsidRPr="007825C4">
        <w:t>as one of her excuses for her actions.</w:t>
      </w:r>
      <w:r w:rsidR="00A54B9B" w:rsidRPr="007825C4">
        <w:t xml:space="preserve"> </w:t>
      </w:r>
      <w:r w:rsidRPr="007825C4">
        <w:t xml:space="preserve">Judith acknowledges this but reinforces that supporting a person’s independence doesn’t negate the care workers’ duty of care to the person. </w:t>
      </w:r>
    </w:p>
    <w:p w14:paraId="213E471C" w14:textId="436A3B0B" w:rsidR="00350DE5" w:rsidRPr="007825C4" w:rsidRDefault="00206929" w:rsidP="00350DE5">
      <w:pPr>
        <w:pStyle w:val="ListParagraph"/>
        <w:numPr>
          <w:ilvl w:val="0"/>
          <w:numId w:val="3"/>
        </w:numPr>
        <w:rPr>
          <w:i/>
          <w:iCs/>
        </w:rPr>
      </w:pPr>
      <w:r w:rsidRPr="007825C4">
        <w:rPr>
          <w:i/>
          <w:iCs/>
        </w:rPr>
        <w:t xml:space="preserve">When working with </w:t>
      </w:r>
      <w:r w:rsidR="0071314F" w:rsidRPr="007825C4">
        <w:rPr>
          <w:i/>
          <w:iCs/>
        </w:rPr>
        <w:t>people</w:t>
      </w:r>
      <w:r w:rsidRPr="007825C4">
        <w:rPr>
          <w:i/>
          <w:iCs/>
        </w:rPr>
        <w:t xml:space="preserve"> at your service, discuss balancing independence with the duty of care. </w:t>
      </w:r>
    </w:p>
    <w:p w14:paraId="214E5B7A" w14:textId="77777777" w:rsidR="00431EBA" w:rsidRPr="007825C4" w:rsidRDefault="00431EBA" w:rsidP="00431EBA">
      <w:pPr>
        <w:pStyle w:val="Heading2"/>
      </w:pPr>
      <w:r w:rsidRPr="007825C4">
        <w:t>Links to additional resources</w:t>
      </w:r>
    </w:p>
    <w:p w14:paraId="26D7F91A" w14:textId="0B8FFD31" w:rsidR="00431EBA" w:rsidRDefault="00431EBA" w:rsidP="00431EBA">
      <w:r w:rsidRPr="007825C4">
        <w:t xml:space="preserve">Reporting responsibilities for providers and their staff, SIRS for Home Care, - Aged Care Quality and Safety Commission: </w:t>
      </w:r>
      <w:hyperlink r:id="rId7" w:history="1">
        <w:r w:rsidRPr="007825C4">
          <w:rPr>
            <w:rStyle w:val="Hyperlink"/>
          </w:rPr>
          <w:t>https://www.agedcarequality.gov.au/resources/reporting-responsibilities-providers-and-their-staff-sirs-home-services</w:t>
        </w:r>
      </w:hyperlink>
      <w:r>
        <w:t xml:space="preserve"> </w:t>
      </w:r>
    </w:p>
    <w:p w14:paraId="2DF0FB9F" w14:textId="77777777" w:rsidR="00431EBA" w:rsidRPr="00431EBA" w:rsidRDefault="00431EBA" w:rsidP="00431EBA"/>
    <w:sectPr w:rsidR="00431EBA" w:rsidRPr="00431EB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98BD" w14:textId="77777777" w:rsidR="00E216CD" w:rsidRDefault="00E216CD" w:rsidP="006F2836">
      <w:pPr>
        <w:spacing w:before="0" w:after="0" w:line="240" w:lineRule="auto"/>
      </w:pPr>
      <w:r>
        <w:separator/>
      </w:r>
    </w:p>
  </w:endnote>
  <w:endnote w:type="continuationSeparator" w:id="0">
    <w:p w14:paraId="7CFC81BF" w14:textId="77777777" w:rsidR="00E216CD" w:rsidRDefault="00E216CD" w:rsidP="006F28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1E9AA" w14:textId="77777777" w:rsidR="00E216CD" w:rsidRDefault="00E216CD" w:rsidP="006F2836">
      <w:pPr>
        <w:spacing w:before="0" w:after="0" w:line="240" w:lineRule="auto"/>
      </w:pPr>
      <w:r>
        <w:separator/>
      </w:r>
    </w:p>
  </w:footnote>
  <w:footnote w:type="continuationSeparator" w:id="0">
    <w:p w14:paraId="1422F88D" w14:textId="77777777" w:rsidR="00E216CD" w:rsidRDefault="00E216CD" w:rsidP="006F28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535A" w14:textId="5FA6FD2E" w:rsidR="006F2836" w:rsidRDefault="006F283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0" wp14:anchorId="311B8746" wp14:editId="09D36DF0">
          <wp:simplePos x="0" y="0"/>
          <wp:positionH relativeFrom="page">
            <wp:posOffset>6172200</wp:posOffset>
          </wp:positionH>
          <wp:positionV relativeFrom="page">
            <wp:posOffset>-170180</wp:posOffset>
          </wp:positionV>
          <wp:extent cx="1371600" cy="135763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57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40CC23B9" wp14:editId="2AC0F58F">
          <wp:simplePos x="0" y="0"/>
          <wp:positionH relativeFrom="page">
            <wp:posOffset>-19050</wp:posOffset>
          </wp:positionH>
          <wp:positionV relativeFrom="page">
            <wp:posOffset>10795</wp:posOffset>
          </wp:positionV>
          <wp:extent cx="3498068" cy="851843"/>
          <wp:effectExtent l="0" t="0" r="7620" b="5715"/>
          <wp:wrapTopAndBottom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8068" cy="851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47CB"/>
    <w:multiLevelType w:val="hybridMultilevel"/>
    <w:tmpl w:val="6010E444"/>
    <w:lvl w:ilvl="0" w:tplc="E5244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2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A6A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83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C23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6689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205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C5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8269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1667A"/>
    <w:multiLevelType w:val="hybridMultilevel"/>
    <w:tmpl w:val="246EFA5A"/>
    <w:lvl w:ilvl="0" w:tplc="B8DEB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7678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186F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E1E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45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5ECD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638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80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5A97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8713C"/>
    <w:multiLevelType w:val="multilevel"/>
    <w:tmpl w:val="D9E6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0113697">
    <w:abstractNumId w:val="2"/>
  </w:num>
  <w:num w:numId="2" w16cid:durableId="1583486682">
    <w:abstractNumId w:val="1"/>
  </w:num>
  <w:num w:numId="3" w16cid:durableId="90028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D2"/>
    <w:rsid w:val="0005545A"/>
    <w:rsid w:val="0008780A"/>
    <w:rsid w:val="00206929"/>
    <w:rsid w:val="00350DE5"/>
    <w:rsid w:val="003B37C6"/>
    <w:rsid w:val="00431EBA"/>
    <w:rsid w:val="00503A47"/>
    <w:rsid w:val="005B61A4"/>
    <w:rsid w:val="006F2836"/>
    <w:rsid w:val="0071314F"/>
    <w:rsid w:val="007825C4"/>
    <w:rsid w:val="007E66AA"/>
    <w:rsid w:val="00A45CEC"/>
    <w:rsid w:val="00A54B9B"/>
    <w:rsid w:val="00AD61DD"/>
    <w:rsid w:val="00CC0AD2"/>
    <w:rsid w:val="00E2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AFC7"/>
  <w15:chartTrackingRefBased/>
  <w15:docId w15:val="{2CC90E07-00A6-F346-A61F-80ACC231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Times New Roman (Headings CS)"/>
        <w:color w:val="000000" w:themeColor="text1"/>
        <w:sz w:val="21"/>
        <w:szCs w:val="3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7C6"/>
    <w:pPr>
      <w:spacing w:before="60" w:after="12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1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SectionHeader1">
    <w:name w:val="Policy Section Header 1"/>
    <w:basedOn w:val="Normal"/>
    <w:qFormat/>
    <w:rsid w:val="003B37C6"/>
    <w:rPr>
      <w:sz w:val="32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05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B61A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61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31E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E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283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836"/>
  </w:style>
  <w:style w:type="paragraph" w:styleId="Footer">
    <w:name w:val="footer"/>
    <w:basedOn w:val="Normal"/>
    <w:link w:val="FooterChar"/>
    <w:uiPriority w:val="99"/>
    <w:unhideWhenUsed/>
    <w:rsid w:val="006F283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edcarequality.gov.au/resources/reporting-responsibilities-providers-and-their-staff-sirs-home-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Akhurst</dc:creator>
  <cp:lastModifiedBy>ARNOLD, Max</cp:lastModifiedBy>
  <cp:revision>4</cp:revision>
  <dcterms:created xsi:type="dcterms:W3CDTF">2023-04-18T06:28:00Z</dcterms:created>
  <dcterms:modified xsi:type="dcterms:W3CDTF">2023-07-31T04:08:00Z</dcterms:modified>
</cp:coreProperties>
</file>