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089EC" w14:textId="690498F7" w:rsidR="00CE6502" w:rsidRPr="004A7B40" w:rsidRDefault="004A7B40" w:rsidP="003D2D88">
      <w:pPr>
        <w:pStyle w:val="Heading1"/>
        <w:rPr>
          <w:b w:val="0"/>
          <w:bCs w:val="0"/>
          <w:sz w:val="36"/>
        </w:rPr>
      </w:pPr>
      <w:r>
        <w:rPr>
          <w:b w:val="0"/>
          <w:bCs w:val="0"/>
          <w:noProof/>
          <w:sz w:val="36"/>
        </w:rPr>
        <mc:AlternateContent>
          <mc:Choice Requires="wps">
            <w:drawing>
              <wp:anchor distT="0" distB="0" distL="114300" distR="114300" simplePos="0" relativeHeight="251659264" behindDoc="0" locked="0" layoutInCell="1" allowOverlap="1" wp14:anchorId="47F14B90" wp14:editId="7468252F">
                <wp:simplePos x="0" y="0"/>
                <wp:positionH relativeFrom="column">
                  <wp:posOffset>3210712</wp:posOffset>
                </wp:positionH>
                <wp:positionV relativeFrom="paragraph">
                  <wp:posOffset>-623824</wp:posOffset>
                </wp:positionV>
                <wp:extent cx="3035504" cy="307238"/>
                <wp:effectExtent l="0" t="0" r="12700" b="17145"/>
                <wp:wrapNone/>
                <wp:docPr id="1" name="Text Box 1"/>
                <wp:cNvGraphicFramePr/>
                <a:graphic xmlns:a="http://schemas.openxmlformats.org/drawingml/2006/main">
                  <a:graphicData uri="http://schemas.microsoft.com/office/word/2010/wordprocessingShape">
                    <wps:wsp>
                      <wps:cNvSpPr txBox="1"/>
                      <wps:spPr>
                        <a:xfrm>
                          <a:off x="0" y="0"/>
                          <a:ext cx="3035504" cy="307238"/>
                        </a:xfrm>
                        <a:prstGeom prst="rect">
                          <a:avLst/>
                        </a:prstGeom>
                        <a:solidFill>
                          <a:schemeClr val="lt1"/>
                        </a:solidFill>
                        <a:ln w="6350">
                          <a:solidFill>
                            <a:prstClr val="black"/>
                          </a:solidFill>
                        </a:ln>
                      </wps:spPr>
                      <wps:txbx>
                        <w:txbxContent>
                          <w:p w14:paraId="12247A9A" w14:textId="77777777" w:rsidR="004A7B40" w:rsidRPr="00BA1403" w:rsidRDefault="004A7B40" w:rsidP="004A7B40">
                            <w:pPr>
                              <w:jc w:val="right"/>
                              <w:rPr>
                                <w:b/>
                                <w:bCs/>
                                <w:sz w:val="20"/>
                                <w:szCs w:val="20"/>
                              </w:rPr>
                            </w:pPr>
                            <w:r w:rsidRPr="00BA1403">
                              <w:rPr>
                                <w:b/>
                                <w:bCs/>
                                <w:sz w:val="20"/>
                                <w:szCs w:val="20"/>
                              </w:rPr>
                              <w:t>Technology Assessment and Access Division</w:t>
                            </w:r>
                          </w:p>
                          <w:p w14:paraId="1C8032E6" w14:textId="77777777" w:rsidR="004A7B40" w:rsidRPr="00BA1403" w:rsidRDefault="004A7B40" w:rsidP="004A7B40">
                            <w:pPr>
                              <w:jc w:val="right"/>
                              <w:rPr>
                                <w:b/>
                                <w:bCs/>
                                <w:sz w:val="20"/>
                                <w:szCs w:val="20"/>
                              </w:rPr>
                            </w:pPr>
                          </w:p>
                          <w:p w14:paraId="3AF71076" w14:textId="77777777" w:rsidR="004A7B40" w:rsidRDefault="004A7B40" w:rsidP="004A7B40">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7F14B90" id="_x0000_t202" coordsize="21600,21600" o:spt="202" path="m,l,21600r21600,l21600,xe">
                <v:stroke joinstyle="miter"/>
                <v:path gradientshapeok="t" o:connecttype="rect"/>
              </v:shapetype>
              <v:shape id="Text Box 1" o:spid="_x0000_s1026" type="#_x0000_t202" style="position:absolute;margin-left:252.8pt;margin-top:-49.1pt;width:239pt;height:24.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" fillcolor="white [3201]" strokeweight=".5pt">
                <v:textbox>
                  <w:txbxContent>
                    <w:p w14:paraId="12247A9A" w14:textId="77777777" w:rsidR="004A7B40" w:rsidRPr="00BA1403" w:rsidRDefault="004A7B40" w:rsidP="004A7B40">
                      <w:pPr>
                        <w:jc w:val="right"/>
                        <w:rPr>
                          <w:b/>
                          <w:bCs/>
                          <w:sz w:val="20"/>
                          <w:szCs w:val="20"/>
                        </w:rPr>
                      </w:pPr>
                      <w:r w:rsidRPr="00BA1403">
                        <w:rPr>
                          <w:b/>
                          <w:bCs/>
                          <w:sz w:val="20"/>
                          <w:szCs w:val="20"/>
                        </w:rPr>
                        <w:t>Technology Assessment and Access Division</w:t>
                      </w:r>
                    </w:p>
                    <w:p w14:paraId="1C8032E6" w14:textId="77777777" w:rsidR="004A7B40" w:rsidRPr="00BA1403" w:rsidRDefault="004A7B40" w:rsidP="004A7B40">
                      <w:pPr>
                        <w:jc w:val="right"/>
                        <w:rPr>
                          <w:b/>
                          <w:bCs/>
                          <w:sz w:val="20"/>
                          <w:szCs w:val="20"/>
                        </w:rPr>
                      </w:pPr>
                    </w:p>
                    <w:p w14:paraId="3AF71076" w14:textId="77777777" w:rsidR="004A7B40" w:rsidRDefault="004A7B40" w:rsidP="004A7B40">
                      <w:pPr>
                        <w:jc w:val="right"/>
                      </w:pPr>
                    </w:p>
                  </w:txbxContent>
                </v:textbox>
              </v:shape>
            </w:pict>
          </mc:Fallback>
        </mc:AlternateContent>
      </w:r>
      <w:r w:rsidR="00A418EF" w:rsidRPr="004A7B40">
        <w:rPr>
          <w:b w:val="0"/>
          <w:bCs w:val="0"/>
          <w:sz w:val="36"/>
        </w:rPr>
        <w:t>P</w:t>
      </w:r>
      <w:r>
        <w:rPr>
          <w:b w:val="0"/>
          <w:bCs w:val="0"/>
          <w:sz w:val="36"/>
        </w:rPr>
        <w:t xml:space="preserve">rosthesis </w:t>
      </w:r>
      <w:r w:rsidR="00A418EF" w:rsidRPr="004A7B40">
        <w:rPr>
          <w:b w:val="0"/>
          <w:bCs w:val="0"/>
          <w:sz w:val="36"/>
        </w:rPr>
        <w:t>L</w:t>
      </w:r>
      <w:r>
        <w:rPr>
          <w:b w:val="0"/>
          <w:bCs w:val="0"/>
          <w:sz w:val="36"/>
        </w:rPr>
        <w:t>ist</w:t>
      </w:r>
      <w:r w:rsidR="00A418EF" w:rsidRPr="004A7B40">
        <w:rPr>
          <w:b w:val="0"/>
          <w:bCs w:val="0"/>
          <w:sz w:val="36"/>
        </w:rPr>
        <w:t xml:space="preserve"> Reforms Consultation Paper </w:t>
      </w:r>
      <w:r w:rsidR="003E718A" w:rsidRPr="004A7B40">
        <w:rPr>
          <w:b w:val="0"/>
          <w:bCs w:val="0"/>
          <w:sz w:val="36"/>
        </w:rPr>
        <w:t>6</w:t>
      </w:r>
      <w:r>
        <w:rPr>
          <w:b w:val="0"/>
          <w:bCs w:val="0"/>
          <w:sz w:val="36"/>
        </w:rPr>
        <w:t>(</w:t>
      </w:r>
      <w:r w:rsidR="003E718A" w:rsidRPr="004A7B40">
        <w:rPr>
          <w:b w:val="0"/>
          <w:bCs w:val="0"/>
          <w:sz w:val="36"/>
        </w:rPr>
        <w:t>a</w:t>
      </w:r>
      <w:r>
        <w:rPr>
          <w:b w:val="0"/>
          <w:bCs w:val="0"/>
          <w:sz w:val="36"/>
        </w:rPr>
        <w:t>)</w:t>
      </w:r>
      <w:r w:rsidR="00A418EF" w:rsidRPr="004A7B40">
        <w:rPr>
          <w:b w:val="0"/>
          <w:bCs w:val="0"/>
          <w:sz w:val="36"/>
        </w:rPr>
        <w:t xml:space="preserve"> </w:t>
      </w:r>
      <w:r w:rsidR="009925C3">
        <w:rPr>
          <w:b w:val="0"/>
          <w:bCs w:val="0"/>
          <w:sz w:val="36"/>
        </w:rPr>
        <w:t>–</w:t>
      </w:r>
      <w:r w:rsidR="00A418EF" w:rsidRPr="004A7B40">
        <w:rPr>
          <w:b w:val="0"/>
          <w:bCs w:val="0"/>
          <w:sz w:val="36"/>
        </w:rPr>
        <w:t xml:space="preserve"> </w:t>
      </w:r>
      <w:r w:rsidR="009925C3">
        <w:rPr>
          <w:b w:val="0"/>
          <w:bCs w:val="0"/>
          <w:sz w:val="36"/>
        </w:rPr>
        <w:t>Proposed Listing Criteria</w:t>
      </w:r>
      <w:r w:rsidR="00247D34">
        <w:rPr>
          <w:b w:val="0"/>
          <w:bCs w:val="0"/>
          <w:sz w:val="36"/>
        </w:rPr>
        <w:t xml:space="preserve"> – Stakeholder Feedback Report</w:t>
      </w:r>
    </w:p>
    <w:p w14:paraId="657E25AF" w14:textId="4C88AF3D" w:rsidR="00CE6502" w:rsidRDefault="001E41B0" w:rsidP="00E25B1F">
      <w:r w:rsidRPr="001E41B0">
        <w:t>28</w:t>
      </w:r>
      <w:r w:rsidRPr="001E41B0">
        <w:t xml:space="preserve"> </w:t>
      </w:r>
      <w:r w:rsidR="00305998" w:rsidRPr="001E41B0">
        <w:t>June</w:t>
      </w:r>
      <w:r w:rsidR="00A418EF" w:rsidRPr="001E41B0">
        <w:t xml:space="preserve"> 2023</w:t>
      </w:r>
    </w:p>
    <w:p w14:paraId="3ECF4CAE" w14:textId="294DB153" w:rsidR="00CE6502" w:rsidRDefault="00A418EF" w:rsidP="001571C7">
      <w:pPr>
        <w:pStyle w:val="Heading2"/>
      </w:pPr>
      <w:r w:rsidRPr="00420321">
        <w:rPr>
          <w:sz w:val="32"/>
          <w:szCs w:val="24"/>
        </w:rPr>
        <w:t>Introduction</w:t>
      </w:r>
    </w:p>
    <w:p w14:paraId="093F47D7" w14:textId="5C3F0B31" w:rsidR="00A418EF" w:rsidRDefault="00A418EF" w:rsidP="00A418EF">
      <w:pPr>
        <w:pStyle w:val="ListBullet"/>
        <w:numPr>
          <w:ilvl w:val="0"/>
          <w:numId w:val="0"/>
        </w:numPr>
        <w:rPr>
          <w:rFonts w:cs="Arial"/>
          <w:szCs w:val="22"/>
        </w:rPr>
      </w:pPr>
      <w:r>
        <w:t>The purpose of this report is to provide a</w:t>
      </w:r>
      <w:r w:rsidR="00FA2056">
        <w:t xml:space="preserve"> high-level</w:t>
      </w:r>
      <w:r>
        <w:t xml:space="preserve"> analysis of stakeholder feedback received in response to the </w:t>
      </w:r>
      <w:bookmarkStart w:id="0" w:name="_Hlk135907767"/>
      <w:r w:rsidR="00181A22">
        <w:fldChar w:fldCharType="begin"/>
      </w:r>
      <w:r w:rsidR="00181A22">
        <w:instrText xml:space="preserve"> HYPERLINK "https://consultations.health.gov.au/++preview++/technology-assessment-access-division/prostheses-list-reforms-consultation-paper-no-6a-p/supporting_documents/Prostheses%20List%20Reform%20Consultation%20Paper%206a%20%20Listing%20Criteria%20FINAL.PDF" </w:instrText>
      </w:r>
      <w:r w:rsidR="00181A22">
        <w:fldChar w:fldCharType="separate"/>
      </w:r>
      <w:r w:rsidR="00EC30BB">
        <w:rPr>
          <w:rStyle w:val="Hyperlink"/>
        </w:rPr>
        <w:t>Prostheses List Reform Consultation Paper 6a - Listing Criteria</w:t>
      </w:r>
      <w:r w:rsidR="00181A22">
        <w:rPr>
          <w:rStyle w:val="Hyperlink"/>
        </w:rPr>
        <w:fldChar w:fldCharType="end"/>
      </w:r>
      <w:bookmarkEnd w:id="0"/>
      <w:r w:rsidR="001B1BA4">
        <w:rPr>
          <w:i/>
          <w:iCs/>
        </w:rPr>
        <w:t xml:space="preserve">. </w:t>
      </w:r>
      <w:r>
        <w:t xml:space="preserve">The submission period for responses to this paper occurred between </w:t>
      </w:r>
      <w:r w:rsidR="00EC30BB">
        <w:t>2</w:t>
      </w:r>
      <w:r w:rsidR="009200C8">
        <w:t>0 March</w:t>
      </w:r>
      <w:r w:rsidR="004A7B40">
        <w:t> </w:t>
      </w:r>
      <w:r w:rsidR="00EC30BB">
        <w:t>2023 and</w:t>
      </w:r>
      <w:r w:rsidR="004A7B40">
        <w:t> </w:t>
      </w:r>
      <w:r w:rsidR="009200C8">
        <w:t>1 May </w:t>
      </w:r>
      <w:r w:rsidRPr="009200C8">
        <w:t>2023</w:t>
      </w:r>
      <w:r w:rsidR="00EC30BB">
        <w:t>, with a</w:t>
      </w:r>
      <w:r w:rsidR="006C4C0B">
        <w:t xml:space="preserve"> total of </w:t>
      </w:r>
      <w:r w:rsidR="003E718A">
        <w:t>1</w:t>
      </w:r>
      <w:r w:rsidR="00FA2056">
        <w:t>2</w:t>
      </w:r>
      <w:r w:rsidR="005D5387">
        <w:t xml:space="preserve"> </w:t>
      </w:r>
      <w:r w:rsidR="006C4C0B">
        <w:t>submissions received by the Department</w:t>
      </w:r>
      <w:r w:rsidR="00EC30BB">
        <w:t xml:space="preserve"> </w:t>
      </w:r>
      <w:r w:rsidR="004A7B40" w:rsidRPr="007E7EF0">
        <w:rPr>
          <w:rFonts w:cs="Arial"/>
          <w:szCs w:val="22"/>
        </w:rPr>
        <w:t>(</w:t>
      </w:r>
      <w:r w:rsidR="004A7B40" w:rsidRPr="007E7EF0">
        <w:rPr>
          <w:rFonts w:cs="Arial"/>
          <w:b/>
          <w:bCs/>
          <w:szCs w:val="22"/>
        </w:rPr>
        <w:t>Figure 1</w:t>
      </w:r>
      <w:r w:rsidR="004A7B40" w:rsidRPr="007E7EF0">
        <w:rPr>
          <w:rFonts w:cs="Arial"/>
          <w:szCs w:val="22"/>
        </w:rPr>
        <w:t>).</w:t>
      </w:r>
    </w:p>
    <w:p w14:paraId="25B108FE" w14:textId="77777777" w:rsidR="009925C3" w:rsidRDefault="009925C3" w:rsidP="009925C3">
      <w:pPr>
        <w:pStyle w:val="Paragraphtext"/>
        <w:spacing w:before="60" w:line="276" w:lineRule="auto"/>
        <w:rPr>
          <w:rFonts w:cs="Arial"/>
          <w:sz w:val="22"/>
          <w:szCs w:val="22"/>
        </w:rPr>
      </w:pPr>
    </w:p>
    <w:p w14:paraId="3180AC4C" w14:textId="16237F2A" w:rsidR="009925C3" w:rsidRPr="00D701D8" w:rsidRDefault="009925C3" w:rsidP="009925C3">
      <w:pPr>
        <w:pStyle w:val="Paragraphtext"/>
        <w:spacing w:before="60" w:line="276" w:lineRule="auto"/>
        <w:rPr>
          <w:rFonts w:cs="Arial"/>
          <w:sz w:val="22"/>
          <w:szCs w:val="22"/>
        </w:rPr>
      </w:pPr>
      <w:r w:rsidRPr="00D701D8">
        <w:rPr>
          <w:rFonts w:cs="Arial"/>
          <w:sz w:val="22"/>
          <w:szCs w:val="22"/>
        </w:rPr>
        <w:t>The Department of Health and Aged Care (the Department) held a webinar to address stakeholder questions on 3 April 2023, covering both</w:t>
      </w:r>
      <w:r>
        <w:rPr>
          <w:rFonts w:cs="Arial"/>
          <w:sz w:val="22"/>
          <w:szCs w:val="22"/>
        </w:rPr>
        <w:t xml:space="preserve"> the </w:t>
      </w:r>
      <w:r w:rsidRPr="00D701D8">
        <w:rPr>
          <w:rFonts w:cs="Arial"/>
          <w:sz w:val="22"/>
          <w:szCs w:val="22"/>
        </w:rPr>
        <w:t xml:space="preserve">listing criteria </w:t>
      </w:r>
      <w:r>
        <w:rPr>
          <w:rFonts w:cs="Arial"/>
          <w:sz w:val="22"/>
          <w:szCs w:val="22"/>
        </w:rPr>
        <w:t xml:space="preserve">and proposed cost recovery arrangements </w:t>
      </w:r>
      <w:r w:rsidRPr="00D701D8">
        <w:rPr>
          <w:rFonts w:cs="Arial"/>
          <w:sz w:val="22"/>
          <w:szCs w:val="22"/>
        </w:rPr>
        <w:t xml:space="preserve">(consulted on in </w:t>
      </w:r>
      <w:hyperlink r:id="rId12" w:history="1">
        <w:r>
          <w:rPr>
            <w:rStyle w:val="Hyperlink"/>
          </w:rPr>
          <w:t>Consultation Paper 6b Cost Recovery Arrangements</w:t>
        </w:r>
      </w:hyperlink>
      <w:r w:rsidRPr="00D701D8">
        <w:rPr>
          <w:rFonts w:cs="Arial"/>
          <w:sz w:val="22"/>
          <w:szCs w:val="22"/>
        </w:rPr>
        <w:t xml:space="preserve">). Stakeholders were given the opportunity to pose questions. This webinar remains accessible on the Department’s website </w:t>
      </w:r>
      <w:hyperlink r:id="rId13" w:history="1">
        <w:r w:rsidRPr="00D701D8">
          <w:rPr>
            <w:rStyle w:val="Hyperlink"/>
            <w:sz w:val="22"/>
            <w:szCs w:val="22"/>
          </w:rPr>
          <w:t>here</w:t>
        </w:r>
      </w:hyperlink>
      <w:r w:rsidRPr="00D701D8">
        <w:rPr>
          <w:rFonts w:cs="Arial"/>
          <w:sz w:val="22"/>
          <w:szCs w:val="22"/>
        </w:rPr>
        <w:t>. The responses to these questions were compiled in a ‘</w:t>
      </w:r>
      <w:hyperlink r:id="rId14" w:history="1">
        <w:r w:rsidRPr="00D701D8">
          <w:rPr>
            <w:rStyle w:val="Hyperlink"/>
            <w:rFonts w:cs="Arial"/>
            <w:sz w:val="22"/>
            <w:szCs w:val="22"/>
          </w:rPr>
          <w:t>frequently asked questions</w:t>
        </w:r>
      </w:hyperlink>
      <w:r w:rsidRPr="00D701D8">
        <w:rPr>
          <w:rFonts w:cs="Arial"/>
          <w:sz w:val="22"/>
          <w:szCs w:val="22"/>
        </w:rPr>
        <w:t>’  document published 21 April 2023.</w:t>
      </w:r>
    </w:p>
    <w:p w14:paraId="4967E31D" w14:textId="77777777" w:rsidR="009925C3" w:rsidRDefault="009925C3" w:rsidP="00A418EF">
      <w:pPr>
        <w:pStyle w:val="ListBullet"/>
        <w:numPr>
          <w:ilvl w:val="0"/>
          <w:numId w:val="0"/>
        </w:numPr>
        <w:rPr>
          <w:rFonts w:cs="Arial"/>
          <w:szCs w:val="22"/>
        </w:rPr>
      </w:pPr>
    </w:p>
    <w:p w14:paraId="5CBA0400" w14:textId="77777777" w:rsidR="00B62EF1" w:rsidRDefault="00B62EF1">
      <w:pPr>
        <w:spacing w:before="0" w:after="0" w:line="240" w:lineRule="auto"/>
      </w:pPr>
      <w:r>
        <w:rPr>
          <w:noProof/>
        </w:rPr>
        <w:drawing>
          <wp:inline distT="0" distB="0" distL="0" distR="0" wp14:anchorId="74FF5008" wp14:editId="46031B4D">
            <wp:extent cx="5775569" cy="2430585"/>
            <wp:effectExtent l="0" t="0" r="15875" b="8255"/>
            <wp:docPr id="2" name="Chart 2">
              <a:extLst xmlns:a="http://schemas.openxmlformats.org/drawingml/2006/main">
                <a:ext uri="{FF2B5EF4-FFF2-40B4-BE49-F238E27FC236}">
                  <a16:creationId xmlns:a16="http://schemas.microsoft.com/office/drawing/2014/main" id="{130776F8-A360-4B7B-8E0B-E87113447D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8C6360C" w14:textId="77777777" w:rsidR="00B62EF1" w:rsidRDefault="00B62EF1">
      <w:pPr>
        <w:spacing w:before="0" w:after="0" w:line="240" w:lineRule="auto"/>
        <w:rPr>
          <w:b/>
          <w:bCs/>
        </w:rPr>
      </w:pPr>
      <w:r w:rsidRPr="00B62EF1">
        <w:rPr>
          <w:b/>
          <w:bCs/>
        </w:rPr>
        <w:t>Figure 1: Number and type of respondents to Consultation Paper 6(a)</w:t>
      </w:r>
    </w:p>
    <w:p w14:paraId="35CE951B" w14:textId="77777777" w:rsidR="00420321" w:rsidRPr="00420321" w:rsidRDefault="00420321" w:rsidP="00420321">
      <w:pPr>
        <w:pStyle w:val="Heading2"/>
        <w:rPr>
          <w:iCs w:val="0"/>
          <w:sz w:val="32"/>
          <w:szCs w:val="26"/>
        </w:rPr>
      </w:pPr>
      <w:r w:rsidRPr="00420321">
        <w:rPr>
          <w:iCs w:val="0"/>
          <w:sz w:val="32"/>
          <w:szCs w:val="26"/>
        </w:rPr>
        <w:t>Important context</w:t>
      </w:r>
    </w:p>
    <w:p w14:paraId="513B0167" w14:textId="6E1342ED" w:rsidR="00420321" w:rsidRPr="00D03CD9" w:rsidRDefault="00420321" w:rsidP="00420321">
      <w:pPr>
        <w:pStyle w:val="ListBullet"/>
        <w:numPr>
          <w:ilvl w:val="0"/>
          <w:numId w:val="0"/>
        </w:numPr>
      </w:pPr>
      <w:r>
        <w:t>It is important to note that at the time of release of the L</w:t>
      </w:r>
      <w:r w:rsidR="001B1BA4">
        <w:t xml:space="preserve">isting </w:t>
      </w:r>
      <w:r>
        <w:t>C</w:t>
      </w:r>
      <w:r w:rsidR="001B1BA4">
        <w:t>riteria (LC)</w:t>
      </w:r>
      <w:r>
        <w:t xml:space="preserve"> consultation paper, the Department could only provide examples of text from the existing (publicly available) P</w:t>
      </w:r>
      <w:r w:rsidR="001B1BA4">
        <w:t xml:space="preserve">rostheses </w:t>
      </w:r>
      <w:r>
        <w:t>L</w:t>
      </w:r>
      <w:r w:rsidR="001B1BA4">
        <w:t>ist (PL)</w:t>
      </w:r>
      <w:r>
        <w:t xml:space="preserve"> Guide</w:t>
      </w:r>
      <w:r w:rsidR="001B1BA4">
        <w:t xml:space="preserve"> to support the proposed LC</w:t>
      </w:r>
      <w:r>
        <w:t xml:space="preserve">. As stakeholders are aware, the Department is currently revising the PL Guide and will be consulting on the document </w:t>
      </w:r>
      <w:r w:rsidR="001B1BA4">
        <w:t>soon</w:t>
      </w:r>
      <w:r>
        <w:t>. For this reason, this response document will not focus on feedback provided</w:t>
      </w:r>
      <w:r w:rsidR="001B1BA4">
        <w:t xml:space="preserve"> in relation to strengthening </w:t>
      </w:r>
      <w:r w:rsidR="00DE392F">
        <w:t xml:space="preserve">existing </w:t>
      </w:r>
      <w:r w:rsidR="006C40AF">
        <w:t xml:space="preserve">LC </w:t>
      </w:r>
      <w:r w:rsidR="00DE392F">
        <w:t xml:space="preserve">text </w:t>
      </w:r>
      <w:r w:rsidR="006C40AF">
        <w:t xml:space="preserve">within </w:t>
      </w:r>
      <w:r w:rsidR="001B1BA4">
        <w:t>the PL Guide</w:t>
      </w:r>
      <w:r w:rsidR="002729B0">
        <w:t>,</w:t>
      </w:r>
      <w:r w:rsidR="001B1BA4">
        <w:t xml:space="preserve"> as this will be captured through the PL Guide consultation period. </w:t>
      </w:r>
    </w:p>
    <w:p w14:paraId="1F6ABCCD" w14:textId="77777777" w:rsidR="00420321" w:rsidRPr="00420321" w:rsidRDefault="00420321" w:rsidP="00420321">
      <w:pPr>
        <w:pStyle w:val="Heading2"/>
        <w:rPr>
          <w:iCs w:val="0"/>
          <w:sz w:val="32"/>
          <w:szCs w:val="26"/>
        </w:rPr>
      </w:pPr>
      <w:r w:rsidRPr="00420321">
        <w:rPr>
          <w:iCs w:val="0"/>
          <w:sz w:val="32"/>
          <w:szCs w:val="26"/>
        </w:rPr>
        <w:lastRenderedPageBreak/>
        <w:t>Next steps</w:t>
      </w:r>
    </w:p>
    <w:p w14:paraId="5CD9B52D" w14:textId="77777777" w:rsidR="00420321" w:rsidRDefault="00420321" w:rsidP="00420321">
      <w:pPr>
        <w:pStyle w:val="ListBullet"/>
        <w:numPr>
          <w:ilvl w:val="0"/>
          <w:numId w:val="0"/>
        </w:numPr>
      </w:pPr>
      <w:r>
        <w:t>All the submissions to the consultation paper will be considered by the Department along with other feedback received from stakeholders.</w:t>
      </w:r>
    </w:p>
    <w:p w14:paraId="6AF9695A" w14:textId="4B6B631E" w:rsidR="00E73F71" w:rsidRPr="00420321" w:rsidRDefault="00E73F71" w:rsidP="00E73F71">
      <w:pPr>
        <w:spacing w:after="0" w:line="240" w:lineRule="auto"/>
        <w:rPr>
          <w:rFonts w:cs="Arial"/>
          <w:b/>
          <w:bCs/>
          <w:color w:val="358189"/>
          <w:sz w:val="32"/>
          <w:szCs w:val="26"/>
        </w:rPr>
      </w:pPr>
      <w:r w:rsidRPr="00420321">
        <w:rPr>
          <w:rFonts w:cs="Arial"/>
          <w:b/>
          <w:bCs/>
          <w:color w:val="358189"/>
          <w:sz w:val="32"/>
          <w:szCs w:val="26"/>
        </w:rPr>
        <w:t xml:space="preserve">Acronyms </w:t>
      </w:r>
    </w:p>
    <w:p w14:paraId="395A6A51" w14:textId="622B6E76" w:rsidR="00E73F71" w:rsidRDefault="00E73F71" w:rsidP="00E73F71">
      <w:pPr>
        <w:pStyle w:val="ListParagraph"/>
        <w:numPr>
          <w:ilvl w:val="0"/>
          <w:numId w:val="40"/>
        </w:numPr>
        <w:spacing w:before="0" w:after="0" w:line="240" w:lineRule="auto"/>
      </w:pPr>
      <w:r>
        <w:t xml:space="preserve">‘PHI Act’ – </w:t>
      </w:r>
      <w:r>
        <w:rPr>
          <w:i/>
          <w:iCs/>
        </w:rPr>
        <w:t xml:space="preserve">Private Health Insurance Act 2007 </w:t>
      </w:r>
    </w:p>
    <w:p w14:paraId="7D4B9F0C" w14:textId="412B68A5" w:rsidR="00E73F71" w:rsidRDefault="00E73F71" w:rsidP="00E73F71">
      <w:pPr>
        <w:pStyle w:val="ListParagraph"/>
        <w:numPr>
          <w:ilvl w:val="0"/>
          <w:numId w:val="40"/>
        </w:numPr>
        <w:spacing w:before="0" w:after="0" w:line="240" w:lineRule="auto"/>
      </w:pPr>
      <w:r>
        <w:t xml:space="preserve">‘TG Act’ – </w:t>
      </w:r>
      <w:r w:rsidRPr="00B74E7D">
        <w:rPr>
          <w:i/>
          <w:iCs/>
        </w:rPr>
        <w:t>Therapeutic Goods Act 1989</w:t>
      </w:r>
    </w:p>
    <w:p w14:paraId="59218B37" w14:textId="77777777" w:rsidR="00E73F71" w:rsidRDefault="00E73F71" w:rsidP="00E73F71">
      <w:pPr>
        <w:pStyle w:val="ListParagraph"/>
        <w:numPr>
          <w:ilvl w:val="0"/>
          <w:numId w:val="40"/>
        </w:numPr>
        <w:spacing w:before="0" w:after="0" w:line="240" w:lineRule="auto"/>
      </w:pPr>
      <w:r>
        <w:t>‘TG Regulations’ – Therapeutic Goods (Medical Devices) Regulations 2002</w:t>
      </w:r>
    </w:p>
    <w:p w14:paraId="64F01F9B" w14:textId="37399EA0" w:rsidR="00E73F71" w:rsidRDefault="00E73F71" w:rsidP="00E73F71">
      <w:pPr>
        <w:pStyle w:val="ListParagraph"/>
        <w:numPr>
          <w:ilvl w:val="0"/>
          <w:numId w:val="40"/>
        </w:numPr>
        <w:spacing w:before="0" w:after="0" w:line="240" w:lineRule="auto"/>
      </w:pPr>
      <w:r>
        <w:t>‘ES’ – Explanatory Statement</w:t>
      </w:r>
    </w:p>
    <w:p w14:paraId="38874055" w14:textId="2242C176" w:rsidR="00E73F71" w:rsidRDefault="00E73F71" w:rsidP="00E73F71">
      <w:pPr>
        <w:pStyle w:val="ListParagraph"/>
        <w:numPr>
          <w:ilvl w:val="0"/>
          <w:numId w:val="40"/>
        </w:numPr>
        <w:spacing w:before="0" w:after="0" w:line="240" w:lineRule="auto"/>
      </w:pPr>
      <w:r>
        <w:t xml:space="preserve">‘LC’ – Listing Criteria </w:t>
      </w:r>
    </w:p>
    <w:p w14:paraId="76049AEA" w14:textId="6441AE96" w:rsidR="00E73F71" w:rsidRPr="00E73F71" w:rsidRDefault="00E73F71" w:rsidP="00E73F71">
      <w:pPr>
        <w:pStyle w:val="ListParagraph"/>
        <w:numPr>
          <w:ilvl w:val="0"/>
          <w:numId w:val="40"/>
        </w:numPr>
        <w:spacing w:before="0" w:after="0" w:line="240" w:lineRule="auto"/>
      </w:pPr>
      <w:r>
        <w:t>‘PL Guide’ – Prostheses List Guide</w:t>
      </w:r>
    </w:p>
    <w:p w14:paraId="79F13150" w14:textId="20AB412D" w:rsidR="00B62EF1" w:rsidRPr="00420321" w:rsidRDefault="00B62EF1" w:rsidP="00420321">
      <w:pPr>
        <w:pStyle w:val="Heading2"/>
        <w:rPr>
          <w:iCs w:val="0"/>
          <w:sz w:val="32"/>
          <w:szCs w:val="26"/>
        </w:rPr>
      </w:pPr>
      <w:r w:rsidRPr="00420321">
        <w:rPr>
          <w:iCs w:val="0"/>
          <w:sz w:val="32"/>
          <w:szCs w:val="26"/>
        </w:rPr>
        <w:t>Stakeholder Feedback Evaluation</w:t>
      </w:r>
    </w:p>
    <w:p w14:paraId="4262A423" w14:textId="7321AEBD" w:rsidR="005346F8" w:rsidRDefault="005346F8" w:rsidP="00B62EF1">
      <w:pPr>
        <w:spacing w:before="0" w:after="0" w:line="240" w:lineRule="auto"/>
      </w:pPr>
      <w:r>
        <w:t xml:space="preserve">Evaluation of the submissions considered responses to the </w:t>
      </w:r>
      <w:r w:rsidR="00955CC4">
        <w:t>four</w:t>
      </w:r>
      <w:r>
        <w:t xml:space="preserve"> </w:t>
      </w:r>
      <w:r w:rsidR="00144A7A">
        <w:t xml:space="preserve">key </w:t>
      </w:r>
      <w:r>
        <w:t>matters outlined in the consultation paper</w:t>
      </w:r>
      <w:r w:rsidR="009200C8">
        <w:t xml:space="preserve">, </w:t>
      </w:r>
      <w:r w:rsidR="00144A7A">
        <w:t>namely the</w:t>
      </w:r>
      <w:r>
        <w:t>:</w:t>
      </w:r>
    </w:p>
    <w:p w14:paraId="5D3FB432" w14:textId="46D39785" w:rsidR="005346F8" w:rsidRDefault="009200C8" w:rsidP="005346F8">
      <w:pPr>
        <w:pStyle w:val="ListBullet"/>
        <w:numPr>
          <w:ilvl w:val="0"/>
          <w:numId w:val="17"/>
        </w:numPr>
      </w:pPr>
      <w:r>
        <w:t>Impact of each proposed criterion</w:t>
      </w:r>
    </w:p>
    <w:p w14:paraId="0D97E500" w14:textId="688B743B" w:rsidR="00955CC4" w:rsidRDefault="00955CC4" w:rsidP="005346F8">
      <w:pPr>
        <w:pStyle w:val="ListBullet"/>
        <w:numPr>
          <w:ilvl w:val="0"/>
          <w:numId w:val="17"/>
        </w:numPr>
      </w:pPr>
      <w:r>
        <w:t>Suggested inclusions to the LC</w:t>
      </w:r>
    </w:p>
    <w:p w14:paraId="48F6EC5A" w14:textId="1EE6F438" w:rsidR="00955CC4" w:rsidRDefault="00955CC4" w:rsidP="005346F8">
      <w:pPr>
        <w:pStyle w:val="ListBullet"/>
        <w:numPr>
          <w:ilvl w:val="0"/>
          <w:numId w:val="17"/>
        </w:numPr>
      </w:pPr>
      <w:bookmarkStart w:id="1" w:name="_Hlk134531082"/>
      <w:r>
        <w:t>Frequency of revision of the LC</w:t>
      </w:r>
    </w:p>
    <w:p w14:paraId="2C960024" w14:textId="3E6899CA" w:rsidR="005346F8" w:rsidRDefault="00955CC4" w:rsidP="005346F8">
      <w:pPr>
        <w:pStyle w:val="ListBullet"/>
        <w:numPr>
          <w:ilvl w:val="0"/>
          <w:numId w:val="17"/>
        </w:numPr>
      </w:pPr>
      <w:bookmarkStart w:id="2" w:name="_Hlk134531113"/>
      <w:bookmarkEnd w:id="1"/>
      <w:r>
        <w:t>Inclusion of notes in the legislative instruments</w:t>
      </w:r>
    </w:p>
    <w:p w14:paraId="4BDB9F1A" w14:textId="77777777" w:rsidR="00420321" w:rsidRDefault="00420321" w:rsidP="00B62EF1">
      <w:pPr>
        <w:pStyle w:val="ListBullet"/>
        <w:numPr>
          <w:ilvl w:val="0"/>
          <w:numId w:val="0"/>
        </w:numPr>
        <w:ind w:left="360" w:hanging="360"/>
      </w:pPr>
    </w:p>
    <w:p w14:paraId="77E3E1E2" w14:textId="06AC503D" w:rsidR="00B62EF1" w:rsidRDefault="00B62EF1" w:rsidP="00B62EF1">
      <w:pPr>
        <w:pStyle w:val="ListBullet"/>
        <w:numPr>
          <w:ilvl w:val="0"/>
          <w:numId w:val="0"/>
        </w:numPr>
        <w:ind w:left="360" w:hanging="360"/>
      </w:pPr>
      <w:r>
        <w:t>The following sections summarise the key feedback against these four matters.</w:t>
      </w:r>
    </w:p>
    <w:bookmarkEnd w:id="2"/>
    <w:p w14:paraId="2EC3E619" w14:textId="14C36167" w:rsidR="009040E9" w:rsidRDefault="00955CC4" w:rsidP="003F66C7">
      <w:pPr>
        <w:pStyle w:val="Heading3"/>
      </w:pPr>
      <w:r>
        <w:t xml:space="preserve">Impact of the proposed Listing Criteria </w:t>
      </w:r>
    </w:p>
    <w:p w14:paraId="43D72D4C" w14:textId="2F4D9589" w:rsidR="002871C0" w:rsidRDefault="00DE0BFD" w:rsidP="003F66C7">
      <w:pPr>
        <w:pStyle w:val="ListBullet"/>
      </w:pPr>
      <w:r>
        <w:t>All</w:t>
      </w:r>
      <w:r w:rsidR="00CF184D">
        <w:t xml:space="preserve"> submissions </w:t>
      </w:r>
      <w:r w:rsidR="00C331B0">
        <w:t xml:space="preserve">that included a response to </w:t>
      </w:r>
      <w:r>
        <w:t xml:space="preserve">this question </w:t>
      </w:r>
      <w:r w:rsidR="00CF184D">
        <w:t>agreed t</w:t>
      </w:r>
      <w:r w:rsidR="001C1FE2">
        <w:t xml:space="preserve">hat that the proposed LC </w:t>
      </w:r>
      <w:r>
        <w:t xml:space="preserve">largely </w:t>
      </w:r>
      <w:r w:rsidR="008651E0">
        <w:t>reflected administrative practices as currently operate</w:t>
      </w:r>
      <w:r>
        <w:t xml:space="preserve"> and would not result in major impacts to pursuing listing on the PL. T</w:t>
      </w:r>
      <w:r w:rsidR="001C1FE2">
        <w:t xml:space="preserve">here were many </w:t>
      </w:r>
      <w:r w:rsidR="004918A1">
        <w:t xml:space="preserve">minor </w:t>
      </w:r>
      <w:r w:rsidR="001C1FE2">
        <w:t xml:space="preserve">caveats </w:t>
      </w:r>
      <w:r w:rsidR="004918A1">
        <w:t>provided for each</w:t>
      </w:r>
      <w:r w:rsidR="001C1FE2">
        <w:t xml:space="preserve"> response</w:t>
      </w:r>
      <w:r>
        <w:t>, with the</w:t>
      </w:r>
      <w:r w:rsidR="00CF184D">
        <w:t xml:space="preserve"> most common request</w:t>
      </w:r>
      <w:r>
        <w:t xml:space="preserve"> being</w:t>
      </w:r>
      <w:r w:rsidR="00CF184D">
        <w:t xml:space="preserve"> for</w:t>
      </w:r>
      <w:r w:rsidR="004918A1">
        <w:t xml:space="preserve"> further clarity </w:t>
      </w:r>
      <w:r w:rsidR="00CF184D">
        <w:t>around each criterion to</w:t>
      </w:r>
      <w:r w:rsidR="004918A1">
        <w:t xml:space="preserve"> be included in the next iteration of the </w:t>
      </w:r>
      <w:r w:rsidR="002179B3">
        <w:t>PL</w:t>
      </w:r>
      <w:r w:rsidR="004918A1">
        <w:t xml:space="preserve"> Guide (currently under development)</w:t>
      </w:r>
      <w:r w:rsidR="001C1FE2">
        <w:t>.</w:t>
      </w:r>
    </w:p>
    <w:p w14:paraId="1DACB61C" w14:textId="4E6E812F" w:rsidR="00C83509" w:rsidRDefault="00C83509" w:rsidP="003F66C7">
      <w:pPr>
        <w:pStyle w:val="ListBullet"/>
      </w:pPr>
      <w:r>
        <w:t xml:space="preserve">A handful of submissions appear to have confused the intent of the LC to govern how and when an item listed on the PL can be used, rather than its actual intent of outlining the eligibility that must </w:t>
      </w:r>
      <w:r w:rsidR="00C331B0">
        <w:t xml:space="preserve">be </w:t>
      </w:r>
      <w:r>
        <w:t xml:space="preserve">met </w:t>
      </w:r>
      <w:r w:rsidR="00C331B0">
        <w:t xml:space="preserve">in order </w:t>
      </w:r>
      <w:r w:rsidR="002179B3">
        <w:t>to</w:t>
      </w:r>
      <w:r>
        <w:t xml:space="preserve"> be listed on the PL.</w:t>
      </w:r>
    </w:p>
    <w:p w14:paraId="58D31A99" w14:textId="005ECECE" w:rsidR="002871C0" w:rsidRDefault="002871C0" w:rsidP="002871C0">
      <w:pPr>
        <w:pStyle w:val="Heading4"/>
      </w:pPr>
      <w:r>
        <w:t xml:space="preserve">Part A </w:t>
      </w:r>
      <w:r w:rsidR="004F1099">
        <w:t xml:space="preserve">– </w:t>
      </w:r>
      <w:r>
        <w:t xml:space="preserve">Criterion 1(a) </w:t>
      </w:r>
      <w:r w:rsidR="004F1099">
        <w:t xml:space="preserve">– </w:t>
      </w:r>
      <w:r>
        <w:t>implantable medical device and active implantable medical device</w:t>
      </w:r>
    </w:p>
    <w:p w14:paraId="542C7B83" w14:textId="1FE6157D" w:rsidR="003F66C7" w:rsidRDefault="003F66C7" w:rsidP="003F66C7">
      <w:pPr>
        <w:pStyle w:val="IntroPara"/>
      </w:pPr>
      <w:r>
        <w:t>Definition of ‘implantable’ or ‘implantable device’</w:t>
      </w:r>
    </w:p>
    <w:p w14:paraId="7B74BDFA" w14:textId="44111FE6" w:rsidR="006430DC" w:rsidRPr="00671B55" w:rsidRDefault="001C1FE2" w:rsidP="00671B55">
      <w:pPr>
        <w:pStyle w:val="ListBullet"/>
      </w:pPr>
      <w:r>
        <w:t xml:space="preserve">The definition of ‘implantable/implantable device’ </w:t>
      </w:r>
      <w:r w:rsidR="00671B55">
        <w:t>was raised in several submissions</w:t>
      </w:r>
      <w:r>
        <w:t xml:space="preserve">. Respondents </w:t>
      </w:r>
      <w:r w:rsidR="00DE392F">
        <w:t>view</w:t>
      </w:r>
      <w:r>
        <w:t xml:space="preserve"> that the proposed definition </w:t>
      </w:r>
      <w:r w:rsidR="00DE392F">
        <w:t>i</w:t>
      </w:r>
      <w:r>
        <w:t xml:space="preserve">s misaligned with </w:t>
      </w:r>
      <w:r w:rsidR="00671B55">
        <w:t xml:space="preserve">TG </w:t>
      </w:r>
      <w:r>
        <w:t>regulations</w:t>
      </w:r>
      <w:r w:rsidR="00144A7A">
        <w:t>, with several raising that ‘active implantable medical devices’ need to be included</w:t>
      </w:r>
      <w:r w:rsidR="00DE392F">
        <w:t>.</w:t>
      </w:r>
      <w:r>
        <w:t xml:space="preserve"> </w:t>
      </w:r>
      <w:bookmarkStart w:id="3" w:name="_Hlk135247340"/>
    </w:p>
    <w:bookmarkEnd w:id="3"/>
    <w:p w14:paraId="7F54A0BC" w14:textId="17EB62AD" w:rsidR="002871C0" w:rsidRDefault="002871C0" w:rsidP="002871C0">
      <w:pPr>
        <w:pStyle w:val="IntroPara"/>
      </w:pPr>
      <w:r>
        <w:t xml:space="preserve">Duration of the implant </w:t>
      </w:r>
    </w:p>
    <w:p w14:paraId="026C0B36" w14:textId="78AC48FB" w:rsidR="00B86445" w:rsidRPr="00671B55" w:rsidRDefault="00144A7A" w:rsidP="00B86445">
      <w:pPr>
        <w:pStyle w:val="ListBullet"/>
      </w:pPr>
      <w:r>
        <w:t>Several r</w:t>
      </w:r>
      <w:r w:rsidR="00B86445">
        <w:t xml:space="preserve">espondents were concerned that this criterion does not provide a timeframe for how long </w:t>
      </w:r>
      <w:r>
        <w:t>a</w:t>
      </w:r>
      <w:r w:rsidR="00B86445">
        <w:t xml:space="preserve"> device should remain implanted and one submission noted that there should be an expectation that the implantable device is essential, and not an aid.</w:t>
      </w:r>
      <w:r w:rsidR="00B86445" w:rsidRPr="00671B55">
        <w:rPr>
          <w:sz w:val="21"/>
          <w:szCs w:val="21"/>
        </w:rPr>
        <w:t xml:space="preserve"> </w:t>
      </w:r>
    </w:p>
    <w:p w14:paraId="161AD6E5" w14:textId="090273C4" w:rsidR="006430DC" w:rsidRDefault="006430DC" w:rsidP="006430DC">
      <w:pPr>
        <w:pStyle w:val="PolicyStatement"/>
        <w:tabs>
          <w:tab w:val="center" w:pos="4535"/>
        </w:tabs>
        <w:rPr>
          <w:sz w:val="21"/>
          <w:szCs w:val="21"/>
        </w:rPr>
      </w:pPr>
      <w:r>
        <w:rPr>
          <w:sz w:val="21"/>
          <w:szCs w:val="21"/>
        </w:rPr>
        <w:t>Department response:</w:t>
      </w:r>
    </w:p>
    <w:p w14:paraId="65E0860A" w14:textId="775EAAED" w:rsidR="00671B55" w:rsidRDefault="00671B55" w:rsidP="00671B55">
      <w:pPr>
        <w:pStyle w:val="PolicyStatement"/>
        <w:tabs>
          <w:tab w:val="center" w:pos="4535"/>
        </w:tabs>
        <w:rPr>
          <w:sz w:val="21"/>
          <w:szCs w:val="21"/>
        </w:rPr>
      </w:pPr>
      <w:r w:rsidRPr="00671B55">
        <w:rPr>
          <w:i/>
          <w:iCs/>
          <w:sz w:val="21"/>
          <w:szCs w:val="21"/>
        </w:rPr>
        <w:lastRenderedPageBreak/>
        <w:t>Implantable/implantable devices</w:t>
      </w:r>
      <w:r>
        <w:rPr>
          <w:sz w:val="21"/>
          <w:szCs w:val="21"/>
        </w:rPr>
        <w:t xml:space="preserve">: </w:t>
      </w:r>
      <w:r w:rsidR="00144A7A">
        <w:rPr>
          <w:sz w:val="21"/>
          <w:szCs w:val="21"/>
        </w:rPr>
        <w:t xml:space="preserve">The Department acknowledges the need for inclusion of ‘active implantable medical devices’ and will expand </w:t>
      </w:r>
      <w:r>
        <w:rPr>
          <w:sz w:val="21"/>
          <w:szCs w:val="21"/>
        </w:rPr>
        <w:t>Criterion 1(a)</w:t>
      </w:r>
      <w:r w:rsidR="00C331B0">
        <w:rPr>
          <w:sz w:val="21"/>
          <w:szCs w:val="21"/>
        </w:rPr>
        <w:t xml:space="preserve"> to</w:t>
      </w:r>
      <w:r>
        <w:rPr>
          <w:sz w:val="21"/>
          <w:szCs w:val="21"/>
        </w:rPr>
        <w:t xml:space="preserve"> include a reference to ‘active implantable medical devices’ as well as ‘implantable medical devices’ in line with the TG Regulations. This provides that wherever the criteria apply to an ‘implantable medical device’ </w:t>
      </w:r>
      <w:r w:rsidR="00C331B0">
        <w:rPr>
          <w:sz w:val="21"/>
          <w:szCs w:val="21"/>
        </w:rPr>
        <w:t xml:space="preserve">it will </w:t>
      </w:r>
      <w:r>
        <w:rPr>
          <w:sz w:val="21"/>
          <w:szCs w:val="21"/>
        </w:rPr>
        <w:t xml:space="preserve">also apply to an ‘active implantable medical device’. </w:t>
      </w:r>
    </w:p>
    <w:p w14:paraId="4B40F8F0" w14:textId="5450DB59" w:rsidR="00671B55" w:rsidRDefault="00671B55" w:rsidP="00671B55">
      <w:pPr>
        <w:pStyle w:val="PolicyStatement"/>
        <w:tabs>
          <w:tab w:val="center" w:pos="4535"/>
        </w:tabs>
        <w:rPr>
          <w:sz w:val="21"/>
          <w:szCs w:val="21"/>
        </w:rPr>
      </w:pPr>
      <w:r w:rsidRPr="00507E1F">
        <w:rPr>
          <w:i/>
          <w:iCs/>
          <w:sz w:val="21"/>
          <w:szCs w:val="21"/>
        </w:rPr>
        <w:t>Duration of implant:</w:t>
      </w:r>
      <w:r>
        <w:rPr>
          <w:sz w:val="21"/>
          <w:szCs w:val="21"/>
        </w:rPr>
        <w:t xml:space="preserve"> </w:t>
      </w:r>
      <w:r w:rsidR="00B86445">
        <w:rPr>
          <w:sz w:val="21"/>
          <w:szCs w:val="21"/>
        </w:rPr>
        <w:t>Criterion 1(a)</w:t>
      </w:r>
      <w:r w:rsidRPr="00E73F71">
        <w:rPr>
          <w:sz w:val="21"/>
          <w:szCs w:val="21"/>
        </w:rPr>
        <w:t xml:space="preserve"> uses the definition of ‘implantable medical device’ from the TG Regulations</w:t>
      </w:r>
      <w:r w:rsidR="00C15761">
        <w:rPr>
          <w:sz w:val="21"/>
          <w:szCs w:val="21"/>
        </w:rPr>
        <w:t>,</w:t>
      </w:r>
      <w:r w:rsidRPr="00E73F71">
        <w:rPr>
          <w:sz w:val="21"/>
          <w:szCs w:val="21"/>
        </w:rPr>
        <w:t xml:space="preserve"> which includes duration requirements </w:t>
      </w:r>
      <w:r w:rsidR="00C15761">
        <w:rPr>
          <w:sz w:val="21"/>
          <w:szCs w:val="21"/>
        </w:rPr>
        <w:t>under</w:t>
      </w:r>
      <w:r w:rsidRPr="00E73F71">
        <w:rPr>
          <w:sz w:val="21"/>
          <w:szCs w:val="21"/>
        </w:rPr>
        <w:t xml:space="preserve"> those regulations.</w:t>
      </w:r>
      <w:r w:rsidR="00C15761">
        <w:rPr>
          <w:sz w:val="21"/>
          <w:szCs w:val="21"/>
        </w:rPr>
        <w:t xml:space="preserve"> </w:t>
      </w:r>
    </w:p>
    <w:p w14:paraId="621C5D31" w14:textId="7D824E5C" w:rsidR="004F1099" w:rsidRDefault="004F1099" w:rsidP="004F1099">
      <w:pPr>
        <w:pStyle w:val="Heading4"/>
      </w:pPr>
      <w:r>
        <w:t xml:space="preserve">Part A – Criterion 1(b) – </w:t>
      </w:r>
      <w:r w:rsidRPr="00854393">
        <w:t>essential to and specifically designed as an integral single-use aid for implanting a medical device in (a) above, which is only suitable for use with the patient in whom the medical device is implanted</w:t>
      </w:r>
    </w:p>
    <w:p w14:paraId="4F2401C5" w14:textId="77777777" w:rsidR="004F1099" w:rsidRDefault="004F1099" w:rsidP="004F1099">
      <w:pPr>
        <w:pStyle w:val="IntroPara"/>
      </w:pPr>
      <w:bookmarkStart w:id="4" w:name="_Hlk135234807"/>
      <w:r>
        <w:t>Inclusion of ‘essential’</w:t>
      </w:r>
    </w:p>
    <w:bookmarkEnd w:id="4"/>
    <w:p w14:paraId="3364BD15" w14:textId="090A6636" w:rsidR="004F1099" w:rsidRDefault="004F1099" w:rsidP="004F1099">
      <w:pPr>
        <w:pStyle w:val="ListBullet"/>
      </w:pPr>
      <w:r>
        <w:t xml:space="preserve">Respondents agreed that the inclusion of the term ‘essential’ was welcomed, but further clarification was required. </w:t>
      </w:r>
    </w:p>
    <w:p w14:paraId="1E93E0C5" w14:textId="38E36D75" w:rsidR="00125FC6" w:rsidRDefault="00EC0E89" w:rsidP="004F1099">
      <w:pPr>
        <w:pStyle w:val="ListBullet"/>
      </w:pPr>
      <w:r>
        <w:t>F</w:t>
      </w:r>
      <w:r w:rsidR="00125FC6">
        <w:t>urther clarification</w:t>
      </w:r>
      <w:r w:rsidR="00125FC6" w:rsidRPr="00125FC6">
        <w:t xml:space="preserve"> </w:t>
      </w:r>
      <w:r>
        <w:t xml:space="preserve">was requested </w:t>
      </w:r>
      <w:r w:rsidR="00125FC6" w:rsidRPr="00125FC6">
        <w:t>that ‘essential’ should be taken to mean that the product will (in the opinion of clinicians) in some cases deliver better outcomes for the implant or the implanting process.</w:t>
      </w:r>
    </w:p>
    <w:p w14:paraId="2876FD1E" w14:textId="77777777" w:rsidR="004945B3" w:rsidRDefault="004945B3" w:rsidP="004945B3">
      <w:pPr>
        <w:pStyle w:val="PolicyStatement"/>
        <w:tabs>
          <w:tab w:val="center" w:pos="4535"/>
        </w:tabs>
        <w:rPr>
          <w:sz w:val="21"/>
          <w:szCs w:val="21"/>
        </w:rPr>
      </w:pPr>
      <w:r>
        <w:rPr>
          <w:sz w:val="21"/>
          <w:szCs w:val="21"/>
        </w:rPr>
        <w:t>Department response:</w:t>
      </w:r>
    </w:p>
    <w:p w14:paraId="77D9385E" w14:textId="62DEFB11" w:rsidR="004945B3" w:rsidRDefault="004945B3" w:rsidP="004945B3">
      <w:pPr>
        <w:pStyle w:val="PolicyStatement"/>
        <w:tabs>
          <w:tab w:val="center" w:pos="4535"/>
        </w:tabs>
        <w:rPr>
          <w:sz w:val="21"/>
          <w:szCs w:val="21"/>
        </w:rPr>
      </w:pPr>
      <w:r>
        <w:rPr>
          <w:sz w:val="21"/>
          <w:szCs w:val="21"/>
        </w:rPr>
        <w:t>The i</w:t>
      </w:r>
      <w:r w:rsidRPr="004F1099">
        <w:rPr>
          <w:sz w:val="21"/>
          <w:szCs w:val="21"/>
        </w:rPr>
        <w:t>nclusion of ‘essential’</w:t>
      </w:r>
      <w:r>
        <w:rPr>
          <w:sz w:val="21"/>
          <w:szCs w:val="21"/>
        </w:rPr>
        <w:t xml:space="preserve"> is used </w:t>
      </w:r>
      <w:r w:rsidR="00B86445">
        <w:rPr>
          <w:sz w:val="21"/>
          <w:szCs w:val="21"/>
        </w:rPr>
        <w:t xml:space="preserve">in </w:t>
      </w:r>
      <w:r>
        <w:rPr>
          <w:sz w:val="21"/>
          <w:szCs w:val="21"/>
        </w:rPr>
        <w:t>the same way as</w:t>
      </w:r>
      <w:r w:rsidR="00AE2E38">
        <w:rPr>
          <w:sz w:val="21"/>
          <w:szCs w:val="21"/>
        </w:rPr>
        <w:t xml:space="preserve"> in</w:t>
      </w:r>
      <w:r>
        <w:rPr>
          <w:sz w:val="21"/>
          <w:szCs w:val="21"/>
        </w:rPr>
        <w:t xml:space="preserve"> TG Regulations. The Department </w:t>
      </w:r>
      <w:r w:rsidR="00B86445">
        <w:rPr>
          <w:sz w:val="21"/>
          <w:szCs w:val="21"/>
        </w:rPr>
        <w:t xml:space="preserve">will </w:t>
      </w:r>
      <w:r w:rsidR="00AE2E38">
        <w:rPr>
          <w:sz w:val="21"/>
          <w:szCs w:val="21"/>
        </w:rPr>
        <w:t>consider</w:t>
      </w:r>
      <w:r w:rsidR="00B86445">
        <w:rPr>
          <w:sz w:val="21"/>
          <w:szCs w:val="21"/>
        </w:rPr>
        <w:t xml:space="preserve"> providing</w:t>
      </w:r>
      <w:r w:rsidR="00AE2E38">
        <w:rPr>
          <w:sz w:val="21"/>
          <w:szCs w:val="21"/>
        </w:rPr>
        <w:t xml:space="preserve"> additional context in the</w:t>
      </w:r>
      <w:r>
        <w:rPr>
          <w:sz w:val="21"/>
          <w:szCs w:val="21"/>
        </w:rPr>
        <w:t xml:space="preserve"> ES</w:t>
      </w:r>
      <w:r w:rsidR="002D465F">
        <w:rPr>
          <w:sz w:val="21"/>
          <w:szCs w:val="21"/>
        </w:rPr>
        <w:t xml:space="preserve"> (e.g</w:t>
      </w:r>
      <w:r w:rsidR="00AE2E38">
        <w:rPr>
          <w:sz w:val="21"/>
          <w:szCs w:val="21"/>
        </w:rPr>
        <w:t>.</w:t>
      </w:r>
      <w:r>
        <w:rPr>
          <w:sz w:val="21"/>
          <w:szCs w:val="21"/>
        </w:rPr>
        <w:t xml:space="preserve"> </w:t>
      </w:r>
      <w:r w:rsidRPr="004F1099">
        <w:rPr>
          <w:sz w:val="21"/>
          <w:szCs w:val="21"/>
        </w:rPr>
        <w:t>‘Devices are essential where they deliver better health outcomes for insured persons, including improved surgical accuracy, reductions in operating time and reduced incidence of revision surgery’</w:t>
      </w:r>
      <w:r w:rsidR="002D465F">
        <w:rPr>
          <w:sz w:val="21"/>
          <w:szCs w:val="21"/>
        </w:rPr>
        <w:t>)</w:t>
      </w:r>
      <w:r w:rsidR="00AE2E38">
        <w:rPr>
          <w:sz w:val="21"/>
          <w:szCs w:val="21"/>
        </w:rPr>
        <w:t xml:space="preserve">. </w:t>
      </w:r>
    </w:p>
    <w:p w14:paraId="1C6A695C" w14:textId="7B0582E7" w:rsidR="004F1099" w:rsidRDefault="004F1099" w:rsidP="004F1099">
      <w:pPr>
        <w:pStyle w:val="Heading4"/>
        <w:rPr>
          <w:b w:val="0"/>
        </w:rPr>
      </w:pPr>
      <w:r>
        <w:t xml:space="preserve">Part A – Criterion 1(c) – </w:t>
      </w:r>
      <w:r w:rsidRPr="00967361">
        <w:t>critical to the continuing function of the surgically implantable medical device to achieve (a) above and which is only suitable for use by the patient in whom the medical device is implanted.</w:t>
      </w:r>
    </w:p>
    <w:p w14:paraId="49B59746" w14:textId="0DFA1A79" w:rsidR="004F1099" w:rsidRDefault="004F1099" w:rsidP="004F1099">
      <w:pPr>
        <w:pStyle w:val="ListBullet"/>
      </w:pPr>
      <w:r>
        <w:t>There was no major feedback about this criterion</w:t>
      </w:r>
      <w:r w:rsidR="00A2106C">
        <w:t xml:space="preserve"> other than a common theme</w:t>
      </w:r>
      <w:r>
        <w:t xml:space="preserve"> that there is uncertainty of </w:t>
      </w:r>
      <w:r w:rsidR="00A2106C">
        <w:t xml:space="preserve">its </w:t>
      </w:r>
      <w:r>
        <w:t>historical application</w:t>
      </w:r>
      <w:r w:rsidR="00A2106C">
        <w:t>, which is noted by the Department.</w:t>
      </w:r>
    </w:p>
    <w:p w14:paraId="00C83B41" w14:textId="6726FAAB" w:rsidR="004F1099" w:rsidRDefault="004F1099" w:rsidP="004F1099">
      <w:pPr>
        <w:pStyle w:val="Heading4"/>
        <w:rPr>
          <w:b w:val="0"/>
        </w:rPr>
      </w:pPr>
      <w:r>
        <w:t>Part A – Criterion 2 – not used for diagnostic, prognostic or predictive purposes</w:t>
      </w:r>
    </w:p>
    <w:p w14:paraId="5D6B5E8B" w14:textId="1190E662" w:rsidR="00497048" w:rsidRPr="004945B3" w:rsidRDefault="00144A7A" w:rsidP="00497048">
      <w:pPr>
        <w:pStyle w:val="ListBullet"/>
      </w:pPr>
      <w:r>
        <w:t>Respondents</w:t>
      </w:r>
      <w:r w:rsidR="00497048">
        <w:t xml:space="preserve"> </w:t>
      </w:r>
      <w:r w:rsidR="00A2106C">
        <w:t>noted that the wording</w:t>
      </w:r>
      <w:r>
        <w:t xml:space="preserve"> for this criterion</w:t>
      </w:r>
      <w:r w:rsidR="00A2106C">
        <w:t xml:space="preserve"> as posed </w:t>
      </w:r>
      <w:r w:rsidR="00497048">
        <w:t xml:space="preserve">would rule out devices for diagnostic, prognostic </w:t>
      </w:r>
      <w:r w:rsidR="00497048" w:rsidRPr="00967361">
        <w:t>or predictive purposes</w:t>
      </w:r>
      <w:r w:rsidR="00497048">
        <w:t xml:space="preserve"> and</w:t>
      </w:r>
      <w:r w:rsidR="00EC30BB">
        <w:t xml:space="preserve"> outlined that </w:t>
      </w:r>
      <w:r w:rsidR="00EC0E89">
        <w:t xml:space="preserve">it </w:t>
      </w:r>
      <w:r w:rsidR="00EC30BB">
        <w:t>is</w:t>
      </w:r>
      <w:r w:rsidR="00497048">
        <w:t xml:space="preserve"> </w:t>
      </w:r>
      <w:r w:rsidR="00EC0E89">
        <w:t xml:space="preserve">therefore </w:t>
      </w:r>
      <w:r w:rsidR="00497048">
        <w:t xml:space="preserve">important that alternative payment arrangements are considered. </w:t>
      </w:r>
    </w:p>
    <w:p w14:paraId="0014214F" w14:textId="77777777" w:rsidR="00E472AE" w:rsidRPr="00A2106C" w:rsidRDefault="00E472AE" w:rsidP="00E472AE">
      <w:pPr>
        <w:pStyle w:val="PolicyStatement"/>
        <w:tabs>
          <w:tab w:val="center" w:pos="4535"/>
        </w:tabs>
        <w:rPr>
          <w:szCs w:val="22"/>
        </w:rPr>
      </w:pPr>
      <w:bookmarkStart w:id="5" w:name="_Hlk135249004"/>
      <w:r w:rsidRPr="00A2106C">
        <w:rPr>
          <w:szCs w:val="22"/>
        </w:rPr>
        <w:t>Department response:</w:t>
      </w:r>
    </w:p>
    <w:bookmarkEnd w:id="5"/>
    <w:p w14:paraId="0EB53003" w14:textId="0075B207" w:rsidR="00A2106C" w:rsidRDefault="00A2106C" w:rsidP="00E472AE">
      <w:pPr>
        <w:pStyle w:val="PolicyStatement"/>
        <w:tabs>
          <w:tab w:val="center" w:pos="4535"/>
        </w:tabs>
        <w:rPr>
          <w:szCs w:val="22"/>
        </w:rPr>
      </w:pPr>
      <w:r>
        <w:rPr>
          <w:szCs w:val="22"/>
        </w:rPr>
        <w:t>The Department considers that the wording for this criterion as p</w:t>
      </w:r>
      <w:r w:rsidR="00EC0E89">
        <w:rPr>
          <w:szCs w:val="22"/>
        </w:rPr>
        <w:t>rop</w:t>
      </w:r>
      <w:r>
        <w:rPr>
          <w:szCs w:val="22"/>
        </w:rPr>
        <w:t>osed is appropriate and reflects the</w:t>
      </w:r>
      <w:r w:rsidR="00144A7A">
        <w:rPr>
          <w:szCs w:val="22"/>
        </w:rPr>
        <w:t xml:space="preserve"> eligibility criteria for listing on the PL as defined under the </w:t>
      </w:r>
      <w:r w:rsidR="00144A7A">
        <w:rPr>
          <w:i/>
          <w:iCs/>
        </w:rPr>
        <w:t xml:space="preserve">Private Health Insurance Legislation Amendment (Medical Device and Human Tissue Product List and Cost Recovery) Act 2023 </w:t>
      </w:r>
      <w:r w:rsidR="00144A7A">
        <w:t xml:space="preserve">that comes into effect from 1 July 2023. Further, this criterion </w:t>
      </w:r>
      <w:r w:rsidR="00144A7A">
        <w:lastRenderedPageBreak/>
        <w:t>confirms</w:t>
      </w:r>
      <w:r w:rsidR="00144A7A">
        <w:rPr>
          <w:szCs w:val="22"/>
        </w:rPr>
        <w:t xml:space="preserve"> the </w:t>
      </w:r>
      <w:r>
        <w:rPr>
          <w:szCs w:val="22"/>
        </w:rPr>
        <w:t xml:space="preserve">Government’s commitment to remove </w:t>
      </w:r>
      <w:r w:rsidR="00144A7A">
        <w:rPr>
          <w:szCs w:val="22"/>
        </w:rPr>
        <w:t xml:space="preserve">ineligible items currently listed on the PL (e.g. </w:t>
      </w:r>
      <w:r>
        <w:rPr>
          <w:szCs w:val="22"/>
        </w:rPr>
        <w:t>General Use Items</w:t>
      </w:r>
      <w:r w:rsidR="00144A7A">
        <w:rPr>
          <w:szCs w:val="22"/>
        </w:rPr>
        <w:t>)</w:t>
      </w:r>
      <w:r>
        <w:rPr>
          <w:szCs w:val="22"/>
        </w:rPr>
        <w:t xml:space="preserve">. </w:t>
      </w:r>
    </w:p>
    <w:p w14:paraId="04291690" w14:textId="7C3443A9" w:rsidR="004945B3" w:rsidRPr="00A2106C" w:rsidRDefault="00A2106C" w:rsidP="00E472AE">
      <w:pPr>
        <w:pStyle w:val="PolicyStatement"/>
        <w:tabs>
          <w:tab w:val="center" w:pos="4535"/>
        </w:tabs>
        <w:rPr>
          <w:szCs w:val="22"/>
        </w:rPr>
      </w:pPr>
      <w:r w:rsidRPr="00A2106C">
        <w:rPr>
          <w:szCs w:val="22"/>
        </w:rPr>
        <w:t xml:space="preserve">Following the stakeholder feedback received through the recent </w:t>
      </w:r>
      <w:hyperlink r:id="rId16" w:history="1">
        <w:r w:rsidRPr="00A2106C">
          <w:rPr>
            <w:rStyle w:val="Hyperlink"/>
            <w:szCs w:val="22"/>
          </w:rPr>
          <w:t>Prostheses List Reforms - Consultation Paper 5 - Bundling of Benefits for General Use Items</w:t>
        </w:r>
      </w:hyperlink>
      <w:r w:rsidRPr="00A2106C">
        <w:rPr>
          <w:szCs w:val="22"/>
        </w:rPr>
        <w:t xml:space="preserve"> consultation, the Department is considering </w:t>
      </w:r>
      <w:r>
        <w:rPr>
          <w:szCs w:val="22"/>
        </w:rPr>
        <w:t>the next steps for these items and will provide further advice to the sector in June 2023.</w:t>
      </w:r>
    </w:p>
    <w:p w14:paraId="5C24E83F" w14:textId="7553EF24" w:rsidR="00D34226" w:rsidRDefault="004F1099" w:rsidP="004F1099">
      <w:pPr>
        <w:pStyle w:val="Heading4"/>
        <w:rPr>
          <w:b w:val="0"/>
        </w:rPr>
      </w:pPr>
      <w:r>
        <w:t>Part A – Criterion 3 – specific treatment and indication</w:t>
      </w:r>
    </w:p>
    <w:p w14:paraId="5754BE89" w14:textId="06BC7547" w:rsidR="00D34226" w:rsidRPr="004945B3" w:rsidRDefault="00D34226" w:rsidP="00D34226">
      <w:pPr>
        <w:pStyle w:val="ListBullet"/>
      </w:pPr>
      <w:r>
        <w:t>Respondents indicated that t</w:t>
      </w:r>
      <w:r w:rsidRPr="00985ADB">
        <w:t>here may</w:t>
      </w:r>
      <w:r w:rsidRPr="00EB0121">
        <w:t xml:space="preserve"> be confusion about a ‘specific treatment’ and ‘multiple conditions’ for which that treatment is used, as the criterion applies to ‘treatments’ not ‘conditions’ for which the treatment is used.</w:t>
      </w:r>
    </w:p>
    <w:p w14:paraId="59876BDD" w14:textId="3B41DB78" w:rsidR="004945B3" w:rsidRDefault="004945B3" w:rsidP="004945B3">
      <w:pPr>
        <w:pStyle w:val="PolicyStatement"/>
        <w:tabs>
          <w:tab w:val="center" w:pos="4535"/>
        </w:tabs>
        <w:rPr>
          <w:sz w:val="21"/>
          <w:szCs w:val="21"/>
        </w:rPr>
      </w:pPr>
      <w:r>
        <w:rPr>
          <w:sz w:val="21"/>
          <w:szCs w:val="21"/>
        </w:rPr>
        <w:t>Department response:</w:t>
      </w:r>
    </w:p>
    <w:p w14:paraId="688D70CB" w14:textId="3809AABF" w:rsidR="004945B3" w:rsidRDefault="00E472AE" w:rsidP="004945B3">
      <w:pPr>
        <w:pStyle w:val="PolicyStatement"/>
        <w:tabs>
          <w:tab w:val="center" w:pos="4535"/>
        </w:tabs>
        <w:rPr>
          <w:sz w:val="21"/>
          <w:szCs w:val="21"/>
        </w:rPr>
      </w:pPr>
      <w:r>
        <w:rPr>
          <w:sz w:val="21"/>
          <w:szCs w:val="21"/>
        </w:rPr>
        <w:t xml:space="preserve">The Department acknowledges </w:t>
      </w:r>
      <w:r w:rsidR="00144A7A">
        <w:rPr>
          <w:sz w:val="21"/>
          <w:szCs w:val="21"/>
        </w:rPr>
        <w:t>the</w:t>
      </w:r>
      <w:r w:rsidRPr="00E472AE">
        <w:rPr>
          <w:sz w:val="21"/>
          <w:szCs w:val="21"/>
        </w:rPr>
        <w:t xml:space="preserve"> confusion</w:t>
      </w:r>
      <w:r w:rsidR="00144A7A">
        <w:rPr>
          <w:sz w:val="21"/>
          <w:szCs w:val="21"/>
        </w:rPr>
        <w:t xml:space="preserve"> raised and will consider how it can strengthen this criterion either through reframing of the criterion itself and/or additional context in the ES</w:t>
      </w:r>
      <w:r w:rsidR="00B91ADC">
        <w:rPr>
          <w:sz w:val="21"/>
          <w:szCs w:val="21"/>
        </w:rPr>
        <w:t>.</w:t>
      </w:r>
    </w:p>
    <w:p w14:paraId="7A16DF1C" w14:textId="5C8690A5" w:rsidR="004F1099" w:rsidRDefault="004F1099" w:rsidP="004F1099">
      <w:pPr>
        <w:pStyle w:val="Heading4"/>
      </w:pPr>
      <w:r>
        <w:t>Part A – Criterion 4 – comparison of clinical effectiveness and benefit proportionality</w:t>
      </w:r>
    </w:p>
    <w:p w14:paraId="6A02F664" w14:textId="5228A0DA" w:rsidR="00144A7A" w:rsidRDefault="00144A7A" w:rsidP="00144A7A">
      <w:pPr>
        <w:pStyle w:val="ListBullet"/>
      </w:pPr>
      <w:r>
        <w:t xml:space="preserve">Respondents noted this criterion is consistent with what is applied administratively </w:t>
      </w:r>
      <w:r w:rsidR="0012398F">
        <w:t>currently, and the wording is appropriate as posed</w:t>
      </w:r>
      <w:r>
        <w:t>, which is noted by the Department.</w:t>
      </w:r>
    </w:p>
    <w:p w14:paraId="3DC0EC0C" w14:textId="644181D5" w:rsidR="00144A7A" w:rsidRDefault="00144A7A" w:rsidP="00144A7A">
      <w:pPr>
        <w:pStyle w:val="Heading4"/>
      </w:pPr>
      <w:r>
        <w:t>Part B – Human Tissue Products</w:t>
      </w:r>
    </w:p>
    <w:p w14:paraId="7F88E7B2" w14:textId="77777777" w:rsidR="0012398F" w:rsidRDefault="0012398F" w:rsidP="0012398F">
      <w:pPr>
        <w:pStyle w:val="ListBullet"/>
      </w:pPr>
      <w:r>
        <w:t>Respondents noted this criterion is consistent with what is applied administratively currently, and the wording is appropriate as posed, which is noted by the Department.</w:t>
      </w:r>
    </w:p>
    <w:p w14:paraId="187E5B63" w14:textId="09427CA2" w:rsidR="004F1099" w:rsidRDefault="004F1099" w:rsidP="00D34226">
      <w:pPr>
        <w:pStyle w:val="Heading4"/>
        <w:tabs>
          <w:tab w:val="left" w:pos="2627"/>
        </w:tabs>
        <w:rPr>
          <w:b w:val="0"/>
        </w:rPr>
      </w:pPr>
      <w:r>
        <w:t>Part C – General</w:t>
      </w:r>
      <w:r w:rsidR="00D34226">
        <w:tab/>
      </w:r>
    </w:p>
    <w:p w14:paraId="6A0A5BCA" w14:textId="23F97CF6" w:rsidR="00876105" w:rsidRPr="00876105" w:rsidRDefault="00D34226" w:rsidP="00D34226">
      <w:pPr>
        <w:pStyle w:val="ListBullet"/>
      </w:pPr>
      <w:r>
        <w:t>Generally</w:t>
      </w:r>
      <w:r w:rsidR="00F14471">
        <w:t>,</w:t>
      </w:r>
      <w:r>
        <w:t xml:space="preserve"> </w:t>
      </w:r>
      <w:r w:rsidR="00F14471">
        <w:t>respondents</w:t>
      </w:r>
      <w:r>
        <w:t xml:space="preserve"> welcomed </w:t>
      </w:r>
      <w:r w:rsidR="00F14471">
        <w:t>this criterion</w:t>
      </w:r>
      <w:r>
        <w:t xml:space="preserve"> as an a</w:t>
      </w:r>
      <w:r w:rsidRPr="00D34226">
        <w:t>venue for innovative technology</w:t>
      </w:r>
      <w:r w:rsidR="00876105">
        <w:t>.</w:t>
      </w:r>
    </w:p>
    <w:p w14:paraId="56D3B0DE" w14:textId="64D25C21" w:rsidR="00462082" w:rsidRPr="00462082" w:rsidRDefault="00F14471" w:rsidP="00BE46EE">
      <w:pPr>
        <w:pStyle w:val="ListBullet"/>
      </w:pPr>
      <w:r>
        <w:t>A handful of submissions outlined</w:t>
      </w:r>
      <w:r w:rsidR="00876105">
        <w:t xml:space="preserve"> </w:t>
      </w:r>
      <w:r w:rsidR="00D34226">
        <w:t xml:space="preserve">reservations about </w:t>
      </w:r>
      <w:r w:rsidR="00D34226" w:rsidRPr="00D34226">
        <w:t>‘exceptional circumstance</w:t>
      </w:r>
      <w:r>
        <w:t>s</w:t>
      </w:r>
      <w:r w:rsidR="00D34226" w:rsidRPr="00D34226">
        <w:t xml:space="preserve">’ and </w:t>
      </w:r>
      <w:r>
        <w:t xml:space="preserve">questioned whether </w:t>
      </w:r>
      <w:r w:rsidR="00D34226" w:rsidRPr="00D34226">
        <w:t>Ministerial invitation to submit an application</w:t>
      </w:r>
      <w:r>
        <w:t xml:space="preserve"> would be required</w:t>
      </w:r>
      <w:r w:rsidR="00D34226" w:rsidRPr="00D34226">
        <w:t>.</w:t>
      </w:r>
      <w:r w:rsidR="00876105">
        <w:t xml:space="preserve"> </w:t>
      </w:r>
    </w:p>
    <w:p w14:paraId="0490549D" w14:textId="300AC63B" w:rsidR="004945B3" w:rsidRDefault="004945B3" w:rsidP="004945B3">
      <w:pPr>
        <w:pStyle w:val="PolicyStatement"/>
        <w:tabs>
          <w:tab w:val="center" w:pos="4535"/>
        </w:tabs>
        <w:rPr>
          <w:sz w:val="21"/>
          <w:szCs w:val="21"/>
        </w:rPr>
      </w:pPr>
      <w:r>
        <w:rPr>
          <w:sz w:val="21"/>
          <w:szCs w:val="21"/>
        </w:rPr>
        <w:t>Department response:</w:t>
      </w:r>
    </w:p>
    <w:p w14:paraId="13089F39" w14:textId="00A7E1E5" w:rsidR="00BE61D1" w:rsidRDefault="00E472AE" w:rsidP="00BE61D1">
      <w:pPr>
        <w:pStyle w:val="PolicyStatement"/>
        <w:tabs>
          <w:tab w:val="center" w:pos="4535"/>
        </w:tabs>
        <w:rPr>
          <w:sz w:val="21"/>
          <w:szCs w:val="21"/>
        </w:rPr>
      </w:pPr>
      <w:r w:rsidRPr="007806F8">
        <w:rPr>
          <w:sz w:val="21"/>
          <w:szCs w:val="21"/>
        </w:rPr>
        <w:t xml:space="preserve">The concept of ‘exceptional circumstances’ is </w:t>
      </w:r>
      <w:r w:rsidR="00BE61D1">
        <w:rPr>
          <w:sz w:val="21"/>
          <w:szCs w:val="21"/>
        </w:rPr>
        <w:t xml:space="preserve">commonly </w:t>
      </w:r>
      <w:r w:rsidRPr="007806F8">
        <w:rPr>
          <w:sz w:val="21"/>
          <w:szCs w:val="21"/>
        </w:rPr>
        <w:t>used through the Commonwealth</w:t>
      </w:r>
      <w:r w:rsidR="00BE61D1">
        <w:rPr>
          <w:sz w:val="21"/>
          <w:szCs w:val="21"/>
        </w:rPr>
        <w:t>. The Department will consider how it can strengthen this criterion either through reframing of the criterion itself and/or additional context in the ES</w:t>
      </w:r>
      <w:r w:rsidR="00B91ADC">
        <w:rPr>
          <w:sz w:val="21"/>
          <w:szCs w:val="21"/>
        </w:rPr>
        <w:t>.</w:t>
      </w:r>
    </w:p>
    <w:p w14:paraId="2F46A0FC" w14:textId="11CBFFDF" w:rsidR="004F1099" w:rsidRDefault="004F1099" w:rsidP="004F1099">
      <w:pPr>
        <w:pStyle w:val="Heading4"/>
      </w:pPr>
      <w:r>
        <w:t>Part C – Criterion 1 – ineligible for Part A</w:t>
      </w:r>
    </w:p>
    <w:p w14:paraId="2A292A7C" w14:textId="7C1324E9" w:rsidR="007806F8" w:rsidRDefault="0012398F" w:rsidP="009150D9">
      <w:pPr>
        <w:pStyle w:val="ListBullet"/>
      </w:pPr>
      <w:r>
        <w:t>Respondents noted that the wording as posed for this criterion is acceptable, however, many suggested that additional context against this criterion should be included under the PL Guide</w:t>
      </w:r>
      <w:r w:rsidR="007806F8">
        <w:t xml:space="preserve">. </w:t>
      </w:r>
      <w:r>
        <w:t>This includes clarification that eligible devices must be</w:t>
      </w:r>
      <w:r w:rsidR="007806F8">
        <w:t xml:space="preserve"> single use or patient specific to avoid any impression that multiple use devices or capital equipment are likely to be considered.</w:t>
      </w:r>
    </w:p>
    <w:p w14:paraId="05A492EB" w14:textId="77777777" w:rsidR="00EC0E89" w:rsidRDefault="00E472AE" w:rsidP="00E472AE">
      <w:pPr>
        <w:pStyle w:val="PolicyStatement"/>
        <w:tabs>
          <w:tab w:val="center" w:pos="4535"/>
        </w:tabs>
        <w:rPr>
          <w:sz w:val="21"/>
          <w:szCs w:val="21"/>
        </w:rPr>
      </w:pPr>
      <w:r>
        <w:rPr>
          <w:sz w:val="21"/>
          <w:szCs w:val="21"/>
        </w:rPr>
        <w:lastRenderedPageBreak/>
        <w:t>Department response:</w:t>
      </w:r>
      <w:r w:rsidR="0012398F">
        <w:rPr>
          <w:sz w:val="21"/>
          <w:szCs w:val="21"/>
        </w:rPr>
        <w:t xml:space="preserve"> </w:t>
      </w:r>
    </w:p>
    <w:p w14:paraId="18811FD8" w14:textId="3E3B57D0" w:rsidR="00E472AE" w:rsidRDefault="00890DA4" w:rsidP="00E472AE">
      <w:pPr>
        <w:pStyle w:val="PolicyStatement"/>
        <w:tabs>
          <w:tab w:val="center" w:pos="4535"/>
        </w:tabs>
        <w:rPr>
          <w:sz w:val="21"/>
          <w:szCs w:val="21"/>
        </w:rPr>
      </w:pPr>
      <w:r>
        <w:rPr>
          <w:sz w:val="21"/>
          <w:szCs w:val="21"/>
        </w:rPr>
        <w:t xml:space="preserve">The Department </w:t>
      </w:r>
      <w:r w:rsidR="0012398F">
        <w:rPr>
          <w:sz w:val="21"/>
          <w:szCs w:val="21"/>
        </w:rPr>
        <w:t xml:space="preserve">notes that the wording for this criterion as posed is appropriate and will consider whether additional context can be incorporated within the ES.  </w:t>
      </w:r>
    </w:p>
    <w:p w14:paraId="1BAC490F" w14:textId="5BD4E9E8" w:rsidR="004F1099" w:rsidRDefault="004F1099" w:rsidP="004F1099">
      <w:pPr>
        <w:pStyle w:val="Heading4"/>
      </w:pPr>
      <w:r>
        <w:t xml:space="preserve">Part C – Criterion 2 – </w:t>
      </w:r>
      <w:r w:rsidRPr="008A2F94">
        <w:t>comparison of clinical effectiveness and benefit proportionality</w:t>
      </w:r>
    </w:p>
    <w:p w14:paraId="77CC6C93" w14:textId="75B7E4EC" w:rsidR="0012398F" w:rsidRDefault="0012398F" w:rsidP="0012398F">
      <w:pPr>
        <w:pStyle w:val="ListBullet"/>
      </w:pPr>
      <w:r>
        <w:t>Respondents noted the wording for this criterion is appropriate as posed, which is noted by the Department.</w:t>
      </w:r>
    </w:p>
    <w:p w14:paraId="609ED916" w14:textId="7D7CF4A2" w:rsidR="00962D38" w:rsidRDefault="00962D38" w:rsidP="007806F8">
      <w:pPr>
        <w:pStyle w:val="Heading4"/>
        <w:tabs>
          <w:tab w:val="left" w:pos="7396"/>
        </w:tabs>
      </w:pPr>
      <w:r>
        <w:t>Part C – Criterion 3 – exceptional circumstance</w:t>
      </w:r>
      <w:r w:rsidR="00D3147C">
        <w:t>s</w:t>
      </w:r>
      <w:r w:rsidR="007806F8">
        <w:tab/>
      </w:r>
    </w:p>
    <w:p w14:paraId="04BC8B13" w14:textId="67422862" w:rsidR="007806F8" w:rsidRDefault="00BE61D1" w:rsidP="007806F8">
      <w:pPr>
        <w:pStyle w:val="ListBullet"/>
      </w:pPr>
      <w:r>
        <w:t xml:space="preserve">Respondents were broadly supportive of the examples of ‘exceptional circumstances’ that are provided </w:t>
      </w:r>
      <w:r w:rsidR="00EC0E89">
        <w:t xml:space="preserve">for </w:t>
      </w:r>
      <w:r>
        <w:t xml:space="preserve">this criteria, however, additional examples including ‘serious conditions’ and ‘orphan indications’ were proposed. </w:t>
      </w:r>
    </w:p>
    <w:p w14:paraId="3E4D4E21" w14:textId="5030696F" w:rsidR="006430DC" w:rsidRPr="006F18F0" w:rsidRDefault="006F18F0" w:rsidP="006430DC">
      <w:pPr>
        <w:pStyle w:val="ListBullet"/>
        <w:rPr>
          <w:i/>
          <w:iCs/>
        </w:rPr>
      </w:pPr>
      <w:r w:rsidRPr="006F18F0">
        <w:t xml:space="preserve">A further suggestion </w:t>
      </w:r>
      <w:r w:rsidR="00EC0E89">
        <w:t xml:space="preserve">was made </w:t>
      </w:r>
      <w:r w:rsidR="006430DC" w:rsidRPr="006F18F0">
        <w:t>that Criterion 3(d) should be reworded to clarify that the lower cost of the device applies to the wider healthcare system and not necessarily the device itself</w:t>
      </w:r>
      <w:r>
        <w:t>.</w:t>
      </w:r>
    </w:p>
    <w:p w14:paraId="121F8280" w14:textId="77777777" w:rsidR="00E472AE" w:rsidRPr="006F18F0" w:rsidRDefault="006430DC" w:rsidP="006430DC">
      <w:pPr>
        <w:pStyle w:val="PolicyStatement"/>
        <w:rPr>
          <w:sz w:val="21"/>
          <w:szCs w:val="21"/>
        </w:rPr>
      </w:pPr>
      <w:r w:rsidRPr="006F18F0">
        <w:rPr>
          <w:sz w:val="21"/>
          <w:szCs w:val="21"/>
        </w:rPr>
        <w:t xml:space="preserve">Department response: </w:t>
      </w:r>
    </w:p>
    <w:p w14:paraId="6DF0E3A9" w14:textId="2E70C542" w:rsidR="006F18F0" w:rsidRDefault="006F18F0" w:rsidP="006F18F0">
      <w:pPr>
        <w:pStyle w:val="PolicyStatement"/>
        <w:tabs>
          <w:tab w:val="center" w:pos="4535"/>
        </w:tabs>
        <w:rPr>
          <w:sz w:val="21"/>
          <w:szCs w:val="21"/>
        </w:rPr>
      </w:pPr>
      <w:r>
        <w:rPr>
          <w:sz w:val="21"/>
          <w:szCs w:val="21"/>
        </w:rPr>
        <w:t>The Department will consider whether the suggested additions to this criterion are appropriate, either through reframing of the criterion itself and/or additional context in the ES.</w:t>
      </w:r>
    </w:p>
    <w:p w14:paraId="6C230C66" w14:textId="32AAE4BC" w:rsidR="000D1534" w:rsidRPr="000D1534" w:rsidRDefault="000D1534" w:rsidP="003F66C7">
      <w:pPr>
        <w:pStyle w:val="Heading3"/>
      </w:pPr>
      <w:r w:rsidRPr="000D1534">
        <w:t xml:space="preserve">Suggested inclusions to the </w:t>
      </w:r>
      <w:r>
        <w:t xml:space="preserve">Listing Criteria </w:t>
      </w:r>
    </w:p>
    <w:p w14:paraId="1754DE4A" w14:textId="3B489E49" w:rsidR="00EB0185" w:rsidRDefault="00256D14" w:rsidP="00256D14">
      <w:pPr>
        <w:pStyle w:val="ListBullet"/>
        <w:numPr>
          <w:ilvl w:val="0"/>
          <w:numId w:val="0"/>
        </w:numPr>
        <w:tabs>
          <w:tab w:val="clear" w:pos="340"/>
          <w:tab w:val="left" w:pos="142"/>
        </w:tabs>
      </w:pPr>
      <w:r>
        <w:t xml:space="preserve">Several additional </w:t>
      </w:r>
      <w:r w:rsidR="00EB0185">
        <w:t xml:space="preserve">recommendations </w:t>
      </w:r>
      <w:r>
        <w:t xml:space="preserve">were provided by respondents </w:t>
      </w:r>
      <w:r w:rsidR="00CE1DC9">
        <w:t xml:space="preserve">to be considered </w:t>
      </w:r>
      <w:r>
        <w:t>for inclusion</w:t>
      </w:r>
      <w:r w:rsidR="00EB0185">
        <w:t xml:space="preserve"> in the LC</w:t>
      </w:r>
      <w:r w:rsidR="00CE1DC9">
        <w:t>. In addition to those already outlined in this response paper, this</w:t>
      </w:r>
      <w:r>
        <w:t xml:space="preserve"> includ</w:t>
      </w:r>
      <w:r w:rsidR="00CE1DC9">
        <w:t>es</w:t>
      </w:r>
      <w:r>
        <w:t xml:space="preserve"> (but</w:t>
      </w:r>
      <w:r w:rsidR="00CE1DC9">
        <w:t xml:space="preserve"> is</w:t>
      </w:r>
      <w:r>
        <w:t xml:space="preserve"> not limited to)</w:t>
      </w:r>
      <w:r w:rsidR="00EB0185">
        <w:t>:</w:t>
      </w:r>
    </w:p>
    <w:p w14:paraId="1F69FFE0" w14:textId="19683983" w:rsidR="005346F8" w:rsidRDefault="00FB4839" w:rsidP="00FB4839">
      <w:pPr>
        <w:pStyle w:val="ListBullet"/>
      </w:pPr>
      <w:r w:rsidRPr="00FB4839">
        <w:t xml:space="preserve">Part C </w:t>
      </w:r>
      <w:r w:rsidR="00E472AE">
        <w:t xml:space="preserve">- </w:t>
      </w:r>
      <w:r w:rsidRPr="00FB4839">
        <w:t>Criterion 3</w:t>
      </w:r>
      <w:r>
        <w:t xml:space="preserve"> - </w:t>
      </w:r>
      <w:r w:rsidRPr="00FB4839">
        <w:t>Benefit should only be payable once the device has actually been used.</w:t>
      </w:r>
    </w:p>
    <w:p w14:paraId="21449AC3" w14:textId="10F59AEC" w:rsidR="00EB0185" w:rsidRDefault="00EB0185" w:rsidP="00EB0185">
      <w:pPr>
        <w:pStyle w:val="ListBullet"/>
      </w:pPr>
      <w:r>
        <w:t>Additional listing criteria that ask device manufacturers to declare there will not be extra charges for the device beyond the PL price.</w:t>
      </w:r>
    </w:p>
    <w:p w14:paraId="3695226B" w14:textId="4D4D3BD3" w:rsidR="00E472AE" w:rsidRDefault="00CE1DC9" w:rsidP="00E472AE">
      <w:pPr>
        <w:pStyle w:val="ListBullet"/>
      </w:pPr>
      <w:r>
        <w:t xml:space="preserve">Development of </w:t>
      </w:r>
      <w:r w:rsidR="002871C0">
        <w:t xml:space="preserve">a secondary set of criteria which differentiate </w:t>
      </w:r>
      <w:r w:rsidR="006F18F0">
        <w:t>General Use Item</w:t>
      </w:r>
      <w:r w:rsidR="002871C0">
        <w:t>s from other items of the PL.</w:t>
      </w:r>
    </w:p>
    <w:p w14:paraId="56682941" w14:textId="77777777" w:rsidR="003D4139" w:rsidRPr="00B62EF1" w:rsidRDefault="003D4139" w:rsidP="003D4139">
      <w:pPr>
        <w:pStyle w:val="PolicyStatement"/>
        <w:rPr>
          <w:sz w:val="21"/>
          <w:szCs w:val="21"/>
        </w:rPr>
      </w:pPr>
      <w:r w:rsidRPr="00B62EF1">
        <w:rPr>
          <w:sz w:val="21"/>
          <w:szCs w:val="21"/>
        </w:rPr>
        <w:t>Department response:</w:t>
      </w:r>
    </w:p>
    <w:p w14:paraId="7EBDEC1C" w14:textId="4E2CFF5E" w:rsidR="00B62EF1" w:rsidRPr="00B62EF1" w:rsidRDefault="00CE1DC9" w:rsidP="00CE1DC9">
      <w:pPr>
        <w:pStyle w:val="PolicyStatement"/>
        <w:rPr>
          <w:sz w:val="21"/>
          <w:szCs w:val="21"/>
        </w:rPr>
      </w:pPr>
      <w:r>
        <w:rPr>
          <w:sz w:val="21"/>
          <w:szCs w:val="21"/>
        </w:rPr>
        <w:t>The Department will consider all suggestions provided by respondents wh</w:t>
      </w:r>
      <w:r w:rsidR="00EC0E89">
        <w:rPr>
          <w:sz w:val="21"/>
          <w:szCs w:val="21"/>
        </w:rPr>
        <w:t>en</w:t>
      </w:r>
      <w:r>
        <w:rPr>
          <w:sz w:val="21"/>
          <w:szCs w:val="21"/>
        </w:rPr>
        <w:t xml:space="preserve"> finalising the</w:t>
      </w:r>
      <w:r w:rsidR="006F18F0">
        <w:rPr>
          <w:sz w:val="21"/>
          <w:szCs w:val="21"/>
        </w:rPr>
        <w:t xml:space="preserve"> </w:t>
      </w:r>
      <w:r>
        <w:rPr>
          <w:sz w:val="21"/>
          <w:szCs w:val="21"/>
        </w:rPr>
        <w:t>LC</w:t>
      </w:r>
      <w:bookmarkStart w:id="6" w:name="_Hlk135258399"/>
      <w:r w:rsidR="006F18F0">
        <w:rPr>
          <w:sz w:val="21"/>
          <w:szCs w:val="21"/>
        </w:rPr>
        <w:t>.</w:t>
      </w:r>
    </w:p>
    <w:bookmarkEnd w:id="6"/>
    <w:p w14:paraId="5F9CFF22" w14:textId="392267E7" w:rsidR="000D1534" w:rsidRDefault="000D1534" w:rsidP="005346F8">
      <w:pPr>
        <w:pStyle w:val="Tabletextleft"/>
        <w:rPr>
          <w:rFonts w:cs="Arial"/>
          <w:b/>
          <w:bCs/>
          <w:color w:val="358189"/>
          <w:sz w:val="32"/>
          <w:szCs w:val="26"/>
        </w:rPr>
      </w:pPr>
      <w:r w:rsidRPr="000D1534">
        <w:rPr>
          <w:rFonts w:cs="Arial"/>
          <w:b/>
          <w:bCs/>
          <w:color w:val="358189"/>
          <w:sz w:val="32"/>
          <w:szCs w:val="26"/>
        </w:rPr>
        <w:t>Frequency of revision of the L</w:t>
      </w:r>
      <w:r w:rsidR="00BD4D38">
        <w:rPr>
          <w:rFonts w:cs="Arial"/>
          <w:b/>
          <w:bCs/>
          <w:color w:val="358189"/>
          <w:sz w:val="32"/>
          <w:szCs w:val="26"/>
        </w:rPr>
        <w:t xml:space="preserve">isting </w:t>
      </w:r>
      <w:r w:rsidRPr="000D1534">
        <w:rPr>
          <w:rFonts w:cs="Arial"/>
          <w:b/>
          <w:bCs/>
          <w:color w:val="358189"/>
          <w:sz w:val="32"/>
          <w:szCs w:val="26"/>
        </w:rPr>
        <w:t>C</w:t>
      </w:r>
      <w:r w:rsidR="00BD4D38">
        <w:rPr>
          <w:rFonts w:cs="Arial"/>
          <w:b/>
          <w:bCs/>
          <w:color w:val="358189"/>
          <w:sz w:val="32"/>
          <w:szCs w:val="26"/>
        </w:rPr>
        <w:t xml:space="preserve">riteria </w:t>
      </w:r>
    </w:p>
    <w:p w14:paraId="04F9B20B" w14:textId="01F5FDB9" w:rsidR="00BD4D38" w:rsidRDefault="006F18F0" w:rsidP="00BD4D38">
      <w:pPr>
        <w:pStyle w:val="ListBullet"/>
      </w:pPr>
      <w:r>
        <w:t>Respondents</w:t>
      </w:r>
      <w:r w:rsidR="00256D14">
        <w:t xml:space="preserve"> agreed that t</w:t>
      </w:r>
      <w:r w:rsidR="00BD4D38">
        <w:t>he LC should be cyclically reviewed to keep up with medical and technical advancements</w:t>
      </w:r>
      <w:r>
        <w:t xml:space="preserve"> (including outcomes of specific Post Listing Reviews).</w:t>
      </w:r>
    </w:p>
    <w:p w14:paraId="34BF3133" w14:textId="77777777" w:rsidR="00B62EF1" w:rsidRPr="00B62EF1" w:rsidRDefault="00B62EF1" w:rsidP="00B62EF1">
      <w:pPr>
        <w:pStyle w:val="PolicyStatement"/>
        <w:rPr>
          <w:sz w:val="21"/>
          <w:szCs w:val="21"/>
        </w:rPr>
      </w:pPr>
      <w:r w:rsidRPr="00B62EF1">
        <w:rPr>
          <w:sz w:val="21"/>
          <w:szCs w:val="21"/>
        </w:rPr>
        <w:lastRenderedPageBreak/>
        <w:t>Department response:</w:t>
      </w:r>
    </w:p>
    <w:p w14:paraId="25CF34BD" w14:textId="6C49B4CB" w:rsidR="00B62EF1" w:rsidRPr="00B62EF1" w:rsidRDefault="00B62EF1" w:rsidP="00B62EF1">
      <w:pPr>
        <w:pStyle w:val="PolicyStatement"/>
        <w:rPr>
          <w:sz w:val="21"/>
          <w:szCs w:val="21"/>
        </w:rPr>
      </w:pPr>
      <w:r w:rsidRPr="00B62EF1">
        <w:rPr>
          <w:sz w:val="21"/>
          <w:szCs w:val="21"/>
        </w:rPr>
        <w:t>The</w:t>
      </w:r>
      <w:r>
        <w:rPr>
          <w:sz w:val="21"/>
          <w:szCs w:val="21"/>
        </w:rPr>
        <w:t xml:space="preserve"> Department acknowledges that t</w:t>
      </w:r>
      <w:r w:rsidRPr="00B62EF1">
        <w:rPr>
          <w:sz w:val="21"/>
          <w:szCs w:val="21"/>
        </w:rPr>
        <w:t xml:space="preserve">he listing criteria represents an important transparency measure and will be reviewed regularly and if necessary, updated whenever </w:t>
      </w:r>
      <w:r w:rsidR="006F18F0">
        <w:rPr>
          <w:sz w:val="21"/>
          <w:szCs w:val="21"/>
        </w:rPr>
        <w:t>improvement is required</w:t>
      </w:r>
      <w:r w:rsidRPr="00B62EF1">
        <w:rPr>
          <w:sz w:val="21"/>
          <w:szCs w:val="21"/>
        </w:rPr>
        <w:t>, including as a result of specific Post Listing Reviews.</w:t>
      </w:r>
    </w:p>
    <w:p w14:paraId="5747845D" w14:textId="10E814A2" w:rsidR="00BD4D38" w:rsidRDefault="000D1534" w:rsidP="003F66C7">
      <w:pPr>
        <w:pStyle w:val="Heading3"/>
      </w:pPr>
      <w:r w:rsidRPr="000D1534">
        <w:t xml:space="preserve">Inclusion of notes in the legislative instruments </w:t>
      </w:r>
    </w:p>
    <w:p w14:paraId="15D27C70" w14:textId="615F6FB3" w:rsidR="00BD4D38" w:rsidRDefault="00256D14" w:rsidP="00BD4D38">
      <w:pPr>
        <w:pStyle w:val="ListBullet"/>
      </w:pPr>
      <w:r>
        <w:t>The m</w:t>
      </w:r>
      <w:r w:rsidR="007C3361">
        <w:t xml:space="preserve">ajority of </w:t>
      </w:r>
      <w:r w:rsidR="00BD4D38">
        <w:t xml:space="preserve">respondents agree that notes in the legislative instruments should be included for the sake of clarity and to avoid differing interpretation. </w:t>
      </w:r>
    </w:p>
    <w:p w14:paraId="6BF2C0FB" w14:textId="77777777" w:rsidR="00B62EF1" w:rsidRPr="00B62EF1" w:rsidRDefault="00B62EF1" w:rsidP="00B62EF1">
      <w:pPr>
        <w:pStyle w:val="PolicyStatement"/>
        <w:rPr>
          <w:sz w:val="21"/>
          <w:szCs w:val="21"/>
        </w:rPr>
      </w:pPr>
      <w:r w:rsidRPr="00B62EF1">
        <w:rPr>
          <w:sz w:val="21"/>
          <w:szCs w:val="21"/>
        </w:rPr>
        <w:t>Department response:</w:t>
      </w:r>
    </w:p>
    <w:p w14:paraId="61FFC2C9" w14:textId="7FE2AB3E" w:rsidR="008C5EB4" w:rsidRDefault="00256D14" w:rsidP="008C5EB4">
      <w:pPr>
        <w:pStyle w:val="PolicyStatement"/>
        <w:rPr>
          <w:sz w:val="21"/>
          <w:szCs w:val="21"/>
        </w:rPr>
      </w:pPr>
      <w:r>
        <w:rPr>
          <w:sz w:val="21"/>
          <w:szCs w:val="21"/>
        </w:rPr>
        <w:t>T</w:t>
      </w:r>
      <w:r w:rsidR="00B62EF1" w:rsidRPr="00B62EF1">
        <w:rPr>
          <w:sz w:val="21"/>
          <w:szCs w:val="21"/>
        </w:rPr>
        <w:t>he</w:t>
      </w:r>
      <w:r w:rsidR="00B62EF1">
        <w:rPr>
          <w:sz w:val="21"/>
          <w:szCs w:val="21"/>
        </w:rPr>
        <w:t xml:space="preserve"> Department will</w:t>
      </w:r>
      <w:r w:rsidR="008C5EB4">
        <w:rPr>
          <w:sz w:val="21"/>
          <w:szCs w:val="21"/>
        </w:rPr>
        <w:t xml:space="preserve"> </w:t>
      </w:r>
      <w:r w:rsidR="00B62EF1">
        <w:rPr>
          <w:sz w:val="21"/>
          <w:szCs w:val="21"/>
        </w:rPr>
        <w:t>include notes</w:t>
      </w:r>
      <w:r w:rsidR="00847563">
        <w:rPr>
          <w:sz w:val="21"/>
          <w:szCs w:val="21"/>
        </w:rPr>
        <w:t xml:space="preserve"> (where able)</w:t>
      </w:r>
      <w:r w:rsidR="00B62EF1">
        <w:rPr>
          <w:sz w:val="21"/>
          <w:szCs w:val="21"/>
        </w:rPr>
        <w:t xml:space="preserve"> </w:t>
      </w:r>
      <w:r>
        <w:rPr>
          <w:sz w:val="21"/>
          <w:szCs w:val="21"/>
        </w:rPr>
        <w:t xml:space="preserve">within the legislative instruments </w:t>
      </w:r>
      <w:r w:rsidR="008C5EB4">
        <w:rPr>
          <w:sz w:val="21"/>
          <w:szCs w:val="21"/>
        </w:rPr>
        <w:t>to increase ease of interpretation and clarity of terms.</w:t>
      </w:r>
      <w:r>
        <w:rPr>
          <w:sz w:val="21"/>
          <w:szCs w:val="21"/>
        </w:rPr>
        <w:t xml:space="preserve"> Where relevant, additional clarity around the listing criteria will also be included in the </w:t>
      </w:r>
      <w:r w:rsidR="006F18F0">
        <w:rPr>
          <w:sz w:val="21"/>
          <w:szCs w:val="21"/>
        </w:rPr>
        <w:t>ES</w:t>
      </w:r>
      <w:r>
        <w:rPr>
          <w:sz w:val="21"/>
          <w:szCs w:val="21"/>
        </w:rPr>
        <w:t>.</w:t>
      </w:r>
    </w:p>
    <w:p w14:paraId="649A4837" w14:textId="0C531C00" w:rsidR="005346F8" w:rsidRDefault="005346F8" w:rsidP="003F66C7">
      <w:pPr>
        <w:pStyle w:val="Heading2"/>
      </w:pPr>
      <w:r>
        <w:t xml:space="preserve">Outside the scope of the </w:t>
      </w:r>
      <w:r w:rsidRPr="003F66C7">
        <w:t>consultation</w:t>
      </w:r>
      <w:r>
        <w:t xml:space="preserve"> paper</w:t>
      </w:r>
    </w:p>
    <w:p w14:paraId="3F4950D6" w14:textId="24E3D86F" w:rsidR="005346F8" w:rsidRDefault="007C3361" w:rsidP="00D03CD9">
      <w:pPr>
        <w:pStyle w:val="ListBullet"/>
        <w:numPr>
          <w:ilvl w:val="0"/>
          <w:numId w:val="0"/>
        </w:numPr>
      </w:pPr>
      <w:r>
        <w:t>While technically outside the scope of the consultation paper, s</w:t>
      </w:r>
      <w:r w:rsidR="005346F8">
        <w:t xml:space="preserve">everal </w:t>
      </w:r>
      <w:r>
        <w:t xml:space="preserve">submissions provided </w:t>
      </w:r>
      <w:r w:rsidR="005346F8">
        <w:t xml:space="preserve">alternative options </w:t>
      </w:r>
      <w:r>
        <w:t>for consideration by Government to achieve the policy objectives of the reform</w:t>
      </w:r>
      <w:r w:rsidR="005346F8">
        <w:t xml:space="preserve">. </w:t>
      </w:r>
      <w:r w:rsidR="006C078B">
        <w:rPr>
          <w:rFonts w:cs="Arial"/>
          <w:szCs w:val="22"/>
        </w:rPr>
        <w:t xml:space="preserve">The Department would like to reassure stakeholders that their concerns regarding these issues will be </w:t>
      </w:r>
      <w:r w:rsidR="00373F83">
        <w:rPr>
          <w:rFonts w:cs="Arial"/>
          <w:szCs w:val="22"/>
        </w:rPr>
        <w:t xml:space="preserve">considered </w:t>
      </w:r>
      <w:r w:rsidR="006C078B">
        <w:rPr>
          <w:rFonts w:cs="Arial"/>
          <w:szCs w:val="22"/>
        </w:rPr>
        <w:t>either in future consultation papers, or educational materials provided by the Department.</w:t>
      </w:r>
      <w:r w:rsidR="006C078B">
        <w:t xml:space="preserve"> </w:t>
      </w:r>
      <w:r w:rsidR="005346F8">
        <w:t xml:space="preserve">These </w:t>
      </w:r>
      <w:r w:rsidR="006C078B">
        <w:t xml:space="preserve">issues </w:t>
      </w:r>
      <w:r w:rsidR="005346F8">
        <w:t>included (in no particular order)</w:t>
      </w:r>
      <w:r>
        <w:t>,</w:t>
      </w:r>
      <w:r w:rsidR="005346F8">
        <w:t xml:space="preserve"> but are not limited to:</w:t>
      </w:r>
    </w:p>
    <w:p w14:paraId="7412DA01" w14:textId="12C6A105" w:rsidR="00F6679E" w:rsidRDefault="00F6679E" w:rsidP="005346F8">
      <w:pPr>
        <w:pStyle w:val="ListBullet"/>
        <w:numPr>
          <w:ilvl w:val="0"/>
          <w:numId w:val="17"/>
        </w:numPr>
      </w:pPr>
      <w:r>
        <w:t>Concerns about</w:t>
      </w:r>
      <w:r w:rsidRPr="00F6679E">
        <w:t xml:space="preserve"> the pathway for reviewing or challenging a decision about (in)eligibility for listing is inadequate, resulting in increased funding uncertainty and access issues for private patients.</w:t>
      </w:r>
    </w:p>
    <w:p w14:paraId="78C970E3" w14:textId="00450D10" w:rsidR="007C3361" w:rsidRDefault="007C3361" w:rsidP="005346F8">
      <w:pPr>
        <w:pStyle w:val="ListBullet"/>
        <w:numPr>
          <w:ilvl w:val="0"/>
          <w:numId w:val="17"/>
        </w:numPr>
      </w:pPr>
      <w:r>
        <w:t xml:space="preserve">Using </w:t>
      </w:r>
      <w:r w:rsidR="00A53241">
        <w:t>the existing PL Part D</w:t>
      </w:r>
      <w:r>
        <w:t xml:space="preserve"> but with:</w:t>
      </w:r>
    </w:p>
    <w:p w14:paraId="0137676D" w14:textId="606341E2" w:rsidR="008E4242" w:rsidRDefault="008E4242" w:rsidP="007C3361">
      <w:pPr>
        <w:pStyle w:val="ListBullet"/>
        <w:numPr>
          <w:ilvl w:val="1"/>
          <w:numId w:val="17"/>
        </w:numPr>
      </w:pPr>
      <w:r>
        <w:t>collection of utilisation data to inform clinical practice</w:t>
      </w:r>
    </w:p>
    <w:p w14:paraId="3C2991F7" w14:textId="48F52FCB" w:rsidR="005346F8" w:rsidRPr="00A418EF" w:rsidRDefault="007C3361" w:rsidP="007C3361">
      <w:pPr>
        <w:pStyle w:val="ListBullet"/>
        <w:numPr>
          <w:ilvl w:val="1"/>
          <w:numId w:val="17"/>
        </w:numPr>
      </w:pPr>
      <w:r>
        <w:t xml:space="preserve">a sliding scale of benefits reductions </w:t>
      </w:r>
      <w:r w:rsidR="00A53241">
        <w:t>to incentivise contracting</w:t>
      </w:r>
    </w:p>
    <w:p w14:paraId="05FE5E89" w14:textId="6CD453D1" w:rsidR="005346F8" w:rsidRPr="00A418EF" w:rsidRDefault="00A53241" w:rsidP="007C3361">
      <w:pPr>
        <w:pStyle w:val="ListBullet"/>
        <w:numPr>
          <w:ilvl w:val="1"/>
          <w:numId w:val="17"/>
        </w:numPr>
      </w:pPr>
      <w:r>
        <w:t>efficient prices rather than public sector prices</w:t>
      </w:r>
      <w:r w:rsidR="007C3361">
        <w:t xml:space="preserve"> to incentivise more cost</w:t>
      </w:r>
      <w:r w:rsidR="007C3361">
        <w:noBreakHyphen/>
        <w:t>effective utilisation</w:t>
      </w:r>
      <w:r w:rsidR="00256D14">
        <w:t>.</w:t>
      </w:r>
    </w:p>
    <w:p w14:paraId="5378CD17" w14:textId="28A079E1" w:rsidR="005346F8" w:rsidRPr="00D34226" w:rsidRDefault="00A53241" w:rsidP="008E4242">
      <w:pPr>
        <w:pStyle w:val="ListBullet"/>
        <w:numPr>
          <w:ilvl w:val="0"/>
          <w:numId w:val="17"/>
        </w:numPr>
      </w:pPr>
      <w:r w:rsidRPr="00D34226">
        <w:t>Centralised procurement of general use items</w:t>
      </w:r>
      <w:r w:rsidR="007C3361" w:rsidRPr="00D34226">
        <w:t xml:space="preserve"> </w:t>
      </w:r>
      <w:r w:rsidR="008E4242" w:rsidRPr="00D34226">
        <w:t xml:space="preserve">by the Commonwealth </w:t>
      </w:r>
      <w:r w:rsidR="007C3361" w:rsidRPr="00D34226">
        <w:t>to reduce inequities in pricing across hospitals and between the Australian and overseas markets</w:t>
      </w:r>
      <w:r w:rsidR="00256D14">
        <w:t>.</w:t>
      </w:r>
    </w:p>
    <w:p w14:paraId="6A952C73" w14:textId="62AE36E0" w:rsidR="00D34226" w:rsidRPr="00D34226" w:rsidRDefault="003278FA" w:rsidP="008E4242">
      <w:pPr>
        <w:pStyle w:val="ListBullet"/>
        <w:numPr>
          <w:ilvl w:val="0"/>
          <w:numId w:val="17"/>
        </w:numPr>
      </w:pPr>
      <w:r>
        <w:t>Requested revision</w:t>
      </w:r>
      <w:r w:rsidR="003301E2">
        <w:t>s</w:t>
      </w:r>
      <w:r>
        <w:t xml:space="preserve"> to existing content of the PL Guide and seeking advice on when the PL Guide will be released</w:t>
      </w:r>
      <w:r w:rsidR="00D34226">
        <w:t xml:space="preserve"> for consultation.  </w:t>
      </w:r>
    </w:p>
    <w:p w14:paraId="5D20FE53" w14:textId="4389F733" w:rsidR="000D1534" w:rsidRPr="000D1534" w:rsidRDefault="000D1534" w:rsidP="000D1534">
      <w:pPr>
        <w:pStyle w:val="ListBullet"/>
        <w:numPr>
          <w:ilvl w:val="0"/>
          <w:numId w:val="0"/>
        </w:numPr>
        <w:ind w:left="360"/>
      </w:pPr>
    </w:p>
    <w:sectPr w:rsidR="000D1534" w:rsidRPr="000D1534" w:rsidSect="004006A6">
      <w:headerReference w:type="default" r:id="rId17"/>
      <w:footerReference w:type="default" r:id="rId18"/>
      <w:headerReference w:type="first" r:id="rId19"/>
      <w:footerReference w:type="first" r:id="rId20"/>
      <w:type w:val="continuous"/>
      <w:pgSz w:w="11906" w:h="16838"/>
      <w:pgMar w:top="1276" w:right="1418" w:bottom="993" w:left="1418" w:header="284" w:footer="4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4FF82" w14:textId="77777777" w:rsidR="00DB762D" w:rsidRDefault="00DB762D" w:rsidP="006B56BB">
      <w:r>
        <w:separator/>
      </w:r>
    </w:p>
    <w:p w14:paraId="5A0AD945" w14:textId="77777777" w:rsidR="00DB762D" w:rsidRDefault="00DB762D"/>
  </w:endnote>
  <w:endnote w:type="continuationSeparator" w:id="0">
    <w:p w14:paraId="0038DE2A" w14:textId="77777777" w:rsidR="00DB762D" w:rsidRDefault="00DB762D" w:rsidP="006B56BB">
      <w:r>
        <w:continuationSeparator/>
      </w:r>
    </w:p>
    <w:p w14:paraId="20AF98BF" w14:textId="77777777" w:rsidR="00DB762D" w:rsidRDefault="00DB762D"/>
  </w:endnote>
  <w:endnote w:type="continuationNotice" w:id="1">
    <w:p w14:paraId="549D905D" w14:textId="77777777" w:rsidR="00DB762D" w:rsidRDefault="00DB7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8B17" w14:textId="56317E53" w:rsidR="00B53987" w:rsidRDefault="00645274" w:rsidP="00B53987">
    <w:pPr>
      <w:pStyle w:val="Footer"/>
    </w:pPr>
    <w:r>
      <w:t xml:space="preserve">Prostheses List Reform Taskforce, Technology Assessment and Access Division </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BE43" w14:textId="52CEA51E" w:rsidR="00B53987" w:rsidRDefault="00062407" w:rsidP="00B53987">
    <w:pPr>
      <w:pStyle w:val="Footer"/>
    </w:pPr>
    <w:r>
      <w:t>Prostheses List Reform Taskforce, Technology Assessment and Access Division</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83244" w14:textId="77777777" w:rsidR="00DB762D" w:rsidRDefault="00DB762D" w:rsidP="006B56BB">
      <w:r>
        <w:separator/>
      </w:r>
    </w:p>
    <w:p w14:paraId="65AD3EBB" w14:textId="77777777" w:rsidR="00DB762D" w:rsidRDefault="00DB762D"/>
  </w:footnote>
  <w:footnote w:type="continuationSeparator" w:id="0">
    <w:p w14:paraId="0ABD8E04" w14:textId="77777777" w:rsidR="00DB762D" w:rsidRDefault="00DB762D" w:rsidP="006B56BB">
      <w:r>
        <w:continuationSeparator/>
      </w:r>
    </w:p>
    <w:p w14:paraId="24FDDFC9" w14:textId="77777777" w:rsidR="00DB762D" w:rsidRDefault="00DB762D"/>
  </w:footnote>
  <w:footnote w:type="continuationNotice" w:id="1">
    <w:p w14:paraId="2FBA1056" w14:textId="77777777" w:rsidR="00DB762D" w:rsidRDefault="00DB76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098AC0AE"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AE14" w14:textId="2B0E905B" w:rsidR="00B53987" w:rsidRDefault="00B53987">
    <w:pPr>
      <w:pStyle w:val="Header"/>
    </w:pPr>
    <w:r>
      <w:rPr>
        <w:noProof/>
        <w:lang w:eastAsia="en-AU"/>
      </w:rPr>
      <w:drawing>
        <wp:inline distT="0" distB="0" distL="0" distR="0" wp14:anchorId="68C4AEED" wp14:editId="10DCF004">
          <wp:extent cx="5759450" cy="941705"/>
          <wp:effectExtent l="0" t="0" r="6350" b="0"/>
          <wp:docPr id="23" name="Picture 23"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A274EAA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4184C3B"/>
    <w:multiLevelType w:val="hybridMultilevel"/>
    <w:tmpl w:val="87DC6A5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2C21F9"/>
    <w:multiLevelType w:val="hybridMultilevel"/>
    <w:tmpl w:val="EF703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8411E0"/>
    <w:multiLevelType w:val="hybridMultilevel"/>
    <w:tmpl w:val="CE2E4FA2"/>
    <w:lvl w:ilvl="0" w:tplc="0C090001">
      <w:start w:val="1"/>
      <w:numFmt w:val="bullet"/>
      <w:lvlText w:val=""/>
      <w:lvlJc w:val="left"/>
      <w:pPr>
        <w:ind w:left="1065" w:hanging="360"/>
      </w:pPr>
      <w:rPr>
        <w:rFonts w:ascii="Symbol" w:hAnsi="Symbol" w:hint="default"/>
      </w:rPr>
    </w:lvl>
    <w:lvl w:ilvl="1" w:tplc="0C090003" w:tentative="1">
      <w:start w:val="1"/>
      <w:numFmt w:val="bullet"/>
      <w:lvlText w:val="o"/>
      <w:lvlJc w:val="left"/>
      <w:pPr>
        <w:ind w:left="1785" w:hanging="360"/>
      </w:pPr>
      <w:rPr>
        <w:rFonts w:ascii="Courier New" w:hAnsi="Courier New" w:cs="Courier New" w:hint="default"/>
      </w:rPr>
    </w:lvl>
    <w:lvl w:ilvl="2" w:tplc="0C090005" w:tentative="1">
      <w:start w:val="1"/>
      <w:numFmt w:val="bullet"/>
      <w:lvlText w:val=""/>
      <w:lvlJc w:val="left"/>
      <w:pPr>
        <w:ind w:left="2505" w:hanging="360"/>
      </w:pPr>
      <w:rPr>
        <w:rFonts w:ascii="Wingdings" w:hAnsi="Wingdings" w:hint="default"/>
      </w:rPr>
    </w:lvl>
    <w:lvl w:ilvl="3" w:tplc="0C090001" w:tentative="1">
      <w:start w:val="1"/>
      <w:numFmt w:val="bullet"/>
      <w:lvlText w:val=""/>
      <w:lvlJc w:val="left"/>
      <w:pPr>
        <w:ind w:left="3225" w:hanging="360"/>
      </w:pPr>
      <w:rPr>
        <w:rFonts w:ascii="Symbol" w:hAnsi="Symbol" w:hint="default"/>
      </w:rPr>
    </w:lvl>
    <w:lvl w:ilvl="4" w:tplc="0C090003" w:tentative="1">
      <w:start w:val="1"/>
      <w:numFmt w:val="bullet"/>
      <w:lvlText w:val="o"/>
      <w:lvlJc w:val="left"/>
      <w:pPr>
        <w:ind w:left="3945" w:hanging="360"/>
      </w:pPr>
      <w:rPr>
        <w:rFonts w:ascii="Courier New" w:hAnsi="Courier New" w:cs="Courier New" w:hint="default"/>
      </w:rPr>
    </w:lvl>
    <w:lvl w:ilvl="5" w:tplc="0C090005" w:tentative="1">
      <w:start w:val="1"/>
      <w:numFmt w:val="bullet"/>
      <w:lvlText w:val=""/>
      <w:lvlJc w:val="left"/>
      <w:pPr>
        <w:ind w:left="4665" w:hanging="360"/>
      </w:pPr>
      <w:rPr>
        <w:rFonts w:ascii="Wingdings" w:hAnsi="Wingdings" w:hint="default"/>
      </w:rPr>
    </w:lvl>
    <w:lvl w:ilvl="6" w:tplc="0C090001" w:tentative="1">
      <w:start w:val="1"/>
      <w:numFmt w:val="bullet"/>
      <w:lvlText w:val=""/>
      <w:lvlJc w:val="left"/>
      <w:pPr>
        <w:ind w:left="5385" w:hanging="360"/>
      </w:pPr>
      <w:rPr>
        <w:rFonts w:ascii="Symbol" w:hAnsi="Symbol" w:hint="default"/>
      </w:rPr>
    </w:lvl>
    <w:lvl w:ilvl="7" w:tplc="0C090003" w:tentative="1">
      <w:start w:val="1"/>
      <w:numFmt w:val="bullet"/>
      <w:lvlText w:val="o"/>
      <w:lvlJc w:val="left"/>
      <w:pPr>
        <w:ind w:left="6105" w:hanging="360"/>
      </w:pPr>
      <w:rPr>
        <w:rFonts w:ascii="Courier New" w:hAnsi="Courier New" w:cs="Courier New" w:hint="default"/>
      </w:rPr>
    </w:lvl>
    <w:lvl w:ilvl="8" w:tplc="0C090005" w:tentative="1">
      <w:start w:val="1"/>
      <w:numFmt w:val="bullet"/>
      <w:lvlText w:val=""/>
      <w:lvlJc w:val="left"/>
      <w:pPr>
        <w:ind w:left="6825" w:hanging="360"/>
      </w:pPr>
      <w:rPr>
        <w:rFonts w:ascii="Wingdings" w:hAnsi="Wingdings" w:hint="default"/>
      </w:rPr>
    </w:lvl>
  </w:abstractNum>
  <w:abstractNum w:abstractNumId="15" w15:restartNumberingAfterBreak="0">
    <w:nsid w:val="3300572A"/>
    <w:multiLevelType w:val="hybridMultilevel"/>
    <w:tmpl w:val="EA1A6B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E94705A"/>
    <w:multiLevelType w:val="hybridMultilevel"/>
    <w:tmpl w:val="D6CCF6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372B9C"/>
    <w:multiLevelType w:val="hybridMultilevel"/>
    <w:tmpl w:val="6E005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160BE6"/>
    <w:multiLevelType w:val="hybridMultilevel"/>
    <w:tmpl w:val="36A6E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7F9F5499"/>
    <w:multiLevelType w:val="hybridMultilevel"/>
    <w:tmpl w:val="65F283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20"/>
  </w:num>
  <w:num w:numId="3">
    <w:abstractNumId w:val="22"/>
  </w:num>
  <w:num w:numId="4">
    <w:abstractNumId w:val="8"/>
  </w:num>
  <w:num w:numId="5">
    <w:abstractNumId w:val="8"/>
    <w:lvlOverride w:ilvl="0">
      <w:startOverride w:val="1"/>
    </w:lvlOverride>
  </w:num>
  <w:num w:numId="6">
    <w:abstractNumId w:val="10"/>
  </w:num>
  <w:num w:numId="7">
    <w:abstractNumId w:val="18"/>
  </w:num>
  <w:num w:numId="8">
    <w:abstractNumId w:val="21"/>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5"/>
  </w:num>
  <w:num w:numId="17">
    <w:abstractNumId w:val="12"/>
  </w:num>
  <w:num w:numId="18">
    <w:abstractNumId w:val="13"/>
  </w:num>
  <w:num w:numId="19">
    <w:abstractNumId w:val="16"/>
  </w:num>
  <w:num w:numId="20">
    <w:abstractNumId w:val="12"/>
  </w:num>
  <w:num w:numId="21">
    <w:abstractNumId w:val="16"/>
  </w:num>
  <w:num w:numId="22">
    <w:abstractNumId w:val="25"/>
  </w:num>
  <w:num w:numId="23">
    <w:abstractNumId w:val="20"/>
  </w:num>
  <w:num w:numId="24">
    <w:abstractNumId w:val="22"/>
  </w:num>
  <w:num w:numId="25">
    <w:abstractNumId w:val="8"/>
  </w:num>
  <w:num w:numId="26">
    <w:abstractNumId w:val="19"/>
  </w:num>
  <w:num w:numId="27">
    <w:abstractNumId w:val="23"/>
  </w:num>
  <w:num w:numId="28">
    <w:abstractNumId w:val="12"/>
  </w:num>
  <w:num w:numId="29">
    <w:abstractNumId w:val="12"/>
  </w:num>
  <w:num w:numId="30">
    <w:abstractNumId w:val="26"/>
  </w:num>
  <w:num w:numId="31">
    <w:abstractNumId w:val="24"/>
  </w:num>
  <w:num w:numId="32">
    <w:abstractNumId w:val="12"/>
  </w:num>
  <w:num w:numId="33">
    <w:abstractNumId w:val="14"/>
  </w:num>
  <w:num w:numId="34">
    <w:abstractNumId w:val="15"/>
  </w:num>
  <w:num w:numId="35">
    <w:abstractNumId w:val="17"/>
  </w:num>
  <w:num w:numId="36">
    <w:abstractNumId w:val="12"/>
  </w:num>
  <w:num w:numId="37">
    <w:abstractNumId w:val="12"/>
  </w:num>
  <w:num w:numId="38">
    <w:abstractNumId w:val="12"/>
  </w:num>
  <w:num w:numId="39">
    <w:abstractNumId w:val="9"/>
  </w:num>
  <w:num w:numId="40">
    <w:abstractNumId w:val="11"/>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2407"/>
    <w:rsid w:val="00067456"/>
    <w:rsid w:val="00071506"/>
    <w:rsid w:val="0007154F"/>
    <w:rsid w:val="00081AB1"/>
    <w:rsid w:val="00090316"/>
    <w:rsid w:val="00093981"/>
    <w:rsid w:val="000B067A"/>
    <w:rsid w:val="000B1540"/>
    <w:rsid w:val="000B1E53"/>
    <w:rsid w:val="000B33FD"/>
    <w:rsid w:val="000B4ABA"/>
    <w:rsid w:val="000C341B"/>
    <w:rsid w:val="000C4B16"/>
    <w:rsid w:val="000C50C3"/>
    <w:rsid w:val="000C5E14"/>
    <w:rsid w:val="000D1534"/>
    <w:rsid w:val="000D21F6"/>
    <w:rsid w:val="000D4500"/>
    <w:rsid w:val="000D7AEA"/>
    <w:rsid w:val="000E2C66"/>
    <w:rsid w:val="000F123C"/>
    <w:rsid w:val="000F2FED"/>
    <w:rsid w:val="0010616D"/>
    <w:rsid w:val="00110478"/>
    <w:rsid w:val="00112481"/>
    <w:rsid w:val="0011711B"/>
    <w:rsid w:val="00117F8A"/>
    <w:rsid w:val="00121B9B"/>
    <w:rsid w:val="00122ADC"/>
    <w:rsid w:val="0012398F"/>
    <w:rsid w:val="00125FC6"/>
    <w:rsid w:val="00130F59"/>
    <w:rsid w:val="00133EC0"/>
    <w:rsid w:val="00141CE5"/>
    <w:rsid w:val="00144908"/>
    <w:rsid w:val="00144A7A"/>
    <w:rsid w:val="00156D96"/>
    <w:rsid w:val="001571C7"/>
    <w:rsid w:val="00161094"/>
    <w:rsid w:val="0017665C"/>
    <w:rsid w:val="00177AD2"/>
    <w:rsid w:val="001815A8"/>
    <w:rsid w:val="00181A22"/>
    <w:rsid w:val="001840FA"/>
    <w:rsid w:val="00190079"/>
    <w:rsid w:val="0019622E"/>
    <w:rsid w:val="001966A7"/>
    <w:rsid w:val="001A4627"/>
    <w:rsid w:val="001A4979"/>
    <w:rsid w:val="001B15D3"/>
    <w:rsid w:val="001B1BA4"/>
    <w:rsid w:val="001B3443"/>
    <w:rsid w:val="001C0326"/>
    <w:rsid w:val="001C192F"/>
    <w:rsid w:val="001C1FE2"/>
    <w:rsid w:val="001C3C42"/>
    <w:rsid w:val="001D0A5C"/>
    <w:rsid w:val="001D7869"/>
    <w:rsid w:val="001D7A06"/>
    <w:rsid w:val="001E41B0"/>
    <w:rsid w:val="002026CD"/>
    <w:rsid w:val="002033FC"/>
    <w:rsid w:val="002044BB"/>
    <w:rsid w:val="00210B09"/>
    <w:rsid w:val="00210C9E"/>
    <w:rsid w:val="00211840"/>
    <w:rsid w:val="002179B3"/>
    <w:rsid w:val="00220E5F"/>
    <w:rsid w:val="002212B5"/>
    <w:rsid w:val="00226668"/>
    <w:rsid w:val="00230B09"/>
    <w:rsid w:val="00233809"/>
    <w:rsid w:val="00240046"/>
    <w:rsid w:val="0024797F"/>
    <w:rsid w:val="00247D34"/>
    <w:rsid w:val="0025119E"/>
    <w:rsid w:val="00251269"/>
    <w:rsid w:val="002535C0"/>
    <w:rsid w:val="00256D14"/>
    <w:rsid w:val="002579FE"/>
    <w:rsid w:val="0026311C"/>
    <w:rsid w:val="0026668C"/>
    <w:rsid w:val="00266AC1"/>
    <w:rsid w:val="0027178C"/>
    <w:rsid w:val="002719FA"/>
    <w:rsid w:val="00272668"/>
    <w:rsid w:val="002729B0"/>
    <w:rsid w:val="0027330B"/>
    <w:rsid w:val="002803AD"/>
    <w:rsid w:val="00282052"/>
    <w:rsid w:val="002831A3"/>
    <w:rsid w:val="0028519E"/>
    <w:rsid w:val="002856A5"/>
    <w:rsid w:val="002871C0"/>
    <w:rsid w:val="002872ED"/>
    <w:rsid w:val="002905C2"/>
    <w:rsid w:val="00295AF2"/>
    <w:rsid w:val="00295C91"/>
    <w:rsid w:val="00297151"/>
    <w:rsid w:val="002A7FEA"/>
    <w:rsid w:val="002B20E6"/>
    <w:rsid w:val="002B42A3"/>
    <w:rsid w:val="002C0CDD"/>
    <w:rsid w:val="002C38C4"/>
    <w:rsid w:val="002D465F"/>
    <w:rsid w:val="002E1A1D"/>
    <w:rsid w:val="002E4081"/>
    <w:rsid w:val="002E5B78"/>
    <w:rsid w:val="002F3AE3"/>
    <w:rsid w:val="0030464B"/>
    <w:rsid w:val="00305998"/>
    <w:rsid w:val="0030786C"/>
    <w:rsid w:val="003233DE"/>
    <w:rsid w:val="0032466B"/>
    <w:rsid w:val="003278FA"/>
    <w:rsid w:val="003301E2"/>
    <w:rsid w:val="003330EB"/>
    <w:rsid w:val="003415FD"/>
    <w:rsid w:val="003429F0"/>
    <w:rsid w:val="00345A82"/>
    <w:rsid w:val="0035097A"/>
    <w:rsid w:val="003540A4"/>
    <w:rsid w:val="00357BCC"/>
    <w:rsid w:val="00360E4E"/>
    <w:rsid w:val="00370AAA"/>
    <w:rsid w:val="00373F83"/>
    <w:rsid w:val="00374CFD"/>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C3F3D"/>
    <w:rsid w:val="003D033A"/>
    <w:rsid w:val="003D17F9"/>
    <w:rsid w:val="003D2D88"/>
    <w:rsid w:val="003D4139"/>
    <w:rsid w:val="003D41EA"/>
    <w:rsid w:val="003D4850"/>
    <w:rsid w:val="003D535A"/>
    <w:rsid w:val="003E5265"/>
    <w:rsid w:val="003E718A"/>
    <w:rsid w:val="003F0955"/>
    <w:rsid w:val="003F5F4D"/>
    <w:rsid w:val="003F646F"/>
    <w:rsid w:val="003F66C7"/>
    <w:rsid w:val="004006A6"/>
    <w:rsid w:val="00400F00"/>
    <w:rsid w:val="00404F8B"/>
    <w:rsid w:val="00405256"/>
    <w:rsid w:val="00410031"/>
    <w:rsid w:val="00411843"/>
    <w:rsid w:val="00415C81"/>
    <w:rsid w:val="00420321"/>
    <w:rsid w:val="00432378"/>
    <w:rsid w:val="00440D65"/>
    <w:rsid w:val="004435E6"/>
    <w:rsid w:val="00447E31"/>
    <w:rsid w:val="00453923"/>
    <w:rsid w:val="00454B9B"/>
    <w:rsid w:val="00457858"/>
    <w:rsid w:val="00460B0B"/>
    <w:rsid w:val="00461023"/>
    <w:rsid w:val="00462082"/>
    <w:rsid w:val="00462FAC"/>
    <w:rsid w:val="00464631"/>
    <w:rsid w:val="00464B79"/>
    <w:rsid w:val="00467BBF"/>
    <w:rsid w:val="0048593C"/>
    <w:rsid w:val="004867E2"/>
    <w:rsid w:val="004869E2"/>
    <w:rsid w:val="004871F2"/>
    <w:rsid w:val="004918A1"/>
    <w:rsid w:val="004929A9"/>
    <w:rsid w:val="004945B3"/>
    <w:rsid w:val="00497048"/>
    <w:rsid w:val="004A78D9"/>
    <w:rsid w:val="004A7B40"/>
    <w:rsid w:val="004C6BCF"/>
    <w:rsid w:val="004D58BF"/>
    <w:rsid w:val="004E4335"/>
    <w:rsid w:val="004E47A9"/>
    <w:rsid w:val="004F1099"/>
    <w:rsid w:val="004F13EE"/>
    <w:rsid w:val="004F1A6B"/>
    <w:rsid w:val="004F2022"/>
    <w:rsid w:val="004F7C05"/>
    <w:rsid w:val="00501C94"/>
    <w:rsid w:val="00506432"/>
    <w:rsid w:val="00506E82"/>
    <w:rsid w:val="005074A0"/>
    <w:rsid w:val="00507E1F"/>
    <w:rsid w:val="0052051D"/>
    <w:rsid w:val="005346F8"/>
    <w:rsid w:val="00545180"/>
    <w:rsid w:val="00545EE6"/>
    <w:rsid w:val="005550E7"/>
    <w:rsid w:val="005564FB"/>
    <w:rsid w:val="005572C7"/>
    <w:rsid w:val="00560AC9"/>
    <w:rsid w:val="00562A26"/>
    <w:rsid w:val="005650ED"/>
    <w:rsid w:val="00575754"/>
    <w:rsid w:val="00581FBA"/>
    <w:rsid w:val="00591E20"/>
    <w:rsid w:val="00595408"/>
    <w:rsid w:val="00595E84"/>
    <w:rsid w:val="005A0C59"/>
    <w:rsid w:val="005A38EE"/>
    <w:rsid w:val="005A48EB"/>
    <w:rsid w:val="005A687C"/>
    <w:rsid w:val="005A6CFB"/>
    <w:rsid w:val="005C5AEB"/>
    <w:rsid w:val="005D5387"/>
    <w:rsid w:val="005E0A3F"/>
    <w:rsid w:val="005E6883"/>
    <w:rsid w:val="005E772F"/>
    <w:rsid w:val="005F4ECA"/>
    <w:rsid w:val="006041BE"/>
    <w:rsid w:val="006043C7"/>
    <w:rsid w:val="00615464"/>
    <w:rsid w:val="006210D3"/>
    <w:rsid w:val="00624B52"/>
    <w:rsid w:val="00630794"/>
    <w:rsid w:val="00631DF4"/>
    <w:rsid w:val="00634175"/>
    <w:rsid w:val="006408AC"/>
    <w:rsid w:val="006430DC"/>
    <w:rsid w:val="00645274"/>
    <w:rsid w:val="006511B6"/>
    <w:rsid w:val="00657FF8"/>
    <w:rsid w:val="00670D99"/>
    <w:rsid w:val="00670E2B"/>
    <w:rsid w:val="00671B55"/>
    <w:rsid w:val="006734BB"/>
    <w:rsid w:val="0067697A"/>
    <w:rsid w:val="006821EB"/>
    <w:rsid w:val="006B2286"/>
    <w:rsid w:val="006B56BB"/>
    <w:rsid w:val="006C078B"/>
    <w:rsid w:val="006C40AF"/>
    <w:rsid w:val="006C4C0B"/>
    <w:rsid w:val="006C77A8"/>
    <w:rsid w:val="006D4098"/>
    <w:rsid w:val="006D4B17"/>
    <w:rsid w:val="006D4E3B"/>
    <w:rsid w:val="006D7681"/>
    <w:rsid w:val="006D7B2E"/>
    <w:rsid w:val="006E02EA"/>
    <w:rsid w:val="006E0968"/>
    <w:rsid w:val="006E2AF6"/>
    <w:rsid w:val="006F18F0"/>
    <w:rsid w:val="00701275"/>
    <w:rsid w:val="00707F56"/>
    <w:rsid w:val="00713558"/>
    <w:rsid w:val="00720D08"/>
    <w:rsid w:val="007263B9"/>
    <w:rsid w:val="007334F8"/>
    <w:rsid w:val="007339CD"/>
    <w:rsid w:val="00734B15"/>
    <w:rsid w:val="007359D8"/>
    <w:rsid w:val="007362D4"/>
    <w:rsid w:val="0076672A"/>
    <w:rsid w:val="00775E45"/>
    <w:rsid w:val="00776E74"/>
    <w:rsid w:val="007806F8"/>
    <w:rsid w:val="00785169"/>
    <w:rsid w:val="007954AB"/>
    <w:rsid w:val="007A14C5"/>
    <w:rsid w:val="007A4A10"/>
    <w:rsid w:val="007B1760"/>
    <w:rsid w:val="007C1FDC"/>
    <w:rsid w:val="007C3361"/>
    <w:rsid w:val="007C6D9C"/>
    <w:rsid w:val="007C7DDB"/>
    <w:rsid w:val="007D2CC7"/>
    <w:rsid w:val="007D673D"/>
    <w:rsid w:val="007E0FB8"/>
    <w:rsid w:val="007E4B42"/>
    <w:rsid w:val="007E4D09"/>
    <w:rsid w:val="007F2220"/>
    <w:rsid w:val="007F4B3E"/>
    <w:rsid w:val="008127AF"/>
    <w:rsid w:val="00812B46"/>
    <w:rsid w:val="00815700"/>
    <w:rsid w:val="008264EB"/>
    <w:rsid w:val="00826B8F"/>
    <w:rsid w:val="00831E8A"/>
    <w:rsid w:val="00835C76"/>
    <w:rsid w:val="008376E2"/>
    <w:rsid w:val="00840531"/>
    <w:rsid w:val="00843049"/>
    <w:rsid w:val="00847563"/>
    <w:rsid w:val="0085209B"/>
    <w:rsid w:val="00856B66"/>
    <w:rsid w:val="008601AC"/>
    <w:rsid w:val="00861A5F"/>
    <w:rsid w:val="008644AD"/>
    <w:rsid w:val="008651E0"/>
    <w:rsid w:val="00865735"/>
    <w:rsid w:val="00865DDB"/>
    <w:rsid w:val="00867538"/>
    <w:rsid w:val="00873D90"/>
    <w:rsid w:val="00873FC8"/>
    <w:rsid w:val="00876105"/>
    <w:rsid w:val="00884C63"/>
    <w:rsid w:val="00885908"/>
    <w:rsid w:val="008864B7"/>
    <w:rsid w:val="00890DA4"/>
    <w:rsid w:val="0089677E"/>
    <w:rsid w:val="008A7438"/>
    <w:rsid w:val="008B1334"/>
    <w:rsid w:val="008B25C7"/>
    <w:rsid w:val="008B3C8A"/>
    <w:rsid w:val="008C0278"/>
    <w:rsid w:val="008C24E9"/>
    <w:rsid w:val="008C49B0"/>
    <w:rsid w:val="008C5EB4"/>
    <w:rsid w:val="008D0533"/>
    <w:rsid w:val="008D42CB"/>
    <w:rsid w:val="008D48C9"/>
    <w:rsid w:val="008D6381"/>
    <w:rsid w:val="008E0C77"/>
    <w:rsid w:val="008E4242"/>
    <w:rsid w:val="008E625F"/>
    <w:rsid w:val="008F264D"/>
    <w:rsid w:val="009040E9"/>
    <w:rsid w:val="009074E1"/>
    <w:rsid w:val="009112F7"/>
    <w:rsid w:val="009122AF"/>
    <w:rsid w:val="00912D54"/>
    <w:rsid w:val="0091389F"/>
    <w:rsid w:val="009200C8"/>
    <w:rsid w:val="009208F7"/>
    <w:rsid w:val="00921649"/>
    <w:rsid w:val="00922517"/>
    <w:rsid w:val="00922722"/>
    <w:rsid w:val="00922E6C"/>
    <w:rsid w:val="009261E6"/>
    <w:rsid w:val="009268E1"/>
    <w:rsid w:val="009271EE"/>
    <w:rsid w:val="00930792"/>
    <w:rsid w:val="009344AE"/>
    <w:rsid w:val="009344DE"/>
    <w:rsid w:val="00945E7F"/>
    <w:rsid w:val="00946B56"/>
    <w:rsid w:val="009557C1"/>
    <w:rsid w:val="00955CC4"/>
    <w:rsid w:val="00960D6E"/>
    <w:rsid w:val="00962D38"/>
    <w:rsid w:val="00974B59"/>
    <w:rsid w:val="0098340B"/>
    <w:rsid w:val="00986830"/>
    <w:rsid w:val="009924C3"/>
    <w:rsid w:val="009925C3"/>
    <w:rsid w:val="00993102"/>
    <w:rsid w:val="009B1570"/>
    <w:rsid w:val="009C6F10"/>
    <w:rsid w:val="009D148F"/>
    <w:rsid w:val="009D3D70"/>
    <w:rsid w:val="009D6E31"/>
    <w:rsid w:val="009E6F7E"/>
    <w:rsid w:val="009E7A57"/>
    <w:rsid w:val="009F4803"/>
    <w:rsid w:val="009F4F6A"/>
    <w:rsid w:val="00A13EB5"/>
    <w:rsid w:val="00A16E36"/>
    <w:rsid w:val="00A2106C"/>
    <w:rsid w:val="00A24961"/>
    <w:rsid w:val="00A24B10"/>
    <w:rsid w:val="00A277EF"/>
    <w:rsid w:val="00A30E9B"/>
    <w:rsid w:val="00A33990"/>
    <w:rsid w:val="00A418EF"/>
    <w:rsid w:val="00A4512D"/>
    <w:rsid w:val="00A50244"/>
    <w:rsid w:val="00A53241"/>
    <w:rsid w:val="00A627D7"/>
    <w:rsid w:val="00A656C7"/>
    <w:rsid w:val="00A705AF"/>
    <w:rsid w:val="00A719F6"/>
    <w:rsid w:val="00A72454"/>
    <w:rsid w:val="00A77696"/>
    <w:rsid w:val="00A80557"/>
    <w:rsid w:val="00A81D33"/>
    <w:rsid w:val="00A832C2"/>
    <w:rsid w:val="00A8341C"/>
    <w:rsid w:val="00A930AE"/>
    <w:rsid w:val="00AA1A95"/>
    <w:rsid w:val="00AA260F"/>
    <w:rsid w:val="00AA262B"/>
    <w:rsid w:val="00AB1EE7"/>
    <w:rsid w:val="00AB4B37"/>
    <w:rsid w:val="00AB5762"/>
    <w:rsid w:val="00AC2679"/>
    <w:rsid w:val="00AC4BE4"/>
    <w:rsid w:val="00AD05E6"/>
    <w:rsid w:val="00AD0D3F"/>
    <w:rsid w:val="00AE050C"/>
    <w:rsid w:val="00AE1D7D"/>
    <w:rsid w:val="00AE2A8B"/>
    <w:rsid w:val="00AE2E38"/>
    <w:rsid w:val="00AE3F64"/>
    <w:rsid w:val="00AF2BA8"/>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2EF1"/>
    <w:rsid w:val="00B67E7F"/>
    <w:rsid w:val="00B839B2"/>
    <w:rsid w:val="00B86445"/>
    <w:rsid w:val="00B91ADC"/>
    <w:rsid w:val="00B94252"/>
    <w:rsid w:val="00B9715A"/>
    <w:rsid w:val="00BA14BE"/>
    <w:rsid w:val="00BA2732"/>
    <w:rsid w:val="00BA293D"/>
    <w:rsid w:val="00BA49BC"/>
    <w:rsid w:val="00BA56B7"/>
    <w:rsid w:val="00BA7A1E"/>
    <w:rsid w:val="00BB2F6C"/>
    <w:rsid w:val="00BB3875"/>
    <w:rsid w:val="00BB5860"/>
    <w:rsid w:val="00BB6AAD"/>
    <w:rsid w:val="00BC16A5"/>
    <w:rsid w:val="00BC4A19"/>
    <w:rsid w:val="00BC4E6D"/>
    <w:rsid w:val="00BD0617"/>
    <w:rsid w:val="00BD2E9B"/>
    <w:rsid w:val="00BD4D38"/>
    <w:rsid w:val="00BD7FB2"/>
    <w:rsid w:val="00BE61D1"/>
    <w:rsid w:val="00BE7278"/>
    <w:rsid w:val="00BF583F"/>
    <w:rsid w:val="00C00930"/>
    <w:rsid w:val="00C05293"/>
    <w:rsid w:val="00C060AD"/>
    <w:rsid w:val="00C113BF"/>
    <w:rsid w:val="00C15761"/>
    <w:rsid w:val="00C2176E"/>
    <w:rsid w:val="00C23430"/>
    <w:rsid w:val="00C27D67"/>
    <w:rsid w:val="00C331B0"/>
    <w:rsid w:val="00C42517"/>
    <w:rsid w:val="00C4631F"/>
    <w:rsid w:val="00C47CDE"/>
    <w:rsid w:val="00C50E16"/>
    <w:rsid w:val="00C55258"/>
    <w:rsid w:val="00C82EEB"/>
    <w:rsid w:val="00C83509"/>
    <w:rsid w:val="00C86FEB"/>
    <w:rsid w:val="00C971DC"/>
    <w:rsid w:val="00CA16B7"/>
    <w:rsid w:val="00CA62AE"/>
    <w:rsid w:val="00CB5B1A"/>
    <w:rsid w:val="00CC220B"/>
    <w:rsid w:val="00CC5C43"/>
    <w:rsid w:val="00CD02AE"/>
    <w:rsid w:val="00CD2A4F"/>
    <w:rsid w:val="00CE03CA"/>
    <w:rsid w:val="00CE1DC9"/>
    <w:rsid w:val="00CE22F1"/>
    <w:rsid w:val="00CE50F2"/>
    <w:rsid w:val="00CE6502"/>
    <w:rsid w:val="00CF184D"/>
    <w:rsid w:val="00CF7D3C"/>
    <w:rsid w:val="00D01F09"/>
    <w:rsid w:val="00D03CD9"/>
    <w:rsid w:val="00D12BB3"/>
    <w:rsid w:val="00D147EB"/>
    <w:rsid w:val="00D3147C"/>
    <w:rsid w:val="00D34226"/>
    <w:rsid w:val="00D34667"/>
    <w:rsid w:val="00D401E1"/>
    <w:rsid w:val="00D408B4"/>
    <w:rsid w:val="00D524C8"/>
    <w:rsid w:val="00D65099"/>
    <w:rsid w:val="00D70E24"/>
    <w:rsid w:val="00D72B61"/>
    <w:rsid w:val="00D91DEF"/>
    <w:rsid w:val="00DA3D1D"/>
    <w:rsid w:val="00DB6286"/>
    <w:rsid w:val="00DB645F"/>
    <w:rsid w:val="00DB762D"/>
    <w:rsid w:val="00DB76E9"/>
    <w:rsid w:val="00DC0A67"/>
    <w:rsid w:val="00DC1D5E"/>
    <w:rsid w:val="00DC5220"/>
    <w:rsid w:val="00DD2061"/>
    <w:rsid w:val="00DD570F"/>
    <w:rsid w:val="00DD7DAB"/>
    <w:rsid w:val="00DE0BFD"/>
    <w:rsid w:val="00DE3355"/>
    <w:rsid w:val="00DE392F"/>
    <w:rsid w:val="00DF0C60"/>
    <w:rsid w:val="00DF486F"/>
    <w:rsid w:val="00DF5B5B"/>
    <w:rsid w:val="00DF7619"/>
    <w:rsid w:val="00E042D8"/>
    <w:rsid w:val="00E07EE7"/>
    <w:rsid w:val="00E1103B"/>
    <w:rsid w:val="00E17B44"/>
    <w:rsid w:val="00E20F27"/>
    <w:rsid w:val="00E22443"/>
    <w:rsid w:val="00E25B1F"/>
    <w:rsid w:val="00E27FEA"/>
    <w:rsid w:val="00E310CE"/>
    <w:rsid w:val="00E4086F"/>
    <w:rsid w:val="00E42BCE"/>
    <w:rsid w:val="00E43B3C"/>
    <w:rsid w:val="00E472AE"/>
    <w:rsid w:val="00E50188"/>
    <w:rsid w:val="00E50AFD"/>
    <w:rsid w:val="00E50BB3"/>
    <w:rsid w:val="00E515CB"/>
    <w:rsid w:val="00E52260"/>
    <w:rsid w:val="00E639B6"/>
    <w:rsid w:val="00E6434B"/>
    <w:rsid w:val="00E6463D"/>
    <w:rsid w:val="00E702ED"/>
    <w:rsid w:val="00E72E9B"/>
    <w:rsid w:val="00E73F71"/>
    <w:rsid w:val="00E850C3"/>
    <w:rsid w:val="00E87DF2"/>
    <w:rsid w:val="00E9462E"/>
    <w:rsid w:val="00EA470E"/>
    <w:rsid w:val="00EA47A7"/>
    <w:rsid w:val="00EA57EB"/>
    <w:rsid w:val="00EB0185"/>
    <w:rsid w:val="00EB3226"/>
    <w:rsid w:val="00EC0E89"/>
    <w:rsid w:val="00EC213A"/>
    <w:rsid w:val="00EC29E7"/>
    <w:rsid w:val="00EC30BB"/>
    <w:rsid w:val="00EC7744"/>
    <w:rsid w:val="00ED0DAD"/>
    <w:rsid w:val="00ED0F46"/>
    <w:rsid w:val="00ED2373"/>
    <w:rsid w:val="00ED3C09"/>
    <w:rsid w:val="00ED629F"/>
    <w:rsid w:val="00EE3E8A"/>
    <w:rsid w:val="00EF58B8"/>
    <w:rsid w:val="00EF6ECA"/>
    <w:rsid w:val="00F024E1"/>
    <w:rsid w:val="00F06C10"/>
    <w:rsid w:val="00F1096F"/>
    <w:rsid w:val="00F12589"/>
    <w:rsid w:val="00F12595"/>
    <w:rsid w:val="00F134D9"/>
    <w:rsid w:val="00F1403D"/>
    <w:rsid w:val="00F14471"/>
    <w:rsid w:val="00F1463F"/>
    <w:rsid w:val="00F21302"/>
    <w:rsid w:val="00F2430D"/>
    <w:rsid w:val="00F321DE"/>
    <w:rsid w:val="00F33777"/>
    <w:rsid w:val="00F404AE"/>
    <w:rsid w:val="00F40648"/>
    <w:rsid w:val="00F47DA2"/>
    <w:rsid w:val="00F519FC"/>
    <w:rsid w:val="00F60645"/>
    <w:rsid w:val="00F6239D"/>
    <w:rsid w:val="00F6679E"/>
    <w:rsid w:val="00F715D2"/>
    <w:rsid w:val="00F7274F"/>
    <w:rsid w:val="00F74E84"/>
    <w:rsid w:val="00F76FA8"/>
    <w:rsid w:val="00F93F08"/>
    <w:rsid w:val="00F94CED"/>
    <w:rsid w:val="00FA02BB"/>
    <w:rsid w:val="00FA2056"/>
    <w:rsid w:val="00FA2CEE"/>
    <w:rsid w:val="00FA318C"/>
    <w:rsid w:val="00FB4839"/>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5666CDE0-BD6D-44BB-ADD3-470B1384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uiPriority w:val="39"/>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autoRedefine/>
    <w:qFormat/>
    <w:rsid w:val="002871C0"/>
    <w:pPr>
      <w:spacing w:before="0" w:after="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rsid w:val="005346F8"/>
    <w:rPr>
      <w:rFonts w:ascii="Arial" w:hAnsi="Arial" w:cs="Arial"/>
      <w:b/>
      <w:bCs/>
      <w:iCs/>
      <w:color w:val="358189"/>
      <w:sz w:val="36"/>
      <w:szCs w:val="28"/>
      <w:lang w:eastAsia="en-US"/>
    </w:rPr>
  </w:style>
  <w:style w:type="character" w:styleId="CommentReference">
    <w:name w:val="annotation reference"/>
    <w:basedOn w:val="DefaultParagraphFont"/>
    <w:semiHidden/>
    <w:unhideWhenUsed/>
    <w:rsid w:val="008C49B0"/>
    <w:rPr>
      <w:sz w:val="16"/>
      <w:szCs w:val="16"/>
    </w:rPr>
  </w:style>
  <w:style w:type="paragraph" w:styleId="CommentText">
    <w:name w:val="annotation text"/>
    <w:basedOn w:val="Normal"/>
    <w:link w:val="CommentTextChar"/>
    <w:semiHidden/>
    <w:unhideWhenUsed/>
    <w:rsid w:val="008C49B0"/>
    <w:pPr>
      <w:spacing w:line="240" w:lineRule="auto"/>
    </w:pPr>
    <w:rPr>
      <w:sz w:val="20"/>
      <w:szCs w:val="20"/>
    </w:rPr>
  </w:style>
  <w:style w:type="character" w:customStyle="1" w:styleId="CommentTextChar">
    <w:name w:val="Comment Text Char"/>
    <w:basedOn w:val="DefaultParagraphFont"/>
    <w:link w:val="CommentText"/>
    <w:semiHidden/>
    <w:rsid w:val="008C49B0"/>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8C49B0"/>
    <w:rPr>
      <w:b/>
      <w:bCs/>
    </w:rPr>
  </w:style>
  <w:style w:type="character" w:customStyle="1" w:styleId="CommentSubjectChar">
    <w:name w:val="Comment Subject Char"/>
    <w:basedOn w:val="CommentTextChar"/>
    <w:link w:val="CommentSubject"/>
    <w:semiHidden/>
    <w:rsid w:val="008C49B0"/>
    <w:rPr>
      <w:rFonts w:ascii="Arial" w:hAnsi="Arial"/>
      <w:b/>
      <w:bCs/>
      <w:color w:val="000000" w:themeColor="text1"/>
      <w:lang w:eastAsia="en-US"/>
    </w:rPr>
  </w:style>
  <w:style w:type="paragraph" w:customStyle="1" w:styleId="Paragraphtext">
    <w:name w:val="Paragraph text"/>
    <w:basedOn w:val="Normal"/>
    <w:qFormat/>
    <w:rsid w:val="009925C3"/>
    <w:pPr>
      <w:spacing w:after="6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68729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ealth-au.webex.com/webappng/sites/health-au/meeting/register/8b80a9679edb454cacecf9e37ad69724?ticket=4832534b0000000651967577e4eb261c1881570bca1f1bd9f50097243307d1591c4efc404fb2489a&amp;timestamp=1684205619624&amp;RGID=rc7db7a9913157fee06cfe6efdf0f6589"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consultations.health.gov.au/++preview++/technology-assessment-access-division/prostheses-list-reforms-consultation-paper-no-6b-p/supporting_documents/Prostheses%20List%20Reform%20Consultation%20Paper%206b%20%20Cost%20Recovery%20Arrangement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onsultations.health.gov.au/++preview++/technology-assessment-access-division/prostheses-list-reforms-consultation-paper-5-bund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nsultations.health.gov.au/technology-assessment-access-division/prostheses-list-reforms-consultation-paper-no-6b-p/supporting_documents/Prostheses%20List%20Reform%20Consultation%20Paper%206b%20%20Frequently%20Asked%20Questions%20Updated.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400" b="0" i="0" baseline="0">
                <a:effectLst/>
              </a:rPr>
              <a:t>Respondents to Consultation Paper 6(a)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DB7-4C8C-BD85-94065F2EEB2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DB7-4C8C-BD85-94065F2EEB2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DB7-4C8C-BD85-94065F2EEB2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DB7-4C8C-BD85-94065F2EEB2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DB7-4C8C-BD85-94065F2EEB2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Sheet1!$A$16:$E$16</c:f>
              <c:strCache>
                <c:ptCount val="5"/>
                <c:pt idx="0">
                  <c:v>Private Hospital </c:v>
                </c:pt>
                <c:pt idx="1">
                  <c:v>Medical Device Company or Body </c:v>
                </c:pt>
                <c:pt idx="2">
                  <c:v>Tissue Bank </c:v>
                </c:pt>
                <c:pt idx="3">
                  <c:v>Private Health Insurer</c:v>
                </c:pt>
                <c:pt idx="4">
                  <c:v>Peak or Representative body </c:v>
                </c:pt>
              </c:strCache>
            </c:strRef>
          </c:cat>
          <c:val>
            <c:numRef>
              <c:f>Sheet1!$A$17:$E$17</c:f>
              <c:numCache>
                <c:formatCode>General</c:formatCode>
                <c:ptCount val="5"/>
                <c:pt idx="0">
                  <c:v>3</c:v>
                </c:pt>
                <c:pt idx="1">
                  <c:v>3</c:v>
                </c:pt>
                <c:pt idx="2">
                  <c:v>1</c:v>
                </c:pt>
                <c:pt idx="3">
                  <c:v>1</c:v>
                </c:pt>
                <c:pt idx="4">
                  <c:v>4</c:v>
                </c:pt>
              </c:numCache>
            </c:numRef>
          </c:val>
          <c:extLst>
            <c:ext xmlns:c16="http://schemas.microsoft.com/office/drawing/2014/chart" uri="{C3380CC4-5D6E-409C-BE32-E72D297353CC}">
              <c16:uniqueId val="{0000000A-CDB7-4C8C-BD85-94065F2EEB22}"/>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5</Value>
      <Value>4</Value>
      <Value>45</Value>
      <Value>89</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 visual identity</TermName>
          <TermId xmlns="http://schemas.microsoft.com/office/infopath/2007/PartnerControls">a54ebda2-a0fd-45ec-8fc0-1cf31001b526</TermId>
        </TermInfo>
      </Terms>
    </p76df81b8fed4a2fa2af18761f9ff90d>
    <_dlc_DocIdPersistId xmlns="d29d5f7a-be03-4e9c-abe5-c85ece0a2186" xsi:nil="true"/>
    <_dlc_DocIdUrl xmlns="d29d5f7a-be03-4e9c-abe5-c85ece0a2186">
      <Url>https://healthgov.sharepoint.com/sites/support-comms/_layouts/15/DocIdRedir.aspx?ID=INTCOMMS-1466148216-32</Url>
      <Description>INTCOMMS-1466148216-32</Description>
    </_dlc_DocIdUrl>
    <Last_x0020_reviewed xmlns="d29d5f7a-be03-4e9c-abe5-c85ece0a2186">2022-06-28T12:26:49+00:00</Last_x0020_reviewed>
    <_dlc_DocId xmlns="d29d5f7a-be03-4e9c-abe5-c85ece0a2186">INTCOMMS-1466148216-32</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SharedWithUsers xmlns="d29d5f7a-be03-4e9c-abe5-c85ece0a2186">
      <UserInfo>
        <DisplayName>WHITTY, Cam</DisplayName>
        <AccountId>756</AccountId>
        <AccountType/>
      </UserInfo>
    </SharedWithUsers>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designteam@health.gov.au</TermName>
          <TermId xmlns="http://schemas.microsoft.com/office/infopath/2007/PartnerControls">08e901f7-7c65-407e-b680-5c7872e4b1fa</TermId>
        </TermInfo>
      </Terms>
    </jf042baad2b143719d8a0cfd36411dfb>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22" ma:contentTypeDescription="Create a new document." ma:contentTypeScope="" ma:versionID="a7d779e23e312ac2691eccac908305bf">
  <xsd:schema xmlns:xsd="http://www.w3.org/2001/XMLSchema" xmlns:xs="http://www.w3.org/2001/XMLSchema" xmlns:p="http://schemas.microsoft.com/office/2006/metadata/properties" xmlns:ns1="http://schemas.microsoft.com/sharepoint/v3" xmlns:ns2="d29d5f7a-be03-4e9c-abe5-c85ece0a2186" xmlns:ns3="7b0f5f5d-7db3-4d3b-b63b-ce18a6ecc538" targetNamespace="http://schemas.microsoft.com/office/2006/metadata/properties" ma:root="true" ma:fieldsID="c39ed6b69c79c9f681b09150072217cb" ns1:_="" ns2:_="" ns3:_="">
    <xsd:import namespace="http://schemas.microsoft.com/sharepoint/v3"/>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3:MediaServiceMetadata" minOccurs="0"/>
                <xsd:element ref="ns3:MediaServiceFastMetadata" minOccurs="0"/>
                <xsd:element ref="ns3:MediaServiceAutoKeyPoints" minOccurs="0"/>
                <xsd:element ref="ns3:MediaServiceKeyPoints" minOccurs="0"/>
                <xsd:element ref="ns2:_dlc_DocId" minOccurs="0"/>
                <xsd:element ref="ns2:SharedWithUsers" minOccurs="0"/>
                <xsd:element ref="ns2:SharedWithDetails" minOccurs="0"/>
                <xsd:element ref="ns1:Comments" minOccurs="0"/>
                <xsd:element ref="ns3:lcf76f155ced4ddcb4097134ff3c332f" minOccurs="0"/>
                <xsd:element ref="ns3:MediaServiceGenerationTime" minOccurs="0"/>
                <xsd:element ref="ns3:MediaServiceEventHashCode" minOccurs="0"/>
                <xsd:element ref="ns3:jf042baad2b143719d8a0cfd36411d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6"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7" nillable="true" ma:displayName="Sort order" ma:internalName="Sort_x0020_order">
      <xsd:simpleType>
        <xsd:restriction base="dms:Text">
          <xsd:maxLength value="255"/>
        </xsd:restriction>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pfd27f99efda4409b63228bea026394d" ma:index="10"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1"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4" nillable="true" ma:displayName="Intranet" ma:default="1" ma:hidden="true" ma:internalName="Intranet" ma:readOnly="false">
      <xsd:simpleType>
        <xsd:restriction base="dms:Boolean"/>
      </xsd:simpleType>
    </xsd:element>
    <xsd:element name="p76df81b8fed4a2fa2af18761f9ff90d" ma:index="15"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hidden="true" ma:indexed="true" ma:internalName="_dlc_DocId" ma:readOnly="false">
      <xsd:simpleType>
        <xsd:restriction base="dms:Text"/>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hidden="true" ma:internalName="MediaServiceKeyPoints" ma:readOnly="true">
      <xsd:simpleType>
        <xsd:restriction base="dms:Note"/>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http://schemas.microsoft.com/sharepoint/v3"/>
    <ds:schemaRef ds:uri="7b0f5f5d-7db3-4d3b-b63b-ce18a6ecc538"/>
  </ds:schemaRefs>
</ds:datastoreItem>
</file>

<file path=customXml/itemProps3.xml><?xml version="1.0" encoding="utf-8"?>
<ds:datastoreItem xmlns:ds="http://schemas.openxmlformats.org/officeDocument/2006/customXml" ds:itemID="{EC3CCC73-FC82-4473-87C6-5C0EA042979A}">
  <ds:schemaRefs>
    <ds:schemaRef ds:uri="http://schemas.microsoft.com/sharepoint/events"/>
  </ds:schemaRefs>
</ds:datastoreItem>
</file>

<file path=customXml/itemProps4.xml><?xml version="1.0" encoding="utf-8"?>
<ds:datastoreItem xmlns:ds="http://schemas.openxmlformats.org/officeDocument/2006/customXml" ds:itemID="{EACF0BF5-6FA8-4FC0-998A-9EEE1F970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1892</Words>
  <Characters>12126</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Fact sheet template (blue)</vt:lpstr>
    </vt:vector>
  </TitlesOfParts>
  <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 (blue)</dc:title>
  <dc:creator>Australian Government Department of Health and Aged Care</dc:creator>
  <cp:lastModifiedBy>EALS, Andrew</cp:lastModifiedBy>
  <cp:revision>3</cp:revision>
  <dcterms:created xsi:type="dcterms:W3CDTF">2023-06-08T23:11:00Z</dcterms:created>
  <dcterms:modified xsi:type="dcterms:W3CDTF">2023-06-27T23:16:00Z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0x010100BA077CDBE4B4694FA79604431A628248</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ies>
</file>