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CF50" w14:textId="0045DF2B" w:rsidR="00683798" w:rsidRPr="00ED7C6A" w:rsidRDefault="006C598C" w:rsidP="00195B95">
      <w:pPr>
        <w:pStyle w:val="Title"/>
        <w:rPr>
          <w:spacing w:val="-8"/>
        </w:rPr>
      </w:pPr>
      <w:r w:rsidRPr="00671A2B">
        <w:rPr>
          <w:spacing w:val="-4"/>
        </w:rPr>
        <w:t xml:space="preserve">Schedule of fees and charges for </w:t>
      </w:r>
      <w:proofErr w:type="gramStart"/>
      <w:r w:rsidRPr="00671A2B">
        <w:rPr>
          <w:spacing w:val="-4"/>
        </w:rPr>
        <w:t>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</w:t>
      </w:r>
      <w:proofErr w:type="gramEnd"/>
      <w:r w:rsidRPr="00671A2B">
        <w:rPr>
          <w:spacing w:val="-4"/>
        </w:rPr>
        <w:t xml:space="preserve">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</w:t>
      </w:r>
      <w:r w:rsidR="005F391E">
        <w:rPr>
          <w:spacing w:val="-8"/>
        </w:rPr>
        <w:t>1 July</w:t>
      </w:r>
      <w:r w:rsidR="001B3D9E">
        <w:rPr>
          <w:spacing w:val="-8"/>
        </w:rPr>
        <w:t xml:space="preserve"> 2023</w:t>
      </w:r>
    </w:p>
    <w:p w14:paraId="18297AAC" w14:textId="2750CBD2" w:rsidR="00423B8B" w:rsidRPr="00B84890" w:rsidRDefault="00104034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5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6D470A" w:rsidRPr="00F35B17" w14:paraId="7A1AEC6D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6A51555A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$10.88</w:t>
            </w:r>
          </w:p>
        </w:tc>
      </w:tr>
      <w:tr w:rsidR="006D470A" w:rsidRPr="00F35B17" w14:paraId="4E06B03A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4D4455BB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$11.50</w:t>
            </w:r>
          </w:p>
        </w:tc>
      </w:tr>
      <w:tr w:rsidR="006D470A" w:rsidRPr="00F35B17" w14:paraId="40360F53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5199C053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$11.83</w:t>
            </w:r>
          </w:p>
        </w:tc>
      </w:tr>
      <w:tr w:rsidR="006D470A" w:rsidRPr="00F35B17" w14:paraId="29446745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1273FE61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$12.14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1C78319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130AC512" w14:textId="02CB7CCF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0A3E69C5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</w:t>
            </w:r>
            <w:r w:rsidR="006D470A">
              <w:t>58.98</w:t>
            </w:r>
          </w:p>
        </w:tc>
      </w:tr>
      <w:tr w:rsidR="00A55D44" w:rsidRPr="00F35B17" w14:paraId="19FC58A3" w14:textId="77777777" w:rsidTr="00CB4D7E">
        <w:trPr>
          <w:trHeight w:val="317"/>
        </w:trPr>
        <w:tc>
          <w:tcPr>
            <w:tcW w:w="2591" w:type="pct"/>
            <w:vAlign w:val="center"/>
            <w:hideMark/>
          </w:tcPr>
          <w:p w14:paraId="4A1237A1" w14:textId="127EE221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  <w:bookmarkStart w:id="0" w:name="endnote2"/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2409" w:type="pct"/>
            <w:noWrap/>
            <w:vAlign w:val="center"/>
            <w:hideMark/>
          </w:tcPr>
          <w:p w14:paraId="37ECFEEB" w14:textId="4F80BE48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</w:t>
            </w:r>
            <w:r w:rsidR="006D470A">
              <w:t>3.77</w:t>
            </w:r>
          </w:p>
        </w:tc>
      </w:tr>
      <w:tr w:rsidR="00A55D44" w:rsidRPr="00F35B17" w14:paraId="24691383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00E121D6" w14:textId="140B4223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0543B718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</w:t>
            </w:r>
            <w:r w:rsidR="006D470A">
              <w:t>8.98</w:t>
            </w:r>
          </w:p>
        </w:tc>
      </w:tr>
      <w:tr w:rsidR="00A55D44" w:rsidRPr="00F35B17" w14:paraId="1E00F8E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E1E4342" w14:textId="7E283CD5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31EAAA63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$6</w:t>
            </w:r>
            <w:r w:rsidR="006D470A">
              <w:t>6.96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685BB293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6D470A">
              <w:rPr>
                <w:rFonts w:cs="Arial"/>
              </w:rPr>
              <w:t>8.29</w:t>
            </w:r>
          </w:p>
        </w:tc>
      </w:tr>
      <w:tr w:rsidR="00C104B4" w:rsidRPr="00F35B17" w14:paraId="4BAE10C6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2FE13CBB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5</w:t>
            </w:r>
            <w:r w:rsidR="006D470A">
              <w:rPr>
                <w:rFonts w:cs="Arial"/>
              </w:rPr>
              <w:t>3.08</w:t>
            </w:r>
          </w:p>
        </w:tc>
      </w:tr>
      <w:tr w:rsidR="00C104B4" w:rsidRPr="00F35B17" w14:paraId="3EBF7E47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00275AF6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6D470A">
              <w:rPr>
                <w:rFonts w:cs="Arial"/>
              </w:rPr>
              <w:t>8.29</w:t>
            </w:r>
          </w:p>
        </w:tc>
      </w:tr>
      <w:tr w:rsidR="00C104B4" w:rsidRPr="00F35B17" w14:paraId="14FE0F0E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1E8ECBFE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6D470A">
              <w:rPr>
                <w:rFonts w:cs="Arial"/>
              </w:rPr>
              <w:t>6.27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34EC4561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</w:t>
      </w:r>
      <w:r w:rsidR="006D470A">
        <w:rPr>
          <w:b w:val="0"/>
          <w:bCs w:val="0"/>
          <w:sz w:val="22"/>
        </w:rPr>
        <w:t>93.68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CB4D7E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F351B7" w:rsidRPr="00F35B17" w14:paraId="10A7B911" w14:textId="77777777" w:rsidTr="00301372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F351B7" w:rsidRPr="00F35B17" w:rsidRDefault="00F351B7" w:rsidP="00F351B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hideMark/>
          </w:tcPr>
          <w:p w14:paraId="0B085E7B" w14:textId="6A5346DB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$1,211.70 </w:t>
            </w:r>
          </w:p>
        </w:tc>
        <w:tc>
          <w:tcPr>
            <w:tcW w:w="1727" w:type="pct"/>
            <w:hideMark/>
          </w:tcPr>
          <w:p w14:paraId="5B1D5DE3" w14:textId="753E8C08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$1,187.70 </w:t>
            </w:r>
          </w:p>
        </w:tc>
      </w:tr>
      <w:tr w:rsidR="00F351B7" w:rsidRPr="00F35B17" w14:paraId="312BA9D5" w14:textId="77777777" w:rsidTr="00301372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F351B7" w:rsidRPr="00F35B17" w:rsidRDefault="00F351B7" w:rsidP="00F351B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hideMark/>
          </w:tcPr>
          <w:p w14:paraId="205D8735" w14:textId="3677E2A2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$1,211.70 </w:t>
            </w:r>
          </w:p>
        </w:tc>
        <w:tc>
          <w:tcPr>
            <w:tcW w:w="1727" w:type="pct"/>
            <w:hideMark/>
          </w:tcPr>
          <w:p w14:paraId="3F18B02E" w14:textId="5B61CC5F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$1,187.70 </w:t>
            </w:r>
          </w:p>
        </w:tc>
      </w:tr>
      <w:tr w:rsidR="00F351B7" w:rsidRPr="00F35B17" w14:paraId="06C94A4F" w14:textId="77777777" w:rsidTr="00301372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F351B7" w:rsidRPr="00F35B17" w:rsidRDefault="00F351B7" w:rsidP="00F351B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hideMark/>
          </w:tcPr>
          <w:p w14:paraId="09DDA379" w14:textId="23D65320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$1,020.10 </w:t>
            </w:r>
          </w:p>
        </w:tc>
        <w:tc>
          <w:tcPr>
            <w:tcW w:w="1727" w:type="pct"/>
            <w:hideMark/>
          </w:tcPr>
          <w:p w14:paraId="16D50FBC" w14:textId="551EC1C1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$996.10 </w:t>
            </w:r>
          </w:p>
        </w:tc>
      </w:tr>
      <w:tr w:rsidR="00F351B7" w:rsidRPr="00F35B17" w14:paraId="09BF7BA7" w14:textId="77777777" w:rsidTr="00301372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F351B7" w:rsidRPr="00F35B17" w:rsidRDefault="00F351B7" w:rsidP="00F351B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hideMark/>
          </w:tcPr>
          <w:p w14:paraId="3EA7FAB1" w14:textId="365DEF61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$1,211.70 </w:t>
            </w:r>
          </w:p>
        </w:tc>
        <w:tc>
          <w:tcPr>
            <w:tcW w:w="1727" w:type="pct"/>
            <w:hideMark/>
          </w:tcPr>
          <w:p w14:paraId="4D49228E" w14:textId="60529EA4" w:rsidR="00F351B7" w:rsidRPr="00F35B17" w:rsidRDefault="00F351B7" w:rsidP="00F351B7">
            <w:pPr>
              <w:spacing w:before="0" w:after="0"/>
              <w:rPr>
                <w:rFonts w:cs="Arial"/>
                <w:highlight w:val="yellow"/>
              </w:rPr>
            </w:pPr>
            <w:r w:rsidRPr="0038503D">
              <w:t xml:space="preserve">$1,187.70 </w:t>
            </w:r>
          </w:p>
        </w:tc>
      </w:tr>
    </w:tbl>
    <w:p w14:paraId="11F775E2" w14:textId="5DEE861F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</w:t>
      </w:r>
      <w:r w:rsidR="006D470A">
        <w:rPr>
          <w:b w:val="0"/>
          <w:bCs w:val="0"/>
          <w:sz w:val="22"/>
        </w:rPr>
        <w:t>227,500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5EB156A3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</w:t>
      </w:r>
      <w:r w:rsidR="006D470A">
        <w:rPr>
          <w:b w:val="0"/>
          <w:bCs w:val="0"/>
          <w:sz w:val="22"/>
        </w:rPr>
        <w:t>7</w:t>
      </w:r>
      <w:r w:rsidR="00CF2C76" w:rsidRPr="009E6C84">
        <w:rPr>
          <w:b w:val="0"/>
          <w:bCs w:val="0"/>
          <w:sz w:val="22"/>
        </w:rPr>
        <w:t>,</w:t>
      </w:r>
      <w:r w:rsidR="00CB4D7E">
        <w:rPr>
          <w:b w:val="0"/>
          <w:bCs w:val="0"/>
          <w:sz w:val="22"/>
        </w:rPr>
        <w:t>0</w:t>
      </w:r>
      <w:r w:rsidR="00CF2C76" w:rsidRPr="009E6C84">
        <w:rPr>
          <w:b w:val="0"/>
          <w:bCs w:val="0"/>
          <w:sz w:val="22"/>
        </w:rPr>
        <w:t>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11A6A" w:rsidRPr="00F35B17" w14:paraId="192D32B5" w14:textId="77777777" w:rsidTr="00CB4D7E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0AE7D143" w:rsidR="00E11A6A" w:rsidRPr="00F35B17" w:rsidRDefault="008A008F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11A6A" w:rsidRPr="00F35B17">
              <w:rPr>
                <w:rFonts w:cs="Arial"/>
              </w:rPr>
              <w:t>ully supported</w:t>
            </w:r>
            <w:r w:rsidR="00E11A6A" w:rsidRPr="00F35B17">
              <w:rPr>
                <w:rFonts w:cs="Arial"/>
                <w:vertAlign w:val="superscript"/>
              </w:rPr>
              <w:t xml:space="preserve"> </w:t>
            </w:r>
            <w:r w:rsidR="00584B86" w:rsidRPr="00CB4D7E">
              <w:rPr>
                <w:rFonts w:cs="Arial"/>
                <w:vertAlign w:val="superscript"/>
              </w:rPr>
              <w:t>2</w:t>
            </w:r>
            <w:r w:rsidR="00E11A6A"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749E250D" w:rsidR="00E11A6A" w:rsidRPr="00F35B17" w:rsidRDefault="00E11A6A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</w:t>
            </w:r>
            <w:r w:rsidR="006D470A">
              <w:rPr>
                <w:rFonts w:cs="Arial"/>
              </w:rPr>
              <w:t>7</w:t>
            </w:r>
            <w:r w:rsidR="00A55D44">
              <w:rPr>
                <w:rFonts w:cs="Arial"/>
              </w:rPr>
              <w:t>,0</w:t>
            </w:r>
            <w:r w:rsidRPr="00F35B17">
              <w:rPr>
                <w:rFonts w:cs="Arial"/>
              </w:rPr>
              <w:t>00</w:t>
            </w:r>
          </w:p>
        </w:tc>
      </w:tr>
      <w:tr w:rsidR="00A55D44" w:rsidRPr="00F35B17" w14:paraId="5779612D" w14:textId="77777777" w:rsidTr="00CB4D7E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8765274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79B2239F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</w:t>
            </w:r>
            <w:r w:rsidR="006D470A">
              <w:rPr>
                <w:rFonts w:cs="Arial"/>
              </w:rPr>
              <w:t>145,816.00</w:t>
            </w:r>
          </w:p>
        </w:tc>
      </w:tr>
      <w:tr w:rsidR="00A55D44" w:rsidRPr="00F35B17" w14:paraId="448FEC5C" w14:textId="77777777" w:rsidTr="00CB4D7E">
        <w:trPr>
          <w:trHeight w:val="737"/>
        </w:trPr>
        <w:tc>
          <w:tcPr>
            <w:tcW w:w="2952" w:type="pct"/>
            <w:vAlign w:val="center"/>
          </w:tcPr>
          <w:p w14:paraId="6691D602" w14:textId="15A9F783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23C62B8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</w:t>
            </w:r>
            <w:r w:rsidR="006D470A">
              <w:rPr>
                <w:rFonts w:cs="Arial"/>
              </w:rPr>
              <w:t>193,219.20</w:t>
            </w:r>
          </w:p>
        </w:tc>
      </w:tr>
    </w:tbl>
    <w:p w14:paraId="58DDA034" w14:textId="2B231B53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 xml:space="preserve">from </w:t>
      </w:r>
      <w:r w:rsidR="001B3D9E">
        <w:rPr>
          <w:b w:val="0"/>
          <w:bCs w:val="0"/>
        </w:rPr>
        <w:t xml:space="preserve">1 </w:t>
      </w:r>
      <w:r w:rsidR="005F391E">
        <w:rPr>
          <w:b w:val="0"/>
          <w:bCs w:val="0"/>
        </w:rPr>
        <w:t xml:space="preserve">July </w:t>
      </w:r>
      <w:r w:rsidR="001B3D9E">
        <w:rPr>
          <w:b w:val="0"/>
          <w:bCs w:val="0"/>
        </w:rPr>
        <w:t>2023</w:t>
      </w:r>
      <w:r w:rsidR="00201F34" w:rsidRPr="009E6C84">
        <w:rPr>
          <w:b w:val="0"/>
          <w:bCs w:val="0"/>
        </w:rPr>
        <w:t xml:space="preserve"> – 3</w:t>
      </w:r>
      <w:r w:rsidR="006D470A">
        <w:rPr>
          <w:b w:val="0"/>
          <w:bCs w:val="0"/>
        </w:rPr>
        <w:t>0</w:t>
      </w:r>
      <w:r w:rsidR="00201F34" w:rsidRPr="009E6C84">
        <w:rPr>
          <w:b w:val="0"/>
          <w:bCs w:val="0"/>
        </w:rPr>
        <w:t xml:space="preserve"> </w:t>
      </w:r>
      <w:r w:rsidR="005F391E">
        <w:rPr>
          <w:b w:val="0"/>
          <w:bCs w:val="0"/>
        </w:rPr>
        <w:t>September</w:t>
      </w:r>
      <w:r w:rsidR="00201F34" w:rsidRPr="009E6C84">
        <w:rPr>
          <w:b w:val="0"/>
          <w:bCs w:val="0"/>
        </w:rPr>
        <w:t xml:space="preserve"> 202</w:t>
      </w:r>
      <w:r w:rsidR="001B3D9E">
        <w:rPr>
          <w:b w:val="0"/>
          <w:bCs w:val="0"/>
        </w:rPr>
        <w:t>3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0253F7A4" w:rsidR="000C4930" w:rsidRPr="00D06870" w:rsidRDefault="00C65FC2" w:rsidP="00D068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7.90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outlineLvl w:val="2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2A490050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A55D44" w:rsidRPr="009E6C84">
        <w:rPr>
          <w:b w:val="0"/>
          <w:bCs w:val="0"/>
        </w:rPr>
        <w:t xml:space="preserve">– from </w:t>
      </w:r>
      <w:r w:rsidR="00BB45D9">
        <w:rPr>
          <w:b w:val="0"/>
          <w:bCs w:val="0"/>
        </w:rPr>
        <w:t>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642E529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</w:t>
      </w:r>
      <w:r w:rsidR="005F391E">
        <w:rPr>
          <w:b w:val="0"/>
          <w:bCs w:val="0"/>
        </w:rPr>
        <w:t>3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5F391E" w:rsidRPr="00F35B17" w14:paraId="291A69C4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367ACFDC" w14:textId="77777777" w:rsidR="005F391E" w:rsidRPr="00F35B17" w:rsidRDefault="005F391E" w:rsidP="005F391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6A50032D" w:rsidR="005F391E" w:rsidRPr="00F35B17" w:rsidRDefault="005F391E" w:rsidP="00C65FC2">
            <w:pPr>
              <w:spacing w:before="0" w:after="0"/>
              <w:jc w:val="center"/>
              <w:rPr>
                <w:rFonts w:cs="Arial"/>
              </w:rPr>
            </w:pPr>
            <w:r w:rsidRPr="00352475">
              <w:t>$60,400</w:t>
            </w:r>
          </w:p>
        </w:tc>
      </w:tr>
      <w:tr w:rsidR="005F391E" w:rsidRPr="00F35B17" w14:paraId="330E75DF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5F391E" w:rsidRPr="00F35B17" w:rsidRDefault="005F391E" w:rsidP="005F391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1A96C2D3" w:rsidR="005F391E" w:rsidRPr="00F35B17" w:rsidRDefault="005F391E" w:rsidP="00C65FC2">
            <w:pPr>
              <w:spacing w:before="0" w:after="0"/>
              <w:jc w:val="center"/>
              <w:rPr>
                <w:rFonts w:cs="Arial"/>
              </w:rPr>
            </w:pPr>
            <w:r w:rsidRPr="00352475">
              <w:t>$100,200</w:t>
            </w:r>
          </w:p>
        </w:tc>
      </w:tr>
      <w:tr w:rsidR="006B79DB" w:rsidRPr="00F35B17" w14:paraId="2ECA4A4C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C65FC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C65FC2">
        <w:trPr>
          <w:trHeight w:val="317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C65FC2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 xml:space="preserve">harge for </w:t>
      </w:r>
      <w:proofErr w:type="gramStart"/>
      <w:r w:rsidRPr="00F35B17">
        <w:t>pre 1 July 2014</w:t>
      </w:r>
      <w:proofErr w:type="gramEnd"/>
      <w:r w:rsidRPr="00F35B17">
        <w:t xml:space="preserve">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7BD2B746" w:rsidR="00CB77EB" w:rsidRPr="004807A0" w:rsidRDefault="00CB77EB" w:rsidP="00BB277F">
      <w:pPr>
        <w:keepNext/>
      </w:pPr>
      <w:r w:rsidRPr="004807A0">
        <w:t>(</w:t>
      </w:r>
      <w:proofErr w:type="gramStart"/>
      <w:r w:rsidRPr="004807A0">
        <w:t>including</w:t>
      </w:r>
      <w:proofErr w:type="gramEnd"/>
      <w:r w:rsidRPr="004807A0">
        <w:t xml:space="preserve"> pre 1 July 2014 residents who enter </w:t>
      </w:r>
      <w:r w:rsidR="000F3DB0" w:rsidRPr="004807A0">
        <w:t>a</w:t>
      </w:r>
      <w:r w:rsidRPr="004807A0">
        <w:t xml:space="preserve"> home </w:t>
      </w:r>
      <w:r w:rsidR="001A74AB">
        <w:t>from</w:t>
      </w:r>
      <w:r w:rsidR="001D2F24" w:rsidRPr="004807A0">
        <w:t> </w:t>
      </w:r>
      <w:r w:rsidRPr="004807A0">
        <w:t xml:space="preserve">20 </w:t>
      </w:r>
      <w:r w:rsidR="00C65FC2">
        <w:t>March</w:t>
      </w:r>
      <w:r w:rsidR="005559D4" w:rsidRPr="004807A0">
        <w:t xml:space="preserve"> 202</w:t>
      </w:r>
      <w:r w:rsidR="00C65FC2">
        <w:t>3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5B8149A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A55D44">
              <w:rPr>
                <w:rFonts w:cs="Arial"/>
              </w:rPr>
              <w:t>14</w:t>
            </w:r>
            <w:r w:rsidR="006D470A">
              <w:rPr>
                <w:rFonts w:cs="Arial"/>
              </w:rPr>
              <w:t>5,816.00</w:t>
            </w:r>
          </w:p>
        </w:tc>
        <w:tc>
          <w:tcPr>
            <w:tcW w:w="2471" w:type="pct"/>
            <w:vAlign w:val="center"/>
          </w:tcPr>
          <w:p w14:paraId="3FF76A5A" w14:textId="1A04E952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D470A">
              <w:rPr>
                <w:rFonts w:cs="Arial"/>
              </w:rPr>
              <w:t>42.70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7D2042E0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$1</w:t>
            </w:r>
            <w:r w:rsidR="00A55D44">
              <w:rPr>
                <w:rFonts w:cs="Arial"/>
              </w:rPr>
              <w:t>4</w:t>
            </w:r>
            <w:r w:rsidR="006D470A">
              <w:rPr>
                <w:rFonts w:cs="Arial"/>
              </w:rPr>
              <w:t>5,816.00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0AD33B14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</w:t>
            </w:r>
            <w:r w:rsidR="00A55D44">
              <w:rPr>
                <w:rFonts w:cs="Arial"/>
              </w:rPr>
              <w:t>8</w:t>
            </w:r>
            <w:r w:rsidR="006D470A">
              <w:rPr>
                <w:rFonts w:cs="Arial"/>
              </w:rPr>
              <w:t>5,489.00</w:t>
            </w:r>
          </w:p>
        </w:tc>
        <w:tc>
          <w:tcPr>
            <w:tcW w:w="2471" w:type="pct"/>
            <w:vAlign w:val="center"/>
          </w:tcPr>
          <w:p w14:paraId="0DB38EC3" w14:textId="6B611B3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</w:t>
            </w:r>
            <w:r w:rsidR="00A55D44">
              <w:rPr>
                <w:rFonts w:cs="Arial"/>
              </w:rPr>
              <w:t>5.</w:t>
            </w:r>
            <w:r w:rsidR="006D470A">
              <w:rPr>
                <w:rFonts w:cs="Arial"/>
              </w:rPr>
              <w:t>61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1FFE92DA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6D470A">
              <w:rPr>
                <w:rFonts w:cs="Arial"/>
              </w:rPr>
              <w:t>85,489.00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179762D0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</w:t>
            </w:r>
            <w:r w:rsidR="00A55D44">
              <w:rPr>
                <w:rFonts w:cs="Arial"/>
              </w:rPr>
              <w:t>10</w:t>
            </w:r>
            <w:r w:rsidR="006D470A">
              <w:rPr>
                <w:rFonts w:cs="Arial"/>
              </w:rPr>
              <w:t>6,805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68281C86" w14:textId="5614F8A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D470A">
              <w:rPr>
                <w:rFonts w:cs="Arial"/>
              </w:rPr>
              <w:t>27.29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306AE658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</w:t>
            </w:r>
            <w:r w:rsidR="006D470A">
              <w:rPr>
                <w:rFonts w:cs="Arial"/>
              </w:rPr>
              <w:t>106,805.00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4AD091E6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$7</w:t>
            </w:r>
            <w:r w:rsidR="006D470A">
              <w:rPr>
                <w:rFonts w:cs="Arial"/>
              </w:rPr>
              <w:t>8,773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17DAB13" w14:textId="2304404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$11.</w:t>
            </w:r>
            <w:r w:rsidR="006D470A">
              <w:rPr>
                <w:rFonts w:cs="Arial"/>
              </w:rPr>
              <w:t>93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47F8C40D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6D470A" w:rsidRPr="00F35B17">
              <w:rPr>
                <w:rFonts w:cs="Arial"/>
              </w:rPr>
              <w:t>7</w:t>
            </w:r>
            <w:r w:rsidR="006D470A">
              <w:rPr>
                <w:rFonts w:cs="Arial"/>
              </w:rPr>
              <w:t>8,773</w:t>
            </w:r>
            <w:r w:rsidR="006D470A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44DD0C6C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6D470A">
              <w:rPr>
                <w:rFonts w:cs="Arial"/>
              </w:rPr>
              <w:t>99,340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6458C5F5" w14:textId="7231189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</w:t>
            </w:r>
            <w:r w:rsidR="00A55D44">
              <w:rPr>
                <w:rFonts w:cs="Arial"/>
              </w:rPr>
              <w:t>3</w:t>
            </w:r>
            <w:r w:rsidR="006D470A">
              <w:rPr>
                <w:rFonts w:cs="Arial"/>
              </w:rPr>
              <w:t>.20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62809C4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$9</w:t>
            </w:r>
            <w:r w:rsidR="006D470A">
              <w:rPr>
                <w:rFonts w:cs="Arial"/>
              </w:rPr>
              <w:t>9,340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6E1C173E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</w:t>
      </w:r>
      <w:r w:rsidR="006D470A">
        <w:rPr>
          <w:b w:val="0"/>
          <w:bCs w:val="0"/>
          <w:sz w:val="22"/>
        </w:rPr>
        <w:t>76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4FAD6C17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</w:t>
            </w:r>
            <w:r w:rsidR="005F391E">
              <w:rPr>
                <w:rFonts w:cs="Arial"/>
                <w:b/>
                <w:bCs/>
              </w:rPr>
              <w:t>3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80C38FF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proofErr w:type="gramStart"/>
            <w:r w:rsidRPr="00F35B17">
              <w:rPr>
                <w:rFonts w:cs="Arial"/>
              </w:rPr>
              <w:t>in excess of</w:t>
            </w:r>
            <w:proofErr w:type="gramEnd"/>
            <w:r w:rsidRPr="00F35B17">
              <w:rPr>
                <w:rFonts w:cs="Arial"/>
              </w:rPr>
              <w:t xml:space="preserve"> $</w:t>
            </w:r>
            <w:r w:rsidR="005F391E">
              <w:rPr>
                <w:rFonts w:cs="Arial"/>
              </w:rPr>
              <w:t>51,420</w:t>
            </w:r>
          </w:p>
        </w:tc>
        <w:tc>
          <w:tcPr>
            <w:tcW w:w="2471" w:type="pct"/>
            <w:vAlign w:val="center"/>
            <w:hideMark/>
          </w:tcPr>
          <w:p w14:paraId="41DC5B64" w14:textId="09527CC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5F391E">
              <w:rPr>
                <w:rFonts w:cs="Arial"/>
              </w:rPr>
              <w:t>428.50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093FF751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5F391E">
              <w:rPr>
                <w:rFonts w:cs="Arial"/>
              </w:rPr>
              <w:t>6,580</w:t>
            </w:r>
          </w:p>
        </w:tc>
        <w:tc>
          <w:tcPr>
            <w:tcW w:w="2471" w:type="pct"/>
            <w:vAlign w:val="center"/>
            <w:hideMark/>
          </w:tcPr>
          <w:p w14:paraId="751DA6D0" w14:textId="6C4ABB7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5F391E">
              <w:rPr>
                <w:rFonts w:cs="Arial"/>
              </w:rPr>
              <w:t>221.50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8859EC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AD4D" w14:textId="77777777" w:rsidR="00104034" w:rsidRDefault="00104034" w:rsidP="004807A0">
      <w:pPr>
        <w:spacing w:before="0" w:after="0"/>
      </w:pPr>
      <w:r>
        <w:separator/>
      </w:r>
    </w:p>
  </w:endnote>
  <w:endnote w:type="continuationSeparator" w:id="0">
    <w:p w14:paraId="2E527560" w14:textId="77777777" w:rsidR="00104034" w:rsidRDefault="00104034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A55D44" w:rsidRDefault="00A55D44" w:rsidP="00A55D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</w:endnote>
  <w:endnote w:id="3">
    <w:p w14:paraId="0E4C33A7" w14:textId="5E5C27D3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time period.</w:t>
      </w:r>
    </w:p>
    <w:bookmarkStart w:id="1" w:name="endnote4"/>
    <w:bookmarkEnd w:id="1"/>
  </w:endnote>
  <w:endnote w:id="4">
    <w:p w14:paraId="56C4D517" w14:textId="77777777" w:rsidR="004807A0" w:rsidRDefault="004807A0" w:rsidP="00423B8B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3B5F5EA3" w14:textId="3DB1A743" w:rsidR="00BB277F" w:rsidRDefault="00BB277F" w:rsidP="00423B8B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resident moves from one home to another, </w:t>
      </w:r>
      <w:proofErr w:type="gramStart"/>
      <w:r w:rsidRPr="00BB277F">
        <w:t>provided that</w:t>
      </w:r>
      <w:proofErr w:type="gramEnd"/>
      <w:r w:rsidRPr="00BB277F">
        <w:t xml:space="preserve">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167" w14:textId="77777777" w:rsidR="00104034" w:rsidRDefault="00104034" w:rsidP="004807A0">
      <w:pPr>
        <w:spacing w:before="0" w:after="0"/>
      </w:pPr>
      <w:r>
        <w:separator/>
      </w:r>
    </w:p>
  </w:footnote>
  <w:footnote w:type="continuationSeparator" w:id="0">
    <w:p w14:paraId="0F300C51" w14:textId="77777777" w:rsidR="00104034" w:rsidRDefault="00104034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5AF" w14:textId="4C6F3ACA" w:rsidR="00677290" w:rsidRDefault="00677290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622F37D0" wp14:editId="487D1DFF">
          <wp:extent cx="5759450" cy="941705"/>
          <wp:effectExtent l="0" t="0" r="6350" b="0"/>
          <wp:docPr id="8" name="Picture 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A3DFA"/>
    <w:rsid w:val="000C4930"/>
    <w:rsid w:val="000C4ABD"/>
    <w:rsid w:val="000D7BA3"/>
    <w:rsid w:val="000E2B97"/>
    <w:rsid w:val="000F3DB0"/>
    <w:rsid w:val="00104034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B95"/>
    <w:rsid w:val="00195E65"/>
    <w:rsid w:val="00196D29"/>
    <w:rsid w:val="001A07F9"/>
    <w:rsid w:val="001A74AB"/>
    <w:rsid w:val="001B3D9E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0BF9"/>
    <w:rsid w:val="00254930"/>
    <w:rsid w:val="00267637"/>
    <w:rsid w:val="002B5C17"/>
    <w:rsid w:val="002B5C63"/>
    <w:rsid w:val="002E72A2"/>
    <w:rsid w:val="00305075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4F5C75"/>
    <w:rsid w:val="005036D1"/>
    <w:rsid w:val="00512DA0"/>
    <w:rsid w:val="00545A9B"/>
    <w:rsid w:val="005511ED"/>
    <w:rsid w:val="00553FE2"/>
    <w:rsid w:val="005559D4"/>
    <w:rsid w:val="00555E85"/>
    <w:rsid w:val="00574793"/>
    <w:rsid w:val="00584B86"/>
    <w:rsid w:val="00591ED9"/>
    <w:rsid w:val="005B3338"/>
    <w:rsid w:val="005C3AA9"/>
    <w:rsid w:val="005C719C"/>
    <w:rsid w:val="005D1C2E"/>
    <w:rsid w:val="005D7D6B"/>
    <w:rsid w:val="005F391E"/>
    <w:rsid w:val="00620053"/>
    <w:rsid w:val="0062646B"/>
    <w:rsid w:val="00632384"/>
    <w:rsid w:val="006352E5"/>
    <w:rsid w:val="00642D68"/>
    <w:rsid w:val="00671A2B"/>
    <w:rsid w:val="00677290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D470A"/>
    <w:rsid w:val="006E3B23"/>
    <w:rsid w:val="006E428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A02C6"/>
    <w:rsid w:val="007A186C"/>
    <w:rsid w:val="007A278C"/>
    <w:rsid w:val="007B0256"/>
    <w:rsid w:val="007C0BF2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859EC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30322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5D44"/>
    <w:rsid w:val="00A571D7"/>
    <w:rsid w:val="00AA0ADB"/>
    <w:rsid w:val="00AB42C4"/>
    <w:rsid w:val="00AF781C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45D9"/>
    <w:rsid w:val="00BB5B23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65FC2"/>
    <w:rsid w:val="00C820FC"/>
    <w:rsid w:val="00C908C9"/>
    <w:rsid w:val="00CA1C8A"/>
    <w:rsid w:val="00CA6350"/>
    <w:rsid w:val="00CB4B7E"/>
    <w:rsid w:val="00CB4D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54AB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76AC7"/>
    <w:rsid w:val="00E81F46"/>
    <w:rsid w:val="00E84E7B"/>
    <w:rsid w:val="00E86D16"/>
    <w:rsid w:val="00EA7D06"/>
    <w:rsid w:val="00EB2A53"/>
    <w:rsid w:val="00EC1D0C"/>
    <w:rsid w:val="00ED6BC5"/>
    <w:rsid w:val="00ED7C6A"/>
    <w:rsid w:val="00EE0F00"/>
    <w:rsid w:val="00EE27EC"/>
    <w:rsid w:val="00EF1D0C"/>
    <w:rsid w:val="00F1200C"/>
    <w:rsid w:val="00F16619"/>
    <w:rsid w:val="00F351B7"/>
    <w:rsid w:val="00F35B17"/>
    <w:rsid w:val="00F578DE"/>
    <w:rsid w:val="00F617D9"/>
    <w:rsid w:val="00F6252F"/>
    <w:rsid w:val="00F668DC"/>
    <w:rsid w:val="00F83468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 and Aged Care</dc:creator>
  <cp:keywords>Aged Care; Finance; Schedule</cp:keywords>
  <dc:description/>
  <cp:lastModifiedBy>BOLTON, Natalie</cp:lastModifiedBy>
  <cp:revision>4</cp:revision>
  <cp:lastPrinted>2021-12-13T21:49:00Z</cp:lastPrinted>
  <dcterms:created xsi:type="dcterms:W3CDTF">2023-06-05T21:49:00Z</dcterms:created>
  <dcterms:modified xsi:type="dcterms:W3CDTF">2023-06-27T01:27:00Z</dcterms:modified>
  <cp:category>Aged Care;Finance;Schedule</cp:category>
</cp:coreProperties>
</file>