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308B" w14:textId="77777777" w:rsidR="00046EB2" w:rsidRDefault="00046EB2" w:rsidP="00046EB2">
      <w:pPr>
        <w:spacing w:after="480"/>
        <w:rPr>
          <w:noProof/>
          <w:sz w:val="28"/>
          <w:szCs w:val="28"/>
        </w:rPr>
      </w:pPr>
      <w:bookmarkStart w:id="0" w:name="_Hlk131085238"/>
      <w:bookmarkEnd w:id="0"/>
      <w:r>
        <w:rPr>
          <w:noProof/>
          <w:color w:val="2B579A"/>
          <w:sz w:val="28"/>
          <w:szCs w:val="28"/>
          <w:shd w:val="clear" w:color="auto" w:fill="E6E6E6"/>
        </w:rPr>
        <w:drawing>
          <wp:inline distT="0" distB="0" distL="0" distR="0" wp14:anchorId="64B011F2" wp14:editId="51AD6893">
            <wp:extent cx="2476800" cy="1123200"/>
            <wp:effectExtent l="0" t="0" r="0" b="1270"/>
            <wp:docPr id="7" name="Picture 7"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r>
        <w:rPr>
          <w:noProof/>
          <w:sz w:val="28"/>
          <w:szCs w:val="28"/>
        </w:rPr>
        <w:t xml:space="preserve">                                </w:t>
      </w:r>
      <w:r>
        <w:rPr>
          <w:noProof/>
          <w:color w:val="2B579A"/>
          <w:shd w:val="clear" w:color="auto" w:fill="E6E6E6"/>
        </w:rPr>
        <w:drawing>
          <wp:inline distT="0" distB="0" distL="0" distR="0" wp14:anchorId="0491AC51" wp14:editId="638C5BE4">
            <wp:extent cx="1826260" cy="1069340"/>
            <wp:effectExtent l="0" t="0" r="2540" b="0"/>
            <wp:docPr id="9" name="Picture 9"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anner-100-colour.png"/>
                    <pic:cNvPicPr/>
                  </pic:nvPicPr>
                  <pic:blipFill rotWithShape="1">
                    <a:blip r:embed="rId12" cstate="print">
                      <a:extLst>
                        <a:ext uri="{28A0092B-C50C-407E-A947-70E740481C1C}">
                          <a14:useLocalDpi xmlns:a14="http://schemas.microsoft.com/office/drawing/2010/main" val="0"/>
                        </a:ext>
                      </a:extLst>
                    </a:blip>
                    <a:srcRect l="70491"/>
                    <a:stretch/>
                  </pic:blipFill>
                  <pic:spPr bwMode="auto">
                    <a:xfrm>
                      <a:off x="0" y="0"/>
                      <a:ext cx="1826260" cy="1069340"/>
                    </a:xfrm>
                    <a:prstGeom prst="rect">
                      <a:avLst/>
                    </a:prstGeom>
                    <a:ln>
                      <a:noFill/>
                    </a:ln>
                    <a:extLst>
                      <a:ext uri="{53640926-AAD7-44D8-BBD7-CCE9431645EC}">
                        <a14:shadowObscured xmlns:a14="http://schemas.microsoft.com/office/drawing/2010/main"/>
                      </a:ext>
                    </a:extLst>
                  </pic:spPr>
                </pic:pic>
              </a:graphicData>
            </a:graphic>
          </wp:inline>
        </w:drawing>
      </w:r>
    </w:p>
    <w:p w14:paraId="04541725" w14:textId="77777777" w:rsidR="00046EB2" w:rsidRPr="00EC4A7B" w:rsidRDefault="00046EB2" w:rsidP="00046EB2">
      <w:pPr>
        <w:spacing w:before="480" w:after="720"/>
        <w:jc w:val="right"/>
      </w:pPr>
      <w:bookmarkStart w:id="1" w:name="Title"/>
      <w:bookmarkEnd w:id="1"/>
    </w:p>
    <w:p w14:paraId="2908A755" w14:textId="77777777" w:rsidR="00046EB2" w:rsidRDefault="00046EB2" w:rsidP="00046EB2">
      <w:pPr>
        <w:tabs>
          <w:tab w:val="left" w:pos="1935"/>
        </w:tabs>
        <w:spacing w:after="720"/>
        <w:rPr>
          <w:rFonts w:cstheme="minorHAnsi"/>
          <w:b/>
          <w:bCs/>
          <w:color w:val="2F5496" w:themeColor="accent1" w:themeShade="BF"/>
          <w:sz w:val="56"/>
          <w:szCs w:val="56"/>
        </w:rPr>
      </w:pPr>
      <w:r>
        <w:rPr>
          <w:rFonts w:cstheme="minorHAnsi"/>
          <w:b/>
          <w:bCs/>
          <w:color w:val="2F5496" w:themeColor="accent1" w:themeShade="BF"/>
          <w:sz w:val="56"/>
          <w:szCs w:val="56"/>
        </w:rPr>
        <w:tab/>
      </w:r>
    </w:p>
    <w:p w14:paraId="4C0826E5" w14:textId="022F61A7" w:rsidR="00046EB2" w:rsidRPr="00F57971" w:rsidRDefault="00046EB2" w:rsidP="00046EB2">
      <w:pPr>
        <w:tabs>
          <w:tab w:val="right" w:pos="9072"/>
        </w:tabs>
        <w:spacing w:after="720"/>
        <w:rPr>
          <w:rFonts w:cstheme="minorHAnsi"/>
          <w:b/>
          <w:bCs/>
          <w:color w:val="003D69"/>
          <w:sz w:val="56"/>
          <w:szCs w:val="56"/>
        </w:rPr>
      </w:pPr>
      <w:r w:rsidRPr="00F57971">
        <w:rPr>
          <w:rFonts w:cstheme="minorHAnsi"/>
          <w:b/>
          <w:bCs/>
          <w:color w:val="003D69"/>
          <w:sz w:val="56"/>
          <w:szCs w:val="56"/>
        </w:rPr>
        <w:t xml:space="preserve">Primary Health Network Program </w:t>
      </w:r>
      <w:r w:rsidRPr="00F57971">
        <w:rPr>
          <w:rFonts w:cstheme="minorHAnsi"/>
          <w:b/>
          <w:bCs/>
          <w:color w:val="003D69"/>
          <w:sz w:val="56"/>
          <w:szCs w:val="56"/>
        </w:rPr>
        <w:br/>
        <w:t>Annual Performance Report 20</w:t>
      </w:r>
      <w:r w:rsidR="007E6FF8">
        <w:rPr>
          <w:rFonts w:cstheme="minorHAnsi"/>
          <w:b/>
          <w:bCs/>
          <w:color w:val="003D69"/>
          <w:sz w:val="56"/>
          <w:szCs w:val="56"/>
        </w:rPr>
        <w:t>20</w:t>
      </w:r>
      <w:r w:rsidRPr="00F57971">
        <w:rPr>
          <w:rFonts w:cstheme="minorHAnsi"/>
          <w:b/>
          <w:bCs/>
          <w:color w:val="003D69"/>
          <w:sz w:val="56"/>
          <w:szCs w:val="56"/>
        </w:rPr>
        <w:t>-2</w:t>
      </w:r>
      <w:r w:rsidR="007E6FF8">
        <w:rPr>
          <w:rFonts w:cstheme="minorHAnsi"/>
          <w:b/>
          <w:bCs/>
          <w:color w:val="003D69"/>
          <w:sz w:val="56"/>
          <w:szCs w:val="56"/>
        </w:rPr>
        <w:t>1</w:t>
      </w:r>
    </w:p>
    <w:p w14:paraId="6FC8EFD0" w14:textId="77777777" w:rsidR="00046EB2" w:rsidRPr="0035420B" w:rsidRDefault="00046EB2" w:rsidP="00046EB2">
      <w:pPr>
        <w:rPr>
          <w:rFonts w:cstheme="minorHAnsi"/>
          <w:szCs w:val="22"/>
        </w:rPr>
      </w:pPr>
      <w:r w:rsidRPr="0035420B">
        <w:rPr>
          <w:rFonts w:cstheme="minorHAnsi"/>
          <w:szCs w:val="22"/>
        </w:rPr>
        <w:br w:type="page"/>
      </w:r>
    </w:p>
    <w:p w14:paraId="739E1BAD" w14:textId="77777777" w:rsidR="00046EB2" w:rsidRPr="00C00239" w:rsidRDefault="00046EB2" w:rsidP="00582BAC">
      <w:pPr>
        <w:pStyle w:val="Heading2Blue"/>
        <w:rPr>
          <w:rFonts w:asciiTheme="minorHAnsi" w:hAnsiTheme="minorHAnsi" w:cstheme="minorHAnsi"/>
        </w:rPr>
      </w:pPr>
      <w:bookmarkStart w:id="2" w:name="_Toc105510120"/>
      <w:bookmarkStart w:id="3" w:name="_Toc106117644"/>
      <w:bookmarkStart w:id="4" w:name="_Toc106125447"/>
      <w:bookmarkStart w:id="5" w:name="_Toc136505518"/>
      <w:r w:rsidRPr="00C00239">
        <w:rPr>
          <w:rFonts w:asciiTheme="minorHAnsi" w:hAnsiTheme="minorHAnsi" w:cstheme="minorHAnsi"/>
        </w:rPr>
        <w:lastRenderedPageBreak/>
        <w:t>Acknowledgement</w:t>
      </w:r>
      <w:bookmarkEnd w:id="2"/>
      <w:bookmarkEnd w:id="3"/>
      <w:bookmarkEnd w:id="4"/>
      <w:bookmarkEnd w:id="5"/>
    </w:p>
    <w:p w14:paraId="1398AFB1" w14:textId="77777777" w:rsidR="00046EB2" w:rsidRPr="00C00239" w:rsidRDefault="00046EB2" w:rsidP="00046EB2">
      <w:pPr>
        <w:pStyle w:val="NormalWeb"/>
        <w:rPr>
          <w:rFonts w:asciiTheme="minorHAnsi" w:hAnsiTheme="minorHAnsi" w:cstheme="minorHAnsi"/>
          <w:szCs w:val="22"/>
        </w:rPr>
      </w:pPr>
      <w:r w:rsidRPr="00C00239">
        <w:rPr>
          <w:rFonts w:asciiTheme="minorHAnsi" w:hAnsiTheme="minorHAnsi" w:cstheme="minorHAnsi"/>
          <w:szCs w:val="22"/>
        </w:rPr>
        <w:t xml:space="preserve">This document was developed by the Australian Government Department of Health and Aged Care as part of the Primary Health Networks Program Performance and Quality Framework. </w:t>
      </w:r>
    </w:p>
    <w:p w14:paraId="6398C5E2" w14:textId="35496368" w:rsidR="00046EB2" w:rsidRPr="00C00239" w:rsidRDefault="00046EB2" w:rsidP="00046EB2">
      <w:pPr>
        <w:pStyle w:val="NormalWeb"/>
        <w:rPr>
          <w:rFonts w:asciiTheme="minorHAnsi" w:hAnsiTheme="minorHAnsi" w:cstheme="minorHAnsi"/>
          <w:szCs w:val="22"/>
        </w:rPr>
      </w:pPr>
      <w:r w:rsidRPr="00C00239">
        <w:rPr>
          <w:rFonts w:asciiTheme="minorHAnsi" w:hAnsiTheme="minorHAnsi" w:cstheme="minorHAnsi"/>
          <w:szCs w:val="22"/>
        </w:rPr>
        <w:t>© Commonwealth of Australia 202</w:t>
      </w:r>
      <w:r w:rsidR="00F57971" w:rsidRPr="00C00239">
        <w:rPr>
          <w:rFonts w:asciiTheme="minorHAnsi" w:hAnsiTheme="minorHAnsi" w:cstheme="minorHAnsi"/>
          <w:szCs w:val="22"/>
        </w:rPr>
        <w:t>3</w:t>
      </w:r>
    </w:p>
    <w:p w14:paraId="76EC4BDC" w14:textId="331B73A5" w:rsidR="00046EB2" w:rsidRPr="00C00239" w:rsidRDefault="00046EB2" w:rsidP="00046EB2">
      <w:pPr>
        <w:pStyle w:val="NormalWeb"/>
        <w:rPr>
          <w:rFonts w:asciiTheme="minorHAnsi" w:hAnsiTheme="minorHAnsi" w:cstheme="minorHAnsi"/>
          <w:szCs w:val="22"/>
        </w:rPr>
      </w:pPr>
      <w:r w:rsidRPr="00C00239">
        <w:rPr>
          <w:rFonts w:asciiTheme="minorHAnsi" w:hAnsiTheme="minorHAnsi" w:cstheme="minorHAnsi"/>
          <w:szCs w:val="22"/>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w:t>
      </w:r>
      <w:proofErr w:type="gramStart"/>
      <w:r w:rsidRPr="00C00239">
        <w:rPr>
          <w:rFonts w:asciiTheme="minorHAnsi" w:hAnsiTheme="minorHAnsi" w:cstheme="minorHAnsi"/>
          <w:szCs w:val="22"/>
        </w:rPr>
        <w:t>reserved</w:t>
      </w:r>
      <w:proofErr w:type="gramEnd"/>
      <w:r w:rsidRPr="00C00239">
        <w:rPr>
          <w:rFonts w:asciiTheme="minorHAnsi" w:hAnsiTheme="minorHAnsi" w:cstheme="minorHAnsi"/>
          <w:szCs w:val="22"/>
        </w:rPr>
        <w:t xml:space="preserve">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and Aged Care, GPO Box 9848, Canberra ACT 2601, or via e-mail to </w:t>
      </w:r>
      <w:hyperlink r:id="rId13" w:history="1">
        <w:r w:rsidRPr="00C00239">
          <w:rPr>
            <w:rStyle w:val="Hyperlink"/>
            <w:rFonts w:asciiTheme="minorHAnsi" w:hAnsiTheme="minorHAnsi" w:cstheme="minorHAnsi"/>
            <w:szCs w:val="22"/>
          </w:rPr>
          <w:t>copyright@health.gov.au</w:t>
        </w:r>
      </w:hyperlink>
      <w:r w:rsidRPr="00C00239">
        <w:rPr>
          <w:rFonts w:asciiTheme="minorHAnsi" w:hAnsiTheme="minorHAnsi" w:cstheme="minorHAnsi"/>
          <w:szCs w:val="22"/>
        </w:rPr>
        <w:t xml:space="preserve">. </w:t>
      </w:r>
    </w:p>
    <w:p w14:paraId="6227322D" w14:textId="31E9C241" w:rsidR="00046EB2" w:rsidRDefault="00046EB2" w:rsidP="00046EB2">
      <w:pPr>
        <w:pStyle w:val="NormalWeb"/>
        <w:rPr>
          <w:rFonts w:asciiTheme="minorHAnsi" w:hAnsiTheme="minorHAnsi" w:cstheme="minorHAnsi"/>
          <w:i/>
          <w:szCs w:val="22"/>
        </w:rPr>
      </w:pPr>
      <w:r w:rsidRPr="00C00239">
        <w:rPr>
          <w:rFonts w:asciiTheme="minorHAnsi" w:hAnsiTheme="minorHAnsi" w:cstheme="minorHAnsi"/>
          <w:szCs w:val="22"/>
        </w:rPr>
        <w:t>Preferred citation: Australian Government Department of Health and Aged Care. (202</w:t>
      </w:r>
      <w:r w:rsidR="00F57971" w:rsidRPr="00C00239">
        <w:rPr>
          <w:rFonts w:asciiTheme="minorHAnsi" w:hAnsiTheme="minorHAnsi" w:cstheme="minorHAnsi"/>
          <w:szCs w:val="22"/>
        </w:rPr>
        <w:t>3</w:t>
      </w:r>
      <w:r w:rsidRPr="00C00239">
        <w:rPr>
          <w:rFonts w:asciiTheme="minorHAnsi" w:hAnsiTheme="minorHAnsi" w:cstheme="minorHAnsi"/>
          <w:szCs w:val="22"/>
        </w:rPr>
        <w:t xml:space="preserve">). </w:t>
      </w:r>
      <w:r w:rsidRPr="00C00239">
        <w:rPr>
          <w:rFonts w:asciiTheme="minorHAnsi" w:hAnsiTheme="minorHAnsi" w:cstheme="minorHAnsi"/>
          <w:i/>
          <w:szCs w:val="22"/>
        </w:rPr>
        <w:t>PHN Program Performance Report 20</w:t>
      </w:r>
      <w:r w:rsidR="00F57971" w:rsidRPr="00C00239">
        <w:rPr>
          <w:rFonts w:asciiTheme="minorHAnsi" w:hAnsiTheme="minorHAnsi" w:cstheme="minorHAnsi"/>
          <w:i/>
          <w:szCs w:val="22"/>
        </w:rPr>
        <w:t>20-21</w:t>
      </w:r>
      <w:r w:rsidRPr="00C00239">
        <w:rPr>
          <w:rFonts w:asciiTheme="minorHAnsi" w:hAnsiTheme="minorHAnsi" w:cstheme="minorHAnsi"/>
          <w:i/>
          <w:szCs w:val="22"/>
        </w:rPr>
        <w:t>.</w:t>
      </w:r>
    </w:p>
    <w:p w14:paraId="6FCE028A" w14:textId="77777777" w:rsidR="00C00239" w:rsidRPr="00C00239" w:rsidRDefault="00C00239" w:rsidP="00046EB2">
      <w:pPr>
        <w:pStyle w:val="NormalWeb"/>
        <w:rPr>
          <w:rFonts w:asciiTheme="minorHAnsi" w:hAnsiTheme="minorHAnsi" w:cstheme="minorHAnsi"/>
          <w:szCs w:val="22"/>
        </w:rPr>
      </w:pPr>
    </w:p>
    <w:p w14:paraId="14BCE0E9" w14:textId="77777777" w:rsidR="00046EB2" w:rsidRPr="00C00239" w:rsidRDefault="00046EB2" w:rsidP="00582BAC">
      <w:pPr>
        <w:pStyle w:val="Heading2Blue"/>
        <w:rPr>
          <w:rFonts w:asciiTheme="minorHAnsi" w:hAnsiTheme="minorHAnsi" w:cstheme="minorHAnsi"/>
        </w:rPr>
      </w:pPr>
      <w:bookmarkStart w:id="6" w:name="_Toc528740601"/>
      <w:bookmarkStart w:id="7" w:name="_Toc25653919"/>
      <w:bookmarkStart w:id="8" w:name="_Toc38621230"/>
      <w:bookmarkStart w:id="9" w:name="_Toc41475705"/>
      <w:bookmarkStart w:id="10" w:name="_Toc105510121"/>
      <w:bookmarkStart w:id="11" w:name="_Toc106117645"/>
      <w:bookmarkStart w:id="12" w:name="_Toc106125448"/>
      <w:bookmarkStart w:id="13" w:name="_Toc136505519"/>
      <w:r w:rsidRPr="00C00239">
        <w:rPr>
          <w:rFonts w:asciiTheme="minorHAnsi" w:hAnsiTheme="minorHAnsi" w:cstheme="minorHAnsi"/>
        </w:rPr>
        <w:t>Disclaimer</w:t>
      </w:r>
      <w:bookmarkEnd w:id="6"/>
      <w:bookmarkEnd w:id="7"/>
      <w:bookmarkEnd w:id="8"/>
      <w:bookmarkEnd w:id="9"/>
      <w:bookmarkEnd w:id="10"/>
      <w:bookmarkEnd w:id="11"/>
      <w:bookmarkEnd w:id="12"/>
      <w:bookmarkEnd w:id="13"/>
    </w:p>
    <w:p w14:paraId="2D0D0816" w14:textId="1349A44C" w:rsidR="00046EB2" w:rsidRPr="00AE7A5F" w:rsidRDefault="00046EB2" w:rsidP="00046EB2">
      <w:pPr>
        <w:rPr>
          <w:rFonts w:cs="Symbol"/>
        </w:rPr>
      </w:pPr>
      <w:r w:rsidRPr="00C00239">
        <w:rPr>
          <w:rFonts w:cstheme="minorHAnsi"/>
        </w:rPr>
        <w:t>Opinions expressed in PHN Program Performance Report 20</w:t>
      </w:r>
      <w:r w:rsidR="615564AF" w:rsidRPr="00C00239">
        <w:rPr>
          <w:rFonts w:cstheme="minorHAnsi"/>
        </w:rPr>
        <w:t>20-21</w:t>
      </w:r>
      <w:r w:rsidRPr="00C00239">
        <w:rPr>
          <w:rFonts w:cstheme="minorHAnsi"/>
        </w:rPr>
        <w:t xml:space="preserve"> are those of the authors and not necessarily those of the Australian Government Department of Health and Aged Care. Data may be subject to revision.</w:t>
      </w:r>
      <w:r w:rsidRPr="546B776E">
        <w:rPr>
          <w:rFonts w:cs="Symbol"/>
        </w:rPr>
        <w:br w:type="page"/>
      </w:r>
    </w:p>
    <w:sdt>
      <w:sdtPr>
        <w:rPr>
          <w:rFonts w:asciiTheme="minorHAnsi" w:hAnsiTheme="minorHAnsi" w:cs="Times New Roman"/>
          <w:b w:val="0"/>
          <w:bCs w:val="0"/>
          <w:color w:val="auto"/>
          <w:sz w:val="22"/>
          <w:szCs w:val="24"/>
          <w:shd w:val="clear" w:color="auto" w:fill="E6E6E6"/>
          <w:lang w:val="en-AU" w:eastAsia="en-AU"/>
        </w:rPr>
        <w:id w:val="-1605564836"/>
        <w:docPartObj>
          <w:docPartGallery w:val="Table of Contents"/>
          <w:docPartUnique/>
        </w:docPartObj>
      </w:sdtPr>
      <w:sdtEndPr>
        <w:rPr>
          <w:noProof/>
        </w:rPr>
      </w:sdtEndPr>
      <w:sdtContent>
        <w:p w14:paraId="07967180" w14:textId="7A7E08DD" w:rsidR="009D1C76" w:rsidRDefault="009D1C76" w:rsidP="00582BAC">
          <w:pPr>
            <w:pStyle w:val="TOCHeading"/>
          </w:pPr>
          <w:r>
            <w:t>Contents</w:t>
          </w:r>
        </w:p>
        <w:p w14:paraId="7AD64523" w14:textId="1A10ED58" w:rsidR="00630BD7" w:rsidRDefault="009D1C76">
          <w:pPr>
            <w:pStyle w:val="TOC2"/>
            <w:rPr>
              <w:rFonts w:eastAsiaTheme="minorEastAsia" w:cstheme="minorBidi"/>
              <w:noProof/>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6505518" w:history="1">
            <w:r w:rsidR="00630BD7" w:rsidRPr="00F86AF5">
              <w:rPr>
                <w:rStyle w:val="Hyperlink"/>
                <w:rFonts w:cstheme="minorHAnsi"/>
                <w:noProof/>
              </w:rPr>
              <w:t>Acknowledgement</w:t>
            </w:r>
            <w:r w:rsidR="00630BD7">
              <w:rPr>
                <w:noProof/>
                <w:webHidden/>
              </w:rPr>
              <w:tab/>
            </w:r>
            <w:r w:rsidR="00630BD7">
              <w:rPr>
                <w:noProof/>
                <w:webHidden/>
              </w:rPr>
              <w:fldChar w:fldCharType="begin"/>
            </w:r>
            <w:r w:rsidR="00630BD7">
              <w:rPr>
                <w:noProof/>
                <w:webHidden/>
              </w:rPr>
              <w:instrText xml:space="preserve"> PAGEREF _Toc136505518 \h </w:instrText>
            </w:r>
            <w:r w:rsidR="00630BD7">
              <w:rPr>
                <w:noProof/>
                <w:webHidden/>
              </w:rPr>
            </w:r>
            <w:r w:rsidR="00630BD7">
              <w:rPr>
                <w:noProof/>
                <w:webHidden/>
              </w:rPr>
              <w:fldChar w:fldCharType="separate"/>
            </w:r>
            <w:r w:rsidR="00630BD7">
              <w:rPr>
                <w:noProof/>
                <w:webHidden/>
              </w:rPr>
              <w:t>2</w:t>
            </w:r>
            <w:r w:rsidR="00630BD7">
              <w:rPr>
                <w:noProof/>
                <w:webHidden/>
              </w:rPr>
              <w:fldChar w:fldCharType="end"/>
            </w:r>
          </w:hyperlink>
        </w:p>
        <w:p w14:paraId="09274954" w14:textId="701CE50A" w:rsidR="00630BD7" w:rsidRDefault="0087799E">
          <w:pPr>
            <w:pStyle w:val="TOC2"/>
            <w:rPr>
              <w:rFonts w:eastAsiaTheme="minorEastAsia" w:cstheme="minorBidi"/>
              <w:noProof/>
              <w:szCs w:val="22"/>
            </w:rPr>
          </w:pPr>
          <w:hyperlink w:anchor="_Toc136505519" w:history="1">
            <w:r w:rsidR="00630BD7" w:rsidRPr="00F86AF5">
              <w:rPr>
                <w:rStyle w:val="Hyperlink"/>
                <w:rFonts w:cstheme="minorHAnsi"/>
                <w:noProof/>
              </w:rPr>
              <w:t>Disclaimer</w:t>
            </w:r>
            <w:r w:rsidR="00630BD7">
              <w:rPr>
                <w:noProof/>
                <w:webHidden/>
              </w:rPr>
              <w:tab/>
            </w:r>
            <w:r w:rsidR="00630BD7">
              <w:rPr>
                <w:noProof/>
                <w:webHidden/>
              </w:rPr>
              <w:fldChar w:fldCharType="begin"/>
            </w:r>
            <w:r w:rsidR="00630BD7">
              <w:rPr>
                <w:noProof/>
                <w:webHidden/>
              </w:rPr>
              <w:instrText xml:space="preserve"> PAGEREF _Toc136505519 \h </w:instrText>
            </w:r>
            <w:r w:rsidR="00630BD7">
              <w:rPr>
                <w:noProof/>
                <w:webHidden/>
              </w:rPr>
            </w:r>
            <w:r w:rsidR="00630BD7">
              <w:rPr>
                <w:noProof/>
                <w:webHidden/>
              </w:rPr>
              <w:fldChar w:fldCharType="separate"/>
            </w:r>
            <w:r w:rsidR="00630BD7">
              <w:rPr>
                <w:noProof/>
                <w:webHidden/>
              </w:rPr>
              <w:t>2</w:t>
            </w:r>
            <w:r w:rsidR="00630BD7">
              <w:rPr>
                <w:noProof/>
                <w:webHidden/>
              </w:rPr>
              <w:fldChar w:fldCharType="end"/>
            </w:r>
          </w:hyperlink>
        </w:p>
        <w:p w14:paraId="4334C780" w14:textId="19DBD9CF" w:rsidR="00630BD7" w:rsidRDefault="0087799E">
          <w:pPr>
            <w:pStyle w:val="TOC1"/>
            <w:tabs>
              <w:tab w:val="right" w:leader="dot" w:pos="9060"/>
            </w:tabs>
            <w:rPr>
              <w:rFonts w:eastAsiaTheme="minorEastAsia" w:cstheme="minorBidi"/>
              <w:noProof/>
              <w:szCs w:val="22"/>
            </w:rPr>
          </w:pPr>
          <w:hyperlink w:anchor="_Toc136505520" w:history="1">
            <w:r w:rsidR="00630BD7" w:rsidRPr="00F86AF5">
              <w:rPr>
                <w:rStyle w:val="Hyperlink"/>
                <w:noProof/>
              </w:rPr>
              <w:t>Introduction</w:t>
            </w:r>
            <w:r w:rsidR="00630BD7">
              <w:rPr>
                <w:noProof/>
                <w:webHidden/>
              </w:rPr>
              <w:tab/>
            </w:r>
            <w:r w:rsidR="00630BD7">
              <w:rPr>
                <w:noProof/>
                <w:webHidden/>
              </w:rPr>
              <w:fldChar w:fldCharType="begin"/>
            </w:r>
            <w:r w:rsidR="00630BD7">
              <w:rPr>
                <w:noProof/>
                <w:webHidden/>
              </w:rPr>
              <w:instrText xml:space="preserve"> PAGEREF _Toc136505520 \h </w:instrText>
            </w:r>
            <w:r w:rsidR="00630BD7">
              <w:rPr>
                <w:noProof/>
                <w:webHidden/>
              </w:rPr>
            </w:r>
            <w:r w:rsidR="00630BD7">
              <w:rPr>
                <w:noProof/>
                <w:webHidden/>
              </w:rPr>
              <w:fldChar w:fldCharType="separate"/>
            </w:r>
            <w:r w:rsidR="00630BD7">
              <w:rPr>
                <w:noProof/>
                <w:webHidden/>
              </w:rPr>
              <w:t>4</w:t>
            </w:r>
            <w:r w:rsidR="00630BD7">
              <w:rPr>
                <w:noProof/>
                <w:webHidden/>
              </w:rPr>
              <w:fldChar w:fldCharType="end"/>
            </w:r>
          </w:hyperlink>
        </w:p>
        <w:p w14:paraId="5AD644E0" w14:textId="46378020" w:rsidR="00630BD7" w:rsidRDefault="0087799E">
          <w:pPr>
            <w:pStyle w:val="TOC1"/>
            <w:tabs>
              <w:tab w:val="right" w:leader="dot" w:pos="9060"/>
            </w:tabs>
            <w:rPr>
              <w:rFonts w:eastAsiaTheme="minorEastAsia" w:cstheme="minorBidi"/>
              <w:noProof/>
              <w:szCs w:val="22"/>
            </w:rPr>
          </w:pPr>
          <w:hyperlink w:anchor="_Toc136505521" w:history="1">
            <w:r w:rsidR="00630BD7" w:rsidRPr="00F86AF5">
              <w:rPr>
                <w:rStyle w:val="Hyperlink"/>
                <w:noProof/>
              </w:rPr>
              <w:t>Emergency Department and Hospitalisations</w:t>
            </w:r>
            <w:r w:rsidR="00630BD7">
              <w:rPr>
                <w:noProof/>
                <w:webHidden/>
              </w:rPr>
              <w:tab/>
            </w:r>
            <w:r w:rsidR="00630BD7">
              <w:rPr>
                <w:noProof/>
                <w:webHidden/>
              </w:rPr>
              <w:fldChar w:fldCharType="begin"/>
            </w:r>
            <w:r w:rsidR="00630BD7">
              <w:rPr>
                <w:noProof/>
                <w:webHidden/>
              </w:rPr>
              <w:instrText xml:space="preserve"> PAGEREF _Toc136505521 \h </w:instrText>
            </w:r>
            <w:r w:rsidR="00630BD7">
              <w:rPr>
                <w:noProof/>
                <w:webHidden/>
              </w:rPr>
            </w:r>
            <w:r w:rsidR="00630BD7">
              <w:rPr>
                <w:noProof/>
                <w:webHidden/>
              </w:rPr>
              <w:fldChar w:fldCharType="separate"/>
            </w:r>
            <w:r w:rsidR="00630BD7">
              <w:rPr>
                <w:noProof/>
                <w:webHidden/>
              </w:rPr>
              <w:t>4</w:t>
            </w:r>
            <w:r w:rsidR="00630BD7">
              <w:rPr>
                <w:noProof/>
                <w:webHidden/>
              </w:rPr>
              <w:fldChar w:fldCharType="end"/>
            </w:r>
          </w:hyperlink>
        </w:p>
        <w:p w14:paraId="691D3B3C" w14:textId="25618947" w:rsidR="00630BD7" w:rsidRDefault="0087799E">
          <w:pPr>
            <w:pStyle w:val="TOC2"/>
            <w:rPr>
              <w:rFonts w:eastAsiaTheme="minorEastAsia" w:cstheme="minorBidi"/>
              <w:noProof/>
              <w:szCs w:val="22"/>
            </w:rPr>
          </w:pPr>
          <w:hyperlink w:anchor="_Toc136505522" w:history="1">
            <w:r w:rsidR="00630BD7" w:rsidRPr="00F86AF5">
              <w:rPr>
                <w:rStyle w:val="Hyperlink"/>
                <w:noProof/>
              </w:rPr>
              <w:t>Potentially Preventative Hospitalisations (PPH)</w:t>
            </w:r>
            <w:r w:rsidR="00630BD7">
              <w:rPr>
                <w:noProof/>
                <w:webHidden/>
              </w:rPr>
              <w:tab/>
            </w:r>
            <w:r w:rsidR="00630BD7">
              <w:rPr>
                <w:noProof/>
                <w:webHidden/>
              </w:rPr>
              <w:fldChar w:fldCharType="begin"/>
            </w:r>
            <w:r w:rsidR="00630BD7">
              <w:rPr>
                <w:noProof/>
                <w:webHidden/>
              </w:rPr>
              <w:instrText xml:space="preserve"> PAGEREF _Toc136505522 \h </w:instrText>
            </w:r>
            <w:r w:rsidR="00630BD7">
              <w:rPr>
                <w:noProof/>
                <w:webHidden/>
              </w:rPr>
            </w:r>
            <w:r w:rsidR="00630BD7">
              <w:rPr>
                <w:noProof/>
                <w:webHidden/>
              </w:rPr>
              <w:fldChar w:fldCharType="separate"/>
            </w:r>
            <w:r w:rsidR="00630BD7">
              <w:rPr>
                <w:noProof/>
                <w:webHidden/>
              </w:rPr>
              <w:t>4</w:t>
            </w:r>
            <w:r w:rsidR="00630BD7">
              <w:rPr>
                <w:noProof/>
                <w:webHidden/>
              </w:rPr>
              <w:fldChar w:fldCharType="end"/>
            </w:r>
          </w:hyperlink>
        </w:p>
        <w:p w14:paraId="21766249" w14:textId="7B441C6C" w:rsidR="00630BD7" w:rsidRDefault="0087799E">
          <w:pPr>
            <w:pStyle w:val="TOC2"/>
            <w:rPr>
              <w:rFonts w:eastAsiaTheme="minorEastAsia" w:cstheme="minorBidi"/>
              <w:noProof/>
              <w:szCs w:val="22"/>
            </w:rPr>
          </w:pPr>
          <w:hyperlink w:anchor="_Toc136505523" w:history="1">
            <w:r w:rsidR="00630BD7" w:rsidRPr="00F86AF5">
              <w:rPr>
                <w:rStyle w:val="Hyperlink"/>
                <w:noProof/>
              </w:rPr>
              <w:t>Lower Urgency Emergency Department Presentations</w:t>
            </w:r>
            <w:r w:rsidR="00630BD7">
              <w:rPr>
                <w:noProof/>
                <w:webHidden/>
              </w:rPr>
              <w:tab/>
            </w:r>
            <w:r w:rsidR="00630BD7">
              <w:rPr>
                <w:noProof/>
                <w:webHidden/>
              </w:rPr>
              <w:fldChar w:fldCharType="begin"/>
            </w:r>
            <w:r w:rsidR="00630BD7">
              <w:rPr>
                <w:noProof/>
                <w:webHidden/>
              </w:rPr>
              <w:instrText xml:space="preserve"> PAGEREF _Toc136505523 \h </w:instrText>
            </w:r>
            <w:r w:rsidR="00630BD7">
              <w:rPr>
                <w:noProof/>
                <w:webHidden/>
              </w:rPr>
            </w:r>
            <w:r w:rsidR="00630BD7">
              <w:rPr>
                <w:noProof/>
                <w:webHidden/>
              </w:rPr>
              <w:fldChar w:fldCharType="separate"/>
            </w:r>
            <w:r w:rsidR="00630BD7">
              <w:rPr>
                <w:noProof/>
                <w:webHidden/>
              </w:rPr>
              <w:t>5</w:t>
            </w:r>
            <w:r w:rsidR="00630BD7">
              <w:rPr>
                <w:noProof/>
                <w:webHidden/>
              </w:rPr>
              <w:fldChar w:fldCharType="end"/>
            </w:r>
          </w:hyperlink>
        </w:p>
        <w:p w14:paraId="55A55D2A" w14:textId="1085E74C" w:rsidR="00630BD7" w:rsidRDefault="0087799E">
          <w:pPr>
            <w:pStyle w:val="TOC1"/>
            <w:tabs>
              <w:tab w:val="right" w:leader="dot" w:pos="9060"/>
            </w:tabs>
            <w:rPr>
              <w:rFonts w:eastAsiaTheme="minorEastAsia" w:cstheme="minorBidi"/>
              <w:noProof/>
              <w:szCs w:val="22"/>
            </w:rPr>
          </w:pPr>
          <w:hyperlink w:anchor="_Toc136505524" w:history="1">
            <w:r w:rsidR="00630BD7" w:rsidRPr="00F86AF5">
              <w:rPr>
                <w:rStyle w:val="Hyperlink"/>
                <w:noProof/>
              </w:rPr>
              <w:t>Program</w:t>
            </w:r>
            <w:r w:rsidR="00630BD7">
              <w:rPr>
                <w:noProof/>
                <w:webHidden/>
              </w:rPr>
              <w:tab/>
            </w:r>
            <w:r w:rsidR="00630BD7">
              <w:rPr>
                <w:noProof/>
                <w:webHidden/>
              </w:rPr>
              <w:fldChar w:fldCharType="begin"/>
            </w:r>
            <w:r w:rsidR="00630BD7">
              <w:rPr>
                <w:noProof/>
                <w:webHidden/>
              </w:rPr>
              <w:instrText xml:space="preserve"> PAGEREF _Toc136505524 \h </w:instrText>
            </w:r>
            <w:r w:rsidR="00630BD7">
              <w:rPr>
                <w:noProof/>
                <w:webHidden/>
              </w:rPr>
            </w:r>
            <w:r w:rsidR="00630BD7">
              <w:rPr>
                <w:noProof/>
                <w:webHidden/>
              </w:rPr>
              <w:fldChar w:fldCharType="separate"/>
            </w:r>
            <w:r w:rsidR="00630BD7">
              <w:rPr>
                <w:noProof/>
                <w:webHidden/>
              </w:rPr>
              <w:t>5</w:t>
            </w:r>
            <w:r w:rsidR="00630BD7">
              <w:rPr>
                <w:noProof/>
                <w:webHidden/>
              </w:rPr>
              <w:fldChar w:fldCharType="end"/>
            </w:r>
          </w:hyperlink>
        </w:p>
        <w:p w14:paraId="43F3FB82" w14:textId="56F6CD4C" w:rsidR="00630BD7" w:rsidRDefault="0087799E">
          <w:pPr>
            <w:pStyle w:val="TOC1"/>
            <w:tabs>
              <w:tab w:val="right" w:leader="dot" w:pos="9060"/>
            </w:tabs>
            <w:rPr>
              <w:rFonts w:eastAsiaTheme="minorEastAsia" w:cstheme="minorBidi"/>
              <w:noProof/>
              <w:szCs w:val="22"/>
            </w:rPr>
          </w:pPr>
          <w:hyperlink w:anchor="_Toc136505525" w:history="1">
            <w:r w:rsidR="00630BD7" w:rsidRPr="00F86AF5">
              <w:rPr>
                <w:rStyle w:val="Hyperlink"/>
                <w:noProof/>
              </w:rPr>
              <w:t>Workforce</w:t>
            </w:r>
            <w:r w:rsidR="00630BD7">
              <w:rPr>
                <w:noProof/>
                <w:webHidden/>
              </w:rPr>
              <w:tab/>
            </w:r>
            <w:r w:rsidR="00630BD7">
              <w:rPr>
                <w:noProof/>
                <w:webHidden/>
              </w:rPr>
              <w:fldChar w:fldCharType="begin"/>
            </w:r>
            <w:r w:rsidR="00630BD7">
              <w:rPr>
                <w:noProof/>
                <w:webHidden/>
              </w:rPr>
              <w:instrText xml:space="preserve"> PAGEREF _Toc136505525 \h </w:instrText>
            </w:r>
            <w:r w:rsidR="00630BD7">
              <w:rPr>
                <w:noProof/>
                <w:webHidden/>
              </w:rPr>
            </w:r>
            <w:r w:rsidR="00630BD7">
              <w:rPr>
                <w:noProof/>
                <w:webHidden/>
              </w:rPr>
              <w:fldChar w:fldCharType="separate"/>
            </w:r>
            <w:r w:rsidR="00630BD7">
              <w:rPr>
                <w:noProof/>
                <w:webHidden/>
              </w:rPr>
              <w:t>6</w:t>
            </w:r>
            <w:r w:rsidR="00630BD7">
              <w:rPr>
                <w:noProof/>
                <w:webHidden/>
              </w:rPr>
              <w:fldChar w:fldCharType="end"/>
            </w:r>
          </w:hyperlink>
        </w:p>
        <w:p w14:paraId="02048F9C" w14:textId="61D7B3DE" w:rsidR="00630BD7" w:rsidRDefault="0087799E">
          <w:pPr>
            <w:pStyle w:val="TOC1"/>
            <w:tabs>
              <w:tab w:val="right" w:leader="dot" w:pos="9060"/>
            </w:tabs>
            <w:rPr>
              <w:rFonts w:eastAsiaTheme="minorEastAsia" w:cstheme="minorBidi"/>
              <w:noProof/>
              <w:szCs w:val="22"/>
            </w:rPr>
          </w:pPr>
          <w:hyperlink w:anchor="_Toc136505526" w:history="1">
            <w:r w:rsidR="00630BD7" w:rsidRPr="00F86AF5">
              <w:rPr>
                <w:rStyle w:val="Hyperlink"/>
                <w:noProof/>
              </w:rPr>
              <w:t>Alcohol and Other Drugs</w:t>
            </w:r>
            <w:r w:rsidR="00630BD7">
              <w:rPr>
                <w:noProof/>
                <w:webHidden/>
              </w:rPr>
              <w:tab/>
            </w:r>
            <w:r w:rsidR="00630BD7">
              <w:rPr>
                <w:noProof/>
                <w:webHidden/>
              </w:rPr>
              <w:fldChar w:fldCharType="begin"/>
            </w:r>
            <w:r w:rsidR="00630BD7">
              <w:rPr>
                <w:noProof/>
                <w:webHidden/>
              </w:rPr>
              <w:instrText xml:space="preserve"> PAGEREF _Toc136505526 \h </w:instrText>
            </w:r>
            <w:r w:rsidR="00630BD7">
              <w:rPr>
                <w:noProof/>
                <w:webHidden/>
              </w:rPr>
            </w:r>
            <w:r w:rsidR="00630BD7">
              <w:rPr>
                <w:noProof/>
                <w:webHidden/>
              </w:rPr>
              <w:fldChar w:fldCharType="separate"/>
            </w:r>
            <w:r w:rsidR="00630BD7">
              <w:rPr>
                <w:noProof/>
                <w:webHidden/>
              </w:rPr>
              <w:t>7</w:t>
            </w:r>
            <w:r w:rsidR="00630BD7">
              <w:rPr>
                <w:noProof/>
                <w:webHidden/>
              </w:rPr>
              <w:fldChar w:fldCharType="end"/>
            </w:r>
          </w:hyperlink>
        </w:p>
        <w:p w14:paraId="0405FDEF" w14:textId="0EB1151E" w:rsidR="00630BD7" w:rsidRDefault="0087799E">
          <w:pPr>
            <w:pStyle w:val="TOC1"/>
            <w:tabs>
              <w:tab w:val="right" w:leader="dot" w:pos="9060"/>
            </w:tabs>
            <w:rPr>
              <w:rFonts w:eastAsiaTheme="minorEastAsia" w:cstheme="minorBidi"/>
              <w:noProof/>
              <w:szCs w:val="22"/>
            </w:rPr>
          </w:pPr>
          <w:hyperlink w:anchor="_Toc136505527" w:history="1">
            <w:r w:rsidR="00630BD7" w:rsidRPr="00F86AF5">
              <w:rPr>
                <w:rStyle w:val="Hyperlink"/>
                <w:noProof/>
              </w:rPr>
              <w:t>General Practices</w:t>
            </w:r>
            <w:r w:rsidR="00630BD7">
              <w:rPr>
                <w:noProof/>
                <w:webHidden/>
              </w:rPr>
              <w:tab/>
            </w:r>
            <w:r w:rsidR="00630BD7">
              <w:rPr>
                <w:noProof/>
                <w:webHidden/>
              </w:rPr>
              <w:fldChar w:fldCharType="begin"/>
            </w:r>
            <w:r w:rsidR="00630BD7">
              <w:rPr>
                <w:noProof/>
                <w:webHidden/>
              </w:rPr>
              <w:instrText xml:space="preserve"> PAGEREF _Toc136505527 \h </w:instrText>
            </w:r>
            <w:r w:rsidR="00630BD7">
              <w:rPr>
                <w:noProof/>
                <w:webHidden/>
              </w:rPr>
            </w:r>
            <w:r w:rsidR="00630BD7">
              <w:rPr>
                <w:noProof/>
                <w:webHidden/>
              </w:rPr>
              <w:fldChar w:fldCharType="separate"/>
            </w:r>
            <w:r w:rsidR="00630BD7">
              <w:rPr>
                <w:noProof/>
                <w:webHidden/>
              </w:rPr>
              <w:t>8</w:t>
            </w:r>
            <w:r w:rsidR="00630BD7">
              <w:rPr>
                <w:noProof/>
                <w:webHidden/>
              </w:rPr>
              <w:fldChar w:fldCharType="end"/>
            </w:r>
          </w:hyperlink>
        </w:p>
        <w:p w14:paraId="74EB7E62" w14:textId="21841EA4" w:rsidR="00630BD7" w:rsidRDefault="0087799E">
          <w:pPr>
            <w:pStyle w:val="TOC2"/>
            <w:rPr>
              <w:rFonts w:eastAsiaTheme="minorEastAsia" w:cstheme="minorBidi"/>
              <w:noProof/>
              <w:szCs w:val="22"/>
            </w:rPr>
          </w:pPr>
          <w:hyperlink w:anchor="_Toc136505528" w:history="1">
            <w:r w:rsidR="00630BD7" w:rsidRPr="00F86AF5">
              <w:rPr>
                <w:rStyle w:val="Hyperlink"/>
                <w:noProof/>
              </w:rPr>
              <w:t>Accredited General Practices</w:t>
            </w:r>
            <w:r w:rsidR="00630BD7">
              <w:rPr>
                <w:noProof/>
                <w:webHidden/>
              </w:rPr>
              <w:tab/>
            </w:r>
            <w:r w:rsidR="00630BD7">
              <w:rPr>
                <w:noProof/>
                <w:webHidden/>
              </w:rPr>
              <w:fldChar w:fldCharType="begin"/>
            </w:r>
            <w:r w:rsidR="00630BD7">
              <w:rPr>
                <w:noProof/>
                <w:webHidden/>
              </w:rPr>
              <w:instrText xml:space="preserve"> PAGEREF _Toc136505528 \h </w:instrText>
            </w:r>
            <w:r w:rsidR="00630BD7">
              <w:rPr>
                <w:noProof/>
                <w:webHidden/>
              </w:rPr>
            </w:r>
            <w:r w:rsidR="00630BD7">
              <w:rPr>
                <w:noProof/>
                <w:webHidden/>
              </w:rPr>
              <w:fldChar w:fldCharType="separate"/>
            </w:r>
            <w:r w:rsidR="00630BD7">
              <w:rPr>
                <w:noProof/>
                <w:webHidden/>
              </w:rPr>
              <w:t>8</w:t>
            </w:r>
            <w:r w:rsidR="00630BD7">
              <w:rPr>
                <w:noProof/>
                <w:webHidden/>
              </w:rPr>
              <w:fldChar w:fldCharType="end"/>
            </w:r>
          </w:hyperlink>
        </w:p>
        <w:p w14:paraId="095C6E28" w14:textId="20A92F87" w:rsidR="00630BD7" w:rsidRDefault="0087799E">
          <w:pPr>
            <w:pStyle w:val="TOC2"/>
            <w:rPr>
              <w:rFonts w:eastAsiaTheme="minorEastAsia" w:cstheme="minorBidi"/>
              <w:noProof/>
              <w:szCs w:val="22"/>
            </w:rPr>
          </w:pPr>
          <w:hyperlink w:anchor="_Toc136505529" w:history="1">
            <w:r w:rsidR="00630BD7" w:rsidRPr="00F86AF5">
              <w:rPr>
                <w:rStyle w:val="Hyperlink"/>
                <w:noProof/>
              </w:rPr>
              <w:t>Practice Incentive Program After Hours Payments</w:t>
            </w:r>
            <w:r w:rsidR="00630BD7">
              <w:rPr>
                <w:noProof/>
                <w:webHidden/>
              </w:rPr>
              <w:tab/>
            </w:r>
            <w:r w:rsidR="00630BD7">
              <w:rPr>
                <w:noProof/>
                <w:webHidden/>
              </w:rPr>
              <w:fldChar w:fldCharType="begin"/>
            </w:r>
            <w:r w:rsidR="00630BD7">
              <w:rPr>
                <w:noProof/>
                <w:webHidden/>
              </w:rPr>
              <w:instrText xml:space="preserve"> PAGEREF _Toc136505529 \h </w:instrText>
            </w:r>
            <w:r w:rsidR="00630BD7">
              <w:rPr>
                <w:noProof/>
                <w:webHidden/>
              </w:rPr>
            </w:r>
            <w:r w:rsidR="00630BD7">
              <w:rPr>
                <w:noProof/>
                <w:webHidden/>
              </w:rPr>
              <w:fldChar w:fldCharType="separate"/>
            </w:r>
            <w:r w:rsidR="00630BD7">
              <w:rPr>
                <w:noProof/>
                <w:webHidden/>
              </w:rPr>
              <w:t>9</w:t>
            </w:r>
            <w:r w:rsidR="00630BD7">
              <w:rPr>
                <w:noProof/>
                <w:webHidden/>
              </w:rPr>
              <w:fldChar w:fldCharType="end"/>
            </w:r>
          </w:hyperlink>
        </w:p>
        <w:p w14:paraId="39FAA2C3" w14:textId="6337CFD6" w:rsidR="00630BD7" w:rsidRDefault="0087799E">
          <w:pPr>
            <w:pStyle w:val="TOC1"/>
            <w:tabs>
              <w:tab w:val="right" w:leader="dot" w:pos="9060"/>
            </w:tabs>
            <w:rPr>
              <w:rFonts w:eastAsiaTheme="minorEastAsia" w:cstheme="minorBidi"/>
              <w:noProof/>
              <w:szCs w:val="22"/>
            </w:rPr>
          </w:pPr>
          <w:hyperlink w:anchor="_Toc136505530" w:history="1">
            <w:r w:rsidR="00630BD7" w:rsidRPr="00F86AF5">
              <w:rPr>
                <w:rStyle w:val="Hyperlink"/>
                <w:noProof/>
              </w:rPr>
              <w:t>Digital Health</w:t>
            </w:r>
            <w:r w:rsidR="00630BD7">
              <w:rPr>
                <w:noProof/>
                <w:webHidden/>
              </w:rPr>
              <w:tab/>
            </w:r>
            <w:r w:rsidR="00630BD7">
              <w:rPr>
                <w:noProof/>
                <w:webHidden/>
              </w:rPr>
              <w:fldChar w:fldCharType="begin"/>
            </w:r>
            <w:r w:rsidR="00630BD7">
              <w:rPr>
                <w:noProof/>
                <w:webHidden/>
              </w:rPr>
              <w:instrText xml:space="preserve"> PAGEREF _Toc136505530 \h </w:instrText>
            </w:r>
            <w:r w:rsidR="00630BD7">
              <w:rPr>
                <w:noProof/>
                <w:webHidden/>
              </w:rPr>
            </w:r>
            <w:r w:rsidR="00630BD7">
              <w:rPr>
                <w:noProof/>
                <w:webHidden/>
              </w:rPr>
              <w:fldChar w:fldCharType="separate"/>
            </w:r>
            <w:r w:rsidR="00630BD7">
              <w:rPr>
                <w:noProof/>
                <w:webHidden/>
              </w:rPr>
              <w:t>9</w:t>
            </w:r>
            <w:r w:rsidR="00630BD7">
              <w:rPr>
                <w:noProof/>
                <w:webHidden/>
              </w:rPr>
              <w:fldChar w:fldCharType="end"/>
            </w:r>
          </w:hyperlink>
        </w:p>
        <w:p w14:paraId="5F42EF73" w14:textId="3B4D6ED6" w:rsidR="00630BD7" w:rsidRDefault="0087799E">
          <w:pPr>
            <w:pStyle w:val="TOC1"/>
            <w:tabs>
              <w:tab w:val="right" w:leader="dot" w:pos="9060"/>
            </w:tabs>
            <w:rPr>
              <w:rFonts w:eastAsiaTheme="minorEastAsia" w:cstheme="minorBidi"/>
              <w:noProof/>
              <w:szCs w:val="22"/>
            </w:rPr>
          </w:pPr>
          <w:hyperlink w:anchor="_Toc136505531" w:history="1">
            <w:r w:rsidR="00630BD7" w:rsidRPr="00F86AF5">
              <w:rPr>
                <w:rStyle w:val="Hyperlink"/>
                <w:noProof/>
              </w:rPr>
              <w:t>My Health Record (MHR)</w:t>
            </w:r>
            <w:r w:rsidR="00630BD7">
              <w:rPr>
                <w:noProof/>
                <w:webHidden/>
              </w:rPr>
              <w:tab/>
            </w:r>
            <w:r w:rsidR="00630BD7">
              <w:rPr>
                <w:noProof/>
                <w:webHidden/>
              </w:rPr>
              <w:fldChar w:fldCharType="begin"/>
            </w:r>
            <w:r w:rsidR="00630BD7">
              <w:rPr>
                <w:noProof/>
                <w:webHidden/>
              </w:rPr>
              <w:instrText xml:space="preserve"> PAGEREF _Toc136505531 \h </w:instrText>
            </w:r>
            <w:r w:rsidR="00630BD7">
              <w:rPr>
                <w:noProof/>
                <w:webHidden/>
              </w:rPr>
            </w:r>
            <w:r w:rsidR="00630BD7">
              <w:rPr>
                <w:noProof/>
                <w:webHidden/>
              </w:rPr>
              <w:fldChar w:fldCharType="separate"/>
            </w:r>
            <w:r w:rsidR="00630BD7">
              <w:rPr>
                <w:noProof/>
                <w:webHidden/>
              </w:rPr>
              <w:t>11</w:t>
            </w:r>
            <w:r w:rsidR="00630BD7">
              <w:rPr>
                <w:noProof/>
                <w:webHidden/>
              </w:rPr>
              <w:fldChar w:fldCharType="end"/>
            </w:r>
          </w:hyperlink>
        </w:p>
        <w:p w14:paraId="25E8FC1A" w14:textId="7DD12BD5" w:rsidR="00630BD7" w:rsidRDefault="0087799E">
          <w:pPr>
            <w:pStyle w:val="TOC2"/>
            <w:rPr>
              <w:rFonts w:eastAsiaTheme="minorEastAsia" w:cstheme="minorBidi"/>
              <w:noProof/>
              <w:szCs w:val="22"/>
            </w:rPr>
          </w:pPr>
          <w:hyperlink w:anchor="_Toc136505532" w:history="1">
            <w:r w:rsidR="00630BD7" w:rsidRPr="00F86AF5">
              <w:rPr>
                <w:rStyle w:val="Hyperlink"/>
                <w:noProof/>
              </w:rPr>
              <w:t>Number of General Practices Uploading to MHR</w:t>
            </w:r>
            <w:r w:rsidR="00630BD7">
              <w:rPr>
                <w:noProof/>
                <w:webHidden/>
              </w:rPr>
              <w:tab/>
            </w:r>
            <w:r w:rsidR="00630BD7">
              <w:rPr>
                <w:noProof/>
                <w:webHidden/>
              </w:rPr>
              <w:fldChar w:fldCharType="begin"/>
            </w:r>
            <w:r w:rsidR="00630BD7">
              <w:rPr>
                <w:noProof/>
                <w:webHidden/>
              </w:rPr>
              <w:instrText xml:space="preserve"> PAGEREF _Toc136505532 \h </w:instrText>
            </w:r>
            <w:r w:rsidR="00630BD7">
              <w:rPr>
                <w:noProof/>
                <w:webHidden/>
              </w:rPr>
            </w:r>
            <w:r w:rsidR="00630BD7">
              <w:rPr>
                <w:noProof/>
                <w:webHidden/>
              </w:rPr>
              <w:fldChar w:fldCharType="separate"/>
            </w:r>
            <w:r w:rsidR="00630BD7">
              <w:rPr>
                <w:noProof/>
                <w:webHidden/>
              </w:rPr>
              <w:t>11</w:t>
            </w:r>
            <w:r w:rsidR="00630BD7">
              <w:rPr>
                <w:noProof/>
                <w:webHidden/>
              </w:rPr>
              <w:fldChar w:fldCharType="end"/>
            </w:r>
          </w:hyperlink>
        </w:p>
        <w:p w14:paraId="761C2571" w14:textId="639F70FD" w:rsidR="00630BD7" w:rsidRDefault="0087799E">
          <w:pPr>
            <w:pStyle w:val="TOC2"/>
            <w:rPr>
              <w:rFonts w:eastAsiaTheme="minorEastAsia" w:cstheme="minorBidi"/>
              <w:noProof/>
              <w:szCs w:val="22"/>
            </w:rPr>
          </w:pPr>
          <w:hyperlink w:anchor="_Toc136505533" w:history="1">
            <w:r w:rsidR="00630BD7" w:rsidRPr="00F86AF5">
              <w:rPr>
                <w:rStyle w:val="Hyperlink"/>
                <w:noProof/>
              </w:rPr>
              <w:t>Cross Views of MHR</w:t>
            </w:r>
            <w:r w:rsidR="00630BD7">
              <w:rPr>
                <w:noProof/>
                <w:webHidden/>
              </w:rPr>
              <w:tab/>
            </w:r>
            <w:r w:rsidR="00630BD7">
              <w:rPr>
                <w:noProof/>
                <w:webHidden/>
              </w:rPr>
              <w:fldChar w:fldCharType="begin"/>
            </w:r>
            <w:r w:rsidR="00630BD7">
              <w:rPr>
                <w:noProof/>
                <w:webHidden/>
              </w:rPr>
              <w:instrText xml:space="preserve"> PAGEREF _Toc136505533 \h </w:instrText>
            </w:r>
            <w:r w:rsidR="00630BD7">
              <w:rPr>
                <w:noProof/>
                <w:webHidden/>
              </w:rPr>
            </w:r>
            <w:r w:rsidR="00630BD7">
              <w:rPr>
                <w:noProof/>
                <w:webHidden/>
              </w:rPr>
              <w:fldChar w:fldCharType="separate"/>
            </w:r>
            <w:r w:rsidR="00630BD7">
              <w:rPr>
                <w:noProof/>
                <w:webHidden/>
              </w:rPr>
              <w:t>12</w:t>
            </w:r>
            <w:r w:rsidR="00630BD7">
              <w:rPr>
                <w:noProof/>
                <w:webHidden/>
              </w:rPr>
              <w:fldChar w:fldCharType="end"/>
            </w:r>
          </w:hyperlink>
        </w:p>
        <w:p w14:paraId="30D56281" w14:textId="271A6516" w:rsidR="00630BD7" w:rsidRDefault="0087799E">
          <w:pPr>
            <w:pStyle w:val="TOC1"/>
            <w:tabs>
              <w:tab w:val="right" w:leader="dot" w:pos="9060"/>
            </w:tabs>
            <w:rPr>
              <w:rFonts w:eastAsiaTheme="minorEastAsia" w:cstheme="minorBidi"/>
              <w:noProof/>
              <w:szCs w:val="22"/>
            </w:rPr>
          </w:pPr>
          <w:hyperlink w:anchor="_Toc136505534" w:history="1">
            <w:r w:rsidR="00630BD7" w:rsidRPr="00F86AF5">
              <w:rPr>
                <w:rStyle w:val="Hyperlink"/>
                <w:noProof/>
              </w:rPr>
              <w:t>First Nations Health</w:t>
            </w:r>
            <w:r w:rsidR="00630BD7">
              <w:rPr>
                <w:noProof/>
                <w:webHidden/>
              </w:rPr>
              <w:tab/>
            </w:r>
            <w:r w:rsidR="00630BD7">
              <w:rPr>
                <w:noProof/>
                <w:webHidden/>
              </w:rPr>
              <w:fldChar w:fldCharType="begin"/>
            </w:r>
            <w:r w:rsidR="00630BD7">
              <w:rPr>
                <w:noProof/>
                <w:webHidden/>
              </w:rPr>
              <w:instrText xml:space="preserve"> PAGEREF _Toc136505534 \h </w:instrText>
            </w:r>
            <w:r w:rsidR="00630BD7">
              <w:rPr>
                <w:noProof/>
                <w:webHidden/>
              </w:rPr>
            </w:r>
            <w:r w:rsidR="00630BD7">
              <w:rPr>
                <w:noProof/>
                <w:webHidden/>
              </w:rPr>
              <w:fldChar w:fldCharType="separate"/>
            </w:r>
            <w:r w:rsidR="00630BD7">
              <w:rPr>
                <w:noProof/>
                <w:webHidden/>
              </w:rPr>
              <w:t>14</w:t>
            </w:r>
            <w:r w:rsidR="00630BD7">
              <w:rPr>
                <w:noProof/>
                <w:webHidden/>
              </w:rPr>
              <w:fldChar w:fldCharType="end"/>
            </w:r>
          </w:hyperlink>
        </w:p>
        <w:p w14:paraId="0530AB7C" w14:textId="06503303" w:rsidR="00630BD7" w:rsidRDefault="0087799E">
          <w:pPr>
            <w:pStyle w:val="TOC2"/>
            <w:rPr>
              <w:rFonts w:eastAsiaTheme="minorEastAsia" w:cstheme="minorBidi"/>
              <w:noProof/>
              <w:szCs w:val="22"/>
            </w:rPr>
          </w:pPr>
          <w:hyperlink w:anchor="_Toc136505535" w:history="1">
            <w:r w:rsidR="00630BD7" w:rsidRPr="00F86AF5">
              <w:rPr>
                <w:rStyle w:val="Hyperlink"/>
                <w:noProof/>
              </w:rPr>
              <w:t>First Nations Health Assessments</w:t>
            </w:r>
            <w:r w:rsidR="00630BD7">
              <w:rPr>
                <w:noProof/>
                <w:webHidden/>
              </w:rPr>
              <w:tab/>
            </w:r>
            <w:r w:rsidR="00630BD7">
              <w:rPr>
                <w:noProof/>
                <w:webHidden/>
              </w:rPr>
              <w:fldChar w:fldCharType="begin"/>
            </w:r>
            <w:r w:rsidR="00630BD7">
              <w:rPr>
                <w:noProof/>
                <w:webHidden/>
              </w:rPr>
              <w:instrText xml:space="preserve"> PAGEREF _Toc136505535 \h </w:instrText>
            </w:r>
            <w:r w:rsidR="00630BD7">
              <w:rPr>
                <w:noProof/>
                <w:webHidden/>
              </w:rPr>
            </w:r>
            <w:r w:rsidR="00630BD7">
              <w:rPr>
                <w:noProof/>
                <w:webHidden/>
              </w:rPr>
              <w:fldChar w:fldCharType="separate"/>
            </w:r>
            <w:r w:rsidR="00630BD7">
              <w:rPr>
                <w:noProof/>
                <w:webHidden/>
              </w:rPr>
              <w:t>16</w:t>
            </w:r>
            <w:r w:rsidR="00630BD7">
              <w:rPr>
                <w:noProof/>
                <w:webHidden/>
              </w:rPr>
              <w:fldChar w:fldCharType="end"/>
            </w:r>
          </w:hyperlink>
        </w:p>
        <w:p w14:paraId="372F6580" w14:textId="55D2499D" w:rsidR="00630BD7" w:rsidRDefault="0087799E">
          <w:pPr>
            <w:pStyle w:val="TOC1"/>
            <w:tabs>
              <w:tab w:val="right" w:leader="dot" w:pos="9060"/>
            </w:tabs>
            <w:rPr>
              <w:rFonts w:eastAsiaTheme="minorEastAsia" w:cstheme="minorBidi"/>
              <w:noProof/>
              <w:szCs w:val="22"/>
            </w:rPr>
          </w:pPr>
          <w:hyperlink w:anchor="_Toc136505536" w:history="1">
            <w:r w:rsidR="00630BD7" w:rsidRPr="00F86AF5">
              <w:rPr>
                <w:rStyle w:val="Hyperlink"/>
                <w:noProof/>
              </w:rPr>
              <w:t>Chronic Care</w:t>
            </w:r>
            <w:r w:rsidR="00630BD7">
              <w:rPr>
                <w:noProof/>
                <w:webHidden/>
              </w:rPr>
              <w:tab/>
            </w:r>
            <w:r w:rsidR="00630BD7">
              <w:rPr>
                <w:noProof/>
                <w:webHidden/>
              </w:rPr>
              <w:fldChar w:fldCharType="begin"/>
            </w:r>
            <w:r w:rsidR="00630BD7">
              <w:rPr>
                <w:noProof/>
                <w:webHidden/>
              </w:rPr>
              <w:instrText xml:space="preserve"> PAGEREF _Toc136505536 \h </w:instrText>
            </w:r>
            <w:r w:rsidR="00630BD7">
              <w:rPr>
                <w:noProof/>
                <w:webHidden/>
              </w:rPr>
            </w:r>
            <w:r w:rsidR="00630BD7">
              <w:rPr>
                <w:noProof/>
                <w:webHidden/>
              </w:rPr>
              <w:fldChar w:fldCharType="separate"/>
            </w:r>
            <w:r w:rsidR="00630BD7">
              <w:rPr>
                <w:noProof/>
                <w:webHidden/>
              </w:rPr>
              <w:t>17</w:t>
            </w:r>
            <w:r w:rsidR="00630BD7">
              <w:rPr>
                <w:noProof/>
                <w:webHidden/>
              </w:rPr>
              <w:fldChar w:fldCharType="end"/>
            </w:r>
          </w:hyperlink>
        </w:p>
        <w:p w14:paraId="3055B4D8" w14:textId="4971CE45" w:rsidR="00630BD7" w:rsidRDefault="0087799E">
          <w:pPr>
            <w:pStyle w:val="TOC1"/>
            <w:tabs>
              <w:tab w:val="right" w:leader="dot" w:pos="9060"/>
            </w:tabs>
            <w:rPr>
              <w:rFonts w:eastAsiaTheme="minorEastAsia" w:cstheme="minorBidi"/>
              <w:noProof/>
              <w:szCs w:val="22"/>
            </w:rPr>
          </w:pPr>
          <w:hyperlink w:anchor="_Toc136505537" w:history="1">
            <w:r w:rsidR="00630BD7" w:rsidRPr="00F86AF5">
              <w:rPr>
                <w:rStyle w:val="Hyperlink"/>
                <w:noProof/>
              </w:rPr>
              <w:t>Aged Care</w:t>
            </w:r>
            <w:r w:rsidR="00630BD7">
              <w:rPr>
                <w:noProof/>
                <w:webHidden/>
              </w:rPr>
              <w:tab/>
            </w:r>
            <w:r w:rsidR="00630BD7">
              <w:rPr>
                <w:noProof/>
                <w:webHidden/>
              </w:rPr>
              <w:fldChar w:fldCharType="begin"/>
            </w:r>
            <w:r w:rsidR="00630BD7">
              <w:rPr>
                <w:noProof/>
                <w:webHidden/>
              </w:rPr>
              <w:instrText xml:space="preserve"> PAGEREF _Toc136505537 \h </w:instrText>
            </w:r>
            <w:r w:rsidR="00630BD7">
              <w:rPr>
                <w:noProof/>
                <w:webHidden/>
              </w:rPr>
            </w:r>
            <w:r w:rsidR="00630BD7">
              <w:rPr>
                <w:noProof/>
                <w:webHidden/>
              </w:rPr>
              <w:fldChar w:fldCharType="separate"/>
            </w:r>
            <w:r w:rsidR="00630BD7">
              <w:rPr>
                <w:noProof/>
                <w:webHidden/>
              </w:rPr>
              <w:t>19</w:t>
            </w:r>
            <w:r w:rsidR="00630BD7">
              <w:rPr>
                <w:noProof/>
                <w:webHidden/>
              </w:rPr>
              <w:fldChar w:fldCharType="end"/>
            </w:r>
          </w:hyperlink>
        </w:p>
        <w:p w14:paraId="63079809" w14:textId="60634ED5" w:rsidR="00630BD7" w:rsidRDefault="0087799E">
          <w:pPr>
            <w:pStyle w:val="TOC1"/>
            <w:tabs>
              <w:tab w:val="right" w:leader="dot" w:pos="9060"/>
            </w:tabs>
            <w:rPr>
              <w:rFonts w:eastAsiaTheme="minorEastAsia" w:cstheme="minorBidi"/>
              <w:noProof/>
              <w:szCs w:val="22"/>
            </w:rPr>
          </w:pPr>
          <w:hyperlink w:anchor="_Toc136505538" w:history="1">
            <w:r w:rsidR="00630BD7" w:rsidRPr="00F86AF5">
              <w:rPr>
                <w:rStyle w:val="Hyperlink"/>
                <w:noProof/>
              </w:rPr>
              <w:t>Mental Health</w:t>
            </w:r>
            <w:r w:rsidR="00630BD7">
              <w:rPr>
                <w:noProof/>
                <w:webHidden/>
              </w:rPr>
              <w:tab/>
            </w:r>
            <w:r w:rsidR="00630BD7">
              <w:rPr>
                <w:noProof/>
                <w:webHidden/>
              </w:rPr>
              <w:fldChar w:fldCharType="begin"/>
            </w:r>
            <w:r w:rsidR="00630BD7">
              <w:rPr>
                <w:noProof/>
                <w:webHidden/>
              </w:rPr>
              <w:instrText xml:space="preserve"> PAGEREF _Toc136505538 \h </w:instrText>
            </w:r>
            <w:r w:rsidR="00630BD7">
              <w:rPr>
                <w:noProof/>
                <w:webHidden/>
              </w:rPr>
            </w:r>
            <w:r w:rsidR="00630BD7">
              <w:rPr>
                <w:noProof/>
                <w:webHidden/>
              </w:rPr>
              <w:fldChar w:fldCharType="separate"/>
            </w:r>
            <w:r w:rsidR="00630BD7">
              <w:rPr>
                <w:noProof/>
                <w:webHidden/>
              </w:rPr>
              <w:t>21</w:t>
            </w:r>
            <w:r w:rsidR="00630BD7">
              <w:rPr>
                <w:noProof/>
                <w:webHidden/>
              </w:rPr>
              <w:fldChar w:fldCharType="end"/>
            </w:r>
          </w:hyperlink>
        </w:p>
        <w:p w14:paraId="35607BBE" w14:textId="63A03CC6" w:rsidR="00630BD7" w:rsidRDefault="0087799E">
          <w:pPr>
            <w:pStyle w:val="TOC1"/>
            <w:tabs>
              <w:tab w:val="right" w:leader="dot" w:pos="9060"/>
            </w:tabs>
            <w:rPr>
              <w:rFonts w:eastAsiaTheme="minorEastAsia" w:cstheme="minorBidi"/>
              <w:noProof/>
              <w:szCs w:val="22"/>
            </w:rPr>
          </w:pPr>
          <w:hyperlink w:anchor="_Toc136505539" w:history="1">
            <w:r w:rsidR="00630BD7" w:rsidRPr="00F86AF5">
              <w:rPr>
                <w:rStyle w:val="Hyperlink"/>
                <w:noProof/>
              </w:rPr>
              <w:t>Population Health</w:t>
            </w:r>
            <w:r w:rsidR="00630BD7">
              <w:rPr>
                <w:noProof/>
                <w:webHidden/>
              </w:rPr>
              <w:tab/>
            </w:r>
            <w:r w:rsidR="00630BD7">
              <w:rPr>
                <w:noProof/>
                <w:webHidden/>
              </w:rPr>
              <w:fldChar w:fldCharType="begin"/>
            </w:r>
            <w:r w:rsidR="00630BD7">
              <w:rPr>
                <w:noProof/>
                <w:webHidden/>
              </w:rPr>
              <w:instrText xml:space="preserve"> PAGEREF _Toc136505539 \h </w:instrText>
            </w:r>
            <w:r w:rsidR="00630BD7">
              <w:rPr>
                <w:noProof/>
                <w:webHidden/>
              </w:rPr>
            </w:r>
            <w:r w:rsidR="00630BD7">
              <w:rPr>
                <w:noProof/>
                <w:webHidden/>
              </w:rPr>
              <w:fldChar w:fldCharType="separate"/>
            </w:r>
            <w:r w:rsidR="00630BD7">
              <w:rPr>
                <w:noProof/>
                <w:webHidden/>
              </w:rPr>
              <w:t>23</w:t>
            </w:r>
            <w:r w:rsidR="00630BD7">
              <w:rPr>
                <w:noProof/>
                <w:webHidden/>
              </w:rPr>
              <w:fldChar w:fldCharType="end"/>
            </w:r>
          </w:hyperlink>
        </w:p>
        <w:p w14:paraId="51780622" w14:textId="2B5ADB5E" w:rsidR="00630BD7" w:rsidRDefault="0087799E">
          <w:pPr>
            <w:pStyle w:val="TOC2"/>
            <w:rPr>
              <w:rFonts w:eastAsiaTheme="minorEastAsia" w:cstheme="minorBidi"/>
              <w:noProof/>
              <w:szCs w:val="22"/>
            </w:rPr>
          </w:pPr>
          <w:hyperlink w:anchor="_Toc136505540" w:history="1">
            <w:r w:rsidR="00630BD7" w:rsidRPr="00F86AF5">
              <w:rPr>
                <w:rStyle w:val="Hyperlink"/>
                <w:noProof/>
              </w:rPr>
              <w:t>Childhood Vaccination</w:t>
            </w:r>
            <w:r w:rsidR="00630BD7">
              <w:rPr>
                <w:noProof/>
                <w:webHidden/>
              </w:rPr>
              <w:tab/>
            </w:r>
            <w:r w:rsidR="00630BD7">
              <w:rPr>
                <w:noProof/>
                <w:webHidden/>
              </w:rPr>
              <w:fldChar w:fldCharType="begin"/>
            </w:r>
            <w:r w:rsidR="00630BD7">
              <w:rPr>
                <w:noProof/>
                <w:webHidden/>
              </w:rPr>
              <w:instrText xml:space="preserve"> PAGEREF _Toc136505540 \h </w:instrText>
            </w:r>
            <w:r w:rsidR="00630BD7">
              <w:rPr>
                <w:noProof/>
                <w:webHidden/>
              </w:rPr>
            </w:r>
            <w:r w:rsidR="00630BD7">
              <w:rPr>
                <w:noProof/>
                <w:webHidden/>
              </w:rPr>
              <w:fldChar w:fldCharType="separate"/>
            </w:r>
            <w:r w:rsidR="00630BD7">
              <w:rPr>
                <w:noProof/>
                <w:webHidden/>
              </w:rPr>
              <w:t>23</w:t>
            </w:r>
            <w:r w:rsidR="00630BD7">
              <w:rPr>
                <w:noProof/>
                <w:webHidden/>
              </w:rPr>
              <w:fldChar w:fldCharType="end"/>
            </w:r>
          </w:hyperlink>
        </w:p>
        <w:p w14:paraId="04902597" w14:textId="6868DCF3" w:rsidR="00630BD7" w:rsidRDefault="0087799E">
          <w:pPr>
            <w:pStyle w:val="TOC2"/>
            <w:rPr>
              <w:rFonts w:eastAsiaTheme="minorEastAsia" w:cstheme="minorBidi"/>
              <w:noProof/>
              <w:szCs w:val="22"/>
            </w:rPr>
          </w:pPr>
          <w:hyperlink w:anchor="_Toc136505541" w:history="1">
            <w:r w:rsidR="00630BD7" w:rsidRPr="00F86AF5">
              <w:rPr>
                <w:rStyle w:val="Hyperlink"/>
                <w:noProof/>
              </w:rPr>
              <w:t>Cancer Screening</w:t>
            </w:r>
            <w:r w:rsidR="00630BD7">
              <w:rPr>
                <w:noProof/>
                <w:webHidden/>
              </w:rPr>
              <w:tab/>
            </w:r>
            <w:r w:rsidR="00630BD7">
              <w:rPr>
                <w:noProof/>
                <w:webHidden/>
              </w:rPr>
              <w:fldChar w:fldCharType="begin"/>
            </w:r>
            <w:r w:rsidR="00630BD7">
              <w:rPr>
                <w:noProof/>
                <w:webHidden/>
              </w:rPr>
              <w:instrText xml:space="preserve"> PAGEREF _Toc136505541 \h </w:instrText>
            </w:r>
            <w:r w:rsidR="00630BD7">
              <w:rPr>
                <w:noProof/>
                <w:webHidden/>
              </w:rPr>
            </w:r>
            <w:r w:rsidR="00630BD7">
              <w:rPr>
                <w:noProof/>
                <w:webHidden/>
              </w:rPr>
              <w:fldChar w:fldCharType="separate"/>
            </w:r>
            <w:r w:rsidR="00630BD7">
              <w:rPr>
                <w:noProof/>
                <w:webHidden/>
              </w:rPr>
              <w:t>23</w:t>
            </w:r>
            <w:r w:rsidR="00630BD7">
              <w:rPr>
                <w:noProof/>
                <w:webHidden/>
              </w:rPr>
              <w:fldChar w:fldCharType="end"/>
            </w:r>
          </w:hyperlink>
        </w:p>
        <w:p w14:paraId="28FEC02A" w14:textId="0231E644" w:rsidR="00630BD7" w:rsidRDefault="0087799E">
          <w:pPr>
            <w:pStyle w:val="TOC3"/>
            <w:tabs>
              <w:tab w:val="right" w:leader="dot" w:pos="9060"/>
            </w:tabs>
            <w:rPr>
              <w:rFonts w:eastAsiaTheme="minorEastAsia" w:cstheme="minorBidi"/>
              <w:noProof/>
              <w:szCs w:val="22"/>
            </w:rPr>
          </w:pPr>
          <w:hyperlink w:anchor="_Toc136505542" w:history="1">
            <w:r w:rsidR="00630BD7" w:rsidRPr="00F86AF5">
              <w:rPr>
                <w:rStyle w:val="Hyperlink"/>
                <w:noProof/>
              </w:rPr>
              <w:t>Bowel Cancer Screening</w:t>
            </w:r>
            <w:r w:rsidR="00630BD7">
              <w:rPr>
                <w:noProof/>
                <w:webHidden/>
              </w:rPr>
              <w:tab/>
            </w:r>
            <w:r w:rsidR="00630BD7">
              <w:rPr>
                <w:noProof/>
                <w:webHidden/>
              </w:rPr>
              <w:fldChar w:fldCharType="begin"/>
            </w:r>
            <w:r w:rsidR="00630BD7">
              <w:rPr>
                <w:noProof/>
                <w:webHidden/>
              </w:rPr>
              <w:instrText xml:space="preserve"> PAGEREF _Toc136505542 \h </w:instrText>
            </w:r>
            <w:r w:rsidR="00630BD7">
              <w:rPr>
                <w:noProof/>
                <w:webHidden/>
              </w:rPr>
            </w:r>
            <w:r w:rsidR="00630BD7">
              <w:rPr>
                <w:noProof/>
                <w:webHidden/>
              </w:rPr>
              <w:fldChar w:fldCharType="separate"/>
            </w:r>
            <w:r w:rsidR="00630BD7">
              <w:rPr>
                <w:noProof/>
                <w:webHidden/>
              </w:rPr>
              <w:t>23</w:t>
            </w:r>
            <w:r w:rsidR="00630BD7">
              <w:rPr>
                <w:noProof/>
                <w:webHidden/>
              </w:rPr>
              <w:fldChar w:fldCharType="end"/>
            </w:r>
          </w:hyperlink>
        </w:p>
        <w:p w14:paraId="501EC879" w14:textId="557475E4" w:rsidR="00630BD7" w:rsidRDefault="0087799E">
          <w:pPr>
            <w:pStyle w:val="TOC3"/>
            <w:tabs>
              <w:tab w:val="right" w:leader="dot" w:pos="9060"/>
            </w:tabs>
            <w:rPr>
              <w:rFonts w:eastAsiaTheme="minorEastAsia" w:cstheme="minorBidi"/>
              <w:noProof/>
              <w:szCs w:val="22"/>
            </w:rPr>
          </w:pPr>
          <w:hyperlink w:anchor="_Toc136505543" w:history="1">
            <w:r w:rsidR="00630BD7" w:rsidRPr="00F86AF5">
              <w:rPr>
                <w:rStyle w:val="Hyperlink"/>
                <w:noProof/>
              </w:rPr>
              <w:t>Breast Cancer Screening</w:t>
            </w:r>
            <w:r w:rsidR="00630BD7">
              <w:rPr>
                <w:noProof/>
                <w:webHidden/>
              </w:rPr>
              <w:tab/>
            </w:r>
            <w:r w:rsidR="00630BD7">
              <w:rPr>
                <w:noProof/>
                <w:webHidden/>
              </w:rPr>
              <w:fldChar w:fldCharType="begin"/>
            </w:r>
            <w:r w:rsidR="00630BD7">
              <w:rPr>
                <w:noProof/>
                <w:webHidden/>
              </w:rPr>
              <w:instrText xml:space="preserve"> PAGEREF _Toc136505543 \h </w:instrText>
            </w:r>
            <w:r w:rsidR="00630BD7">
              <w:rPr>
                <w:noProof/>
                <w:webHidden/>
              </w:rPr>
            </w:r>
            <w:r w:rsidR="00630BD7">
              <w:rPr>
                <w:noProof/>
                <w:webHidden/>
              </w:rPr>
              <w:fldChar w:fldCharType="separate"/>
            </w:r>
            <w:r w:rsidR="00630BD7">
              <w:rPr>
                <w:noProof/>
                <w:webHidden/>
              </w:rPr>
              <w:t>25</w:t>
            </w:r>
            <w:r w:rsidR="00630BD7">
              <w:rPr>
                <w:noProof/>
                <w:webHidden/>
              </w:rPr>
              <w:fldChar w:fldCharType="end"/>
            </w:r>
          </w:hyperlink>
        </w:p>
        <w:p w14:paraId="47FDB328" w14:textId="53D540F1" w:rsidR="00630BD7" w:rsidRDefault="0087799E">
          <w:pPr>
            <w:pStyle w:val="TOC3"/>
            <w:tabs>
              <w:tab w:val="right" w:leader="dot" w:pos="9060"/>
            </w:tabs>
            <w:rPr>
              <w:rFonts w:eastAsiaTheme="minorEastAsia" w:cstheme="minorBidi"/>
              <w:noProof/>
              <w:szCs w:val="22"/>
            </w:rPr>
          </w:pPr>
          <w:hyperlink w:anchor="_Toc136505544" w:history="1">
            <w:r w:rsidR="00630BD7" w:rsidRPr="00F86AF5">
              <w:rPr>
                <w:rStyle w:val="Hyperlink"/>
                <w:noProof/>
              </w:rPr>
              <w:t>Cervical Cancer Screening</w:t>
            </w:r>
            <w:r w:rsidR="00630BD7">
              <w:rPr>
                <w:noProof/>
                <w:webHidden/>
              </w:rPr>
              <w:tab/>
            </w:r>
            <w:r w:rsidR="00630BD7">
              <w:rPr>
                <w:noProof/>
                <w:webHidden/>
              </w:rPr>
              <w:fldChar w:fldCharType="begin"/>
            </w:r>
            <w:r w:rsidR="00630BD7">
              <w:rPr>
                <w:noProof/>
                <w:webHidden/>
              </w:rPr>
              <w:instrText xml:space="preserve"> PAGEREF _Toc136505544 \h </w:instrText>
            </w:r>
            <w:r w:rsidR="00630BD7">
              <w:rPr>
                <w:noProof/>
                <w:webHidden/>
              </w:rPr>
            </w:r>
            <w:r w:rsidR="00630BD7">
              <w:rPr>
                <w:noProof/>
                <w:webHidden/>
              </w:rPr>
              <w:fldChar w:fldCharType="separate"/>
            </w:r>
            <w:r w:rsidR="00630BD7">
              <w:rPr>
                <w:noProof/>
                <w:webHidden/>
              </w:rPr>
              <w:t>26</w:t>
            </w:r>
            <w:r w:rsidR="00630BD7">
              <w:rPr>
                <w:noProof/>
                <w:webHidden/>
              </w:rPr>
              <w:fldChar w:fldCharType="end"/>
            </w:r>
          </w:hyperlink>
        </w:p>
        <w:p w14:paraId="6ACEE044" w14:textId="27FFA66E" w:rsidR="00630BD7" w:rsidRDefault="0087799E">
          <w:pPr>
            <w:pStyle w:val="TOC1"/>
            <w:tabs>
              <w:tab w:val="right" w:leader="dot" w:pos="9060"/>
            </w:tabs>
            <w:rPr>
              <w:rFonts w:eastAsiaTheme="minorEastAsia" w:cstheme="minorBidi"/>
              <w:noProof/>
              <w:szCs w:val="22"/>
            </w:rPr>
          </w:pPr>
          <w:hyperlink w:anchor="_Toc136505545" w:history="1">
            <w:r w:rsidR="00630BD7" w:rsidRPr="00F86AF5">
              <w:rPr>
                <w:rStyle w:val="Hyperlink"/>
                <w:noProof/>
              </w:rPr>
              <w:t>Organisational</w:t>
            </w:r>
            <w:r w:rsidR="00630BD7">
              <w:rPr>
                <w:noProof/>
                <w:webHidden/>
              </w:rPr>
              <w:tab/>
            </w:r>
            <w:r w:rsidR="00630BD7">
              <w:rPr>
                <w:noProof/>
                <w:webHidden/>
              </w:rPr>
              <w:fldChar w:fldCharType="begin"/>
            </w:r>
            <w:r w:rsidR="00630BD7">
              <w:rPr>
                <w:noProof/>
                <w:webHidden/>
              </w:rPr>
              <w:instrText xml:space="preserve"> PAGEREF _Toc136505545 \h </w:instrText>
            </w:r>
            <w:r w:rsidR="00630BD7">
              <w:rPr>
                <w:noProof/>
                <w:webHidden/>
              </w:rPr>
            </w:r>
            <w:r w:rsidR="00630BD7">
              <w:rPr>
                <w:noProof/>
                <w:webHidden/>
              </w:rPr>
              <w:fldChar w:fldCharType="separate"/>
            </w:r>
            <w:r w:rsidR="00630BD7">
              <w:rPr>
                <w:noProof/>
                <w:webHidden/>
              </w:rPr>
              <w:t>27</w:t>
            </w:r>
            <w:r w:rsidR="00630BD7">
              <w:rPr>
                <w:noProof/>
                <w:webHidden/>
              </w:rPr>
              <w:fldChar w:fldCharType="end"/>
            </w:r>
          </w:hyperlink>
        </w:p>
        <w:p w14:paraId="1D7E8FA2" w14:textId="1B41B3EF" w:rsidR="00630BD7" w:rsidRDefault="0087799E">
          <w:pPr>
            <w:pStyle w:val="TOC1"/>
            <w:tabs>
              <w:tab w:val="right" w:leader="dot" w:pos="9060"/>
            </w:tabs>
            <w:rPr>
              <w:rFonts w:eastAsiaTheme="minorEastAsia" w:cstheme="minorBidi"/>
              <w:noProof/>
              <w:szCs w:val="22"/>
            </w:rPr>
          </w:pPr>
          <w:hyperlink w:anchor="_Toc136505546" w:history="1">
            <w:r w:rsidR="00630BD7" w:rsidRPr="00F86AF5">
              <w:rPr>
                <w:rStyle w:val="Hyperlink"/>
                <w:noProof/>
              </w:rPr>
              <w:t>Reference List</w:t>
            </w:r>
            <w:r w:rsidR="00630BD7">
              <w:rPr>
                <w:noProof/>
                <w:webHidden/>
              </w:rPr>
              <w:tab/>
            </w:r>
            <w:r w:rsidR="00630BD7">
              <w:rPr>
                <w:noProof/>
                <w:webHidden/>
              </w:rPr>
              <w:fldChar w:fldCharType="begin"/>
            </w:r>
            <w:r w:rsidR="00630BD7">
              <w:rPr>
                <w:noProof/>
                <w:webHidden/>
              </w:rPr>
              <w:instrText xml:space="preserve"> PAGEREF _Toc136505546 \h </w:instrText>
            </w:r>
            <w:r w:rsidR="00630BD7">
              <w:rPr>
                <w:noProof/>
                <w:webHidden/>
              </w:rPr>
            </w:r>
            <w:r w:rsidR="00630BD7">
              <w:rPr>
                <w:noProof/>
                <w:webHidden/>
              </w:rPr>
              <w:fldChar w:fldCharType="separate"/>
            </w:r>
            <w:r w:rsidR="00630BD7">
              <w:rPr>
                <w:noProof/>
                <w:webHidden/>
              </w:rPr>
              <w:t>28</w:t>
            </w:r>
            <w:r w:rsidR="00630BD7">
              <w:rPr>
                <w:noProof/>
                <w:webHidden/>
              </w:rPr>
              <w:fldChar w:fldCharType="end"/>
            </w:r>
          </w:hyperlink>
        </w:p>
        <w:p w14:paraId="1B59084E" w14:textId="3E3DC2C0" w:rsidR="00630BD7" w:rsidRDefault="0087799E">
          <w:pPr>
            <w:pStyle w:val="TOC2"/>
            <w:rPr>
              <w:rFonts w:eastAsiaTheme="minorEastAsia" w:cstheme="minorBidi"/>
              <w:noProof/>
              <w:szCs w:val="22"/>
            </w:rPr>
          </w:pPr>
          <w:hyperlink w:anchor="_Toc136505547" w:history="1">
            <w:r w:rsidR="00630BD7" w:rsidRPr="00F86AF5">
              <w:rPr>
                <w:rStyle w:val="Hyperlink"/>
                <w:noProof/>
              </w:rPr>
              <w:t>Appendix 1</w:t>
            </w:r>
            <w:r w:rsidR="00630BD7">
              <w:rPr>
                <w:noProof/>
                <w:webHidden/>
              </w:rPr>
              <w:tab/>
            </w:r>
            <w:r w:rsidR="00630BD7">
              <w:rPr>
                <w:noProof/>
                <w:webHidden/>
              </w:rPr>
              <w:fldChar w:fldCharType="begin"/>
            </w:r>
            <w:r w:rsidR="00630BD7">
              <w:rPr>
                <w:noProof/>
                <w:webHidden/>
              </w:rPr>
              <w:instrText xml:space="preserve"> PAGEREF _Toc136505547 \h </w:instrText>
            </w:r>
            <w:r w:rsidR="00630BD7">
              <w:rPr>
                <w:noProof/>
                <w:webHidden/>
              </w:rPr>
            </w:r>
            <w:r w:rsidR="00630BD7">
              <w:rPr>
                <w:noProof/>
                <w:webHidden/>
              </w:rPr>
              <w:fldChar w:fldCharType="separate"/>
            </w:r>
            <w:r w:rsidR="00630BD7">
              <w:rPr>
                <w:noProof/>
                <w:webHidden/>
              </w:rPr>
              <w:t>29</w:t>
            </w:r>
            <w:r w:rsidR="00630BD7">
              <w:rPr>
                <w:noProof/>
                <w:webHidden/>
              </w:rPr>
              <w:fldChar w:fldCharType="end"/>
            </w:r>
          </w:hyperlink>
        </w:p>
        <w:p w14:paraId="41A052A1" w14:textId="5FCEE046" w:rsidR="00630BD7" w:rsidRDefault="0087799E">
          <w:pPr>
            <w:pStyle w:val="TOC2"/>
            <w:rPr>
              <w:rFonts w:eastAsiaTheme="minorEastAsia" w:cstheme="minorBidi"/>
              <w:noProof/>
              <w:szCs w:val="22"/>
            </w:rPr>
          </w:pPr>
          <w:hyperlink w:anchor="_Toc136505548" w:history="1">
            <w:r w:rsidR="00630BD7" w:rsidRPr="00F86AF5">
              <w:rPr>
                <w:rStyle w:val="Hyperlink"/>
                <w:rFonts w:eastAsia="Calibri"/>
                <w:noProof/>
              </w:rPr>
              <w:t>Appendix 2</w:t>
            </w:r>
            <w:r w:rsidR="00630BD7">
              <w:rPr>
                <w:noProof/>
                <w:webHidden/>
              </w:rPr>
              <w:tab/>
            </w:r>
            <w:r w:rsidR="00630BD7">
              <w:rPr>
                <w:noProof/>
                <w:webHidden/>
              </w:rPr>
              <w:fldChar w:fldCharType="begin"/>
            </w:r>
            <w:r w:rsidR="00630BD7">
              <w:rPr>
                <w:noProof/>
                <w:webHidden/>
              </w:rPr>
              <w:instrText xml:space="preserve"> PAGEREF _Toc136505548 \h </w:instrText>
            </w:r>
            <w:r w:rsidR="00630BD7">
              <w:rPr>
                <w:noProof/>
                <w:webHidden/>
              </w:rPr>
            </w:r>
            <w:r w:rsidR="00630BD7">
              <w:rPr>
                <w:noProof/>
                <w:webHidden/>
              </w:rPr>
              <w:fldChar w:fldCharType="separate"/>
            </w:r>
            <w:r w:rsidR="00630BD7">
              <w:rPr>
                <w:noProof/>
                <w:webHidden/>
              </w:rPr>
              <w:t>35</w:t>
            </w:r>
            <w:r w:rsidR="00630BD7">
              <w:rPr>
                <w:noProof/>
                <w:webHidden/>
              </w:rPr>
              <w:fldChar w:fldCharType="end"/>
            </w:r>
          </w:hyperlink>
        </w:p>
        <w:p w14:paraId="3E8ED077" w14:textId="52B39CE4" w:rsidR="00630BD7" w:rsidRDefault="0087799E">
          <w:pPr>
            <w:pStyle w:val="TOC1"/>
            <w:tabs>
              <w:tab w:val="right" w:leader="dot" w:pos="9060"/>
            </w:tabs>
            <w:rPr>
              <w:rFonts w:eastAsiaTheme="minorEastAsia" w:cstheme="minorBidi"/>
              <w:noProof/>
              <w:szCs w:val="22"/>
            </w:rPr>
          </w:pPr>
          <w:hyperlink w:anchor="_Toc136505549" w:history="1">
            <w:r w:rsidR="00630BD7" w:rsidRPr="00F86AF5">
              <w:rPr>
                <w:rStyle w:val="Hyperlink"/>
                <w:noProof/>
              </w:rPr>
              <w:t>Acronyms and abbreviations</w:t>
            </w:r>
            <w:r w:rsidR="00630BD7">
              <w:rPr>
                <w:noProof/>
                <w:webHidden/>
              </w:rPr>
              <w:tab/>
            </w:r>
            <w:r w:rsidR="00630BD7">
              <w:rPr>
                <w:noProof/>
                <w:webHidden/>
              </w:rPr>
              <w:fldChar w:fldCharType="begin"/>
            </w:r>
            <w:r w:rsidR="00630BD7">
              <w:rPr>
                <w:noProof/>
                <w:webHidden/>
              </w:rPr>
              <w:instrText xml:space="preserve"> PAGEREF _Toc136505549 \h </w:instrText>
            </w:r>
            <w:r w:rsidR="00630BD7">
              <w:rPr>
                <w:noProof/>
                <w:webHidden/>
              </w:rPr>
            </w:r>
            <w:r w:rsidR="00630BD7">
              <w:rPr>
                <w:noProof/>
                <w:webHidden/>
              </w:rPr>
              <w:fldChar w:fldCharType="separate"/>
            </w:r>
            <w:r w:rsidR="00630BD7">
              <w:rPr>
                <w:noProof/>
                <w:webHidden/>
              </w:rPr>
              <w:t>36</w:t>
            </w:r>
            <w:r w:rsidR="00630BD7">
              <w:rPr>
                <w:noProof/>
                <w:webHidden/>
              </w:rPr>
              <w:fldChar w:fldCharType="end"/>
            </w:r>
          </w:hyperlink>
        </w:p>
        <w:p w14:paraId="318CEF94" w14:textId="6A2AC738" w:rsidR="009D1C76" w:rsidRDefault="009D1C76">
          <w:r>
            <w:rPr>
              <w:b/>
              <w:bCs/>
              <w:noProof/>
              <w:color w:val="2B579A"/>
              <w:shd w:val="clear" w:color="auto" w:fill="E6E6E6"/>
            </w:rPr>
            <w:fldChar w:fldCharType="end"/>
          </w:r>
        </w:p>
      </w:sdtContent>
    </w:sdt>
    <w:p w14:paraId="63EE235D" w14:textId="77777777" w:rsidR="00723440" w:rsidRDefault="00723440">
      <w:pPr>
        <w:spacing w:after="160" w:line="259" w:lineRule="auto"/>
        <w:rPr>
          <w:rFonts w:ascii="Calibri" w:hAnsi="Calibri" w:cs="Calibri"/>
          <w:b/>
          <w:bCs/>
          <w:color w:val="FFFFFF" w:themeColor="background1"/>
          <w:sz w:val="28"/>
          <w:szCs w:val="28"/>
          <w:lang w:eastAsia="en-US"/>
        </w:rPr>
      </w:pPr>
      <w:bookmarkStart w:id="14" w:name="_Hlk103773624"/>
      <w:bookmarkEnd w:id="14"/>
      <w:r>
        <w:br w:type="page"/>
      </w:r>
    </w:p>
    <w:p w14:paraId="29C5CC7B" w14:textId="3C5A013C" w:rsidR="00046EB2" w:rsidRDefault="00046EB2" w:rsidP="00582BAC">
      <w:pPr>
        <w:pStyle w:val="Heading1"/>
      </w:pPr>
      <w:bookmarkStart w:id="15" w:name="_Toc136505520"/>
      <w:r w:rsidRPr="00AE7A5F">
        <w:lastRenderedPageBreak/>
        <w:t>Introduction</w:t>
      </w:r>
      <w:bookmarkEnd w:id="15"/>
    </w:p>
    <w:p w14:paraId="19CEBDA7" w14:textId="04BD7704" w:rsidR="003D17A1" w:rsidRDefault="003D17A1" w:rsidP="003D17A1">
      <w:pPr>
        <w:autoSpaceDE w:val="0"/>
        <w:autoSpaceDN w:val="0"/>
        <w:adjustRightInd w:val="0"/>
        <w:rPr>
          <w:rFonts w:cstheme="minorHAnsi"/>
        </w:rPr>
      </w:pPr>
      <w:r>
        <w:rPr>
          <w:rFonts w:cstheme="minorHAnsi"/>
        </w:rPr>
        <w:t>This is the third Primary Health Networks (PHN) Program-wide performance report conducted under the PHN Program Performance and Quality Framework (the Framework).</w:t>
      </w:r>
    </w:p>
    <w:p w14:paraId="738B8022" w14:textId="49BF9495" w:rsidR="003D17A1" w:rsidRDefault="003D17A1" w:rsidP="003D17A1">
      <w:pPr>
        <w:autoSpaceDE w:val="0"/>
        <w:autoSpaceDN w:val="0"/>
        <w:adjustRightInd w:val="0"/>
        <w:rPr>
          <w:rFonts w:cstheme="minorHAnsi"/>
        </w:rPr>
      </w:pPr>
    </w:p>
    <w:p w14:paraId="7447FDE6" w14:textId="77777777" w:rsidR="003D17A1" w:rsidRDefault="003D17A1" w:rsidP="003D17A1">
      <w:r>
        <w:t>The Framework consists of a set of performance indicators which are used to measure individual PHNs’ progress towards outcomes. These indicators are considered program indicators and were selected as they reflected areas where PHNs could be expected to influence changes. In addition, several Program-wide performance indicators have been collected to assist in measuring how the PHN Program contributes to achieving a range of health outcomes. These are referred to as Contextual</w:t>
      </w:r>
      <w:r>
        <w:rPr>
          <w:spacing w:val="-1"/>
        </w:rPr>
        <w:t xml:space="preserve"> </w:t>
      </w:r>
      <w:r>
        <w:t>Indicators.</w:t>
      </w:r>
      <w:r>
        <w:rPr>
          <w:spacing w:val="-2"/>
        </w:rPr>
        <w:t xml:space="preserve"> </w:t>
      </w:r>
      <w:r>
        <w:t>All</w:t>
      </w:r>
      <w:r>
        <w:rPr>
          <w:spacing w:val="-3"/>
        </w:rPr>
        <w:t xml:space="preserve"> </w:t>
      </w:r>
      <w:r>
        <w:t>contextual</w:t>
      </w:r>
      <w:r>
        <w:rPr>
          <w:spacing w:val="-2"/>
        </w:rPr>
        <w:t xml:space="preserve"> </w:t>
      </w:r>
      <w:r>
        <w:t>indicator</w:t>
      </w:r>
      <w:r>
        <w:rPr>
          <w:spacing w:val="-1"/>
        </w:rPr>
        <w:t xml:space="preserve"> </w:t>
      </w:r>
      <w:r>
        <w:t>data</w:t>
      </w:r>
      <w:r>
        <w:rPr>
          <w:spacing w:val="-4"/>
        </w:rPr>
        <w:t xml:space="preserve"> </w:t>
      </w:r>
      <w:r>
        <w:t>has</w:t>
      </w:r>
      <w:r>
        <w:rPr>
          <w:spacing w:val="-1"/>
        </w:rPr>
        <w:t xml:space="preserve"> </w:t>
      </w:r>
      <w:r>
        <w:t>been</w:t>
      </w:r>
      <w:r>
        <w:rPr>
          <w:spacing w:val="-2"/>
        </w:rPr>
        <w:t xml:space="preserve"> </w:t>
      </w:r>
      <w:r>
        <w:t>compiled</w:t>
      </w:r>
      <w:r>
        <w:rPr>
          <w:spacing w:val="-3"/>
        </w:rPr>
        <w:t xml:space="preserve"> </w:t>
      </w:r>
      <w:r>
        <w:t>on</w:t>
      </w:r>
      <w:r>
        <w:rPr>
          <w:spacing w:val="-2"/>
        </w:rPr>
        <w:t xml:space="preserve"> </w:t>
      </w:r>
      <w:r>
        <w:t>a</w:t>
      </w:r>
      <w:r>
        <w:rPr>
          <w:spacing w:val="-3"/>
        </w:rPr>
        <w:t xml:space="preserve"> </w:t>
      </w:r>
      <w:r>
        <w:t>PHN</w:t>
      </w:r>
      <w:r>
        <w:rPr>
          <w:spacing w:val="-2"/>
        </w:rPr>
        <w:t xml:space="preserve"> </w:t>
      </w:r>
      <w:r>
        <w:t>level</w:t>
      </w:r>
      <w:r>
        <w:rPr>
          <w:spacing w:val="-4"/>
        </w:rPr>
        <w:t xml:space="preserve"> </w:t>
      </w:r>
      <w:r>
        <w:t>and</w:t>
      </w:r>
      <w:r>
        <w:rPr>
          <w:spacing w:val="-2"/>
        </w:rPr>
        <w:t xml:space="preserve"> </w:t>
      </w:r>
      <w:r>
        <w:t>relates</w:t>
      </w:r>
      <w:r>
        <w:rPr>
          <w:spacing w:val="-2"/>
        </w:rPr>
        <w:t xml:space="preserve"> </w:t>
      </w:r>
      <w:r>
        <w:t>to performance within and across PHNs, it does not represent national performance.</w:t>
      </w:r>
    </w:p>
    <w:p w14:paraId="55B3F843" w14:textId="77777777" w:rsidR="003D17A1" w:rsidRDefault="003D17A1" w:rsidP="003D17A1">
      <w:pPr>
        <w:autoSpaceDE w:val="0"/>
        <w:autoSpaceDN w:val="0"/>
        <w:adjustRightInd w:val="0"/>
        <w:rPr>
          <w:rFonts w:cstheme="minorHAnsi"/>
        </w:rPr>
      </w:pPr>
    </w:p>
    <w:p w14:paraId="3A669AF7" w14:textId="1BCA21BD" w:rsidR="003D17A1" w:rsidRDefault="003D17A1" w:rsidP="003D17A1">
      <w:pPr>
        <w:autoSpaceDE w:val="0"/>
        <w:autoSpaceDN w:val="0"/>
        <w:adjustRightInd w:val="0"/>
      </w:pPr>
      <w:r>
        <w:t>This performance report provides the overall analysis of the PHN program for the 2020-21 reporting period via the outcome themes as specified in</w:t>
      </w:r>
      <w:r w:rsidRPr="0074089D">
        <w:t xml:space="preserve"> </w:t>
      </w:r>
      <w:r>
        <w:t>the</w:t>
      </w:r>
      <w:r w:rsidRPr="0074089D">
        <w:t xml:space="preserve"> </w:t>
      </w:r>
      <w:r>
        <w:t>Framework.</w:t>
      </w:r>
      <w:r w:rsidRPr="0074089D">
        <w:t xml:space="preserve"> PHNs </w:t>
      </w:r>
      <w:r>
        <w:t>are</w:t>
      </w:r>
      <w:r w:rsidRPr="0074089D">
        <w:t xml:space="preserve"> assessed </w:t>
      </w:r>
      <w:r w:rsidRPr="00D16FD2">
        <w:t xml:space="preserve">against all the organisational indicators and other performance indicators which reflect areas where PHNs can and should have influence. For some of these indicators PHNs may have limited input as the area may not be a priority for their region. This will not negatively affect their </w:t>
      </w:r>
      <w:r>
        <w:t xml:space="preserve">or program </w:t>
      </w:r>
      <w:r w:rsidRPr="00D16FD2">
        <w:t>performance assessment.</w:t>
      </w:r>
    </w:p>
    <w:p w14:paraId="14E356BF" w14:textId="083C78B4" w:rsidR="003D17A1" w:rsidRPr="001362F5" w:rsidRDefault="003D17A1" w:rsidP="003D17A1">
      <w:pPr>
        <w:autoSpaceDE w:val="0"/>
        <w:autoSpaceDN w:val="0"/>
        <w:adjustRightInd w:val="0"/>
        <w:rPr>
          <w:rFonts w:cstheme="minorBidi"/>
        </w:rPr>
      </w:pPr>
    </w:p>
    <w:p w14:paraId="248D0E22" w14:textId="0DA6DD37" w:rsidR="00766FBF" w:rsidRDefault="6BE34001" w:rsidP="00A93F2E">
      <w:r>
        <w:t>During this reporting period, the impact of the COVID-19 pandemic</w:t>
      </w:r>
      <w:r w:rsidR="70F0352C">
        <w:t xml:space="preserve"> continued to place a strain on the primary health care system across Australia</w:t>
      </w:r>
      <w:r w:rsidR="22F9F485">
        <w:t>. A series of lockdowns across jurisdictions also</w:t>
      </w:r>
      <w:r w:rsidR="2306A2BB">
        <w:t xml:space="preserve"> impacted on service delivery.</w:t>
      </w:r>
      <w:r>
        <w:t xml:space="preserve"> In response to these events, PHNs have faced additional challenges in workforce demands, delivery of face-to-face commissioned services</w:t>
      </w:r>
      <w:r w:rsidR="00A73A76">
        <w:t>,</w:t>
      </w:r>
      <w:r>
        <w:t xml:space="preserve"> and</w:t>
      </w:r>
      <w:r w:rsidR="1F4CD557">
        <w:t xml:space="preserve"> </w:t>
      </w:r>
      <w:r>
        <w:t>system pressure during the reporting period.</w:t>
      </w:r>
      <w:r w:rsidR="1A7437F4">
        <w:t xml:space="preserve"> PHNs have proven to be flexible and </w:t>
      </w:r>
      <w:r w:rsidR="1D670268">
        <w:t xml:space="preserve">adaptable over this period in </w:t>
      </w:r>
      <w:r w:rsidR="426B976E">
        <w:t xml:space="preserve">delivering the services required in their region and the Department would like to place on record its appreciation for </w:t>
      </w:r>
      <w:r w:rsidR="006D593B">
        <w:t xml:space="preserve">their valuable contribution to </w:t>
      </w:r>
      <w:r w:rsidR="00FD3F7F">
        <w:t>the national response to the unprecedented challenges of that difficult period.</w:t>
      </w:r>
    </w:p>
    <w:p w14:paraId="42CFCA27" w14:textId="13CB64B2" w:rsidR="00C45527" w:rsidRPr="00E97924" w:rsidRDefault="006C3CD4" w:rsidP="00A93F2E">
      <w:pPr>
        <w:rPr>
          <w:rFonts w:ascii="Calibri" w:hAnsi="Calibri" w:cs="Calibri"/>
          <w:b/>
          <w:bCs/>
          <w:color w:val="FFFFFF" w:themeColor="background1"/>
          <w:sz w:val="28"/>
          <w:szCs w:val="28"/>
          <w:lang w:eastAsia="en-US"/>
        </w:rPr>
      </w:pPr>
      <w:r>
        <w:rPr>
          <w:rFonts w:ascii="Calibri" w:hAnsi="Calibri" w:cs="Calibri"/>
          <w:b/>
          <w:bCs/>
          <w:color w:val="FFFFFF" w:themeColor="background1"/>
          <w:sz w:val="28"/>
          <w:szCs w:val="28"/>
          <w:lang w:eastAsia="en-US"/>
        </w:rPr>
        <w:br/>
      </w:r>
    </w:p>
    <w:p w14:paraId="24424F2C" w14:textId="6E789F88" w:rsidR="00046EB2" w:rsidRDefault="16C487FA" w:rsidP="00582BAC">
      <w:pPr>
        <w:pStyle w:val="Heading1"/>
      </w:pPr>
      <w:bookmarkStart w:id="16" w:name="_Toc136505521"/>
      <w:r>
        <w:t>Emergency Department and Hospitalisations</w:t>
      </w:r>
      <w:bookmarkEnd w:id="16"/>
    </w:p>
    <w:p w14:paraId="26A8F0F3" w14:textId="2E4EBB75" w:rsidR="00321D10" w:rsidRPr="00C0467D" w:rsidRDefault="00614AE8" w:rsidP="00321D10">
      <w:pPr>
        <w:pStyle w:val="Heading2"/>
      </w:pPr>
      <w:bookmarkStart w:id="17" w:name="_Toc132868535"/>
      <w:bookmarkStart w:id="18" w:name="_Toc136505522"/>
      <w:r w:rsidRPr="00C0467D">
        <w:t>Potentially Preventative Hospitalisations (PPH)</w:t>
      </w:r>
      <w:bookmarkEnd w:id="17"/>
      <w:bookmarkEnd w:id="18"/>
    </w:p>
    <w:p w14:paraId="658EA7CC" w14:textId="77777777" w:rsidR="00C506FF" w:rsidRPr="00C0467D" w:rsidRDefault="00C506FF" w:rsidP="00C506FF">
      <w:pPr>
        <w:pStyle w:val="paragraph"/>
        <w:spacing w:before="0" w:beforeAutospacing="0" w:after="0" w:afterAutospacing="0"/>
        <w:textAlignment w:val="baseline"/>
        <w:rPr>
          <w:rFonts w:ascii="Segoe UI" w:hAnsi="Segoe UI" w:cs="Segoe UI"/>
          <w:sz w:val="18"/>
          <w:szCs w:val="18"/>
        </w:rPr>
      </w:pPr>
      <w:r w:rsidRPr="00C0467D">
        <w:rPr>
          <w:rStyle w:val="normaltextrun"/>
        </w:rPr>
        <w:t>Potentially preventable hospitalisations (PPH) are currently a health system performance indicator of accessibility and effectiveness in the National Health Reform Agreement and an area of focus for PHNs. The indicator can be calculated using routinely collected hospital admission data and allows insight into the interface between primary and secondary health care. It can be disaggregated at various levels, by geographic regions, population subgroups and conditions to highlight priority areas for further investigation.</w:t>
      </w:r>
      <w:r w:rsidRPr="00C0467D">
        <w:rPr>
          <w:rStyle w:val="eop"/>
        </w:rPr>
        <w:t> </w:t>
      </w:r>
    </w:p>
    <w:p w14:paraId="2CC83A8A" w14:textId="77777777" w:rsidR="00C506FF" w:rsidRPr="00C0467D" w:rsidRDefault="00C506FF" w:rsidP="00C506FF">
      <w:pPr>
        <w:pStyle w:val="paragraph"/>
        <w:spacing w:before="0" w:beforeAutospacing="0" w:after="0" w:afterAutospacing="0"/>
        <w:textAlignment w:val="baseline"/>
        <w:rPr>
          <w:rFonts w:ascii="Segoe UI" w:hAnsi="Segoe UI" w:cs="Segoe UI"/>
          <w:sz w:val="18"/>
          <w:szCs w:val="18"/>
        </w:rPr>
      </w:pPr>
      <w:r w:rsidRPr="00C0467D">
        <w:rPr>
          <w:rStyle w:val="eop"/>
        </w:rPr>
        <w:t> </w:t>
      </w:r>
    </w:p>
    <w:p w14:paraId="187A9C86" w14:textId="77777777" w:rsidR="00C506FF" w:rsidRPr="00C0467D" w:rsidRDefault="00C506FF" w:rsidP="00C506FF">
      <w:pPr>
        <w:pStyle w:val="paragraph"/>
        <w:spacing w:before="0" w:beforeAutospacing="0" w:after="0" w:afterAutospacing="0"/>
        <w:textAlignment w:val="baseline"/>
        <w:rPr>
          <w:rFonts w:ascii="Segoe UI" w:hAnsi="Segoe UI" w:cs="Segoe UI"/>
          <w:sz w:val="18"/>
          <w:szCs w:val="18"/>
        </w:rPr>
      </w:pPr>
      <w:r w:rsidRPr="00C0467D">
        <w:rPr>
          <w:rStyle w:val="normaltextrun"/>
        </w:rPr>
        <w:t xml:space="preserve">PPH are an admission to hospital for a condition </w:t>
      </w:r>
      <w:r w:rsidRPr="00C0467D">
        <w:rPr>
          <w:rStyle w:val="normaltextrun"/>
          <w:i/>
          <w:iCs/>
        </w:rPr>
        <w:t>(Appendix 2)</w:t>
      </w:r>
      <w:r w:rsidRPr="00C0467D">
        <w:rPr>
          <w:rStyle w:val="normaltextrun"/>
        </w:rPr>
        <w:t xml:space="preserve"> which could have been prevented through an individualised health or disease management intervention in a primary care or community care setting (e.g.: by a general practitioner, dentist, or allied health professional). Age-standardised rates are used in PPH data as a method of controlling for varying age ranges across diverse populations.</w:t>
      </w:r>
      <w:r w:rsidRPr="00C0467D">
        <w:rPr>
          <w:rStyle w:val="eop"/>
        </w:rPr>
        <w:t> </w:t>
      </w:r>
    </w:p>
    <w:p w14:paraId="32D372BC" w14:textId="77777777" w:rsidR="00C506FF" w:rsidRPr="00C0467D" w:rsidRDefault="00C506FF" w:rsidP="00C506FF">
      <w:pPr>
        <w:pStyle w:val="paragraph"/>
        <w:spacing w:before="0" w:beforeAutospacing="0" w:after="0" w:afterAutospacing="0"/>
        <w:textAlignment w:val="baseline"/>
        <w:rPr>
          <w:rFonts w:ascii="Segoe UI" w:hAnsi="Segoe UI" w:cs="Segoe UI"/>
          <w:sz w:val="18"/>
          <w:szCs w:val="18"/>
        </w:rPr>
      </w:pPr>
      <w:r w:rsidRPr="00C0467D">
        <w:rPr>
          <w:rStyle w:val="eop"/>
        </w:rPr>
        <w:t> </w:t>
      </w:r>
    </w:p>
    <w:p w14:paraId="74E556A8" w14:textId="015E8454" w:rsidR="00C506FF" w:rsidRPr="00C0467D" w:rsidRDefault="00BC3FE0" w:rsidP="00C506FF">
      <w:pPr>
        <w:pStyle w:val="paragraph"/>
        <w:spacing w:before="0" w:beforeAutospacing="0" w:after="0" w:afterAutospacing="0"/>
        <w:textAlignment w:val="baseline"/>
        <w:rPr>
          <w:rFonts w:ascii="Segoe UI" w:hAnsi="Segoe UI" w:cs="Segoe UI"/>
          <w:sz w:val="18"/>
          <w:szCs w:val="18"/>
        </w:rPr>
      </w:pPr>
      <w:r w:rsidRPr="00C0467D">
        <w:rPr>
          <w:rStyle w:val="normaltextrun"/>
        </w:rPr>
        <w:t>Figure 1 s</w:t>
      </w:r>
      <w:r w:rsidR="00C506FF" w:rsidRPr="00C0467D">
        <w:rPr>
          <w:rStyle w:val="normaltextrun"/>
        </w:rPr>
        <w:t xml:space="preserve">hows that since 2017-18, PPH have been falling by an average of 5 per cent each year. In 2020-21, </w:t>
      </w:r>
      <w:r w:rsidR="00D32427">
        <w:rPr>
          <w:rStyle w:val="normaltextrun"/>
        </w:rPr>
        <w:t xml:space="preserve">there was an average 6 per cent decrease nationwide in the rate of PPH per 100,000 population from 2019-20. </w:t>
      </w:r>
      <w:r w:rsidR="00C506FF" w:rsidRPr="00C0467D">
        <w:rPr>
          <w:rStyle w:val="normaltextrun"/>
        </w:rPr>
        <w:t xml:space="preserve">PHNs recorded the lowest rate of PPH per 100,000 population since the PHN Program commenced in 2015-16, and this decrease occurred in vaccine preventable, chronic, and acute PPH. Additionally, decreases in PPH occurred in both metropolitan and regional areas, across all levels of socio-economic disadvantage, and in all state and territory jurisdictions. </w:t>
      </w:r>
      <w:r w:rsidR="00C506FF" w:rsidRPr="00C0467D">
        <w:rPr>
          <w:rStyle w:val="eop"/>
        </w:rPr>
        <w:t> </w:t>
      </w:r>
    </w:p>
    <w:p w14:paraId="1D3A6C5C" w14:textId="77777777" w:rsidR="00C506FF" w:rsidRPr="00C0467D" w:rsidRDefault="00C506FF" w:rsidP="00C506FF">
      <w:pPr>
        <w:pStyle w:val="paragraph"/>
        <w:spacing w:before="0" w:beforeAutospacing="0" w:after="0" w:afterAutospacing="0"/>
        <w:textAlignment w:val="baseline"/>
        <w:rPr>
          <w:rFonts w:ascii="Segoe UI" w:hAnsi="Segoe UI" w:cs="Segoe UI"/>
          <w:sz w:val="18"/>
          <w:szCs w:val="18"/>
        </w:rPr>
      </w:pPr>
      <w:r w:rsidRPr="00C0467D">
        <w:rPr>
          <w:rStyle w:val="eop"/>
        </w:rPr>
        <w:t>  </w:t>
      </w:r>
    </w:p>
    <w:p w14:paraId="0DC7FF16" w14:textId="5C4588D9" w:rsidR="00C506FF" w:rsidRDefault="00C506FF" w:rsidP="00C506FF">
      <w:pPr>
        <w:pStyle w:val="paragraph"/>
        <w:spacing w:before="0" w:beforeAutospacing="0" w:after="0" w:afterAutospacing="0"/>
        <w:textAlignment w:val="baseline"/>
        <w:rPr>
          <w:rStyle w:val="eop"/>
          <w:i/>
          <w:iCs/>
          <w:color w:val="44546A"/>
          <w:sz w:val="18"/>
          <w:szCs w:val="18"/>
        </w:rPr>
      </w:pPr>
      <w:r w:rsidRPr="00C0467D">
        <w:rPr>
          <w:rStyle w:val="normaltextrun"/>
          <w:i/>
          <w:iCs/>
          <w:color w:val="44546A"/>
          <w:sz w:val="18"/>
          <w:szCs w:val="18"/>
        </w:rPr>
        <w:lastRenderedPageBreak/>
        <w:t xml:space="preserve">Figure </w:t>
      </w:r>
      <w:r w:rsidR="00BC3FE0" w:rsidRPr="00C0467D">
        <w:rPr>
          <w:rStyle w:val="normaltextrun"/>
          <w:i/>
          <w:iCs/>
          <w:color w:val="44546A"/>
          <w:sz w:val="18"/>
          <w:szCs w:val="18"/>
        </w:rPr>
        <w:t>1</w:t>
      </w:r>
      <w:r w:rsidRPr="00C0467D">
        <w:rPr>
          <w:rStyle w:val="normaltextrun"/>
          <w:i/>
          <w:iCs/>
          <w:color w:val="44546A"/>
          <w:sz w:val="18"/>
          <w:szCs w:val="18"/>
        </w:rPr>
        <w:t>: Potentially preventable hospitalisations by type, from 2015-16 to 2020-21</w:t>
      </w:r>
      <w:r w:rsidRPr="00C0467D">
        <w:rPr>
          <w:rStyle w:val="eop"/>
          <w:color w:val="44546A"/>
          <w:sz w:val="18"/>
          <w:szCs w:val="18"/>
        </w:rPr>
        <w:t> </w:t>
      </w:r>
    </w:p>
    <w:p w14:paraId="04DD2F43" w14:textId="1D4C3ADB" w:rsidR="00D32427" w:rsidRPr="00C0467D" w:rsidRDefault="00D32427" w:rsidP="00C506FF">
      <w:pPr>
        <w:pStyle w:val="paragraph"/>
        <w:spacing w:before="0" w:beforeAutospacing="0" w:after="0" w:afterAutospacing="0"/>
        <w:textAlignment w:val="baseline"/>
        <w:rPr>
          <w:rFonts w:ascii="Segoe UI" w:hAnsi="Segoe UI" w:cs="Segoe UI"/>
          <w:i/>
          <w:iCs/>
          <w:color w:val="44546A"/>
          <w:sz w:val="18"/>
          <w:szCs w:val="18"/>
        </w:rPr>
      </w:pPr>
      <w:r>
        <w:rPr>
          <w:rFonts w:ascii="Segoe UI" w:hAnsi="Segoe UI" w:cs="Segoe UI"/>
          <w:i/>
          <w:iCs/>
          <w:noProof/>
          <w:color w:val="44546A"/>
          <w:sz w:val="18"/>
          <w:szCs w:val="18"/>
        </w:rPr>
        <w:drawing>
          <wp:inline distT="0" distB="0" distL="0" distR="0" wp14:anchorId="3945179A" wp14:editId="3A338228">
            <wp:extent cx="4511675" cy="2346960"/>
            <wp:effectExtent l="0" t="0" r="3175" b="0"/>
            <wp:docPr id="12" name="Picture 12" descr="Bar chart of average potentially preventable hospitalisations per 100,000 population, for 2015-16 to 2020-21 reporting periods. The chart divides preventable hospitalisation types into vaccine, chronic and acu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r chart of average potentially preventable hospitalisations per 100,000 population, for 2015-16 to 2020-21 reporting periods. The chart divides preventable hospitalisation types into vaccine, chronic and acut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1675" cy="2346960"/>
                    </a:xfrm>
                    <a:prstGeom prst="rect">
                      <a:avLst/>
                    </a:prstGeom>
                    <a:noFill/>
                  </pic:spPr>
                </pic:pic>
              </a:graphicData>
            </a:graphic>
          </wp:inline>
        </w:drawing>
      </w:r>
    </w:p>
    <w:p w14:paraId="4C91BA98" w14:textId="77777777" w:rsidR="00C506FF" w:rsidRPr="00C0467D" w:rsidRDefault="00C506FF" w:rsidP="00C506FF">
      <w:pPr>
        <w:pStyle w:val="paragraph"/>
        <w:spacing w:before="0" w:beforeAutospacing="0" w:after="0" w:afterAutospacing="0"/>
        <w:textAlignment w:val="baseline"/>
        <w:rPr>
          <w:rStyle w:val="eop"/>
          <w:i/>
          <w:iCs/>
          <w:color w:val="44546A"/>
          <w:sz w:val="18"/>
          <w:szCs w:val="18"/>
        </w:rPr>
      </w:pPr>
      <w:r w:rsidRPr="00C0467D">
        <w:rPr>
          <w:rStyle w:val="normaltextrun"/>
          <w:i/>
          <w:iCs/>
          <w:color w:val="44546A"/>
          <w:sz w:val="18"/>
          <w:szCs w:val="18"/>
        </w:rPr>
        <w:t>Source: AIHW Potentially Preventable Hospitalisations data</w:t>
      </w:r>
      <w:r w:rsidRPr="00C0467D">
        <w:rPr>
          <w:rStyle w:val="eop"/>
          <w:i/>
          <w:iCs/>
          <w:color w:val="44546A"/>
          <w:sz w:val="18"/>
          <w:szCs w:val="18"/>
        </w:rPr>
        <w:t> </w:t>
      </w:r>
    </w:p>
    <w:p w14:paraId="5AD82FC6" w14:textId="7F760381" w:rsidR="00C506FF" w:rsidRPr="00C0467D" w:rsidRDefault="00C506FF" w:rsidP="00C506FF">
      <w:pPr>
        <w:pStyle w:val="Heading2"/>
      </w:pPr>
      <w:bookmarkStart w:id="19" w:name="_Toc136505523"/>
      <w:r w:rsidRPr="00C0467D">
        <w:t>Lower Urgency Emergency Department Presentations</w:t>
      </w:r>
      <w:bookmarkEnd w:id="19"/>
    </w:p>
    <w:p w14:paraId="08093DA5" w14:textId="3C5C6ECA" w:rsidR="00C506FF" w:rsidRDefault="00BC3FE0" w:rsidP="00B826E0">
      <w:pPr>
        <w:rPr>
          <w:rFonts w:cstheme="minorHAnsi"/>
          <w:szCs w:val="22"/>
        </w:rPr>
      </w:pPr>
      <w:r w:rsidRPr="00C0467D">
        <w:rPr>
          <w:rFonts w:cstheme="minorHAnsi"/>
          <w:szCs w:val="22"/>
        </w:rPr>
        <w:t>Data for the period covered by this report for this indicator is not yet available. The report will be revised as soon as the 2020-21 data is finalised and released for publication</w:t>
      </w:r>
    </w:p>
    <w:p w14:paraId="13D740BF" w14:textId="77777777" w:rsidR="00BC3FE0" w:rsidRDefault="00BC3FE0" w:rsidP="00B826E0">
      <w:pPr>
        <w:rPr>
          <w:rFonts w:cstheme="minorHAnsi"/>
          <w:szCs w:val="22"/>
        </w:rPr>
      </w:pPr>
    </w:p>
    <w:p w14:paraId="42F42294" w14:textId="41131346" w:rsidR="00C45527" w:rsidRPr="00B826E0" w:rsidRDefault="006C3CD4" w:rsidP="00B826E0">
      <w:r>
        <w:br/>
      </w:r>
    </w:p>
    <w:p w14:paraId="28F6CF5E" w14:textId="1E168834" w:rsidR="003644FE" w:rsidRDefault="16C487FA" w:rsidP="006D26EA">
      <w:pPr>
        <w:pStyle w:val="Heading1"/>
      </w:pPr>
      <w:bookmarkStart w:id="20" w:name="_Toc136505524"/>
      <w:r>
        <w:t>Program</w:t>
      </w:r>
      <w:bookmarkEnd w:id="20"/>
    </w:p>
    <w:p w14:paraId="5886B883" w14:textId="6151B367" w:rsidR="006D26EA" w:rsidRDefault="7B8DFD4E" w:rsidP="006D26EA">
      <w:r>
        <w:t xml:space="preserve">All </w:t>
      </w:r>
      <w:r w:rsidR="006D26EA">
        <w:t>PHNs</w:t>
      </w:r>
      <w:r w:rsidR="5DCE2F64">
        <w:t xml:space="preserve"> have </w:t>
      </w:r>
      <w:r w:rsidR="006D26EA">
        <w:t>met</w:t>
      </w:r>
      <w:r w:rsidR="006D26EA">
        <w:rPr>
          <w:spacing w:val="-3"/>
        </w:rPr>
        <w:t xml:space="preserve"> </w:t>
      </w:r>
      <w:r w:rsidR="006D26EA">
        <w:t xml:space="preserve">the </w:t>
      </w:r>
      <w:r w:rsidR="00F01876">
        <w:t xml:space="preserve">three </w:t>
      </w:r>
      <w:r w:rsidR="006D26EA">
        <w:t>program indicators</w:t>
      </w:r>
      <w:r w:rsidR="006D26EA">
        <w:rPr>
          <w:spacing w:val="-2"/>
        </w:rPr>
        <w:t xml:space="preserve"> </w:t>
      </w:r>
      <w:r w:rsidR="006D26EA">
        <w:t>they</w:t>
      </w:r>
      <w:r w:rsidR="006D26EA">
        <w:rPr>
          <w:spacing w:val="-3"/>
        </w:rPr>
        <w:t xml:space="preserve"> </w:t>
      </w:r>
      <w:r w:rsidR="006D26EA">
        <w:t>were asked</w:t>
      </w:r>
      <w:r w:rsidR="006D26EA">
        <w:rPr>
          <w:spacing w:val="-1"/>
        </w:rPr>
        <w:t xml:space="preserve"> </w:t>
      </w:r>
      <w:r w:rsidR="006D26EA">
        <w:t>to report</w:t>
      </w:r>
      <w:r w:rsidR="006D26EA">
        <w:rPr>
          <w:spacing w:val="-5"/>
        </w:rPr>
        <w:t xml:space="preserve"> </w:t>
      </w:r>
      <w:r w:rsidR="004271FF">
        <w:rPr>
          <w:spacing w:val="-5"/>
        </w:rPr>
        <w:t xml:space="preserve">on </w:t>
      </w:r>
      <w:r w:rsidR="006D26EA">
        <w:t>from 2018-19 to 2020-21. This includes:</w:t>
      </w:r>
    </w:p>
    <w:p w14:paraId="4361541A" w14:textId="467EED8E" w:rsidR="006D26EA" w:rsidRPr="0088349F" w:rsidRDefault="005D12B6" w:rsidP="00184D5F">
      <w:pPr>
        <w:pStyle w:val="ListBullet"/>
        <w:numPr>
          <w:ilvl w:val="0"/>
          <w:numId w:val="5"/>
        </w:numPr>
      </w:pPr>
      <w:r>
        <w:t>D</w:t>
      </w:r>
      <w:r w:rsidR="006D26EA">
        <w:t>elivering</w:t>
      </w:r>
      <w:r w:rsidR="006D26EA">
        <w:rPr>
          <w:spacing w:val="-4"/>
        </w:rPr>
        <w:t xml:space="preserve"> </w:t>
      </w:r>
      <w:r w:rsidR="006D26EA">
        <w:t>activities</w:t>
      </w:r>
      <w:r w:rsidR="006D26EA">
        <w:rPr>
          <w:spacing w:val="-5"/>
        </w:rPr>
        <w:t xml:space="preserve"> </w:t>
      </w:r>
      <w:r w:rsidR="006D26EA">
        <w:t>to</w:t>
      </w:r>
      <w:r w:rsidR="006D26EA">
        <w:rPr>
          <w:spacing w:val="-3"/>
        </w:rPr>
        <w:t xml:space="preserve"> </w:t>
      </w:r>
      <w:r w:rsidR="006D26EA">
        <w:t>address</w:t>
      </w:r>
      <w:r w:rsidR="006D26EA">
        <w:rPr>
          <w:spacing w:val="-3"/>
        </w:rPr>
        <w:t xml:space="preserve"> </w:t>
      </w:r>
      <w:r w:rsidR="006D26EA" w:rsidRPr="004271FF">
        <w:rPr>
          <w:lang w:val="en-GB"/>
        </w:rPr>
        <w:t>prioritised</w:t>
      </w:r>
      <w:r w:rsidR="006D26EA" w:rsidRPr="0088349F">
        <w:t xml:space="preserve"> needs</w:t>
      </w:r>
    </w:p>
    <w:p w14:paraId="07E45379" w14:textId="6B26A0F4" w:rsidR="006D26EA" w:rsidRPr="0088349F" w:rsidRDefault="005D12B6" w:rsidP="00184D5F">
      <w:pPr>
        <w:pStyle w:val="ListBullet"/>
        <w:numPr>
          <w:ilvl w:val="0"/>
          <w:numId w:val="5"/>
        </w:numPr>
      </w:pPr>
      <w:r>
        <w:t>D</w:t>
      </w:r>
      <w:r w:rsidR="006D26EA">
        <w:t>emonstrating health system improvement</w:t>
      </w:r>
      <w:r w:rsidR="60F1DED8">
        <w:t xml:space="preserve"> and innovation</w:t>
      </w:r>
    </w:p>
    <w:p w14:paraId="04EA89FA" w14:textId="5BD16DEC" w:rsidR="007032D8" w:rsidRDefault="005D12B6" w:rsidP="00184D5F">
      <w:pPr>
        <w:pStyle w:val="ListBullet"/>
        <w:numPr>
          <w:ilvl w:val="0"/>
          <w:numId w:val="5"/>
        </w:numPr>
        <w:rPr>
          <w:rFonts w:ascii="Calibri" w:hAnsi="Calibri"/>
        </w:rPr>
      </w:pPr>
      <w:r>
        <w:t>D</w:t>
      </w:r>
      <w:r w:rsidR="006D26EA" w:rsidRPr="0088349F">
        <w:t>elivering support activities to g</w:t>
      </w:r>
      <w:r w:rsidR="006D26EA">
        <w:t>eneral</w:t>
      </w:r>
      <w:r w:rsidR="006D26EA">
        <w:rPr>
          <w:spacing w:val="-3"/>
        </w:rPr>
        <w:t xml:space="preserve"> </w:t>
      </w:r>
      <w:r w:rsidR="006D26EA">
        <w:t>practices</w:t>
      </w:r>
      <w:r w:rsidR="006D26EA">
        <w:rPr>
          <w:spacing w:val="-2"/>
        </w:rPr>
        <w:t xml:space="preserve"> </w:t>
      </w:r>
      <w:r w:rsidR="006D26EA">
        <w:t>and</w:t>
      </w:r>
      <w:r w:rsidR="006D26EA">
        <w:rPr>
          <w:spacing w:val="-6"/>
        </w:rPr>
        <w:t xml:space="preserve"> </w:t>
      </w:r>
      <w:r w:rsidR="006D26EA">
        <w:t>other</w:t>
      </w:r>
      <w:r w:rsidR="006D26EA">
        <w:rPr>
          <w:spacing w:val="-4"/>
        </w:rPr>
        <w:t xml:space="preserve"> </w:t>
      </w:r>
      <w:r w:rsidR="006D26EA">
        <w:t>health</w:t>
      </w:r>
      <w:r w:rsidR="006D26EA">
        <w:rPr>
          <w:spacing w:val="-7"/>
        </w:rPr>
        <w:t xml:space="preserve"> </w:t>
      </w:r>
      <w:r w:rsidR="006D26EA">
        <w:t>care</w:t>
      </w:r>
      <w:r w:rsidR="006D26EA">
        <w:rPr>
          <w:spacing w:val="-5"/>
        </w:rPr>
        <w:t xml:space="preserve"> </w:t>
      </w:r>
      <w:r w:rsidR="006D26EA">
        <w:rPr>
          <w:spacing w:val="-2"/>
        </w:rPr>
        <w:t>providers.</w:t>
      </w:r>
      <w:r w:rsidR="00FE3A41">
        <w:rPr>
          <w:spacing w:val="-2"/>
        </w:rPr>
        <w:br/>
      </w:r>
    </w:p>
    <w:p w14:paraId="46A32C6D" w14:textId="77777777" w:rsidR="00F003ED" w:rsidRDefault="00F003ED">
      <w:pPr>
        <w:spacing w:after="160" w:line="259" w:lineRule="auto"/>
        <w:rPr>
          <w:rFonts w:ascii="Calibri" w:hAnsi="Calibri" w:cs="Calibri"/>
          <w:b/>
          <w:bCs/>
          <w:color w:val="FFFFFF" w:themeColor="background1"/>
          <w:sz w:val="28"/>
          <w:szCs w:val="28"/>
          <w:lang w:eastAsia="en-US"/>
        </w:rPr>
      </w:pPr>
      <w:r>
        <w:br w:type="page"/>
      </w:r>
    </w:p>
    <w:p w14:paraId="499AB99D" w14:textId="0E35F275" w:rsidR="00C46DD8" w:rsidRDefault="00C46DD8" w:rsidP="00C46DD8">
      <w:pPr>
        <w:pStyle w:val="Heading1"/>
      </w:pPr>
      <w:bookmarkStart w:id="21" w:name="_Toc136505525"/>
      <w:r>
        <w:lastRenderedPageBreak/>
        <w:t>Workforce</w:t>
      </w:r>
      <w:bookmarkEnd w:id="21"/>
    </w:p>
    <w:p w14:paraId="0A1B1344" w14:textId="168AA73A" w:rsidR="77C7A1AB" w:rsidRPr="000100EB" w:rsidRDefault="06758A49" w:rsidP="00C46DD8">
      <w:pPr>
        <w:pStyle w:val="ListBullet"/>
        <w:numPr>
          <w:ilvl w:val="0"/>
          <w:numId w:val="0"/>
        </w:numPr>
        <w:rPr>
          <w:rFonts w:ascii="Calibri" w:hAnsi="Calibri"/>
        </w:rPr>
      </w:pPr>
      <w:r w:rsidRPr="0069578E">
        <w:t>I</w:t>
      </w:r>
      <w:r>
        <w:t xml:space="preserve">n </w:t>
      </w:r>
      <w:r w:rsidRPr="2628E4BD">
        <w:rPr>
          <w:rFonts w:ascii="Calibri" w:hAnsi="Calibri"/>
        </w:rPr>
        <w:t>the workforce priority area, PHNs are assessed against</w:t>
      </w:r>
      <w:r w:rsidR="6A90ADB1" w:rsidRPr="2628E4BD">
        <w:rPr>
          <w:rFonts w:ascii="Calibri" w:hAnsi="Calibri"/>
        </w:rPr>
        <w:t xml:space="preserve"> </w:t>
      </w:r>
      <w:r w:rsidR="05160D9C" w:rsidRPr="2628E4BD">
        <w:rPr>
          <w:rFonts w:ascii="Calibri" w:hAnsi="Calibri"/>
        </w:rPr>
        <w:t>three</w:t>
      </w:r>
      <w:r w:rsidRPr="2628E4BD">
        <w:rPr>
          <w:rFonts w:ascii="Calibri" w:hAnsi="Calibri"/>
        </w:rPr>
        <w:t xml:space="preserve"> indicators</w:t>
      </w:r>
      <w:r w:rsidR="00463816">
        <w:rPr>
          <w:rFonts w:ascii="Calibri" w:hAnsi="Calibri"/>
        </w:rPr>
        <w:t xml:space="preserve">. </w:t>
      </w:r>
      <w:r w:rsidR="00C977AE">
        <w:rPr>
          <w:rFonts w:ascii="Calibri" w:hAnsi="Calibri"/>
        </w:rPr>
        <w:t>Achievement against these indicators</w:t>
      </w:r>
      <w:r w:rsidR="5F088012">
        <w:rPr>
          <w:rFonts w:ascii="Calibri" w:hAnsi="Calibri"/>
        </w:rPr>
        <w:t xml:space="preserve"> increased </w:t>
      </w:r>
      <w:r w:rsidR="00794C5C">
        <w:rPr>
          <w:rFonts w:ascii="Calibri" w:hAnsi="Calibri"/>
        </w:rPr>
        <w:t>in</w:t>
      </w:r>
      <w:r w:rsidR="5F088012">
        <w:rPr>
          <w:rFonts w:ascii="Calibri" w:hAnsi="Calibri"/>
        </w:rPr>
        <w:t xml:space="preserve"> </w:t>
      </w:r>
      <w:r w:rsidR="5F088012" w:rsidRPr="2628E4BD">
        <w:rPr>
          <w:rFonts w:ascii="Calibri" w:hAnsi="Calibri"/>
        </w:rPr>
        <w:t>2020-21</w:t>
      </w:r>
      <w:r w:rsidR="00794C5C">
        <w:rPr>
          <w:rFonts w:ascii="Calibri" w:hAnsi="Calibri"/>
        </w:rPr>
        <w:t xml:space="preserve"> compared to 2019-2020</w:t>
      </w:r>
      <w:r w:rsidR="00C45527">
        <w:rPr>
          <w:rFonts w:ascii="Calibri" w:hAnsi="Calibri"/>
        </w:rPr>
        <w:t xml:space="preserve"> (Figure </w:t>
      </w:r>
      <w:r w:rsidR="00BC3FE0">
        <w:rPr>
          <w:rFonts w:ascii="Calibri" w:hAnsi="Calibri"/>
        </w:rPr>
        <w:t>2</w:t>
      </w:r>
      <w:r w:rsidR="00C45527">
        <w:rPr>
          <w:rFonts w:ascii="Calibri" w:hAnsi="Calibri"/>
        </w:rPr>
        <w:t>)</w:t>
      </w:r>
      <w:r w:rsidR="00794C5C">
        <w:rPr>
          <w:rFonts w:ascii="Calibri" w:hAnsi="Calibri"/>
        </w:rPr>
        <w:t>:</w:t>
      </w:r>
    </w:p>
    <w:p w14:paraId="27F7D51A" w14:textId="5257726F" w:rsidR="12587A16" w:rsidRDefault="00BC7258" w:rsidP="00184D5F">
      <w:pPr>
        <w:pStyle w:val="ListParagraph"/>
        <w:numPr>
          <w:ilvl w:val="0"/>
          <w:numId w:val="6"/>
        </w:numPr>
        <w:rPr>
          <w:rFonts w:ascii="Calibri" w:eastAsia="Calibri" w:hAnsi="Calibri" w:cs="Calibri"/>
          <w:lang w:val="en-US"/>
        </w:rPr>
      </w:pPr>
      <w:r>
        <w:rPr>
          <w:rFonts w:ascii="Calibri" w:eastAsia="Calibri" w:hAnsi="Calibri" w:cs="Calibri"/>
          <w:lang w:val="en-US"/>
        </w:rPr>
        <w:t>97</w:t>
      </w:r>
      <w:r w:rsidR="12587A16" w:rsidRPr="2628E4BD">
        <w:rPr>
          <w:rFonts w:ascii="Calibri" w:eastAsia="Calibri" w:hAnsi="Calibri" w:cs="Calibri"/>
          <w:lang w:val="en-US"/>
        </w:rPr>
        <w:t xml:space="preserve"> per cent of PHNs were supporting specialist drug and alcohol treatment service providers to have or work towards accreditation. This is an increase from 8</w:t>
      </w:r>
      <w:r w:rsidR="00F8684A">
        <w:rPr>
          <w:rFonts w:ascii="Calibri" w:eastAsia="Calibri" w:hAnsi="Calibri" w:cs="Calibri"/>
          <w:lang w:val="en-US"/>
        </w:rPr>
        <w:t>7</w:t>
      </w:r>
      <w:r w:rsidR="12587A16" w:rsidRPr="2628E4BD">
        <w:rPr>
          <w:rFonts w:ascii="Calibri" w:eastAsia="Calibri" w:hAnsi="Calibri" w:cs="Calibri"/>
          <w:lang w:val="en-US"/>
        </w:rPr>
        <w:t xml:space="preserve"> per cent in 2019-20.</w:t>
      </w:r>
    </w:p>
    <w:p w14:paraId="49EB5151" w14:textId="08239866" w:rsidR="77C7A1AB" w:rsidRPr="000100EB" w:rsidRDefault="000B5A4A" w:rsidP="00184D5F">
      <w:pPr>
        <w:pStyle w:val="ListParagraph"/>
        <w:numPr>
          <w:ilvl w:val="0"/>
          <w:numId w:val="6"/>
        </w:numPr>
        <w:rPr>
          <w:rFonts w:ascii="Calibri" w:eastAsia="Calibri" w:hAnsi="Calibri" w:cs="Calibri"/>
          <w:lang w:val="en-US"/>
        </w:rPr>
      </w:pPr>
      <w:r>
        <w:rPr>
          <w:rFonts w:ascii="Calibri" w:eastAsia="Calibri" w:hAnsi="Calibri" w:cs="Calibri"/>
          <w:lang w:val="en-US"/>
        </w:rPr>
        <w:t>90</w:t>
      </w:r>
      <w:r w:rsidR="000100EB" w:rsidRPr="6CCEAF67">
        <w:rPr>
          <w:rFonts w:ascii="Calibri" w:eastAsia="Calibri" w:hAnsi="Calibri" w:cs="Calibri"/>
          <w:lang w:val="en-US"/>
        </w:rPr>
        <w:t xml:space="preserve"> per cent</w:t>
      </w:r>
      <w:r w:rsidR="77C7A1AB" w:rsidRPr="6CCEAF67">
        <w:rPr>
          <w:rFonts w:ascii="Calibri" w:eastAsia="Calibri" w:hAnsi="Calibri" w:cs="Calibri"/>
          <w:lang w:val="en-US"/>
        </w:rPr>
        <w:t xml:space="preserve"> of PHNs </w:t>
      </w:r>
      <w:r w:rsidR="1BDD3224" w:rsidRPr="6CCEAF67">
        <w:rPr>
          <w:rFonts w:ascii="Calibri" w:eastAsia="Calibri" w:hAnsi="Calibri" w:cs="Calibri"/>
          <w:lang w:val="en-US"/>
        </w:rPr>
        <w:t xml:space="preserve">were </w:t>
      </w:r>
      <w:r w:rsidR="77C7A1AB" w:rsidRPr="6CCEAF67">
        <w:rPr>
          <w:rFonts w:ascii="Calibri" w:eastAsia="Calibri" w:hAnsi="Calibri" w:cs="Calibri"/>
          <w:lang w:val="en-US"/>
        </w:rPr>
        <w:t>support</w:t>
      </w:r>
      <w:r w:rsidR="01209830" w:rsidRPr="6CCEAF67">
        <w:rPr>
          <w:rFonts w:ascii="Calibri" w:eastAsia="Calibri" w:hAnsi="Calibri" w:cs="Calibri"/>
          <w:lang w:val="en-US"/>
        </w:rPr>
        <w:t>ing</w:t>
      </w:r>
      <w:r w:rsidR="77C7A1AB" w:rsidRPr="6CCEAF67">
        <w:rPr>
          <w:rFonts w:ascii="Calibri" w:eastAsia="Calibri" w:hAnsi="Calibri" w:cs="Calibri"/>
          <w:lang w:val="en-US"/>
        </w:rPr>
        <w:t xml:space="preserve"> drug and alcohol commissioned health professionals in their region</w:t>
      </w:r>
      <w:r w:rsidR="53A6AEA3" w:rsidRPr="6CCEAF67">
        <w:rPr>
          <w:rFonts w:ascii="Calibri" w:eastAsia="Calibri" w:hAnsi="Calibri" w:cs="Calibri"/>
          <w:lang w:val="en-US"/>
        </w:rPr>
        <w:t xml:space="preserve">. This is an increase from </w:t>
      </w:r>
      <w:r>
        <w:rPr>
          <w:rFonts w:ascii="Calibri" w:eastAsia="Calibri" w:hAnsi="Calibri" w:cs="Calibri"/>
          <w:lang w:val="en-US"/>
        </w:rPr>
        <w:t>84</w:t>
      </w:r>
      <w:r w:rsidR="06F46D41" w:rsidRPr="6CCEAF67">
        <w:rPr>
          <w:rFonts w:ascii="Calibri" w:eastAsia="Calibri" w:hAnsi="Calibri" w:cs="Calibri"/>
          <w:lang w:val="en-US"/>
        </w:rPr>
        <w:t xml:space="preserve"> </w:t>
      </w:r>
      <w:r w:rsidR="53A6AEA3" w:rsidRPr="6CCEAF67">
        <w:rPr>
          <w:rFonts w:ascii="Calibri" w:eastAsia="Calibri" w:hAnsi="Calibri" w:cs="Calibri"/>
          <w:lang w:val="en-US"/>
        </w:rPr>
        <w:t>per cent in 2019-20.</w:t>
      </w:r>
      <w:r w:rsidR="77C7A1AB" w:rsidRPr="6CCEAF67">
        <w:rPr>
          <w:rFonts w:ascii="Calibri" w:eastAsia="Calibri" w:hAnsi="Calibri" w:cs="Calibri"/>
          <w:lang w:val="en-US"/>
        </w:rPr>
        <w:t xml:space="preserve"> </w:t>
      </w:r>
    </w:p>
    <w:p w14:paraId="41613F25" w14:textId="2ACFCCBE" w:rsidR="00F90B59" w:rsidRPr="00F90B59" w:rsidRDefault="00F90B59" w:rsidP="00184D5F">
      <w:pPr>
        <w:pStyle w:val="ListParagraph"/>
        <w:numPr>
          <w:ilvl w:val="0"/>
          <w:numId w:val="6"/>
        </w:numPr>
        <w:spacing w:line="276" w:lineRule="auto"/>
        <w:rPr>
          <w:rFonts w:ascii="Calibri" w:eastAsia="Calibri" w:hAnsi="Calibri" w:cs="Calibri"/>
          <w:lang w:val="en-US"/>
        </w:rPr>
      </w:pPr>
      <w:r w:rsidRPr="2628E4BD">
        <w:rPr>
          <w:rFonts w:ascii="Calibri" w:eastAsia="Calibri" w:hAnsi="Calibri" w:cs="Calibri"/>
          <w:lang w:val="en-US"/>
        </w:rPr>
        <w:t>All PHNs had a commissioning framework in 2020-21</w:t>
      </w:r>
      <w:r w:rsidR="00274F2A">
        <w:rPr>
          <w:rFonts w:ascii="Calibri" w:eastAsia="Calibri" w:hAnsi="Calibri" w:cs="Calibri"/>
          <w:lang w:val="en-US"/>
        </w:rPr>
        <w:t>, as they did in the previous year</w:t>
      </w:r>
      <w:r w:rsidRPr="2628E4BD">
        <w:rPr>
          <w:rFonts w:ascii="Calibri" w:eastAsia="Calibri" w:hAnsi="Calibri" w:cs="Calibri"/>
          <w:lang w:val="en-US"/>
        </w:rPr>
        <w:t>. The commissioning framework assists them to fulfil their commissioning role in a strategic way.</w:t>
      </w:r>
    </w:p>
    <w:p w14:paraId="17FF64B5" w14:textId="0C948FBC" w:rsidR="3EC93E4E" w:rsidRDefault="3EC93E4E" w:rsidP="3EC93E4E">
      <w:pPr>
        <w:keepNext/>
        <w:rPr>
          <w:highlight w:val="yellow"/>
        </w:rPr>
      </w:pPr>
    </w:p>
    <w:p w14:paraId="7F411985" w14:textId="793C3D03" w:rsidR="000100EB" w:rsidRDefault="000100EB" w:rsidP="000100EB">
      <w:pPr>
        <w:pStyle w:val="Caption"/>
        <w:keepNext/>
      </w:pPr>
      <w:r>
        <w:t xml:space="preserve">Figure </w:t>
      </w:r>
      <w:r w:rsidR="00BC3FE0">
        <w:t>2</w:t>
      </w:r>
      <w:r>
        <w:t xml:space="preserve">: </w:t>
      </w:r>
      <w:r w:rsidR="007A2AF4">
        <w:t>Proportion</w:t>
      </w:r>
      <w:r>
        <w:t xml:space="preserve"> of PHNs that met performance targets by Workforce indicator</w:t>
      </w:r>
    </w:p>
    <w:p w14:paraId="1A9B009B" w14:textId="77777777" w:rsidR="00745F39" w:rsidRDefault="009B6833" w:rsidP="00745F39">
      <w:pPr>
        <w:pStyle w:val="Caption"/>
      </w:pPr>
      <w:r>
        <w:rPr>
          <w:noProof/>
          <w:lang w:eastAsia="en-US"/>
        </w:rPr>
        <w:drawing>
          <wp:inline distT="0" distB="0" distL="0" distR="0" wp14:anchorId="7B3D526B" wp14:editId="53A63A10">
            <wp:extent cx="4511675" cy="2865120"/>
            <wp:effectExtent l="0" t="0" r="3175" b="0"/>
            <wp:docPr id="5" name="Picture 5" descr="Bar chart comparing the proportion of PHNs that met performance targets by workforce indicator in 2019-20 and 2020-21 reporting periods. These comparisons are shown across three categories, 1. Drug and alcohol service providers suitably accredited, 2. Support for drug and alcohol commissioned health professionals and 3. PHN commissioning framework. PHNs are performing better in the most recent reporting period for the first two categories, while both reporting periods show 100% of PHNs reached their targets in the third catego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r chart comparing the proportion of PHNs that met performance targets by workforce indicator in 2019-20 and 2020-21 reporting periods. These comparisons are shown across three categories, 1. Drug and alcohol service providers suitably accredited, 2. Support for drug and alcohol commissioned health professionals and 3. PHN commissioning framework. PHNs are performing better in the most recent reporting period for the first two categories, while both reporting periods show 100% of PHNs reached their targets in the third category.&#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1675" cy="2865120"/>
                    </a:xfrm>
                    <a:prstGeom prst="rect">
                      <a:avLst/>
                    </a:prstGeom>
                    <a:noFill/>
                  </pic:spPr>
                </pic:pic>
              </a:graphicData>
            </a:graphic>
          </wp:inline>
        </w:drawing>
      </w:r>
      <w:r w:rsidR="00745F39">
        <w:rPr>
          <w:lang w:eastAsia="en-US"/>
        </w:rPr>
        <w:br/>
      </w:r>
      <w:r w:rsidR="00745F39">
        <w:t>Source: Performance reporting data provided by PHNs</w:t>
      </w:r>
    </w:p>
    <w:p w14:paraId="56CC9782" w14:textId="4760259C" w:rsidR="005B59BA" w:rsidRDefault="00AD0275" w:rsidP="00F003ED">
      <w:pPr>
        <w:spacing w:line="276" w:lineRule="auto"/>
        <w:rPr>
          <w:rFonts w:ascii="Segoe UI" w:hAnsi="Segoe UI" w:cs="Segoe UI"/>
          <w:i/>
          <w:iCs/>
          <w:color w:val="44546A"/>
          <w:sz w:val="18"/>
          <w:szCs w:val="18"/>
        </w:rPr>
      </w:pPr>
      <w:r>
        <w:br/>
      </w:r>
      <w:bookmarkStart w:id="22" w:name="_Hlk133233521"/>
      <w:r w:rsidR="005B59BA" w:rsidRPr="000C720B">
        <w:t xml:space="preserve">The average number of workforce performance targets met </w:t>
      </w:r>
      <w:r w:rsidR="00C334AE">
        <w:t xml:space="preserve">by PHNs </w:t>
      </w:r>
      <w:r w:rsidR="005B59BA" w:rsidRPr="000C720B">
        <w:t xml:space="preserve">improved </w:t>
      </w:r>
      <w:r w:rsidR="00C334AE">
        <w:t>year-on-year</w:t>
      </w:r>
      <w:r w:rsidR="005B59BA" w:rsidRPr="000C720B">
        <w:t xml:space="preserve"> in both regional and metropolitan areas compared to 2019-20</w:t>
      </w:r>
      <w:r w:rsidR="005B59BA">
        <w:t xml:space="preserve"> (</w:t>
      </w:r>
      <w:r w:rsidR="005B59BA" w:rsidRPr="000C720B">
        <w:t xml:space="preserve">Figure </w:t>
      </w:r>
      <w:r w:rsidR="00BC3FE0">
        <w:t>3</w:t>
      </w:r>
      <w:r w:rsidR="005B59BA" w:rsidRPr="000C720B">
        <w:t>).</w:t>
      </w:r>
      <w:bookmarkEnd w:id="22"/>
    </w:p>
    <w:p w14:paraId="1C421C98" w14:textId="78EA2FCD" w:rsidR="005B59BA" w:rsidRDefault="005B59BA" w:rsidP="005B59BA">
      <w:pPr>
        <w:pStyle w:val="paragraph"/>
        <w:spacing w:before="0" w:beforeAutospacing="0" w:after="0" w:afterAutospacing="0"/>
        <w:textAlignment w:val="baseline"/>
        <w:rPr>
          <w:rFonts w:ascii="Segoe UI" w:hAnsi="Segoe UI" w:cs="Segoe UI"/>
          <w:i/>
          <w:iCs/>
          <w:color w:val="44546A"/>
          <w:sz w:val="18"/>
          <w:szCs w:val="18"/>
        </w:rPr>
      </w:pPr>
      <w:r>
        <w:rPr>
          <w:rStyle w:val="eop"/>
        </w:rPr>
        <w:t> </w:t>
      </w:r>
      <w:r w:rsidR="00E5260D">
        <w:rPr>
          <w:rStyle w:val="eop"/>
        </w:rPr>
        <w:br/>
      </w:r>
      <w:r>
        <w:rPr>
          <w:rStyle w:val="normaltextrun"/>
          <w:i/>
          <w:iCs/>
          <w:color w:val="44546A"/>
          <w:sz w:val="18"/>
          <w:szCs w:val="18"/>
        </w:rPr>
        <w:t xml:space="preserve">Figure </w:t>
      </w:r>
      <w:r w:rsidR="00BC3FE0">
        <w:rPr>
          <w:rStyle w:val="normaltextrun"/>
          <w:i/>
          <w:iCs/>
          <w:color w:val="44546A"/>
          <w:sz w:val="18"/>
          <w:szCs w:val="18"/>
        </w:rPr>
        <w:t>3</w:t>
      </w:r>
      <w:r>
        <w:rPr>
          <w:rStyle w:val="normaltextrun"/>
          <w:i/>
          <w:iCs/>
          <w:color w:val="44546A"/>
          <w:sz w:val="18"/>
          <w:szCs w:val="18"/>
        </w:rPr>
        <w:t xml:space="preserve">: Average number of Workforce performance targets </w:t>
      </w:r>
      <w:r w:rsidR="00F2116E">
        <w:rPr>
          <w:rStyle w:val="normaltextrun"/>
          <w:i/>
          <w:iCs/>
          <w:color w:val="44546A"/>
          <w:sz w:val="18"/>
          <w:szCs w:val="18"/>
        </w:rPr>
        <w:t>met by remoteness</w:t>
      </w:r>
    </w:p>
    <w:p w14:paraId="0DC473FB" w14:textId="7E6441C3" w:rsidR="00745F39" w:rsidRPr="002A7020" w:rsidRDefault="005B59BA" w:rsidP="00745F39">
      <w:pPr>
        <w:pStyle w:val="Caption"/>
        <w:rPr>
          <w:rFonts w:ascii="Segoe UI" w:hAnsi="Segoe UI" w:cs="Segoe UI"/>
          <w:color w:val="44546A"/>
        </w:rPr>
      </w:pPr>
      <w:r>
        <w:rPr>
          <w:noProof/>
          <w:lang w:eastAsia="en-US"/>
        </w:rPr>
        <w:drawing>
          <wp:inline distT="0" distB="0" distL="0" distR="0" wp14:anchorId="3B96268C" wp14:editId="231EB1BB">
            <wp:extent cx="4514850" cy="2352675"/>
            <wp:effectExtent l="0" t="0" r="0" b="9525"/>
            <wp:docPr id="2" name="Picture 2" descr="Bar chart showing the average number of workforce performance targets met by remoteness. The chart shows that both metropolitan and regional workforce targets have improved from 2019-20 to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r chart showing the average number of workforce performance targets met by remoteness. The chart shows that both metropolitan and regional workforce targets have improved from 2019-20 to 2020-21 reporting periods."/>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514850" cy="2352675"/>
                    </a:xfrm>
                    <a:prstGeom prst="rect">
                      <a:avLst/>
                    </a:prstGeom>
                    <a:noFill/>
                    <a:ln>
                      <a:noFill/>
                    </a:ln>
                  </pic:spPr>
                </pic:pic>
              </a:graphicData>
            </a:graphic>
          </wp:inline>
        </w:drawing>
      </w:r>
      <w:r>
        <w:rPr>
          <w:rStyle w:val="eop"/>
          <w:color w:val="44546A"/>
        </w:rPr>
        <w:t> </w:t>
      </w:r>
      <w:r w:rsidR="00745F39">
        <w:rPr>
          <w:rStyle w:val="eop"/>
          <w:i w:val="0"/>
          <w:iCs w:val="0"/>
          <w:color w:val="44546A"/>
        </w:rPr>
        <w:br/>
      </w:r>
      <w:r w:rsidR="00745F39">
        <w:rPr>
          <w:rStyle w:val="normaltextrun"/>
          <w:color w:val="44546A"/>
        </w:rPr>
        <w:t>Source: performance reporting data provided by PHNs</w:t>
      </w:r>
      <w:r w:rsidR="00745F39">
        <w:rPr>
          <w:rStyle w:val="normaltextrun"/>
          <w:i w:val="0"/>
          <w:iCs w:val="0"/>
          <w:color w:val="44546A"/>
        </w:rPr>
        <w:t>.</w:t>
      </w:r>
      <w:r w:rsidR="00745F39">
        <w:rPr>
          <w:rStyle w:val="eop"/>
          <w:color w:val="44546A"/>
        </w:rPr>
        <w:t> </w:t>
      </w:r>
      <w:r w:rsidR="00745F39" w:rsidRPr="00FE7889">
        <w:t>PHN remoteness classification is based on the Australian Statistical Geography Standar</w:t>
      </w:r>
      <w:r w:rsidR="00745F39">
        <w:t>d</w:t>
      </w:r>
      <w:r w:rsidR="00745F39" w:rsidRPr="00FE7889">
        <w:t>.</w:t>
      </w:r>
      <w:r w:rsidR="00745F39" w:rsidRPr="00FF15F2">
        <w:t xml:space="preserve"> PHN areas with at least 85</w:t>
      </w:r>
      <w:r w:rsidR="00630BD7">
        <w:t xml:space="preserve"> per cent</w:t>
      </w:r>
      <w:r w:rsidR="00745F39" w:rsidRPr="00FF15F2">
        <w:t xml:space="preserve"> of the population residing in </w:t>
      </w:r>
      <w:r w:rsidR="00745F39" w:rsidRPr="00FE7889">
        <w:t>Major cities</w:t>
      </w:r>
      <w:r w:rsidR="00745F39" w:rsidRPr="00FF15F2">
        <w:t> are classified as metropolitan, as defined by the Australian Bureau of Statistics, using the population distribution as of 30 June 2016. All other PHN areas are classified as regional PHN areas</w:t>
      </w:r>
      <w:r w:rsidR="00745F39" w:rsidRPr="00FE7889">
        <w:t>.</w:t>
      </w:r>
      <w:r w:rsidR="00745F39">
        <w:rPr>
          <w:rStyle w:val="eop"/>
          <w:color w:val="44546A"/>
        </w:rPr>
        <w:br/>
      </w:r>
    </w:p>
    <w:p w14:paraId="45436D7B" w14:textId="11537EA7" w:rsidR="007032D8" w:rsidRDefault="007032D8" w:rsidP="007032D8">
      <w:pPr>
        <w:pStyle w:val="Heading1"/>
      </w:pPr>
      <w:bookmarkStart w:id="23" w:name="_Toc136505526"/>
      <w:r>
        <w:lastRenderedPageBreak/>
        <w:t>Alcohol and Other Drugs</w:t>
      </w:r>
      <w:bookmarkEnd w:id="23"/>
    </w:p>
    <w:p w14:paraId="1ABC07CD" w14:textId="5A3DD379" w:rsidR="005977B6" w:rsidRDefault="005977B6" w:rsidP="00552F65">
      <w:pPr>
        <w:rPr>
          <w:szCs w:val="22"/>
        </w:rPr>
      </w:pPr>
      <w:r>
        <w:t xml:space="preserve">PHNs are tasked with increasing service delivery capacity of the alcohol and other drug treatment sector through improved regional coordination and commissioning of treatment services. All PHNs remained consistent with the rate of drug and alcohol commissioned providers actively delivering services in their regions, whilst being flexible to COVID-19 restrictions. PHNs continued to nurture established partnerships with key local drug and alcohol treatment service </w:t>
      </w:r>
      <w:proofErr w:type="gramStart"/>
      <w:r>
        <w:t>stakeholders, and</w:t>
      </w:r>
      <w:proofErr w:type="gramEnd"/>
      <w:r>
        <w:t xml:space="preserve"> worked with their commissioned service providers to improve the rate of suitable accreditation supporting best practice. Professional development continued through the year and, despite restrictions placed on the Australian workforce due to COVID-19, there was an increase in professional development events, training and services compared to the previous year. </w:t>
      </w:r>
    </w:p>
    <w:p w14:paraId="3A841585" w14:textId="77777777" w:rsidR="005977B6" w:rsidRDefault="005977B6" w:rsidP="005977B6">
      <w:pPr>
        <w:ind w:left="720"/>
      </w:pPr>
    </w:p>
    <w:p w14:paraId="783A652E" w14:textId="77777777" w:rsidR="005977B6" w:rsidRDefault="005977B6" w:rsidP="00552F65">
      <w:r>
        <w:t xml:space="preserve">Through the substantial efforts of the whole alcohol and other drug sector this year, minimal disruptions to service provision were seen despite significant public health challenges experienced. </w:t>
      </w:r>
    </w:p>
    <w:p w14:paraId="41D63388" w14:textId="77777777" w:rsidR="003A4133" w:rsidRDefault="003A4133" w:rsidP="00822E0E"/>
    <w:p w14:paraId="5A0D6820" w14:textId="7EA9595D" w:rsidR="00822E0E" w:rsidRPr="00417F61" w:rsidRDefault="00822E0E" w:rsidP="00822E0E">
      <w:r w:rsidRPr="00417F61">
        <w:t xml:space="preserve">All PHNs have </w:t>
      </w:r>
      <w:r w:rsidR="00B0088C" w:rsidRPr="00417F61">
        <w:t xml:space="preserve">continued to </w:t>
      </w:r>
      <w:r w:rsidRPr="00417F61">
        <w:t>me</w:t>
      </w:r>
      <w:r w:rsidR="00B0088C" w:rsidRPr="00417F61">
        <w:t>e</w:t>
      </w:r>
      <w:r w:rsidRPr="00417F61">
        <w:t>t</w:t>
      </w:r>
      <w:r w:rsidRPr="00417F61">
        <w:rPr>
          <w:spacing w:val="-3"/>
        </w:rPr>
        <w:t xml:space="preserve"> </w:t>
      </w:r>
      <w:r w:rsidRPr="00417F61">
        <w:t xml:space="preserve">the </w:t>
      </w:r>
      <w:r w:rsidR="00DA7F2A" w:rsidRPr="00417F61">
        <w:t xml:space="preserve">two </w:t>
      </w:r>
      <w:r w:rsidRPr="00417F61">
        <w:t>indicators</w:t>
      </w:r>
      <w:r w:rsidRPr="00417F61">
        <w:rPr>
          <w:spacing w:val="-2"/>
        </w:rPr>
        <w:t xml:space="preserve"> </w:t>
      </w:r>
      <w:r w:rsidR="00A645C4" w:rsidRPr="00417F61">
        <w:rPr>
          <w:spacing w:val="-2"/>
        </w:rPr>
        <w:t>in</w:t>
      </w:r>
      <w:r w:rsidRPr="00417F61">
        <w:t xml:space="preserve"> 2020-21</w:t>
      </w:r>
      <w:r w:rsidR="00C45527">
        <w:t xml:space="preserve"> (Figure </w:t>
      </w:r>
      <w:r w:rsidR="00BC3FE0">
        <w:t>4</w:t>
      </w:r>
      <w:r w:rsidR="00C45527">
        <w:t>)</w:t>
      </w:r>
      <w:r w:rsidRPr="00417F61">
        <w:t>. This includes:</w:t>
      </w:r>
    </w:p>
    <w:p w14:paraId="7BE5AC32" w14:textId="3D05194E" w:rsidR="00A645C4" w:rsidRPr="00417F61" w:rsidRDefault="00635977" w:rsidP="00964BE6">
      <w:pPr>
        <w:pStyle w:val="ListParagraph"/>
        <w:numPr>
          <w:ilvl w:val="0"/>
          <w:numId w:val="8"/>
        </w:numPr>
        <w:spacing w:line="276" w:lineRule="auto"/>
        <w:rPr>
          <w:rFonts w:ascii="Calibri" w:eastAsia="Calibri" w:hAnsi="Calibri" w:cs="Calibri"/>
          <w:szCs w:val="22"/>
          <w:lang w:eastAsia="en-US"/>
        </w:rPr>
      </w:pPr>
      <w:r w:rsidRPr="00417F61">
        <w:rPr>
          <w:rFonts w:ascii="Calibri" w:eastAsia="Calibri" w:hAnsi="Calibri" w:cs="Calibri"/>
          <w:szCs w:val="22"/>
          <w:lang w:eastAsia="en-US"/>
        </w:rPr>
        <w:t>The r</w:t>
      </w:r>
      <w:r w:rsidR="00A645C4" w:rsidRPr="00417F61">
        <w:rPr>
          <w:rFonts w:ascii="Calibri" w:eastAsia="Calibri" w:hAnsi="Calibri" w:cs="Calibri"/>
          <w:szCs w:val="22"/>
          <w:lang w:eastAsia="en-US"/>
        </w:rPr>
        <w:t>ate of drug and alcohol commissioned providers actively delivering services.</w:t>
      </w:r>
    </w:p>
    <w:p w14:paraId="350BE43A" w14:textId="77777777" w:rsidR="00A645C4" w:rsidRPr="00417F61" w:rsidRDefault="00A645C4" w:rsidP="00964BE6">
      <w:pPr>
        <w:pStyle w:val="ListParagraph"/>
        <w:numPr>
          <w:ilvl w:val="0"/>
          <w:numId w:val="8"/>
        </w:numPr>
        <w:spacing w:line="276" w:lineRule="auto"/>
        <w:rPr>
          <w:rFonts w:ascii="Calibri" w:eastAsia="Calibri" w:hAnsi="Calibri" w:cs="Calibri"/>
          <w:szCs w:val="22"/>
          <w:lang w:eastAsia="en-US"/>
        </w:rPr>
      </w:pPr>
      <w:r w:rsidRPr="00417F61">
        <w:rPr>
          <w:rFonts w:ascii="Calibri" w:eastAsia="Calibri" w:hAnsi="Calibri" w:cs="Calibri"/>
          <w:szCs w:val="22"/>
          <w:lang w:eastAsia="en-US"/>
        </w:rPr>
        <w:t>Partnerships established with local key stakeholders for drug and alcohol treatment services.</w:t>
      </w:r>
    </w:p>
    <w:p w14:paraId="61185D8A" w14:textId="5C9CE103" w:rsidR="00564E0F" w:rsidRDefault="00C45527" w:rsidP="00F003ED">
      <w:pPr>
        <w:pStyle w:val="Caption"/>
        <w:keepNext/>
        <w:rPr>
          <w:noProof/>
        </w:rPr>
      </w:pPr>
      <w:r>
        <w:br/>
      </w:r>
      <w:r w:rsidR="00635977">
        <w:t xml:space="preserve">Figure </w:t>
      </w:r>
      <w:r w:rsidR="00BC3FE0">
        <w:t>4</w:t>
      </w:r>
      <w:r w:rsidR="00635977">
        <w:t>: Proportion of PHNs that met performance targets by Alcohol and Other Drugs indicator</w:t>
      </w:r>
    </w:p>
    <w:p w14:paraId="1BFA83F8" w14:textId="6739227B" w:rsidR="002A7020" w:rsidRDefault="00564E0F" w:rsidP="00F003ED">
      <w:pPr>
        <w:pStyle w:val="Caption"/>
        <w:keepNext/>
      </w:pPr>
      <w:r>
        <w:rPr>
          <w:noProof/>
        </w:rPr>
        <w:drawing>
          <wp:inline distT="0" distB="0" distL="0" distR="0" wp14:anchorId="0CAFCC92" wp14:editId="292D9EE3">
            <wp:extent cx="4511675" cy="2261870"/>
            <wp:effectExtent l="0" t="0" r="3175" b="5080"/>
            <wp:docPr id="46" name="Picture 46" descr="Bar chart showing the proportion of PHNs meeting indicator targets by alcohol and other drugs indicators. The first category; commissioned providers actively delivering services shows 100% of PHNs met their targets in both 2019-20 and 2020-21 financial years. The second category; partnerships with local stakeholders shows 90% of targets met in 2018-19 and 100% in both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Bar chart showing the proportion of PHNs meeting indicator targets by alcohol and other drugs indicators. The first category; commissioned providers actively delivering services shows 100% of PHNs met their targets in both 2019-20 and 2020-21 financial years. The second category; partnerships with local stakeholders shows 90% of targets met in 2018-19 and 100% in both 2019-20 and 2020-21 reporting perio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1675" cy="2261870"/>
                    </a:xfrm>
                    <a:prstGeom prst="rect">
                      <a:avLst/>
                    </a:prstGeom>
                    <a:noFill/>
                  </pic:spPr>
                </pic:pic>
              </a:graphicData>
            </a:graphic>
          </wp:inline>
        </w:drawing>
      </w:r>
      <w:r w:rsidR="00E20B34">
        <w:br/>
      </w:r>
      <w:r w:rsidR="00635977">
        <w:rPr>
          <w:rStyle w:val="normaltextrun"/>
          <w:color w:val="44546A"/>
        </w:rPr>
        <w:t>Source: performance reporting data provided by PHNs</w:t>
      </w:r>
      <w:r w:rsidR="00635977">
        <w:rPr>
          <w:rStyle w:val="eop"/>
          <w:color w:val="44546A"/>
        </w:rPr>
        <w:t> </w:t>
      </w:r>
      <w:r w:rsidR="00F003ED">
        <w:br/>
      </w:r>
      <w:r w:rsidRPr="00D51002">
        <w:t>*Only 2019-20 and 2020-21 data are displayed as this performance measure was taken as a baseline in 2018-19.</w:t>
      </w:r>
    </w:p>
    <w:p w14:paraId="15ECBBA0" w14:textId="35E6B507" w:rsidR="00564E0F" w:rsidRDefault="00564E0F" w:rsidP="00564E0F"/>
    <w:p w14:paraId="6EBBA774" w14:textId="77777777" w:rsidR="00564E0F" w:rsidRPr="00564E0F" w:rsidRDefault="00564E0F" w:rsidP="00564E0F"/>
    <w:p w14:paraId="43B1DFBC" w14:textId="77777777" w:rsidR="003A4133" w:rsidRDefault="003A4133">
      <w:pPr>
        <w:spacing w:after="160" w:line="259" w:lineRule="auto"/>
        <w:rPr>
          <w:rFonts w:ascii="Calibri" w:hAnsi="Calibri" w:cs="Calibri"/>
          <w:b/>
          <w:bCs/>
          <w:color w:val="FFFFFF" w:themeColor="background1"/>
          <w:sz w:val="28"/>
          <w:szCs w:val="28"/>
          <w:lang w:eastAsia="en-US"/>
        </w:rPr>
      </w:pPr>
      <w:r>
        <w:br w:type="page"/>
      </w:r>
    </w:p>
    <w:p w14:paraId="5437AB9A" w14:textId="5183ADDD" w:rsidR="00046EB2" w:rsidRDefault="16C487FA" w:rsidP="00582BAC">
      <w:pPr>
        <w:pStyle w:val="Heading1"/>
      </w:pPr>
      <w:bookmarkStart w:id="24" w:name="_Toc136505527"/>
      <w:r>
        <w:lastRenderedPageBreak/>
        <w:t>General Practices</w:t>
      </w:r>
      <w:bookmarkEnd w:id="24"/>
    </w:p>
    <w:p w14:paraId="78F21FA2" w14:textId="6FC83C52" w:rsidR="006D26EA" w:rsidRDefault="2B5BFCD8" w:rsidP="006D26EA">
      <w:r>
        <w:t>There</w:t>
      </w:r>
      <w:r>
        <w:rPr>
          <w:spacing w:val="-1"/>
        </w:rPr>
        <w:t xml:space="preserve"> </w:t>
      </w:r>
      <w:r>
        <w:t>has</w:t>
      </w:r>
      <w:r>
        <w:rPr>
          <w:spacing w:val="-4"/>
        </w:rPr>
        <w:t xml:space="preserve"> </w:t>
      </w:r>
      <w:r>
        <w:t>been</w:t>
      </w:r>
      <w:r>
        <w:rPr>
          <w:spacing w:val="-2"/>
        </w:rPr>
        <w:t xml:space="preserve"> </w:t>
      </w:r>
      <w:r>
        <w:t>an</w:t>
      </w:r>
      <w:r>
        <w:rPr>
          <w:spacing w:val="-4"/>
        </w:rPr>
        <w:t xml:space="preserve"> </w:t>
      </w:r>
      <w:r>
        <w:t>overall</w:t>
      </w:r>
      <w:r>
        <w:rPr>
          <w:spacing w:val="-2"/>
        </w:rPr>
        <w:t xml:space="preserve"> </w:t>
      </w:r>
      <w:r>
        <w:t>increase</w:t>
      </w:r>
      <w:r>
        <w:rPr>
          <w:spacing w:val="-1"/>
        </w:rPr>
        <w:t xml:space="preserve"> </w:t>
      </w:r>
      <w:r>
        <w:t>from</w:t>
      </w:r>
      <w:r>
        <w:rPr>
          <w:spacing w:val="-2"/>
        </w:rPr>
        <w:t xml:space="preserve"> </w:t>
      </w:r>
      <w:r>
        <w:t>2019-</w:t>
      </w:r>
      <w:r w:rsidR="2CD6BFC1">
        <w:t xml:space="preserve">20 </w:t>
      </w:r>
      <w:r>
        <w:t>to 2020-21</w:t>
      </w:r>
      <w:r>
        <w:rPr>
          <w:spacing w:val="-1"/>
        </w:rPr>
        <w:t xml:space="preserve"> </w:t>
      </w:r>
      <w:r>
        <w:t>in</w:t>
      </w:r>
      <w:r>
        <w:rPr>
          <w:spacing w:val="-1"/>
        </w:rPr>
        <w:t xml:space="preserve"> </w:t>
      </w:r>
      <w:r>
        <w:t>the</w:t>
      </w:r>
      <w:r>
        <w:rPr>
          <w:spacing w:val="-4"/>
        </w:rPr>
        <w:t xml:space="preserve"> </w:t>
      </w:r>
      <w:r>
        <w:t>rate of</w:t>
      </w:r>
      <w:r>
        <w:rPr>
          <w:spacing w:val="-1"/>
        </w:rPr>
        <w:t xml:space="preserve"> </w:t>
      </w:r>
      <w:r>
        <w:t>general</w:t>
      </w:r>
      <w:r>
        <w:rPr>
          <w:spacing w:val="-1"/>
        </w:rPr>
        <w:t xml:space="preserve"> </w:t>
      </w:r>
      <w:r>
        <w:t>practices</w:t>
      </w:r>
      <w:r>
        <w:rPr>
          <w:spacing w:val="-1"/>
        </w:rPr>
        <w:t xml:space="preserve"> </w:t>
      </w:r>
      <w:r>
        <w:t>that</w:t>
      </w:r>
      <w:r>
        <w:rPr>
          <w:spacing w:val="-4"/>
        </w:rPr>
        <w:t xml:space="preserve"> </w:t>
      </w:r>
      <w:r>
        <w:t xml:space="preserve">are accredited, and </w:t>
      </w:r>
      <w:r w:rsidRPr="4286A396">
        <w:t>those that are receiving Practice Incentive Program (PIP) after hours payments</w:t>
      </w:r>
      <w:r>
        <w:t>.</w:t>
      </w:r>
    </w:p>
    <w:p w14:paraId="0C09DAE8" w14:textId="424A560F" w:rsidR="00B03ED9" w:rsidRPr="002B2152" w:rsidRDefault="002B2152" w:rsidP="00582BAC">
      <w:pPr>
        <w:pStyle w:val="Heading2"/>
      </w:pPr>
      <w:bookmarkStart w:id="25" w:name="_Toc136505528"/>
      <w:r w:rsidRPr="002B2152">
        <w:t>Accredit</w:t>
      </w:r>
      <w:r w:rsidR="00CA7022">
        <w:t>ed General Practices</w:t>
      </w:r>
      <w:bookmarkEnd w:id="25"/>
    </w:p>
    <w:p w14:paraId="7A908D0F" w14:textId="7DF43BC9" w:rsidR="006D26EA" w:rsidRDefault="2B5BFCD8" w:rsidP="006D26EA">
      <w:r>
        <w:t xml:space="preserve">Accreditation is a voluntary process for general practices to demonstrate they are meeting </w:t>
      </w:r>
      <w:r w:rsidR="00940E3A">
        <w:t>Residential Aged Care General Practice (</w:t>
      </w:r>
      <w:r>
        <w:t>RACGP</w:t>
      </w:r>
      <w:r w:rsidR="00940E3A">
        <w:t>)</w:t>
      </w:r>
      <w:r>
        <w:t xml:space="preserve"> safety</w:t>
      </w:r>
      <w:r>
        <w:rPr>
          <w:spacing w:val="-3"/>
        </w:rPr>
        <w:t xml:space="preserve"> </w:t>
      </w:r>
      <w:r>
        <w:t>and</w:t>
      </w:r>
      <w:r>
        <w:rPr>
          <w:spacing w:val="-3"/>
        </w:rPr>
        <w:t xml:space="preserve"> </w:t>
      </w:r>
      <w:r>
        <w:t>quality</w:t>
      </w:r>
      <w:r>
        <w:rPr>
          <w:spacing w:val="-3"/>
        </w:rPr>
        <w:t xml:space="preserve"> </w:t>
      </w:r>
      <w:r>
        <w:t>standards</w:t>
      </w:r>
      <w:r w:rsidR="006D26EA">
        <w:rPr>
          <w:rStyle w:val="FootnoteReference"/>
        </w:rPr>
        <w:footnoteReference w:id="2"/>
      </w:r>
      <w:r>
        <w:t>.</w:t>
      </w:r>
      <w:r>
        <w:rPr>
          <w:spacing w:val="-3"/>
        </w:rPr>
        <w:t xml:space="preserve"> </w:t>
      </w:r>
      <w:r>
        <w:t>The</w:t>
      </w:r>
      <w:r>
        <w:rPr>
          <w:spacing w:val="-4"/>
        </w:rPr>
        <w:t xml:space="preserve"> </w:t>
      </w:r>
      <w:r>
        <w:t>PIP</w:t>
      </w:r>
      <w:r>
        <w:rPr>
          <w:spacing w:val="-4"/>
        </w:rPr>
        <w:t xml:space="preserve"> </w:t>
      </w:r>
      <w:r>
        <w:t>payments</w:t>
      </w:r>
      <w:r>
        <w:rPr>
          <w:spacing w:val="-4"/>
        </w:rPr>
        <w:t xml:space="preserve"> </w:t>
      </w:r>
      <w:r>
        <w:t>measured</w:t>
      </w:r>
      <w:r>
        <w:rPr>
          <w:spacing w:val="-2"/>
        </w:rPr>
        <w:t xml:space="preserve"> </w:t>
      </w:r>
      <w:r>
        <w:t>were</w:t>
      </w:r>
      <w:r>
        <w:rPr>
          <w:spacing w:val="-1"/>
        </w:rPr>
        <w:t xml:space="preserve"> </w:t>
      </w:r>
      <w:r>
        <w:t>the</w:t>
      </w:r>
      <w:r>
        <w:rPr>
          <w:spacing w:val="-1"/>
        </w:rPr>
        <w:t xml:space="preserve"> </w:t>
      </w:r>
      <w:r>
        <w:t>participation</w:t>
      </w:r>
      <w:r>
        <w:rPr>
          <w:spacing w:val="-5"/>
        </w:rPr>
        <w:t xml:space="preserve"> </w:t>
      </w:r>
      <w:r>
        <w:t>payment,</w:t>
      </w:r>
      <w:r>
        <w:rPr>
          <w:spacing w:val="-2"/>
        </w:rPr>
        <w:t xml:space="preserve"> </w:t>
      </w:r>
      <w:r>
        <w:t>sociable after</w:t>
      </w:r>
      <w:r>
        <w:rPr>
          <w:spacing w:val="-1"/>
        </w:rPr>
        <w:t xml:space="preserve"> </w:t>
      </w:r>
      <w:r>
        <w:t>hours</w:t>
      </w:r>
      <w:r>
        <w:rPr>
          <w:spacing w:val="-1"/>
        </w:rPr>
        <w:t xml:space="preserve"> </w:t>
      </w:r>
      <w:r>
        <w:t>cooperative and</w:t>
      </w:r>
      <w:r>
        <w:rPr>
          <w:spacing w:val="-2"/>
        </w:rPr>
        <w:t xml:space="preserve"> </w:t>
      </w:r>
      <w:r>
        <w:t>practice</w:t>
      </w:r>
      <w:r>
        <w:rPr>
          <w:spacing w:val="-3"/>
        </w:rPr>
        <w:t xml:space="preserve"> </w:t>
      </w:r>
      <w:r>
        <w:t>coverage payments, and</w:t>
      </w:r>
      <w:r>
        <w:rPr>
          <w:spacing w:val="-2"/>
        </w:rPr>
        <w:t xml:space="preserve"> </w:t>
      </w:r>
      <w:r>
        <w:t>complete</w:t>
      </w:r>
      <w:r>
        <w:rPr>
          <w:spacing w:val="-3"/>
        </w:rPr>
        <w:t xml:space="preserve"> </w:t>
      </w:r>
      <w:r>
        <w:t>after</w:t>
      </w:r>
      <w:r>
        <w:rPr>
          <w:spacing w:val="-4"/>
        </w:rPr>
        <w:t xml:space="preserve"> </w:t>
      </w:r>
      <w:r>
        <w:t>hours</w:t>
      </w:r>
      <w:r>
        <w:rPr>
          <w:spacing w:val="-1"/>
        </w:rPr>
        <w:t xml:space="preserve"> </w:t>
      </w:r>
      <w:r>
        <w:t>cooperative</w:t>
      </w:r>
      <w:r>
        <w:rPr>
          <w:spacing w:val="-3"/>
        </w:rPr>
        <w:t xml:space="preserve"> </w:t>
      </w:r>
      <w:r>
        <w:t>and practice coverage payments.</w:t>
      </w:r>
    </w:p>
    <w:p w14:paraId="168070C9" w14:textId="77777777" w:rsidR="006D26EA" w:rsidRDefault="006D26EA" w:rsidP="006D26EA"/>
    <w:p w14:paraId="24457AAA" w14:textId="705081B0" w:rsidR="006D26EA" w:rsidRDefault="2B5BFCD8" w:rsidP="006D26EA">
      <w:r>
        <w:t xml:space="preserve">The </w:t>
      </w:r>
      <w:r w:rsidR="2A71199E">
        <w:t>average</w:t>
      </w:r>
      <w:r>
        <w:t xml:space="preserve"> </w:t>
      </w:r>
      <w:r w:rsidR="48261B08">
        <w:t>general practice accreditation rate in 2020-21 was 82 per cent</w:t>
      </w:r>
      <w:r>
        <w:t xml:space="preserve"> (up from</w:t>
      </w:r>
      <w:r w:rsidR="741B6F2F">
        <w:t xml:space="preserve"> 77 per cent</w:t>
      </w:r>
      <w:r>
        <w:t xml:space="preserve"> in 2019-20), and the </w:t>
      </w:r>
      <w:r w:rsidR="391058E3">
        <w:t xml:space="preserve">average </w:t>
      </w:r>
      <w:r>
        <w:t>accreditation rate increased</w:t>
      </w:r>
      <w:r>
        <w:rPr>
          <w:spacing w:val="-2"/>
        </w:rPr>
        <w:t xml:space="preserve"> </w:t>
      </w:r>
      <w:r>
        <w:t>in</w:t>
      </w:r>
      <w:r>
        <w:rPr>
          <w:spacing w:val="-4"/>
        </w:rPr>
        <w:t xml:space="preserve"> </w:t>
      </w:r>
      <w:r w:rsidR="003C3906">
        <w:t>7</w:t>
      </w:r>
      <w:r w:rsidR="00F33829">
        <w:t>1</w:t>
      </w:r>
      <w:r w:rsidR="345B3E5B" w:rsidRPr="4286A396">
        <w:t xml:space="preserve"> per cent </w:t>
      </w:r>
      <w:r>
        <w:t>of</w:t>
      </w:r>
      <w:r>
        <w:rPr>
          <w:spacing w:val="-3"/>
        </w:rPr>
        <w:t xml:space="preserve"> </w:t>
      </w:r>
      <w:r>
        <w:t>PHNs</w:t>
      </w:r>
      <w:r w:rsidR="00497B08">
        <w:t xml:space="preserve"> </w:t>
      </w:r>
      <w:r w:rsidR="00497B08" w:rsidRPr="00C45527">
        <w:t xml:space="preserve">(Figure </w:t>
      </w:r>
      <w:r w:rsidR="00BC3FE0">
        <w:t>5</w:t>
      </w:r>
      <w:r w:rsidR="00497B08" w:rsidRPr="00D3538E">
        <w:t>)</w:t>
      </w:r>
      <w:r>
        <w:t>.</w:t>
      </w:r>
      <w:r>
        <w:rPr>
          <w:spacing w:val="-4"/>
        </w:rPr>
        <w:t xml:space="preserve"> </w:t>
      </w:r>
    </w:p>
    <w:p w14:paraId="3C678FA3" w14:textId="6D2EEB32" w:rsidR="4286A396" w:rsidRDefault="4286A396" w:rsidP="4286A396"/>
    <w:p w14:paraId="30D843EF" w14:textId="2D4C08D3" w:rsidR="26AAC991" w:rsidRDefault="26AAC991" w:rsidP="4286A396">
      <w:pPr>
        <w:pStyle w:val="Caption"/>
        <w:keepNext/>
      </w:pPr>
      <w:r>
        <w:t>Fi</w:t>
      </w:r>
      <w:r w:rsidR="58580B45">
        <w:t xml:space="preserve">gure </w:t>
      </w:r>
      <w:r w:rsidR="00BC3FE0">
        <w:t>5</w:t>
      </w:r>
      <w:r w:rsidR="58580B45">
        <w:t>: Average general practice accreditation rate</w:t>
      </w:r>
    </w:p>
    <w:p w14:paraId="5701E6F4" w14:textId="2C21729B" w:rsidR="002B2152" w:rsidRDefault="00362298" w:rsidP="002A7020">
      <w:pPr>
        <w:pStyle w:val="Caption"/>
        <w:keepNext/>
        <w:rPr>
          <w:lang w:eastAsia="en-US"/>
        </w:rPr>
      </w:pPr>
      <w:r>
        <w:rPr>
          <w:noProof/>
          <w:color w:val="2B579A"/>
          <w:shd w:val="clear" w:color="auto" w:fill="E6E6E6"/>
          <w:lang w:eastAsia="en-US"/>
        </w:rPr>
        <w:drawing>
          <wp:inline distT="0" distB="0" distL="0" distR="0" wp14:anchorId="3D0F1ACE" wp14:editId="2F13720D">
            <wp:extent cx="4511675" cy="2234242"/>
            <wp:effectExtent l="0" t="0" r="3175" b="0"/>
            <wp:docPr id="34" name="Picture 34" descr="Bar chart comparing 2019-20 and 2020-21 reporting periods by average GP accreditatio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Bar chart comparing 2019-20 and 2020-21 reporting periods by average GP accreditation rat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5969" cy="2236368"/>
                    </a:xfrm>
                    <a:prstGeom prst="rect">
                      <a:avLst/>
                    </a:prstGeom>
                    <a:noFill/>
                  </pic:spPr>
                </pic:pic>
              </a:graphicData>
            </a:graphic>
          </wp:inline>
        </w:drawing>
      </w:r>
      <w:r w:rsidR="002A7020">
        <w:rPr>
          <w:lang w:eastAsia="en-US"/>
        </w:rPr>
        <w:br/>
      </w:r>
      <w:r w:rsidR="6CBC9E06" w:rsidRPr="4286A396">
        <w:rPr>
          <w:lang w:eastAsia="en-US"/>
        </w:rPr>
        <w:t xml:space="preserve">Source: </w:t>
      </w:r>
      <w:r w:rsidR="26AAC991">
        <w:t>performance reporting data provided by PHNs</w:t>
      </w:r>
    </w:p>
    <w:p w14:paraId="1A095E29" w14:textId="0EE6CEDF" w:rsidR="4286A396" w:rsidRDefault="4286A396" w:rsidP="4286A396"/>
    <w:p w14:paraId="1E6DA084" w14:textId="5740A586" w:rsidR="00554A6F" w:rsidRDefault="00554A6F" w:rsidP="4286A396">
      <w:r>
        <w:t>Accreditation</w:t>
      </w:r>
      <w:r>
        <w:rPr>
          <w:spacing w:val="-2"/>
        </w:rPr>
        <w:t xml:space="preserve"> </w:t>
      </w:r>
      <w:r>
        <w:t xml:space="preserve">rates </w:t>
      </w:r>
      <w:r w:rsidR="00BA0DA2">
        <w:t>increased in 20</w:t>
      </w:r>
      <w:r w:rsidR="007D1901">
        <w:t xml:space="preserve">20-21 in </w:t>
      </w:r>
      <w:r w:rsidR="00BA0DA2">
        <w:t>both regional and metropolitan areas</w:t>
      </w:r>
      <w:r w:rsidR="007D1901">
        <w:t xml:space="preserve"> compared to 2019-20</w:t>
      </w:r>
      <w:r w:rsidR="00BA0DA2">
        <w:t xml:space="preserve">. </w:t>
      </w:r>
      <w:r w:rsidR="00C27E29">
        <w:t xml:space="preserve">Accreditation rates </w:t>
      </w:r>
      <w:r>
        <w:t xml:space="preserve">were also higher in regional areas (89 per cent) compared to metropolitan areas (78 per cent). This is consistent with findings from </w:t>
      </w:r>
      <w:r w:rsidR="00C27E29">
        <w:t xml:space="preserve">the previous year </w:t>
      </w:r>
      <w:r w:rsidR="00506132">
        <w:t>(</w:t>
      </w:r>
      <w:r>
        <w:t>83 per cent and 74 per cent respectively</w:t>
      </w:r>
      <w:r w:rsidR="00506132">
        <w:t xml:space="preserve"> </w:t>
      </w:r>
      <w:r>
        <w:t>in 2019-20</w:t>
      </w:r>
      <w:r w:rsidR="00506132">
        <w:t>),</w:t>
      </w:r>
      <w:r>
        <w:t xml:space="preserve"> </w:t>
      </w:r>
      <w:r w:rsidRPr="00C45527">
        <w:t xml:space="preserve">(Figure </w:t>
      </w:r>
      <w:r w:rsidR="00BC3FE0">
        <w:t>6</w:t>
      </w:r>
      <w:r w:rsidRPr="00D3538E">
        <w:t>)</w:t>
      </w:r>
      <w:r>
        <w:t>.</w:t>
      </w:r>
    </w:p>
    <w:p w14:paraId="15A999BC" w14:textId="77777777" w:rsidR="00BF481B" w:rsidRDefault="00BF481B" w:rsidP="4286A396"/>
    <w:p w14:paraId="590C6E9D" w14:textId="3D55C318" w:rsidR="3EC34239" w:rsidRDefault="3EC34239" w:rsidP="4286A396">
      <w:pPr>
        <w:pStyle w:val="Caption"/>
        <w:keepNext/>
      </w:pPr>
      <w:r>
        <w:t xml:space="preserve">Figure </w:t>
      </w:r>
      <w:r w:rsidR="00BC3FE0">
        <w:t>6</w:t>
      </w:r>
      <w:r>
        <w:t>: Average general practice accreditation rate by remoteness</w:t>
      </w:r>
    </w:p>
    <w:p w14:paraId="48C4AC40" w14:textId="5E6CD13A" w:rsidR="00BC44EA" w:rsidRDefault="00924AB2" w:rsidP="00745F39">
      <w:pPr>
        <w:pStyle w:val="Caption"/>
        <w:rPr>
          <w:rFonts w:ascii="Calibri" w:hAnsi="Calibri" w:cs="Calibri"/>
          <w:b/>
          <w:bCs/>
          <w:color w:val="003D69"/>
          <w:sz w:val="24"/>
          <w:lang w:eastAsia="en-US"/>
        </w:rPr>
      </w:pPr>
      <w:r>
        <w:rPr>
          <w:noProof/>
          <w:lang w:eastAsia="en-US"/>
        </w:rPr>
        <w:drawing>
          <wp:inline distT="0" distB="0" distL="0" distR="0" wp14:anchorId="294B1EB9" wp14:editId="2300E4C4">
            <wp:extent cx="4511675" cy="2346960"/>
            <wp:effectExtent l="0" t="0" r="3175" b="0"/>
            <wp:docPr id="21" name="Picture 21" descr="Bar chart comparing GP accreditation rate by remoteness areas across 2019-20 and 2020-21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ar chart comparing GP accreditation rate by remoteness areas across 2019-20 and 2020-21 reporting period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1675" cy="2346960"/>
                    </a:xfrm>
                    <a:prstGeom prst="rect">
                      <a:avLst/>
                    </a:prstGeom>
                    <a:noFill/>
                  </pic:spPr>
                </pic:pic>
              </a:graphicData>
            </a:graphic>
          </wp:inline>
        </w:drawing>
      </w:r>
      <w:r w:rsidR="002A7020">
        <w:rPr>
          <w:lang w:eastAsia="en-US"/>
        </w:rPr>
        <w:br/>
      </w:r>
      <w:r w:rsidR="38334ACE" w:rsidRPr="002A7020">
        <w:rPr>
          <w:lang w:eastAsia="en-US"/>
        </w:rPr>
        <w:t>Source: performance reporting data provided by PHNs</w:t>
      </w:r>
      <w:r w:rsidR="0016616E">
        <w:rPr>
          <w:lang w:eastAsia="en-US"/>
        </w:rPr>
        <w:br/>
      </w:r>
    </w:p>
    <w:p w14:paraId="3FB829C0" w14:textId="3F194DA6" w:rsidR="00B03ED9" w:rsidRDefault="4958DB02" w:rsidP="00582BAC">
      <w:pPr>
        <w:pStyle w:val="Heading2"/>
      </w:pPr>
      <w:bookmarkStart w:id="26" w:name="_Toc136505529"/>
      <w:r>
        <w:lastRenderedPageBreak/>
        <w:t xml:space="preserve">Practice Incentive Program </w:t>
      </w:r>
      <w:r w:rsidR="00CA7022">
        <w:t>A</w:t>
      </w:r>
      <w:r>
        <w:t xml:space="preserve">fter </w:t>
      </w:r>
      <w:r w:rsidR="00CA7022">
        <w:t>H</w:t>
      </w:r>
      <w:r>
        <w:t xml:space="preserve">ours </w:t>
      </w:r>
      <w:r w:rsidR="00CA7022">
        <w:t>P</w:t>
      </w:r>
      <w:r>
        <w:t>ayments</w:t>
      </w:r>
      <w:bookmarkEnd w:id="26"/>
    </w:p>
    <w:p w14:paraId="6D1012C0" w14:textId="343F31FA" w:rsidR="00176E3C" w:rsidRDefault="73392E60" w:rsidP="4286A396">
      <w:r w:rsidRPr="00A66E9B">
        <w:rPr>
          <w:rFonts w:ascii="Calibri" w:eastAsia="Calibri" w:hAnsi="Calibri" w:cs="Calibri"/>
          <w:lang w:val="en-US"/>
        </w:rPr>
        <w:t xml:space="preserve">The average </w:t>
      </w:r>
      <w:r w:rsidR="004863DB" w:rsidRPr="00A66E9B">
        <w:rPr>
          <w:rFonts w:ascii="Calibri" w:eastAsia="Calibri" w:hAnsi="Calibri" w:cs="Calibri"/>
          <w:lang w:val="en-US"/>
        </w:rPr>
        <w:t>percentage</w:t>
      </w:r>
      <w:r w:rsidRPr="00A66E9B">
        <w:rPr>
          <w:rFonts w:ascii="Calibri" w:eastAsia="Calibri" w:hAnsi="Calibri" w:cs="Calibri"/>
          <w:lang w:val="en-US"/>
        </w:rPr>
        <w:t xml:space="preserve"> of general practices receiving PIP after hours payments was 6</w:t>
      </w:r>
      <w:r w:rsidR="004416BA" w:rsidRPr="00A66E9B">
        <w:rPr>
          <w:rFonts w:ascii="Calibri" w:eastAsia="Calibri" w:hAnsi="Calibri" w:cs="Calibri"/>
          <w:lang w:val="en-US"/>
        </w:rPr>
        <w:t>7</w:t>
      </w:r>
      <w:r w:rsidRPr="00A66E9B">
        <w:rPr>
          <w:rFonts w:ascii="Calibri" w:eastAsia="Calibri" w:hAnsi="Calibri" w:cs="Calibri"/>
          <w:lang w:val="en-US"/>
        </w:rPr>
        <w:t xml:space="preserve"> per cent (up from 60 per cent in 2019-20)</w:t>
      </w:r>
      <w:r w:rsidR="008A1CB2" w:rsidRPr="00A66E9B">
        <w:rPr>
          <w:rFonts w:ascii="Calibri" w:eastAsia="Calibri" w:hAnsi="Calibri" w:cs="Calibri"/>
          <w:lang w:val="en-US"/>
        </w:rPr>
        <w:t xml:space="preserve"> and </w:t>
      </w:r>
      <w:r w:rsidR="008712E9" w:rsidRPr="00A66E9B">
        <w:rPr>
          <w:rFonts w:ascii="Calibri" w:eastAsia="Calibri" w:hAnsi="Calibri" w:cs="Calibri"/>
          <w:lang w:val="en-US"/>
        </w:rPr>
        <w:t>remains</w:t>
      </w:r>
      <w:r w:rsidR="468F04B0" w:rsidRPr="00A66E9B">
        <w:rPr>
          <w:rFonts w:ascii="Calibri" w:eastAsia="Calibri" w:hAnsi="Calibri" w:cs="Calibri"/>
          <w:lang w:val="en-US"/>
        </w:rPr>
        <w:t xml:space="preserve"> </w:t>
      </w:r>
      <w:r w:rsidR="00C464C3" w:rsidRPr="00A66E9B">
        <w:t>similar</w:t>
      </w:r>
      <w:r w:rsidR="468F04B0" w:rsidRPr="00A66E9B">
        <w:t xml:space="preserve"> </w:t>
      </w:r>
      <w:r w:rsidR="004863DB" w:rsidRPr="00A66E9B">
        <w:t>in</w:t>
      </w:r>
      <w:r w:rsidR="3BF5A426" w:rsidRPr="00A66E9B">
        <w:t xml:space="preserve"> both metropolitan and regional areas (</w:t>
      </w:r>
      <w:r w:rsidR="364D840B" w:rsidRPr="00A66E9B">
        <w:t>Figure</w:t>
      </w:r>
      <w:r w:rsidR="73992D72" w:rsidRPr="00A66E9B">
        <w:t xml:space="preserve"> </w:t>
      </w:r>
      <w:r w:rsidR="00BC3FE0">
        <w:t>7</w:t>
      </w:r>
      <w:r w:rsidR="006A4DE2" w:rsidRPr="00D3538E">
        <w:t>)</w:t>
      </w:r>
      <w:r w:rsidR="006A4DE2">
        <w:t>.</w:t>
      </w:r>
    </w:p>
    <w:p w14:paraId="3E5303AE" w14:textId="55821720" w:rsidR="2628E4BD" w:rsidRDefault="2628E4BD" w:rsidP="2628E4BD"/>
    <w:p w14:paraId="3FD9B4D2" w14:textId="2BED3E0C" w:rsidR="00351AED" w:rsidRPr="00E5260D" w:rsidRDefault="6E5E7B2E" w:rsidP="00E5260D">
      <w:pPr>
        <w:pStyle w:val="Caption"/>
        <w:keepNext/>
      </w:pPr>
      <w:r>
        <w:t xml:space="preserve">Figure </w:t>
      </w:r>
      <w:r w:rsidR="00BC3FE0">
        <w:t>7</w:t>
      </w:r>
      <w:r>
        <w:t xml:space="preserve">: Percent of practices receiving PIP after hours payments by </w:t>
      </w:r>
      <w:r w:rsidRPr="00F2116E">
        <w:t>remoteness</w:t>
      </w:r>
      <w:r w:rsidR="00E5260D">
        <w:br/>
      </w:r>
      <w:r w:rsidR="00856327">
        <w:rPr>
          <w:noProof/>
          <w:lang w:eastAsia="en-US"/>
        </w:rPr>
        <w:drawing>
          <wp:inline distT="0" distB="0" distL="0" distR="0" wp14:anchorId="6FA07BD3" wp14:editId="220D2BDB">
            <wp:extent cx="4511675" cy="2353310"/>
            <wp:effectExtent l="0" t="0" r="3175" b="8890"/>
            <wp:docPr id="23" name="Picture 23" descr="Bar chart comparing average percentage of practices receiving the Practice Incentive Program After Hours payments by remoteness areas across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ar chart comparing average percentage of practices receiving the Practice Incentive Program After Hours payments by remoteness areas across 2019-20 and 2020-21 reporting perio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r w:rsidR="00E5260D">
        <w:br/>
      </w:r>
      <w:r w:rsidRPr="4286A396">
        <w:rPr>
          <w:lang w:eastAsia="en-US"/>
        </w:rPr>
        <w:t xml:space="preserve">Source: </w:t>
      </w:r>
      <w:r w:rsidR="00B42521">
        <w:rPr>
          <w:lang w:eastAsia="en-US"/>
        </w:rPr>
        <w:t xml:space="preserve">Department of Health and Aged Care </w:t>
      </w:r>
      <w:r w:rsidRPr="4286A396">
        <w:rPr>
          <w:lang w:eastAsia="en-US"/>
        </w:rPr>
        <w:t>and performance reporting data provided by PHNs. NTPHN not included.</w:t>
      </w:r>
      <w:r w:rsidR="00E5260D">
        <w:rPr>
          <w:lang w:eastAsia="en-US"/>
        </w:rPr>
        <w:br/>
      </w:r>
    </w:p>
    <w:p w14:paraId="3B7DE92B" w14:textId="77777777" w:rsidR="004B28EC" w:rsidRDefault="004B28EC">
      <w:pPr>
        <w:spacing w:after="160" w:line="259" w:lineRule="auto"/>
        <w:rPr>
          <w:rFonts w:ascii="Calibri" w:hAnsi="Calibri" w:cs="Calibri"/>
          <w:b/>
          <w:bCs/>
          <w:color w:val="FFFFFF" w:themeColor="background1"/>
          <w:sz w:val="28"/>
          <w:szCs w:val="28"/>
          <w:lang w:eastAsia="en-US"/>
        </w:rPr>
      </w:pPr>
    </w:p>
    <w:p w14:paraId="69FD44D1" w14:textId="49A73E48" w:rsidR="00046EB2" w:rsidRDefault="16C487FA" w:rsidP="00582BAC">
      <w:pPr>
        <w:pStyle w:val="Heading1"/>
      </w:pPr>
      <w:bookmarkStart w:id="27" w:name="_Toc136505530"/>
      <w:r>
        <w:t>Digital Health</w:t>
      </w:r>
      <w:bookmarkEnd w:id="27"/>
    </w:p>
    <w:p w14:paraId="554745E5" w14:textId="1C685768" w:rsidR="003901DE" w:rsidRDefault="00A42CF1" w:rsidP="003160C5">
      <w:pPr>
        <w:rPr>
          <w:rFonts w:ascii="Calibri" w:hAnsi="Calibri" w:cs="Calibri"/>
          <w:color w:val="000000"/>
          <w:szCs w:val="22"/>
        </w:rPr>
      </w:pPr>
      <w:r w:rsidRPr="00A42CF1">
        <w:rPr>
          <w:rFonts w:ascii="Calibri" w:hAnsi="Calibri" w:cs="Calibri"/>
          <w:color w:val="000000"/>
          <w:szCs w:val="22"/>
        </w:rPr>
        <w:t>Digital health enables better coordinated care and better</w:t>
      </w:r>
      <w:r w:rsidR="00C91FE5">
        <w:rPr>
          <w:rFonts w:ascii="Calibri" w:hAnsi="Calibri" w:cs="Calibri"/>
          <w:color w:val="000000"/>
          <w:szCs w:val="22"/>
        </w:rPr>
        <w:t>-</w:t>
      </w:r>
      <w:r w:rsidRPr="00A42CF1">
        <w:rPr>
          <w:rFonts w:ascii="Calibri" w:hAnsi="Calibri" w:cs="Calibri"/>
          <w:color w:val="000000"/>
          <w:szCs w:val="22"/>
        </w:rPr>
        <w:t>informed treatment decisions</w:t>
      </w:r>
      <w:r>
        <w:rPr>
          <w:rFonts w:ascii="Calibri" w:hAnsi="Calibri" w:cs="Calibri"/>
          <w:color w:val="000000"/>
          <w:szCs w:val="22"/>
        </w:rPr>
        <w:t xml:space="preserve">. </w:t>
      </w:r>
      <w:r w:rsidRPr="00A42CF1">
        <w:rPr>
          <w:rFonts w:ascii="Calibri" w:hAnsi="Calibri" w:cs="Calibri"/>
          <w:color w:val="000000"/>
          <w:szCs w:val="22"/>
        </w:rPr>
        <w:t>PHNs support health care providers to use digital health systems to improve patient care and communication</w:t>
      </w:r>
      <w:r w:rsidR="003901DE">
        <w:rPr>
          <w:rFonts w:ascii="Calibri" w:hAnsi="Calibri" w:cs="Calibri"/>
          <w:color w:val="000000"/>
          <w:szCs w:val="22"/>
        </w:rPr>
        <w:t>.</w:t>
      </w:r>
    </w:p>
    <w:p w14:paraId="0A2DE86F" w14:textId="77777777" w:rsidR="003901DE" w:rsidRDefault="003901DE" w:rsidP="003160C5">
      <w:pPr>
        <w:rPr>
          <w:rFonts w:ascii="Calibri" w:hAnsi="Calibri" w:cs="Calibri"/>
          <w:color w:val="000000"/>
          <w:szCs w:val="22"/>
        </w:rPr>
      </w:pPr>
    </w:p>
    <w:p w14:paraId="723C701E" w14:textId="01307C8D" w:rsidR="00C91FE5" w:rsidRDefault="00C91FE5" w:rsidP="00C91FE5">
      <w:pPr>
        <w:rPr>
          <w:rFonts w:ascii="Calibri" w:hAnsi="Calibri" w:cs="Calibri"/>
          <w:color w:val="000000"/>
          <w:szCs w:val="22"/>
        </w:rPr>
      </w:pPr>
      <w:r>
        <w:rPr>
          <w:rFonts w:ascii="Calibri" w:hAnsi="Calibri" w:cs="Calibri"/>
          <w:color w:val="000000"/>
          <w:szCs w:val="22"/>
        </w:rPr>
        <w:t xml:space="preserve">There are three indicators of PHN performance in the digital health priority area. </w:t>
      </w:r>
      <w:r w:rsidR="00461AFB">
        <w:rPr>
          <w:rFonts w:ascii="Calibri" w:hAnsi="Calibri" w:cs="Calibri"/>
          <w:color w:val="000000"/>
          <w:szCs w:val="22"/>
        </w:rPr>
        <w:t>All</w:t>
      </w:r>
      <w:r>
        <w:rPr>
          <w:rFonts w:ascii="Calibri" w:hAnsi="Calibri" w:cs="Calibri"/>
          <w:color w:val="000000"/>
          <w:szCs w:val="22"/>
        </w:rPr>
        <w:t xml:space="preserve"> three digital health indicators benchmarks </w:t>
      </w:r>
      <w:r w:rsidR="00461AFB">
        <w:rPr>
          <w:rFonts w:ascii="Calibri" w:hAnsi="Calibri" w:cs="Calibri"/>
          <w:color w:val="000000"/>
          <w:szCs w:val="22"/>
        </w:rPr>
        <w:t xml:space="preserve">were achieved in </w:t>
      </w:r>
      <w:r w:rsidR="00C643FC">
        <w:rPr>
          <w:rFonts w:ascii="Calibri" w:hAnsi="Calibri" w:cs="Calibri"/>
          <w:color w:val="000000"/>
          <w:szCs w:val="22"/>
        </w:rPr>
        <w:t>71 per cent of</w:t>
      </w:r>
      <w:r>
        <w:rPr>
          <w:rFonts w:ascii="Calibri" w:hAnsi="Calibri" w:cs="Calibri"/>
          <w:color w:val="000000"/>
          <w:szCs w:val="22"/>
        </w:rPr>
        <w:t xml:space="preserve"> PHN regions in 2020-21</w:t>
      </w:r>
      <w:r w:rsidR="00B0496E">
        <w:rPr>
          <w:rFonts w:ascii="Calibri" w:hAnsi="Calibri" w:cs="Calibri"/>
          <w:color w:val="000000"/>
          <w:szCs w:val="22"/>
        </w:rPr>
        <w:t>, the same result as last year</w:t>
      </w:r>
      <w:r w:rsidR="00037FC9">
        <w:rPr>
          <w:rFonts w:ascii="Calibri" w:hAnsi="Calibri" w:cs="Calibri"/>
          <w:color w:val="000000"/>
          <w:szCs w:val="22"/>
        </w:rPr>
        <w:t xml:space="preserve"> (Figure </w:t>
      </w:r>
      <w:r w:rsidR="00BC3FE0">
        <w:rPr>
          <w:rFonts w:ascii="Calibri" w:hAnsi="Calibri" w:cs="Calibri"/>
          <w:color w:val="000000"/>
          <w:szCs w:val="22"/>
        </w:rPr>
        <w:t>8</w:t>
      </w:r>
      <w:r w:rsidR="00037FC9">
        <w:rPr>
          <w:rFonts w:ascii="Calibri" w:hAnsi="Calibri" w:cs="Calibri"/>
          <w:color w:val="000000"/>
          <w:szCs w:val="22"/>
        </w:rPr>
        <w:t>)</w:t>
      </w:r>
      <w:r>
        <w:rPr>
          <w:rFonts w:ascii="Calibri" w:hAnsi="Calibri" w:cs="Calibri"/>
          <w:color w:val="000000"/>
          <w:szCs w:val="22"/>
        </w:rPr>
        <w:t>. In addition, in 2020-21:</w:t>
      </w:r>
    </w:p>
    <w:p w14:paraId="6D255533" w14:textId="4A5ADF02" w:rsidR="00C91FE5" w:rsidRDefault="00A52DF7" w:rsidP="00184D5F">
      <w:pPr>
        <w:pStyle w:val="ListParagraph"/>
        <w:numPr>
          <w:ilvl w:val="0"/>
          <w:numId w:val="7"/>
        </w:numPr>
        <w:rPr>
          <w:rFonts w:ascii="Calibri" w:hAnsi="Calibri" w:cs="Calibri"/>
          <w:color w:val="000000"/>
          <w:szCs w:val="22"/>
        </w:rPr>
      </w:pPr>
      <w:r w:rsidRPr="004863DB">
        <w:rPr>
          <w:rFonts w:ascii="Calibri" w:hAnsi="Calibri" w:cs="Calibri"/>
          <w:color w:val="000000"/>
          <w:szCs w:val="22"/>
        </w:rPr>
        <w:t xml:space="preserve">All </w:t>
      </w:r>
      <w:r w:rsidR="00C91FE5">
        <w:rPr>
          <w:rFonts w:ascii="Calibri" w:hAnsi="Calibri" w:cs="Calibri"/>
          <w:color w:val="000000"/>
          <w:szCs w:val="22"/>
        </w:rPr>
        <w:t xml:space="preserve">PHNs have </w:t>
      </w:r>
      <w:r w:rsidRPr="004863DB">
        <w:rPr>
          <w:rFonts w:ascii="Calibri" w:hAnsi="Calibri" w:cs="Calibri"/>
          <w:color w:val="000000"/>
          <w:szCs w:val="22"/>
        </w:rPr>
        <w:t>raised</w:t>
      </w:r>
      <w:r w:rsidR="00C91FE5">
        <w:rPr>
          <w:rFonts w:ascii="Calibri" w:hAnsi="Calibri" w:cs="Calibri"/>
          <w:color w:val="000000"/>
          <w:szCs w:val="22"/>
        </w:rPr>
        <w:t xml:space="preserve"> awareness of, and </w:t>
      </w:r>
      <w:r w:rsidR="00C91FE5" w:rsidRPr="004863DB">
        <w:rPr>
          <w:rFonts w:ascii="Calibri" w:hAnsi="Calibri" w:cs="Calibri"/>
          <w:color w:val="000000"/>
          <w:szCs w:val="22"/>
        </w:rPr>
        <w:t>provi</w:t>
      </w:r>
      <w:r w:rsidRPr="004863DB">
        <w:rPr>
          <w:rFonts w:ascii="Calibri" w:hAnsi="Calibri" w:cs="Calibri"/>
          <w:color w:val="000000"/>
          <w:szCs w:val="22"/>
        </w:rPr>
        <w:t>ded</w:t>
      </w:r>
      <w:r w:rsidR="00C91FE5">
        <w:rPr>
          <w:rFonts w:ascii="Calibri" w:hAnsi="Calibri" w:cs="Calibri"/>
          <w:color w:val="000000"/>
          <w:szCs w:val="22"/>
        </w:rPr>
        <w:t xml:space="preserve"> access to, My Health Record education to all general practices in their regions.</w:t>
      </w:r>
    </w:p>
    <w:p w14:paraId="6E945CB7" w14:textId="2B85D18E" w:rsidR="00C91FE5" w:rsidRDefault="00C643FC" w:rsidP="00184D5F">
      <w:pPr>
        <w:pStyle w:val="ListParagraph"/>
        <w:numPr>
          <w:ilvl w:val="0"/>
          <w:numId w:val="7"/>
        </w:numPr>
        <w:rPr>
          <w:rFonts w:ascii="Calibri" w:hAnsi="Calibri" w:cs="Calibri"/>
          <w:color w:val="000000"/>
          <w:szCs w:val="22"/>
        </w:rPr>
      </w:pPr>
      <w:r>
        <w:rPr>
          <w:rFonts w:ascii="Calibri" w:hAnsi="Calibri" w:cs="Calibri"/>
          <w:color w:val="000000"/>
          <w:szCs w:val="22"/>
        </w:rPr>
        <w:t>97 per cent of</w:t>
      </w:r>
      <w:r w:rsidR="00C91FE5">
        <w:rPr>
          <w:rFonts w:ascii="Calibri" w:hAnsi="Calibri" w:cs="Calibri"/>
          <w:color w:val="000000"/>
          <w:szCs w:val="22"/>
        </w:rPr>
        <w:t xml:space="preserve"> PHNs have increased the rate of health care providers using smart forms, e-referrals and/or telehealth, up from </w:t>
      </w:r>
      <w:r w:rsidR="00072C24">
        <w:rPr>
          <w:rFonts w:ascii="Calibri" w:hAnsi="Calibri" w:cs="Calibri"/>
          <w:color w:val="000000"/>
          <w:szCs w:val="22"/>
        </w:rPr>
        <w:t>84 per cent of</w:t>
      </w:r>
      <w:r w:rsidR="00C91FE5">
        <w:rPr>
          <w:rFonts w:ascii="Calibri" w:hAnsi="Calibri" w:cs="Calibri"/>
          <w:color w:val="000000"/>
          <w:szCs w:val="22"/>
        </w:rPr>
        <w:t xml:space="preserve"> </w:t>
      </w:r>
      <w:r w:rsidR="008B79E1" w:rsidRPr="004863DB">
        <w:rPr>
          <w:rFonts w:ascii="Calibri" w:hAnsi="Calibri" w:cs="Calibri"/>
          <w:color w:val="000000"/>
          <w:szCs w:val="22"/>
        </w:rPr>
        <w:t>PHNs</w:t>
      </w:r>
      <w:r w:rsidR="00C91FE5">
        <w:rPr>
          <w:rFonts w:ascii="Calibri" w:hAnsi="Calibri" w:cs="Calibri"/>
          <w:color w:val="000000"/>
          <w:szCs w:val="22"/>
        </w:rPr>
        <w:t xml:space="preserve"> in 2019-20.</w:t>
      </w:r>
    </w:p>
    <w:p w14:paraId="310D1495" w14:textId="2E7ADDEA" w:rsidR="008C6047" w:rsidRDefault="00C643FC" w:rsidP="00184D5F">
      <w:pPr>
        <w:pStyle w:val="ListParagraph"/>
        <w:numPr>
          <w:ilvl w:val="0"/>
          <w:numId w:val="7"/>
        </w:numPr>
        <w:rPr>
          <w:rFonts w:ascii="Calibri" w:hAnsi="Calibri" w:cs="Calibri"/>
          <w:color w:val="000000" w:themeColor="text1"/>
        </w:rPr>
      </w:pPr>
      <w:r>
        <w:rPr>
          <w:rFonts w:ascii="Calibri" w:hAnsi="Calibri" w:cs="Calibri"/>
          <w:color w:val="000000" w:themeColor="text1"/>
        </w:rPr>
        <w:t>74 per cent of</w:t>
      </w:r>
      <w:r w:rsidR="00C91FE5" w:rsidRPr="546B776E">
        <w:rPr>
          <w:rFonts w:ascii="Calibri" w:hAnsi="Calibri" w:cs="Calibri"/>
          <w:color w:val="000000" w:themeColor="text1"/>
        </w:rPr>
        <w:t xml:space="preserve"> </w:t>
      </w:r>
      <w:r w:rsidR="00C91FE5" w:rsidRPr="004863DB">
        <w:rPr>
          <w:rFonts w:ascii="Calibri" w:hAnsi="Calibri" w:cs="Calibri"/>
          <w:color w:val="000000" w:themeColor="text1"/>
        </w:rPr>
        <w:t>PHNs</w:t>
      </w:r>
      <w:r w:rsidR="00C91FE5" w:rsidRPr="546B776E">
        <w:rPr>
          <w:rFonts w:ascii="Calibri" w:hAnsi="Calibri" w:cs="Calibri"/>
          <w:color w:val="000000" w:themeColor="text1"/>
        </w:rPr>
        <w:t xml:space="preserve"> have increased the rate of accredited general practices sharing data with the PHN, down from </w:t>
      </w:r>
      <w:r w:rsidR="00DB4441">
        <w:rPr>
          <w:rFonts w:ascii="Calibri" w:hAnsi="Calibri" w:cs="Calibri"/>
          <w:color w:val="000000" w:themeColor="text1"/>
        </w:rPr>
        <w:t xml:space="preserve">84 </w:t>
      </w:r>
      <w:r w:rsidR="00026BED">
        <w:rPr>
          <w:rFonts w:ascii="Calibri" w:hAnsi="Calibri" w:cs="Calibri"/>
          <w:color w:val="000000" w:themeColor="text1"/>
        </w:rPr>
        <w:t>per cent of</w:t>
      </w:r>
      <w:r w:rsidR="00E8728A" w:rsidRPr="004863DB">
        <w:rPr>
          <w:rFonts w:ascii="Calibri" w:hAnsi="Calibri" w:cs="Calibri"/>
          <w:color w:val="000000" w:themeColor="text1"/>
        </w:rPr>
        <w:t xml:space="preserve"> PHNs</w:t>
      </w:r>
      <w:r w:rsidR="00C91FE5" w:rsidRPr="546B776E">
        <w:rPr>
          <w:rFonts w:ascii="Calibri" w:hAnsi="Calibri" w:cs="Calibri"/>
          <w:color w:val="000000" w:themeColor="text1"/>
        </w:rPr>
        <w:t xml:space="preserve"> in 2019-20.</w:t>
      </w:r>
    </w:p>
    <w:p w14:paraId="10913598" w14:textId="6B7BACC0" w:rsidR="546B776E" w:rsidRDefault="546B776E" w:rsidP="546B776E">
      <w:pPr>
        <w:rPr>
          <w:rFonts w:ascii="Calibri" w:hAnsi="Calibri" w:cs="Calibri"/>
          <w:color w:val="000000" w:themeColor="text1"/>
        </w:rPr>
      </w:pPr>
    </w:p>
    <w:p w14:paraId="55DCD8DA" w14:textId="381FE060" w:rsidR="7F88E34D" w:rsidRDefault="7F88E34D" w:rsidP="546B776E">
      <w:pPr>
        <w:keepNext/>
      </w:pPr>
      <w:r w:rsidRPr="546B776E">
        <w:rPr>
          <w:i/>
          <w:iCs/>
          <w:color w:val="44546A" w:themeColor="text2"/>
          <w:sz w:val="18"/>
          <w:szCs w:val="18"/>
        </w:rPr>
        <w:lastRenderedPageBreak/>
        <w:t xml:space="preserve">Figure </w:t>
      </w:r>
      <w:r w:rsidR="00BC3FE0">
        <w:rPr>
          <w:i/>
          <w:iCs/>
          <w:color w:val="44546A" w:themeColor="text2"/>
          <w:sz w:val="18"/>
          <w:szCs w:val="18"/>
        </w:rPr>
        <w:t>8</w:t>
      </w:r>
      <w:r w:rsidRPr="546B776E">
        <w:rPr>
          <w:i/>
          <w:iCs/>
          <w:color w:val="44546A" w:themeColor="text2"/>
          <w:sz w:val="18"/>
          <w:szCs w:val="18"/>
        </w:rPr>
        <w:t xml:space="preserve">: </w:t>
      </w:r>
      <w:r w:rsidR="00803F98">
        <w:rPr>
          <w:i/>
          <w:iCs/>
          <w:color w:val="44546A" w:themeColor="text2"/>
          <w:sz w:val="18"/>
          <w:szCs w:val="18"/>
        </w:rPr>
        <w:t>Proportion</w:t>
      </w:r>
      <w:r w:rsidRPr="546B776E">
        <w:rPr>
          <w:i/>
          <w:iCs/>
          <w:color w:val="44546A" w:themeColor="text2"/>
          <w:sz w:val="18"/>
          <w:szCs w:val="18"/>
        </w:rPr>
        <w:t xml:space="preserve"> of PHNs that met performance targets by Digital Health indicator</w:t>
      </w:r>
    </w:p>
    <w:p w14:paraId="346812BD" w14:textId="29B927D9" w:rsidR="0087473A" w:rsidRPr="0087473A" w:rsidRDefault="00803F98" w:rsidP="00E5260D">
      <w:pPr>
        <w:pStyle w:val="Caption"/>
        <w:keepNext/>
      </w:pPr>
      <w:r>
        <w:rPr>
          <w:noProof/>
        </w:rPr>
        <w:drawing>
          <wp:inline distT="0" distB="0" distL="0" distR="0" wp14:anchorId="4AD7B44A" wp14:editId="25199EB8">
            <wp:extent cx="4511675" cy="2755900"/>
            <wp:effectExtent l="0" t="0" r="3175" b="6350"/>
            <wp:docPr id="6" name="Picture 6" descr="Bar chart comparing proportion of PHNs that met performance targets by Digital Health indicator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r chart comparing proportion of PHNs that met performance targets by Digital Health indicator over 2018-19, 2019-20, and 2020-21 reporting period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11675" cy="2755900"/>
                    </a:xfrm>
                    <a:prstGeom prst="rect">
                      <a:avLst/>
                    </a:prstGeom>
                    <a:noFill/>
                  </pic:spPr>
                </pic:pic>
              </a:graphicData>
            </a:graphic>
          </wp:inline>
        </w:drawing>
      </w:r>
      <w:r w:rsidR="00E5260D">
        <w:br/>
      </w:r>
      <w:r w:rsidR="008C6047">
        <w:t xml:space="preserve">Source: </w:t>
      </w:r>
      <w:r w:rsidR="00C91FE5">
        <w:t>P</w:t>
      </w:r>
      <w:r w:rsidR="008C6047">
        <w:t>erformance reporting data provided by PHN</w:t>
      </w:r>
      <w:r w:rsidR="0087473A">
        <w:t>s</w:t>
      </w:r>
      <w:r w:rsidR="00394EA4">
        <w:br/>
      </w:r>
      <w:r w:rsidR="008C6047" w:rsidRPr="00D51002">
        <w:t>*Only 2019-20 and 2020-21 data are displayed as this performance measure was taken as a baseline in 2018-19.</w:t>
      </w:r>
      <w:r w:rsidR="00B42521">
        <w:br/>
      </w:r>
      <w:r w:rsidR="0087473A" w:rsidRPr="009059B6">
        <w:rPr>
          <w:lang w:eastAsia="en-US"/>
        </w:rPr>
        <w:t xml:space="preserve">†Some 2019-2020 </w:t>
      </w:r>
      <w:r w:rsidR="00320730">
        <w:rPr>
          <w:lang w:eastAsia="en-US"/>
        </w:rPr>
        <w:t xml:space="preserve">data </w:t>
      </w:r>
      <w:r w:rsidR="0087473A" w:rsidRPr="009059B6">
        <w:rPr>
          <w:lang w:eastAsia="en-US"/>
        </w:rPr>
        <w:t>for Accredited general practices sharing data with PHN has been revised.</w:t>
      </w:r>
    </w:p>
    <w:p w14:paraId="432A26ED" w14:textId="39F137EB" w:rsidR="0069578E" w:rsidRDefault="006132EB" w:rsidP="0069578E">
      <w:r>
        <w:rPr>
          <w:lang w:eastAsia="en-US"/>
        </w:rPr>
        <w:br/>
      </w:r>
      <w:r w:rsidR="00E75DFF">
        <w:rPr>
          <w:lang w:eastAsia="en-US"/>
        </w:rPr>
        <w:t>Small increase</w:t>
      </w:r>
      <w:r w:rsidR="00E456D9">
        <w:rPr>
          <w:lang w:eastAsia="en-US"/>
        </w:rPr>
        <w:t>s</w:t>
      </w:r>
      <w:r w:rsidR="00E75DFF">
        <w:rPr>
          <w:lang w:eastAsia="en-US"/>
        </w:rPr>
        <w:t xml:space="preserve"> were </w:t>
      </w:r>
      <w:r w:rsidR="00E456D9">
        <w:rPr>
          <w:lang w:eastAsia="en-US"/>
        </w:rPr>
        <w:t>achieved</w:t>
      </w:r>
      <w:r w:rsidR="00E75DFF">
        <w:rPr>
          <w:lang w:eastAsia="en-US"/>
        </w:rPr>
        <w:t xml:space="preserve"> across the </w:t>
      </w:r>
      <w:r w:rsidR="00E456D9">
        <w:rPr>
          <w:lang w:eastAsia="en-US"/>
        </w:rPr>
        <w:t xml:space="preserve">Digital Health </w:t>
      </w:r>
      <w:r w:rsidR="00AF225B">
        <w:rPr>
          <w:lang w:eastAsia="en-US"/>
        </w:rPr>
        <w:t>t</w:t>
      </w:r>
      <w:r w:rsidR="00E456D9">
        <w:rPr>
          <w:lang w:eastAsia="en-US"/>
        </w:rPr>
        <w:t>arget</w:t>
      </w:r>
      <w:r w:rsidR="00AF225B">
        <w:rPr>
          <w:lang w:eastAsia="en-US"/>
        </w:rPr>
        <w:t>s</w:t>
      </w:r>
      <w:r w:rsidR="00E456D9">
        <w:rPr>
          <w:lang w:eastAsia="en-US"/>
        </w:rPr>
        <w:t xml:space="preserve"> </w:t>
      </w:r>
      <w:r w:rsidR="006476E8">
        <w:rPr>
          <w:lang w:eastAsia="en-US"/>
        </w:rPr>
        <w:t>(comprising the three indicators above)</w:t>
      </w:r>
      <w:r w:rsidR="00E456D9">
        <w:rPr>
          <w:lang w:eastAsia="en-US"/>
        </w:rPr>
        <w:t xml:space="preserve"> in more socio-economically disadvantaged PHN regions, while a small decrease was observed in less disadvantaged regions</w:t>
      </w:r>
      <w:r w:rsidR="56BFBDCB">
        <w:rPr>
          <w:lang w:eastAsia="en-US"/>
        </w:rPr>
        <w:t xml:space="preserve"> (Figure </w:t>
      </w:r>
      <w:r w:rsidR="00BC3FE0">
        <w:rPr>
          <w:lang w:eastAsia="en-US"/>
        </w:rPr>
        <w:t>9</w:t>
      </w:r>
      <w:r w:rsidR="56BFBDCB">
        <w:rPr>
          <w:lang w:eastAsia="en-US"/>
        </w:rPr>
        <w:t>).</w:t>
      </w:r>
    </w:p>
    <w:p w14:paraId="72D19768" w14:textId="77777777" w:rsidR="00745F39" w:rsidRPr="0087473A" w:rsidRDefault="006132EB" w:rsidP="00745F39">
      <w:pPr>
        <w:pStyle w:val="Caption"/>
      </w:pPr>
      <w:r>
        <w:br/>
      </w:r>
      <w:r w:rsidR="37C7321B" w:rsidRPr="546B776E">
        <w:t xml:space="preserve">Figure </w:t>
      </w:r>
      <w:r w:rsidR="00BC3FE0">
        <w:t>9</w:t>
      </w:r>
      <w:r w:rsidR="37C7321B" w:rsidRPr="546B776E">
        <w:t>: Average number of Digital Health performance targets met by disadvantage</w:t>
      </w:r>
      <w:r w:rsidR="00A65821">
        <w:rPr>
          <w:noProof/>
          <w:lang w:eastAsia="en-US"/>
        </w:rPr>
        <w:drawing>
          <wp:inline distT="0" distB="0" distL="0" distR="0" wp14:anchorId="66D8BEA6" wp14:editId="030C9A22">
            <wp:extent cx="4511675" cy="2353310"/>
            <wp:effectExtent l="0" t="0" r="3175" b="8890"/>
            <wp:docPr id="8" name="Picture 8" descr="Bar chart comparing average number of digital health performance indicators met by socio-economic disadvantage over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r chart comparing average number of digital health performance indicators met by socio-economic disadvantage over 2019-20 and 2020-21 reporting period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r w:rsidR="00745F39">
        <w:rPr>
          <w:i w:val="0"/>
          <w:iCs w:val="0"/>
        </w:rPr>
        <w:br/>
      </w:r>
      <w:r w:rsidR="00745F39">
        <w:t>Source: performance reporting data provided by PHNs</w:t>
      </w:r>
      <w:r w:rsidR="00745F39">
        <w:br/>
      </w:r>
      <w:r w:rsidR="00745F39" w:rsidRPr="009059B6">
        <w:rPr>
          <w:lang w:eastAsia="en-US"/>
        </w:rPr>
        <w:t>†Some 2019-2020</w:t>
      </w:r>
      <w:r w:rsidR="00745F39">
        <w:rPr>
          <w:lang w:eastAsia="en-US"/>
        </w:rPr>
        <w:t xml:space="preserve"> data</w:t>
      </w:r>
      <w:r w:rsidR="00745F39" w:rsidRPr="009059B6">
        <w:rPr>
          <w:lang w:eastAsia="en-US"/>
        </w:rPr>
        <w:t xml:space="preserve"> for Accredited general practices sharing data with PHN has been revised.</w:t>
      </w:r>
    </w:p>
    <w:p w14:paraId="512F9DDF" w14:textId="6DAA6A3D" w:rsidR="00D51002" w:rsidRDefault="00D51002" w:rsidP="0069578E"/>
    <w:p w14:paraId="3ABE36F1" w14:textId="76EB7930" w:rsidR="00F90D5D" w:rsidRDefault="00F731E5" w:rsidP="00F90D5D">
      <w:pPr>
        <w:rPr>
          <w:lang w:eastAsia="en-US"/>
        </w:rPr>
      </w:pPr>
      <w:r>
        <w:rPr>
          <w:lang w:eastAsia="en-US"/>
        </w:rPr>
        <w:br/>
      </w:r>
    </w:p>
    <w:p w14:paraId="4C6F28DA" w14:textId="77777777" w:rsidR="004B28EC" w:rsidRDefault="004B28EC">
      <w:pPr>
        <w:spacing w:after="160" w:line="259" w:lineRule="auto"/>
        <w:rPr>
          <w:rFonts w:ascii="Calibri" w:hAnsi="Calibri" w:cs="Calibri"/>
          <w:b/>
          <w:bCs/>
          <w:color w:val="FFFFFF" w:themeColor="background1"/>
          <w:sz w:val="28"/>
          <w:szCs w:val="28"/>
          <w:lang w:eastAsia="en-US"/>
        </w:rPr>
      </w:pPr>
      <w:r>
        <w:br w:type="page"/>
      </w:r>
    </w:p>
    <w:p w14:paraId="20AD0EB5" w14:textId="6866D7BC" w:rsidR="00055969" w:rsidRDefault="00055969" w:rsidP="00055969">
      <w:pPr>
        <w:pStyle w:val="Heading1"/>
      </w:pPr>
      <w:bookmarkStart w:id="28" w:name="_Toc136505531"/>
      <w:r>
        <w:lastRenderedPageBreak/>
        <w:t>My Health Record (MHR)</w:t>
      </w:r>
      <w:bookmarkEnd w:id="28"/>
    </w:p>
    <w:p w14:paraId="6A9A1762" w14:textId="2E550C29" w:rsidR="0069054A" w:rsidRDefault="00C91FE5" w:rsidP="0069054A">
      <w:r>
        <w:t xml:space="preserve">PHNs were funded by the Australian Digital Health Agency to support and encourage the use of </w:t>
      </w:r>
      <w:r w:rsidR="00D105D7">
        <w:t>MHR</w:t>
      </w:r>
      <w:r>
        <w:rPr>
          <w:spacing w:val="-4"/>
        </w:rPr>
        <w:t xml:space="preserve"> </w:t>
      </w:r>
      <w:r>
        <w:t>in</w:t>
      </w:r>
      <w:r>
        <w:rPr>
          <w:spacing w:val="-1"/>
        </w:rPr>
        <w:t xml:space="preserve"> </w:t>
      </w:r>
      <w:r>
        <w:t>general</w:t>
      </w:r>
      <w:r>
        <w:rPr>
          <w:spacing w:val="-1"/>
        </w:rPr>
        <w:t xml:space="preserve"> </w:t>
      </w:r>
      <w:r>
        <w:t>practices,</w:t>
      </w:r>
      <w:r>
        <w:rPr>
          <w:spacing w:val="-3"/>
        </w:rPr>
        <w:t xml:space="preserve"> </w:t>
      </w:r>
      <w:r>
        <w:t>pharmacies</w:t>
      </w:r>
      <w:r>
        <w:rPr>
          <w:spacing w:val="-4"/>
        </w:rPr>
        <w:t xml:space="preserve"> </w:t>
      </w:r>
      <w:r>
        <w:t>and</w:t>
      </w:r>
      <w:r>
        <w:rPr>
          <w:spacing w:val="-2"/>
        </w:rPr>
        <w:t xml:space="preserve"> </w:t>
      </w:r>
      <w:r>
        <w:t>among</w:t>
      </w:r>
      <w:r>
        <w:rPr>
          <w:spacing w:val="-4"/>
        </w:rPr>
        <w:t xml:space="preserve"> </w:t>
      </w:r>
      <w:r>
        <w:t>other</w:t>
      </w:r>
      <w:r>
        <w:rPr>
          <w:spacing w:val="-1"/>
        </w:rPr>
        <w:t xml:space="preserve"> </w:t>
      </w:r>
      <w:r>
        <w:t>health</w:t>
      </w:r>
      <w:r>
        <w:rPr>
          <w:spacing w:val="-3"/>
        </w:rPr>
        <w:t xml:space="preserve"> </w:t>
      </w:r>
      <w:r>
        <w:t>care</w:t>
      </w:r>
      <w:r>
        <w:rPr>
          <w:spacing w:val="-1"/>
        </w:rPr>
        <w:t xml:space="preserve"> </w:t>
      </w:r>
      <w:r>
        <w:t>providers,</w:t>
      </w:r>
      <w:r>
        <w:rPr>
          <w:spacing w:val="-3"/>
        </w:rPr>
        <w:t xml:space="preserve"> </w:t>
      </w:r>
      <w:r>
        <w:t>to</w:t>
      </w:r>
      <w:r>
        <w:rPr>
          <w:spacing w:val="-2"/>
        </w:rPr>
        <w:t xml:space="preserve"> </w:t>
      </w:r>
      <w:r>
        <w:t>enable</w:t>
      </w:r>
      <w:r>
        <w:rPr>
          <w:spacing w:val="-1"/>
        </w:rPr>
        <w:t xml:space="preserve"> </w:t>
      </w:r>
      <w:r>
        <w:t>better- coordinated care and better-informed treatment decisions for patients.</w:t>
      </w:r>
    </w:p>
    <w:p w14:paraId="64C13771" w14:textId="22884D7A" w:rsidR="00055969" w:rsidRPr="0069578E" w:rsidRDefault="001C268B" w:rsidP="00055969">
      <w:pPr>
        <w:pStyle w:val="Heading2"/>
      </w:pPr>
      <w:bookmarkStart w:id="29" w:name="_Toc136505532"/>
      <w:r>
        <w:t xml:space="preserve">Number of General Practices </w:t>
      </w:r>
      <w:r w:rsidR="00C91FE5">
        <w:t xml:space="preserve">Uploading to </w:t>
      </w:r>
      <w:r>
        <w:t>MHR</w:t>
      </w:r>
      <w:bookmarkEnd w:id="29"/>
    </w:p>
    <w:p w14:paraId="19B39242" w14:textId="280F56CF" w:rsidR="00C91FE5" w:rsidRDefault="009704D0" w:rsidP="00C91FE5">
      <w:r>
        <w:t>The percentage of general practices u</w:t>
      </w:r>
      <w:r w:rsidR="00C91FE5">
        <w:t>ploading</w:t>
      </w:r>
      <w:r w:rsidR="00C91FE5">
        <w:rPr>
          <w:spacing w:val="-4"/>
        </w:rPr>
        <w:t xml:space="preserve"> </w:t>
      </w:r>
      <w:r>
        <w:rPr>
          <w:spacing w:val="-4"/>
        </w:rPr>
        <w:t xml:space="preserve">documents </w:t>
      </w:r>
      <w:r w:rsidR="00C91FE5">
        <w:t>to</w:t>
      </w:r>
      <w:r w:rsidR="00C91FE5">
        <w:rPr>
          <w:spacing w:val="-6"/>
        </w:rPr>
        <w:t xml:space="preserve"> </w:t>
      </w:r>
      <w:r w:rsidR="00D105D7">
        <w:t>MHR</w:t>
      </w:r>
      <w:r w:rsidR="00C91FE5">
        <w:rPr>
          <w:spacing w:val="-3"/>
        </w:rPr>
        <w:t xml:space="preserve"> </w:t>
      </w:r>
      <w:r w:rsidR="00C91FE5">
        <w:t>has</w:t>
      </w:r>
      <w:r w:rsidR="00C91FE5">
        <w:rPr>
          <w:spacing w:val="-5"/>
        </w:rPr>
        <w:t xml:space="preserve"> </w:t>
      </w:r>
      <w:r w:rsidR="00C91FE5">
        <w:t>increased</w:t>
      </w:r>
      <w:r w:rsidR="00AE3790">
        <w:t>, as has the regularity of their uploading.</w:t>
      </w:r>
      <w:r w:rsidR="00C91FE5">
        <w:t xml:space="preserve"> In 2020-21, the average percentage of general practices uploading documents to </w:t>
      </w:r>
      <w:r w:rsidR="00D105D7">
        <w:t>MHR</w:t>
      </w:r>
      <w:r w:rsidR="00C91FE5">
        <w:t xml:space="preserve"> at least once a week was 25 per cent, up from 18 per</w:t>
      </w:r>
      <w:r w:rsidR="00D85125">
        <w:t xml:space="preserve"> </w:t>
      </w:r>
      <w:r w:rsidR="00C91FE5">
        <w:t>cent in 2019-20</w:t>
      </w:r>
      <w:r w:rsidR="009F6919">
        <w:t xml:space="preserve"> (Figure </w:t>
      </w:r>
      <w:r w:rsidR="00BC3FE0">
        <w:t>10</w:t>
      </w:r>
      <w:r w:rsidR="009F6919">
        <w:t>)</w:t>
      </w:r>
      <w:r w:rsidR="00C91FE5">
        <w:t>.</w:t>
      </w:r>
    </w:p>
    <w:p w14:paraId="2A2BBCD2" w14:textId="4F06AD26" w:rsidR="546B776E" w:rsidRDefault="546B776E" w:rsidP="546B776E">
      <w:pPr>
        <w:pStyle w:val="Caption"/>
        <w:keepNext/>
      </w:pPr>
    </w:p>
    <w:p w14:paraId="0C1D527B" w14:textId="49C323B6" w:rsidR="0007144C" w:rsidRDefault="0007144C" w:rsidP="0007144C">
      <w:pPr>
        <w:pStyle w:val="Caption"/>
        <w:keepNext/>
      </w:pPr>
      <w:r>
        <w:t xml:space="preserve">Figure </w:t>
      </w:r>
      <w:r w:rsidR="00BC3FE0">
        <w:t>10</w:t>
      </w:r>
      <w:r>
        <w:t xml:space="preserve">: </w:t>
      </w:r>
      <w:r w:rsidRPr="003D4C50">
        <w:t xml:space="preserve">Per cent of practices regularly uploading to </w:t>
      </w:r>
      <w:r w:rsidR="00D105D7">
        <w:t>MHR</w:t>
      </w:r>
    </w:p>
    <w:p w14:paraId="0934BB3D" w14:textId="5ECD490C" w:rsidR="00C24AA6" w:rsidRDefault="00BF0E5F" w:rsidP="00745F39">
      <w:pPr>
        <w:pStyle w:val="Caption"/>
      </w:pPr>
      <w:r>
        <w:rPr>
          <w:noProof/>
        </w:rPr>
        <w:drawing>
          <wp:inline distT="0" distB="0" distL="0" distR="0" wp14:anchorId="156E4FEC" wp14:editId="28097B0D">
            <wp:extent cx="4517390" cy="2353310"/>
            <wp:effectExtent l="0" t="0" r="0" b="8890"/>
            <wp:docPr id="24" name="Picture 24" descr="Bar chart comparing average percent of practices uploading regularly to My Health Record between 2019-20 and 2020-21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ar chart comparing average percent of practices uploading regularly to My Health Record between 2019-20 and 2020-21 reporting perio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17390" cy="2353310"/>
                    </a:xfrm>
                    <a:prstGeom prst="rect">
                      <a:avLst/>
                    </a:prstGeom>
                    <a:noFill/>
                  </pic:spPr>
                </pic:pic>
              </a:graphicData>
            </a:graphic>
          </wp:inline>
        </w:drawing>
      </w:r>
      <w:r w:rsidR="00745F39">
        <w:br/>
        <w:t xml:space="preserve">Source: ADHA </w:t>
      </w:r>
      <w:r w:rsidR="00745F39">
        <w:rPr>
          <w:lang w:eastAsia="en-US"/>
        </w:rPr>
        <w:t xml:space="preserve">and </w:t>
      </w:r>
      <w:r w:rsidR="00745F39">
        <w:t>performance reporting data provided by PHNs. NTPHN not included.</w:t>
      </w:r>
    </w:p>
    <w:p w14:paraId="0478480D" w14:textId="77777777" w:rsidR="00745F39" w:rsidRPr="00745F39" w:rsidRDefault="00745F39" w:rsidP="00745F39"/>
    <w:p w14:paraId="1C657A35" w14:textId="06E1F5DE" w:rsidR="335CAB72" w:rsidRDefault="00E952A3">
      <w:r>
        <w:t>General</w:t>
      </w:r>
      <w:r w:rsidR="335CAB72">
        <w:t xml:space="preserve"> practices uploading documents to </w:t>
      </w:r>
      <w:r w:rsidR="00D105D7">
        <w:t>MHR</w:t>
      </w:r>
      <w:r w:rsidR="00855664">
        <w:t xml:space="preserve"> </w:t>
      </w:r>
      <w:r w:rsidR="00A77F43">
        <w:t>increased in both</w:t>
      </w:r>
      <w:r w:rsidR="0F74B64C">
        <w:t xml:space="preserve"> </w:t>
      </w:r>
      <w:r w:rsidR="00758609">
        <w:t>metropolitan</w:t>
      </w:r>
      <w:r w:rsidR="6A3A4F9C">
        <w:t xml:space="preserve"> </w:t>
      </w:r>
      <w:r w:rsidR="00A77F43">
        <w:t xml:space="preserve">and regional </w:t>
      </w:r>
      <w:r>
        <w:t xml:space="preserve">areas; </w:t>
      </w:r>
      <w:r w:rsidR="0F74B64C">
        <w:t>2</w:t>
      </w:r>
      <w:r w:rsidR="008535C7">
        <w:t>5</w:t>
      </w:r>
      <w:r w:rsidR="0F74B64C">
        <w:t xml:space="preserve"> per cent </w:t>
      </w:r>
      <w:r w:rsidR="1A9CEA29">
        <w:t xml:space="preserve">and 24 per cent </w:t>
      </w:r>
      <w:r w:rsidR="007F182A">
        <w:t>respectively</w:t>
      </w:r>
      <w:r w:rsidR="000F3B23">
        <w:t>, c</w:t>
      </w:r>
      <w:r w:rsidR="007F182A">
        <w:t>ompared</w:t>
      </w:r>
      <w:r w:rsidR="548031E1">
        <w:t xml:space="preserve"> to 18 per cent </w:t>
      </w:r>
      <w:r w:rsidR="00D34D90">
        <w:t>in both</w:t>
      </w:r>
      <w:r w:rsidR="548031E1">
        <w:t xml:space="preserve"> in 2019-20</w:t>
      </w:r>
      <w:r w:rsidR="5145CA22">
        <w:t xml:space="preserve"> (Figure </w:t>
      </w:r>
      <w:r w:rsidR="00C24AA6">
        <w:t>1</w:t>
      </w:r>
      <w:r w:rsidR="00BC3FE0">
        <w:t>1</w:t>
      </w:r>
      <w:r w:rsidR="5145CA22">
        <w:t>).</w:t>
      </w:r>
    </w:p>
    <w:p w14:paraId="45EBA55C" w14:textId="43FD0C7F" w:rsidR="071B8CC5" w:rsidRDefault="071B8CC5" w:rsidP="071B8CC5">
      <w:pPr>
        <w:pStyle w:val="Caption"/>
        <w:keepNext/>
      </w:pPr>
    </w:p>
    <w:p w14:paraId="5DB41B88" w14:textId="520190BF" w:rsidR="5145CA22" w:rsidRDefault="5145CA22" w:rsidP="071B8CC5">
      <w:pPr>
        <w:pStyle w:val="Caption"/>
        <w:keepNext/>
      </w:pPr>
      <w:r>
        <w:t>Figure</w:t>
      </w:r>
      <w:r w:rsidR="00C24AA6">
        <w:t xml:space="preserve"> 1</w:t>
      </w:r>
      <w:r w:rsidR="00BC3FE0">
        <w:t>1</w:t>
      </w:r>
      <w:r>
        <w:t xml:space="preserve">: Per cent of practices regularly uploading to </w:t>
      </w:r>
      <w:r w:rsidR="00D105D7">
        <w:t>MHR</w:t>
      </w:r>
      <w:r>
        <w:t xml:space="preserve"> by remoteness</w:t>
      </w:r>
    </w:p>
    <w:p w14:paraId="4751315C" w14:textId="77777777" w:rsidR="00745F39" w:rsidRDefault="00CB7691" w:rsidP="00745F39">
      <w:pPr>
        <w:pStyle w:val="Caption"/>
      </w:pPr>
      <w:r>
        <w:rPr>
          <w:noProof/>
        </w:rPr>
        <w:drawing>
          <wp:inline distT="0" distB="0" distL="0" distR="0" wp14:anchorId="704A72C2" wp14:editId="66E8AF8F">
            <wp:extent cx="4511675" cy="2353310"/>
            <wp:effectExtent l="0" t="0" r="3175" b="8890"/>
            <wp:docPr id="27" name="Picture 27" descr="Bar chart comparing percent of practices regularly uploading to MHR by remoteness in 2019-20 and 2020-21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ar chart comparing percent of practices regularly uploading to MHR by remoteness in 2019-20 and 2020-21 reporting period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r w:rsidR="00745F39">
        <w:br/>
        <w:t>Source: ADHA and performance reporting data provided by PHNs. NTPHN not included.</w:t>
      </w:r>
    </w:p>
    <w:p w14:paraId="42C28793" w14:textId="10DF7E93" w:rsidR="5145CA22" w:rsidRDefault="5145CA22" w:rsidP="071B8CC5">
      <w:pPr>
        <w:pStyle w:val="Caption"/>
      </w:pPr>
    </w:p>
    <w:p w14:paraId="6DC97E2B" w14:textId="77777777" w:rsidR="004B28EC" w:rsidRDefault="00C24AA6" w:rsidP="00C0467D">
      <w:r>
        <w:br/>
      </w:r>
    </w:p>
    <w:p w14:paraId="468241EC" w14:textId="77777777" w:rsidR="004B28EC" w:rsidRDefault="004B28EC">
      <w:pPr>
        <w:spacing w:after="160" w:line="259" w:lineRule="auto"/>
        <w:rPr>
          <w:rFonts w:ascii="Calibri" w:hAnsi="Calibri" w:cs="Calibri"/>
          <w:b/>
          <w:bCs/>
          <w:color w:val="003D69"/>
          <w:sz w:val="24"/>
          <w:lang w:eastAsia="en-US"/>
        </w:rPr>
      </w:pPr>
      <w:r>
        <w:br w:type="page"/>
      </w:r>
    </w:p>
    <w:p w14:paraId="5052B483" w14:textId="65FA1847" w:rsidR="00115415" w:rsidRPr="0069578E" w:rsidRDefault="00115415" w:rsidP="00115415">
      <w:pPr>
        <w:pStyle w:val="Heading2"/>
      </w:pPr>
      <w:bookmarkStart w:id="30" w:name="_Toc136505533"/>
      <w:r>
        <w:lastRenderedPageBreak/>
        <w:t>Cross View</w:t>
      </w:r>
      <w:r w:rsidR="001C268B">
        <w:t>s</w:t>
      </w:r>
      <w:r>
        <w:t xml:space="preserve"> of </w:t>
      </w:r>
      <w:r w:rsidR="003C2036">
        <w:t>MHR</w:t>
      </w:r>
      <w:bookmarkEnd w:id="30"/>
    </w:p>
    <w:p w14:paraId="26C39E5D" w14:textId="3A27140A" w:rsidR="47C08D88" w:rsidRDefault="47C08D88" w:rsidP="1C80FE2C">
      <w:pPr>
        <w:rPr>
          <w:rFonts w:ascii="Calibri" w:eastAsia="Calibri" w:hAnsi="Calibri" w:cs="Calibri"/>
          <w:lang w:val="en-US"/>
        </w:rPr>
      </w:pPr>
      <w:r w:rsidRPr="6CCEAF67">
        <w:rPr>
          <w:rFonts w:ascii="Calibri" w:eastAsia="Calibri" w:hAnsi="Calibri" w:cs="Calibri"/>
          <w:lang w:val="en-US"/>
        </w:rPr>
        <w:t xml:space="preserve">Cross-views of </w:t>
      </w:r>
      <w:r w:rsidR="00D105D7">
        <w:rPr>
          <w:rFonts w:ascii="Calibri" w:eastAsia="Calibri" w:hAnsi="Calibri" w:cs="Calibri"/>
          <w:lang w:val="en-US"/>
        </w:rPr>
        <w:t>MHR</w:t>
      </w:r>
      <w:r w:rsidRPr="6CCEAF67">
        <w:rPr>
          <w:rFonts w:ascii="Calibri" w:eastAsia="Calibri" w:hAnsi="Calibri" w:cs="Calibri"/>
          <w:lang w:val="en-US"/>
        </w:rPr>
        <w:t xml:space="preserve"> (the viewing of a</w:t>
      </w:r>
      <w:r w:rsidR="004129B2">
        <w:rPr>
          <w:rFonts w:ascii="Calibri" w:eastAsia="Calibri" w:hAnsi="Calibri" w:cs="Calibri"/>
          <w:lang w:val="en-US"/>
        </w:rPr>
        <w:t>n</w:t>
      </w:r>
      <w:r w:rsidRPr="6CCEAF67">
        <w:rPr>
          <w:rFonts w:ascii="Calibri" w:eastAsia="Calibri" w:hAnsi="Calibri" w:cs="Calibri"/>
          <w:lang w:val="en-US"/>
        </w:rPr>
        <w:t xml:space="preserve"> </w:t>
      </w:r>
      <w:r w:rsidR="00D105D7">
        <w:rPr>
          <w:rFonts w:ascii="Calibri" w:eastAsia="Calibri" w:hAnsi="Calibri" w:cs="Calibri"/>
          <w:lang w:val="en-US"/>
        </w:rPr>
        <w:t>MHR</w:t>
      </w:r>
      <w:r w:rsidRPr="6CCEAF67">
        <w:rPr>
          <w:rFonts w:ascii="Calibri" w:eastAsia="Calibri" w:hAnsi="Calibri" w:cs="Calibri"/>
          <w:lang w:val="en-US"/>
        </w:rPr>
        <w:t xml:space="preserve"> document authored in a different practice) increased </w:t>
      </w:r>
      <w:r w:rsidR="00C142B8">
        <w:rPr>
          <w:rFonts w:ascii="Calibri" w:eastAsia="Calibri" w:hAnsi="Calibri" w:cs="Calibri"/>
          <w:lang w:val="en-US"/>
        </w:rPr>
        <w:t xml:space="preserve">in all PHNs </w:t>
      </w:r>
      <w:r w:rsidRPr="6CCEAF67">
        <w:rPr>
          <w:rFonts w:ascii="Calibri" w:eastAsia="Calibri" w:hAnsi="Calibri" w:cs="Calibri"/>
          <w:lang w:val="en-US"/>
        </w:rPr>
        <w:t xml:space="preserve">by more than </w:t>
      </w:r>
      <w:r w:rsidR="003F35E3">
        <w:rPr>
          <w:rFonts w:ascii="Calibri" w:eastAsia="Calibri" w:hAnsi="Calibri" w:cs="Calibri"/>
          <w:lang w:val="en-US"/>
        </w:rPr>
        <w:t>12</w:t>
      </w:r>
      <w:r w:rsidR="236EB2C7" w:rsidRPr="6CCEAF67">
        <w:rPr>
          <w:rFonts w:ascii="Calibri" w:eastAsia="Calibri" w:hAnsi="Calibri" w:cs="Calibri"/>
          <w:lang w:val="en-US"/>
        </w:rPr>
        <w:t xml:space="preserve"> per cent </w:t>
      </w:r>
      <w:r w:rsidRPr="6CCEAF67">
        <w:rPr>
          <w:rFonts w:ascii="Calibri" w:eastAsia="Calibri" w:hAnsi="Calibri" w:cs="Calibri"/>
          <w:lang w:val="en-US"/>
        </w:rPr>
        <w:t xml:space="preserve">from </w:t>
      </w:r>
      <w:r w:rsidR="3D966BC2" w:rsidRPr="6CCEAF67">
        <w:rPr>
          <w:rFonts w:ascii="Calibri" w:eastAsia="Calibri" w:hAnsi="Calibri" w:cs="Calibri"/>
          <w:lang w:val="en-US"/>
        </w:rPr>
        <w:t>2019-20</w:t>
      </w:r>
      <w:r w:rsidRPr="6CCEAF67">
        <w:rPr>
          <w:rFonts w:ascii="Calibri" w:eastAsia="Calibri" w:hAnsi="Calibri" w:cs="Calibri"/>
          <w:lang w:val="en-US"/>
        </w:rPr>
        <w:t xml:space="preserve"> in all general practices that were registered </w:t>
      </w:r>
      <w:r w:rsidR="00D105D7">
        <w:rPr>
          <w:rFonts w:ascii="Calibri" w:eastAsia="Calibri" w:hAnsi="Calibri" w:cs="Calibri"/>
          <w:lang w:val="en-US"/>
        </w:rPr>
        <w:t>MHR</w:t>
      </w:r>
      <w:r w:rsidRPr="6CCEAF67">
        <w:rPr>
          <w:rFonts w:ascii="Calibri" w:eastAsia="Calibri" w:hAnsi="Calibri" w:cs="Calibri"/>
          <w:lang w:val="en-US"/>
        </w:rPr>
        <w:t xml:space="preserve"> providers</w:t>
      </w:r>
      <w:r w:rsidR="7D56108F" w:rsidRPr="6CCEAF67">
        <w:rPr>
          <w:rFonts w:ascii="Calibri" w:eastAsia="Calibri" w:hAnsi="Calibri" w:cs="Calibri"/>
          <w:lang w:val="en-US"/>
        </w:rPr>
        <w:t>.</w:t>
      </w:r>
      <w:r w:rsidR="24B73A99" w:rsidRPr="6CCEAF67">
        <w:rPr>
          <w:rFonts w:ascii="Calibri" w:eastAsia="Calibri" w:hAnsi="Calibri" w:cs="Calibri"/>
          <w:lang w:val="en-US"/>
        </w:rPr>
        <w:t xml:space="preserve"> </w:t>
      </w:r>
      <w:r w:rsidR="4E2654A9" w:rsidRPr="6CCEAF67">
        <w:rPr>
          <w:rFonts w:ascii="Calibri" w:eastAsia="Calibri" w:hAnsi="Calibri" w:cs="Calibri"/>
          <w:lang w:val="en-US"/>
        </w:rPr>
        <w:t>I</w:t>
      </w:r>
      <w:r w:rsidRPr="6CCEAF67">
        <w:rPr>
          <w:rFonts w:ascii="Calibri" w:eastAsia="Calibri" w:hAnsi="Calibri" w:cs="Calibri"/>
          <w:lang w:val="en-US"/>
        </w:rPr>
        <w:t>n pharmacy providers</w:t>
      </w:r>
      <w:r w:rsidR="00DF482D">
        <w:rPr>
          <w:rFonts w:ascii="Calibri" w:eastAsia="Calibri" w:hAnsi="Calibri" w:cs="Calibri"/>
          <w:lang w:val="en-US"/>
        </w:rPr>
        <w:t>,</w:t>
      </w:r>
      <w:r w:rsidRPr="6CCEAF67">
        <w:rPr>
          <w:rFonts w:ascii="Calibri" w:eastAsia="Calibri" w:hAnsi="Calibri" w:cs="Calibri"/>
          <w:lang w:val="en-US"/>
        </w:rPr>
        <w:t xml:space="preserve"> </w:t>
      </w:r>
      <w:r w:rsidR="002C35F9">
        <w:rPr>
          <w:rFonts w:ascii="Calibri" w:eastAsia="Calibri" w:hAnsi="Calibri" w:cs="Calibri"/>
          <w:lang w:val="en-US"/>
        </w:rPr>
        <w:t xml:space="preserve">cross-views of </w:t>
      </w:r>
      <w:r w:rsidR="00D105D7">
        <w:rPr>
          <w:rFonts w:ascii="Calibri" w:eastAsia="Calibri" w:hAnsi="Calibri" w:cs="Calibri"/>
          <w:lang w:val="en-US"/>
        </w:rPr>
        <w:t>MHR</w:t>
      </w:r>
      <w:r w:rsidR="002C35F9">
        <w:rPr>
          <w:rFonts w:ascii="Calibri" w:eastAsia="Calibri" w:hAnsi="Calibri" w:cs="Calibri"/>
          <w:lang w:val="en-US"/>
        </w:rPr>
        <w:t xml:space="preserve"> increased</w:t>
      </w:r>
      <w:r w:rsidRPr="6CCEAF67">
        <w:rPr>
          <w:rFonts w:ascii="Calibri" w:eastAsia="Calibri" w:hAnsi="Calibri" w:cs="Calibri"/>
          <w:lang w:val="en-US"/>
        </w:rPr>
        <w:t xml:space="preserve"> in </w:t>
      </w:r>
      <w:r w:rsidR="00E1714D">
        <w:rPr>
          <w:rFonts w:ascii="Calibri" w:eastAsia="Calibri" w:hAnsi="Calibri" w:cs="Calibri"/>
          <w:lang w:val="en-US"/>
        </w:rPr>
        <w:t>97</w:t>
      </w:r>
      <w:r w:rsidR="279C1552" w:rsidRPr="6CCEAF67">
        <w:rPr>
          <w:rFonts w:ascii="Calibri" w:eastAsia="Calibri" w:hAnsi="Calibri" w:cs="Calibri"/>
          <w:lang w:val="en-US"/>
        </w:rPr>
        <w:t xml:space="preserve"> per cent</w:t>
      </w:r>
      <w:r w:rsidRPr="6CCEAF67">
        <w:rPr>
          <w:rFonts w:ascii="Calibri" w:eastAsia="Calibri" w:hAnsi="Calibri" w:cs="Calibri"/>
          <w:lang w:val="en-US"/>
        </w:rPr>
        <w:t xml:space="preserve"> of PHNs</w:t>
      </w:r>
      <w:r w:rsidR="33D6D6DE" w:rsidRPr="6CCEAF67">
        <w:rPr>
          <w:rFonts w:ascii="Calibri" w:eastAsia="Calibri" w:hAnsi="Calibri" w:cs="Calibri"/>
          <w:lang w:val="en-US"/>
        </w:rPr>
        <w:t>.</w:t>
      </w:r>
    </w:p>
    <w:p w14:paraId="144AB22C" w14:textId="35C6BB4A" w:rsidR="546B776E" w:rsidRDefault="546B776E" w:rsidP="546B776E">
      <w:pPr>
        <w:rPr>
          <w:rFonts w:ascii="Calibri" w:eastAsia="Calibri" w:hAnsi="Calibri" w:cs="Calibri"/>
          <w:szCs w:val="22"/>
          <w:lang w:val="en-US"/>
        </w:rPr>
      </w:pPr>
    </w:p>
    <w:p w14:paraId="52FD5FEE" w14:textId="0313F8E7" w:rsidR="47C08D88" w:rsidRDefault="47C08D88" w:rsidP="1C80FE2C">
      <w:pPr>
        <w:rPr>
          <w:rFonts w:ascii="Calibri" w:eastAsia="Calibri" w:hAnsi="Calibri" w:cs="Calibri"/>
          <w:lang w:val="en-US"/>
        </w:rPr>
      </w:pPr>
      <w:r w:rsidRPr="1C80FE2C">
        <w:rPr>
          <w:rFonts w:ascii="Calibri" w:eastAsia="Calibri" w:hAnsi="Calibri" w:cs="Calibri"/>
          <w:lang w:val="en-US"/>
        </w:rPr>
        <w:t xml:space="preserve">The </w:t>
      </w:r>
      <w:r w:rsidR="005372FC">
        <w:rPr>
          <w:rFonts w:ascii="Calibri" w:eastAsia="Calibri" w:hAnsi="Calibri" w:cs="Calibri"/>
          <w:lang w:val="en-US"/>
        </w:rPr>
        <w:t>number</w:t>
      </w:r>
      <w:r w:rsidRPr="1C80FE2C">
        <w:rPr>
          <w:rFonts w:ascii="Calibri" w:eastAsia="Calibri" w:hAnsi="Calibri" w:cs="Calibri"/>
          <w:lang w:val="en-US"/>
        </w:rPr>
        <w:t xml:space="preserve"> of documents cross-viewed </w:t>
      </w:r>
      <w:r w:rsidR="00AA4CBC">
        <w:rPr>
          <w:rFonts w:ascii="Calibri" w:eastAsia="Calibri" w:hAnsi="Calibri" w:cs="Calibri"/>
          <w:lang w:val="en-US"/>
        </w:rPr>
        <w:t xml:space="preserve">per general practice </w:t>
      </w:r>
      <w:r w:rsidR="2864158C" w:rsidRPr="1C80FE2C">
        <w:rPr>
          <w:rFonts w:ascii="Calibri" w:eastAsia="Calibri" w:hAnsi="Calibri" w:cs="Calibri"/>
          <w:lang w:val="en-US"/>
        </w:rPr>
        <w:t xml:space="preserve">has continued to grow over </w:t>
      </w:r>
      <w:r w:rsidR="0C53EA69" w:rsidRPr="1C80FE2C">
        <w:rPr>
          <w:rFonts w:ascii="Calibri" w:eastAsia="Calibri" w:hAnsi="Calibri" w:cs="Calibri"/>
          <w:lang w:val="en-US"/>
        </w:rPr>
        <w:t>the last</w:t>
      </w:r>
      <w:r w:rsidR="2864158C" w:rsidRPr="1C80FE2C">
        <w:rPr>
          <w:rFonts w:ascii="Calibri" w:eastAsia="Calibri" w:hAnsi="Calibri" w:cs="Calibri"/>
          <w:lang w:val="en-US"/>
        </w:rPr>
        <w:t xml:space="preserve"> three year</w:t>
      </w:r>
      <w:r w:rsidR="55503F8E" w:rsidRPr="1C80FE2C">
        <w:rPr>
          <w:rFonts w:ascii="Calibri" w:eastAsia="Calibri" w:hAnsi="Calibri" w:cs="Calibri"/>
          <w:lang w:val="en-US"/>
        </w:rPr>
        <w:t>s</w:t>
      </w:r>
      <w:r w:rsidR="00C837B1">
        <w:rPr>
          <w:rFonts w:ascii="Calibri" w:eastAsia="Calibri" w:hAnsi="Calibri" w:cs="Calibri"/>
          <w:lang w:val="en-US"/>
        </w:rPr>
        <w:t xml:space="preserve"> </w:t>
      </w:r>
      <w:r w:rsidR="00C837B1" w:rsidRPr="1C80FE2C">
        <w:rPr>
          <w:rFonts w:ascii="Calibri" w:eastAsia="Calibri" w:hAnsi="Calibri" w:cs="Calibri"/>
          <w:lang w:val="en-US"/>
        </w:rPr>
        <w:t xml:space="preserve">(Figure </w:t>
      </w:r>
      <w:r w:rsidR="00C837B1">
        <w:rPr>
          <w:rFonts w:ascii="Calibri" w:eastAsia="Calibri" w:hAnsi="Calibri" w:cs="Calibri"/>
          <w:lang w:val="en-US"/>
        </w:rPr>
        <w:t>1</w:t>
      </w:r>
      <w:r w:rsidR="00A720D6">
        <w:rPr>
          <w:rFonts w:ascii="Calibri" w:eastAsia="Calibri" w:hAnsi="Calibri" w:cs="Calibri"/>
          <w:lang w:val="en-US"/>
        </w:rPr>
        <w:t>2</w:t>
      </w:r>
      <w:r w:rsidR="00C837B1" w:rsidRPr="1C80FE2C">
        <w:rPr>
          <w:rFonts w:ascii="Calibri" w:eastAsia="Calibri" w:hAnsi="Calibri" w:cs="Calibri"/>
          <w:lang w:val="en-US"/>
        </w:rPr>
        <w:t>).</w:t>
      </w:r>
      <w:r w:rsidR="2864158C" w:rsidRPr="1C80FE2C">
        <w:rPr>
          <w:rFonts w:ascii="Calibri" w:eastAsia="Calibri" w:hAnsi="Calibri" w:cs="Calibri"/>
          <w:lang w:val="en-US"/>
        </w:rPr>
        <w:t xml:space="preserve"> In 2020-21, </w:t>
      </w:r>
      <w:r w:rsidR="00590458">
        <w:rPr>
          <w:rFonts w:ascii="Calibri" w:eastAsia="Calibri" w:hAnsi="Calibri" w:cs="Calibri"/>
          <w:lang w:val="en-US"/>
        </w:rPr>
        <w:t xml:space="preserve">general practices cross-viewed an average </w:t>
      </w:r>
      <w:r w:rsidR="2864158C" w:rsidRPr="1C80FE2C">
        <w:rPr>
          <w:rFonts w:ascii="Calibri" w:eastAsia="Calibri" w:hAnsi="Calibri" w:cs="Calibri"/>
          <w:lang w:val="en-US"/>
        </w:rPr>
        <w:t xml:space="preserve">of </w:t>
      </w:r>
      <w:r w:rsidR="4F7D4ADB" w:rsidRPr="1C80FE2C">
        <w:rPr>
          <w:rFonts w:ascii="Calibri" w:eastAsia="Calibri" w:hAnsi="Calibri" w:cs="Calibri"/>
          <w:lang w:val="en-US"/>
        </w:rPr>
        <w:t xml:space="preserve">97 </w:t>
      </w:r>
      <w:r w:rsidR="2864158C" w:rsidRPr="1C80FE2C">
        <w:rPr>
          <w:rFonts w:ascii="Calibri" w:eastAsia="Calibri" w:hAnsi="Calibri" w:cs="Calibri"/>
          <w:lang w:val="en-US"/>
        </w:rPr>
        <w:t xml:space="preserve">documents </w:t>
      </w:r>
      <w:r w:rsidRPr="1C80FE2C">
        <w:rPr>
          <w:rFonts w:ascii="Calibri" w:eastAsia="Calibri" w:hAnsi="Calibri" w:cs="Calibri"/>
          <w:lang w:val="en-US"/>
        </w:rPr>
        <w:t xml:space="preserve">(up from </w:t>
      </w:r>
      <w:r w:rsidR="4F7C8939" w:rsidRPr="1C80FE2C">
        <w:rPr>
          <w:rFonts w:ascii="Calibri" w:eastAsia="Calibri" w:hAnsi="Calibri" w:cs="Calibri"/>
          <w:lang w:val="en-US"/>
        </w:rPr>
        <w:t>61</w:t>
      </w:r>
      <w:r w:rsidRPr="1C80FE2C">
        <w:rPr>
          <w:rFonts w:ascii="Calibri" w:eastAsia="Calibri" w:hAnsi="Calibri" w:cs="Calibri"/>
          <w:lang w:val="en-US"/>
        </w:rPr>
        <w:t xml:space="preserve"> in 201</w:t>
      </w:r>
      <w:r w:rsidR="083ABA47" w:rsidRPr="1C80FE2C">
        <w:rPr>
          <w:rFonts w:ascii="Calibri" w:eastAsia="Calibri" w:hAnsi="Calibri" w:cs="Calibri"/>
          <w:lang w:val="en-US"/>
        </w:rPr>
        <w:t>9-20</w:t>
      </w:r>
      <w:r w:rsidRPr="1C80FE2C">
        <w:rPr>
          <w:rFonts w:ascii="Calibri" w:eastAsia="Calibri" w:hAnsi="Calibri" w:cs="Calibri"/>
          <w:lang w:val="en-US"/>
        </w:rPr>
        <w:t xml:space="preserve"> and </w:t>
      </w:r>
      <w:r w:rsidR="00EA6B07">
        <w:rPr>
          <w:rFonts w:ascii="Calibri" w:eastAsia="Calibri" w:hAnsi="Calibri" w:cs="Calibri"/>
          <w:lang w:val="en-US"/>
        </w:rPr>
        <w:t>19 in 2018-19</w:t>
      </w:r>
      <w:r w:rsidRPr="1C80FE2C">
        <w:rPr>
          <w:rFonts w:ascii="Calibri" w:eastAsia="Calibri" w:hAnsi="Calibri" w:cs="Calibri"/>
          <w:lang w:val="en-US"/>
        </w:rPr>
        <w:t>)</w:t>
      </w:r>
      <w:r w:rsidR="00EA6B07">
        <w:rPr>
          <w:rFonts w:ascii="Calibri" w:eastAsia="Calibri" w:hAnsi="Calibri" w:cs="Calibri"/>
          <w:lang w:val="en-US"/>
        </w:rPr>
        <w:t xml:space="preserve">. In </w:t>
      </w:r>
      <w:r w:rsidR="00E84024">
        <w:rPr>
          <w:rFonts w:ascii="Calibri" w:eastAsia="Calibri" w:hAnsi="Calibri" w:cs="Calibri"/>
          <w:lang w:val="en-US"/>
        </w:rPr>
        <w:t>pharmac</w:t>
      </w:r>
      <w:r w:rsidR="00EA6B07">
        <w:rPr>
          <w:rFonts w:ascii="Calibri" w:eastAsia="Calibri" w:hAnsi="Calibri" w:cs="Calibri"/>
          <w:lang w:val="en-US"/>
        </w:rPr>
        <w:t>ies</w:t>
      </w:r>
      <w:r w:rsidR="00E84024">
        <w:rPr>
          <w:rFonts w:ascii="Calibri" w:eastAsia="Calibri" w:hAnsi="Calibri" w:cs="Calibri"/>
          <w:lang w:val="en-US"/>
        </w:rPr>
        <w:t xml:space="preserve"> it was </w:t>
      </w:r>
      <w:r w:rsidR="437E51C6" w:rsidRPr="1C80FE2C">
        <w:rPr>
          <w:rFonts w:ascii="Calibri" w:eastAsia="Calibri" w:hAnsi="Calibri" w:cs="Calibri"/>
          <w:lang w:val="en-US"/>
        </w:rPr>
        <w:t>1</w:t>
      </w:r>
      <w:r w:rsidRPr="1C80FE2C">
        <w:rPr>
          <w:rFonts w:ascii="Calibri" w:eastAsia="Calibri" w:hAnsi="Calibri" w:cs="Calibri"/>
          <w:lang w:val="en-US"/>
        </w:rPr>
        <w:t xml:space="preserve">6 </w:t>
      </w:r>
      <w:r w:rsidR="00EA6B07">
        <w:rPr>
          <w:rFonts w:ascii="Calibri" w:eastAsia="Calibri" w:hAnsi="Calibri" w:cs="Calibri"/>
          <w:lang w:val="en-US"/>
        </w:rPr>
        <w:t>documents in 2020-21</w:t>
      </w:r>
      <w:r w:rsidRPr="1C80FE2C">
        <w:rPr>
          <w:rFonts w:ascii="Calibri" w:eastAsia="Calibri" w:hAnsi="Calibri" w:cs="Calibri"/>
          <w:lang w:val="en-US"/>
        </w:rPr>
        <w:t xml:space="preserve"> (up from </w:t>
      </w:r>
      <w:r w:rsidR="005B1DC5">
        <w:rPr>
          <w:rFonts w:ascii="Calibri" w:eastAsia="Calibri" w:hAnsi="Calibri" w:cs="Calibri"/>
          <w:lang w:val="en-US"/>
        </w:rPr>
        <w:t>nine</w:t>
      </w:r>
      <w:r w:rsidRPr="1C80FE2C">
        <w:rPr>
          <w:rFonts w:ascii="Calibri" w:eastAsia="Calibri" w:hAnsi="Calibri" w:cs="Calibri"/>
          <w:lang w:val="en-US"/>
        </w:rPr>
        <w:t xml:space="preserve"> in 20</w:t>
      </w:r>
      <w:r w:rsidR="26C7536C" w:rsidRPr="1C80FE2C">
        <w:rPr>
          <w:rFonts w:ascii="Calibri" w:eastAsia="Calibri" w:hAnsi="Calibri" w:cs="Calibri"/>
          <w:lang w:val="en-US"/>
        </w:rPr>
        <w:t>19-20</w:t>
      </w:r>
      <w:r w:rsidR="00EA6B07">
        <w:rPr>
          <w:rFonts w:ascii="Calibri" w:eastAsia="Calibri" w:hAnsi="Calibri" w:cs="Calibri"/>
          <w:lang w:val="en-US"/>
        </w:rPr>
        <w:t xml:space="preserve"> and five in 2018-19</w:t>
      </w:r>
      <w:r w:rsidRPr="1C80FE2C">
        <w:rPr>
          <w:rFonts w:ascii="Calibri" w:eastAsia="Calibri" w:hAnsi="Calibri" w:cs="Calibri"/>
          <w:lang w:val="en-US"/>
        </w:rPr>
        <w:t>)</w:t>
      </w:r>
      <w:r w:rsidR="00EA6B07">
        <w:rPr>
          <w:rFonts w:ascii="Calibri" w:eastAsia="Calibri" w:hAnsi="Calibri" w:cs="Calibri"/>
          <w:lang w:val="en-US"/>
        </w:rPr>
        <w:t>.</w:t>
      </w:r>
      <w:r w:rsidR="066354FA" w:rsidRPr="1C80FE2C">
        <w:rPr>
          <w:rFonts w:ascii="Calibri" w:eastAsia="Calibri" w:hAnsi="Calibri" w:cs="Calibri"/>
          <w:lang w:val="en-US"/>
        </w:rPr>
        <w:t xml:space="preserve"> </w:t>
      </w:r>
    </w:p>
    <w:p w14:paraId="2F3DEAA9" w14:textId="46BA9D53" w:rsidR="546B776E" w:rsidRDefault="546B776E" w:rsidP="3EC93E4E">
      <w:pPr>
        <w:pStyle w:val="Caption"/>
        <w:rPr>
          <w:rFonts w:ascii="Calibri" w:eastAsia="Calibri" w:hAnsi="Calibri" w:cs="Calibri"/>
          <w:sz w:val="22"/>
          <w:szCs w:val="22"/>
          <w:lang w:val="en-US"/>
        </w:rPr>
      </w:pPr>
    </w:p>
    <w:p w14:paraId="4E1FA34C" w14:textId="2F12DC28" w:rsidR="4DC84924" w:rsidRDefault="4DC84924" w:rsidP="546B776E">
      <w:r w:rsidRPr="546B776E">
        <w:rPr>
          <w:i/>
          <w:iCs/>
          <w:color w:val="44546A" w:themeColor="text2"/>
          <w:sz w:val="18"/>
          <w:szCs w:val="18"/>
        </w:rPr>
        <w:t xml:space="preserve">Figure </w:t>
      </w:r>
      <w:r w:rsidR="002751D7">
        <w:rPr>
          <w:i/>
          <w:iCs/>
          <w:color w:val="44546A" w:themeColor="text2"/>
          <w:sz w:val="18"/>
          <w:szCs w:val="18"/>
        </w:rPr>
        <w:t>1</w:t>
      </w:r>
      <w:r w:rsidR="00A720D6">
        <w:rPr>
          <w:i/>
          <w:iCs/>
          <w:color w:val="44546A" w:themeColor="text2"/>
          <w:sz w:val="18"/>
          <w:szCs w:val="18"/>
        </w:rPr>
        <w:t>2</w:t>
      </w:r>
      <w:r w:rsidRPr="546B776E">
        <w:rPr>
          <w:i/>
          <w:iCs/>
          <w:color w:val="44546A" w:themeColor="text2"/>
          <w:sz w:val="18"/>
          <w:szCs w:val="18"/>
        </w:rPr>
        <w:t xml:space="preserve">: Average count of </w:t>
      </w:r>
      <w:r w:rsidR="00D105D7">
        <w:rPr>
          <w:i/>
          <w:iCs/>
          <w:color w:val="44546A" w:themeColor="text2"/>
          <w:sz w:val="18"/>
          <w:szCs w:val="18"/>
        </w:rPr>
        <w:t>MHR</w:t>
      </w:r>
      <w:r w:rsidRPr="546B776E">
        <w:rPr>
          <w:i/>
          <w:iCs/>
          <w:color w:val="44546A" w:themeColor="text2"/>
          <w:sz w:val="18"/>
          <w:szCs w:val="18"/>
        </w:rPr>
        <w:t xml:space="preserve"> cross-views by general practices &amp; pharmacies</w:t>
      </w:r>
    </w:p>
    <w:p w14:paraId="436EBAEB" w14:textId="77777777" w:rsidR="00745F39" w:rsidRDefault="004E41B8" w:rsidP="00745F39">
      <w:pPr>
        <w:pStyle w:val="Caption"/>
      </w:pPr>
      <w:r>
        <w:rPr>
          <w:noProof/>
        </w:rPr>
        <w:drawing>
          <wp:inline distT="0" distB="0" distL="0" distR="0" wp14:anchorId="0B1FC2B4" wp14:editId="3D2047BF">
            <wp:extent cx="4517390" cy="2353310"/>
            <wp:effectExtent l="0" t="0" r="0" b="8890"/>
            <wp:docPr id="28" name="Picture 28" descr="Bar chart showing the average count of My Health Record cross-views by general practices and pharmacies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r chart showing the average count of My Health Record cross-views by general practices and pharmacies over 2018-19, 2019-20 and 2020-21 reporting period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17390" cy="2353310"/>
                    </a:xfrm>
                    <a:prstGeom prst="rect">
                      <a:avLst/>
                    </a:prstGeom>
                    <a:noFill/>
                  </pic:spPr>
                </pic:pic>
              </a:graphicData>
            </a:graphic>
          </wp:inline>
        </w:drawing>
      </w:r>
      <w:r w:rsidR="00745F39">
        <w:br/>
      </w:r>
      <w:r w:rsidR="00745F39">
        <w:rPr>
          <w:lang w:eastAsia="en-US"/>
        </w:rPr>
        <w:t xml:space="preserve">Source: </w:t>
      </w:r>
      <w:r w:rsidR="00745F39" w:rsidRPr="00486826">
        <w:t>ADHA</w:t>
      </w:r>
    </w:p>
    <w:p w14:paraId="56320302" w14:textId="0A05A5C3" w:rsidR="3EC93E4E" w:rsidRDefault="3EC93E4E" w:rsidP="3EC93E4E">
      <w:pPr>
        <w:pStyle w:val="Caption"/>
      </w:pPr>
    </w:p>
    <w:p w14:paraId="0A9904C0" w14:textId="7F199F63" w:rsidR="298E7296" w:rsidRDefault="298E7296" w:rsidP="3EC93E4E">
      <w:pPr>
        <w:rPr>
          <w:lang w:eastAsia="en-US"/>
        </w:rPr>
      </w:pPr>
      <w:r w:rsidRPr="3EC93E4E">
        <w:rPr>
          <w:lang w:eastAsia="en-US"/>
        </w:rPr>
        <w:t xml:space="preserve">Increases in cross-views of </w:t>
      </w:r>
      <w:r w:rsidR="00D105D7">
        <w:rPr>
          <w:lang w:eastAsia="en-US"/>
        </w:rPr>
        <w:t>MHR</w:t>
      </w:r>
      <w:r w:rsidRPr="3EC93E4E">
        <w:rPr>
          <w:lang w:eastAsia="en-US"/>
        </w:rPr>
        <w:t xml:space="preserve"> for both general practices and pharmacies occurred across </w:t>
      </w:r>
      <w:r w:rsidR="006138F1">
        <w:rPr>
          <w:lang w:eastAsia="en-US"/>
        </w:rPr>
        <w:t xml:space="preserve">both </w:t>
      </w:r>
      <w:r w:rsidR="00F60D49">
        <w:rPr>
          <w:lang w:eastAsia="en-US"/>
        </w:rPr>
        <w:t xml:space="preserve">metropolitan and regional </w:t>
      </w:r>
      <w:r w:rsidRPr="3EC93E4E">
        <w:rPr>
          <w:lang w:eastAsia="en-US"/>
        </w:rPr>
        <w:t>areas.</w:t>
      </w:r>
      <w:r w:rsidR="00C54D14" w:rsidRPr="3EC93E4E">
        <w:rPr>
          <w:lang w:eastAsia="en-US"/>
        </w:rPr>
        <w:t xml:space="preserve"> Regional areas had the greatest increase for both general practice (</w:t>
      </w:r>
      <w:r w:rsidR="00BE3EDD" w:rsidRPr="3EC93E4E">
        <w:rPr>
          <w:lang w:eastAsia="en-US"/>
        </w:rPr>
        <w:t>105 cross views in 2020-21</w:t>
      </w:r>
      <w:r w:rsidR="00BE3EDD">
        <w:rPr>
          <w:lang w:eastAsia="en-US"/>
        </w:rPr>
        <w:t xml:space="preserve"> </w:t>
      </w:r>
      <w:r w:rsidR="00C54D14" w:rsidRPr="3EC93E4E">
        <w:rPr>
          <w:lang w:eastAsia="en-US"/>
        </w:rPr>
        <w:t xml:space="preserve">up from </w:t>
      </w:r>
      <w:r w:rsidR="036D4997" w:rsidRPr="3EC93E4E">
        <w:rPr>
          <w:lang w:eastAsia="en-US"/>
        </w:rPr>
        <w:t>an average of 65 in 2019-20) and pharmacies (</w:t>
      </w:r>
      <w:r w:rsidR="00BE3EDD" w:rsidRPr="3EC93E4E">
        <w:rPr>
          <w:lang w:eastAsia="en-US"/>
        </w:rPr>
        <w:t xml:space="preserve">20 cross-views in 2020-21 </w:t>
      </w:r>
      <w:r w:rsidR="036D4997" w:rsidRPr="3EC93E4E">
        <w:rPr>
          <w:lang w:eastAsia="en-US"/>
        </w:rPr>
        <w:t>up from a</w:t>
      </w:r>
      <w:r w:rsidR="50945D47" w:rsidRPr="3EC93E4E">
        <w:rPr>
          <w:lang w:eastAsia="en-US"/>
        </w:rPr>
        <w:t>n average of 11 in 2019-20</w:t>
      </w:r>
      <w:r w:rsidR="00BE3EDD">
        <w:rPr>
          <w:lang w:eastAsia="en-US"/>
        </w:rPr>
        <w:t xml:space="preserve">) </w:t>
      </w:r>
      <w:r w:rsidR="50945D47" w:rsidRPr="3EC93E4E">
        <w:rPr>
          <w:lang w:eastAsia="en-US"/>
        </w:rPr>
        <w:t xml:space="preserve">(Figures </w:t>
      </w:r>
      <w:r w:rsidR="00525EE6">
        <w:rPr>
          <w:lang w:eastAsia="en-US"/>
        </w:rPr>
        <w:t>1</w:t>
      </w:r>
      <w:r w:rsidR="00A720D6">
        <w:rPr>
          <w:lang w:eastAsia="en-US"/>
        </w:rPr>
        <w:t>3</w:t>
      </w:r>
      <w:r w:rsidR="50945D47" w:rsidRPr="3EC93E4E">
        <w:rPr>
          <w:lang w:eastAsia="en-US"/>
        </w:rPr>
        <w:t xml:space="preserve"> and </w:t>
      </w:r>
      <w:r w:rsidR="00525EE6">
        <w:rPr>
          <w:lang w:eastAsia="en-US"/>
        </w:rPr>
        <w:t>1</w:t>
      </w:r>
      <w:r w:rsidR="00A720D6">
        <w:rPr>
          <w:lang w:eastAsia="en-US"/>
        </w:rPr>
        <w:t>4</w:t>
      </w:r>
      <w:r w:rsidR="50945D47" w:rsidRPr="3EC93E4E">
        <w:rPr>
          <w:lang w:eastAsia="en-US"/>
        </w:rPr>
        <w:t xml:space="preserve"> respec</w:t>
      </w:r>
      <w:r w:rsidR="56FAF3AB" w:rsidRPr="3EC93E4E">
        <w:rPr>
          <w:lang w:eastAsia="en-US"/>
        </w:rPr>
        <w:t>tively).</w:t>
      </w:r>
    </w:p>
    <w:p w14:paraId="1D3C7A3F" w14:textId="57B00DFB" w:rsidR="3EC93E4E" w:rsidRDefault="3EC93E4E" w:rsidP="3EC93E4E">
      <w:pPr>
        <w:rPr>
          <w:lang w:eastAsia="en-US"/>
        </w:rPr>
      </w:pPr>
    </w:p>
    <w:p w14:paraId="12100BBC" w14:textId="6A7DCEEC" w:rsidR="003D4C50" w:rsidRDefault="593B3040" w:rsidP="003D4C50">
      <w:pPr>
        <w:pStyle w:val="Caption"/>
      </w:pPr>
      <w:r>
        <w:t xml:space="preserve">Figure </w:t>
      </w:r>
      <w:r w:rsidR="00525EE6">
        <w:t>1</w:t>
      </w:r>
      <w:r w:rsidR="00A720D6">
        <w:t>3</w:t>
      </w:r>
      <w:r>
        <w:t xml:space="preserve">: Average count of </w:t>
      </w:r>
      <w:r w:rsidR="00D105D7">
        <w:t>MHR</w:t>
      </w:r>
      <w:r>
        <w:t xml:space="preserve"> cross-views per general practice by remoteness</w:t>
      </w:r>
    </w:p>
    <w:p w14:paraId="0DB7B975" w14:textId="3EF454FE" w:rsidR="00640AF8" w:rsidRDefault="593B3040" w:rsidP="071B8CC5">
      <w:r>
        <w:rPr>
          <w:noProof/>
          <w:color w:val="2B579A"/>
          <w:shd w:val="clear" w:color="auto" w:fill="E6E6E6"/>
        </w:rPr>
        <w:drawing>
          <wp:inline distT="0" distB="0" distL="0" distR="0" wp14:anchorId="027631F3" wp14:editId="55D02C6E">
            <wp:extent cx="4511675" cy="2346960"/>
            <wp:effectExtent l="0" t="0" r="3175" b="0"/>
            <wp:docPr id="875970457" name="Picture 875970457" descr="Bar chart showing the average count of My Health Record cross-views per general practice by remoteness in 2019-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70457" name="Picture 875970457" descr="Bar chart showing the average count of My Health Record cross-views per general practice by remoteness in 2019-19, 2019-20 and 2020-21 reporting periods."/>
                    <pic:cNvPicPr/>
                  </pic:nvPicPr>
                  <pic:blipFill>
                    <a:blip r:embed="rId27">
                      <a:extLst>
                        <a:ext uri="{28A0092B-C50C-407E-A947-70E740481C1C}">
                          <a14:useLocalDpi xmlns:a14="http://schemas.microsoft.com/office/drawing/2010/main" val="0"/>
                        </a:ext>
                      </a:extLst>
                    </a:blip>
                    <a:stretch>
                      <a:fillRect/>
                    </a:stretch>
                  </pic:blipFill>
                  <pic:spPr>
                    <a:xfrm>
                      <a:off x="0" y="0"/>
                      <a:ext cx="4511675" cy="2346960"/>
                    </a:xfrm>
                    <a:prstGeom prst="rect">
                      <a:avLst/>
                    </a:prstGeom>
                  </pic:spPr>
                </pic:pic>
              </a:graphicData>
            </a:graphic>
          </wp:inline>
        </w:drawing>
      </w:r>
    </w:p>
    <w:p w14:paraId="7688607A" w14:textId="2093504F" w:rsidR="071B8CC5" w:rsidRDefault="593B3040" w:rsidP="3EC93E4E">
      <w:pPr>
        <w:pStyle w:val="Caption"/>
      </w:pPr>
      <w:r w:rsidRPr="3EC93E4E">
        <w:rPr>
          <w:lang w:eastAsia="en-US"/>
        </w:rPr>
        <w:t>Source: ADHA</w:t>
      </w:r>
    </w:p>
    <w:p w14:paraId="0EF27BAD" w14:textId="1D164B15" w:rsidR="071B8CC5" w:rsidRDefault="071B8CC5" w:rsidP="3EC93E4E"/>
    <w:p w14:paraId="78B2B782" w14:textId="5833FDF4" w:rsidR="593B3040" w:rsidRDefault="593B3040" w:rsidP="3EC93E4E">
      <w:r w:rsidRPr="3EC93E4E">
        <w:rPr>
          <w:i/>
          <w:iCs/>
          <w:color w:val="44546A" w:themeColor="text2"/>
          <w:sz w:val="18"/>
          <w:szCs w:val="18"/>
        </w:rPr>
        <w:lastRenderedPageBreak/>
        <w:t xml:space="preserve">Figure </w:t>
      </w:r>
      <w:r w:rsidR="00525EE6">
        <w:rPr>
          <w:i/>
          <w:iCs/>
          <w:color w:val="44546A" w:themeColor="text2"/>
          <w:sz w:val="18"/>
          <w:szCs w:val="18"/>
        </w:rPr>
        <w:t>1</w:t>
      </w:r>
      <w:r w:rsidR="00A720D6">
        <w:rPr>
          <w:i/>
          <w:iCs/>
          <w:color w:val="44546A" w:themeColor="text2"/>
          <w:sz w:val="18"/>
          <w:szCs w:val="18"/>
        </w:rPr>
        <w:t>4</w:t>
      </w:r>
      <w:r w:rsidRPr="3EC93E4E">
        <w:rPr>
          <w:i/>
          <w:iCs/>
          <w:color w:val="44546A" w:themeColor="text2"/>
          <w:sz w:val="18"/>
          <w:szCs w:val="18"/>
        </w:rPr>
        <w:t xml:space="preserve">: Average count of </w:t>
      </w:r>
      <w:r w:rsidR="00D105D7">
        <w:rPr>
          <w:i/>
          <w:iCs/>
          <w:color w:val="44546A" w:themeColor="text2"/>
          <w:sz w:val="18"/>
          <w:szCs w:val="18"/>
        </w:rPr>
        <w:t>MHR</w:t>
      </w:r>
      <w:r w:rsidRPr="3EC93E4E">
        <w:rPr>
          <w:i/>
          <w:iCs/>
          <w:color w:val="44546A" w:themeColor="text2"/>
          <w:sz w:val="18"/>
          <w:szCs w:val="18"/>
        </w:rPr>
        <w:t xml:space="preserve"> cross-views per pharmacy by remoteness</w:t>
      </w:r>
      <w:r>
        <w:rPr>
          <w:noProof/>
          <w:color w:val="2B579A"/>
          <w:shd w:val="clear" w:color="auto" w:fill="E6E6E6"/>
        </w:rPr>
        <w:drawing>
          <wp:inline distT="0" distB="0" distL="0" distR="0" wp14:anchorId="73735168" wp14:editId="05C9B8D1">
            <wp:extent cx="4511675" cy="2346960"/>
            <wp:effectExtent l="0" t="0" r="3175" b="0"/>
            <wp:docPr id="2140628876" name="Picture 2140628876" descr="Bar chart of the average count of My Health Record cross-views per pharmacy by remoteness in 2019-19, 2019-20 and 2020-21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28876" name="Picture 2140628876" descr="Bar chart of the average count of My Health Record cross-views per pharmacy by remoteness in 2019-19, 2019-20 and 2020-21 reporting periods. "/>
                    <pic:cNvPicPr/>
                  </pic:nvPicPr>
                  <pic:blipFill>
                    <a:blip r:embed="rId28">
                      <a:extLst>
                        <a:ext uri="{28A0092B-C50C-407E-A947-70E740481C1C}">
                          <a14:useLocalDpi xmlns:a14="http://schemas.microsoft.com/office/drawing/2010/main" val="0"/>
                        </a:ext>
                      </a:extLst>
                    </a:blip>
                    <a:stretch>
                      <a:fillRect/>
                    </a:stretch>
                  </pic:blipFill>
                  <pic:spPr bwMode="auto">
                    <a:xfrm>
                      <a:off x="0" y="0"/>
                      <a:ext cx="4511675" cy="2346960"/>
                    </a:xfrm>
                    <a:prstGeom prst="rect">
                      <a:avLst/>
                    </a:prstGeom>
                    <a:noFill/>
                  </pic:spPr>
                </pic:pic>
              </a:graphicData>
            </a:graphic>
          </wp:inline>
        </w:drawing>
      </w:r>
    </w:p>
    <w:p w14:paraId="7FB4C218" w14:textId="41F02B43" w:rsidR="00115415" w:rsidRDefault="593B3040" w:rsidP="00F36175">
      <w:pPr>
        <w:pStyle w:val="Caption"/>
        <w:rPr>
          <w:lang w:eastAsia="en-US"/>
        </w:rPr>
      </w:pPr>
      <w:r w:rsidRPr="3EC93E4E">
        <w:rPr>
          <w:lang w:eastAsia="en-US"/>
        </w:rPr>
        <w:t>Source: ADHA</w:t>
      </w:r>
    </w:p>
    <w:p w14:paraId="31FEA812" w14:textId="77777777" w:rsidR="00F5711B" w:rsidRDefault="00F5711B" w:rsidP="00F36175">
      <w:pPr>
        <w:rPr>
          <w:lang w:eastAsia="en-US"/>
        </w:rPr>
      </w:pPr>
    </w:p>
    <w:p w14:paraId="3AE970A3" w14:textId="77777777" w:rsidR="004B28EC" w:rsidRDefault="004B28EC">
      <w:pPr>
        <w:spacing w:after="160" w:line="259" w:lineRule="auto"/>
        <w:rPr>
          <w:rFonts w:ascii="Calibri" w:hAnsi="Calibri" w:cs="Calibri"/>
          <w:b/>
          <w:bCs/>
          <w:color w:val="FFFFFF" w:themeColor="background1"/>
          <w:sz w:val="28"/>
          <w:szCs w:val="28"/>
          <w:lang w:eastAsia="en-US"/>
        </w:rPr>
      </w:pPr>
    </w:p>
    <w:p w14:paraId="08DB3BDD" w14:textId="77777777" w:rsidR="007360F8" w:rsidRDefault="007360F8">
      <w:pPr>
        <w:spacing w:after="160" w:line="259" w:lineRule="auto"/>
        <w:rPr>
          <w:rFonts w:ascii="Calibri" w:hAnsi="Calibri" w:cs="Calibri"/>
          <w:b/>
          <w:bCs/>
          <w:color w:val="FFFFFF" w:themeColor="background1"/>
          <w:sz w:val="28"/>
          <w:szCs w:val="28"/>
          <w:lang w:eastAsia="en-US"/>
        </w:rPr>
      </w:pPr>
      <w:r>
        <w:br w:type="page"/>
      </w:r>
    </w:p>
    <w:p w14:paraId="13445A18" w14:textId="46E2E0EA" w:rsidR="009854A1" w:rsidRPr="0058225C" w:rsidRDefault="07C41114" w:rsidP="00582BAC">
      <w:pPr>
        <w:pStyle w:val="Heading1"/>
      </w:pPr>
      <w:bookmarkStart w:id="31" w:name="_Toc136505534"/>
      <w:r>
        <w:lastRenderedPageBreak/>
        <w:t>First Nations</w:t>
      </w:r>
      <w:r w:rsidR="16C487FA">
        <w:t xml:space="preserve"> Healt</w:t>
      </w:r>
      <w:r w:rsidR="6852F6FD">
        <w:t>h</w:t>
      </w:r>
      <w:bookmarkStart w:id="32" w:name="_Ref124497180"/>
      <w:bookmarkEnd w:id="31"/>
    </w:p>
    <w:p w14:paraId="0FDB681B" w14:textId="77777777" w:rsidR="007360F8" w:rsidRDefault="5EE58D87" w:rsidP="007360F8">
      <w:pPr>
        <w:rPr>
          <w:rFonts w:ascii="Calibri" w:hAnsi="Calibri" w:cs="Calibri"/>
          <w:color w:val="000000"/>
        </w:rPr>
      </w:pPr>
      <w:r w:rsidRPr="00EF3E78">
        <w:t>The PHNs are assessed for performance</w:t>
      </w:r>
      <w:r w:rsidRPr="00EF3E78">
        <w:rPr>
          <w:spacing w:val="-4"/>
        </w:rPr>
        <w:t xml:space="preserve"> </w:t>
      </w:r>
      <w:r w:rsidRPr="00EF3E78">
        <w:t>against</w:t>
      </w:r>
      <w:r w:rsidRPr="00EF3E78">
        <w:rPr>
          <w:spacing w:val="-4"/>
        </w:rPr>
        <w:t xml:space="preserve"> </w:t>
      </w:r>
      <w:r w:rsidR="00105FFC" w:rsidRPr="00EF3E78">
        <w:t>seven</w:t>
      </w:r>
      <w:r w:rsidRPr="00EF3E78">
        <w:rPr>
          <w:spacing w:val="-2"/>
        </w:rPr>
        <w:t xml:space="preserve"> </w:t>
      </w:r>
      <w:r w:rsidRPr="00EF3E78">
        <w:t>indicators</w:t>
      </w:r>
      <w:r w:rsidRPr="00EF3E78">
        <w:rPr>
          <w:spacing w:val="-5"/>
        </w:rPr>
        <w:t xml:space="preserve"> </w:t>
      </w:r>
      <w:r w:rsidRPr="00EF3E78">
        <w:t>in</w:t>
      </w:r>
      <w:r w:rsidRPr="00EF3E78">
        <w:rPr>
          <w:spacing w:val="-2"/>
        </w:rPr>
        <w:t xml:space="preserve"> </w:t>
      </w:r>
      <w:r w:rsidRPr="00EF3E78">
        <w:t>the</w:t>
      </w:r>
      <w:r w:rsidRPr="00EF3E78">
        <w:rPr>
          <w:spacing w:val="-5"/>
        </w:rPr>
        <w:t xml:space="preserve"> </w:t>
      </w:r>
      <w:r w:rsidRPr="00EF3E78">
        <w:t>Aboriginal</w:t>
      </w:r>
      <w:r w:rsidRPr="00EF3E78">
        <w:rPr>
          <w:spacing w:val="-2"/>
        </w:rPr>
        <w:t xml:space="preserve"> </w:t>
      </w:r>
      <w:r w:rsidRPr="00EF3E78">
        <w:t>and</w:t>
      </w:r>
      <w:r w:rsidRPr="00EF3E78">
        <w:rPr>
          <w:spacing w:val="-3"/>
        </w:rPr>
        <w:t xml:space="preserve"> </w:t>
      </w:r>
      <w:r w:rsidRPr="00EF3E78">
        <w:t>Torres</w:t>
      </w:r>
      <w:r w:rsidRPr="00EF3E78">
        <w:rPr>
          <w:spacing w:val="-1"/>
        </w:rPr>
        <w:t xml:space="preserve"> </w:t>
      </w:r>
      <w:r w:rsidRPr="00EF3E78">
        <w:t>Strait</w:t>
      </w:r>
      <w:r w:rsidRPr="00EF3E78">
        <w:rPr>
          <w:spacing w:val="-2"/>
        </w:rPr>
        <w:t xml:space="preserve"> </w:t>
      </w:r>
      <w:r w:rsidRPr="00EF3E78">
        <w:t>Islander</w:t>
      </w:r>
      <w:r w:rsidRPr="00EF3E78">
        <w:rPr>
          <w:spacing w:val="-2"/>
        </w:rPr>
        <w:t xml:space="preserve"> </w:t>
      </w:r>
      <w:r w:rsidRPr="00EF3E78">
        <w:t>health</w:t>
      </w:r>
      <w:r w:rsidRPr="00EF3E78">
        <w:rPr>
          <w:spacing w:val="-3"/>
        </w:rPr>
        <w:t xml:space="preserve"> </w:t>
      </w:r>
      <w:r w:rsidRPr="00EF3E78">
        <w:t>priority</w:t>
      </w:r>
      <w:r w:rsidRPr="00EF3E78">
        <w:rPr>
          <w:spacing w:val="-2"/>
        </w:rPr>
        <w:t xml:space="preserve"> </w:t>
      </w:r>
      <w:r w:rsidRPr="00EF3E78">
        <w:t>area</w:t>
      </w:r>
      <w:r w:rsidRPr="00EF3E78">
        <w:rPr>
          <w:spacing w:val="-1"/>
        </w:rPr>
        <w:t xml:space="preserve"> </w:t>
      </w:r>
      <w:r w:rsidRPr="00EF3E78">
        <w:t>and the program performance is informed by a further one contextual indicator.</w:t>
      </w:r>
      <w:r w:rsidR="50969F97" w:rsidRPr="00EF3E78">
        <w:t xml:space="preserve"> </w:t>
      </w:r>
      <w:r w:rsidR="50969F97" w:rsidRPr="00EF3E78">
        <w:rPr>
          <w:rFonts w:ascii="Calibri" w:hAnsi="Calibri" w:cs="Calibri"/>
          <w:color w:val="000000"/>
        </w:rPr>
        <w:t>In</w:t>
      </w:r>
      <w:r w:rsidR="13665FD9" w:rsidRPr="00EF3E78">
        <w:rPr>
          <w:rFonts w:ascii="Calibri" w:hAnsi="Calibri" w:cs="Calibri"/>
          <w:color w:val="000000"/>
        </w:rPr>
        <w:t xml:space="preserve"> 2020-21</w:t>
      </w:r>
      <w:r w:rsidR="00B614C5" w:rsidRPr="00EF3E78">
        <w:rPr>
          <w:rFonts w:ascii="Calibri" w:hAnsi="Calibri" w:cs="Calibri"/>
          <w:color w:val="000000"/>
        </w:rPr>
        <w:t>,</w:t>
      </w:r>
      <w:r w:rsidR="23169872" w:rsidRPr="00EF3E78">
        <w:rPr>
          <w:rFonts w:ascii="Calibri" w:hAnsi="Calibri" w:cs="Calibri"/>
          <w:color w:val="000000"/>
        </w:rPr>
        <w:t xml:space="preserve"> </w:t>
      </w:r>
      <w:r w:rsidR="008A3C7D">
        <w:rPr>
          <w:rFonts w:ascii="Calibri" w:hAnsi="Calibri" w:cs="Calibri"/>
          <w:color w:val="000000"/>
        </w:rPr>
        <w:t xml:space="preserve">the </w:t>
      </w:r>
      <w:r w:rsidR="00A52606">
        <w:rPr>
          <w:rFonts w:ascii="Calibri" w:hAnsi="Calibri" w:cs="Calibri"/>
          <w:color w:val="000000"/>
        </w:rPr>
        <w:t xml:space="preserve">proportion of </w:t>
      </w:r>
      <w:r w:rsidR="13665FD9" w:rsidRPr="00EF3E78">
        <w:rPr>
          <w:rFonts w:ascii="Calibri" w:hAnsi="Calibri" w:cs="Calibri"/>
          <w:color w:val="000000"/>
        </w:rPr>
        <w:t>PHNs</w:t>
      </w:r>
      <w:r w:rsidR="00FE5583" w:rsidRPr="00FE5583">
        <w:rPr>
          <w:rFonts w:ascii="Calibri" w:hAnsi="Calibri" w:cs="Calibri"/>
          <w:color w:val="000000"/>
        </w:rPr>
        <w:t xml:space="preserve"> </w:t>
      </w:r>
      <w:r w:rsidR="00A52606">
        <w:rPr>
          <w:rFonts w:ascii="Calibri" w:hAnsi="Calibri" w:cs="Calibri"/>
          <w:color w:val="000000"/>
        </w:rPr>
        <w:t xml:space="preserve">delivering </w:t>
      </w:r>
      <w:r w:rsidR="00BE7FFC" w:rsidRPr="00EF3E78">
        <w:rPr>
          <w:rFonts w:ascii="Calibri" w:hAnsi="Calibri" w:cs="Calibri"/>
          <w:color w:val="000000"/>
        </w:rPr>
        <w:t xml:space="preserve">culturally appropriate </w:t>
      </w:r>
      <w:r w:rsidR="00CE002F" w:rsidRPr="00EF3E78">
        <w:rPr>
          <w:rFonts w:ascii="Calibri" w:hAnsi="Calibri" w:cs="Calibri"/>
          <w:color w:val="000000"/>
        </w:rPr>
        <w:t>Drug and Alcohol services</w:t>
      </w:r>
      <w:r w:rsidR="00A52606">
        <w:rPr>
          <w:rFonts w:ascii="Calibri" w:hAnsi="Calibri" w:cs="Calibri"/>
          <w:color w:val="000000"/>
        </w:rPr>
        <w:t xml:space="preserve"> improved</w:t>
      </w:r>
      <w:r w:rsidR="00F27EBB">
        <w:rPr>
          <w:rFonts w:ascii="Calibri" w:hAnsi="Calibri" w:cs="Calibri"/>
          <w:color w:val="000000"/>
        </w:rPr>
        <w:t xml:space="preserve"> to 100</w:t>
      </w:r>
      <w:r w:rsidR="00B55CDE">
        <w:rPr>
          <w:rFonts w:ascii="Calibri" w:hAnsi="Calibri" w:cs="Calibri"/>
          <w:color w:val="000000"/>
        </w:rPr>
        <w:t xml:space="preserve"> per cent, </w:t>
      </w:r>
      <w:r w:rsidR="00CE002F" w:rsidRPr="00EF3E78">
        <w:rPr>
          <w:rFonts w:ascii="Calibri" w:hAnsi="Calibri" w:cs="Calibri"/>
          <w:color w:val="000000"/>
        </w:rPr>
        <w:t xml:space="preserve">and </w:t>
      </w:r>
      <w:bookmarkStart w:id="33" w:name="_Hlk135896143"/>
      <w:r w:rsidR="00623A70">
        <w:rPr>
          <w:rFonts w:ascii="Calibri" w:hAnsi="Calibri" w:cs="Calibri"/>
          <w:color w:val="000000"/>
        </w:rPr>
        <w:t>100</w:t>
      </w:r>
      <w:r w:rsidR="00B55CDE">
        <w:rPr>
          <w:rFonts w:ascii="Calibri" w:hAnsi="Calibri" w:cs="Calibri"/>
          <w:color w:val="000000"/>
        </w:rPr>
        <w:t xml:space="preserve"> per cent</w:t>
      </w:r>
      <w:r w:rsidR="00623A70">
        <w:rPr>
          <w:rFonts w:ascii="Calibri" w:hAnsi="Calibri" w:cs="Calibri"/>
          <w:color w:val="000000"/>
        </w:rPr>
        <w:t xml:space="preserve"> of PHNs </w:t>
      </w:r>
      <w:r w:rsidR="002C7543">
        <w:rPr>
          <w:rFonts w:ascii="Calibri" w:hAnsi="Calibri" w:cs="Calibri"/>
          <w:color w:val="000000"/>
        </w:rPr>
        <w:t xml:space="preserve">continued to </w:t>
      </w:r>
      <w:r w:rsidR="00623A70">
        <w:rPr>
          <w:rFonts w:ascii="Calibri" w:hAnsi="Calibri" w:cs="Calibri"/>
          <w:color w:val="000000"/>
        </w:rPr>
        <w:t xml:space="preserve">meet the indicators for </w:t>
      </w:r>
      <w:r w:rsidR="00DD5CBD">
        <w:rPr>
          <w:rFonts w:ascii="Calibri" w:hAnsi="Calibri" w:cs="Calibri"/>
          <w:color w:val="000000"/>
        </w:rPr>
        <w:t>delivering Integrated Team Care (ITC) services, culturally com</w:t>
      </w:r>
      <w:r w:rsidR="00422FDA">
        <w:rPr>
          <w:rFonts w:ascii="Calibri" w:hAnsi="Calibri" w:cs="Calibri"/>
          <w:color w:val="000000"/>
        </w:rPr>
        <w:t>p</w:t>
      </w:r>
      <w:r w:rsidR="00DD5CBD">
        <w:rPr>
          <w:rFonts w:ascii="Calibri" w:hAnsi="Calibri" w:cs="Calibri"/>
          <w:color w:val="000000"/>
        </w:rPr>
        <w:t xml:space="preserve">etent </w:t>
      </w:r>
      <w:r w:rsidR="00CE002F" w:rsidRPr="00EF3E78">
        <w:rPr>
          <w:rFonts w:ascii="Calibri" w:hAnsi="Calibri" w:cs="Calibri"/>
          <w:color w:val="000000"/>
        </w:rPr>
        <w:t>Mainstream Primary Health services</w:t>
      </w:r>
      <w:r w:rsidR="00422FDA">
        <w:rPr>
          <w:rFonts w:ascii="Calibri" w:hAnsi="Calibri" w:cs="Calibri"/>
          <w:color w:val="000000"/>
        </w:rPr>
        <w:t>, and support</w:t>
      </w:r>
      <w:r w:rsidR="00F27EBB">
        <w:rPr>
          <w:rFonts w:ascii="Calibri" w:hAnsi="Calibri" w:cs="Calibri"/>
          <w:color w:val="000000"/>
        </w:rPr>
        <w:t>ed</w:t>
      </w:r>
      <w:r w:rsidR="00422FDA">
        <w:rPr>
          <w:rFonts w:ascii="Calibri" w:hAnsi="Calibri" w:cs="Calibri"/>
          <w:color w:val="000000"/>
        </w:rPr>
        <w:t xml:space="preserve"> access to coordinated care</w:t>
      </w:r>
      <w:r w:rsidR="00E74669" w:rsidRPr="00EF3E78">
        <w:rPr>
          <w:rFonts w:ascii="Calibri" w:hAnsi="Calibri" w:cs="Calibri"/>
          <w:color w:val="000000"/>
        </w:rPr>
        <w:t xml:space="preserve"> </w:t>
      </w:r>
      <w:bookmarkEnd w:id="33"/>
      <w:r w:rsidR="00E74669" w:rsidRPr="00EF3E78">
        <w:rPr>
          <w:rFonts w:ascii="Calibri" w:hAnsi="Calibri" w:cs="Calibri"/>
          <w:color w:val="000000"/>
        </w:rPr>
        <w:t xml:space="preserve">(Figure </w:t>
      </w:r>
      <w:r w:rsidR="00EF3E78" w:rsidRPr="00EF3E78">
        <w:rPr>
          <w:rFonts w:ascii="Calibri" w:hAnsi="Calibri" w:cs="Calibri"/>
          <w:color w:val="000000"/>
        </w:rPr>
        <w:t>1</w:t>
      </w:r>
      <w:r w:rsidR="00A720D6">
        <w:rPr>
          <w:rFonts w:ascii="Calibri" w:hAnsi="Calibri" w:cs="Calibri"/>
          <w:color w:val="000000"/>
        </w:rPr>
        <w:t>5</w:t>
      </w:r>
      <w:r w:rsidR="00E74669" w:rsidRPr="00EF3E78">
        <w:rPr>
          <w:rFonts w:ascii="Calibri" w:hAnsi="Calibri" w:cs="Calibri"/>
          <w:color w:val="000000"/>
        </w:rPr>
        <w:t>).</w:t>
      </w:r>
      <w:r w:rsidR="00451649">
        <w:rPr>
          <w:rFonts w:ascii="Calibri" w:hAnsi="Calibri" w:cs="Calibri"/>
          <w:color w:val="000000"/>
        </w:rPr>
        <w:t xml:space="preserve"> </w:t>
      </w:r>
    </w:p>
    <w:p w14:paraId="7590964C" w14:textId="77777777" w:rsidR="007360F8" w:rsidRDefault="007360F8" w:rsidP="007360F8">
      <w:pPr>
        <w:rPr>
          <w:rFonts w:ascii="Calibri" w:hAnsi="Calibri" w:cs="Calibri"/>
          <w:color w:val="000000"/>
        </w:rPr>
      </w:pPr>
    </w:p>
    <w:p w14:paraId="46E52849" w14:textId="7AF993D1" w:rsidR="007360F8" w:rsidRPr="007360F8" w:rsidRDefault="007360F8" w:rsidP="007360F8">
      <w:pPr>
        <w:rPr>
          <w:rFonts w:ascii="Calibri" w:hAnsi="Calibri" w:cs="Calibri"/>
          <w:color w:val="000000"/>
        </w:rPr>
      </w:pPr>
      <w:r w:rsidRPr="007360F8">
        <w:rPr>
          <w:color w:val="000000" w:themeColor="text1"/>
        </w:rPr>
        <w:t>58 per cent of PHNs met the growth target for the proportion of PHN commissioned mental health services delivered to Aboriginal and Torres Strait Islander people that were culturally appropriate</w:t>
      </w:r>
      <w:r w:rsidR="0028552D" w:rsidRPr="00B67850">
        <w:rPr>
          <w:rStyle w:val="FootnoteReference"/>
          <w:color w:val="000000" w:themeColor="text1"/>
        </w:rPr>
        <w:footnoteReference w:id="3"/>
      </w:r>
      <w:r w:rsidRPr="007360F8">
        <w:rPr>
          <w:color w:val="000000" w:themeColor="text1"/>
        </w:rPr>
        <w:t>. However, 74 per cent of PHNs improved on the proportion of services that were culturally appropriate compared to 2019-20.</w:t>
      </w:r>
      <w:r w:rsidR="00C5064E">
        <w:rPr>
          <w:color w:val="000000" w:themeColor="text1"/>
        </w:rPr>
        <w:t xml:space="preserve"> Of those PHNs who did not meet the growth target in 2020-21, 46</w:t>
      </w:r>
      <w:r w:rsidR="00630BD7">
        <w:rPr>
          <w:color w:val="000000" w:themeColor="text1"/>
        </w:rPr>
        <w:t xml:space="preserve"> per cent</w:t>
      </w:r>
      <w:r w:rsidR="00C5064E" w:rsidRPr="00630BD7">
        <w:rPr>
          <w:color w:val="000000" w:themeColor="text1"/>
        </w:rPr>
        <w:t xml:space="preserve"> had achieved over 90</w:t>
      </w:r>
      <w:r w:rsidR="00630BD7">
        <w:rPr>
          <w:color w:val="000000" w:themeColor="text1"/>
        </w:rPr>
        <w:t xml:space="preserve"> per cent</w:t>
      </w:r>
      <w:r w:rsidR="00C5064E" w:rsidRPr="00630BD7">
        <w:rPr>
          <w:color w:val="000000" w:themeColor="text1"/>
        </w:rPr>
        <w:t xml:space="preserve"> of their services for Aboriginal and Torres Strait Islander people being culturally appropriate.</w:t>
      </w:r>
    </w:p>
    <w:p w14:paraId="1B60A8B3" w14:textId="77777777" w:rsidR="00E74669" w:rsidRDefault="00E74669" w:rsidP="6CCEAF67">
      <w:pPr>
        <w:rPr>
          <w:rFonts w:ascii="Calibri" w:hAnsi="Calibri" w:cs="Calibri"/>
          <w:color w:val="000000"/>
          <w:highlight w:val="yellow"/>
        </w:rPr>
      </w:pPr>
    </w:p>
    <w:p w14:paraId="798D2261" w14:textId="0F591BC9" w:rsidR="00A720D6" w:rsidRPr="00301301" w:rsidRDefault="00E74669" w:rsidP="00821015">
      <w:pPr>
        <w:pStyle w:val="Caption"/>
        <w:keepNext/>
      </w:pPr>
      <w:r w:rsidRPr="0086337F">
        <w:t>Figure</w:t>
      </w:r>
      <w:r w:rsidR="008712D4">
        <w:t xml:space="preserve"> 1</w:t>
      </w:r>
      <w:r w:rsidR="00A720D6">
        <w:t>5</w:t>
      </w:r>
      <w:r w:rsidRPr="0086337F">
        <w:t xml:space="preserve">: </w:t>
      </w:r>
      <w:r w:rsidR="00096CEE" w:rsidRPr="0086337F">
        <w:t>Proportion</w:t>
      </w:r>
      <w:r w:rsidRPr="0086337F">
        <w:t xml:space="preserve"> of PHNs meeting </w:t>
      </w:r>
      <w:r w:rsidR="004B54D1">
        <w:t>First Nations</w:t>
      </w:r>
      <w:r w:rsidRPr="0086337F">
        <w:t xml:space="preserve"> indicator targets</w:t>
      </w:r>
      <w:r w:rsidR="003D2F77">
        <w:rPr>
          <w:i w:val="0"/>
          <w:iCs w:val="0"/>
          <w:szCs w:val="20"/>
        </w:rPr>
        <w:br/>
      </w:r>
      <w:r w:rsidR="00320730">
        <w:rPr>
          <w:noProof/>
          <w:szCs w:val="20"/>
        </w:rPr>
        <w:drawing>
          <wp:inline distT="0" distB="0" distL="0" distR="0" wp14:anchorId="60B65388" wp14:editId="772B3DCB">
            <wp:extent cx="4517390" cy="3096895"/>
            <wp:effectExtent l="0" t="0" r="0" b="8255"/>
            <wp:docPr id="10" name="Picture 10" descr="Bar chart comparing proportion of PHNs that met performance targets by First Nations health indicator over 2018-19, 2019-20, and 2020-21 reporting periods. The number of PHNs meeting targets for Culturally appropriate drug and alcohol services, Culturally competent mainstream primary health services, and Support for First Nations health workforce has increased over the reporting period. The number of PHNs meeting targets for Range of organisations delivering ITC services and Culturally appropriate mental health services decreased from 2019-20 to 20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r chart comparing proportion of PHNs that met performance targets by First Nations health indicator over 2018-19, 2019-20, and 2020-21 reporting periods. The number of PHNs meeting targets for Culturally appropriate drug and alcohol services, Culturally competent mainstream primary health services, and Support for First Nations health workforce has increased over the reporting period. The number of PHNs meeting targets for Range of organisations delivering ITC services and Culturally appropriate mental health services decreased from 2019-20 to 2020-21.&#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17390" cy="3096895"/>
                    </a:xfrm>
                    <a:prstGeom prst="rect">
                      <a:avLst/>
                    </a:prstGeom>
                    <a:noFill/>
                  </pic:spPr>
                </pic:pic>
              </a:graphicData>
            </a:graphic>
          </wp:inline>
        </w:drawing>
      </w:r>
      <w:r w:rsidR="00745F39">
        <w:rPr>
          <w:szCs w:val="20"/>
        </w:rPr>
        <w:br/>
      </w:r>
      <w:r w:rsidR="00745F39" w:rsidRPr="00723440">
        <w:rPr>
          <w:szCs w:val="20"/>
        </w:rPr>
        <w:t>Source: performance reporting data provided by PHNs</w:t>
      </w:r>
      <w:r w:rsidR="00745F39">
        <w:rPr>
          <w:rFonts w:ascii="Calibri" w:eastAsia="Calibri" w:hAnsi="Calibri" w:cs="Calibri"/>
        </w:rPr>
        <w:br/>
      </w:r>
      <w:r w:rsidR="00745F39" w:rsidRPr="14A0590A">
        <w:rPr>
          <w:rFonts w:eastAsia="Calibri"/>
        </w:rPr>
        <w:t>*Only 2019-20 and 2020-21 data are displayed as this performance measure was taken as a baseline in 2018-19.</w:t>
      </w:r>
      <w:r w:rsidR="00745F39">
        <w:rPr>
          <w:szCs w:val="20"/>
        </w:rPr>
        <w:br/>
      </w:r>
      <w:r w:rsidR="00320730" w:rsidRPr="009059B6">
        <w:rPr>
          <w:lang w:eastAsia="en-US"/>
        </w:rPr>
        <w:t>†Some 2019-2020</w:t>
      </w:r>
      <w:r w:rsidR="00320730">
        <w:rPr>
          <w:lang w:eastAsia="en-US"/>
        </w:rPr>
        <w:t xml:space="preserve"> data</w:t>
      </w:r>
      <w:r w:rsidR="00320730" w:rsidRPr="009059B6">
        <w:rPr>
          <w:lang w:eastAsia="en-US"/>
        </w:rPr>
        <w:t xml:space="preserve"> for </w:t>
      </w:r>
      <w:r w:rsidR="00320730">
        <w:rPr>
          <w:lang w:eastAsia="en-US"/>
        </w:rPr>
        <w:t xml:space="preserve">Culturally appropriate mental health services </w:t>
      </w:r>
      <w:r w:rsidR="00320730" w:rsidRPr="009059B6">
        <w:rPr>
          <w:lang w:eastAsia="en-US"/>
        </w:rPr>
        <w:t>has been revised.</w:t>
      </w:r>
      <w:r w:rsidR="003D2F77">
        <w:rPr>
          <w:lang w:eastAsia="en-US"/>
        </w:rPr>
        <w:br/>
      </w:r>
    </w:p>
    <w:p w14:paraId="5C3C3742" w14:textId="7AF5DD8B" w:rsidR="009E633D" w:rsidRDefault="00A720D6" w:rsidP="00E5661E">
      <w:pPr>
        <w:spacing w:after="160" w:line="259" w:lineRule="auto"/>
        <w:rPr>
          <w:lang w:eastAsia="en-US"/>
        </w:rPr>
      </w:pPr>
      <w:r>
        <w:rPr>
          <w:lang w:eastAsia="en-US"/>
        </w:rPr>
        <w:br w:type="page"/>
      </w:r>
      <w:r w:rsidR="000527C9">
        <w:rPr>
          <w:lang w:eastAsia="en-US"/>
        </w:rPr>
        <w:lastRenderedPageBreak/>
        <w:t xml:space="preserve">There was </w:t>
      </w:r>
      <w:r w:rsidR="00FC40BC">
        <w:rPr>
          <w:lang w:eastAsia="en-US"/>
        </w:rPr>
        <w:t xml:space="preserve">an average </w:t>
      </w:r>
      <w:r w:rsidR="001636AB">
        <w:rPr>
          <w:lang w:eastAsia="en-US"/>
        </w:rPr>
        <w:t xml:space="preserve">15 </w:t>
      </w:r>
      <w:r w:rsidR="00FC40BC">
        <w:rPr>
          <w:lang w:eastAsia="en-US"/>
        </w:rPr>
        <w:t xml:space="preserve">per cent increase </w:t>
      </w:r>
      <w:r w:rsidR="00B614C5">
        <w:rPr>
          <w:lang w:eastAsia="en-US"/>
        </w:rPr>
        <w:t>i</w:t>
      </w:r>
      <w:r w:rsidR="00FC40BC">
        <w:rPr>
          <w:lang w:eastAsia="en-US"/>
        </w:rPr>
        <w:t xml:space="preserve">n the number of First Nations health targets met in 2020-21 over the previous year. </w:t>
      </w:r>
      <w:r w:rsidR="00796A81">
        <w:rPr>
          <w:lang w:eastAsia="en-US"/>
        </w:rPr>
        <w:t xml:space="preserve">The greatest improvement </w:t>
      </w:r>
      <w:r w:rsidR="00EE3D89">
        <w:rPr>
          <w:lang w:eastAsia="en-US"/>
        </w:rPr>
        <w:t>was achieved in</w:t>
      </w:r>
      <w:r w:rsidR="008A6A7D">
        <w:rPr>
          <w:lang w:eastAsia="en-US"/>
        </w:rPr>
        <w:t xml:space="preserve"> PHNs with </w:t>
      </w:r>
      <w:r w:rsidR="00984D62">
        <w:rPr>
          <w:lang w:eastAsia="en-US"/>
        </w:rPr>
        <w:t>higher levels of</w:t>
      </w:r>
      <w:r w:rsidR="008A6A7D">
        <w:rPr>
          <w:lang w:eastAsia="en-US"/>
        </w:rPr>
        <w:t xml:space="preserve"> socio-economic disadvantage </w:t>
      </w:r>
      <w:r w:rsidR="00FC40BC">
        <w:rPr>
          <w:lang w:eastAsia="en-US"/>
        </w:rPr>
        <w:t xml:space="preserve">(Figure </w:t>
      </w:r>
      <w:r w:rsidR="00EF3E78">
        <w:rPr>
          <w:lang w:eastAsia="en-US"/>
        </w:rPr>
        <w:t>1</w:t>
      </w:r>
      <w:r>
        <w:rPr>
          <w:lang w:eastAsia="en-US"/>
        </w:rPr>
        <w:t>6</w:t>
      </w:r>
      <w:r w:rsidR="00FC40BC">
        <w:rPr>
          <w:lang w:eastAsia="en-US"/>
        </w:rPr>
        <w:t>).</w:t>
      </w:r>
    </w:p>
    <w:p w14:paraId="5A7D2E5A" w14:textId="0B9770A9" w:rsidR="009843BD" w:rsidRDefault="004A44AF" w:rsidP="00821015">
      <w:pPr>
        <w:pStyle w:val="Caption"/>
        <w:keepNext/>
      </w:pPr>
      <w:bookmarkStart w:id="34" w:name="_Ref128053207"/>
      <w:r>
        <w:t>Figure</w:t>
      </w:r>
      <w:r w:rsidR="00EF3E78">
        <w:t xml:space="preserve"> 1</w:t>
      </w:r>
      <w:bookmarkEnd w:id="34"/>
      <w:r w:rsidR="00A720D6">
        <w:t>6</w:t>
      </w:r>
      <w:r>
        <w:t xml:space="preserve">: </w:t>
      </w:r>
      <w:bookmarkStart w:id="35" w:name="_Hlk129183794"/>
      <w:r>
        <w:t>Average number of First Nations Health performance targets met by disadvantage</w:t>
      </w:r>
      <w:bookmarkEnd w:id="35"/>
    </w:p>
    <w:p w14:paraId="70B6F0F8" w14:textId="546C4465" w:rsidR="009843BD" w:rsidRPr="009843BD" w:rsidRDefault="009843BD" w:rsidP="009843BD">
      <w:pPr>
        <w:pStyle w:val="Caption"/>
      </w:pPr>
      <w:r>
        <w:rPr>
          <w:noProof/>
        </w:rPr>
        <w:drawing>
          <wp:inline distT="0" distB="0" distL="0" distR="0" wp14:anchorId="328319AB" wp14:editId="7647D534">
            <wp:extent cx="4517390" cy="2353310"/>
            <wp:effectExtent l="0" t="0" r="0" b="8890"/>
            <wp:docPr id="19" name="Picture 19" descr="Bar chart comparing average number of First Nations health performance indicators met by socio-economic disadvantage over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ar chart comparing average number of First Nations health performance indicators met by socio-economic disadvantage over 2019-20 and 2020-21 reporting period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17390" cy="2353310"/>
                    </a:xfrm>
                    <a:prstGeom prst="rect">
                      <a:avLst/>
                    </a:prstGeom>
                    <a:noFill/>
                  </pic:spPr>
                </pic:pic>
              </a:graphicData>
            </a:graphic>
          </wp:inline>
        </w:drawing>
      </w:r>
      <w:r w:rsidR="003D2F77">
        <w:br/>
      </w:r>
      <w:r w:rsidR="008C367B">
        <w:t>Source: performance reporting data provided by PHNs</w:t>
      </w:r>
      <w:r>
        <w:br/>
      </w:r>
      <w:r w:rsidRPr="009059B6">
        <w:rPr>
          <w:lang w:eastAsia="en-US"/>
        </w:rPr>
        <w:t>†Some 2019-2020</w:t>
      </w:r>
      <w:r>
        <w:rPr>
          <w:lang w:eastAsia="en-US"/>
        </w:rPr>
        <w:t xml:space="preserve"> data</w:t>
      </w:r>
      <w:r w:rsidRPr="009059B6">
        <w:rPr>
          <w:lang w:eastAsia="en-US"/>
        </w:rPr>
        <w:t xml:space="preserve"> for </w:t>
      </w:r>
      <w:r>
        <w:rPr>
          <w:lang w:eastAsia="en-US"/>
        </w:rPr>
        <w:t xml:space="preserve">Culturally appropriate mental health services </w:t>
      </w:r>
      <w:r w:rsidRPr="009059B6">
        <w:rPr>
          <w:lang w:eastAsia="en-US"/>
        </w:rPr>
        <w:t>has been revised.</w:t>
      </w:r>
    </w:p>
    <w:p w14:paraId="794B94CE" w14:textId="77777777" w:rsidR="008E3010" w:rsidRDefault="008E3010" w:rsidP="008E3010"/>
    <w:p w14:paraId="6EAE88A8" w14:textId="436E131C" w:rsidR="00893EC1" w:rsidRPr="00A42CF1" w:rsidRDefault="00893EC1" w:rsidP="00893EC1">
      <w:pPr>
        <w:rPr>
          <w:rFonts w:ascii="Calibri" w:hAnsi="Calibri" w:cs="Calibri"/>
          <w:color w:val="000000"/>
          <w:szCs w:val="22"/>
        </w:rPr>
      </w:pPr>
      <w:r w:rsidRPr="00546536">
        <w:t xml:space="preserve">PHNs in </w:t>
      </w:r>
      <w:r w:rsidR="005C3FEA" w:rsidRPr="00546536">
        <w:t xml:space="preserve">regional and remote areas reported an improvement in </w:t>
      </w:r>
      <w:r w:rsidR="00E0342C" w:rsidRPr="00546536">
        <w:t xml:space="preserve">the number of First Nations Health targets being met, with the average number of First Nations targets </w:t>
      </w:r>
      <w:r w:rsidRPr="00546536">
        <w:rPr>
          <w:rFonts w:ascii="Calibri" w:hAnsi="Calibri" w:cs="Calibri"/>
          <w:color w:val="000000"/>
          <w:szCs w:val="22"/>
        </w:rPr>
        <w:t>increasing</w:t>
      </w:r>
      <w:r w:rsidR="00DB3A9C" w:rsidRPr="00546536">
        <w:rPr>
          <w:rFonts w:ascii="Calibri" w:hAnsi="Calibri" w:cs="Calibri"/>
          <w:color w:val="000000"/>
          <w:szCs w:val="22"/>
        </w:rPr>
        <w:t xml:space="preserve"> </w:t>
      </w:r>
      <w:r w:rsidR="0039399B">
        <w:rPr>
          <w:rFonts w:ascii="Calibri" w:hAnsi="Calibri" w:cs="Calibri"/>
          <w:color w:val="000000"/>
          <w:szCs w:val="22"/>
        </w:rPr>
        <w:t>by four per cent</w:t>
      </w:r>
      <w:r w:rsidR="00DB3A9C" w:rsidRPr="00546536">
        <w:rPr>
          <w:rFonts w:ascii="Calibri" w:hAnsi="Calibri" w:cs="Calibri"/>
          <w:color w:val="000000"/>
          <w:szCs w:val="22"/>
        </w:rPr>
        <w:t xml:space="preserve"> </w:t>
      </w:r>
      <w:r w:rsidR="0039399B">
        <w:rPr>
          <w:rFonts w:ascii="Calibri" w:hAnsi="Calibri" w:cs="Calibri"/>
          <w:color w:val="000000"/>
          <w:szCs w:val="22"/>
        </w:rPr>
        <w:t>year on year</w:t>
      </w:r>
      <w:r w:rsidR="009E4AEE">
        <w:rPr>
          <w:rFonts w:ascii="Calibri" w:hAnsi="Calibri" w:cs="Calibri"/>
          <w:color w:val="000000"/>
          <w:szCs w:val="22"/>
        </w:rPr>
        <w:t>. There was a slight decrease in metropolitan areas</w:t>
      </w:r>
      <w:r w:rsidR="0039399B">
        <w:rPr>
          <w:rFonts w:ascii="Calibri" w:hAnsi="Calibri" w:cs="Calibri"/>
          <w:color w:val="000000"/>
          <w:szCs w:val="22"/>
        </w:rPr>
        <w:t xml:space="preserve"> </w:t>
      </w:r>
      <w:r w:rsidR="007C7BA2">
        <w:rPr>
          <w:rFonts w:ascii="Calibri" w:hAnsi="Calibri" w:cs="Calibri"/>
          <w:color w:val="000000"/>
          <w:szCs w:val="22"/>
        </w:rPr>
        <w:t xml:space="preserve">(Figure </w:t>
      </w:r>
      <w:r w:rsidR="00E26E58">
        <w:rPr>
          <w:rFonts w:ascii="Calibri" w:hAnsi="Calibri" w:cs="Calibri"/>
          <w:color w:val="000000"/>
          <w:szCs w:val="22"/>
        </w:rPr>
        <w:t>1</w:t>
      </w:r>
      <w:r w:rsidR="00A720D6">
        <w:rPr>
          <w:rFonts w:ascii="Calibri" w:hAnsi="Calibri" w:cs="Calibri"/>
          <w:color w:val="000000"/>
          <w:szCs w:val="22"/>
        </w:rPr>
        <w:t>7</w:t>
      </w:r>
      <w:r w:rsidR="007C7BA2">
        <w:rPr>
          <w:rFonts w:ascii="Calibri" w:hAnsi="Calibri" w:cs="Calibri"/>
          <w:color w:val="000000"/>
          <w:szCs w:val="22"/>
        </w:rPr>
        <w:t>).</w:t>
      </w:r>
      <w:r>
        <w:rPr>
          <w:rFonts w:ascii="Calibri" w:hAnsi="Calibri" w:cs="Calibri"/>
          <w:color w:val="000000"/>
          <w:szCs w:val="22"/>
        </w:rPr>
        <w:t xml:space="preserve"> </w:t>
      </w:r>
    </w:p>
    <w:p w14:paraId="7290DE58" w14:textId="77777777" w:rsidR="008E3010" w:rsidRPr="008E3010" w:rsidRDefault="008E3010" w:rsidP="008E3010"/>
    <w:p w14:paraId="763ACCC9" w14:textId="17960699" w:rsidR="008C367B" w:rsidRDefault="000472F7" w:rsidP="00821015">
      <w:pPr>
        <w:pStyle w:val="Caption"/>
        <w:keepNext/>
      </w:pPr>
      <w:bookmarkStart w:id="36" w:name="_Ref128053327"/>
      <w:r>
        <w:t xml:space="preserve">Figure </w:t>
      </w:r>
      <w:r w:rsidR="00E26E58">
        <w:t>1</w:t>
      </w:r>
      <w:bookmarkEnd w:id="36"/>
      <w:r w:rsidR="00A720D6">
        <w:t>7</w:t>
      </w:r>
      <w:r>
        <w:t xml:space="preserve">: </w:t>
      </w:r>
      <w:bookmarkStart w:id="37" w:name="_Hlk129183815"/>
      <w:r>
        <w:t xml:space="preserve">Average number of First Nations Health performance targets </w:t>
      </w:r>
      <w:bookmarkEnd w:id="37"/>
      <w:r w:rsidR="00F2116E">
        <w:t>met by remoteness</w:t>
      </w:r>
    </w:p>
    <w:p w14:paraId="78ED7CD7" w14:textId="388F37F8" w:rsidR="009843BD" w:rsidRDefault="009843BD" w:rsidP="008E04F6">
      <w:pPr>
        <w:pStyle w:val="Caption"/>
      </w:pPr>
      <w:r>
        <w:rPr>
          <w:noProof/>
        </w:rPr>
        <w:drawing>
          <wp:inline distT="0" distB="0" distL="0" distR="0" wp14:anchorId="110F59F7" wp14:editId="5C3CA9A0">
            <wp:extent cx="4511675" cy="2353310"/>
            <wp:effectExtent l="0" t="0" r="3175" b="8890"/>
            <wp:docPr id="26" name="Picture 26" descr="Bar chart showing the average number of First Nations health performance targets met by remoteness over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Bar chart showing the average number of First Nations health performance targets met by remoteness over 2019-20 and 2020-21 reporting period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3B2ACE05" w14:textId="63CFDCB4" w:rsidR="009843BD" w:rsidRPr="009843BD" w:rsidRDefault="000472F7" w:rsidP="009843BD">
      <w:pPr>
        <w:pStyle w:val="Caption"/>
      </w:pPr>
      <w:r>
        <w:t>Source: performance reporting data provided by PHNs</w:t>
      </w:r>
      <w:r w:rsidR="009843BD">
        <w:br/>
      </w:r>
      <w:r w:rsidR="009843BD" w:rsidRPr="009059B6">
        <w:rPr>
          <w:lang w:eastAsia="en-US"/>
        </w:rPr>
        <w:t>†Some 2019-2020</w:t>
      </w:r>
      <w:r w:rsidR="009843BD">
        <w:rPr>
          <w:lang w:eastAsia="en-US"/>
        </w:rPr>
        <w:t xml:space="preserve"> data</w:t>
      </w:r>
      <w:r w:rsidR="009843BD" w:rsidRPr="009059B6">
        <w:rPr>
          <w:lang w:eastAsia="en-US"/>
        </w:rPr>
        <w:t xml:space="preserve"> for </w:t>
      </w:r>
      <w:r w:rsidR="009843BD">
        <w:rPr>
          <w:lang w:eastAsia="en-US"/>
        </w:rPr>
        <w:t xml:space="preserve">Culturally appropriate mental health services </w:t>
      </w:r>
      <w:r w:rsidR="009843BD" w:rsidRPr="009059B6">
        <w:rPr>
          <w:lang w:eastAsia="en-US"/>
        </w:rPr>
        <w:t>has been revised.</w:t>
      </w:r>
    </w:p>
    <w:p w14:paraId="28A45244" w14:textId="160C2209" w:rsidR="008C367B" w:rsidRDefault="008C367B" w:rsidP="004A44AF">
      <w:pPr>
        <w:rPr>
          <w:rFonts w:ascii="Calibri" w:eastAsia="Calibri" w:hAnsi="Calibri" w:cs="Calibri"/>
          <w:szCs w:val="22"/>
        </w:rPr>
      </w:pPr>
    </w:p>
    <w:p w14:paraId="062DE8D9" w14:textId="77777777" w:rsidR="004B28EC" w:rsidRDefault="004B28EC">
      <w:pPr>
        <w:spacing w:after="160" w:line="259" w:lineRule="auto"/>
        <w:rPr>
          <w:rFonts w:ascii="Calibri" w:hAnsi="Calibri" w:cs="Calibri"/>
          <w:b/>
          <w:bCs/>
          <w:color w:val="003D69"/>
          <w:sz w:val="24"/>
          <w:lang w:eastAsia="en-US"/>
        </w:rPr>
      </w:pPr>
      <w:r>
        <w:br w:type="page"/>
      </w:r>
    </w:p>
    <w:p w14:paraId="3E574DF6" w14:textId="472C365A" w:rsidR="006527D5" w:rsidRPr="006527D5" w:rsidRDefault="006527D5" w:rsidP="006527D5">
      <w:pPr>
        <w:pStyle w:val="Heading2"/>
      </w:pPr>
      <w:bookmarkStart w:id="38" w:name="_Toc136505535"/>
      <w:r>
        <w:lastRenderedPageBreak/>
        <w:t>First Nations Health Assessments</w:t>
      </w:r>
      <w:bookmarkEnd w:id="38"/>
    </w:p>
    <w:p w14:paraId="27ED0FED" w14:textId="6F821A6A" w:rsidR="001B14B8" w:rsidRDefault="001B14B8">
      <w:pPr>
        <w:rPr>
          <w:rFonts w:ascii="Calibri" w:eastAsia="Calibri" w:hAnsi="Calibri" w:cs="Calibri"/>
          <w:szCs w:val="22"/>
        </w:rPr>
      </w:pPr>
      <w:r w:rsidRPr="006002A8">
        <w:rPr>
          <w:rFonts w:ascii="Calibri" w:eastAsia="Calibri" w:hAnsi="Calibri" w:cs="Calibri"/>
          <w:szCs w:val="22"/>
        </w:rPr>
        <w:t>The number of</w:t>
      </w:r>
      <w:r w:rsidR="00E23BA0" w:rsidRPr="006002A8">
        <w:rPr>
          <w:rFonts w:ascii="Calibri" w:eastAsia="Calibri" w:hAnsi="Calibri" w:cs="Calibri"/>
          <w:szCs w:val="22"/>
        </w:rPr>
        <w:t xml:space="preserve"> </w:t>
      </w:r>
      <w:r w:rsidRPr="006002A8">
        <w:rPr>
          <w:rFonts w:ascii="Calibri" w:eastAsia="Calibri" w:hAnsi="Calibri" w:cs="Calibri"/>
          <w:szCs w:val="22"/>
        </w:rPr>
        <w:t xml:space="preserve">First Nations </w:t>
      </w:r>
      <w:r w:rsidR="00E23BA0" w:rsidRPr="006002A8">
        <w:rPr>
          <w:rFonts w:ascii="Calibri" w:eastAsia="Calibri" w:hAnsi="Calibri" w:cs="Calibri"/>
          <w:szCs w:val="22"/>
        </w:rPr>
        <w:t xml:space="preserve">people who had </w:t>
      </w:r>
      <w:r w:rsidRPr="006002A8">
        <w:rPr>
          <w:rFonts w:ascii="Calibri" w:eastAsia="Calibri" w:hAnsi="Calibri" w:cs="Calibri"/>
          <w:szCs w:val="22"/>
        </w:rPr>
        <w:t>Health Assessments</w:t>
      </w:r>
      <w:r w:rsidR="003859A2" w:rsidRPr="006002A8">
        <w:rPr>
          <w:rFonts w:ascii="Calibri" w:eastAsia="Calibri" w:hAnsi="Calibri" w:cs="Calibri"/>
          <w:szCs w:val="22"/>
        </w:rPr>
        <w:t xml:space="preserve"> slightly decreased by one per cent in 2020-21 from 2019-20, and by one per</w:t>
      </w:r>
      <w:r w:rsidR="00D85125">
        <w:rPr>
          <w:rFonts w:ascii="Calibri" w:eastAsia="Calibri" w:hAnsi="Calibri" w:cs="Calibri"/>
          <w:szCs w:val="22"/>
        </w:rPr>
        <w:t xml:space="preserve"> </w:t>
      </w:r>
      <w:r w:rsidR="003859A2" w:rsidRPr="006002A8">
        <w:rPr>
          <w:rFonts w:ascii="Calibri" w:eastAsia="Calibri" w:hAnsi="Calibri" w:cs="Calibri"/>
          <w:szCs w:val="22"/>
        </w:rPr>
        <w:t>cent in 2019-20 from 2018-</w:t>
      </w:r>
      <w:r w:rsidR="004A7067" w:rsidRPr="006002A8">
        <w:rPr>
          <w:rFonts w:ascii="Calibri" w:eastAsia="Calibri" w:hAnsi="Calibri" w:cs="Calibri"/>
          <w:szCs w:val="22"/>
        </w:rPr>
        <w:t>1</w:t>
      </w:r>
      <w:r w:rsidR="003859A2" w:rsidRPr="006002A8">
        <w:rPr>
          <w:rFonts w:ascii="Calibri" w:eastAsia="Calibri" w:hAnsi="Calibri" w:cs="Calibri"/>
          <w:szCs w:val="22"/>
        </w:rPr>
        <w:t>9</w:t>
      </w:r>
      <w:r w:rsidR="004A7067" w:rsidRPr="006002A8">
        <w:rPr>
          <w:rFonts w:ascii="Calibri" w:eastAsia="Calibri" w:hAnsi="Calibri" w:cs="Calibri"/>
          <w:szCs w:val="22"/>
        </w:rPr>
        <w:t xml:space="preserve"> (Figure </w:t>
      </w:r>
      <w:r w:rsidR="008712D4" w:rsidRPr="006002A8">
        <w:rPr>
          <w:rFonts w:ascii="Calibri" w:eastAsia="Calibri" w:hAnsi="Calibri" w:cs="Calibri"/>
          <w:szCs w:val="22"/>
        </w:rPr>
        <w:t>1</w:t>
      </w:r>
      <w:r w:rsidR="00A720D6">
        <w:rPr>
          <w:rFonts w:ascii="Calibri" w:eastAsia="Calibri" w:hAnsi="Calibri" w:cs="Calibri"/>
          <w:szCs w:val="22"/>
        </w:rPr>
        <w:t>8</w:t>
      </w:r>
      <w:r w:rsidR="004A7067" w:rsidRPr="006002A8">
        <w:rPr>
          <w:rFonts w:ascii="Calibri" w:eastAsia="Calibri" w:hAnsi="Calibri" w:cs="Calibri"/>
          <w:szCs w:val="22"/>
        </w:rPr>
        <w:t>)</w:t>
      </w:r>
      <w:r w:rsidR="003859A2" w:rsidRPr="006002A8">
        <w:rPr>
          <w:rFonts w:ascii="Calibri" w:eastAsia="Calibri" w:hAnsi="Calibri" w:cs="Calibri"/>
          <w:szCs w:val="22"/>
        </w:rPr>
        <w:t>.</w:t>
      </w:r>
    </w:p>
    <w:p w14:paraId="6E14D0AB" w14:textId="4F884869" w:rsidR="008712D4" w:rsidRDefault="008712D4" w:rsidP="008712D4">
      <w:pPr>
        <w:pStyle w:val="Caption"/>
        <w:keepNext/>
      </w:pPr>
      <w:r>
        <w:rPr>
          <w:rFonts w:ascii="Calibri" w:eastAsia="Calibri" w:hAnsi="Calibri" w:cs="Calibri"/>
          <w:szCs w:val="22"/>
        </w:rPr>
        <w:br/>
      </w:r>
      <w:bookmarkStart w:id="39" w:name="_Hlk133234691"/>
      <w:r>
        <w:t>Figure 1</w:t>
      </w:r>
      <w:r w:rsidR="00A720D6">
        <w:t>8</w:t>
      </w:r>
      <w:r>
        <w:t>:</w:t>
      </w:r>
      <w:r w:rsidR="00A67BF2">
        <w:t xml:space="preserve"> </w:t>
      </w:r>
      <w:r w:rsidR="00A67BF2" w:rsidRPr="3D27FA94">
        <w:rPr>
          <w:rFonts w:ascii="Calibri" w:eastAsia="Calibri" w:hAnsi="Calibri" w:cs="Calibri"/>
        </w:rPr>
        <w:t>Health Assessments for First Nations peoples</w:t>
      </w:r>
    </w:p>
    <w:p w14:paraId="09FF56A0" w14:textId="31591658" w:rsidR="001B14B8" w:rsidRDefault="00A67BF2">
      <w:pPr>
        <w:rPr>
          <w:rFonts w:ascii="Calibri" w:eastAsia="Calibri" w:hAnsi="Calibri" w:cs="Calibri"/>
          <w:szCs w:val="22"/>
        </w:rPr>
      </w:pPr>
      <w:r>
        <w:rPr>
          <w:rFonts w:ascii="Calibri" w:eastAsia="Calibri" w:hAnsi="Calibri" w:cs="Calibri"/>
          <w:noProof/>
          <w:szCs w:val="22"/>
        </w:rPr>
        <w:drawing>
          <wp:inline distT="0" distB="0" distL="0" distR="0" wp14:anchorId="6A120587" wp14:editId="07B74077">
            <wp:extent cx="4511675" cy="2353310"/>
            <wp:effectExtent l="0" t="0" r="3175" b="8890"/>
            <wp:docPr id="3" name="Picture 3" descr="Bar chart showing the total number of First Nations Health Assessments over 2018-19, 2019-20 and 2020-21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 showing the total number of First Nations Health Assessments over 2018-19, 2019-20 and 2020-21 reporting periods.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bookmarkEnd w:id="39"/>
    <w:p w14:paraId="6C13C4BB" w14:textId="77777777" w:rsidR="00A67BF2" w:rsidRDefault="00A67BF2" w:rsidP="00A67BF2">
      <w:r w:rsidRPr="0928EE2C">
        <w:rPr>
          <w:rFonts w:ascii="Calibri" w:eastAsia="Calibri" w:hAnsi="Calibri" w:cs="Calibri"/>
          <w:i/>
          <w:color w:val="44546A" w:themeColor="text2"/>
          <w:sz w:val="18"/>
          <w:szCs w:val="18"/>
        </w:rPr>
        <w:t>Source: AIHW Indigenous health checks and follow-ups</w:t>
      </w:r>
    </w:p>
    <w:p w14:paraId="68587572" w14:textId="77777777" w:rsidR="001B14B8" w:rsidRDefault="001B14B8">
      <w:pPr>
        <w:rPr>
          <w:rFonts w:ascii="Calibri" w:eastAsia="Calibri" w:hAnsi="Calibri" w:cs="Calibri"/>
          <w:szCs w:val="22"/>
        </w:rPr>
      </w:pPr>
    </w:p>
    <w:p w14:paraId="5DBA1E7D" w14:textId="7DF9E366" w:rsidR="6D0CDA4E" w:rsidRDefault="6D0CDA4E">
      <w:r w:rsidRPr="0D1E6ABA">
        <w:rPr>
          <w:rFonts w:ascii="Calibri" w:eastAsia="Calibri" w:hAnsi="Calibri" w:cs="Calibri"/>
          <w:szCs w:val="22"/>
        </w:rPr>
        <w:t xml:space="preserve">The number of Health Assessments </w:t>
      </w:r>
      <w:r w:rsidR="00642E40">
        <w:rPr>
          <w:rFonts w:ascii="Calibri" w:eastAsia="Calibri" w:hAnsi="Calibri" w:cs="Calibri"/>
          <w:szCs w:val="22"/>
        </w:rPr>
        <w:t>provided to</w:t>
      </w:r>
      <w:r w:rsidRPr="0D1E6ABA">
        <w:rPr>
          <w:rFonts w:ascii="Calibri" w:eastAsia="Calibri" w:hAnsi="Calibri" w:cs="Calibri"/>
          <w:szCs w:val="22"/>
        </w:rPr>
        <w:t xml:space="preserve"> First Nations peoples</w:t>
      </w:r>
      <w:r w:rsidR="00642E40">
        <w:rPr>
          <w:rFonts w:ascii="Calibri" w:eastAsia="Calibri" w:hAnsi="Calibri" w:cs="Calibri"/>
          <w:szCs w:val="22"/>
        </w:rPr>
        <w:t xml:space="preserve"> </w:t>
      </w:r>
      <w:r w:rsidR="008A79A3">
        <w:rPr>
          <w:rFonts w:ascii="Calibri" w:eastAsia="Calibri" w:hAnsi="Calibri" w:cs="Calibri"/>
          <w:szCs w:val="22"/>
        </w:rPr>
        <w:t xml:space="preserve">in socio-economically disadvantaged areas </w:t>
      </w:r>
      <w:r w:rsidR="00642E40">
        <w:rPr>
          <w:rFonts w:ascii="Calibri" w:eastAsia="Calibri" w:hAnsi="Calibri" w:cs="Calibri"/>
          <w:szCs w:val="22"/>
        </w:rPr>
        <w:t>has declined since 2018-19</w:t>
      </w:r>
      <w:r w:rsidR="008A79A3">
        <w:rPr>
          <w:rFonts w:ascii="Calibri" w:eastAsia="Calibri" w:hAnsi="Calibri" w:cs="Calibri"/>
          <w:szCs w:val="22"/>
        </w:rPr>
        <w:t xml:space="preserve"> </w:t>
      </w:r>
      <w:r w:rsidRPr="0D1E6ABA">
        <w:rPr>
          <w:rFonts w:ascii="Calibri" w:eastAsia="Calibri" w:hAnsi="Calibri" w:cs="Calibri"/>
          <w:szCs w:val="22"/>
        </w:rPr>
        <w:t xml:space="preserve">(Figure </w:t>
      </w:r>
      <w:r w:rsidR="008712D4">
        <w:rPr>
          <w:rFonts w:ascii="Calibri" w:eastAsia="Calibri" w:hAnsi="Calibri" w:cs="Calibri"/>
          <w:szCs w:val="22"/>
        </w:rPr>
        <w:t>1</w:t>
      </w:r>
      <w:r w:rsidR="00A720D6">
        <w:rPr>
          <w:rFonts w:ascii="Calibri" w:eastAsia="Calibri" w:hAnsi="Calibri" w:cs="Calibri"/>
          <w:szCs w:val="22"/>
        </w:rPr>
        <w:t>9</w:t>
      </w:r>
      <w:r w:rsidRPr="0D1E6ABA">
        <w:rPr>
          <w:rFonts w:ascii="Calibri" w:eastAsia="Calibri" w:hAnsi="Calibri" w:cs="Calibri"/>
          <w:szCs w:val="22"/>
        </w:rPr>
        <w:t>).</w:t>
      </w:r>
    </w:p>
    <w:p w14:paraId="433B4BAC" w14:textId="77777777" w:rsidR="003A345A" w:rsidRDefault="6D0CDA4E" w:rsidP="003A345A">
      <w:pPr>
        <w:rPr>
          <w:noProof/>
        </w:rPr>
      </w:pPr>
      <w:r>
        <w:br/>
      </w:r>
      <w:bookmarkEnd w:id="32"/>
      <w:r w:rsidR="003A345A" w:rsidRPr="3D27FA94">
        <w:rPr>
          <w:rFonts w:ascii="Calibri" w:eastAsia="Calibri" w:hAnsi="Calibri" w:cs="Calibri"/>
          <w:i/>
          <w:iCs/>
          <w:color w:val="44546A" w:themeColor="text2"/>
          <w:sz w:val="18"/>
          <w:szCs w:val="18"/>
        </w:rPr>
        <w:t xml:space="preserve">Figure </w:t>
      </w:r>
      <w:r w:rsidR="003A345A">
        <w:rPr>
          <w:rFonts w:ascii="Calibri" w:eastAsia="Calibri" w:hAnsi="Calibri" w:cs="Calibri"/>
          <w:i/>
          <w:iCs/>
          <w:color w:val="44546A" w:themeColor="text2"/>
          <w:sz w:val="18"/>
          <w:szCs w:val="18"/>
        </w:rPr>
        <w:t>19</w:t>
      </w:r>
      <w:r w:rsidR="003A345A" w:rsidRPr="3D27FA94">
        <w:rPr>
          <w:rFonts w:ascii="Calibri" w:eastAsia="Calibri" w:hAnsi="Calibri" w:cs="Calibri"/>
          <w:i/>
          <w:iCs/>
          <w:color w:val="44546A" w:themeColor="text2"/>
          <w:sz w:val="18"/>
          <w:szCs w:val="18"/>
        </w:rPr>
        <w:t>: Health Assessments for First Nations peoples by disadvantage</w:t>
      </w:r>
      <w:r w:rsidR="003A345A" w:rsidRPr="004A7067">
        <w:rPr>
          <w:noProof/>
        </w:rPr>
        <w:t xml:space="preserve"> </w:t>
      </w:r>
    </w:p>
    <w:p w14:paraId="54D2D4D5" w14:textId="77777777" w:rsidR="003A345A" w:rsidRDefault="003A345A" w:rsidP="003A345A">
      <w:r>
        <w:rPr>
          <w:noProof/>
        </w:rPr>
        <w:t xml:space="preserve"> </w:t>
      </w:r>
      <w:r>
        <w:rPr>
          <w:noProof/>
        </w:rPr>
        <w:drawing>
          <wp:inline distT="0" distB="0" distL="0" distR="0" wp14:anchorId="647193D5" wp14:editId="74413ECC">
            <wp:extent cx="4511675" cy="2353310"/>
            <wp:effectExtent l="0" t="0" r="3175" b="8890"/>
            <wp:docPr id="38" name="Picture 38" descr="Bar chart showing the total number of First Nations Health Assessments by socio-economic disadvantage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Bar chart showing the total number of First Nations Health Assessments by socio-economic disadvantage over 2018-19, 2019-20 and 2020-21 reporting period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373BD6EE" w14:textId="77777777" w:rsidR="003A345A" w:rsidRDefault="003A345A" w:rsidP="003A345A">
      <w:r w:rsidRPr="0928EE2C">
        <w:rPr>
          <w:rFonts w:ascii="Calibri" w:eastAsia="Calibri" w:hAnsi="Calibri" w:cs="Calibri"/>
          <w:i/>
          <w:color w:val="44546A" w:themeColor="text2"/>
          <w:sz w:val="18"/>
          <w:szCs w:val="18"/>
        </w:rPr>
        <w:t>Source: AIHW Indigenous health checks and follow-ups</w:t>
      </w:r>
    </w:p>
    <w:p w14:paraId="4D3B6B44" w14:textId="0DB1435A" w:rsidR="001077F0" w:rsidRDefault="001077F0" w:rsidP="003A345A"/>
    <w:p w14:paraId="7CEB577A" w14:textId="6B87CD6B" w:rsidR="006002A8" w:rsidRDefault="006002A8">
      <w:pPr>
        <w:spacing w:after="160" w:line="259" w:lineRule="auto"/>
        <w:rPr>
          <w:rFonts w:ascii="Calibri" w:hAnsi="Calibri" w:cs="Calibri"/>
          <w:b/>
          <w:bCs/>
          <w:color w:val="FFFFFF" w:themeColor="background1"/>
          <w:sz w:val="28"/>
          <w:szCs w:val="28"/>
          <w:lang w:eastAsia="en-US"/>
        </w:rPr>
      </w:pPr>
      <w:r>
        <w:rPr>
          <w:rFonts w:ascii="Calibri" w:hAnsi="Calibri" w:cs="Calibri"/>
          <w:b/>
          <w:bCs/>
          <w:color w:val="FFFFFF" w:themeColor="background1"/>
          <w:sz w:val="28"/>
          <w:szCs w:val="28"/>
          <w:lang w:eastAsia="en-US"/>
        </w:rPr>
        <w:br/>
      </w:r>
    </w:p>
    <w:p w14:paraId="09C12A80" w14:textId="77777777" w:rsidR="004B28EC" w:rsidRDefault="004B28EC">
      <w:pPr>
        <w:spacing w:after="160" w:line="259" w:lineRule="auto"/>
        <w:rPr>
          <w:rFonts w:ascii="Calibri" w:hAnsi="Calibri" w:cs="Calibri"/>
          <w:b/>
          <w:bCs/>
          <w:color w:val="FFFFFF" w:themeColor="background1"/>
          <w:sz w:val="28"/>
          <w:szCs w:val="28"/>
          <w:lang w:eastAsia="en-US"/>
        </w:rPr>
      </w:pPr>
      <w:r>
        <w:br w:type="page"/>
      </w:r>
    </w:p>
    <w:p w14:paraId="4A548FAD" w14:textId="2A4A919E" w:rsidR="00801A81" w:rsidRPr="00B06EC5" w:rsidRDefault="002E73F4" w:rsidP="00801A81">
      <w:pPr>
        <w:pStyle w:val="Heading1"/>
      </w:pPr>
      <w:bookmarkStart w:id="40" w:name="_Toc136505536"/>
      <w:r>
        <w:lastRenderedPageBreak/>
        <w:t>Chronic Care</w:t>
      </w:r>
      <w:bookmarkEnd w:id="40"/>
    </w:p>
    <w:p w14:paraId="6FD34834" w14:textId="5601F86E" w:rsidR="001B14B8" w:rsidRDefault="001B14B8" w:rsidP="001B14B8">
      <w:pPr>
        <w:spacing w:line="276" w:lineRule="auto"/>
        <w:rPr>
          <w:rFonts w:ascii="Calibri" w:eastAsia="Calibri" w:hAnsi="Calibri" w:cs="Calibri"/>
          <w:szCs w:val="22"/>
        </w:rPr>
      </w:pPr>
      <w:r w:rsidRPr="008712D4">
        <w:rPr>
          <w:rFonts w:ascii="Calibri" w:eastAsia="Calibri" w:hAnsi="Calibri" w:cs="Calibri"/>
          <w:szCs w:val="22"/>
          <w:lang w:val="en-US"/>
        </w:rPr>
        <w:t xml:space="preserve">The number of </w:t>
      </w:r>
      <w:r w:rsidR="00801A81" w:rsidRPr="008712D4">
        <w:rPr>
          <w:rFonts w:ascii="Calibri" w:eastAsia="Calibri" w:hAnsi="Calibri" w:cs="Calibri"/>
          <w:szCs w:val="22"/>
          <w:lang w:val="en-US"/>
        </w:rPr>
        <w:t>Medicare Benefit Schedule (MBS) services provided for people with chronic health conditions</w:t>
      </w:r>
      <w:r w:rsidR="004A7067" w:rsidRPr="008712D4">
        <w:rPr>
          <w:rFonts w:ascii="Calibri" w:eastAsia="Calibri" w:hAnsi="Calibri" w:cs="Calibri"/>
          <w:szCs w:val="22"/>
          <w:lang w:val="en-US"/>
        </w:rPr>
        <w:t xml:space="preserve"> has been increasing the past three reporting years</w:t>
      </w:r>
      <w:r w:rsidR="003D2F77" w:rsidRPr="008712D4">
        <w:rPr>
          <w:rFonts w:ascii="Calibri" w:eastAsia="Calibri" w:hAnsi="Calibri" w:cs="Calibri"/>
          <w:szCs w:val="22"/>
          <w:lang w:val="en-US"/>
        </w:rPr>
        <w:t xml:space="preserve">. It </w:t>
      </w:r>
      <w:r w:rsidR="00581819" w:rsidRPr="008712D4">
        <w:rPr>
          <w:rFonts w:ascii="Calibri" w:eastAsia="Calibri" w:hAnsi="Calibri" w:cs="Calibri"/>
          <w:szCs w:val="22"/>
          <w:lang w:val="en-US"/>
        </w:rPr>
        <w:t xml:space="preserve">increased </w:t>
      </w:r>
      <w:r w:rsidR="004A7067" w:rsidRPr="008712D4">
        <w:rPr>
          <w:rFonts w:ascii="Calibri" w:eastAsia="Calibri" w:hAnsi="Calibri" w:cs="Calibri"/>
          <w:szCs w:val="22"/>
        </w:rPr>
        <w:t xml:space="preserve">five per cent in 2020-21 </w:t>
      </w:r>
      <w:r w:rsidR="00581819" w:rsidRPr="008712D4">
        <w:rPr>
          <w:rFonts w:ascii="Calibri" w:eastAsia="Calibri" w:hAnsi="Calibri" w:cs="Calibri"/>
          <w:szCs w:val="22"/>
        </w:rPr>
        <w:t xml:space="preserve">from </w:t>
      </w:r>
      <w:r w:rsidR="004A7067" w:rsidRPr="008712D4">
        <w:rPr>
          <w:rFonts w:ascii="Calibri" w:eastAsia="Calibri" w:hAnsi="Calibri" w:cs="Calibri"/>
          <w:szCs w:val="22"/>
        </w:rPr>
        <w:t xml:space="preserve">2019-20 (Figure </w:t>
      </w:r>
      <w:r w:rsidR="00A720D6">
        <w:rPr>
          <w:rFonts w:ascii="Calibri" w:eastAsia="Calibri" w:hAnsi="Calibri" w:cs="Calibri"/>
          <w:szCs w:val="22"/>
        </w:rPr>
        <w:t>20</w:t>
      </w:r>
      <w:r w:rsidR="004A7067" w:rsidRPr="008712D4">
        <w:rPr>
          <w:rFonts w:ascii="Calibri" w:eastAsia="Calibri" w:hAnsi="Calibri" w:cs="Calibri"/>
          <w:szCs w:val="22"/>
        </w:rPr>
        <w:t>).</w:t>
      </w:r>
    </w:p>
    <w:p w14:paraId="1785DF9D" w14:textId="5733DC0D" w:rsidR="001B14B8" w:rsidRDefault="003D2F77" w:rsidP="00547BBA">
      <w:pPr>
        <w:pStyle w:val="Caption"/>
        <w:rPr>
          <w:rFonts w:ascii="Calibri" w:eastAsia="Calibri" w:hAnsi="Calibri" w:cs="Calibri"/>
          <w:szCs w:val="22"/>
        </w:rPr>
      </w:pPr>
      <w:r>
        <w:rPr>
          <w:rFonts w:ascii="Calibri" w:eastAsia="Calibri" w:hAnsi="Calibri" w:cs="Calibri"/>
          <w:szCs w:val="22"/>
        </w:rPr>
        <w:br/>
      </w:r>
      <w:r w:rsidRPr="3D27FA94">
        <w:rPr>
          <w:rFonts w:ascii="Calibri" w:eastAsia="Calibri" w:hAnsi="Calibri" w:cs="Calibri"/>
        </w:rPr>
        <w:t xml:space="preserve">Figure </w:t>
      </w:r>
      <w:r w:rsidR="00A720D6">
        <w:rPr>
          <w:rFonts w:ascii="Calibri" w:eastAsia="Calibri" w:hAnsi="Calibri" w:cs="Calibri"/>
        </w:rPr>
        <w:t>20</w:t>
      </w:r>
      <w:r w:rsidRPr="3D27FA94">
        <w:rPr>
          <w:rFonts w:ascii="Calibri" w:eastAsia="Calibri" w:hAnsi="Calibri" w:cs="Calibri"/>
        </w:rPr>
        <w:t xml:space="preserve">: </w:t>
      </w:r>
      <w:r w:rsidR="00547BBA">
        <w:t>Health Assessments, Chronic Disease Management Plans, and Multidisciplinary Case Conferences</w:t>
      </w:r>
    </w:p>
    <w:p w14:paraId="05E05318" w14:textId="44CDFF65" w:rsidR="001B14B8" w:rsidRDefault="004A7067" w:rsidP="00547BBA">
      <w:pPr>
        <w:pStyle w:val="Caption"/>
        <w:rPr>
          <w:rFonts w:eastAsia="Calibri"/>
          <w:szCs w:val="22"/>
        </w:rPr>
      </w:pPr>
      <w:r w:rsidRPr="004A7067">
        <w:rPr>
          <w:noProof/>
        </w:rPr>
        <w:t xml:space="preserve"> </w:t>
      </w:r>
      <w:r w:rsidR="00547BBA">
        <w:rPr>
          <w:noProof/>
        </w:rPr>
        <w:drawing>
          <wp:inline distT="0" distB="0" distL="0" distR="0" wp14:anchorId="37B1B677" wp14:editId="24664D4B">
            <wp:extent cx="4511675" cy="2353310"/>
            <wp:effectExtent l="0" t="0" r="3175" b="8890"/>
            <wp:docPr id="11" name="Picture 11" descr="Bar chart showing the total number of health assessments, chronic disease management plans, and multidisciplinary case conferences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r chart showing the total number of health assessments, chronic disease management plans, and multidisciplinary case conferences over 2018-19, 2019-20 and 2020-21 reporting period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r w:rsidR="003D2F77">
        <w:rPr>
          <w:noProof/>
        </w:rPr>
        <w:br/>
      </w:r>
      <w:r w:rsidR="003D2F77" w:rsidRPr="003D2F77">
        <w:rPr>
          <w:szCs w:val="20"/>
          <w:lang w:eastAsia="en-US"/>
        </w:rPr>
        <w:t xml:space="preserve">Source: </w:t>
      </w:r>
      <w:r w:rsidR="003D2F77" w:rsidRPr="003D2F77">
        <w:t xml:space="preserve">AIHW Medicare-subsidised general practices, allied </w:t>
      </w:r>
      <w:proofErr w:type="gramStart"/>
      <w:r w:rsidR="003D2F77" w:rsidRPr="003D2F77">
        <w:t>health</w:t>
      </w:r>
      <w:proofErr w:type="gramEnd"/>
      <w:r w:rsidR="003D2F77" w:rsidRPr="003D2F77">
        <w:t xml:space="preserve"> or specialist health care across local areas</w:t>
      </w:r>
    </w:p>
    <w:p w14:paraId="2C0FA901" w14:textId="77777777" w:rsidR="001B14B8" w:rsidRDefault="001B14B8" w:rsidP="00801A81">
      <w:pPr>
        <w:rPr>
          <w:lang w:eastAsia="en-US"/>
        </w:rPr>
      </w:pPr>
    </w:p>
    <w:p w14:paraId="7ECD2078" w14:textId="1CB7B351" w:rsidR="00801A81" w:rsidRDefault="00801A81" w:rsidP="00801A81">
      <w:pPr>
        <w:rPr>
          <w:lang w:eastAsia="en-US"/>
        </w:rPr>
      </w:pPr>
      <w:r w:rsidRPr="00343DF7">
        <w:rPr>
          <w:lang w:eastAsia="en-US"/>
        </w:rPr>
        <w:t xml:space="preserve">The number of patients receiving health assessment and chronic condition management services from </w:t>
      </w:r>
      <w:r w:rsidR="003E7856">
        <w:rPr>
          <w:lang w:eastAsia="en-US"/>
        </w:rPr>
        <w:t>general practices</w:t>
      </w:r>
      <w:r w:rsidRPr="00343DF7">
        <w:rPr>
          <w:lang w:eastAsia="en-US"/>
        </w:rPr>
        <w:t xml:space="preserve"> increased across all levels of socio-economic disadvantage by four to six per cent </w:t>
      </w:r>
      <w:r>
        <w:rPr>
          <w:lang w:eastAsia="en-US"/>
        </w:rPr>
        <w:t xml:space="preserve">since last year </w:t>
      </w:r>
      <w:r w:rsidRPr="00343DF7">
        <w:rPr>
          <w:lang w:eastAsia="en-US"/>
        </w:rPr>
        <w:t xml:space="preserve">(Figure </w:t>
      </w:r>
      <w:r w:rsidR="00E26E58">
        <w:rPr>
          <w:lang w:eastAsia="en-US"/>
        </w:rPr>
        <w:t>21</w:t>
      </w:r>
      <w:r w:rsidRPr="00343DF7">
        <w:rPr>
          <w:lang w:eastAsia="en-US"/>
        </w:rPr>
        <w:t>). The greatest incr</w:t>
      </w:r>
      <w:r>
        <w:rPr>
          <w:lang w:eastAsia="en-US"/>
        </w:rPr>
        <w:t xml:space="preserve">eases in the number of patients receiving these services were in PHNs in metropolitan areas and areas of least socio-economic disadvantage (Figures </w:t>
      </w:r>
      <w:r w:rsidR="00A720D6">
        <w:rPr>
          <w:lang w:eastAsia="en-US"/>
        </w:rPr>
        <w:t>22</w:t>
      </w:r>
      <w:r w:rsidRPr="00E527DA">
        <w:rPr>
          <w:lang w:eastAsia="en-US"/>
        </w:rPr>
        <w:t xml:space="preserve"> and </w:t>
      </w:r>
      <w:r w:rsidR="00E527DA" w:rsidRPr="00E527DA">
        <w:rPr>
          <w:lang w:eastAsia="en-US"/>
        </w:rPr>
        <w:t>2</w:t>
      </w:r>
      <w:r w:rsidR="00A720D6">
        <w:rPr>
          <w:lang w:eastAsia="en-US"/>
        </w:rPr>
        <w:t>1</w:t>
      </w:r>
      <w:r>
        <w:rPr>
          <w:lang w:eastAsia="en-US"/>
        </w:rPr>
        <w:t xml:space="preserve"> respectively). </w:t>
      </w:r>
    </w:p>
    <w:p w14:paraId="1E639189" w14:textId="77777777" w:rsidR="00801A81" w:rsidRPr="00041B20" w:rsidRDefault="00801A81" w:rsidP="00801A81">
      <w:bookmarkStart w:id="41" w:name="_Ref125039522"/>
    </w:p>
    <w:p w14:paraId="6CD2E4A5" w14:textId="50DCCDC9" w:rsidR="00801A81" w:rsidRDefault="00013306" w:rsidP="00801A81">
      <w:pPr>
        <w:pStyle w:val="Caption"/>
        <w:keepNext/>
      </w:pPr>
      <w:r>
        <w:t>Figure</w:t>
      </w:r>
      <w:bookmarkEnd w:id="41"/>
      <w:r w:rsidR="00E26E58">
        <w:t xml:space="preserve"> </w:t>
      </w:r>
      <w:r w:rsidR="00A720D6">
        <w:t>21</w:t>
      </w:r>
      <w:r w:rsidR="00801A81">
        <w:t>: Health Assessments, Chronic Disease Management Plans, and Multidisciplinary Case Conferences by socio-economic disadvantage</w:t>
      </w:r>
    </w:p>
    <w:p w14:paraId="719A90C3" w14:textId="389E3A7A" w:rsidR="00801A81" w:rsidRDefault="00E6340D" w:rsidP="00801A81">
      <w:pPr>
        <w:pStyle w:val="Caption"/>
        <w:rPr>
          <w:lang w:eastAsia="en-US"/>
        </w:rPr>
      </w:pPr>
      <w:r>
        <w:rPr>
          <w:noProof/>
          <w:lang w:eastAsia="en-US"/>
        </w:rPr>
        <w:drawing>
          <wp:inline distT="0" distB="0" distL="0" distR="0" wp14:anchorId="745FBD5E" wp14:editId="38F1A18A">
            <wp:extent cx="4639310" cy="2359660"/>
            <wp:effectExtent l="0" t="0" r="8890" b="2540"/>
            <wp:docPr id="30" name="Picture 30" descr="Bar chart showing the total number of health assessments, chronic disease management plans, and multidisciplinary case conferences by socio-economic disadvantage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Bar chart showing the total number of health assessments, chronic disease management plans, and multidisciplinary case conferences by socio-economic disadvantage over 2018-19, 2019-20 and 2020-21 reporting period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39310" cy="2359660"/>
                    </a:xfrm>
                    <a:prstGeom prst="rect">
                      <a:avLst/>
                    </a:prstGeom>
                    <a:noFill/>
                  </pic:spPr>
                </pic:pic>
              </a:graphicData>
            </a:graphic>
          </wp:inline>
        </w:drawing>
      </w:r>
    </w:p>
    <w:p w14:paraId="51B08EBC" w14:textId="7E7E4328" w:rsidR="00801A81" w:rsidRDefault="00801A81" w:rsidP="00801A81">
      <w:pPr>
        <w:pStyle w:val="Caption"/>
        <w:rPr>
          <w:rFonts w:ascii="Calibri" w:hAnsi="Calibri" w:cs="Calibri"/>
          <w:szCs w:val="22"/>
        </w:rPr>
      </w:pPr>
      <w:r>
        <w:rPr>
          <w:lang w:eastAsia="en-US"/>
        </w:rPr>
        <w:t xml:space="preserve">Source: </w:t>
      </w:r>
      <w:r>
        <w:rPr>
          <w:rFonts w:ascii="Calibri" w:hAnsi="Calibri" w:cs="Calibri"/>
          <w:szCs w:val="22"/>
        </w:rPr>
        <w:t xml:space="preserve">AIHW Medicare-subsidised </w:t>
      </w:r>
      <w:r w:rsidR="003D244C">
        <w:rPr>
          <w:rFonts w:ascii="Calibri" w:hAnsi="Calibri" w:cs="Calibri"/>
          <w:szCs w:val="22"/>
        </w:rPr>
        <w:t>general practices</w:t>
      </w:r>
      <w:r>
        <w:rPr>
          <w:rFonts w:ascii="Calibri" w:hAnsi="Calibri" w:cs="Calibri"/>
          <w:szCs w:val="22"/>
        </w:rPr>
        <w:t xml:space="preserve">, allied </w:t>
      </w:r>
      <w:proofErr w:type="gramStart"/>
      <w:r>
        <w:rPr>
          <w:rFonts w:ascii="Calibri" w:hAnsi="Calibri" w:cs="Calibri"/>
          <w:szCs w:val="22"/>
        </w:rPr>
        <w:t>health</w:t>
      </w:r>
      <w:proofErr w:type="gramEnd"/>
      <w:r>
        <w:rPr>
          <w:rFonts w:ascii="Calibri" w:hAnsi="Calibri" w:cs="Calibri"/>
          <w:szCs w:val="22"/>
        </w:rPr>
        <w:t xml:space="preserve"> or specialist health </w:t>
      </w:r>
      <w:r w:rsidRPr="00B91B6F">
        <w:rPr>
          <w:rFonts w:ascii="Calibri" w:hAnsi="Calibri" w:cs="Calibri"/>
          <w:szCs w:val="22"/>
        </w:rPr>
        <w:t>care across local areas</w:t>
      </w:r>
    </w:p>
    <w:p w14:paraId="7D60B2E9" w14:textId="77777777" w:rsidR="00801A81" w:rsidRPr="00C260DB" w:rsidRDefault="00801A81" w:rsidP="00801A81"/>
    <w:p w14:paraId="199C2DD1" w14:textId="5E415739" w:rsidR="00D414D1" w:rsidRPr="00D414D1" w:rsidRDefault="00801A81" w:rsidP="00D414D1">
      <w:pPr>
        <w:pStyle w:val="Caption"/>
        <w:keepNext/>
      </w:pPr>
      <w:bookmarkStart w:id="42" w:name="_Ref125039529"/>
      <w:r>
        <w:lastRenderedPageBreak/>
        <w:t>Figure</w:t>
      </w:r>
      <w:bookmarkEnd w:id="42"/>
      <w:r w:rsidR="008712D4">
        <w:t xml:space="preserve"> 2</w:t>
      </w:r>
      <w:r w:rsidR="00A720D6">
        <w:t>2</w:t>
      </w:r>
      <w:r>
        <w:t>:</w:t>
      </w:r>
      <w:r w:rsidRPr="00CE58AE">
        <w:t xml:space="preserve"> </w:t>
      </w:r>
      <w:r>
        <w:t>Health Assessments, Chronic Disease Management Plans, and Multidisciplinary Case Conferences by remoteness</w:t>
      </w:r>
      <w:r w:rsidR="00F2116E">
        <w:t xml:space="preserve"> </w:t>
      </w:r>
    </w:p>
    <w:p w14:paraId="3AAFBA44" w14:textId="77777777" w:rsidR="00801A81" w:rsidRDefault="00801A81" w:rsidP="00801A81">
      <w:pPr>
        <w:pStyle w:val="Caption"/>
      </w:pPr>
      <w:r>
        <w:rPr>
          <w:noProof/>
          <w:color w:val="2B579A"/>
          <w:shd w:val="clear" w:color="auto" w:fill="E6E6E6"/>
        </w:rPr>
        <w:drawing>
          <wp:inline distT="0" distB="0" distL="0" distR="0" wp14:anchorId="16FF728A" wp14:editId="035873DD">
            <wp:extent cx="4511675" cy="2353310"/>
            <wp:effectExtent l="0" t="0" r="3175" b="8890"/>
            <wp:docPr id="14" name="Picture 14" descr="Bar chart showing the total number of health assessments, chronic disease management plans, and multidisciplinary case conferences by remoteness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r chart showing the total number of health assessments, chronic disease management plans, and multidisciplinary case conferences by remoteness over 2018-19, 2019-20 and 2020-21 reporting period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02899DAC" w14:textId="713D6D8E" w:rsidR="00801A81" w:rsidRDefault="00801A81" w:rsidP="00801A81">
      <w:pPr>
        <w:pStyle w:val="Caption"/>
        <w:rPr>
          <w:rFonts w:ascii="Calibri" w:hAnsi="Calibri" w:cs="Calibri"/>
        </w:rPr>
      </w:pPr>
      <w:r>
        <w:rPr>
          <w:lang w:eastAsia="en-US"/>
        </w:rPr>
        <w:t xml:space="preserve">Source: </w:t>
      </w:r>
      <w:r w:rsidRPr="0E6A57B1">
        <w:rPr>
          <w:rFonts w:ascii="Calibri" w:hAnsi="Calibri" w:cs="Calibri"/>
        </w:rPr>
        <w:t xml:space="preserve">AIHW </w:t>
      </w:r>
      <w:r>
        <w:rPr>
          <w:rFonts w:ascii="Calibri" w:hAnsi="Calibri" w:cs="Calibri"/>
        </w:rPr>
        <w:t xml:space="preserve">Medicare-subsidised </w:t>
      </w:r>
      <w:r w:rsidR="003D244C">
        <w:rPr>
          <w:rFonts w:ascii="Calibri" w:hAnsi="Calibri" w:cs="Calibri"/>
        </w:rPr>
        <w:t>general practices</w:t>
      </w:r>
      <w:r>
        <w:rPr>
          <w:rFonts w:ascii="Calibri" w:hAnsi="Calibri" w:cs="Calibri"/>
        </w:rPr>
        <w:t xml:space="preserve">, allied </w:t>
      </w:r>
      <w:proofErr w:type="gramStart"/>
      <w:r>
        <w:rPr>
          <w:rFonts w:ascii="Calibri" w:hAnsi="Calibri" w:cs="Calibri"/>
        </w:rPr>
        <w:t>health</w:t>
      </w:r>
      <w:proofErr w:type="gramEnd"/>
      <w:r>
        <w:rPr>
          <w:rFonts w:ascii="Calibri" w:hAnsi="Calibri" w:cs="Calibri"/>
        </w:rPr>
        <w:t xml:space="preserve"> or specialist health </w:t>
      </w:r>
      <w:r w:rsidRPr="0E6A57B1">
        <w:rPr>
          <w:rFonts w:ascii="Calibri" w:hAnsi="Calibri" w:cs="Calibri"/>
        </w:rPr>
        <w:t xml:space="preserve">care across local </w:t>
      </w:r>
      <w:r w:rsidRPr="5FA9C070">
        <w:rPr>
          <w:rFonts w:ascii="Calibri" w:hAnsi="Calibri" w:cs="Calibri"/>
        </w:rPr>
        <w:t>area</w:t>
      </w:r>
    </w:p>
    <w:p w14:paraId="119DE2ED" w14:textId="4CD8D3FB" w:rsidR="003D2F77" w:rsidRDefault="00C5575E">
      <w:pPr>
        <w:spacing w:after="160" w:line="259" w:lineRule="auto"/>
        <w:rPr>
          <w:rFonts w:ascii="Calibri" w:hAnsi="Calibri" w:cs="Calibri"/>
          <w:b/>
          <w:bCs/>
          <w:color w:val="FFFFFF" w:themeColor="background1"/>
          <w:sz w:val="28"/>
          <w:szCs w:val="28"/>
          <w:lang w:eastAsia="en-US"/>
        </w:rPr>
      </w:pPr>
      <w:r>
        <w:rPr>
          <w:rFonts w:ascii="Calibri" w:hAnsi="Calibri" w:cs="Calibri"/>
          <w:b/>
          <w:bCs/>
          <w:color w:val="FFFFFF" w:themeColor="background1"/>
          <w:sz w:val="28"/>
          <w:szCs w:val="28"/>
          <w:lang w:eastAsia="en-US"/>
        </w:rPr>
        <w:br/>
      </w:r>
    </w:p>
    <w:p w14:paraId="6BBF91C3" w14:textId="77777777" w:rsidR="00442781" w:rsidRDefault="00442781">
      <w:pPr>
        <w:spacing w:after="160" w:line="259" w:lineRule="auto"/>
        <w:rPr>
          <w:rFonts w:ascii="Calibri" w:hAnsi="Calibri" w:cs="Calibri"/>
          <w:b/>
          <w:bCs/>
          <w:color w:val="FFFFFF" w:themeColor="background1"/>
          <w:sz w:val="28"/>
          <w:szCs w:val="28"/>
          <w:lang w:eastAsia="en-US"/>
        </w:rPr>
      </w:pPr>
      <w:r>
        <w:br w:type="page"/>
      </w:r>
    </w:p>
    <w:p w14:paraId="2BEAC503" w14:textId="0646F8B3" w:rsidR="002E73F4" w:rsidRPr="00B06EC5" w:rsidRDefault="002E73F4" w:rsidP="002E73F4">
      <w:pPr>
        <w:pStyle w:val="Heading1"/>
      </w:pPr>
      <w:bookmarkStart w:id="43" w:name="_Toc136505537"/>
      <w:r>
        <w:lastRenderedPageBreak/>
        <w:t>Aged Care</w:t>
      </w:r>
      <w:bookmarkEnd w:id="43"/>
    </w:p>
    <w:p w14:paraId="5FA4A8CB" w14:textId="68287A89" w:rsidR="00801A81" w:rsidRDefault="001020BB" w:rsidP="00801A81">
      <w:r>
        <w:rPr>
          <w:rFonts w:ascii="Calibri" w:eastAsia="Calibri" w:hAnsi="Calibri" w:cs="Calibri"/>
        </w:rPr>
        <w:t xml:space="preserve">There are two broad indicators for </w:t>
      </w:r>
      <w:r w:rsidR="00801A81" w:rsidRPr="2628E4BD">
        <w:rPr>
          <w:rFonts w:ascii="Calibri" w:eastAsia="Calibri" w:hAnsi="Calibri" w:cs="Calibri"/>
        </w:rPr>
        <w:t>aged care services and older Australians</w:t>
      </w:r>
      <w:r w:rsidR="00801A81">
        <w:rPr>
          <w:rFonts w:ascii="Calibri" w:eastAsia="Calibri" w:hAnsi="Calibri" w:cs="Calibri"/>
        </w:rPr>
        <w:t>.</w:t>
      </w:r>
    </w:p>
    <w:p w14:paraId="4AEC4E42" w14:textId="77777777" w:rsidR="00801A81" w:rsidRDefault="00801A81" w:rsidP="00801A81">
      <w:pPr>
        <w:rPr>
          <w:rFonts w:ascii="Calibri" w:eastAsia="Calibri" w:hAnsi="Calibri" w:cs="Calibri"/>
        </w:rPr>
      </w:pPr>
      <w:r w:rsidRPr="2628E4BD">
        <w:rPr>
          <w:rFonts w:ascii="Calibri" w:eastAsia="Calibri" w:hAnsi="Calibri" w:cs="Calibri"/>
        </w:rPr>
        <w:t xml:space="preserve"> </w:t>
      </w:r>
    </w:p>
    <w:p w14:paraId="66832400" w14:textId="6E9E75B8" w:rsidR="00801A81" w:rsidRDefault="00801A81" w:rsidP="00801A81">
      <w:pPr>
        <w:rPr>
          <w:rFonts w:ascii="Calibri" w:eastAsia="Calibri" w:hAnsi="Calibri" w:cs="Calibri"/>
          <w:szCs w:val="22"/>
        </w:rPr>
      </w:pPr>
      <w:r>
        <w:rPr>
          <w:rFonts w:ascii="Calibri" w:eastAsia="Calibri" w:hAnsi="Calibri" w:cs="Calibri"/>
        </w:rPr>
        <w:t xml:space="preserve">The first indicator is </w:t>
      </w:r>
      <w:r w:rsidRPr="2628E4BD">
        <w:rPr>
          <w:rFonts w:ascii="Calibri" w:eastAsia="Calibri" w:hAnsi="Calibri" w:cs="Calibri"/>
        </w:rPr>
        <w:t xml:space="preserve">the average </w:t>
      </w:r>
      <w:r>
        <w:rPr>
          <w:rFonts w:ascii="Calibri" w:eastAsia="Calibri" w:hAnsi="Calibri" w:cs="Calibri"/>
        </w:rPr>
        <w:t xml:space="preserve">number of </w:t>
      </w:r>
      <w:r w:rsidRPr="2628E4BD">
        <w:rPr>
          <w:rFonts w:ascii="Calibri" w:eastAsia="Calibri" w:hAnsi="Calibri" w:cs="Calibri"/>
        </w:rPr>
        <w:t xml:space="preserve">Medicare-subsidised </w:t>
      </w:r>
      <w:r w:rsidR="00FA1090">
        <w:rPr>
          <w:rFonts w:ascii="Calibri" w:eastAsia="Calibri" w:hAnsi="Calibri" w:cs="Calibri"/>
        </w:rPr>
        <w:t>general practice</w:t>
      </w:r>
      <w:r w:rsidRPr="2628E4BD">
        <w:rPr>
          <w:rFonts w:ascii="Calibri" w:eastAsia="Calibri" w:hAnsi="Calibri" w:cs="Calibri"/>
        </w:rPr>
        <w:t xml:space="preserve"> services provided </w:t>
      </w:r>
      <w:r>
        <w:rPr>
          <w:rFonts w:ascii="Calibri" w:eastAsia="Calibri" w:hAnsi="Calibri" w:cs="Calibri"/>
        </w:rPr>
        <w:t xml:space="preserve">per resident </w:t>
      </w:r>
      <w:r w:rsidRPr="2628E4BD">
        <w:rPr>
          <w:rFonts w:ascii="Calibri" w:eastAsia="Calibri" w:hAnsi="Calibri" w:cs="Calibri"/>
        </w:rPr>
        <w:t xml:space="preserve">in residential aged care </w:t>
      </w:r>
      <w:r>
        <w:rPr>
          <w:rFonts w:ascii="Calibri" w:eastAsia="Calibri" w:hAnsi="Calibri" w:cs="Calibri"/>
        </w:rPr>
        <w:t>homes</w:t>
      </w:r>
      <w:r w:rsidRPr="2628E4BD">
        <w:rPr>
          <w:rFonts w:ascii="Calibri" w:eastAsia="Calibri" w:hAnsi="Calibri" w:cs="Calibri"/>
        </w:rPr>
        <w:t xml:space="preserve"> (RAC</w:t>
      </w:r>
      <w:r>
        <w:rPr>
          <w:rFonts w:ascii="Calibri" w:eastAsia="Calibri" w:hAnsi="Calibri" w:cs="Calibri"/>
        </w:rPr>
        <w:t>H</w:t>
      </w:r>
      <w:r w:rsidRPr="2628E4BD">
        <w:rPr>
          <w:rFonts w:ascii="Calibri" w:eastAsia="Calibri" w:hAnsi="Calibri" w:cs="Calibri"/>
        </w:rPr>
        <w:t>s)</w:t>
      </w:r>
      <w:r>
        <w:rPr>
          <w:rFonts w:ascii="Calibri" w:eastAsia="Calibri" w:hAnsi="Calibri" w:cs="Calibri"/>
        </w:rPr>
        <w:t xml:space="preserve">. In 2020-21, </w:t>
      </w:r>
      <w:r w:rsidRPr="6CCEAF67">
        <w:rPr>
          <w:rFonts w:ascii="Calibri" w:eastAsia="Calibri" w:hAnsi="Calibri" w:cs="Calibri"/>
          <w:szCs w:val="22"/>
        </w:rPr>
        <w:t xml:space="preserve">this rate </w:t>
      </w:r>
      <w:r>
        <w:rPr>
          <w:rFonts w:ascii="Calibri" w:eastAsia="Calibri" w:hAnsi="Calibri" w:cs="Calibri"/>
          <w:szCs w:val="22"/>
        </w:rPr>
        <w:t xml:space="preserve">returned </w:t>
      </w:r>
      <w:r w:rsidRPr="6CCEAF67">
        <w:rPr>
          <w:rFonts w:ascii="Calibri" w:eastAsia="Calibri" w:hAnsi="Calibri" w:cs="Calibri"/>
          <w:szCs w:val="22"/>
        </w:rPr>
        <w:t xml:space="preserve">to </w:t>
      </w:r>
      <w:r>
        <w:rPr>
          <w:rFonts w:ascii="Calibri" w:eastAsia="Calibri" w:hAnsi="Calibri" w:cs="Calibri"/>
          <w:szCs w:val="22"/>
        </w:rPr>
        <w:t xml:space="preserve">the 2018-19 figure of </w:t>
      </w:r>
      <w:r w:rsidRPr="6CCEAF67">
        <w:rPr>
          <w:rFonts w:ascii="Calibri" w:eastAsia="Calibri" w:hAnsi="Calibri" w:cs="Calibri"/>
          <w:szCs w:val="22"/>
        </w:rPr>
        <w:t>17.8 services per resident per year</w:t>
      </w:r>
      <w:r>
        <w:rPr>
          <w:rFonts w:ascii="Calibri" w:eastAsia="Calibri" w:hAnsi="Calibri" w:cs="Calibri"/>
          <w:szCs w:val="22"/>
        </w:rPr>
        <w:t xml:space="preserve"> after reaching 18.3 in 2019-20 (Figure </w:t>
      </w:r>
      <w:r w:rsidR="007173BB">
        <w:rPr>
          <w:rFonts w:ascii="Calibri" w:eastAsia="Calibri" w:hAnsi="Calibri" w:cs="Calibri"/>
          <w:szCs w:val="22"/>
        </w:rPr>
        <w:t>2</w:t>
      </w:r>
      <w:r w:rsidR="00A720D6">
        <w:rPr>
          <w:rFonts w:ascii="Calibri" w:eastAsia="Calibri" w:hAnsi="Calibri" w:cs="Calibri"/>
          <w:szCs w:val="22"/>
        </w:rPr>
        <w:t>3</w:t>
      </w:r>
      <w:r>
        <w:rPr>
          <w:rFonts w:ascii="Calibri" w:eastAsia="Calibri" w:hAnsi="Calibri" w:cs="Calibri"/>
          <w:szCs w:val="22"/>
        </w:rPr>
        <w:t xml:space="preserve">). This decline is not directly attributable to the impact of facility </w:t>
      </w:r>
      <w:r w:rsidRPr="6CCEAF67">
        <w:rPr>
          <w:rFonts w:ascii="Calibri" w:eastAsia="Calibri" w:hAnsi="Calibri" w:cs="Calibri"/>
          <w:szCs w:val="22"/>
        </w:rPr>
        <w:t>lockdowns and restrictions on visits</w:t>
      </w:r>
      <w:r>
        <w:rPr>
          <w:rFonts w:ascii="Calibri" w:eastAsia="Calibri" w:hAnsi="Calibri" w:cs="Calibri"/>
          <w:szCs w:val="22"/>
        </w:rPr>
        <w:t xml:space="preserve"> during the COVID-19 pandemic because </w:t>
      </w:r>
      <w:r w:rsidRPr="6CCEAF67">
        <w:rPr>
          <w:rFonts w:ascii="Calibri" w:eastAsia="Calibri" w:hAnsi="Calibri" w:cs="Calibri"/>
          <w:szCs w:val="22"/>
        </w:rPr>
        <w:t>essential visits by medical staff</w:t>
      </w:r>
      <w:r>
        <w:rPr>
          <w:rFonts w:ascii="Calibri" w:eastAsia="Calibri" w:hAnsi="Calibri" w:cs="Calibri"/>
          <w:szCs w:val="22"/>
        </w:rPr>
        <w:t xml:space="preserve"> continued during this period.</w:t>
      </w:r>
    </w:p>
    <w:p w14:paraId="5008EEAA" w14:textId="77777777" w:rsidR="00801A81" w:rsidRDefault="00801A81" w:rsidP="00801A81">
      <w:pPr>
        <w:rPr>
          <w:rFonts w:ascii="Calibri" w:eastAsia="Calibri" w:hAnsi="Calibri" w:cs="Calibri"/>
          <w:szCs w:val="22"/>
        </w:rPr>
      </w:pPr>
    </w:p>
    <w:p w14:paraId="01B8C15C" w14:textId="47D9DD6D" w:rsidR="00801A81" w:rsidRPr="00A93261" w:rsidRDefault="00801A81" w:rsidP="00801A81">
      <w:pPr>
        <w:pStyle w:val="Caption"/>
        <w:keepNext/>
      </w:pPr>
      <w:r>
        <w:t>Figure</w:t>
      </w:r>
      <w:r w:rsidR="008712D4">
        <w:t xml:space="preserve"> 2</w:t>
      </w:r>
      <w:r w:rsidR="00A720D6">
        <w:t>3</w:t>
      </w:r>
      <w:r>
        <w:t>: G</w:t>
      </w:r>
      <w:r w:rsidR="000D6C5A">
        <w:t>eneral Practice</w:t>
      </w:r>
      <w:r>
        <w:t xml:space="preserve"> </w:t>
      </w:r>
      <w:r w:rsidR="001B14B8">
        <w:t>services provide</w:t>
      </w:r>
      <w:r w:rsidR="005B6DF3">
        <w:t>d</w:t>
      </w:r>
      <w:r w:rsidR="001B14B8">
        <w:t xml:space="preserve"> per resident in Residential Ages Care Homes (RACHs)</w:t>
      </w:r>
    </w:p>
    <w:p w14:paraId="27DE927B" w14:textId="2F600EB0" w:rsidR="00801A81" w:rsidRPr="00A93261" w:rsidRDefault="00E77FAD" w:rsidP="00801A81">
      <w:pPr>
        <w:rPr>
          <w:rFonts w:ascii="Calibri" w:eastAsia="Calibri" w:hAnsi="Calibri" w:cs="Calibri"/>
          <w:i/>
          <w:iCs/>
          <w:szCs w:val="22"/>
        </w:rPr>
      </w:pPr>
      <w:r>
        <w:rPr>
          <w:rFonts w:ascii="Calibri" w:eastAsia="Calibri" w:hAnsi="Calibri" w:cs="Calibri"/>
          <w:i/>
          <w:iCs/>
          <w:noProof/>
          <w:szCs w:val="22"/>
        </w:rPr>
        <w:drawing>
          <wp:inline distT="0" distB="0" distL="0" distR="0" wp14:anchorId="7AE7B125" wp14:editId="4F321346">
            <wp:extent cx="4511675" cy="2353310"/>
            <wp:effectExtent l="0" t="0" r="3175" b="8890"/>
            <wp:docPr id="33" name="Picture 33" descr="Bar chart showing the total number of GP services provided per resident in residential aged care homes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Bar chart showing the total number of GP services provided per resident in residential aged care homes over 2018-19, 2019-20 and 2020-21 reporting period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03F4E6B3" w14:textId="548102F6" w:rsidR="00801A81" w:rsidRPr="00E77FAD" w:rsidRDefault="00E77FAD" w:rsidP="00E77FAD">
      <w:pPr>
        <w:pStyle w:val="Caption"/>
        <w:rPr>
          <w:rFonts w:ascii="Calibri" w:hAnsi="Calibri" w:cs="Calibri"/>
        </w:rPr>
      </w:pPr>
      <w:r>
        <w:t>Source:</w:t>
      </w:r>
      <w:r w:rsidRPr="6CCEAF67">
        <w:rPr>
          <w:rFonts w:ascii="Calibri" w:hAnsi="Calibri" w:cs="Calibri"/>
        </w:rPr>
        <w:t xml:space="preserve"> AIHW </w:t>
      </w:r>
      <w:r>
        <w:rPr>
          <w:rFonts w:ascii="Calibri" w:hAnsi="Calibri" w:cs="Calibri"/>
        </w:rPr>
        <w:t xml:space="preserve">Medicare-subsidised general practice, allied </w:t>
      </w:r>
      <w:proofErr w:type="gramStart"/>
      <w:r>
        <w:rPr>
          <w:rFonts w:ascii="Calibri" w:hAnsi="Calibri" w:cs="Calibri"/>
        </w:rPr>
        <w:t>health</w:t>
      </w:r>
      <w:proofErr w:type="gramEnd"/>
      <w:r>
        <w:rPr>
          <w:rFonts w:ascii="Calibri" w:hAnsi="Calibri" w:cs="Calibri"/>
        </w:rPr>
        <w:t xml:space="preserve"> or specialist health </w:t>
      </w:r>
      <w:r w:rsidRPr="6CCEAF67">
        <w:rPr>
          <w:rFonts w:ascii="Calibri" w:hAnsi="Calibri" w:cs="Calibri"/>
        </w:rPr>
        <w:t>care across local areas</w:t>
      </w:r>
    </w:p>
    <w:p w14:paraId="65432429" w14:textId="77777777" w:rsidR="00801A81" w:rsidRDefault="00801A81" w:rsidP="00801A81"/>
    <w:p w14:paraId="5BCF2F81" w14:textId="1F26F098" w:rsidR="00801A81" w:rsidRPr="00A8212C" w:rsidRDefault="00801A81" w:rsidP="00801A81">
      <w:pPr>
        <w:rPr>
          <w:rFonts w:ascii="Calibri" w:eastAsia="Calibri" w:hAnsi="Calibri" w:cs="Calibri"/>
          <w:szCs w:val="22"/>
        </w:rPr>
      </w:pPr>
      <w:r>
        <w:rPr>
          <w:rFonts w:ascii="Calibri" w:eastAsia="Calibri" w:hAnsi="Calibri" w:cs="Calibri"/>
          <w:szCs w:val="22"/>
        </w:rPr>
        <w:t xml:space="preserve">In 2020-21, </w:t>
      </w:r>
      <w:r w:rsidRPr="6CCEAF67">
        <w:rPr>
          <w:rFonts w:ascii="Calibri" w:eastAsia="Calibri" w:hAnsi="Calibri" w:cs="Calibri"/>
          <w:szCs w:val="22"/>
        </w:rPr>
        <w:t xml:space="preserve">Medicare-subsidised </w:t>
      </w:r>
      <w:r w:rsidR="003D244C">
        <w:rPr>
          <w:rFonts w:ascii="Calibri" w:eastAsia="Calibri" w:hAnsi="Calibri" w:cs="Calibri"/>
          <w:szCs w:val="22"/>
        </w:rPr>
        <w:t>general practice</w:t>
      </w:r>
      <w:r w:rsidRPr="6CCEAF67">
        <w:rPr>
          <w:rFonts w:ascii="Calibri" w:eastAsia="Calibri" w:hAnsi="Calibri" w:cs="Calibri"/>
          <w:szCs w:val="22"/>
        </w:rPr>
        <w:t xml:space="preserve"> </w:t>
      </w:r>
      <w:r>
        <w:rPr>
          <w:rFonts w:ascii="Calibri" w:eastAsia="Calibri" w:hAnsi="Calibri" w:cs="Calibri"/>
          <w:szCs w:val="22"/>
        </w:rPr>
        <w:t>RACH</w:t>
      </w:r>
      <w:r w:rsidRPr="6CCEAF67">
        <w:rPr>
          <w:rFonts w:ascii="Calibri" w:eastAsia="Calibri" w:hAnsi="Calibri" w:cs="Calibri"/>
          <w:szCs w:val="22"/>
        </w:rPr>
        <w:t xml:space="preserve"> services were </w:t>
      </w:r>
      <w:r>
        <w:rPr>
          <w:rFonts w:ascii="Calibri" w:eastAsia="Calibri" w:hAnsi="Calibri" w:cs="Calibri"/>
          <w:szCs w:val="22"/>
        </w:rPr>
        <w:t xml:space="preserve">more </w:t>
      </w:r>
      <w:r w:rsidRPr="6CCEAF67">
        <w:rPr>
          <w:rFonts w:ascii="Calibri" w:eastAsia="Calibri" w:hAnsi="Calibri" w:cs="Calibri"/>
          <w:szCs w:val="22"/>
        </w:rPr>
        <w:t xml:space="preserve">utilised </w:t>
      </w:r>
      <w:r>
        <w:rPr>
          <w:rFonts w:ascii="Calibri" w:eastAsia="Calibri" w:hAnsi="Calibri" w:cs="Calibri"/>
          <w:szCs w:val="22"/>
        </w:rPr>
        <w:t xml:space="preserve">in </w:t>
      </w:r>
      <w:r w:rsidRPr="6CCEAF67">
        <w:rPr>
          <w:rFonts w:ascii="Calibri" w:eastAsia="Calibri" w:hAnsi="Calibri" w:cs="Calibri"/>
          <w:szCs w:val="22"/>
        </w:rPr>
        <w:t xml:space="preserve">facilities located in metropolitan areas </w:t>
      </w:r>
      <w:r>
        <w:rPr>
          <w:rFonts w:ascii="Calibri" w:eastAsia="Calibri" w:hAnsi="Calibri" w:cs="Calibri"/>
          <w:szCs w:val="22"/>
        </w:rPr>
        <w:t>(19</w:t>
      </w:r>
      <w:r w:rsidR="00260096">
        <w:rPr>
          <w:rFonts w:ascii="Calibri" w:eastAsia="Calibri" w:hAnsi="Calibri" w:cs="Calibri"/>
          <w:szCs w:val="22"/>
        </w:rPr>
        <w:t>.0</w:t>
      </w:r>
      <w:r>
        <w:rPr>
          <w:rFonts w:ascii="Calibri" w:eastAsia="Calibri" w:hAnsi="Calibri" w:cs="Calibri"/>
          <w:szCs w:val="22"/>
        </w:rPr>
        <w:t xml:space="preserve"> services per resident per year) </w:t>
      </w:r>
      <w:r w:rsidRPr="6CCEAF67">
        <w:rPr>
          <w:rFonts w:ascii="Calibri" w:eastAsia="Calibri" w:hAnsi="Calibri" w:cs="Calibri"/>
          <w:szCs w:val="22"/>
        </w:rPr>
        <w:t>than in regional areas</w:t>
      </w:r>
      <w:r>
        <w:rPr>
          <w:rFonts w:ascii="Calibri" w:eastAsia="Calibri" w:hAnsi="Calibri" w:cs="Calibri"/>
          <w:szCs w:val="22"/>
        </w:rPr>
        <w:t xml:space="preserve"> (15</w:t>
      </w:r>
      <w:r w:rsidR="00260096">
        <w:rPr>
          <w:rFonts w:ascii="Calibri" w:eastAsia="Calibri" w:hAnsi="Calibri" w:cs="Calibri"/>
          <w:szCs w:val="22"/>
        </w:rPr>
        <w:t>.8</w:t>
      </w:r>
      <w:r>
        <w:rPr>
          <w:rFonts w:ascii="Calibri" w:eastAsia="Calibri" w:hAnsi="Calibri" w:cs="Calibri"/>
          <w:szCs w:val="22"/>
        </w:rPr>
        <w:t xml:space="preserve"> services per resident per year) </w:t>
      </w:r>
      <w:r w:rsidRPr="007173BB">
        <w:rPr>
          <w:rFonts w:ascii="Calibri" w:eastAsia="Calibri" w:hAnsi="Calibri" w:cs="Calibri"/>
          <w:szCs w:val="22"/>
        </w:rPr>
        <w:t>(Figure</w:t>
      </w:r>
      <w:r w:rsidR="007173BB" w:rsidRPr="007173BB">
        <w:rPr>
          <w:rFonts w:ascii="Calibri" w:eastAsia="Calibri" w:hAnsi="Calibri" w:cs="Calibri"/>
          <w:szCs w:val="22"/>
        </w:rPr>
        <w:t xml:space="preserve"> 2</w:t>
      </w:r>
      <w:r w:rsidR="00A720D6">
        <w:rPr>
          <w:rFonts w:ascii="Calibri" w:eastAsia="Calibri" w:hAnsi="Calibri" w:cs="Calibri"/>
          <w:szCs w:val="22"/>
        </w:rPr>
        <w:t>4</w:t>
      </w:r>
      <w:r>
        <w:rPr>
          <w:rFonts w:ascii="Calibri" w:eastAsia="Calibri" w:hAnsi="Calibri" w:cs="Calibri"/>
          <w:szCs w:val="22"/>
        </w:rPr>
        <w:t>).</w:t>
      </w:r>
    </w:p>
    <w:p w14:paraId="365E564F" w14:textId="77777777" w:rsidR="00801A81" w:rsidRDefault="00801A81" w:rsidP="00801A81">
      <w:pPr>
        <w:rPr>
          <w:lang w:eastAsia="en-US"/>
        </w:rPr>
      </w:pPr>
    </w:p>
    <w:p w14:paraId="5C21E47F" w14:textId="01115305" w:rsidR="00801A81" w:rsidRDefault="00801A81" w:rsidP="00801A81">
      <w:pPr>
        <w:pStyle w:val="Caption"/>
        <w:keepNext/>
      </w:pPr>
      <w:r>
        <w:t>Figure</w:t>
      </w:r>
      <w:r w:rsidR="005A104A">
        <w:t xml:space="preserve"> 2</w:t>
      </w:r>
      <w:r w:rsidR="00A720D6">
        <w:t>4</w:t>
      </w:r>
      <w:r>
        <w:t xml:space="preserve">: </w:t>
      </w:r>
      <w:r w:rsidR="005B6DF3">
        <w:t xml:space="preserve">General Practice services provided per resident in Residential Ages Care Homes (RACHs) </w:t>
      </w:r>
      <w:r>
        <w:t>by remoteness</w:t>
      </w:r>
    </w:p>
    <w:p w14:paraId="1B47C723" w14:textId="77777777" w:rsidR="00801A81" w:rsidRDefault="00801A81" w:rsidP="00801A81">
      <w:pPr>
        <w:pStyle w:val="Caption"/>
      </w:pPr>
      <w:r>
        <w:rPr>
          <w:noProof/>
        </w:rPr>
        <w:drawing>
          <wp:inline distT="0" distB="0" distL="0" distR="0" wp14:anchorId="21504FB9" wp14:editId="542D1941">
            <wp:extent cx="4511675" cy="2353310"/>
            <wp:effectExtent l="0" t="0" r="3175" b="8890"/>
            <wp:docPr id="1" name="Picture 1" descr="Bar chart showing the total number of GP services provided per resident in residential aged care homes by remoteness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hart showing the total number of GP services provided per resident in residential aged care homes by remoteness over 2018-19, 2019-20 and 2020-21 reporting period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2BAF4BE1" w14:textId="3A48DFC0" w:rsidR="00801A81" w:rsidRDefault="00801A81" w:rsidP="00801A81">
      <w:pPr>
        <w:pStyle w:val="Caption"/>
        <w:rPr>
          <w:rFonts w:ascii="Calibri" w:hAnsi="Calibri" w:cs="Calibri"/>
        </w:rPr>
      </w:pPr>
      <w:r>
        <w:t>Source:</w:t>
      </w:r>
      <w:r w:rsidRPr="6CCEAF67">
        <w:rPr>
          <w:rFonts w:ascii="Calibri" w:hAnsi="Calibri" w:cs="Calibri"/>
        </w:rPr>
        <w:t xml:space="preserve"> AIHW </w:t>
      </w:r>
      <w:r>
        <w:rPr>
          <w:rFonts w:ascii="Calibri" w:hAnsi="Calibri" w:cs="Calibri"/>
        </w:rPr>
        <w:t xml:space="preserve">Medicare-subsidised </w:t>
      </w:r>
      <w:r w:rsidR="00006499">
        <w:rPr>
          <w:rFonts w:ascii="Calibri" w:hAnsi="Calibri" w:cs="Calibri"/>
        </w:rPr>
        <w:t>general practice</w:t>
      </w:r>
      <w:r>
        <w:rPr>
          <w:rFonts w:ascii="Calibri" w:hAnsi="Calibri" w:cs="Calibri"/>
        </w:rPr>
        <w:t xml:space="preserve">, allied </w:t>
      </w:r>
      <w:proofErr w:type="gramStart"/>
      <w:r>
        <w:rPr>
          <w:rFonts w:ascii="Calibri" w:hAnsi="Calibri" w:cs="Calibri"/>
        </w:rPr>
        <w:t>health</w:t>
      </w:r>
      <w:proofErr w:type="gramEnd"/>
      <w:r>
        <w:rPr>
          <w:rFonts w:ascii="Calibri" w:hAnsi="Calibri" w:cs="Calibri"/>
        </w:rPr>
        <w:t xml:space="preserve"> or specialist health </w:t>
      </w:r>
      <w:r w:rsidRPr="6CCEAF67">
        <w:rPr>
          <w:rFonts w:ascii="Calibri" w:hAnsi="Calibri" w:cs="Calibri"/>
        </w:rPr>
        <w:t>care across local areas</w:t>
      </w:r>
    </w:p>
    <w:p w14:paraId="0D10D7EB" w14:textId="7B7DE5F6" w:rsidR="00801A81" w:rsidRDefault="002A7020" w:rsidP="00801A81">
      <w:pPr>
        <w:rPr>
          <w:rFonts w:ascii="Calibri" w:eastAsia="Calibri" w:hAnsi="Calibri" w:cs="Calibri"/>
        </w:rPr>
      </w:pPr>
      <w:r>
        <w:rPr>
          <w:rFonts w:ascii="Calibri" w:eastAsia="Calibri" w:hAnsi="Calibri" w:cs="Calibri"/>
        </w:rPr>
        <w:br/>
      </w:r>
      <w:r w:rsidR="00801A81" w:rsidRPr="00093828">
        <w:rPr>
          <w:rFonts w:ascii="Calibri" w:eastAsia="Calibri" w:hAnsi="Calibri" w:cs="Calibri"/>
        </w:rPr>
        <w:t xml:space="preserve">The second indicator is the proportion of the older population (people aged 65 years and over) who have a recorded Health Assessment from a Medicare-subsidised </w:t>
      </w:r>
      <w:r w:rsidR="00006499">
        <w:rPr>
          <w:rFonts w:ascii="Calibri" w:eastAsia="Calibri" w:hAnsi="Calibri" w:cs="Calibri"/>
        </w:rPr>
        <w:t>general practice</w:t>
      </w:r>
      <w:r w:rsidR="00801A81" w:rsidRPr="00093828">
        <w:rPr>
          <w:rFonts w:ascii="Calibri" w:eastAsia="Calibri" w:hAnsi="Calibri" w:cs="Calibri"/>
        </w:rPr>
        <w:t xml:space="preserve">, allied </w:t>
      </w:r>
      <w:proofErr w:type="gramStart"/>
      <w:r w:rsidR="00801A81" w:rsidRPr="00093828">
        <w:rPr>
          <w:rFonts w:ascii="Calibri" w:eastAsia="Calibri" w:hAnsi="Calibri" w:cs="Calibri"/>
        </w:rPr>
        <w:t>health</w:t>
      </w:r>
      <w:proofErr w:type="gramEnd"/>
      <w:r w:rsidR="00801A81" w:rsidRPr="00093828">
        <w:rPr>
          <w:rFonts w:ascii="Calibri" w:eastAsia="Calibri" w:hAnsi="Calibri" w:cs="Calibri"/>
        </w:rPr>
        <w:t xml:space="preserve"> </w:t>
      </w:r>
      <w:r w:rsidR="00801A81">
        <w:rPr>
          <w:rFonts w:ascii="Calibri" w:eastAsia="Calibri" w:hAnsi="Calibri" w:cs="Calibri"/>
        </w:rPr>
        <w:t>or</w:t>
      </w:r>
      <w:r w:rsidR="00801A81" w:rsidRPr="00093828">
        <w:rPr>
          <w:rFonts w:ascii="Calibri" w:eastAsia="Calibri" w:hAnsi="Calibri" w:cs="Calibri"/>
        </w:rPr>
        <w:t xml:space="preserve"> specialist health care service.</w:t>
      </w:r>
      <w:r w:rsidR="00801A81">
        <w:rPr>
          <w:rFonts w:ascii="Calibri" w:eastAsia="Calibri" w:hAnsi="Calibri" w:cs="Calibri"/>
        </w:rPr>
        <w:t xml:space="preserve"> This has </w:t>
      </w:r>
      <w:r w:rsidR="001020BB">
        <w:rPr>
          <w:rFonts w:ascii="Calibri" w:eastAsia="Calibri" w:hAnsi="Calibri" w:cs="Calibri"/>
        </w:rPr>
        <w:t xml:space="preserve">slightly </w:t>
      </w:r>
      <w:r w:rsidR="00801A81">
        <w:rPr>
          <w:rFonts w:ascii="Calibri" w:eastAsia="Calibri" w:hAnsi="Calibri" w:cs="Calibri"/>
        </w:rPr>
        <w:t>declined to 15.3 per cent in 2020-21 from 15.6 per cent in 2019-20 and 15.8 per cent in 201</w:t>
      </w:r>
      <w:r w:rsidR="009429F6">
        <w:rPr>
          <w:rFonts w:ascii="Calibri" w:eastAsia="Calibri" w:hAnsi="Calibri" w:cs="Calibri"/>
        </w:rPr>
        <w:t>8</w:t>
      </w:r>
      <w:r w:rsidR="00801A81">
        <w:rPr>
          <w:rFonts w:ascii="Calibri" w:eastAsia="Calibri" w:hAnsi="Calibri" w:cs="Calibri"/>
        </w:rPr>
        <w:t xml:space="preserve">-19. </w:t>
      </w:r>
      <w:r w:rsidR="00801A81" w:rsidRPr="00AB22F4">
        <w:rPr>
          <w:rFonts w:ascii="Calibri" w:eastAsia="Calibri" w:hAnsi="Calibri" w:cs="Calibri"/>
        </w:rPr>
        <w:t xml:space="preserve">(Figure </w:t>
      </w:r>
      <w:r w:rsidR="00AB22F4" w:rsidRPr="00AB22F4">
        <w:rPr>
          <w:rFonts w:ascii="Calibri" w:eastAsia="Calibri" w:hAnsi="Calibri" w:cs="Calibri"/>
        </w:rPr>
        <w:t>2</w:t>
      </w:r>
      <w:r w:rsidR="00A720D6">
        <w:rPr>
          <w:rFonts w:ascii="Calibri" w:eastAsia="Calibri" w:hAnsi="Calibri" w:cs="Calibri"/>
        </w:rPr>
        <w:t>5</w:t>
      </w:r>
      <w:r w:rsidR="00801A81">
        <w:rPr>
          <w:rFonts w:ascii="Calibri" w:eastAsia="Calibri" w:hAnsi="Calibri" w:cs="Calibri"/>
        </w:rPr>
        <w:t>).</w:t>
      </w:r>
    </w:p>
    <w:p w14:paraId="5A381D5F" w14:textId="77777777" w:rsidR="00801A81" w:rsidRDefault="00801A81" w:rsidP="00801A81">
      <w:pPr>
        <w:rPr>
          <w:rFonts w:ascii="Calibri" w:eastAsia="Calibri" w:hAnsi="Calibri" w:cs="Calibri"/>
        </w:rPr>
      </w:pPr>
    </w:p>
    <w:p w14:paraId="35CBBEE6" w14:textId="22F6DB58" w:rsidR="00801A81" w:rsidRPr="00A93261" w:rsidRDefault="00801A81" w:rsidP="00801A81">
      <w:pPr>
        <w:pStyle w:val="Caption"/>
        <w:keepNext/>
      </w:pPr>
      <w:r>
        <w:lastRenderedPageBreak/>
        <w:t>Figure</w:t>
      </w:r>
      <w:r w:rsidR="005A104A">
        <w:t xml:space="preserve"> 2</w:t>
      </w:r>
      <w:r w:rsidR="00A720D6">
        <w:t>5</w:t>
      </w:r>
      <w:r>
        <w:t xml:space="preserve">: </w:t>
      </w:r>
      <w:r w:rsidR="005B6DF3">
        <w:rPr>
          <w:rFonts w:ascii="Calibri" w:eastAsia="Calibri" w:hAnsi="Calibri" w:cs="Calibri"/>
        </w:rPr>
        <w:t>P</w:t>
      </w:r>
      <w:r w:rsidR="005B6DF3" w:rsidRPr="00093828">
        <w:rPr>
          <w:rFonts w:ascii="Calibri" w:eastAsia="Calibri" w:hAnsi="Calibri" w:cs="Calibri"/>
        </w:rPr>
        <w:t xml:space="preserve">roportion of people aged 65 years and over who have a recorded Health Assessment from a Medicare-subsidised </w:t>
      </w:r>
      <w:r w:rsidR="005B6DF3">
        <w:rPr>
          <w:rFonts w:ascii="Calibri" w:eastAsia="Calibri" w:hAnsi="Calibri" w:cs="Calibri"/>
        </w:rPr>
        <w:t>general practice</w:t>
      </w:r>
      <w:r w:rsidR="005B6DF3" w:rsidRPr="00093828">
        <w:rPr>
          <w:rFonts w:ascii="Calibri" w:eastAsia="Calibri" w:hAnsi="Calibri" w:cs="Calibri"/>
        </w:rPr>
        <w:t xml:space="preserve">, allied </w:t>
      </w:r>
      <w:proofErr w:type="gramStart"/>
      <w:r w:rsidR="005B6DF3" w:rsidRPr="00093828">
        <w:rPr>
          <w:rFonts w:ascii="Calibri" w:eastAsia="Calibri" w:hAnsi="Calibri" w:cs="Calibri"/>
        </w:rPr>
        <w:t>health</w:t>
      </w:r>
      <w:proofErr w:type="gramEnd"/>
      <w:r w:rsidR="005B6DF3" w:rsidRPr="00093828">
        <w:rPr>
          <w:rFonts w:ascii="Calibri" w:eastAsia="Calibri" w:hAnsi="Calibri" w:cs="Calibri"/>
        </w:rPr>
        <w:t xml:space="preserve"> </w:t>
      </w:r>
      <w:r w:rsidR="005B6DF3">
        <w:rPr>
          <w:rFonts w:ascii="Calibri" w:eastAsia="Calibri" w:hAnsi="Calibri" w:cs="Calibri"/>
        </w:rPr>
        <w:t>or</w:t>
      </w:r>
      <w:r w:rsidR="005B6DF3" w:rsidRPr="00093828">
        <w:rPr>
          <w:rFonts w:ascii="Calibri" w:eastAsia="Calibri" w:hAnsi="Calibri" w:cs="Calibri"/>
        </w:rPr>
        <w:t xml:space="preserve"> specialist health care service</w:t>
      </w:r>
    </w:p>
    <w:p w14:paraId="674C4081" w14:textId="6AEBD84E" w:rsidR="00801A81" w:rsidRDefault="009429F6" w:rsidP="00801A81">
      <w:r>
        <w:rPr>
          <w:noProof/>
        </w:rPr>
        <w:drawing>
          <wp:inline distT="0" distB="0" distL="0" distR="0" wp14:anchorId="5D0E2226" wp14:editId="0376CA46">
            <wp:extent cx="4511675" cy="2353310"/>
            <wp:effectExtent l="0" t="0" r="3175" b="8890"/>
            <wp:docPr id="35" name="Picture 35" descr="Bar chart showing the proportion of people aged 65 years and over who have a recorded Health Assessment from Medicare-subsidised general practice, allied health or specialist health care service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ar chart showing the proportion of people aged 65 years and over who have a recorded Health Assessment from Medicare-subsidised general practice, allied health or specialist health care service over 2018-19, 2019-20 and 2020-21 reporting period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221E7191" w14:textId="26954953" w:rsidR="00796604" w:rsidRDefault="00796604" w:rsidP="00796604">
      <w:pPr>
        <w:pStyle w:val="Caption"/>
        <w:rPr>
          <w:rFonts w:ascii="Calibri" w:hAnsi="Calibri" w:cs="Calibri"/>
        </w:rPr>
      </w:pPr>
      <w:r>
        <w:t>Source:</w:t>
      </w:r>
      <w:r w:rsidRPr="6CCEAF67">
        <w:rPr>
          <w:rFonts w:ascii="Calibri" w:hAnsi="Calibri" w:cs="Calibri"/>
        </w:rPr>
        <w:t xml:space="preserve"> AIHW </w:t>
      </w:r>
      <w:r>
        <w:rPr>
          <w:rFonts w:ascii="Calibri" w:hAnsi="Calibri" w:cs="Calibri"/>
        </w:rPr>
        <w:t xml:space="preserve">Medicare-subsidised </w:t>
      </w:r>
      <w:r>
        <w:t>General Practice</w:t>
      </w:r>
      <w:r>
        <w:rPr>
          <w:rFonts w:ascii="Calibri" w:hAnsi="Calibri" w:cs="Calibri"/>
        </w:rPr>
        <w:t xml:space="preserve">, allied </w:t>
      </w:r>
      <w:proofErr w:type="gramStart"/>
      <w:r>
        <w:rPr>
          <w:rFonts w:ascii="Calibri" w:hAnsi="Calibri" w:cs="Calibri"/>
        </w:rPr>
        <w:t>health</w:t>
      </w:r>
      <w:proofErr w:type="gramEnd"/>
      <w:r>
        <w:rPr>
          <w:rFonts w:ascii="Calibri" w:hAnsi="Calibri" w:cs="Calibri"/>
        </w:rPr>
        <w:t xml:space="preserve"> or specialist health</w:t>
      </w:r>
      <w:r w:rsidRPr="6CCEAF67">
        <w:rPr>
          <w:rFonts w:ascii="Calibri" w:hAnsi="Calibri" w:cs="Calibri"/>
        </w:rPr>
        <w:t xml:space="preserve"> care across local areas</w:t>
      </w:r>
    </w:p>
    <w:p w14:paraId="769A8CF4" w14:textId="77777777" w:rsidR="00796604" w:rsidRDefault="00796604" w:rsidP="00801A81"/>
    <w:p w14:paraId="73538DB8" w14:textId="6866FB28" w:rsidR="00801A81" w:rsidRDefault="00801A81" w:rsidP="00801A81">
      <w:pPr>
        <w:rPr>
          <w:rFonts w:ascii="Calibri" w:eastAsia="Calibri" w:hAnsi="Calibri" w:cs="Calibri"/>
          <w:szCs w:val="22"/>
        </w:rPr>
      </w:pPr>
      <w:r w:rsidRPr="00AB22F4">
        <w:rPr>
          <w:rFonts w:ascii="Calibri" w:eastAsia="Calibri" w:hAnsi="Calibri" w:cs="Calibri"/>
          <w:szCs w:val="22"/>
        </w:rPr>
        <w:t xml:space="preserve">Older populations in regional areas had proportionally more health assessments (16.8 per cent in 2020-21) than those in metropolitan areas (14.2 per cent in 2020-21) (Figure </w:t>
      </w:r>
      <w:r w:rsidR="00AB22F4" w:rsidRPr="00AB22F4">
        <w:rPr>
          <w:rFonts w:ascii="Calibri" w:eastAsia="Calibri" w:hAnsi="Calibri" w:cs="Calibri"/>
          <w:szCs w:val="22"/>
        </w:rPr>
        <w:t>2</w:t>
      </w:r>
      <w:r w:rsidR="00A720D6">
        <w:rPr>
          <w:rFonts w:ascii="Calibri" w:eastAsia="Calibri" w:hAnsi="Calibri" w:cs="Calibri"/>
          <w:szCs w:val="22"/>
        </w:rPr>
        <w:t>6</w:t>
      </w:r>
      <w:r w:rsidRPr="00AB22F4">
        <w:rPr>
          <w:rFonts w:ascii="Calibri" w:eastAsia="Calibri" w:hAnsi="Calibri" w:cs="Calibri"/>
          <w:szCs w:val="22"/>
        </w:rPr>
        <w:t>)</w:t>
      </w:r>
      <w:r>
        <w:rPr>
          <w:rFonts w:ascii="Calibri" w:eastAsia="Calibri" w:hAnsi="Calibri" w:cs="Calibri"/>
          <w:szCs w:val="22"/>
        </w:rPr>
        <w:t>.</w:t>
      </w:r>
    </w:p>
    <w:p w14:paraId="6770CB85" w14:textId="77777777" w:rsidR="00801A81" w:rsidRDefault="00801A81" w:rsidP="00801A81">
      <w:pPr>
        <w:rPr>
          <w:rFonts w:ascii="Calibri" w:eastAsia="Calibri" w:hAnsi="Calibri" w:cs="Calibri"/>
          <w:szCs w:val="22"/>
        </w:rPr>
      </w:pPr>
    </w:p>
    <w:p w14:paraId="6D3C9AEF" w14:textId="034D0C41" w:rsidR="00801A81" w:rsidRDefault="00801A81" w:rsidP="00801A81">
      <w:pPr>
        <w:pStyle w:val="Caption"/>
        <w:keepNext/>
      </w:pPr>
      <w:r>
        <w:t>Figure</w:t>
      </w:r>
      <w:r w:rsidR="005A104A">
        <w:t xml:space="preserve"> 2</w:t>
      </w:r>
      <w:r w:rsidR="00A720D6">
        <w:t>6</w:t>
      </w:r>
      <w:r>
        <w:t xml:space="preserve">: </w:t>
      </w:r>
      <w:r w:rsidR="005B6DF3">
        <w:rPr>
          <w:rFonts w:ascii="Calibri" w:eastAsia="Calibri" w:hAnsi="Calibri" w:cs="Calibri"/>
        </w:rPr>
        <w:t>P</w:t>
      </w:r>
      <w:r w:rsidR="005B6DF3" w:rsidRPr="00093828">
        <w:rPr>
          <w:rFonts w:ascii="Calibri" w:eastAsia="Calibri" w:hAnsi="Calibri" w:cs="Calibri"/>
        </w:rPr>
        <w:t xml:space="preserve">roportion of people aged 65 years and over who have a recorded Health Assessment from a Medicare-subsidised </w:t>
      </w:r>
      <w:r w:rsidR="005B6DF3">
        <w:rPr>
          <w:rFonts w:ascii="Calibri" w:eastAsia="Calibri" w:hAnsi="Calibri" w:cs="Calibri"/>
        </w:rPr>
        <w:t>general practice</w:t>
      </w:r>
      <w:r w:rsidR="005B6DF3" w:rsidRPr="00093828">
        <w:rPr>
          <w:rFonts w:ascii="Calibri" w:eastAsia="Calibri" w:hAnsi="Calibri" w:cs="Calibri"/>
        </w:rPr>
        <w:t xml:space="preserve">, allied </w:t>
      </w:r>
      <w:proofErr w:type="gramStart"/>
      <w:r w:rsidR="005B6DF3" w:rsidRPr="00093828">
        <w:rPr>
          <w:rFonts w:ascii="Calibri" w:eastAsia="Calibri" w:hAnsi="Calibri" w:cs="Calibri"/>
        </w:rPr>
        <w:t>health</w:t>
      </w:r>
      <w:proofErr w:type="gramEnd"/>
      <w:r w:rsidR="005B6DF3" w:rsidRPr="00093828">
        <w:rPr>
          <w:rFonts w:ascii="Calibri" w:eastAsia="Calibri" w:hAnsi="Calibri" w:cs="Calibri"/>
        </w:rPr>
        <w:t xml:space="preserve"> </w:t>
      </w:r>
      <w:r w:rsidR="005B6DF3">
        <w:rPr>
          <w:rFonts w:ascii="Calibri" w:eastAsia="Calibri" w:hAnsi="Calibri" w:cs="Calibri"/>
        </w:rPr>
        <w:t>or</w:t>
      </w:r>
      <w:r w:rsidR="005B6DF3" w:rsidRPr="00093828">
        <w:rPr>
          <w:rFonts w:ascii="Calibri" w:eastAsia="Calibri" w:hAnsi="Calibri" w:cs="Calibri"/>
        </w:rPr>
        <w:t xml:space="preserve"> specialist health care service</w:t>
      </w:r>
      <w:r w:rsidR="005B6DF3">
        <w:t xml:space="preserve"> </w:t>
      </w:r>
      <w:r>
        <w:t>by remoteness</w:t>
      </w:r>
    </w:p>
    <w:p w14:paraId="4910B910" w14:textId="77777777" w:rsidR="00801A81" w:rsidRDefault="00801A81" w:rsidP="00801A81">
      <w:pPr>
        <w:pStyle w:val="Caption"/>
      </w:pPr>
      <w:r>
        <w:rPr>
          <w:noProof/>
          <w:color w:val="2B579A"/>
          <w:shd w:val="clear" w:color="auto" w:fill="E6E6E6"/>
        </w:rPr>
        <w:drawing>
          <wp:inline distT="0" distB="0" distL="0" distR="0" wp14:anchorId="5C958A5D" wp14:editId="4F3D9774">
            <wp:extent cx="4511675" cy="2353310"/>
            <wp:effectExtent l="0" t="0" r="3175" b="8890"/>
            <wp:docPr id="1401426688" name="Picture 1401426688" descr="Bar chart showing the proportion of people aged 65 years and over who have a recorded Health Assessment from Medicare-subsidised general practice, allied health or specialist health care service by remoteness over 2018-19, 2019-20 and 2020-21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26688" name="Picture 1401426688" descr="Bar chart showing the proportion of people aged 65 years and over who have a recorded Health Assessment from Medicare-subsidised general practice, allied health or specialist health care service by remoteness over 2018-19, 2019-20 and 2020-21 reporting periods."/>
                    <pic:cNvPicPr/>
                  </pic:nvPicPr>
                  <pic:blipFill>
                    <a:blip r:embed="rId40">
                      <a:extLst>
                        <a:ext uri="{28A0092B-C50C-407E-A947-70E740481C1C}">
                          <a14:useLocalDpi xmlns:a14="http://schemas.microsoft.com/office/drawing/2010/main" val="0"/>
                        </a:ext>
                      </a:extLst>
                    </a:blip>
                    <a:stretch>
                      <a:fillRect/>
                    </a:stretch>
                  </pic:blipFill>
                  <pic:spPr bwMode="auto">
                    <a:xfrm>
                      <a:off x="0" y="0"/>
                      <a:ext cx="4511675" cy="2353310"/>
                    </a:xfrm>
                    <a:prstGeom prst="rect">
                      <a:avLst/>
                    </a:prstGeom>
                    <a:noFill/>
                  </pic:spPr>
                </pic:pic>
              </a:graphicData>
            </a:graphic>
          </wp:inline>
        </w:drawing>
      </w:r>
    </w:p>
    <w:p w14:paraId="21986691" w14:textId="482AAC60" w:rsidR="00801A81" w:rsidRDefault="00801A81" w:rsidP="00801A81">
      <w:pPr>
        <w:pStyle w:val="Caption"/>
        <w:rPr>
          <w:rFonts w:ascii="Calibri" w:hAnsi="Calibri" w:cs="Calibri"/>
        </w:rPr>
      </w:pPr>
      <w:r>
        <w:t>Source:</w:t>
      </w:r>
      <w:r w:rsidRPr="6CCEAF67">
        <w:rPr>
          <w:rFonts w:ascii="Calibri" w:hAnsi="Calibri" w:cs="Calibri"/>
        </w:rPr>
        <w:t xml:space="preserve"> AIHW </w:t>
      </w:r>
      <w:r>
        <w:rPr>
          <w:rFonts w:ascii="Calibri" w:hAnsi="Calibri" w:cs="Calibri"/>
        </w:rPr>
        <w:t xml:space="preserve">Medicare-subsidised </w:t>
      </w:r>
      <w:r w:rsidR="000D6C5A">
        <w:t>General Practice</w:t>
      </w:r>
      <w:r>
        <w:rPr>
          <w:rFonts w:ascii="Calibri" w:hAnsi="Calibri" w:cs="Calibri"/>
        </w:rPr>
        <w:t xml:space="preserve">, allied </w:t>
      </w:r>
      <w:proofErr w:type="gramStart"/>
      <w:r>
        <w:rPr>
          <w:rFonts w:ascii="Calibri" w:hAnsi="Calibri" w:cs="Calibri"/>
        </w:rPr>
        <w:t>health</w:t>
      </w:r>
      <w:proofErr w:type="gramEnd"/>
      <w:r>
        <w:rPr>
          <w:rFonts w:ascii="Calibri" w:hAnsi="Calibri" w:cs="Calibri"/>
        </w:rPr>
        <w:t xml:space="preserve"> or specialist health </w:t>
      </w:r>
      <w:r w:rsidRPr="6CCEAF67">
        <w:rPr>
          <w:rFonts w:ascii="Calibri" w:hAnsi="Calibri" w:cs="Calibri"/>
        </w:rPr>
        <w:t>care across local areas</w:t>
      </w:r>
    </w:p>
    <w:p w14:paraId="594A1E1F" w14:textId="109EDA82" w:rsidR="004B28EC" w:rsidRPr="004B28EC" w:rsidRDefault="00C5575E" w:rsidP="004B28EC">
      <w:pPr>
        <w:rPr>
          <w:rFonts w:ascii="Calibri" w:eastAsia="Calibri" w:hAnsi="Calibri" w:cs="Calibri"/>
          <w:i/>
          <w:iCs/>
          <w:szCs w:val="22"/>
        </w:rPr>
      </w:pPr>
      <w:r>
        <w:rPr>
          <w:rFonts w:ascii="Calibri" w:eastAsia="Calibri" w:hAnsi="Calibri" w:cs="Calibri"/>
          <w:i/>
          <w:iCs/>
          <w:szCs w:val="22"/>
        </w:rPr>
        <w:br/>
      </w:r>
      <w:bookmarkStart w:id="44" w:name="_Hlk129183844"/>
      <w:bookmarkEnd w:id="44"/>
    </w:p>
    <w:p w14:paraId="7B410C0F" w14:textId="77777777" w:rsidR="00FE3E4B" w:rsidRDefault="00FE3E4B">
      <w:pPr>
        <w:spacing w:after="160" w:line="259" w:lineRule="auto"/>
        <w:rPr>
          <w:rFonts w:ascii="Calibri" w:hAnsi="Calibri" w:cs="Calibri"/>
          <w:b/>
          <w:bCs/>
          <w:color w:val="FFFFFF" w:themeColor="background1"/>
          <w:sz w:val="28"/>
          <w:szCs w:val="28"/>
          <w:lang w:eastAsia="en-US"/>
        </w:rPr>
      </w:pPr>
      <w:r>
        <w:br w:type="page"/>
      </w:r>
    </w:p>
    <w:p w14:paraId="67B4317F" w14:textId="1504FBEA" w:rsidR="00046EB2" w:rsidRDefault="00046EB2" w:rsidP="00582BAC">
      <w:pPr>
        <w:pStyle w:val="Heading1"/>
      </w:pPr>
      <w:bookmarkStart w:id="45" w:name="_Toc136505538"/>
      <w:r>
        <w:lastRenderedPageBreak/>
        <w:t>Mental Health</w:t>
      </w:r>
      <w:bookmarkEnd w:id="45"/>
    </w:p>
    <w:p w14:paraId="090AFA5B" w14:textId="7D806457" w:rsidR="006353A0" w:rsidRDefault="006353A0" w:rsidP="0043565B">
      <w:pPr>
        <w:rPr>
          <w:rFonts w:ascii="Calibri" w:eastAsia="Calibri" w:hAnsi="Calibri" w:cs="Calibri"/>
          <w:szCs w:val="22"/>
        </w:rPr>
      </w:pPr>
      <w:r>
        <w:rPr>
          <w:rFonts w:ascii="Calibri" w:hAnsi="Calibri" w:cs="Calibri"/>
        </w:rPr>
        <w:t>During 2020-21, PHNs were an essential component of the Australian Government’s emergency response capability, including being fast and adaptable in the delivery of services.</w:t>
      </w:r>
      <w:r>
        <w:rPr>
          <w:rFonts w:ascii="Calibri" w:eastAsia="Calibri" w:hAnsi="Calibri" w:cs="Calibri"/>
        </w:rPr>
        <w:t xml:space="preserve"> </w:t>
      </w:r>
      <w:r>
        <w:rPr>
          <w:rFonts w:ascii="Calibri" w:hAnsi="Calibri" w:cs="Calibri"/>
        </w:rPr>
        <w:t xml:space="preserve">PHNs were a valuable source of real-time, </w:t>
      </w:r>
      <w:proofErr w:type="gramStart"/>
      <w:r>
        <w:rPr>
          <w:rFonts w:ascii="Calibri" w:hAnsi="Calibri" w:cs="Calibri"/>
        </w:rPr>
        <w:t>factual information</w:t>
      </w:r>
      <w:proofErr w:type="gramEnd"/>
      <w:r>
        <w:rPr>
          <w:rFonts w:ascii="Calibri" w:hAnsi="Calibri" w:cs="Calibri"/>
        </w:rPr>
        <w:t xml:space="preserve"> about conditions on the ground during the COVID-19 pandemic, especially the impact on primary and mental health service delivery.</w:t>
      </w:r>
    </w:p>
    <w:p w14:paraId="29AF41EB" w14:textId="77777777" w:rsidR="006353A0" w:rsidRDefault="006353A0" w:rsidP="0043565B">
      <w:pPr>
        <w:rPr>
          <w:rFonts w:ascii="Calibri" w:eastAsia="Calibri" w:hAnsi="Calibri" w:cs="Calibri"/>
          <w:szCs w:val="22"/>
        </w:rPr>
      </w:pPr>
    </w:p>
    <w:p w14:paraId="16DF079F" w14:textId="10766938" w:rsidR="00A27377" w:rsidRPr="006353A0" w:rsidRDefault="00007F3E" w:rsidP="0043565B">
      <w:pPr>
        <w:rPr>
          <w:rFonts w:ascii="Calibri" w:eastAsia="Calibri" w:hAnsi="Calibri" w:cs="Calibri"/>
          <w:szCs w:val="22"/>
        </w:rPr>
      </w:pPr>
      <w:r>
        <w:t>In 2020-21 no PHN met the criteria for all six mental health performance indicators in the Primary Health Network Performance and Quality Framework</w:t>
      </w:r>
      <w:r>
        <w:rPr>
          <w:rStyle w:val="FootnoteReference"/>
        </w:rPr>
        <w:footnoteReference w:id="4"/>
      </w:r>
      <w:r>
        <w:t xml:space="preserve">. </w:t>
      </w:r>
      <w:r>
        <w:rPr>
          <w:rFonts w:ascii="Calibri" w:eastAsia="Calibri" w:hAnsi="Calibri" w:cs="Calibri"/>
        </w:rPr>
        <w:t xml:space="preserve">However, </w:t>
      </w:r>
      <w:r>
        <w:t xml:space="preserve">almost all PHNs had improved their performance in at least one indicator in comparison to last year </w:t>
      </w:r>
      <w:r w:rsidR="00405242" w:rsidRPr="00CA73D9">
        <w:rPr>
          <w:rFonts w:ascii="Calibri" w:hAnsi="Calibri" w:cs="Calibri"/>
          <w:color w:val="000000"/>
        </w:rPr>
        <w:t xml:space="preserve">(Figure </w:t>
      </w:r>
      <w:r w:rsidR="00AB22F4">
        <w:rPr>
          <w:rFonts w:ascii="Calibri" w:hAnsi="Calibri" w:cs="Calibri"/>
          <w:color w:val="000000"/>
        </w:rPr>
        <w:t>2</w:t>
      </w:r>
      <w:r w:rsidR="00A720D6">
        <w:rPr>
          <w:rFonts w:ascii="Calibri" w:hAnsi="Calibri" w:cs="Calibri"/>
          <w:color w:val="000000"/>
        </w:rPr>
        <w:t>7</w:t>
      </w:r>
      <w:r w:rsidR="00405242" w:rsidRPr="00CA73D9">
        <w:rPr>
          <w:rFonts w:ascii="Calibri" w:hAnsi="Calibri" w:cs="Calibri"/>
          <w:color w:val="000000"/>
        </w:rPr>
        <w:t>).</w:t>
      </w:r>
      <w:r w:rsidR="00AE4D11" w:rsidRPr="00CA73D9">
        <w:rPr>
          <w:rFonts w:ascii="Calibri" w:hAnsi="Calibri" w:cs="Calibri"/>
          <w:color w:val="000000"/>
        </w:rPr>
        <w:t xml:space="preserve"> </w:t>
      </w:r>
      <w:r w:rsidR="00AE4D11" w:rsidRPr="00CA73D9">
        <w:rPr>
          <w:lang w:eastAsia="en-US"/>
        </w:rPr>
        <w:t xml:space="preserve">This average increase was reflected across metropolitan PHNs </w:t>
      </w:r>
      <w:r w:rsidR="00A720D6" w:rsidRPr="00CA73D9">
        <w:rPr>
          <w:lang w:eastAsia="en-US"/>
        </w:rPr>
        <w:t xml:space="preserve">(Figure </w:t>
      </w:r>
      <w:r w:rsidR="00A720D6">
        <w:rPr>
          <w:lang w:eastAsia="en-US"/>
        </w:rPr>
        <w:t>28</w:t>
      </w:r>
      <w:r w:rsidR="00A720D6" w:rsidRPr="00CA73D9">
        <w:rPr>
          <w:lang w:eastAsia="en-US"/>
        </w:rPr>
        <w:t>)</w:t>
      </w:r>
      <w:r w:rsidR="00A720D6">
        <w:rPr>
          <w:lang w:eastAsia="en-US"/>
        </w:rPr>
        <w:t xml:space="preserve"> </w:t>
      </w:r>
      <w:r w:rsidR="00AE4D11" w:rsidRPr="00CA73D9">
        <w:rPr>
          <w:lang w:eastAsia="en-US"/>
        </w:rPr>
        <w:t>and in all but the most socio-economically disadvantaged PHN regions.</w:t>
      </w:r>
      <w:r w:rsidR="0043565B">
        <w:rPr>
          <w:highlight w:val="green"/>
          <w:lang w:eastAsia="en-US"/>
        </w:rPr>
        <w:br/>
      </w:r>
    </w:p>
    <w:p w14:paraId="6094E2F9" w14:textId="77777777" w:rsidR="00FE3E4B" w:rsidRPr="00416917" w:rsidRDefault="00FE3E4B" w:rsidP="00FE3E4B">
      <w:pPr>
        <w:pStyle w:val="ListParagraph"/>
        <w:numPr>
          <w:ilvl w:val="0"/>
          <w:numId w:val="9"/>
        </w:numPr>
      </w:pPr>
      <w:bookmarkStart w:id="46" w:name="_Hlk135644728"/>
      <w:r>
        <w:t xml:space="preserve">55 </w:t>
      </w:r>
      <w:r w:rsidRPr="00416917">
        <w:t xml:space="preserve">per cent of PHNs </w:t>
      </w:r>
      <w:r w:rsidRPr="00B67850">
        <w:rPr>
          <w:color w:val="000000" w:themeColor="text1"/>
        </w:rPr>
        <w:t xml:space="preserve">met the growth target for an increase in </w:t>
      </w:r>
      <w:r w:rsidRPr="00416917">
        <w:t>the number of people accessing PHN-commissioned low intensity psychological interventions</w:t>
      </w:r>
      <w:r>
        <w:t xml:space="preserve"> </w:t>
      </w:r>
      <w:r w:rsidRPr="00B67850">
        <w:rPr>
          <w:color w:val="000000" w:themeColor="text1"/>
        </w:rPr>
        <w:t>compared to 2019-20</w:t>
      </w:r>
      <w:r w:rsidRPr="00416917">
        <w:t xml:space="preserve">. </w:t>
      </w:r>
      <w:r w:rsidRPr="00FE3E4B">
        <w:t xml:space="preserve">Growth in this indicator may be affected by </w:t>
      </w:r>
      <w:r w:rsidRPr="00FE3E4B">
        <w:rPr>
          <w:rFonts w:cstheme="minorHAnsi"/>
        </w:rPr>
        <w:t>numerous factors not within the PHNs control, such as workforce and community demand.</w:t>
      </w:r>
    </w:p>
    <w:p w14:paraId="4AD44160" w14:textId="77777777" w:rsidR="00FE3E4B" w:rsidRPr="00FE3E4B" w:rsidRDefault="00FE3E4B" w:rsidP="00FE3E4B">
      <w:pPr>
        <w:pStyle w:val="ListParagraph"/>
        <w:numPr>
          <w:ilvl w:val="0"/>
          <w:numId w:val="9"/>
        </w:numPr>
        <w:rPr>
          <w:i/>
          <w:iCs/>
        </w:rPr>
      </w:pPr>
      <w:r>
        <w:t xml:space="preserve">55 </w:t>
      </w:r>
      <w:r w:rsidRPr="00416917">
        <w:t xml:space="preserve">per cent of PHNs </w:t>
      </w:r>
      <w:r w:rsidRPr="00B67850">
        <w:rPr>
          <w:color w:val="000000" w:themeColor="text1"/>
        </w:rPr>
        <w:t>met the growth target for an increase in</w:t>
      </w:r>
      <w:r w:rsidRPr="00416917">
        <w:t xml:space="preserve"> the number of people </w:t>
      </w:r>
      <w:r w:rsidRPr="00B67850">
        <w:rPr>
          <w:color w:val="000000" w:themeColor="text1"/>
        </w:rPr>
        <w:t>accessing PHN-commissioned psychological therapies</w:t>
      </w:r>
      <w:r>
        <w:rPr>
          <w:rStyle w:val="FootnoteReference"/>
          <w:color w:val="000000" w:themeColor="text1"/>
        </w:rPr>
        <w:footnoteReference w:id="5"/>
      </w:r>
      <w:r w:rsidRPr="00416917">
        <w:t xml:space="preserve">. </w:t>
      </w:r>
      <w:r w:rsidRPr="00B67850">
        <w:rPr>
          <w:color w:val="000000" w:themeColor="text1"/>
        </w:rPr>
        <w:t>65</w:t>
      </w:r>
      <w:r>
        <w:rPr>
          <w:color w:val="000000" w:themeColor="text1"/>
        </w:rPr>
        <w:t xml:space="preserve"> per cent</w:t>
      </w:r>
      <w:r w:rsidRPr="00B67850">
        <w:rPr>
          <w:color w:val="000000" w:themeColor="text1"/>
        </w:rPr>
        <w:t xml:space="preserve"> PHNs improved on rates of access to PHN-commissioned psychological therapies compared to 2019-20</w:t>
      </w:r>
      <w:r>
        <w:rPr>
          <w:color w:val="000000" w:themeColor="text1"/>
        </w:rPr>
        <w:t xml:space="preserve">. </w:t>
      </w:r>
      <w:r w:rsidRPr="00FE3E4B">
        <w:rPr>
          <w:color w:val="000000" w:themeColor="text1"/>
        </w:rPr>
        <w:t xml:space="preserve">Growth in this indicator may be affected by </w:t>
      </w:r>
      <w:r w:rsidRPr="00FE3E4B">
        <w:rPr>
          <w:rFonts w:cstheme="minorHAnsi"/>
        </w:rPr>
        <w:t>numerous factors not within the PHNs control, such as workforce and community demand.</w:t>
      </w:r>
    </w:p>
    <w:p w14:paraId="4BDCCE53" w14:textId="60C6D200" w:rsidR="00FE3E4B" w:rsidRPr="00FE3E4B" w:rsidRDefault="00FE3E4B" w:rsidP="00FE3E4B">
      <w:pPr>
        <w:pStyle w:val="ListParagraph"/>
        <w:numPr>
          <w:ilvl w:val="0"/>
          <w:numId w:val="9"/>
        </w:numPr>
        <w:rPr>
          <w:rFonts w:ascii="Calibri" w:hAnsi="Calibri" w:cs="Calibri"/>
          <w:color w:val="000000"/>
        </w:rPr>
      </w:pPr>
      <w:r w:rsidRPr="00FE3E4B">
        <w:t xml:space="preserve">48 per cent of PHNs </w:t>
      </w:r>
      <w:r w:rsidRPr="00FE3E4B">
        <w:rPr>
          <w:color w:val="000000" w:themeColor="text1"/>
        </w:rPr>
        <w:t>met the growth target for an increase in the number of people accessing</w:t>
      </w:r>
      <w:r w:rsidRPr="00FE3E4B">
        <w:t xml:space="preserve"> PHN commissioned clinical care coordination services for people with severe and complex mental illness </w:t>
      </w:r>
      <w:r w:rsidRPr="00FE3E4B">
        <w:rPr>
          <w:color w:val="000000" w:themeColor="text1"/>
        </w:rPr>
        <w:t xml:space="preserve">compared to 2019-20. Growth in this indicator may be affected by </w:t>
      </w:r>
      <w:r w:rsidRPr="00FE3E4B">
        <w:rPr>
          <w:rFonts w:cstheme="minorHAnsi"/>
        </w:rPr>
        <w:t>numerous factors not within the PHNs control, such as workforce and community demand.</w:t>
      </w:r>
    </w:p>
    <w:p w14:paraId="4F46EC92" w14:textId="59A24A27" w:rsidR="00246AF8" w:rsidRPr="00FE3E4B" w:rsidRDefault="005C11FE" w:rsidP="004B138F">
      <w:pPr>
        <w:pStyle w:val="ListParagraph"/>
        <w:numPr>
          <w:ilvl w:val="0"/>
          <w:numId w:val="9"/>
        </w:numPr>
        <w:rPr>
          <w:rFonts w:ascii="Calibri" w:hAnsi="Calibri" w:cs="Calibri"/>
          <w:color w:val="000000"/>
        </w:rPr>
      </w:pPr>
      <w:r w:rsidRPr="00416917">
        <w:t>100</w:t>
      </w:r>
      <w:r w:rsidR="00CA73D9" w:rsidRPr="00416917">
        <w:t xml:space="preserve"> per cent</w:t>
      </w:r>
      <w:r w:rsidRPr="00416917">
        <w:t xml:space="preserve"> of PHNs</w:t>
      </w:r>
      <w:r w:rsidR="004B138F">
        <w:t>,</w:t>
      </w:r>
      <w:r w:rsidRPr="00416917">
        <w:t xml:space="preserve"> </w:t>
      </w:r>
      <w:r w:rsidR="004B138F" w:rsidRPr="00054752">
        <w:rPr>
          <w:rFonts w:cstheme="minorHAnsi"/>
        </w:rPr>
        <w:t>in collaboration with their respective state and territory government-funded commissioning bodies</w:t>
      </w:r>
      <w:r w:rsidR="004B138F">
        <w:rPr>
          <w:rFonts w:cstheme="minorHAnsi"/>
        </w:rPr>
        <w:t>,</w:t>
      </w:r>
      <w:r w:rsidR="004B138F" w:rsidRPr="00054752">
        <w:rPr>
          <w:rFonts w:cstheme="minorHAnsi"/>
        </w:rPr>
        <w:t xml:space="preserve"> and other stakeholders</w:t>
      </w:r>
      <w:r w:rsidR="004B138F">
        <w:rPr>
          <w:color w:val="000000" w:themeColor="text1"/>
        </w:rPr>
        <w:t xml:space="preserve"> </w:t>
      </w:r>
      <w:r w:rsidR="004B138F" w:rsidRPr="00AA3F22">
        <w:rPr>
          <w:color w:val="000000" w:themeColor="text1"/>
        </w:rPr>
        <w:t>delivered</w:t>
      </w:r>
      <w:r w:rsidR="004B138F">
        <w:rPr>
          <w:color w:val="000000" w:themeColor="text1"/>
        </w:rPr>
        <w:t xml:space="preserve"> their</w:t>
      </w:r>
      <w:r w:rsidR="004B138F" w:rsidRPr="00AA3F22">
        <w:rPr>
          <w:color w:val="000000" w:themeColor="text1"/>
        </w:rPr>
        <w:t xml:space="preserve"> joint </w:t>
      </w:r>
      <w:r w:rsidR="004B138F">
        <w:rPr>
          <w:color w:val="000000" w:themeColor="text1"/>
        </w:rPr>
        <w:t xml:space="preserve">foundational </w:t>
      </w:r>
      <w:r w:rsidRPr="00416917">
        <w:t>regional mental health and suicide prevention plans.</w:t>
      </w:r>
      <w:bookmarkStart w:id="47" w:name="_Hlk134008576"/>
    </w:p>
    <w:p w14:paraId="0F7387C0" w14:textId="52A4E38F" w:rsidR="004B138F" w:rsidRPr="004B138F" w:rsidRDefault="004B138F" w:rsidP="004B138F">
      <w:pPr>
        <w:pStyle w:val="ListParagraph"/>
        <w:numPr>
          <w:ilvl w:val="0"/>
          <w:numId w:val="9"/>
        </w:numPr>
        <w:rPr>
          <w:rFonts w:ascii="Calibri" w:hAnsi="Calibri" w:cs="Calibri"/>
          <w:color w:val="000000"/>
        </w:rPr>
      </w:pPr>
      <w:r>
        <w:t>N</w:t>
      </w:r>
      <w:r w:rsidR="001D3091" w:rsidRPr="00416917">
        <w:t>o PHN met the target</w:t>
      </w:r>
      <w:r>
        <w:t xml:space="preserve"> of 100</w:t>
      </w:r>
      <w:r w:rsidR="00F851C5">
        <w:t xml:space="preserve"> per cent</w:t>
      </w:r>
      <w:r w:rsidR="001D3091" w:rsidRPr="00416917">
        <w:t xml:space="preserve"> follow up </w:t>
      </w:r>
      <w:r>
        <w:t xml:space="preserve">of clients </w:t>
      </w:r>
      <w:r w:rsidR="001D3091" w:rsidRPr="00416917">
        <w:t>at risk of suicide.</w:t>
      </w:r>
      <w:r>
        <w:rPr>
          <w:rFonts w:ascii="Calibri" w:hAnsi="Calibri" w:cs="Calibri"/>
          <w:color w:val="000000"/>
        </w:rPr>
        <w:t xml:space="preserve"> </w:t>
      </w:r>
      <w:r w:rsidRPr="004B138F">
        <w:rPr>
          <w:color w:val="000000" w:themeColor="text1"/>
        </w:rPr>
        <w:t xml:space="preserve">However, </w:t>
      </w:r>
      <w:r>
        <w:rPr>
          <w:color w:val="000000" w:themeColor="text1"/>
        </w:rPr>
        <w:t xml:space="preserve">68 per cent </w:t>
      </w:r>
      <w:r w:rsidRPr="004B138F">
        <w:rPr>
          <w:color w:val="000000" w:themeColor="text1"/>
        </w:rPr>
        <w:t>improved on the number of clients followed up compared to 2019-20.</w:t>
      </w:r>
    </w:p>
    <w:p w14:paraId="5E2B8E1D" w14:textId="40053925" w:rsidR="004B138F" w:rsidRDefault="004B138F" w:rsidP="004B138F">
      <w:pPr>
        <w:pStyle w:val="ListParagraph"/>
        <w:numPr>
          <w:ilvl w:val="1"/>
          <w:numId w:val="9"/>
        </w:numPr>
        <w:spacing w:before="240" w:after="160" w:line="259" w:lineRule="auto"/>
        <w:rPr>
          <w:color w:val="000000" w:themeColor="text1"/>
        </w:rPr>
      </w:pPr>
      <w:r>
        <w:rPr>
          <w:color w:val="000000" w:themeColor="text1"/>
        </w:rPr>
        <w:t xml:space="preserve">There are known methodological challenges with this indicator </w:t>
      </w:r>
      <w:r w:rsidRPr="002261DC">
        <w:rPr>
          <w:color w:val="000000" w:themeColor="text1"/>
        </w:rPr>
        <w:t>including clients with unique personal preferences, availability or complexities related to their presentation,</w:t>
      </w:r>
      <w:r>
        <w:rPr>
          <w:color w:val="000000" w:themeColor="text1"/>
        </w:rPr>
        <w:t xml:space="preserve"> </w:t>
      </w:r>
      <w:r w:rsidRPr="002261DC">
        <w:rPr>
          <w:color w:val="000000" w:themeColor="text1"/>
        </w:rPr>
        <w:t>workforce capacity challenges, inaccurate information at referral or data capture, and a challenging business</w:t>
      </w:r>
      <w:r>
        <w:rPr>
          <w:color w:val="000000" w:themeColor="text1"/>
        </w:rPr>
        <w:t xml:space="preserve"> </w:t>
      </w:r>
      <w:r w:rsidRPr="002261DC">
        <w:rPr>
          <w:color w:val="000000" w:themeColor="text1"/>
        </w:rPr>
        <w:t xml:space="preserve">context. </w:t>
      </w:r>
    </w:p>
    <w:bookmarkEnd w:id="47"/>
    <w:p w14:paraId="69F8F860" w14:textId="3BF1AF0F" w:rsidR="001670E1" w:rsidRPr="00FC1B7C" w:rsidRDefault="00A27377" w:rsidP="00964BE6">
      <w:pPr>
        <w:pStyle w:val="ListParagraph"/>
        <w:numPr>
          <w:ilvl w:val="0"/>
          <w:numId w:val="9"/>
        </w:numPr>
      </w:pPr>
      <w:r w:rsidRPr="00416917">
        <w:t>16</w:t>
      </w:r>
      <w:r w:rsidR="00CA73D9" w:rsidRPr="00416917">
        <w:t xml:space="preserve"> per cent</w:t>
      </w:r>
      <w:r w:rsidRPr="00416917">
        <w:t xml:space="preserve"> of PHNs met the target rate of </w:t>
      </w:r>
      <w:r w:rsidR="005F6947">
        <w:t xml:space="preserve">70 per cent of </w:t>
      </w:r>
      <w:r w:rsidRPr="00416917">
        <w:t xml:space="preserve">complete episodes </w:t>
      </w:r>
      <w:r w:rsidR="005F6947">
        <w:rPr>
          <w:color w:val="000000" w:themeColor="text1"/>
        </w:rPr>
        <w:t>having a clinical outcome measure at the start and end of an episode of care</w:t>
      </w:r>
      <w:r w:rsidRPr="00416917">
        <w:t xml:space="preserve">. </w:t>
      </w:r>
      <w:r w:rsidR="005F6947" w:rsidRPr="00B67850">
        <w:rPr>
          <w:color w:val="000000" w:themeColor="text1"/>
        </w:rPr>
        <w:t>The national median proportion</w:t>
      </w:r>
      <w:r w:rsidR="005F6947">
        <w:rPr>
          <w:color w:val="000000" w:themeColor="text1"/>
        </w:rPr>
        <w:t xml:space="preserve"> </w:t>
      </w:r>
      <w:r w:rsidR="005F6947" w:rsidRPr="00B67850">
        <w:rPr>
          <w:color w:val="000000" w:themeColor="text1"/>
        </w:rPr>
        <w:t>of episodes with outcomes collected was 42</w:t>
      </w:r>
      <w:r w:rsidR="00F851C5">
        <w:rPr>
          <w:color w:val="000000" w:themeColor="text1"/>
        </w:rPr>
        <w:t xml:space="preserve"> per cent</w:t>
      </w:r>
      <w:r w:rsidR="005F6947" w:rsidRPr="00B67850">
        <w:rPr>
          <w:color w:val="000000" w:themeColor="text1"/>
        </w:rPr>
        <w:t xml:space="preserve"> in 2020-21.</w:t>
      </w:r>
      <w:r w:rsidR="005F6947">
        <w:rPr>
          <w:color w:val="000000" w:themeColor="text1"/>
        </w:rPr>
        <w:t xml:space="preserve"> Comparatively, d</w:t>
      </w:r>
      <w:r w:rsidR="005F6947" w:rsidRPr="001007BD">
        <w:rPr>
          <w:color w:val="000000" w:themeColor="text1"/>
        </w:rPr>
        <w:t xml:space="preserve">uring 2019–20, </w:t>
      </w:r>
      <w:r w:rsidR="005F6947">
        <w:rPr>
          <w:color w:val="000000" w:themeColor="text1"/>
        </w:rPr>
        <w:t xml:space="preserve">the </w:t>
      </w:r>
      <w:r w:rsidR="005F6947" w:rsidRPr="001007BD">
        <w:rPr>
          <w:color w:val="000000" w:themeColor="text1"/>
        </w:rPr>
        <w:t>N</w:t>
      </w:r>
      <w:r w:rsidR="005F6947">
        <w:rPr>
          <w:color w:val="000000" w:themeColor="text1"/>
        </w:rPr>
        <w:t xml:space="preserve">ational </w:t>
      </w:r>
      <w:r w:rsidR="005F6947" w:rsidRPr="001007BD">
        <w:rPr>
          <w:color w:val="000000" w:themeColor="text1"/>
        </w:rPr>
        <w:t>O</w:t>
      </w:r>
      <w:r w:rsidR="005F6947">
        <w:rPr>
          <w:color w:val="000000" w:themeColor="text1"/>
        </w:rPr>
        <w:t xml:space="preserve">utcome and </w:t>
      </w:r>
      <w:proofErr w:type="spellStart"/>
      <w:r w:rsidR="005F6947">
        <w:rPr>
          <w:color w:val="000000" w:themeColor="text1"/>
        </w:rPr>
        <w:t>Casemix</w:t>
      </w:r>
      <w:proofErr w:type="spellEnd"/>
      <w:r w:rsidR="005F6947">
        <w:rPr>
          <w:color w:val="000000" w:themeColor="text1"/>
        </w:rPr>
        <w:t xml:space="preserve"> Collection (NOCC)</w:t>
      </w:r>
      <w:r w:rsidR="005F6947" w:rsidRPr="001007BD">
        <w:rPr>
          <w:color w:val="000000" w:themeColor="text1"/>
        </w:rPr>
        <w:t xml:space="preserve"> measures were collected for 4</w:t>
      </w:r>
      <w:r w:rsidR="005F6947">
        <w:rPr>
          <w:color w:val="000000" w:themeColor="text1"/>
        </w:rPr>
        <w:t>3</w:t>
      </w:r>
      <w:r w:rsidR="00F851C5">
        <w:rPr>
          <w:color w:val="000000" w:themeColor="text1"/>
        </w:rPr>
        <w:t xml:space="preserve"> per cent</w:t>
      </w:r>
      <w:r w:rsidR="005F6947" w:rsidRPr="001007BD">
        <w:rPr>
          <w:color w:val="000000" w:themeColor="text1"/>
        </w:rPr>
        <w:t xml:space="preserve"> of people who received clinical care from public sector specialised mental health services.</w:t>
      </w:r>
    </w:p>
    <w:p w14:paraId="0981112E" w14:textId="77777777" w:rsidR="007360F8" w:rsidRDefault="007360F8" w:rsidP="00FC1B7C">
      <w:pPr>
        <w:spacing w:after="160" w:line="259" w:lineRule="auto"/>
      </w:pPr>
    </w:p>
    <w:p w14:paraId="2F6E68AC" w14:textId="18E0F76F" w:rsidR="005F6947" w:rsidRPr="00FC1B7C" w:rsidRDefault="00A27377" w:rsidP="00FC1B7C">
      <w:pPr>
        <w:spacing w:after="160" w:line="259" w:lineRule="auto"/>
      </w:pPr>
      <w:r w:rsidRPr="00416917">
        <w:t xml:space="preserve">The Department will continue to </w:t>
      </w:r>
      <w:r w:rsidR="0004592E">
        <w:t xml:space="preserve">work </w:t>
      </w:r>
      <w:r w:rsidRPr="00416917">
        <w:t xml:space="preserve">with PHNs </w:t>
      </w:r>
      <w:r w:rsidR="005F6947">
        <w:t xml:space="preserve">to refine the methodologies for the mental health performance indicators and </w:t>
      </w:r>
      <w:r w:rsidR="005F6947" w:rsidRPr="00FC1B7C">
        <w:rPr>
          <w:rFonts w:cstheme="minorHAnsi"/>
        </w:rPr>
        <w:t>improve the Primary Mental Health Care Minimum Data Set.</w:t>
      </w:r>
      <w:bookmarkEnd w:id="46"/>
    </w:p>
    <w:p w14:paraId="042719B0" w14:textId="061311F2" w:rsidR="004825F8" w:rsidRPr="00AD748C" w:rsidRDefault="004B54D1" w:rsidP="00D97415">
      <w:pPr>
        <w:pStyle w:val="Caption"/>
        <w:keepNext/>
      </w:pPr>
      <w:r w:rsidRPr="00AD748C">
        <w:lastRenderedPageBreak/>
        <w:t>Figure</w:t>
      </w:r>
      <w:r w:rsidR="005A104A">
        <w:t xml:space="preserve"> 2</w:t>
      </w:r>
      <w:r w:rsidR="00A720D6">
        <w:t>7</w:t>
      </w:r>
      <w:r w:rsidRPr="00AD748C">
        <w:t>: Proportion of PHNs meeting Mental Health indicator targets</w:t>
      </w:r>
    </w:p>
    <w:p w14:paraId="702D953B" w14:textId="1B566773" w:rsidR="005F5EA0" w:rsidRDefault="005F5EA0" w:rsidP="004B54D1">
      <w:pPr>
        <w:pStyle w:val="Caption"/>
      </w:pPr>
      <w:r>
        <w:rPr>
          <w:noProof/>
        </w:rPr>
        <w:drawing>
          <wp:inline distT="0" distB="0" distL="0" distR="0" wp14:anchorId="7F895CF5" wp14:editId="178D9F42">
            <wp:extent cx="4511675" cy="2871470"/>
            <wp:effectExtent l="0" t="0" r="3175" b="5080"/>
            <wp:docPr id="31" name="Picture 31" descr="Bar chart comparing proportion of PHNs that met performance targets by Mental Health indicator over 2019-20 and 2020-21 reporting periods. The number of PHNs meeting targets improved in Psychological therapies, Clinical care coordination, Formalised partnerships, and Care with outcome measures. It decreased in Suicide flag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ar chart comparing proportion of PHNs that met performance targets by Mental Health indicator over 2019-20 and 2020-21 reporting periods. The number of PHNs meeting targets improved in Psychological therapies, Clinical care coordination, Formalised partnerships, and Care with outcome measures. It decreased in Suicide flag follow-u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11675" cy="2871470"/>
                    </a:xfrm>
                    <a:prstGeom prst="rect">
                      <a:avLst/>
                    </a:prstGeom>
                    <a:noFill/>
                  </pic:spPr>
                </pic:pic>
              </a:graphicData>
            </a:graphic>
          </wp:inline>
        </w:drawing>
      </w:r>
    </w:p>
    <w:p w14:paraId="0BFBF5E4" w14:textId="5B6C98C5" w:rsidR="004B54D1" w:rsidRPr="00AD748C" w:rsidRDefault="004B54D1" w:rsidP="004B54D1">
      <w:pPr>
        <w:pStyle w:val="Caption"/>
      </w:pPr>
      <w:r w:rsidRPr="00AD748C">
        <w:t>Source: performance reporting data provided by PHNs</w:t>
      </w:r>
      <w:r w:rsidR="005F5EA0">
        <w:br/>
      </w:r>
      <w:r w:rsidR="005F5EA0" w:rsidRPr="009059B6">
        <w:rPr>
          <w:lang w:eastAsia="en-US"/>
        </w:rPr>
        <w:t>†Some 2019-2020</w:t>
      </w:r>
      <w:r w:rsidR="005F5EA0">
        <w:rPr>
          <w:lang w:eastAsia="en-US"/>
        </w:rPr>
        <w:t xml:space="preserve"> data</w:t>
      </w:r>
      <w:r w:rsidR="005F5EA0" w:rsidRPr="009059B6">
        <w:rPr>
          <w:lang w:eastAsia="en-US"/>
        </w:rPr>
        <w:t xml:space="preserve"> for </w:t>
      </w:r>
      <w:r w:rsidR="005F5EA0">
        <w:rPr>
          <w:lang w:eastAsia="en-US"/>
        </w:rPr>
        <w:t xml:space="preserve">all indicators except Formalised partnerships </w:t>
      </w:r>
      <w:r w:rsidR="005F5EA0" w:rsidRPr="009059B6">
        <w:rPr>
          <w:lang w:eastAsia="en-US"/>
        </w:rPr>
        <w:t>has been revised.</w:t>
      </w:r>
    </w:p>
    <w:p w14:paraId="42079895" w14:textId="749CC8E3" w:rsidR="00FA4DA6" w:rsidRPr="00AD748C" w:rsidRDefault="00FA4DA6" w:rsidP="08A67263"/>
    <w:p w14:paraId="290BD6E7" w14:textId="48582586" w:rsidR="00FA4DA6" w:rsidRPr="00AD748C" w:rsidRDefault="00FA4DA6" w:rsidP="08A67263">
      <w:pPr>
        <w:pStyle w:val="Caption"/>
        <w:keepNext/>
        <w:spacing w:line="257" w:lineRule="auto"/>
      </w:pPr>
      <w:r w:rsidRPr="00AD748C">
        <w:t xml:space="preserve">Figure </w:t>
      </w:r>
      <w:r w:rsidR="001304DA">
        <w:rPr>
          <w:color w:val="2B579A"/>
        </w:rPr>
        <w:t>2</w:t>
      </w:r>
      <w:r w:rsidR="00A720D6">
        <w:rPr>
          <w:color w:val="2B579A"/>
        </w:rPr>
        <w:t>8</w:t>
      </w:r>
      <w:r w:rsidRPr="00AD748C">
        <w:t xml:space="preserve">: Average number of Mental Health performance targets </w:t>
      </w:r>
      <w:r w:rsidR="00F2116E">
        <w:t>met by remoteness</w:t>
      </w:r>
    </w:p>
    <w:p w14:paraId="043AB1E0" w14:textId="49D83A58" w:rsidR="00B90336" w:rsidRDefault="00B90336" w:rsidP="08A67263">
      <w:pPr>
        <w:pStyle w:val="Caption"/>
        <w:spacing w:line="257" w:lineRule="auto"/>
      </w:pPr>
      <w:r>
        <w:rPr>
          <w:noProof/>
        </w:rPr>
        <w:drawing>
          <wp:inline distT="0" distB="0" distL="0" distR="0" wp14:anchorId="49B3FD94" wp14:editId="7274399E">
            <wp:extent cx="4511675" cy="2353310"/>
            <wp:effectExtent l="0" t="0" r="3175" b="8890"/>
            <wp:docPr id="32" name="Picture 32" descr="Bar chart showing the average number of Mental Health performance targets met by remoteness over 2019-20 and 2020-21 reporting periods. The chart shows that both metropolitan Mental Health targets have improved from 2019-20 to 2020-21 reporting periods, while regional targets have slightly decre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ar chart showing the average number of Mental Health performance targets met by remoteness over 2019-20 and 2020-21 reporting periods. The chart shows that both metropolitan Mental Health targets have improved from 2019-20 to 2020-21 reporting periods, while regional targets have slightly decreas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4AFB65EE" w14:textId="13686A7F" w:rsidR="00FA4DA6" w:rsidRPr="00416917" w:rsidRDefault="00FA4DA6" w:rsidP="08A67263">
      <w:pPr>
        <w:pStyle w:val="Caption"/>
        <w:spacing w:line="257" w:lineRule="auto"/>
      </w:pPr>
      <w:r w:rsidRPr="00416917">
        <w:t>Source: performance reporting data provided by PHNs</w:t>
      </w:r>
      <w:r w:rsidR="00B90336">
        <w:br/>
      </w:r>
      <w:r w:rsidR="00B90336" w:rsidRPr="009059B6">
        <w:rPr>
          <w:lang w:eastAsia="en-US"/>
        </w:rPr>
        <w:t>†Some 2019-2020</w:t>
      </w:r>
      <w:r w:rsidR="00B90336">
        <w:rPr>
          <w:lang w:eastAsia="en-US"/>
        </w:rPr>
        <w:t xml:space="preserve"> data</w:t>
      </w:r>
      <w:r w:rsidR="00B90336" w:rsidRPr="009059B6">
        <w:rPr>
          <w:lang w:eastAsia="en-US"/>
        </w:rPr>
        <w:t xml:space="preserve"> for </w:t>
      </w:r>
      <w:r w:rsidR="00B90336">
        <w:rPr>
          <w:lang w:eastAsia="en-US"/>
        </w:rPr>
        <w:t xml:space="preserve">all indicators except Formalised partnerships </w:t>
      </w:r>
      <w:r w:rsidR="00B90336" w:rsidRPr="009059B6">
        <w:rPr>
          <w:lang w:eastAsia="en-US"/>
        </w:rPr>
        <w:t>has been revised.</w:t>
      </w:r>
    </w:p>
    <w:p w14:paraId="4BFBBC03" w14:textId="7F33EC09" w:rsidR="5F1DFEBB" w:rsidRPr="00416917" w:rsidRDefault="5F1DFEBB" w:rsidP="7F6BC311">
      <w:pPr>
        <w:spacing w:line="257" w:lineRule="auto"/>
      </w:pPr>
    </w:p>
    <w:p w14:paraId="0E9836CF" w14:textId="059E8330" w:rsidR="7D0E2627" w:rsidRPr="003A345A" w:rsidRDefault="005F6947" w:rsidP="005F6947">
      <w:pPr>
        <w:pStyle w:val="CommentText"/>
        <w:rPr>
          <w:sz w:val="22"/>
          <w:szCs w:val="22"/>
        </w:rPr>
      </w:pPr>
      <w:r w:rsidRPr="003A345A">
        <w:rPr>
          <w:rFonts w:cstheme="minorHAnsi"/>
          <w:sz w:val="22"/>
          <w:szCs w:val="22"/>
        </w:rPr>
        <w:t xml:space="preserve">The </w:t>
      </w:r>
      <w:r w:rsidRPr="003A345A">
        <w:rPr>
          <w:rFonts w:cstheme="minorHAnsi"/>
          <w:i/>
          <w:iCs/>
          <w:sz w:val="22"/>
          <w:szCs w:val="22"/>
        </w:rPr>
        <w:t>Fifth National Mental Health and Suicide Prevention Plan 2017</w:t>
      </w:r>
      <w:r w:rsidRPr="003A345A">
        <w:rPr>
          <w:rFonts w:cstheme="minorHAnsi"/>
          <w:sz w:val="22"/>
          <w:szCs w:val="22"/>
        </w:rPr>
        <w:t xml:space="preserve"> directed PHNs and LHNs to develop joint regional mental health and suicide prevention plans, to help strengthen joint planning and commissioning across all regions. </w:t>
      </w:r>
      <w:r w:rsidR="7D0E2627" w:rsidRPr="003A345A">
        <w:rPr>
          <w:rFonts w:ascii="Calibri" w:eastAsia="Calibri" w:hAnsi="Calibri" w:cs="Calibri"/>
          <w:sz w:val="22"/>
          <w:szCs w:val="22"/>
        </w:rPr>
        <w:t>In 2020-21, all PHNs</w:t>
      </w:r>
      <w:r w:rsidR="00AE1A3F" w:rsidRPr="003A345A">
        <w:rPr>
          <w:rFonts w:ascii="Calibri" w:eastAsia="Calibri" w:hAnsi="Calibri" w:cs="Calibri"/>
          <w:sz w:val="22"/>
          <w:szCs w:val="22"/>
        </w:rPr>
        <w:t>,</w:t>
      </w:r>
      <w:r w:rsidR="7D0E2627" w:rsidRPr="003A345A">
        <w:rPr>
          <w:rFonts w:ascii="Calibri" w:eastAsia="Calibri" w:hAnsi="Calibri" w:cs="Calibri"/>
          <w:sz w:val="22"/>
          <w:szCs w:val="22"/>
        </w:rPr>
        <w:t xml:space="preserve"> in collaboration with their respective state and territory government-funded commissioning bodies and other stakeholders, finalised their foundational plans which documented how they will work together to achieve agreed priorities and support integrated mental health service delivery, while laying foundations for future action</w:t>
      </w:r>
      <w:r w:rsidR="00AE1A3F" w:rsidRPr="003A345A">
        <w:rPr>
          <w:rFonts w:ascii="Calibri" w:eastAsia="Calibri" w:hAnsi="Calibri" w:cs="Calibri"/>
          <w:sz w:val="22"/>
          <w:szCs w:val="22"/>
        </w:rPr>
        <w:t xml:space="preserve"> (</w:t>
      </w:r>
      <w:r w:rsidR="00CB32C6" w:rsidRPr="003A345A">
        <w:rPr>
          <w:rFonts w:ascii="Calibri" w:eastAsia="Calibri" w:hAnsi="Calibri" w:cs="Calibri"/>
          <w:sz w:val="22"/>
          <w:szCs w:val="22"/>
        </w:rPr>
        <w:t xml:space="preserve">Mental Health </w:t>
      </w:r>
      <w:r w:rsidR="00AE1A3F" w:rsidRPr="003A345A">
        <w:rPr>
          <w:rFonts w:ascii="Calibri" w:eastAsia="Calibri" w:hAnsi="Calibri" w:cs="Calibri"/>
          <w:sz w:val="22"/>
          <w:szCs w:val="22"/>
        </w:rPr>
        <w:t>indicator</w:t>
      </w:r>
      <w:r w:rsidR="7D0E2627" w:rsidRPr="003A345A">
        <w:rPr>
          <w:rFonts w:ascii="Calibri" w:eastAsia="Calibri" w:hAnsi="Calibri" w:cs="Calibri"/>
          <w:sz w:val="22"/>
          <w:szCs w:val="22"/>
        </w:rPr>
        <w:t xml:space="preserve"> </w:t>
      </w:r>
      <w:r w:rsidR="00CB32C6" w:rsidRPr="003A345A">
        <w:rPr>
          <w:rFonts w:ascii="Calibri" w:eastAsia="Calibri" w:hAnsi="Calibri" w:cs="Calibri"/>
          <w:sz w:val="22"/>
          <w:szCs w:val="22"/>
        </w:rPr>
        <w:t>four).</w:t>
      </w:r>
    </w:p>
    <w:p w14:paraId="457C48DC" w14:textId="62A356EF" w:rsidR="7F6BC311" w:rsidRPr="003A345A" w:rsidRDefault="7F6BC311" w:rsidP="7F6BC311">
      <w:pPr>
        <w:spacing w:line="257" w:lineRule="auto"/>
        <w:rPr>
          <w:rFonts w:ascii="Calibri" w:eastAsia="Calibri" w:hAnsi="Calibri" w:cs="Calibri"/>
          <w:szCs w:val="22"/>
        </w:rPr>
      </w:pPr>
    </w:p>
    <w:p w14:paraId="3D5F6024" w14:textId="4FEFF4DE" w:rsidR="00FA4DA6" w:rsidRPr="005F6947" w:rsidRDefault="00CB32C6" w:rsidP="08A67263">
      <w:pPr>
        <w:spacing w:line="257" w:lineRule="auto"/>
        <w:rPr>
          <w:rFonts w:ascii="Calibri" w:eastAsia="Calibri" w:hAnsi="Calibri" w:cs="Calibri"/>
          <w:sz w:val="24"/>
        </w:rPr>
      </w:pPr>
      <w:r w:rsidRPr="003A345A">
        <w:rPr>
          <w:rFonts w:ascii="Calibri" w:eastAsia="Calibri" w:hAnsi="Calibri" w:cs="Calibri"/>
          <w:szCs w:val="22"/>
        </w:rPr>
        <w:t>Several</w:t>
      </w:r>
      <w:r w:rsidR="7D0E2627" w:rsidRPr="003A345A">
        <w:rPr>
          <w:rFonts w:ascii="Calibri" w:eastAsia="Calibri" w:hAnsi="Calibri" w:cs="Calibri"/>
          <w:szCs w:val="22"/>
        </w:rPr>
        <w:t xml:space="preserve"> factors impacted performance including the impacts of the COVID-19 pandemic and/or natural disasters, as well as a combination of data quality and system issues, transition of commissioned service providers, and workforce availability and capability.</w:t>
      </w:r>
      <w:r w:rsidR="0051582F" w:rsidRPr="005F6947">
        <w:rPr>
          <w:rFonts w:ascii="Calibri" w:eastAsia="Calibri" w:hAnsi="Calibri" w:cs="Calibri"/>
          <w:sz w:val="24"/>
        </w:rPr>
        <w:br/>
      </w:r>
    </w:p>
    <w:p w14:paraId="0E7E2A4D" w14:textId="7B579463" w:rsidR="006F0434" w:rsidRDefault="00046EB2" w:rsidP="00582BAC">
      <w:pPr>
        <w:pStyle w:val="Heading1"/>
      </w:pPr>
      <w:bookmarkStart w:id="48" w:name="_Toc136505539"/>
      <w:r w:rsidRPr="00E35CAE">
        <w:lastRenderedPageBreak/>
        <w:t>Population Health</w:t>
      </w:r>
      <w:bookmarkEnd w:id="48"/>
    </w:p>
    <w:p w14:paraId="0E5A38A7" w14:textId="77777777" w:rsidR="001F3119" w:rsidRPr="00496066" w:rsidRDefault="001F3119" w:rsidP="00AB2FCC">
      <w:pPr>
        <w:pStyle w:val="Heading2"/>
      </w:pPr>
      <w:bookmarkStart w:id="49" w:name="_Toc136505540"/>
      <w:r w:rsidRPr="00496066">
        <w:t>Childhood Vaccination</w:t>
      </w:r>
      <w:bookmarkEnd w:id="49"/>
    </w:p>
    <w:p w14:paraId="63D85CB9" w14:textId="0EB2F320" w:rsidR="00694677" w:rsidRDefault="00922925" w:rsidP="00694677">
      <w:r w:rsidRPr="00E07F33">
        <w:t xml:space="preserve">Australia has generally high immunisation rates. </w:t>
      </w:r>
      <w:r w:rsidR="001F3119" w:rsidRPr="00E07F33">
        <w:rPr>
          <w:rFonts w:eastAsia="Calibri"/>
        </w:rPr>
        <w:t xml:space="preserve">In 2020-21, the average percentage of </w:t>
      </w:r>
      <w:r w:rsidR="003835DE" w:rsidRPr="00E07F33">
        <w:rPr>
          <w:rFonts w:eastAsia="Calibri"/>
        </w:rPr>
        <w:t>five-year-</w:t>
      </w:r>
      <w:proofErr w:type="spellStart"/>
      <w:r w:rsidR="003835DE" w:rsidRPr="00E07F33">
        <w:rPr>
          <w:rFonts w:eastAsia="Calibri"/>
        </w:rPr>
        <w:t>olds</w:t>
      </w:r>
      <w:proofErr w:type="spellEnd"/>
      <w:r w:rsidR="003835DE" w:rsidRPr="00E07F33">
        <w:rPr>
          <w:rFonts w:eastAsia="Calibri"/>
        </w:rPr>
        <w:t xml:space="preserve"> </w:t>
      </w:r>
      <w:r w:rsidR="001F3119" w:rsidRPr="00E07F33">
        <w:rPr>
          <w:rFonts w:eastAsia="Calibri"/>
        </w:rPr>
        <w:t xml:space="preserve">fully vaccinated increased to </w:t>
      </w:r>
      <w:r w:rsidR="00FC41DE">
        <w:rPr>
          <w:rFonts w:eastAsia="Calibri"/>
        </w:rPr>
        <w:t xml:space="preserve">95.28 </w:t>
      </w:r>
      <w:r w:rsidR="006F713F">
        <w:rPr>
          <w:rFonts w:eastAsia="Calibri"/>
        </w:rPr>
        <w:t>per cent</w:t>
      </w:r>
      <w:r w:rsidR="001F3119" w:rsidRPr="00E07F33">
        <w:rPr>
          <w:rFonts w:eastAsia="Calibri"/>
        </w:rPr>
        <w:t xml:space="preserve"> from </w:t>
      </w:r>
      <w:r w:rsidR="00FC41DE">
        <w:rPr>
          <w:rFonts w:eastAsia="Calibri"/>
        </w:rPr>
        <w:t xml:space="preserve">94.87 </w:t>
      </w:r>
      <w:r w:rsidR="006F713F">
        <w:rPr>
          <w:rFonts w:eastAsia="Calibri"/>
        </w:rPr>
        <w:t>per cent</w:t>
      </w:r>
      <w:r w:rsidR="001F3119" w:rsidRPr="00E07F33">
        <w:rPr>
          <w:rFonts w:eastAsia="Calibri"/>
        </w:rPr>
        <w:t xml:space="preserve"> in 2019-20 and </w:t>
      </w:r>
      <w:r w:rsidR="00FC41DE">
        <w:rPr>
          <w:rFonts w:eastAsia="Calibri"/>
        </w:rPr>
        <w:t xml:space="preserve">94.98 </w:t>
      </w:r>
      <w:r w:rsidR="006F713F">
        <w:rPr>
          <w:rFonts w:eastAsia="Calibri"/>
        </w:rPr>
        <w:t>per cent</w:t>
      </w:r>
      <w:r w:rsidR="001F3119" w:rsidRPr="00E07F33">
        <w:rPr>
          <w:rFonts w:eastAsia="Calibri"/>
        </w:rPr>
        <w:t xml:space="preserve"> in 2018-19 (Figure </w:t>
      </w:r>
      <w:r w:rsidR="001304DA" w:rsidRPr="00E07F33">
        <w:rPr>
          <w:rFonts w:eastAsia="Calibri"/>
        </w:rPr>
        <w:t>2</w:t>
      </w:r>
      <w:r w:rsidR="00A720D6">
        <w:rPr>
          <w:rFonts w:eastAsia="Calibri"/>
        </w:rPr>
        <w:t>9</w:t>
      </w:r>
      <w:r w:rsidR="001F3119" w:rsidRPr="00E07F33">
        <w:rPr>
          <w:rFonts w:eastAsia="Calibri"/>
        </w:rPr>
        <w:t>).</w:t>
      </w:r>
      <w:r w:rsidR="00AD5734" w:rsidRPr="00E07F33">
        <w:rPr>
          <w:rFonts w:eastAsia="Calibri"/>
        </w:rPr>
        <w:t xml:space="preserve"> </w:t>
      </w:r>
      <w:r w:rsidR="00AD5734" w:rsidRPr="00E07F33">
        <w:t>All PHN areas achieved an immunisation rate of 90</w:t>
      </w:r>
      <w:r w:rsidR="006F713F">
        <w:t xml:space="preserve"> per cent</w:t>
      </w:r>
      <w:r w:rsidR="00AD5734" w:rsidRPr="00E07F33">
        <w:t xml:space="preserve"> or more</w:t>
      </w:r>
      <w:r w:rsidR="008E476D" w:rsidRPr="00E07F33">
        <w:t xml:space="preserve">, ranging </w:t>
      </w:r>
      <w:r w:rsidR="00AD5734" w:rsidRPr="00E07F33">
        <w:t>from a low of 91.</w:t>
      </w:r>
      <w:r w:rsidRPr="00E07F33">
        <w:t>5 per cent</w:t>
      </w:r>
      <w:r w:rsidR="00AD5734" w:rsidRPr="00E07F33">
        <w:t xml:space="preserve"> to a high of 97.</w:t>
      </w:r>
      <w:r w:rsidRPr="00E07F33">
        <w:t>5 per cent.</w:t>
      </w:r>
      <w:r w:rsidR="00694677" w:rsidRPr="00E07F33">
        <w:rPr>
          <w:rFonts w:eastAsia="Calibri"/>
        </w:rPr>
        <w:t xml:space="preserve"> </w:t>
      </w:r>
    </w:p>
    <w:p w14:paraId="456E5E4D" w14:textId="77777777" w:rsidR="00462777" w:rsidRDefault="00462777" w:rsidP="00AB2FCC"/>
    <w:p w14:paraId="387D343C" w14:textId="6AE30619" w:rsidR="001F3119" w:rsidRPr="00771F8E" w:rsidRDefault="001F3119" w:rsidP="001F3119">
      <w:pPr>
        <w:pStyle w:val="Caption"/>
        <w:keepNext/>
      </w:pPr>
      <w:r w:rsidRPr="00771F8E">
        <w:t xml:space="preserve">Figure </w:t>
      </w:r>
      <w:r w:rsidR="001304DA">
        <w:t>2</w:t>
      </w:r>
      <w:r w:rsidR="00A720D6">
        <w:t>9</w:t>
      </w:r>
      <w:r w:rsidRPr="00771F8E">
        <w:t xml:space="preserve">: Average proportion </w:t>
      </w:r>
      <w:r w:rsidR="00FE6DD3">
        <w:t xml:space="preserve">across all PHNs </w:t>
      </w:r>
      <w:r w:rsidRPr="00771F8E">
        <w:t xml:space="preserve">of fully immunised </w:t>
      </w:r>
      <w:r w:rsidR="00D858B7">
        <w:t>five-year-</w:t>
      </w:r>
      <w:proofErr w:type="spellStart"/>
      <w:r w:rsidR="00D858B7">
        <w:t>olds</w:t>
      </w:r>
      <w:proofErr w:type="spellEnd"/>
    </w:p>
    <w:p w14:paraId="3649A1F0" w14:textId="22E3725C" w:rsidR="001F3119" w:rsidRPr="00771F8E" w:rsidRDefault="005F44BD" w:rsidP="001F3119">
      <w:pPr>
        <w:pStyle w:val="Caption"/>
      </w:pPr>
      <w:r>
        <w:rPr>
          <w:noProof/>
        </w:rPr>
        <w:drawing>
          <wp:inline distT="0" distB="0" distL="0" distR="0" wp14:anchorId="024FA1CB" wp14:editId="1D460883">
            <wp:extent cx="4511675" cy="2353310"/>
            <wp:effectExtent l="0" t="0" r="3175" b="8890"/>
            <wp:docPr id="44" name="Picture 44" descr="Bar chart comparing average percent of children fully vaccinated between 2018-19, 2019-20, and 2020-21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Bar chart comparing average percent of children fully vaccinated between 2018-19, 2019-20, and 2020-21 reporting periods.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0149C434" w14:textId="4D56A4E4" w:rsidR="001F3119" w:rsidRDefault="001F3119" w:rsidP="00FC41DE">
      <w:pPr>
        <w:pStyle w:val="Caption"/>
      </w:pPr>
      <w:r w:rsidRPr="00771F8E">
        <w:t xml:space="preserve">Source: </w:t>
      </w:r>
      <w:r w:rsidR="000C1800">
        <w:t xml:space="preserve">Australian Immunisation Register, retrieved </w:t>
      </w:r>
      <w:r w:rsidR="00547BBA" w:rsidRPr="00547BBA">
        <w:t>08</w:t>
      </w:r>
      <w:r w:rsidR="000C1800" w:rsidRPr="00547BBA">
        <w:t>/</w:t>
      </w:r>
      <w:r w:rsidR="00547BBA" w:rsidRPr="00547BBA">
        <w:t>11</w:t>
      </w:r>
      <w:r w:rsidR="000C1800" w:rsidRPr="00547BBA">
        <w:t>/</w:t>
      </w:r>
      <w:r w:rsidR="00547BBA" w:rsidRPr="00547BBA">
        <w:t>2022</w:t>
      </w:r>
      <w:r w:rsidR="000C1800">
        <w:t xml:space="preserve"> from </w:t>
      </w:r>
      <w:hyperlink r:id="rId44" w:history="1">
        <w:r w:rsidR="000973B4" w:rsidRPr="00311715">
          <w:rPr>
            <w:rStyle w:val="Hyperlink"/>
          </w:rPr>
          <w:t>https://www.health.gov.au/resources/publications</w:t>
        </w:r>
      </w:hyperlink>
      <w:r w:rsidR="000973B4">
        <w:t xml:space="preserve"> for </w:t>
      </w:r>
      <w:hyperlink r:id="rId45" w:history="1">
        <w:r w:rsidR="000973B4">
          <w:rPr>
            <w:rStyle w:val="Hyperlink"/>
          </w:rPr>
          <w:t>2018</w:t>
        </w:r>
      </w:hyperlink>
      <w:r w:rsidR="000973B4">
        <w:t xml:space="preserve">, </w:t>
      </w:r>
      <w:hyperlink r:id="rId46" w:history="1">
        <w:r w:rsidR="000973B4">
          <w:rPr>
            <w:rStyle w:val="Hyperlink"/>
          </w:rPr>
          <w:t>2019</w:t>
        </w:r>
      </w:hyperlink>
      <w:r w:rsidR="000973B4">
        <w:t xml:space="preserve">, </w:t>
      </w:r>
      <w:hyperlink r:id="rId47" w:history="1">
        <w:r w:rsidR="000973B4">
          <w:rPr>
            <w:rStyle w:val="Hyperlink"/>
          </w:rPr>
          <w:t>2020</w:t>
        </w:r>
      </w:hyperlink>
      <w:r w:rsidR="000973B4">
        <w:t xml:space="preserve">, and </w:t>
      </w:r>
      <w:hyperlink r:id="rId48" w:history="1">
        <w:r w:rsidR="000973B4">
          <w:rPr>
            <w:rStyle w:val="Hyperlink"/>
          </w:rPr>
          <w:t>2021</w:t>
        </w:r>
      </w:hyperlink>
      <w:r w:rsidR="000973B4">
        <w:t>.</w:t>
      </w:r>
      <w:r w:rsidR="00DE1520">
        <w:br/>
      </w:r>
    </w:p>
    <w:p w14:paraId="2DB5407C" w14:textId="61CE5DAA" w:rsidR="00EE1834" w:rsidRPr="007F25EF" w:rsidRDefault="00EE1834" w:rsidP="00987FF8">
      <w:r w:rsidRPr="007F25EF">
        <w:t>Notes and Caveats</w:t>
      </w:r>
      <w:r w:rsidR="007325C0">
        <w:t>:</w:t>
      </w:r>
    </w:p>
    <w:p w14:paraId="1D77A1B3" w14:textId="16EA75F7" w:rsidR="00EE1834" w:rsidRDefault="00EE1834" w:rsidP="00EE1834">
      <w:pPr>
        <w:pStyle w:val="ListParagraph"/>
        <w:numPr>
          <w:ilvl w:val="0"/>
          <w:numId w:val="11"/>
        </w:numPr>
        <w:spacing w:after="160" w:line="259" w:lineRule="auto"/>
        <w:rPr>
          <w:rFonts w:ascii="Calibri" w:hAnsi="Calibri" w:cs="Calibri"/>
          <w:color w:val="000000"/>
        </w:rPr>
      </w:pPr>
      <w:r w:rsidRPr="007F25EF">
        <w:rPr>
          <w:rFonts w:ascii="Calibri" w:hAnsi="Calibri" w:cs="Calibri"/>
          <w:color w:val="000000"/>
        </w:rPr>
        <w:t xml:space="preserve">All data is based on vaccinations reported to the Australian Immunisation Register (AIR) as at COB </w:t>
      </w:r>
      <w:r w:rsidR="00754FF8">
        <w:rPr>
          <w:rFonts w:ascii="Calibri" w:hAnsi="Calibri" w:cs="Calibri"/>
          <w:color w:val="000000"/>
        </w:rPr>
        <w:t>08/11/2022</w:t>
      </w:r>
    </w:p>
    <w:p w14:paraId="118322E7" w14:textId="66B40431" w:rsidR="00EE1834" w:rsidRDefault="00EE1834" w:rsidP="00EE1834">
      <w:pPr>
        <w:pStyle w:val="ListParagraph"/>
        <w:numPr>
          <w:ilvl w:val="0"/>
          <w:numId w:val="11"/>
        </w:numPr>
        <w:spacing w:after="160" w:line="259" w:lineRule="auto"/>
        <w:rPr>
          <w:rFonts w:ascii="Calibri" w:hAnsi="Calibri" w:cs="Calibri"/>
          <w:color w:val="000000"/>
        </w:rPr>
      </w:pPr>
      <w:r w:rsidRPr="001E7202">
        <w:rPr>
          <w:rFonts w:ascii="Calibri" w:hAnsi="Calibri" w:cs="Calibri"/>
          <w:color w:val="000000"/>
        </w:rPr>
        <w:t xml:space="preserve">In Australia, cohort immunisation status is assessed at 12 months of age (for vaccines due at </w:t>
      </w:r>
      <w:r w:rsidR="005240C7">
        <w:rPr>
          <w:rFonts w:ascii="Calibri" w:hAnsi="Calibri" w:cs="Calibri"/>
          <w:color w:val="000000"/>
        </w:rPr>
        <w:t>six</w:t>
      </w:r>
      <w:r w:rsidRPr="001E7202">
        <w:rPr>
          <w:rFonts w:ascii="Calibri" w:hAnsi="Calibri" w:cs="Calibri"/>
          <w:color w:val="000000"/>
        </w:rPr>
        <w:t xml:space="preserve"> months), 24 months</w:t>
      </w:r>
      <w:r>
        <w:rPr>
          <w:rFonts w:ascii="Calibri" w:hAnsi="Calibri" w:cs="Calibri"/>
          <w:color w:val="000000"/>
        </w:rPr>
        <w:t xml:space="preserve"> </w:t>
      </w:r>
      <w:r w:rsidRPr="001E7202">
        <w:rPr>
          <w:rFonts w:ascii="Calibri" w:hAnsi="Calibri" w:cs="Calibri"/>
          <w:color w:val="000000"/>
        </w:rPr>
        <w:t>of age (for vaccines due at 12 and 18 months) and 60 months of age (for vaccines due at 48 months).</w:t>
      </w:r>
    </w:p>
    <w:p w14:paraId="6EDEA758" w14:textId="6E5B5A46" w:rsidR="00EE1834" w:rsidRPr="001E7202" w:rsidRDefault="00EE1834" w:rsidP="00EE1834">
      <w:pPr>
        <w:pStyle w:val="ListParagraph"/>
        <w:numPr>
          <w:ilvl w:val="0"/>
          <w:numId w:val="11"/>
        </w:numPr>
        <w:spacing w:after="160" w:line="259" w:lineRule="auto"/>
        <w:rPr>
          <w:rFonts w:ascii="Calibri" w:hAnsi="Calibri" w:cs="Calibri"/>
          <w:color w:val="000000"/>
        </w:rPr>
      </w:pPr>
      <w:r>
        <w:rPr>
          <w:rFonts w:ascii="Calibri" w:hAnsi="Calibri" w:cs="Calibri"/>
          <w:color w:val="000000"/>
        </w:rPr>
        <w:t>The Coverage Assessment for 5</w:t>
      </w:r>
      <w:r w:rsidR="005240C7">
        <w:rPr>
          <w:rFonts w:ascii="Calibri" w:hAnsi="Calibri" w:cs="Calibri"/>
          <w:color w:val="000000"/>
        </w:rPr>
        <w:t>-</w:t>
      </w:r>
      <w:r>
        <w:rPr>
          <w:rFonts w:ascii="Calibri" w:hAnsi="Calibri" w:cs="Calibri"/>
          <w:color w:val="000000"/>
        </w:rPr>
        <w:t>year</w:t>
      </w:r>
      <w:r w:rsidR="005240C7">
        <w:rPr>
          <w:rFonts w:ascii="Calibri" w:hAnsi="Calibri" w:cs="Calibri"/>
          <w:color w:val="000000"/>
        </w:rPr>
        <w:t>-</w:t>
      </w:r>
      <w:r>
        <w:rPr>
          <w:rFonts w:ascii="Calibri" w:hAnsi="Calibri" w:cs="Calibri"/>
          <w:color w:val="000000"/>
        </w:rPr>
        <w:t>olds includes Dose 4 or 5 of DTP and Dose 4 of Polio</w:t>
      </w:r>
      <w:r w:rsidR="005240C7">
        <w:rPr>
          <w:rFonts w:ascii="Calibri" w:hAnsi="Calibri" w:cs="Calibri"/>
          <w:color w:val="000000"/>
        </w:rPr>
        <w:t>.</w:t>
      </w:r>
    </w:p>
    <w:p w14:paraId="6EC6DA58" w14:textId="41A32B5C" w:rsidR="00EE1834" w:rsidRPr="007F25EF" w:rsidRDefault="00EE1834" w:rsidP="00EE1834">
      <w:pPr>
        <w:pStyle w:val="ListParagraph"/>
        <w:numPr>
          <w:ilvl w:val="0"/>
          <w:numId w:val="11"/>
        </w:numPr>
        <w:spacing w:after="160" w:line="259" w:lineRule="auto"/>
        <w:rPr>
          <w:rFonts w:ascii="Calibri" w:hAnsi="Calibri" w:cs="Calibri"/>
          <w:color w:val="000000"/>
        </w:rPr>
      </w:pPr>
      <w:r w:rsidRPr="007F25EF">
        <w:rPr>
          <w:rFonts w:ascii="Calibri" w:hAnsi="Calibri" w:cs="Calibri"/>
          <w:color w:val="000000"/>
        </w:rPr>
        <w:t>A minimum three-month lag period is allowed for late notification of vaccinations to the AIR, but only vaccines given on or before</w:t>
      </w:r>
      <w:r w:rsidRPr="001E7202">
        <w:rPr>
          <w:rFonts w:ascii="Calibri" w:hAnsi="Calibri" w:cs="Calibri"/>
          <w:color w:val="000000"/>
        </w:rPr>
        <w:t xml:space="preserve"> a child's first, second or fifth birthdays, respectively, are included in coverage calculations.</w:t>
      </w:r>
    </w:p>
    <w:p w14:paraId="6995D48A" w14:textId="61877BE8" w:rsidR="001F668B" w:rsidRPr="00155D92" w:rsidRDefault="007325C0" w:rsidP="001F668B">
      <w:pPr>
        <w:pStyle w:val="Heading2"/>
      </w:pPr>
      <w:r>
        <w:br/>
      </w:r>
      <w:bookmarkStart w:id="50" w:name="_Toc136505541"/>
      <w:r w:rsidR="001F668B" w:rsidRPr="00155D92">
        <w:t>Cancer Screening</w:t>
      </w:r>
      <w:bookmarkEnd w:id="50"/>
    </w:p>
    <w:p w14:paraId="2D6D53DD" w14:textId="7F38CDBE" w:rsidR="007A771F" w:rsidRPr="00155D92" w:rsidRDefault="001F668B" w:rsidP="007A771F">
      <w:r w:rsidRPr="00155D92">
        <w:t>Note on cancer data: t</w:t>
      </w:r>
      <w:r w:rsidR="007A771F" w:rsidRPr="00155D92">
        <w:t xml:space="preserve">he latest bowel and breast cancer screening data </w:t>
      </w:r>
      <w:r w:rsidR="00A5156D" w:rsidRPr="00155D92">
        <w:t xml:space="preserve">is from </w:t>
      </w:r>
      <w:r w:rsidR="007A771F" w:rsidRPr="00155D92">
        <w:t>201</w:t>
      </w:r>
      <w:r w:rsidR="0061437C" w:rsidRPr="00155D92">
        <w:t>9</w:t>
      </w:r>
      <w:r w:rsidR="007A771F" w:rsidRPr="00155D92">
        <w:t xml:space="preserve">-20 and </w:t>
      </w:r>
      <w:r w:rsidRPr="00155D92">
        <w:t>is</w:t>
      </w:r>
      <w:r w:rsidR="007A771F" w:rsidRPr="00155D92">
        <w:t xml:space="preserve"> not </w:t>
      </w:r>
      <w:r w:rsidRPr="00155D92">
        <w:t xml:space="preserve">yet </w:t>
      </w:r>
      <w:r w:rsidR="007A771F" w:rsidRPr="00155D92">
        <w:t xml:space="preserve">available for the </w:t>
      </w:r>
      <w:r w:rsidR="000820D3" w:rsidRPr="00155D92">
        <w:t>2020-21 period.</w:t>
      </w:r>
    </w:p>
    <w:p w14:paraId="3E89A4E2" w14:textId="77777777" w:rsidR="007A771F" w:rsidRPr="00155D92" w:rsidRDefault="007A771F" w:rsidP="00BC44EA"/>
    <w:p w14:paraId="2BE43993" w14:textId="77777777" w:rsidR="00AF69AD" w:rsidRPr="00155D92" w:rsidRDefault="00AF69AD" w:rsidP="00AF69AD">
      <w:pPr>
        <w:pStyle w:val="Heading3"/>
      </w:pPr>
      <w:bookmarkStart w:id="51" w:name="_Toc136505542"/>
      <w:r w:rsidRPr="00155D92">
        <w:t>Bowel Cancer Screening</w:t>
      </w:r>
      <w:bookmarkEnd w:id="51"/>
    </w:p>
    <w:p w14:paraId="0AA0EF79" w14:textId="51FCF6AF" w:rsidR="00715903" w:rsidRDefault="00715903" w:rsidP="00715903">
      <w:r w:rsidRPr="00155D92">
        <w:t xml:space="preserve">The number of patients receiving bowel cancer screening has been steadily increasing over the past five years (Figure </w:t>
      </w:r>
      <w:r w:rsidR="00DE1520">
        <w:t>3</w:t>
      </w:r>
      <w:r w:rsidR="009F79C6">
        <w:t>0</w:t>
      </w:r>
      <w:r w:rsidRPr="00155D92">
        <w:t>). This increase has been consistent across all levels of socio-economic disadvantage and in both metropolitan and regional areas</w:t>
      </w:r>
      <w:r>
        <w:t xml:space="preserve"> </w:t>
      </w:r>
      <w:r w:rsidRPr="00D3538E">
        <w:t>(</w:t>
      </w:r>
      <w:r w:rsidRPr="00DE1520">
        <w:t xml:space="preserve">Figure </w:t>
      </w:r>
      <w:r w:rsidR="00DE1520" w:rsidRPr="00DE1520">
        <w:t>3</w:t>
      </w:r>
      <w:r w:rsidR="009F79C6">
        <w:t>1</w:t>
      </w:r>
      <w:r w:rsidRPr="00DE1520">
        <w:t xml:space="preserve"> and </w:t>
      </w:r>
      <w:r w:rsidR="00DE1520" w:rsidRPr="00DE1520">
        <w:t>3</w:t>
      </w:r>
      <w:r w:rsidR="009F79C6">
        <w:t>2</w:t>
      </w:r>
      <w:r w:rsidRPr="00DE1520">
        <w:t xml:space="preserve"> respectively).</w:t>
      </w:r>
    </w:p>
    <w:p w14:paraId="5B0FAD74" w14:textId="77777777" w:rsidR="00715903" w:rsidRPr="009D0CA8" w:rsidRDefault="00715903" w:rsidP="00715903"/>
    <w:p w14:paraId="1A2A91FD" w14:textId="20E28532" w:rsidR="00715903" w:rsidRPr="00B749CD" w:rsidRDefault="00715903" w:rsidP="00715903">
      <w:pPr>
        <w:pStyle w:val="Caption"/>
        <w:keepNext/>
      </w:pPr>
      <w:r w:rsidRPr="00B749CD">
        <w:lastRenderedPageBreak/>
        <w:t>Figure</w:t>
      </w:r>
      <w:r w:rsidR="00DE1520">
        <w:t xml:space="preserve"> 3</w:t>
      </w:r>
      <w:r w:rsidR="009F79C6">
        <w:t>0</w:t>
      </w:r>
      <w:r w:rsidRPr="00B749CD">
        <w:t xml:space="preserve">: Average Bowel Cancer Screening rate (proportion of population </w:t>
      </w:r>
      <w:r w:rsidR="00D414D1">
        <w:t>invited</w:t>
      </w:r>
      <w:r w:rsidR="004B28EC">
        <w:t xml:space="preserve"> to participate</w:t>
      </w:r>
      <w:r w:rsidRPr="00B749CD">
        <w:t>)</w:t>
      </w:r>
    </w:p>
    <w:p w14:paraId="6E2F5699" w14:textId="7916F102" w:rsidR="00715903" w:rsidRPr="00B749CD" w:rsidRDefault="001E187A" w:rsidP="00715903">
      <w:pPr>
        <w:pStyle w:val="Caption"/>
      </w:pPr>
      <w:r>
        <w:rPr>
          <w:noProof/>
        </w:rPr>
        <w:drawing>
          <wp:inline distT="0" distB="0" distL="0" distR="0" wp14:anchorId="006A64CF" wp14:editId="6D9B26CC">
            <wp:extent cx="4517390" cy="2261870"/>
            <wp:effectExtent l="0" t="0" r="0" b="5080"/>
            <wp:docPr id="49" name="Picture 49" descr="Bar chart showing the average bowel cancer screening rates over all reporting periods between 2015-16 and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r chart showing the average bowel cancer screening rates over all reporting periods between 2015-16 and 2019-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17390" cy="2261870"/>
                    </a:xfrm>
                    <a:prstGeom prst="rect">
                      <a:avLst/>
                    </a:prstGeom>
                    <a:noFill/>
                  </pic:spPr>
                </pic:pic>
              </a:graphicData>
            </a:graphic>
          </wp:inline>
        </w:drawing>
      </w:r>
    </w:p>
    <w:p w14:paraId="291A148F" w14:textId="688B570B" w:rsidR="00715903" w:rsidRPr="00B749CD" w:rsidRDefault="00715903" w:rsidP="00715903">
      <w:pPr>
        <w:pStyle w:val="Caption"/>
      </w:pPr>
      <w:r w:rsidRPr="00B749CD">
        <w:t>Source: AIHW Cancer screening programs: quarterly data</w:t>
      </w:r>
    </w:p>
    <w:p w14:paraId="689377DB" w14:textId="77777777" w:rsidR="00715903" w:rsidRPr="00B749CD" w:rsidRDefault="00715903" w:rsidP="00715903"/>
    <w:p w14:paraId="7C69F874" w14:textId="711F3862" w:rsidR="00715903" w:rsidRPr="00B749CD" w:rsidRDefault="00715903" w:rsidP="00715903">
      <w:pPr>
        <w:pStyle w:val="Caption"/>
        <w:keepNext/>
      </w:pPr>
      <w:r w:rsidRPr="00B749CD">
        <w:t>Figure</w:t>
      </w:r>
      <w:r w:rsidR="00DE1520">
        <w:t xml:space="preserve"> 3</w:t>
      </w:r>
      <w:r w:rsidR="009F79C6">
        <w:t>1</w:t>
      </w:r>
      <w:r w:rsidRPr="00B749CD">
        <w:t xml:space="preserve">: Average Bowel Cancer Screening rate by disadvantage (proportion of population </w:t>
      </w:r>
      <w:r w:rsidR="00D414D1">
        <w:t>invited</w:t>
      </w:r>
      <w:r w:rsidR="004B28EC">
        <w:t xml:space="preserve"> to participate</w:t>
      </w:r>
      <w:r w:rsidRPr="00B749CD">
        <w:t>)</w:t>
      </w:r>
    </w:p>
    <w:p w14:paraId="086D6990" w14:textId="1A92BC06" w:rsidR="00715903" w:rsidRPr="00B749CD" w:rsidRDefault="00FA5967" w:rsidP="00715903">
      <w:pPr>
        <w:pStyle w:val="Caption"/>
      </w:pPr>
      <w:r>
        <w:rPr>
          <w:noProof/>
        </w:rPr>
        <w:drawing>
          <wp:inline distT="0" distB="0" distL="0" distR="0" wp14:anchorId="781CC5B1" wp14:editId="576B7D13">
            <wp:extent cx="4517390" cy="2346960"/>
            <wp:effectExtent l="0" t="0" r="0" b="0"/>
            <wp:docPr id="37" name="Picture 37" descr="Bar chart showing the average bowel cancer screening rates by socio-economic disadvantage over all reporting periods between 2015-16 and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Bar chart showing the average bowel cancer screening rates by socio-economic disadvantage over all reporting periods between 2015-16 and 2019-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17390" cy="2346960"/>
                    </a:xfrm>
                    <a:prstGeom prst="rect">
                      <a:avLst/>
                    </a:prstGeom>
                    <a:noFill/>
                  </pic:spPr>
                </pic:pic>
              </a:graphicData>
            </a:graphic>
          </wp:inline>
        </w:drawing>
      </w:r>
    </w:p>
    <w:p w14:paraId="687770AF" w14:textId="6BE23441" w:rsidR="00715903" w:rsidRPr="00B749CD" w:rsidRDefault="00715903" w:rsidP="00715903">
      <w:pPr>
        <w:pStyle w:val="Caption"/>
      </w:pPr>
      <w:r w:rsidRPr="00B749CD">
        <w:t>Source: AIHW Cancer screening programs: quarterly data</w:t>
      </w:r>
    </w:p>
    <w:p w14:paraId="492ACC54" w14:textId="77777777" w:rsidR="00715903" w:rsidRPr="00B749CD" w:rsidRDefault="00715903" w:rsidP="00715903"/>
    <w:p w14:paraId="09ED9BCB" w14:textId="34435047" w:rsidR="00715903" w:rsidRPr="00B749CD" w:rsidRDefault="00715903" w:rsidP="00715903">
      <w:pPr>
        <w:pStyle w:val="Caption"/>
        <w:keepNext/>
      </w:pPr>
      <w:r w:rsidRPr="00B749CD">
        <w:t>Figure</w:t>
      </w:r>
      <w:r w:rsidR="00DE1520">
        <w:t xml:space="preserve"> 3</w:t>
      </w:r>
      <w:r w:rsidR="009F79C6">
        <w:t>2</w:t>
      </w:r>
      <w:r w:rsidRPr="00B749CD">
        <w:t>: Average Bowel Cancer Screening rate by remoteness</w:t>
      </w:r>
      <w:r w:rsidR="00D414D1">
        <w:t xml:space="preserve"> </w:t>
      </w:r>
      <w:r w:rsidRPr="00B749CD">
        <w:t xml:space="preserve">(proportion of population </w:t>
      </w:r>
      <w:r w:rsidR="00D414D1">
        <w:t>invited</w:t>
      </w:r>
      <w:r w:rsidR="004B28EC">
        <w:t xml:space="preserve"> to participate</w:t>
      </w:r>
      <w:r w:rsidRPr="00B749CD">
        <w:t>)</w:t>
      </w:r>
    </w:p>
    <w:p w14:paraId="7B7E7616" w14:textId="77777777" w:rsidR="00715903" w:rsidRPr="00B749CD" w:rsidRDefault="00715903" w:rsidP="00715903">
      <w:pPr>
        <w:pStyle w:val="Caption"/>
      </w:pPr>
      <w:r w:rsidRPr="00B749CD">
        <w:rPr>
          <w:noProof/>
          <w:color w:val="2B579A"/>
          <w:shd w:val="clear" w:color="auto" w:fill="E6E6E6"/>
        </w:rPr>
        <w:drawing>
          <wp:inline distT="0" distB="0" distL="0" distR="0" wp14:anchorId="07B4EF37" wp14:editId="5BCB68AC">
            <wp:extent cx="4712335" cy="2273935"/>
            <wp:effectExtent l="0" t="0" r="0" b="0"/>
            <wp:docPr id="58" name="Picture 58" descr="Bar chart showing the average bowel cancer screening rates by remoteness over all reporting periods between 2015-16 and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Bar chart showing the average bowel cancer screening rates by remoteness over all reporting periods between 2015-16 and 2019-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12335" cy="2273935"/>
                    </a:xfrm>
                    <a:prstGeom prst="rect">
                      <a:avLst/>
                    </a:prstGeom>
                    <a:noFill/>
                  </pic:spPr>
                </pic:pic>
              </a:graphicData>
            </a:graphic>
          </wp:inline>
        </w:drawing>
      </w:r>
    </w:p>
    <w:p w14:paraId="3D8524CD" w14:textId="49E64397" w:rsidR="00715903" w:rsidRDefault="00715903" w:rsidP="00715903">
      <w:pPr>
        <w:pStyle w:val="Caption"/>
      </w:pPr>
      <w:r w:rsidRPr="00B749CD">
        <w:t>Source: AIHW Cancer screening programs: quarterly data</w:t>
      </w:r>
    </w:p>
    <w:p w14:paraId="37E19B39" w14:textId="77777777" w:rsidR="00715903" w:rsidRPr="00C1242A" w:rsidRDefault="00715903" w:rsidP="00715903"/>
    <w:p w14:paraId="650CAFDF" w14:textId="41F28574" w:rsidR="00715903" w:rsidRPr="00155D92" w:rsidRDefault="00715903" w:rsidP="00715903">
      <w:pPr>
        <w:pStyle w:val="Heading3"/>
      </w:pPr>
      <w:bookmarkStart w:id="52" w:name="_Toc136505543"/>
      <w:r w:rsidRPr="00155D92">
        <w:lastRenderedPageBreak/>
        <w:t>Breast Cancer Screening</w:t>
      </w:r>
      <w:bookmarkEnd w:id="52"/>
    </w:p>
    <w:p w14:paraId="32C3F9DF" w14:textId="4BB6E45E" w:rsidR="00715903" w:rsidRPr="009D0CA8" w:rsidRDefault="00715903" w:rsidP="00715903">
      <w:r w:rsidRPr="00155D92">
        <w:t xml:space="preserve">The number of patients receiving breast cancer screening decreased five per cent in 2019-20 (Figure </w:t>
      </w:r>
      <w:r w:rsidR="00DE1520">
        <w:t>3</w:t>
      </w:r>
      <w:r w:rsidR="009F79C6">
        <w:t>3</w:t>
      </w:r>
      <w:r w:rsidRPr="00155D92">
        <w:t xml:space="preserve">). </w:t>
      </w:r>
      <w:r w:rsidRPr="00155D92">
        <w:rPr>
          <w:lang w:eastAsia="en-US"/>
        </w:rPr>
        <w:t>This decrease was reflected across all levels of socio-economic disadvantage and in both regional and metropolitan regions</w:t>
      </w:r>
      <w:r w:rsidRPr="00DE1520">
        <w:rPr>
          <w:lang w:eastAsia="en-US"/>
        </w:rPr>
        <w:t xml:space="preserve">. </w:t>
      </w:r>
      <w:r w:rsidRPr="00DE1520">
        <w:t xml:space="preserve">(Figure </w:t>
      </w:r>
      <w:r w:rsidR="00DE1520" w:rsidRPr="00DE1520">
        <w:t>3</w:t>
      </w:r>
      <w:r w:rsidR="009F79C6">
        <w:t>4</w:t>
      </w:r>
      <w:r w:rsidRPr="00DE1520">
        <w:t xml:space="preserve"> and </w:t>
      </w:r>
      <w:r w:rsidR="00DE1520" w:rsidRPr="00DE1520">
        <w:t>3</w:t>
      </w:r>
      <w:r w:rsidR="009F79C6">
        <w:t>5</w:t>
      </w:r>
      <w:r w:rsidRPr="00DE1520">
        <w:t xml:space="preserve"> respectively).</w:t>
      </w:r>
    </w:p>
    <w:p w14:paraId="23559D28" w14:textId="77777777" w:rsidR="00715903" w:rsidRPr="00B749CD" w:rsidRDefault="00715903" w:rsidP="00715903"/>
    <w:p w14:paraId="267AC367" w14:textId="56739C12" w:rsidR="00715903" w:rsidRPr="00B749CD" w:rsidRDefault="00715903" w:rsidP="00715903">
      <w:pPr>
        <w:pStyle w:val="Caption"/>
        <w:keepNext/>
      </w:pPr>
      <w:r w:rsidRPr="00B749CD">
        <w:t>Figure</w:t>
      </w:r>
      <w:r w:rsidR="00DE1520">
        <w:t xml:space="preserve"> 3</w:t>
      </w:r>
      <w:r w:rsidR="009F79C6">
        <w:t>3</w:t>
      </w:r>
      <w:r w:rsidRPr="00B749CD">
        <w:t>: Average Breast Cancer Screening rate (proportion of population eligible)</w:t>
      </w:r>
    </w:p>
    <w:p w14:paraId="4EA6FEEA" w14:textId="0D583D2B" w:rsidR="00715903" w:rsidRPr="00B749CD" w:rsidRDefault="00177101" w:rsidP="00715903">
      <w:pPr>
        <w:pStyle w:val="Caption"/>
      </w:pPr>
      <w:r>
        <w:rPr>
          <w:noProof/>
        </w:rPr>
        <w:drawing>
          <wp:inline distT="0" distB="0" distL="0" distR="0" wp14:anchorId="48D6877D" wp14:editId="25F7A771">
            <wp:extent cx="4517390" cy="2255520"/>
            <wp:effectExtent l="0" t="0" r="0" b="0"/>
            <wp:docPr id="52" name="Picture 52" descr="Bar chart showing the average breast cancer screening rates over all reporting periods between 2015-16 and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r chart showing the average breast cancer screening rates over all reporting periods between 2015-16 and 2019-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17390" cy="2255520"/>
                    </a:xfrm>
                    <a:prstGeom prst="rect">
                      <a:avLst/>
                    </a:prstGeom>
                    <a:noFill/>
                  </pic:spPr>
                </pic:pic>
              </a:graphicData>
            </a:graphic>
          </wp:inline>
        </w:drawing>
      </w:r>
    </w:p>
    <w:p w14:paraId="778E2F32" w14:textId="77777777" w:rsidR="00715903" w:rsidRPr="00B749CD" w:rsidRDefault="00715903" w:rsidP="00715903">
      <w:pPr>
        <w:pStyle w:val="Caption"/>
      </w:pPr>
      <w:r w:rsidRPr="00B749CD">
        <w:t>Source: AIHW Cancer screening programs: quarterly data; Note: population who was screened as a proportion of population eligible</w:t>
      </w:r>
    </w:p>
    <w:p w14:paraId="24B5895A" w14:textId="77777777" w:rsidR="00715903" w:rsidRPr="00B749CD" w:rsidRDefault="00715903" w:rsidP="00715903"/>
    <w:p w14:paraId="636302A8" w14:textId="5F607D0D" w:rsidR="00715903" w:rsidRPr="00B749CD" w:rsidRDefault="00715903" w:rsidP="00715903">
      <w:pPr>
        <w:pStyle w:val="Caption"/>
        <w:keepNext/>
      </w:pPr>
      <w:r w:rsidRPr="00B749CD">
        <w:t>Figure</w:t>
      </w:r>
      <w:r w:rsidR="00DE1520">
        <w:t xml:space="preserve"> 3</w:t>
      </w:r>
      <w:r w:rsidR="009F79C6">
        <w:t>4</w:t>
      </w:r>
      <w:r w:rsidRPr="00B749CD">
        <w:t>: Average Breast Cancer Screening rate by disadvantage (proportion of population eligible)</w:t>
      </w:r>
    </w:p>
    <w:p w14:paraId="6869D360" w14:textId="00B4DA4C" w:rsidR="00715903" w:rsidRPr="00B749CD" w:rsidRDefault="00CD4E1E" w:rsidP="00715903">
      <w:pPr>
        <w:pStyle w:val="Caption"/>
        <w:rPr>
          <w:lang w:eastAsia="en-US"/>
        </w:rPr>
      </w:pPr>
      <w:r>
        <w:rPr>
          <w:noProof/>
          <w:lang w:eastAsia="en-US"/>
        </w:rPr>
        <w:drawing>
          <wp:inline distT="0" distB="0" distL="0" distR="0" wp14:anchorId="55EFCE59" wp14:editId="2E3B7A6E">
            <wp:extent cx="4511675" cy="2353310"/>
            <wp:effectExtent l="0" t="0" r="3175" b="8890"/>
            <wp:docPr id="39" name="Picture 39" descr="Bar chart showing the average breast cancer screening rates by socio-economic disadvantage over all reporting periods between 2015-16 and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Bar chart showing the average breast cancer screening rates by socio-economic disadvantage over all reporting periods between 2015-16 and 2019-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3EDEFCBE" w14:textId="77777777" w:rsidR="00715903" w:rsidRPr="00B749CD" w:rsidRDefault="00715903" w:rsidP="00715903">
      <w:pPr>
        <w:pStyle w:val="Caption"/>
      </w:pPr>
      <w:r w:rsidRPr="00B749CD">
        <w:t>Source: AIHW Cancer screening programs: quarterly data; Note: population who was screened as a proportion of population eligible</w:t>
      </w:r>
    </w:p>
    <w:p w14:paraId="0B92C9F6" w14:textId="77777777" w:rsidR="00715903" w:rsidRPr="00B749CD" w:rsidRDefault="00715903" w:rsidP="00715903"/>
    <w:p w14:paraId="195A9A0B" w14:textId="08937063" w:rsidR="00715903" w:rsidRPr="00B749CD" w:rsidRDefault="00715903" w:rsidP="00715903">
      <w:pPr>
        <w:pStyle w:val="Caption"/>
        <w:keepNext/>
      </w:pPr>
      <w:r w:rsidRPr="00B749CD">
        <w:lastRenderedPageBreak/>
        <w:t>Figure</w:t>
      </w:r>
      <w:r w:rsidR="00DE1520">
        <w:t xml:space="preserve"> 3</w:t>
      </w:r>
      <w:r w:rsidR="009F79C6">
        <w:t>5</w:t>
      </w:r>
      <w:r w:rsidRPr="00B749CD">
        <w:t>: Average Breast Cancer Screening rate by remoteness (proportion of population eligible)</w:t>
      </w:r>
    </w:p>
    <w:p w14:paraId="43D449E6" w14:textId="77777777" w:rsidR="00715903" w:rsidRPr="00B749CD" w:rsidRDefault="00715903" w:rsidP="00715903">
      <w:pPr>
        <w:pStyle w:val="Caption"/>
      </w:pPr>
      <w:r w:rsidRPr="00B749CD">
        <w:rPr>
          <w:noProof/>
          <w:color w:val="2B579A"/>
          <w:shd w:val="clear" w:color="auto" w:fill="E6E6E6"/>
        </w:rPr>
        <w:drawing>
          <wp:inline distT="0" distB="0" distL="0" distR="0" wp14:anchorId="332255EC" wp14:editId="4FD20E85">
            <wp:extent cx="4712335" cy="2280285"/>
            <wp:effectExtent l="0" t="0" r="0" b="5715"/>
            <wp:docPr id="65" name="Picture 65" descr="Bar chart showing the average breast cancer screening rates by remoteness over all reporting periods between 2015-16 and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Bar chart showing the average breast cancer screening rates by remoteness over all reporting periods between 2015-16 and 2019-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12335" cy="2280285"/>
                    </a:xfrm>
                    <a:prstGeom prst="rect">
                      <a:avLst/>
                    </a:prstGeom>
                    <a:noFill/>
                  </pic:spPr>
                </pic:pic>
              </a:graphicData>
            </a:graphic>
          </wp:inline>
        </w:drawing>
      </w:r>
    </w:p>
    <w:p w14:paraId="4223D558" w14:textId="77777777" w:rsidR="00715903" w:rsidRPr="00B749CD" w:rsidRDefault="00715903" w:rsidP="00715903">
      <w:pPr>
        <w:pStyle w:val="Caption"/>
      </w:pPr>
      <w:r w:rsidRPr="00B749CD">
        <w:t>Source: AIHW Cancer screening programs: quarterly data; Note: population who was screened as a proportion of population eligible</w:t>
      </w:r>
    </w:p>
    <w:p w14:paraId="1B33D1B0" w14:textId="77777777" w:rsidR="00A861CF" w:rsidRPr="00B749CD" w:rsidRDefault="00A861CF" w:rsidP="00715903"/>
    <w:p w14:paraId="1FC1A8B5" w14:textId="0FF6929B" w:rsidR="00715903" w:rsidRPr="00155D92" w:rsidRDefault="00715903" w:rsidP="00715903">
      <w:pPr>
        <w:pStyle w:val="Heading3"/>
      </w:pPr>
      <w:bookmarkStart w:id="53" w:name="_Toc136505544"/>
      <w:r w:rsidRPr="00155D92">
        <w:t>Cervical Cancer Screening</w:t>
      </w:r>
      <w:bookmarkEnd w:id="53"/>
    </w:p>
    <w:p w14:paraId="2476049D" w14:textId="45E804F5" w:rsidR="00480309" w:rsidRPr="00155D92" w:rsidRDefault="00480309" w:rsidP="00715903">
      <w:r w:rsidRPr="00155D92">
        <w:t>The</w:t>
      </w:r>
      <w:r w:rsidR="00097AEE" w:rsidRPr="00155D92">
        <w:t xml:space="preserve"> latest</w:t>
      </w:r>
      <w:r w:rsidRPr="00155D92">
        <w:t xml:space="preserve"> cervical cancer screening data spanned two years, from 2018-20</w:t>
      </w:r>
      <w:r w:rsidR="00D2149B" w:rsidRPr="00155D92">
        <w:t xml:space="preserve">, and was not </w:t>
      </w:r>
      <w:r w:rsidR="00097AEE" w:rsidRPr="00155D92">
        <w:t xml:space="preserve">available for </w:t>
      </w:r>
      <w:r w:rsidR="004429E4" w:rsidRPr="00155D92">
        <w:t>the two years prior (2016-18).</w:t>
      </w:r>
    </w:p>
    <w:p w14:paraId="29C77D33" w14:textId="77777777" w:rsidR="004429E4" w:rsidRPr="00155D92" w:rsidRDefault="004429E4" w:rsidP="00715903"/>
    <w:p w14:paraId="6371F0CF" w14:textId="01D2C477" w:rsidR="00715903" w:rsidRDefault="00715903" w:rsidP="00715903">
      <w:r w:rsidRPr="00155D92">
        <w:t xml:space="preserve">The number of patients receiving cervical cancer screenings in 2018-20 was the same as in 2015-16 (Figure </w:t>
      </w:r>
      <w:r w:rsidR="00DE1520">
        <w:t>3</w:t>
      </w:r>
      <w:r w:rsidR="009F79C6">
        <w:t>6</w:t>
      </w:r>
      <w:r w:rsidRPr="00155D92">
        <w:t xml:space="preserve">). However, cervical cancer screenings decreased in the most socio-economically disadvantaged and regional areas and increased in the most socio-economically advantaged and metropolitan areas (Figure </w:t>
      </w:r>
      <w:r w:rsidR="00DE1520">
        <w:t>3</w:t>
      </w:r>
      <w:r w:rsidR="009F79C6">
        <w:t>7</w:t>
      </w:r>
      <w:r w:rsidRPr="00155D92">
        <w:t xml:space="preserve"> and </w:t>
      </w:r>
      <w:r w:rsidR="009F79C6">
        <w:t>38</w:t>
      </w:r>
      <w:r w:rsidRPr="00155D92">
        <w:t xml:space="preserve"> respectively).</w:t>
      </w:r>
    </w:p>
    <w:p w14:paraId="253012DD" w14:textId="77777777" w:rsidR="00715903" w:rsidRDefault="00715903" w:rsidP="00715903"/>
    <w:p w14:paraId="40505DB6" w14:textId="5966A3A3" w:rsidR="00715903" w:rsidRPr="00B749CD" w:rsidRDefault="00715903" w:rsidP="00715903">
      <w:pPr>
        <w:pStyle w:val="Caption"/>
        <w:keepNext/>
      </w:pPr>
      <w:r w:rsidRPr="00B749CD">
        <w:t>Figure</w:t>
      </w:r>
      <w:r w:rsidR="00DE1520">
        <w:t xml:space="preserve"> 3</w:t>
      </w:r>
      <w:r w:rsidR="009F79C6">
        <w:t>6</w:t>
      </w:r>
      <w:r w:rsidRPr="00B749CD">
        <w:t>: Average Cervical Cancer Screening rate (proportion of population eligible)</w:t>
      </w:r>
    </w:p>
    <w:p w14:paraId="6627D626" w14:textId="2A560F23" w:rsidR="00715903" w:rsidRPr="00B749CD" w:rsidRDefault="001D1B30" w:rsidP="00715903">
      <w:pPr>
        <w:pStyle w:val="Caption"/>
        <w:rPr>
          <w:lang w:eastAsia="en-US"/>
        </w:rPr>
      </w:pPr>
      <w:r>
        <w:rPr>
          <w:noProof/>
          <w:lang w:eastAsia="en-US"/>
        </w:rPr>
        <w:drawing>
          <wp:inline distT="0" distB="0" distL="0" distR="0" wp14:anchorId="5427C8A4" wp14:editId="093BCE0E">
            <wp:extent cx="4517390" cy="2255520"/>
            <wp:effectExtent l="0" t="0" r="0" b="0"/>
            <wp:docPr id="53" name="Picture 53" descr="Bar chart showing the average participating rate in cervical cancer screening rates in 2015-16 and 20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Bar chart showing the average participating rate in cervical cancer screening rates in 2015-16 and 2018-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17390" cy="2255520"/>
                    </a:xfrm>
                    <a:prstGeom prst="rect">
                      <a:avLst/>
                    </a:prstGeom>
                    <a:noFill/>
                  </pic:spPr>
                </pic:pic>
              </a:graphicData>
            </a:graphic>
          </wp:inline>
        </w:drawing>
      </w:r>
    </w:p>
    <w:p w14:paraId="214F5124" w14:textId="77777777" w:rsidR="00715903" w:rsidRPr="00B749CD" w:rsidRDefault="00715903" w:rsidP="00715903">
      <w:pPr>
        <w:pStyle w:val="Caption"/>
      </w:pPr>
      <w:r w:rsidRPr="00B749CD">
        <w:t>Source: AIHW Cancer screening programs: quarterly data; Note: population who was screened as a proportion of population eligible</w:t>
      </w:r>
    </w:p>
    <w:p w14:paraId="7AE883AD" w14:textId="77777777" w:rsidR="00715903" w:rsidRPr="00B749CD" w:rsidRDefault="00715903" w:rsidP="00715903"/>
    <w:p w14:paraId="45108D7E" w14:textId="41FB64CD" w:rsidR="00715903" w:rsidRPr="00B749CD" w:rsidRDefault="00715903" w:rsidP="00715903">
      <w:pPr>
        <w:pStyle w:val="Caption"/>
        <w:keepNext/>
      </w:pPr>
      <w:r w:rsidRPr="00B749CD">
        <w:lastRenderedPageBreak/>
        <w:t>Figure</w:t>
      </w:r>
      <w:r w:rsidR="00DE1520">
        <w:t xml:space="preserve"> 3</w:t>
      </w:r>
      <w:r w:rsidR="009F79C6">
        <w:t>7</w:t>
      </w:r>
      <w:r w:rsidRPr="00B749CD">
        <w:t>: Average Cervical Cancer Screening rate by disadvantage (proportion of population eligible)</w:t>
      </w:r>
    </w:p>
    <w:p w14:paraId="2710E82D" w14:textId="16024283" w:rsidR="00715903" w:rsidRPr="00B749CD" w:rsidRDefault="00BD6AD7" w:rsidP="00715903">
      <w:pPr>
        <w:pStyle w:val="Caption"/>
        <w:rPr>
          <w:lang w:eastAsia="en-US"/>
        </w:rPr>
      </w:pPr>
      <w:r>
        <w:rPr>
          <w:noProof/>
          <w:lang w:eastAsia="en-US"/>
        </w:rPr>
        <w:drawing>
          <wp:inline distT="0" distB="0" distL="0" distR="0" wp14:anchorId="1978FDFA" wp14:editId="19EE67C3">
            <wp:extent cx="4511675" cy="2353310"/>
            <wp:effectExtent l="0" t="0" r="3175" b="8890"/>
            <wp:docPr id="40" name="Picture 40" descr="Bar chart showing the average participating rate in cervical cancer screening rates by socio-economic disadvantage in 2015-16 and 20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Bar chart showing the average participating rate in cervical cancer screening rates by socio-economic disadvantage in 2015-16 and 2018-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11675" cy="2353310"/>
                    </a:xfrm>
                    <a:prstGeom prst="rect">
                      <a:avLst/>
                    </a:prstGeom>
                    <a:noFill/>
                  </pic:spPr>
                </pic:pic>
              </a:graphicData>
            </a:graphic>
          </wp:inline>
        </w:drawing>
      </w:r>
    </w:p>
    <w:p w14:paraId="4EA7D22D" w14:textId="77777777" w:rsidR="00715903" w:rsidRPr="00B749CD" w:rsidRDefault="00715903" w:rsidP="00715903">
      <w:pPr>
        <w:pStyle w:val="Caption"/>
      </w:pPr>
      <w:r w:rsidRPr="00B749CD">
        <w:t>Source: AIHW Cancer screening programs: quarterly data; Note: population who was screened as a proportion of population eligible</w:t>
      </w:r>
    </w:p>
    <w:p w14:paraId="1736DB4C" w14:textId="77777777" w:rsidR="00715903" w:rsidRPr="00B749CD" w:rsidRDefault="00715903" w:rsidP="00715903"/>
    <w:p w14:paraId="2E87A902" w14:textId="5B9FDD3A" w:rsidR="00715903" w:rsidRPr="00B749CD" w:rsidRDefault="00715903" w:rsidP="00715903">
      <w:pPr>
        <w:pStyle w:val="Caption"/>
        <w:keepNext/>
      </w:pPr>
      <w:r w:rsidRPr="00B749CD">
        <w:t>Figure</w:t>
      </w:r>
      <w:r w:rsidR="0025330C">
        <w:t xml:space="preserve"> </w:t>
      </w:r>
      <w:r w:rsidR="009F79C6">
        <w:t>38</w:t>
      </w:r>
      <w:r w:rsidRPr="00B749CD">
        <w:t>: Average Cervical Cancer Screening rate by remoteness</w:t>
      </w:r>
      <w:r w:rsidR="00F2116E">
        <w:t xml:space="preserve"> </w:t>
      </w:r>
      <w:r w:rsidRPr="00B749CD">
        <w:t>proportion of population eligible)</w:t>
      </w:r>
    </w:p>
    <w:p w14:paraId="256B869F" w14:textId="1041D6E7" w:rsidR="00715903" w:rsidRPr="00B749CD" w:rsidRDefault="005F3BDF" w:rsidP="00715903">
      <w:pPr>
        <w:pStyle w:val="Caption"/>
      </w:pPr>
      <w:r>
        <w:rPr>
          <w:noProof/>
        </w:rPr>
        <w:drawing>
          <wp:inline distT="0" distB="0" distL="0" distR="0" wp14:anchorId="62134260" wp14:editId="5B7D55E7">
            <wp:extent cx="4517390" cy="2255520"/>
            <wp:effectExtent l="0" t="0" r="0" b="0"/>
            <wp:docPr id="54" name="Picture 54" descr="Bar chart showing the average participating rate in cervical cancer screening rates by PHN remoteness in 2015-16 and 20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Bar chart showing the average participating rate in cervical cancer screening rates by PHN remoteness in 2015-16 and 2018-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17390" cy="2255520"/>
                    </a:xfrm>
                    <a:prstGeom prst="rect">
                      <a:avLst/>
                    </a:prstGeom>
                    <a:noFill/>
                  </pic:spPr>
                </pic:pic>
              </a:graphicData>
            </a:graphic>
          </wp:inline>
        </w:drawing>
      </w:r>
    </w:p>
    <w:p w14:paraId="291853E3" w14:textId="77777777" w:rsidR="00715903" w:rsidRDefault="00715903" w:rsidP="00715903">
      <w:pPr>
        <w:pStyle w:val="Caption"/>
      </w:pPr>
      <w:r w:rsidRPr="00B749CD">
        <w:t>Source: AIHW Cancer screening programs: quarterly data; Note: population who was screened as a proportion of population eligible</w:t>
      </w:r>
    </w:p>
    <w:p w14:paraId="6AEF8482" w14:textId="77777777" w:rsidR="001F3119" w:rsidRPr="001F3119" w:rsidRDefault="001F3119" w:rsidP="001F3119"/>
    <w:p w14:paraId="61B9AE6D" w14:textId="77777777" w:rsidR="0028451D" w:rsidRPr="0028451D" w:rsidRDefault="0028451D" w:rsidP="0028451D"/>
    <w:p w14:paraId="06D940E4" w14:textId="7E198143" w:rsidR="00046EB2" w:rsidRDefault="00046EB2" w:rsidP="00582BAC">
      <w:pPr>
        <w:pStyle w:val="Heading1"/>
      </w:pPr>
      <w:bookmarkStart w:id="54" w:name="_Toc136505545"/>
      <w:r w:rsidRPr="00E35CAE">
        <w:t>Organisational</w:t>
      </w:r>
      <w:bookmarkEnd w:id="54"/>
    </w:p>
    <w:p w14:paraId="44A7EE9A" w14:textId="76608271" w:rsidR="00915B09" w:rsidRDefault="00B84359" w:rsidP="00B84359">
      <w:r>
        <w:t xml:space="preserve">Almost all PHNs met all 15 </w:t>
      </w:r>
      <w:r w:rsidR="00657BDE" w:rsidRPr="000C22B9">
        <w:rPr>
          <w:spacing w:val="-2"/>
        </w:rPr>
        <w:t>organisational</w:t>
      </w:r>
      <w:r w:rsidR="00657BDE" w:rsidRPr="000C22B9">
        <w:t xml:space="preserve"> </w:t>
      </w:r>
      <w:r w:rsidR="00657BDE" w:rsidRPr="000C22B9">
        <w:rPr>
          <w:spacing w:val="-4"/>
        </w:rPr>
        <w:t>indicators</w:t>
      </w:r>
      <w:r w:rsidR="001962EC">
        <w:rPr>
          <w:spacing w:val="-4"/>
        </w:rPr>
        <w:t xml:space="preserve">. </w:t>
      </w:r>
      <w:r w:rsidR="00F15622">
        <w:rPr>
          <w:spacing w:val="-4"/>
        </w:rPr>
        <w:t xml:space="preserve">Three </w:t>
      </w:r>
      <w:r w:rsidR="00F15622">
        <w:t xml:space="preserve">PHNs </w:t>
      </w:r>
      <w:r w:rsidR="00C91D17">
        <w:t xml:space="preserve">are still to </w:t>
      </w:r>
      <w:r w:rsidR="00915B09">
        <w:t xml:space="preserve">fully </w:t>
      </w:r>
      <w:r w:rsidR="00C91D17">
        <w:t xml:space="preserve">incorporate </w:t>
      </w:r>
      <w:r w:rsidR="00915B09">
        <w:t xml:space="preserve">output and outcome performance indicators </w:t>
      </w:r>
      <w:r w:rsidR="006F7DD4">
        <w:t xml:space="preserve">in their contracts for commissioned health services </w:t>
      </w:r>
      <w:r w:rsidR="00915B09">
        <w:t>(Indicator 12).</w:t>
      </w:r>
      <w:r w:rsidR="0022769F">
        <w:t xml:space="preserve"> </w:t>
      </w:r>
      <w:r w:rsidR="00F45F5B">
        <w:t xml:space="preserve">This is a significant improvement on 2019-20 </w:t>
      </w:r>
      <w:r w:rsidR="00C06C3A">
        <w:t>when nine PHNs were yet to meet that standard.</w:t>
      </w:r>
    </w:p>
    <w:p w14:paraId="054DF7DA" w14:textId="77777777" w:rsidR="00843A8C" w:rsidRDefault="00843A8C" w:rsidP="00B84359"/>
    <w:p w14:paraId="78B0B034" w14:textId="391EC443" w:rsidR="00DA3A9A" w:rsidRDefault="00FD5265" w:rsidP="00B84359">
      <w:r w:rsidRPr="00A861CF">
        <w:t xml:space="preserve">In 2020-21, all PHNs </w:t>
      </w:r>
      <w:r w:rsidR="007C7EEF" w:rsidRPr="00A861CF">
        <w:t xml:space="preserve">completed </w:t>
      </w:r>
      <w:r w:rsidR="00395F7C" w:rsidRPr="00A861CF">
        <w:t>variance report</w:t>
      </w:r>
      <w:r w:rsidR="007C7EEF" w:rsidRPr="00A861CF">
        <w:t xml:space="preserve"> requirements</w:t>
      </w:r>
      <w:r w:rsidR="00DE6A78" w:rsidRPr="00A861CF">
        <w:t xml:space="preserve"> (</w:t>
      </w:r>
      <w:r w:rsidR="00DE6A78" w:rsidRPr="00155D92">
        <w:t>Indicator seven)</w:t>
      </w:r>
      <w:r w:rsidR="00E16EBA" w:rsidRPr="00155D92">
        <w:t xml:space="preserve"> </w:t>
      </w:r>
      <w:r w:rsidR="002D4AEA" w:rsidRPr="00155D92">
        <w:t>which is an improvement on 2019-20 when</w:t>
      </w:r>
      <w:r w:rsidR="00BF75D2" w:rsidRPr="00155D92">
        <w:t xml:space="preserve"> </w:t>
      </w:r>
      <w:r w:rsidR="00F367CF" w:rsidRPr="00155D92">
        <w:t>t</w:t>
      </w:r>
      <w:r w:rsidR="006F58CB" w:rsidRPr="00155D92">
        <w:t>wo</w:t>
      </w:r>
      <w:r w:rsidR="00F367CF" w:rsidRPr="00155D92">
        <w:t xml:space="preserve"> PHNs </w:t>
      </w:r>
      <w:r w:rsidR="00E16EBA" w:rsidRPr="00155D92">
        <w:t xml:space="preserve">did </w:t>
      </w:r>
      <w:r w:rsidR="00F367CF" w:rsidRPr="00155D92">
        <w:t xml:space="preserve">not </w:t>
      </w:r>
      <w:r w:rsidR="00E16EBA" w:rsidRPr="00155D92">
        <w:t>meet that standard</w:t>
      </w:r>
      <w:r w:rsidR="00F367CF" w:rsidRPr="00155D92">
        <w:t>.</w:t>
      </w:r>
    </w:p>
    <w:p w14:paraId="3E83F005" w14:textId="77777777" w:rsidR="00715903" w:rsidRDefault="00715903" w:rsidP="00B84359"/>
    <w:p w14:paraId="7C58A637" w14:textId="21BBE2DB" w:rsidR="00B749CD" w:rsidRDefault="00B749CD" w:rsidP="00B749CD"/>
    <w:p w14:paraId="3FFAADB8" w14:textId="77777777" w:rsidR="004B28EC" w:rsidRPr="00B749CD" w:rsidRDefault="004B28EC" w:rsidP="00B749CD"/>
    <w:p w14:paraId="1261F062" w14:textId="77777777" w:rsidR="00E87F77" w:rsidRDefault="00E87F77">
      <w:pPr>
        <w:spacing w:after="160" w:line="259" w:lineRule="auto"/>
        <w:rPr>
          <w:rFonts w:ascii="Calibri" w:hAnsi="Calibri" w:cs="Calibri"/>
          <w:b/>
          <w:bCs/>
          <w:color w:val="FFFFFF" w:themeColor="background1"/>
          <w:sz w:val="28"/>
          <w:szCs w:val="28"/>
          <w:lang w:eastAsia="en-US"/>
        </w:rPr>
      </w:pPr>
      <w:r>
        <w:br w:type="page"/>
      </w:r>
    </w:p>
    <w:p w14:paraId="7097E29E" w14:textId="1E392C37" w:rsidR="00046EB2" w:rsidRPr="004B5E9A" w:rsidRDefault="00046EB2" w:rsidP="00582BAC">
      <w:pPr>
        <w:pStyle w:val="Heading1"/>
      </w:pPr>
      <w:bookmarkStart w:id="55" w:name="_Toc136505546"/>
      <w:r w:rsidRPr="004B5E9A">
        <w:lastRenderedPageBreak/>
        <w:t>R</w:t>
      </w:r>
      <w:r>
        <w:t>eference List</w:t>
      </w:r>
      <w:bookmarkEnd w:id="55"/>
    </w:p>
    <w:p w14:paraId="03484A34" w14:textId="61F0AF7F" w:rsidR="008C1625" w:rsidRDefault="008C1625" w:rsidP="008C1625">
      <w:pPr>
        <w:spacing w:before="120" w:after="120" w:line="260" w:lineRule="atLeast"/>
        <w:rPr>
          <w:rFonts w:ascii="Calibri" w:hAnsi="Calibri" w:cs="Calibri"/>
          <w:szCs w:val="22"/>
        </w:rPr>
      </w:pPr>
      <w:r>
        <w:rPr>
          <w:rFonts w:ascii="Calibri" w:hAnsi="Calibri" w:cs="Calibri"/>
          <w:szCs w:val="22"/>
        </w:rPr>
        <w:t xml:space="preserve">AIHW </w:t>
      </w:r>
      <w:hyperlink r:id="rId58" w:history="1">
        <w:r w:rsidRPr="00221C49">
          <w:rPr>
            <w:rStyle w:val="Hyperlink"/>
            <w:rFonts w:ascii="Calibri" w:hAnsi="Calibri" w:cs="Calibri"/>
            <w:szCs w:val="22"/>
          </w:rPr>
          <w:t>Indigenous health checks and follow-ups</w:t>
        </w:r>
      </w:hyperlink>
      <w:r>
        <w:rPr>
          <w:rFonts w:ascii="Calibri" w:hAnsi="Calibri" w:cs="Calibri"/>
          <w:szCs w:val="22"/>
        </w:rPr>
        <w:t>, published 19 August 2022</w:t>
      </w:r>
    </w:p>
    <w:p w14:paraId="556F7CD8" w14:textId="69897520" w:rsidR="008C1625" w:rsidRDefault="008C1625" w:rsidP="008C1625">
      <w:pPr>
        <w:spacing w:before="120" w:after="120" w:line="260" w:lineRule="atLeast"/>
        <w:rPr>
          <w:rFonts w:ascii="Calibri" w:hAnsi="Calibri" w:cs="Calibri"/>
          <w:szCs w:val="22"/>
        </w:rPr>
      </w:pPr>
      <w:r>
        <w:rPr>
          <w:rFonts w:ascii="Calibri" w:hAnsi="Calibri" w:cs="Calibri"/>
          <w:szCs w:val="22"/>
        </w:rPr>
        <w:t xml:space="preserve">AIHW </w:t>
      </w:r>
      <w:hyperlink r:id="rId59" w:history="1">
        <w:r w:rsidRPr="001269C5">
          <w:rPr>
            <w:rStyle w:val="Hyperlink"/>
            <w:rFonts w:ascii="Calibri" w:hAnsi="Calibri" w:cs="Calibri"/>
            <w:szCs w:val="22"/>
          </w:rPr>
          <w:t>Indigenous health checks and follow-ups</w:t>
        </w:r>
      </w:hyperlink>
      <w:r>
        <w:rPr>
          <w:rFonts w:ascii="Calibri" w:hAnsi="Calibri" w:cs="Calibri"/>
          <w:szCs w:val="22"/>
        </w:rPr>
        <w:t>, published 2 July 2021</w:t>
      </w:r>
    </w:p>
    <w:p w14:paraId="7B9A19EA" w14:textId="508FDB2D" w:rsidR="007F1013" w:rsidRDefault="007F1013" w:rsidP="008C1625">
      <w:pPr>
        <w:spacing w:before="120" w:after="120" w:line="260" w:lineRule="atLeast"/>
        <w:rPr>
          <w:rFonts w:ascii="Calibri" w:hAnsi="Calibri" w:cs="Calibri"/>
          <w:szCs w:val="22"/>
        </w:rPr>
      </w:pPr>
      <w:r>
        <w:rPr>
          <w:rFonts w:ascii="Calibri" w:hAnsi="Calibri" w:cs="Calibri"/>
          <w:szCs w:val="22"/>
        </w:rPr>
        <w:t xml:space="preserve">AIHW </w:t>
      </w:r>
      <w:hyperlink r:id="rId60" w:history="1">
        <w:r w:rsidR="004B61A8">
          <w:rPr>
            <w:rStyle w:val="Hyperlink"/>
            <w:rFonts w:ascii="Calibri" w:hAnsi="Calibri" w:cs="Calibri"/>
            <w:szCs w:val="22"/>
          </w:rPr>
          <w:t xml:space="preserve">Medicare-subsidised GP, allied health or specialist health </w:t>
        </w:r>
        <w:r w:rsidRPr="00072B43">
          <w:rPr>
            <w:rStyle w:val="Hyperlink"/>
            <w:rFonts w:ascii="Calibri" w:hAnsi="Calibri" w:cs="Calibri"/>
            <w:szCs w:val="22"/>
          </w:rPr>
          <w:t xml:space="preserve"> care across local areas: 2019-20 to 2020-21</w:t>
        </w:r>
      </w:hyperlink>
      <w:r>
        <w:rPr>
          <w:rFonts w:ascii="Calibri" w:hAnsi="Calibri" w:cs="Calibri"/>
          <w:szCs w:val="22"/>
        </w:rPr>
        <w:t xml:space="preserve">, </w:t>
      </w:r>
      <w:r w:rsidR="00472266">
        <w:rPr>
          <w:rFonts w:ascii="Calibri" w:hAnsi="Calibri" w:cs="Calibri"/>
          <w:szCs w:val="22"/>
        </w:rPr>
        <w:t>last updated 27 Oct</w:t>
      </w:r>
      <w:r w:rsidR="00072B43">
        <w:rPr>
          <w:rFonts w:ascii="Calibri" w:hAnsi="Calibri" w:cs="Calibri"/>
          <w:szCs w:val="22"/>
        </w:rPr>
        <w:t>ober</w:t>
      </w:r>
      <w:r w:rsidR="00472266">
        <w:rPr>
          <w:rFonts w:ascii="Calibri" w:hAnsi="Calibri" w:cs="Calibri"/>
          <w:szCs w:val="22"/>
        </w:rPr>
        <w:t xml:space="preserve"> 2021</w:t>
      </w:r>
    </w:p>
    <w:p w14:paraId="563F82BC" w14:textId="77777777" w:rsidR="00C506FF" w:rsidRDefault="00072B43" w:rsidP="00046EB2">
      <w:pPr>
        <w:spacing w:before="120" w:after="120" w:line="260" w:lineRule="atLeast"/>
        <w:rPr>
          <w:rFonts w:ascii="Calibri" w:hAnsi="Calibri" w:cs="Calibri"/>
          <w:szCs w:val="22"/>
        </w:rPr>
      </w:pPr>
      <w:r>
        <w:rPr>
          <w:rFonts w:ascii="Calibri" w:hAnsi="Calibri" w:cs="Calibri"/>
          <w:szCs w:val="22"/>
        </w:rPr>
        <w:t xml:space="preserve">AIHW </w:t>
      </w:r>
      <w:hyperlink r:id="rId61" w:history="1">
        <w:r w:rsidR="004B61A8">
          <w:rPr>
            <w:rStyle w:val="Hyperlink"/>
            <w:rFonts w:ascii="Calibri" w:hAnsi="Calibri" w:cs="Calibri"/>
            <w:szCs w:val="22"/>
          </w:rPr>
          <w:t xml:space="preserve">Medicare-subsidised GP, allied health or specialist health </w:t>
        </w:r>
        <w:r w:rsidRPr="00AD568D">
          <w:rPr>
            <w:rStyle w:val="Hyperlink"/>
            <w:rFonts w:ascii="Calibri" w:hAnsi="Calibri" w:cs="Calibri"/>
            <w:szCs w:val="22"/>
          </w:rPr>
          <w:t xml:space="preserve"> care across local areas: 2013-14 to 2018-19</w:t>
        </w:r>
      </w:hyperlink>
      <w:r>
        <w:rPr>
          <w:rFonts w:ascii="Calibri" w:hAnsi="Calibri" w:cs="Calibri"/>
          <w:szCs w:val="22"/>
        </w:rPr>
        <w:t>, last updated 01 Oct 2020</w:t>
      </w:r>
    </w:p>
    <w:p w14:paraId="5E70DE37" w14:textId="47AAA710" w:rsidR="00046EB2" w:rsidRPr="004B28EC" w:rsidRDefault="00C506FF" w:rsidP="00046EB2">
      <w:pPr>
        <w:spacing w:before="120" w:after="120" w:line="260" w:lineRule="atLeast"/>
        <w:rPr>
          <w:rFonts w:ascii="Calibri" w:hAnsi="Calibri" w:cs="Calibri"/>
          <w:szCs w:val="22"/>
        </w:rPr>
      </w:pPr>
      <w:r w:rsidRPr="00C0467D">
        <w:rPr>
          <w:rFonts w:ascii="Calibri" w:hAnsi="Calibri" w:cs="Calibri"/>
          <w:szCs w:val="22"/>
        </w:rPr>
        <w:t xml:space="preserve">AIHW Potentially Preventable Hospitalisations data, received </w:t>
      </w:r>
      <w:r w:rsidR="009374F7" w:rsidRPr="00C0467D">
        <w:rPr>
          <w:rFonts w:ascii="Calibri" w:hAnsi="Calibri" w:cs="Calibri"/>
          <w:szCs w:val="22"/>
        </w:rPr>
        <w:t xml:space="preserve">3 May </w:t>
      </w:r>
      <w:r w:rsidRPr="00C0467D">
        <w:rPr>
          <w:rFonts w:ascii="Calibri" w:hAnsi="Calibri" w:cs="Calibri"/>
          <w:szCs w:val="22"/>
        </w:rPr>
        <w:t>2023</w:t>
      </w:r>
      <w:r w:rsidR="00046EB2" w:rsidRPr="00FA3807">
        <w:rPr>
          <w:rFonts w:ascii="Calibri" w:hAnsi="Calibri" w:cs="Calibri"/>
          <w:b/>
          <w:bCs/>
          <w:kern w:val="28"/>
          <w:szCs w:val="22"/>
        </w:rPr>
        <w:br w:type="page"/>
      </w:r>
    </w:p>
    <w:p w14:paraId="45D37321" w14:textId="71CBDB5B" w:rsidR="00046EB2" w:rsidRPr="004B5E9A" w:rsidRDefault="00046EB2" w:rsidP="00582BAC">
      <w:pPr>
        <w:pStyle w:val="Heading2"/>
      </w:pPr>
      <w:bookmarkStart w:id="56" w:name="_Toc136505547"/>
      <w:r w:rsidRPr="004B5E9A">
        <w:lastRenderedPageBreak/>
        <w:t>A</w:t>
      </w:r>
      <w:r>
        <w:t xml:space="preserve">ppendix </w:t>
      </w:r>
      <w:r w:rsidR="00854956">
        <w:t>1</w:t>
      </w:r>
      <w:bookmarkEnd w:id="56"/>
    </w:p>
    <w:p w14:paraId="2CB83098" w14:textId="32C880B8" w:rsidR="009C1BB2" w:rsidRDefault="00046EB2" w:rsidP="00046EB2">
      <w:pPr>
        <w:spacing w:before="240" w:after="240" w:line="276" w:lineRule="auto"/>
        <w:rPr>
          <w:rFonts w:ascii="Calibri" w:eastAsia="Calibri" w:hAnsi="Calibri" w:cs="Calibri"/>
          <w:szCs w:val="22"/>
          <w:lang w:eastAsia="en-US"/>
        </w:rPr>
      </w:pPr>
      <w:r w:rsidRPr="00FA3807">
        <w:rPr>
          <w:rFonts w:ascii="Calibri" w:eastAsia="Calibri" w:hAnsi="Calibri" w:cs="Calibri"/>
          <w:szCs w:val="22"/>
          <w:lang w:eastAsia="en-US"/>
        </w:rPr>
        <w:t xml:space="preserve">Assessment of each of the 42 </w:t>
      </w:r>
      <w:r w:rsidR="00B43E4A">
        <w:rPr>
          <w:rFonts w:ascii="Calibri" w:eastAsia="Calibri" w:hAnsi="Calibri" w:cs="Calibri"/>
          <w:szCs w:val="22"/>
          <w:lang w:eastAsia="en-US"/>
        </w:rPr>
        <w:t xml:space="preserve">Individual Performance Assessment </w:t>
      </w:r>
      <w:r w:rsidRPr="00FA3807">
        <w:rPr>
          <w:rFonts w:ascii="Calibri" w:eastAsia="Calibri" w:hAnsi="Calibri" w:cs="Calibri"/>
          <w:szCs w:val="22"/>
          <w:lang w:eastAsia="en-US"/>
        </w:rPr>
        <w:t>performance indicators under the PHN Performance and Quality Framework for the 20</w:t>
      </w:r>
      <w:r w:rsidR="00D168F2">
        <w:rPr>
          <w:rFonts w:ascii="Calibri" w:eastAsia="Calibri" w:hAnsi="Calibri" w:cs="Calibri"/>
          <w:szCs w:val="22"/>
          <w:lang w:eastAsia="en-US"/>
        </w:rPr>
        <w:t>20</w:t>
      </w:r>
      <w:r w:rsidRPr="00FA3807">
        <w:rPr>
          <w:rFonts w:ascii="Calibri" w:eastAsia="Calibri" w:hAnsi="Calibri" w:cs="Calibri"/>
          <w:szCs w:val="22"/>
          <w:lang w:eastAsia="en-US"/>
        </w:rPr>
        <w:t>-2</w:t>
      </w:r>
      <w:r w:rsidR="00D168F2">
        <w:rPr>
          <w:rFonts w:ascii="Calibri" w:eastAsia="Calibri" w:hAnsi="Calibri" w:cs="Calibri"/>
          <w:szCs w:val="22"/>
          <w:lang w:eastAsia="en-US"/>
        </w:rPr>
        <w:t>1</w:t>
      </w:r>
      <w:r w:rsidRPr="00FA3807">
        <w:rPr>
          <w:rFonts w:ascii="Calibri" w:eastAsia="Calibri" w:hAnsi="Calibri" w:cs="Calibri"/>
          <w:szCs w:val="22"/>
          <w:lang w:eastAsia="en-US"/>
        </w:rPr>
        <w:t xml:space="preserve"> reporting year.</w:t>
      </w:r>
    </w:p>
    <w:p w14:paraId="5BF4A1F6" w14:textId="4F9B576D" w:rsidR="00046EB2" w:rsidRDefault="00D168F2" w:rsidP="00046EB2">
      <w:pPr>
        <w:spacing w:before="240" w:after="240" w:line="276" w:lineRule="auto"/>
        <w:rPr>
          <w:rFonts w:ascii="Calibri" w:eastAsia="Calibri" w:hAnsi="Calibri" w:cs="Calibri"/>
          <w:szCs w:val="22"/>
          <w:lang w:eastAsia="en-US"/>
        </w:rPr>
      </w:pPr>
      <w:bookmarkStart w:id="57" w:name="_Hlk135644705"/>
      <w:r w:rsidRPr="00B527ED">
        <w:rPr>
          <w:rFonts w:ascii="Calibri" w:eastAsia="Calibri" w:hAnsi="Calibri" w:cs="Calibri"/>
          <w:szCs w:val="22"/>
          <w:lang w:eastAsia="en-US"/>
        </w:rPr>
        <w:t xml:space="preserve">Note: </w:t>
      </w:r>
      <w:r w:rsidR="00ED3D20" w:rsidRPr="00B527ED">
        <w:rPr>
          <w:rFonts w:ascii="Calibri" w:eastAsia="Calibri" w:hAnsi="Calibri" w:cs="Calibri"/>
          <w:szCs w:val="22"/>
          <w:lang w:eastAsia="en-US"/>
        </w:rPr>
        <w:t xml:space="preserve">Data </w:t>
      </w:r>
      <w:r w:rsidR="006F3539" w:rsidRPr="00B527ED">
        <w:rPr>
          <w:rFonts w:ascii="Calibri" w:eastAsia="Calibri" w:hAnsi="Calibri" w:cs="Calibri"/>
          <w:szCs w:val="22"/>
          <w:lang w:eastAsia="en-US"/>
        </w:rPr>
        <w:t xml:space="preserve">cleaning was undertaken </w:t>
      </w:r>
      <w:r w:rsidR="005F0A8F" w:rsidRPr="00B527ED">
        <w:rPr>
          <w:rFonts w:ascii="Calibri" w:eastAsia="Calibri" w:hAnsi="Calibri" w:cs="Calibri"/>
          <w:szCs w:val="22"/>
          <w:lang w:eastAsia="en-US"/>
        </w:rPr>
        <w:t xml:space="preserve">on the </w:t>
      </w:r>
      <w:r w:rsidR="009C1BB2" w:rsidRPr="00B527ED">
        <w:rPr>
          <w:rFonts w:ascii="Calibri" w:eastAsia="Calibri" w:hAnsi="Calibri" w:cs="Calibri"/>
          <w:szCs w:val="22"/>
          <w:lang w:eastAsia="en-US"/>
        </w:rPr>
        <w:t xml:space="preserve">2019-20 </w:t>
      </w:r>
      <w:r w:rsidR="005F0A8F" w:rsidRPr="00B527ED">
        <w:rPr>
          <w:rFonts w:ascii="Calibri" w:eastAsia="Calibri" w:hAnsi="Calibri" w:cs="Calibri"/>
          <w:szCs w:val="22"/>
          <w:lang w:eastAsia="en-US"/>
        </w:rPr>
        <w:t xml:space="preserve">data set </w:t>
      </w:r>
      <w:r w:rsidR="00947C50" w:rsidRPr="00B527ED">
        <w:rPr>
          <w:rFonts w:ascii="Calibri" w:eastAsia="Calibri" w:hAnsi="Calibri" w:cs="Calibri"/>
          <w:szCs w:val="22"/>
          <w:lang w:eastAsia="en-US"/>
        </w:rPr>
        <w:t xml:space="preserve">and in some cases, indicators were </w:t>
      </w:r>
      <w:r w:rsidR="009C1BB2" w:rsidRPr="00B527ED">
        <w:rPr>
          <w:rFonts w:ascii="Calibri" w:eastAsia="Calibri" w:hAnsi="Calibri" w:cs="Calibri"/>
          <w:szCs w:val="22"/>
          <w:lang w:eastAsia="en-US"/>
        </w:rPr>
        <w:t xml:space="preserve">recalculated </w:t>
      </w:r>
      <w:r w:rsidR="00BB3082" w:rsidRPr="00B527ED">
        <w:rPr>
          <w:rFonts w:ascii="Calibri" w:eastAsia="Calibri" w:hAnsi="Calibri" w:cs="Calibri"/>
          <w:szCs w:val="22"/>
          <w:lang w:eastAsia="en-US"/>
        </w:rPr>
        <w:t>for accuracy.</w:t>
      </w:r>
      <w:r w:rsidR="002C1E28" w:rsidRPr="00B527ED">
        <w:rPr>
          <w:rFonts w:ascii="Calibri" w:eastAsia="Calibri" w:hAnsi="Calibri" w:cs="Calibri"/>
          <w:szCs w:val="22"/>
          <w:lang w:eastAsia="en-US"/>
        </w:rPr>
        <w:t xml:space="preserve"> </w:t>
      </w:r>
      <w:r w:rsidR="00B76FA7" w:rsidRPr="00B527ED">
        <w:rPr>
          <w:rFonts w:ascii="Calibri" w:eastAsia="Calibri" w:hAnsi="Calibri" w:cs="Calibri"/>
          <w:szCs w:val="22"/>
          <w:lang w:eastAsia="en-US"/>
        </w:rPr>
        <w:t xml:space="preserve">The </w:t>
      </w:r>
      <w:r w:rsidR="00481AAD" w:rsidRPr="00B527ED">
        <w:rPr>
          <w:rFonts w:ascii="Calibri" w:eastAsia="Calibri" w:hAnsi="Calibri" w:cs="Calibri"/>
          <w:szCs w:val="22"/>
          <w:lang w:eastAsia="en-US"/>
        </w:rPr>
        <w:t xml:space="preserve">2019-20 </w:t>
      </w:r>
      <w:r w:rsidR="00B76FA7" w:rsidRPr="00B527ED">
        <w:rPr>
          <w:rFonts w:ascii="Calibri" w:eastAsia="Calibri" w:hAnsi="Calibri" w:cs="Calibri"/>
          <w:szCs w:val="22"/>
          <w:lang w:eastAsia="en-US"/>
        </w:rPr>
        <w:t xml:space="preserve">data presented below </w:t>
      </w:r>
      <w:r w:rsidR="000E26DB" w:rsidRPr="00B527ED">
        <w:rPr>
          <w:rFonts w:ascii="Calibri" w:eastAsia="Calibri" w:hAnsi="Calibri" w:cs="Calibri"/>
          <w:szCs w:val="22"/>
          <w:lang w:eastAsia="en-US"/>
        </w:rPr>
        <w:t>supersedes</w:t>
      </w:r>
      <w:r w:rsidR="00B76FA7" w:rsidRPr="00B527ED">
        <w:rPr>
          <w:rFonts w:ascii="Calibri" w:eastAsia="Calibri" w:hAnsi="Calibri" w:cs="Calibri"/>
          <w:szCs w:val="22"/>
          <w:lang w:eastAsia="en-US"/>
        </w:rPr>
        <w:t xml:space="preserve"> the </w:t>
      </w:r>
      <w:r w:rsidR="00481AAD" w:rsidRPr="00B527ED">
        <w:rPr>
          <w:rFonts w:ascii="Calibri" w:eastAsia="Calibri" w:hAnsi="Calibri" w:cs="Calibri"/>
          <w:szCs w:val="22"/>
          <w:lang w:eastAsia="en-US"/>
        </w:rPr>
        <w:t xml:space="preserve">corresponding </w:t>
      </w:r>
      <w:r w:rsidR="00B76FA7" w:rsidRPr="00B527ED">
        <w:rPr>
          <w:rFonts w:ascii="Calibri" w:eastAsia="Calibri" w:hAnsi="Calibri" w:cs="Calibri"/>
          <w:szCs w:val="22"/>
          <w:lang w:eastAsia="en-US"/>
        </w:rPr>
        <w:t xml:space="preserve">data presented in the 2019-20 </w:t>
      </w:r>
      <w:r w:rsidR="000E26DB" w:rsidRPr="00B527ED">
        <w:rPr>
          <w:rFonts w:ascii="Calibri" w:eastAsia="Calibri" w:hAnsi="Calibri" w:cs="Calibri"/>
          <w:szCs w:val="22"/>
          <w:lang w:eastAsia="en-US"/>
        </w:rPr>
        <w:t>Annual Report.</w:t>
      </w:r>
      <w:r w:rsidR="00046EB2" w:rsidRPr="00FA3807">
        <w:rPr>
          <w:rFonts w:ascii="Calibri" w:eastAsia="Calibri" w:hAnsi="Calibri" w:cs="Calibri"/>
          <w:szCs w:val="22"/>
          <w:lang w:eastAsia="en-US"/>
        </w:rPr>
        <w:t xml:space="preserve"> </w:t>
      </w:r>
    </w:p>
    <w:bookmarkEnd w:id="57"/>
    <w:p w14:paraId="0B33D3CF" w14:textId="77777777" w:rsidR="00221E7E" w:rsidRDefault="00221E7E" w:rsidP="00221E7E">
      <w:pPr>
        <w:pStyle w:val="paragraph"/>
        <w:spacing w:before="0" w:beforeAutospacing="0" w:after="0" w:afterAutospacing="0"/>
        <w:textAlignment w:val="baseline"/>
        <w:rPr>
          <w:i/>
          <w:iCs/>
          <w:color w:val="1F3763"/>
        </w:rPr>
      </w:pPr>
      <w:r>
        <w:rPr>
          <w:rStyle w:val="normaltextrun"/>
          <w:i/>
          <w:iCs/>
          <w:color w:val="1F3763"/>
        </w:rPr>
        <w:t>Addressing Needs</w:t>
      </w:r>
      <w:r>
        <w:rPr>
          <w:rStyle w:val="eop"/>
          <w:i/>
          <w:iCs/>
          <w:color w:val="1F3763"/>
        </w:rPr>
        <w:t> </w:t>
      </w:r>
    </w:p>
    <w:p w14:paraId="5E516D76" w14:textId="77777777" w:rsidR="00221E7E" w:rsidRDefault="00221E7E" w:rsidP="00221E7E">
      <w:pPr>
        <w:pStyle w:val="paragraph"/>
        <w:spacing w:before="0" w:beforeAutospacing="0" w:after="0" w:afterAutospacing="0"/>
        <w:textAlignment w:val="baseline"/>
      </w:pPr>
      <w:r>
        <w:rPr>
          <w:rStyle w:val="normaltextrun"/>
          <w:b/>
          <w:bCs/>
        </w:rPr>
        <w:t>P1 (Program):</w:t>
      </w:r>
      <w:r>
        <w:rPr>
          <w:rStyle w:val="normaltextrun"/>
        </w:rPr>
        <w:t xml:space="preserve"> PHN activities address prioritised needs.</w:t>
      </w:r>
      <w:r>
        <w:rPr>
          <w:rStyle w:val="eop"/>
        </w:rPr>
        <w:t> </w:t>
      </w:r>
      <w:r>
        <w:rPr>
          <w:rStyle w:val="eop"/>
        </w:rPr>
        <w:br/>
      </w:r>
    </w:p>
    <w:p w14:paraId="74E13539" w14:textId="54ABA3B8" w:rsidR="00221E7E" w:rsidRDefault="00221E7E" w:rsidP="00964BE6">
      <w:pPr>
        <w:pStyle w:val="paragraph"/>
        <w:numPr>
          <w:ilvl w:val="0"/>
          <w:numId w:val="10"/>
        </w:numPr>
        <w:spacing w:before="0" w:beforeAutospacing="0" w:after="0" w:afterAutospacing="0"/>
        <w:textAlignment w:val="baseline"/>
      </w:pPr>
      <w:r>
        <w:rPr>
          <w:rStyle w:val="normaltextrun"/>
        </w:rPr>
        <w:t>All 31 PHNs have demonstrated that their activities address prioritised needs as set out in PHN Needs Assessment and/or national priorities.</w:t>
      </w:r>
      <w:r>
        <w:rPr>
          <w:rStyle w:val="eop"/>
        </w:rPr>
        <w:t> </w:t>
      </w:r>
      <w:r w:rsidR="002534BB">
        <w:rPr>
          <w:rStyle w:val="normaltextrun"/>
        </w:rPr>
        <w:t>This is the same as the 2019-20 reporting period.</w:t>
      </w:r>
    </w:p>
    <w:p w14:paraId="7EC3BCB2" w14:textId="77777777" w:rsidR="00221E7E" w:rsidRDefault="00221E7E" w:rsidP="00221E7E">
      <w:pPr>
        <w:pStyle w:val="paragraph"/>
        <w:spacing w:before="0" w:beforeAutospacing="0" w:after="0" w:afterAutospacing="0"/>
        <w:textAlignment w:val="baseline"/>
      </w:pPr>
      <w:r>
        <w:rPr>
          <w:rStyle w:val="eop"/>
        </w:rPr>
        <w:t> </w:t>
      </w:r>
    </w:p>
    <w:p w14:paraId="362AF592" w14:textId="77777777" w:rsidR="00221E7E" w:rsidRDefault="00221E7E" w:rsidP="00221E7E">
      <w:pPr>
        <w:pStyle w:val="paragraph"/>
        <w:spacing w:before="0" w:beforeAutospacing="0" w:after="0" w:afterAutospacing="0"/>
        <w:textAlignment w:val="baseline"/>
      </w:pPr>
      <w:r>
        <w:rPr>
          <w:rStyle w:val="normaltextrun"/>
          <w:b/>
          <w:bCs/>
        </w:rPr>
        <w:t>P2 (Program):</w:t>
      </w:r>
      <w:r>
        <w:rPr>
          <w:rStyle w:val="normaltextrun"/>
        </w:rPr>
        <w:t xml:space="preserve"> Health system improvement and innovation.</w:t>
      </w:r>
      <w:r>
        <w:rPr>
          <w:rStyle w:val="eop"/>
        </w:rPr>
        <w:br/>
      </w:r>
    </w:p>
    <w:p w14:paraId="291BB416" w14:textId="4B4B1BF7" w:rsidR="00221E7E" w:rsidRDefault="00221E7E" w:rsidP="00964BE6">
      <w:pPr>
        <w:pStyle w:val="paragraph"/>
        <w:numPr>
          <w:ilvl w:val="0"/>
          <w:numId w:val="10"/>
        </w:numPr>
        <w:spacing w:before="0" w:beforeAutospacing="0" w:after="0" w:afterAutospacing="0"/>
        <w:textAlignment w:val="baseline"/>
      </w:pPr>
      <w:r>
        <w:rPr>
          <w:rStyle w:val="normaltextrun"/>
        </w:rPr>
        <w:t>All 31 PHNs have provided descriptions of a health system improvement, innovation, or commissioning best practice that has taken place in 2020-21.</w:t>
      </w:r>
      <w:r w:rsidR="002534BB">
        <w:rPr>
          <w:rStyle w:val="normaltextrun"/>
        </w:rPr>
        <w:t xml:space="preserve"> This is the same as the 2019-20 reporting period.</w:t>
      </w:r>
    </w:p>
    <w:p w14:paraId="26D885DD" w14:textId="77777777" w:rsidR="00221E7E" w:rsidRDefault="00221E7E" w:rsidP="00221E7E">
      <w:pPr>
        <w:pStyle w:val="paragraph"/>
        <w:spacing w:before="0" w:beforeAutospacing="0" w:after="0" w:afterAutospacing="0"/>
        <w:textAlignment w:val="baseline"/>
      </w:pPr>
      <w:r>
        <w:rPr>
          <w:rStyle w:val="eop"/>
        </w:rPr>
        <w:t> </w:t>
      </w:r>
    </w:p>
    <w:p w14:paraId="5B9428E7" w14:textId="77777777" w:rsidR="00221E7E" w:rsidRDefault="00221E7E" w:rsidP="00221E7E">
      <w:pPr>
        <w:pStyle w:val="paragraph"/>
        <w:spacing w:before="0" w:beforeAutospacing="0" w:after="0" w:afterAutospacing="0"/>
        <w:textAlignment w:val="baseline"/>
      </w:pPr>
      <w:bookmarkStart w:id="58" w:name="_Hlk133217014"/>
      <w:r>
        <w:rPr>
          <w:rStyle w:val="normaltextrun"/>
          <w:b/>
          <w:bCs/>
        </w:rPr>
        <w:t>IH1 (Indigenous Health):</w:t>
      </w:r>
      <w:r>
        <w:rPr>
          <w:rStyle w:val="normaltextrun"/>
        </w:rPr>
        <w:t xml:space="preserve"> Numbers of Integrated Team Care (ITC) services delivered by PHN.</w:t>
      </w:r>
      <w:r>
        <w:rPr>
          <w:rStyle w:val="eop"/>
        </w:rPr>
        <w:t> </w:t>
      </w:r>
    </w:p>
    <w:p w14:paraId="5DF219E8" w14:textId="77777777" w:rsidR="00221E7E" w:rsidRDefault="00221E7E" w:rsidP="00221E7E">
      <w:pPr>
        <w:pStyle w:val="paragraph"/>
        <w:spacing w:before="0" w:beforeAutospacing="0" w:after="0" w:afterAutospacing="0"/>
        <w:textAlignment w:val="baseline"/>
      </w:pPr>
    </w:p>
    <w:p w14:paraId="2BD8BA04" w14:textId="6BCECCC5" w:rsidR="00221E7E" w:rsidRDefault="00221E7E" w:rsidP="00964BE6">
      <w:pPr>
        <w:pStyle w:val="paragraph"/>
        <w:numPr>
          <w:ilvl w:val="0"/>
          <w:numId w:val="10"/>
        </w:numPr>
        <w:spacing w:before="0" w:beforeAutospacing="0" w:after="0" w:afterAutospacing="0"/>
        <w:textAlignment w:val="baseline"/>
      </w:pPr>
      <w:r>
        <w:rPr>
          <w:rStyle w:val="normaltextrun"/>
        </w:rPr>
        <w:t>All 31 PHNs have provided evidence of delivering services across the range allowed by Integrated Team Care guidelines, including care coordination, supplementary services, and clinical services.</w:t>
      </w:r>
      <w:r>
        <w:rPr>
          <w:rStyle w:val="eop"/>
        </w:rPr>
        <w:t> </w:t>
      </w:r>
      <w:r w:rsidR="00361BEC">
        <w:rPr>
          <w:rStyle w:val="normaltextrun"/>
        </w:rPr>
        <w:t>This is the same as the 2019-20 reporting period.</w:t>
      </w:r>
    </w:p>
    <w:p w14:paraId="3464F209" w14:textId="77777777" w:rsidR="00221E7E" w:rsidRDefault="00221E7E" w:rsidP="00221E7E">
      <w:pPr>
        <w:pStyle w:val="paragraph"/>
        <w:spacing w:before="0" w:beforeAutospacing="0" w:after="0" w:afterAutospacing="0"/>
        <w:textAlignment w:val="baseline"/>
      </w:pPr>
      <w:r>
        <w:rPr>
          <w:rStyle w:val="eop"/>
        </w:rPr>
        <w:t> </w:t>
      </w:r>
    </w:p>
    <w:p w14:paraId="1FA62128" w14:textId="77777777" w:rsidR="00221E7E" w:rsidRDefault="00221E7E" w:rsidP="00221E7E">
      <w:pPr>
        <w:pStyle w:val="paragraph"/>
        <w:spacing w:before="0" w:beforeAutospacing="0" w:after="0" w:afterAutospacing="0"/>
        <w:textAlignment w:val="baseline"/>
      </w:pPr>
      <w:r>
        <w:rPr>
          <w:rStyle w:val="normaltextrun"/>
          <w:b/>
          <w:bCs/>
        </w:rPr>
        <w:t>IH2 (Indigenous Health):</w:t>
      </w:r>
      <w:r>
        <w:rPr>
          <w:rStyle w:val="normaltextrun"/>
        </w:rPr>
        <w:t xml:space="preserve"> Types of organisations delivering ITC services.</w:t>
      </w:r>
      <w:r>
        <w:rPr>
          <w:rStyle w:val="eop"/>
        </w:rPr>
        <w:t> </w:t>
      </w:r>
    </w:p>
    <w:p w14:paraId="4352C5DC" w14:textId="77777777" w:rsidR="00221E7E" w:rsidRDefault="00221E7E" w:rsidP="00221E7E">
      <w:pPr>
        <w:pStyle w:val="paragraph"/>
        <w:spacing w:before="0" w:beforeAutospacing="0" w:after="0" w:afterAutospacing="0"/>
        <w:textAlignment w:val="baseline"/>
      </w:pPr>
      <w:r>
        <w:rPr>
          <w:rStyle w:val="eop"/>
        </w:rPr>
        <w:t> </w:t>
      </w:r>
    </w:p>
    <w:p w14:paraId="597D69F4" w14:textId="72C7B5E1" w:rsidR="00221E7E" w:rsidRDefault="00221E7E" w:rsidP="00964BE6">
      <w:pPr>
        <w:pStyle w:val="paragraph"/>
        <w:numPr>
          <w:ilvl w:val="0"/>
          <w:numId w:val="10"/>
        </w:numPr>
        <w:spacing w:before="0" w:beforeAutospacing="0" w:after="0" w:afterAutospacing="0"/>
        <w:textAlignment w:val="baseline"/>
      </w:pPr>
      <w:r>
        <w:rPr>
          <w:rStyle w:val="normaltextrun"/>
        </w:rPr>
        <w:t>Thirty PHNs have shown engagement with an appropriate range of Integrated Team Care services including Aboriginal Medical Services, mainstream organisations, and services delivered by the PHN itself.</w:t>
      </w:r>
      <w:r>
        <w:rPr>
          <w:rStyle w:val="eop"/>
        </w:rPr>
        <w:t> </w:t>
      </w:r>
      <w:r w:rsidR="00361BEC">
        <w:rPr>
          <w:rStyle w:val="normaltextrun"/>
        </w:rPr>
        <w:t>This is one less than in the 2019-20 reporting period.</w:t>
      </w:r>
    </w:p>
    <w:bookmarkEnd w:id="58"/>
    <w:p w14:paraId="3B569819" w14:textId="54EE4CBF" w:rsidR="00221E7E" w:rsidRDefault="00221E7E" w:rsidP="003D2F77">
      <w:pPr>
        <w:pStyle w:val="paragraph"/>
        <w:tabs>
          <w:tab w:val="left" w:pos="6611"/>
        </w:tabs>
        <w:spacing w:before="0" w:beforeAutospacing="0" w:after="0" w:afterAutospacing="0"/>
        <w:textAlignment w:val="baseline"/>
      </w:pPr>
      <w:r>
        <w:rPr>
          <w:rStyle w:val="eop"/>
        </w:rPr>
        <w:t> </w:t>
      </w:r>
      <w:r w:rsidR="00723440">
        <w:rPr>
          <w:rStyle w:val="eop"/>
        </w:rPr>
        <w:tab/>
      </w:r>
    </w:p>
    <w:p w14:paraId="0415C47D" w14:textId="77777777" w:rsidR="00221E7E" w:rsidRDefault="00221E7E" w:rsidP="00221E7E">
      <w:pPr>
        <w:pStyle w:val="paragraph"/>
        <w:spacing w:before="0" w:beforeAutospacing="0" w:after="0" w:afterAutospacing="0"/>
        <w:textAlignment w:val="baseline"/>
        <w:rPr>
          <w:i/>
          <w:iCs/>
          <w:color w:val="1F3763"/>
        </w:rPr>
      </w:pPr>
      <w:r>
        <w:rPr>
          <w:rStyle w:val="normaltextrun"/>
          <w:i/>
          <w:iCs/>
          <w:color w:val="1F3763"/>
        </w:rPr>
        <w:t>Quality Care</w:t>
      </w:r>
      <w:r>
        <w:rPr>
          <w:rStyle w:val="eop"/>
          <w:i/>
          <w:iCs/>
          <w:color w:val="1F3763"/>
        </w:rPr>
        <w:t> </w:t>
      </w:r>
    </w:p>
    <w:p w14:paraId="521F94E0" w14:textId="77777777" w:rsidR="00221E7E" w:rsidRDefault="00221E7E" w:rsidP="00221E7E">
      <w:pPr>
        <w:pStyle w:val="paragraph"/>
        <w:spacing w:before="0" w:beforeAutospacing="0" w:after="0" w:afterAutospacing="0"/>
        <w:textAlignment w:val="baseline"/>
      </w:pPr>
      <w:r>
        <w:rPr>
          <w:rStyle w:val="normaltextrun"/>
          <w:b/>
          <w:bCs/>
        </w:rPr>
        <w:t>P4 (Program):</w:t>
      </w:r>
      <w:r>
        <w:rPr>
          <w:rStyle w:val="normaltextrun"/>
        </w:rPr>
        <w:t xml:space="preserve"> Support provided to general practices and other health care providers.</w:t>
      </w:r>
      <w:r>
        <w:rPr>
          <w:rStyle w:val="eop"/>
        </w:rPr>
        <w:t> </w:t>
      </w:r>
    </w:p>
    <w:p w14:paraId="209F2853" w14:textId="77777777" w:rsidR="00221E7E" w:rsidRDefault="00221E7E" w:rsidP="00221E7E">
      <w:pPr>
        <w:pStyle w:val="paragraph"/>
        <w:spacing w:before="0" w:beforeAutospacing="0" w:after="0" w:afterAutospacing="0"/>
        <w:textAlignment w:val="baseline"/>
      </w:pPr>
      <w:r>
        <w:rPr>
          <w:rStyle w:val="eop"/>
        </w:rPr>
        <w:t> </w:t>
      </w:r>
    </w:p>
    <w:p w14:paraId="14DAAE8E" w14:textId="02C89004" w:rsidR="00221E7E" w:rsidRDefault="00221E7E" w:rsidP="00964BE6">
      <w:pPr>
        <w:pStyle w:val="paragraph"/>
        <w:numPr>
          <w:ilvl w:val="0"/>
          <w:numId w:val="10"/>
        </w:numPr>
        <w:spacing w:before="0" w:beforeAutospacing="0" w:after="0" w:afterAutospacing="0"/>
        <w:textAlignment w:val="baseline"/>
      </w:pPr>
      <w:r>
        <w:rPr>
          <w:rStyle w:val="normaltextrun"/>
        </w:rPr>
        <w:t>All 31 PHNs have demonstrated they provide a range of support activities to general practices and other health care providers within their region.</w:t>
      </w:r>
      <w:r>
        <w:rPr>
          <w:rStyle w:val="eop"/>
        </w:rPr>
        <w:t> </w:t>
      </w:r>
      <w:r w:rsidR="00361BEC">
        <w:rPr>
          <w:rStyle w:val="normaltextrun"/>
        </w:rPr>
        <w:t>This is the same as the 2019-20 reporting period.</w:t>
      </w:r>
    </w:p>
    <w:p w14:paraId="24672C1E" w14:textId="77777777" w:rsidR="00221E7E" w:rsidRDefault="00221E7E" w:rsidP="00221E7E">
      <w:pPr>
        <w:pStyle w:val="paragraph"/>
        <w:spacing w:before="0" w:beforeAutospacing="0" w:after="0" w:afterAutospacing="0"/>
        <w:textAlignment w:val="baseline"/>
      </w:pPr>
      <w:r>
        <w:rPr>
          <w:rStyle w:val="eop"/>
        </w:rPr>
        <w:t> </w:t>
      </w:r>
    </w:p>
    <w:p w14:paraId="25144D06" w14:textId="77777777" w:rsidR="00221E7E" w:rsidRDefault="00221E7E" w:rsidP="00221E7E">
      <w:pPr>
        <w:pStyle w:val="paragraph"/>
        <w:spacing w:before="0" w:beforeAutospacing="0" w:after="0" w:afterAutospacing="0"/>
        <w:textAlignment w:val="baseline"/>
      </w:pPr>
      <w:r>
        <w:rPr>
          <w:rStyle w:val="normaltextrun"/>
          <w:b/>
          <w:bCs/>
        </w:rPr>
        <w:t>MH6 (Mental Health):</w:t>
      </w:r>
      <w:r>
        <w:rPr>
          <w:rStyle w:val="normaltextrun"/>
        </w:rPr>
        <w:t xml:space="preserve"> Outcome readiness – completion rates for clinical outcome measures. </w:t>
      </w:r>
      <w:r>
        <w:rPr>
          <w:rStyle w:val="eop"/>
        </w:rPr>
        <w:t> </w:t>
      </w:r>
    </w:p>
    <w:p w14:paraId="16DB95A8" w14:textId="77777777" w:rsidR="00221E7E" w:rsidRDefault="00221E7E" w:rsidP="00221E7E">
      <w:pPr>
        <w:pStyle w:val="paragraph"/>
        <w:spacing w:before="0" w:beforeAutospacing="0" w:after="0" w:afterAutospacing="0"/>
        <w:textAlignment w:val="baseline"/>
        <w:rPr>
          <w:rStyle w:val="eop"/>
        </w:rPr>
      </w:pPr>
    </w:p>
    <w:p w14:paraId="16E05B03" w14:textId="6E31E5E9" w:rsidR="006F4AEE" w:rsidRDefault="00221E7E" w:rsidP="006F4AEE">
      <w:pPr>
        <w:pStyle w:val="paragraph"/>
        <w:numPr>
          <w:ilvl w:val="0"/>
          <w:numId w:val="10"/>
        </w:numPr>
        <w:spacing w:before="0" w:beforeAutospacing="0" w:after="0" w:afterAutospacing="0"/>
        <w:textAlignment w:val="baseline"/>
        <w:rPr>
          <w:rStyle w:val="normaltextrun"/>
        </w:rPr>
      </w:pPr>
      <w:r>
        <w:rPr>
          <w:rStyle w:val="normaltextrun"/>
        </w:rPr>
        <w:t xml:space="preserve">In 2020-21, five PHNs </w:t>
      </w:r>
      <w:r w:rsidR="00E601B6" w:rsidRPr="00E601B6">
        <w:rPr>
          <w:color w:val="000000" w:themeColor="text1"/>
        </w:rPr>
        <w:t>met the 70</w:t>
      </w:r>
      <w:r w:rsidR="00630BD7">
        <w:rPr>
          <w:color w:val="000000" w:themeColor="text1"/>
        </w:rPr>
        <w:t xml:space="preserve"> per cent</w:t>
      </w:r>
      <w:r w:rsidR="00E601B6" w:rsidRPr="00E601B6">
        <w:rPr>
          <w:color w:val="000000" w:themeColor="text1"/>
        </w:rPr>
        <w:t xml:space="preserve"> target rate of episodes of care that recorded outcome measures at episode start and episode completion. </w:t>
      </w:r>
      <w:r w:rsidR="00E601B6" w:rsidRPr="00080BBC">
        <w:rPr>
          <w:color w:val="000000" w:themeColor="text1"/>
        </w:rPr>
        <w:t>The national median proportion of episodes with outcomes collected was 42</w:t>
      </w:r>
      <w:r w:rsidR="00630BD7">
        <w:rPr>
          <w:color w:val="000000" w:themeColor="text1"/>
        </w:rPr>
        <w:t xml:space="preserve"> per cent</w:t>
      </w:r>
      <w:r w:rsidR="00E601B6" w:rsidRPr="00080BBC">
        <w:rPr>
          <w:color w:val="000000" w:themeColor="text1"/>
        </w:rPr>
        <w:t xml:space="preserve"> in 2020-21. Comparatively, during 2019–20, the National Outcome and </w:t>
      </w:r>
      <w:proofErr w:type="spellStart"/>
      <w:r w:rsidR="00E601B6" w:rsidRPr="00080BBC">
        <w:rPr>
          <w:color w:val="000000" w:themeColor="text1"/>
        </w:rPr>
        <w:t>Casemix</w:t>
      </w:r>
      <w:proofErr w:type="spellEnd"/>
      <w:r w:rsidR="00E601B6" w:rsidRPr="00080BBC">
        <w:rPr>
          <w:color w:val="000000" w:themeColor="text1"/>
        </w:rPr>
        <w:t xml:space="preserve"> Collection (NOCC) measures were collected for 43</w:t>
      </w:r>
      <w:r w:rsidR="00630BD7">
        <w:rPr>
          <w:color w:val="000000" w:themeColor="text1"/>
        </w:rPr>
        <w:t xml:space="preserve"> per cent</w:t>
      </w:r>
      <w:r w:rsidR="00E601B6" w:rsidRPr="00080BBC">
        <w:rPr>
          <w:color w:val="000000" w:themeColor="text1"/>
        </w:rPr>
        <w:t xml:space="preserve"> of people who received clinical care from public sector specialised mental health services.</w:t>
      </w:r>
    </w:p>
    <w:p w14:paraId="51D94668" w14:textId="77777777" w:rsidR="00221E7E" w:rsidRDefault="00221E7E" w:rsidP="00221E7E">
      <w:pPr>
        <w:pStyle w:val="paragraph"/>
        <w:spacing w:before="0" w:beforeAutospacing="0" w:after="0" w:afterAutospacing="0"/>
        <w:textAlignment w:val="baseline"/>
      </w:pPr>
      <w:r>
        <w:rPr>
          <w:rStyle w:val="eop"/>
        </w:rPr>
        <w:t> </w:t>
      </w:r>
    </w:p>
    <w:p w14:paraId="176EE0FF" w14:textId="77777777" w:rsidR="00221E7E" w:rsidRDefault="00221E7E" w:rsidP="00221E7E">
      <w:pPr>
        <w:pStyle w:val="paragraph"/>
        <w:spacing w:before="0" w:beforeAutospacing="0" w:after="0" w:afterAutospacing="0"/>
        <w:textAlignment w:val="baseline"/>
      </w:pPr>
      <w:bookmarkStart w:id="59" w:name="_Hlk133217026"/>
      <w:r>
        <w:rPr>
          <w:rStyle w:val="normaltextrun"/>
          <w:b/>
          <w:bCs/>
        </w:rPr>
        <w:t xml:space="preserve">IH3 (Indigenous Health): </w:t>
      </w:r>
      <w:r>
        <w:rPr>
          <w:rStyle w:val="normaltextrun"/>
        </w:rPr>
        <w:t>Evidence that all drug and alcohol commissioned services are culturally appropriate for Aboriginal and Torres Strait Islander people.</w:t>
      </w:r>
      <w:r>
        <w:rPr>
          <w:rStyle w:val="eop"/>
        </w:rPr>
        <w:t> </w:t>
      </w:r>
    </w:p>
    <w:p w14:paraId="13BA5415" w14:textId="77777777" w:rsidR="00221E7E" w:rsidRDefault="00221E7E" w:rsidP="00221E7E">
      <w:pPr>
        <w:pStyle w:val="paragraph"/>
        <w:spacing w:before="0" w:beforeAutospacing="0" w:after="0" w:afterAutospacing="0"/>
        <w:textAlignment w:val="baseline"/>
      </w:pPr>
      <w:r>
        <w:rPr>
          <w:rStyle w:val="eop"/>
        </w:rPr>
        <w:t> </w:t>
      </w:r>
    </w:p>
    <w:p w14:paraId="6E385B01" w14:textId="376BF208" w:rsidR="00221E7E" w:rsidRDefault="00221E7E" w:rsidP="00964BE6">
      <w:pPr>
        <w:pStyle w:val="paragraph"/>
        <w:numPr>
          <w:ilvl w:val="0"/>
          <w:numId w:val="10"/>
        </w:numPr>
        <w:spacing w:before="0" w:beforeAutospacing="0" w:after="0" w:afterAutospacing="0"/>
        <w:textAlignment w:val="baseline"/>
      </w:pPr>
      <w:r>
        <w:rPr>
          <w:rStyle w:val="normaltextrun"/>
        </w:rPr>
        <w:lastRenderedPageBreak/>
        <w:t>All 31 PHNs provided adequate evidence of the cultural appropriateness of these services, which is one more than in the 2019-20 reporting period.</w:t>
      </w:r>
      <w:r>
        <w:rPr>
          <w:rStyle w:val="eop"/>
        </w:rPr>
        <w:t> </w:t>
      </w:r>
      <w:r w:rsidR="004D0A3D">
        <w:rPr>
          <w:rStyle w:val="normaltextrun"/>
        </w:rPr>
        <w:t>This is one more than in the 2019-20 reporting period.</w:t>
      </w:r>
    </w:p>
    <w:p w14:paraId="03082A1B" w14:textId="77777777" w:rsidR="00221E7E" w:rsidRDefault="00221E7E" w:rsidP="00221E7E">
      <w:pPr>
        <w:pStyle w:val="paragraph"/>
        <w:spacing w:before="0" w:beforeAutospacing="0" w:after="0" w:afterAutospacing="0"/>
        <w:textAlignment w:val="baseline"/>
      </w:pPr>
      <w:r>
        <w:rPr>
          <w:rStyle w:val="eop"/>
        </w:rPr>
        <w:t> </w:t>
      </w:r>
    </w:p>
    <w:p w14:paraId="57F2B61F" w14:textId="13866EEC" w:rsidR="00457DFD" w:rsidRDefault="00221E7E" w:rsidP="00EB4ADA">
      <w:pPr>
        <w:pStyle w:val="paragraph"/>
        <w:spacing w:before="0" w:beforeAutospacing="0" w:after="0" w:afterAutospacing="0"/>
        <w:textAlignment w:val="baseline"/>
      </w:pPr>
      <w:r>
        <w:rPr>
          <w:rStyle w:val="normaltextrun"/>
          <w:b/>
          <w:bCs/>
        </w:rPr>
        <w:t xml:space="preserve">IH4 (Indigenous Health): </w:t>
      </w:r>
      <w:r>
        <w:rPr>
          <w:rStyle w:val="normaltextrun"/>
        </w:rPr>
        <w:t>Proportion of PHN commissioned mental health services delivered to the regional Aboriginal and Torres Strait Islander population that were culturally appropriate.</w:t>
      </w:r>
      <w:r w:rsidR="00673CD1">
        <w:br/>
      </w:r>
    </w:p>
    <w:p w14:paraId="370C599D" w14:textId="7F8559E2" w:rsidR="00970AB1" w:rsidRPr="00673CD1" w:rsidRDefault="00E601B6" w:rsidP="00970AB1">
      <w:pPr>
        <w:pStyle w:val="paragraph"/>
        <w:numPr>
          <w:ilvl w:val="0"/>
          <w:numId w:val="10"/>
        </w:numPr>
        <w:spacing w:before="0" w:beforeAutospacing="0" w:after="0" w:afterAutospacing="0"/>
        <w:textAlignment w:val="baseline"/>
      </w:pPr>
      <w:r>
        <w:rPr>
          <w:rStyle w:val="normaltextrun"/>
        </w:rPr>
        <w:t xml:space="preserve">Eighteen </w:t>
      </w:r>
      <w:r w:rsidR="00970AB1" w:rsidRPr="00673CD1">
        <w:rPr>
          <w:rStyle w:val="normaltextrun"/>
        </w:rPr>
        <w:t xml:space="preserve">PHNs </w:t>
      </w:r>
      <w:r w:rsidRPr="00B67850">
        <w:rPr>
          <w:color w:val="000000" w:themeColor="text1"/>
        </w:rPr>
        <w:t xml:space="preserve">met the growth target </w:t>
      </w:r>
      <w:r>
        <w:rPr>
          <w:color w:val="000000" w:themeColor="text1"/>
        </w:rPr>
        <w:t>(at least a 5 per cent increase)</w:t>
      </w:r>
      <w:r w:rsidR="00970AB1" w:rsidRPr="00673CD1">
        <w:rPr>
          <w:rStyle w:val="normaltextrun"/>
        </w:rPr>
        <w:t xml:space="preserve"> </w:t>
      </w:r>
      <w:r>
        <w:rPr>
          <w:rStyle w:val="normaltextrun"/>
        </w:rPr>
        <w:t xml:space="preserve">for </w:t>
      </w:r>
      <w:r w:rsidR="00970AB1" w:rsidRPr="00673CD1">
        <w:rPr>
          <w:rStyle w:val="normaltextrun"/>
        </w:rPr>
        <w:t xml:space="preserve">the proportion of </w:t>
      </w:r>
      <w:r w:rsidRPr="00B67850">
        <w:rPr>
          <w:color w:val="000000" w:themeColor="text1"/>
        </w:rPr>
        <w:t xml:space="preserve">PHN commissioned mental health services delivered to Aboriginal and Torres Strait Islander people </w:t>
      </w:r>
      <w:r w:rsidR="00970AB1" w:rsidRPr="00673CD1">
        <w:rPr>
          <w:rStyle w:val="normaltextrun"/>
        </w:rPr>
        <w:t xml:space="preserve">that were culturally appropriate in the 2020-21 reporting period. </w:t>
      </w:r>
      <w:r w:rsidRPr="00B67850">
        <w:rPr>
          <w:color w:val="000000" w:themeColor="text1"/>
        </w:rPr>
        <w:t xml:space="preserve">However, </w:t>
      </w:r>
      <w:r>
        <w:rPr>
          <w:color w:val="000000" w:themeColor="text1"/>
        </w:rPr>
        <w:t xml:space="preserve">23 </w:t>
      </w:r>
      <w:r w:rsidRPr="00B67850">
        <w:rPr>
          <w:color w:val="000000" w:themeColor="text1"/>
        </w:rPr>
        <w:t>PHNs improved on the proportion of services that were culturally appropriate compared to 2019-20.</w:t>
      </w:r>
    </w:p>
    <w:p w14:paraId="0E22A232" w14:textId="66B10A82" w:rsidR="00221E7E" w:rsidRDefault="00221E7E" w:rsidP="00A234D4">
      <w:pPr>
        <w:pStyle w:val="paragraph"/>
        <w:spacing w:before="0" w:beforeAutospacing="0" w:after="0" w:afterAutospacing="0"/>
        <w:ind w:left="720"/>
        <w:textAlignment w:val="baseline"/>
      </w:pPr>
      <w:r>
        <w:rPr>
          <w:rStyle w:val="eop"/>
        </w:rPr>
        <w:t> </w:t>
      </w:r>
    </w:p>
    <w:p w14:paraId="61B5209E" w14:textId="77777777" w:rsidR="00221E7E" w:rsidRDefault="00221E7E" w:rsidP="00221E7E">
      <w:pPr>
        <w:pStyle w:val="paragraph"/>
        <w:spacing w:before="0" w:beforeAutospacing="0" w:after="0" w:afterAutospacing="0"/>
        <w:textAlignment w:val="baseline"/>
      </w:pPr>
      <w:r>
        <w:rPr>
          <w:rStyle w:val="normaltextrun"/>
          <w:b/>
          <w:bCs/>
        </w:rPr>
        <w:t>IH5 (Indigenous Health):</w:t>
      </w:r>
      <w:r>
        <w:rPr>
          <w:rStyle w:val="normaltextrun"/>
        </w:rPr>
        <w:t xml:space="preserve"> ITC improves the cultural competency of mainstream primary health care services.</w:t>
      </w:r>
      <w:r>
        <w:rPr>
          <w:rStyle w:val="eop"/>
        </w:rPr>
        <w:t> </w:t>
      </w:r>
    </w:p>
    <w:p w14:paraId="7CB14009" w14:textId="77777777" w:rsidR="00221E7E" w:rsidRDefault="00221E7E" w:rsidP="00221E7E">
      <w:pPr>
        <w:pStyle w:val="paragraph"/>
        <w:spacing w:before="0" w:beforeAutospacing="0" w:after="0" w:afterAutospacing="0"/>
        <w:textAlignment w:val="baseline"/>
      </w:pPr>
      <w:r>
        <w:rPr>
          <w:rStyle w:val="eop"/>
        </w:rPr>
        <w:t> </w:t>
      </w:r>
    </w:p>
    <w:p w14:paraId="00495316" w14:textId="26CA590B" w:rsidR="00837262" w:rsidRDefault="00221E7E" w:rsidP="00964BE6">
      <w:pPr>
        <w:pStyle w:val="paragraph"/>
        <w:numPr>
          <w:ilvl w:val="0"/>
          <w:numId w:val="10"/>
        </w:numPr>
        <w:spacing w:before="0" w:beforeAutospacing="0" w:after="0" w:afterAutospacing="0"/>
        <w:textAlignment w:val="baseline"/>
      </w:pPr>
      <w:r>
        <w:rPr>
          <w:rStyle w:val="normaltextrun"/>
        </w:rPr>
        <w:t>All 31 PHNs have described sufficient activities undertaken to improve the cultural competency of mainstream primary health care services</w:t>
      </w:r>
      <w:r w:rsidR="00837262">
        <w:rPr>
          <w:rStyle w:val="normaltextrun"/>
        </w:rPr>
        <w:t>. This is the same as the 2019-20 reporting period.</w:t>
      </w:r>
    </w:p>
    <w:p w14:paraId="13724EA8" w14:textId="1805105E" w:rsidR="00221E7E" w:rsidRDefault="00221E7E" w:rsidP="00837262">
      <w:pPr>
        <w:pStyle w:val="paragraph"/>
        <w:spacing w:before="0" w:beforeAutospacing="0" w:after="0" w:afterAutospacing="0"/>
        <w:ind w:left="360"/>
        <w:textAlignment w:val="baseline"/>
      </w:pPr>
      <w:r>
        <w:rPr>
          <w:rStyle w:val="eop"/>
        </w:rPr>
        <w:t> </w:t>
      </w:r>
    </w:p>
    <w:p w14:paraId="23403AC8" w14:textId="77777777" w:rsidR="00221E7E" w:rsidRDefault="00221E7E" w:rsidP="00221E7E">
      <w:pPr>
        <w:pStyle w:val="paragraph"/>
        <w:spacing w:before="0" w:beforeAutospacing="0" w:after="0" w:afterAutospacing="0"/>
        <w:textAlignment w:val="baseline"/>
      </w:pPr>
      <w:r>
        <w:rPr>
          <w:rStyle w:val="normaltextrun"/>
          <w:b/>
          <w:bCs/>
        </w:rPr>
        <w:t>IH6 (Indigenous Health):</w:t>
      </w:r>
      <w:r>
        <w:rPr>
          <w:rStyle w:val="normaltextrun"/>
        </w:rPr>
        <w:t xml:space="preserve"> PHN provides support for </w:t>
      </w:r>
      <w:proofErr w:type="gramStart"/>
      <w:r>
        <w:rPr>
          <w:rStyle w:val="normaltextrun"/>
        </w:rPr>
        <w:t>Aboriginal</w:t>
      </w:r>
      <w:proofErr w:type="gramEnd"/>
      <w:r>
        <w:rPr>
          <w:rStyle w:val="normaltextrun"/>
        </w:rPr>
        <w:t xml:space="preserve"> and Torres Strait Islander identified health workforce.</w:t>
      </w:r>
      <w:r>
        <w:rPr>
          <w:rStyle w:val="eop"/>
        </w:rPr>
        <w:t> </w:t>
      </w:r>
    </w:p>
    <w:p w14:paraId="721BC386" w14:textId="77777777" w:rsidR="00221E7E" w:rsidRDefault="00221E7E" w:rsidP="00221E7E">
      <w:pPr>
        <w:pStyle w:val="paragraph"/>
        <w:spacing w:before="0" w:beforeAutospacing="0" w:after="0" w:afterAutospacing="0"/>
        <w:textAlignment w:val="baseline"/>
      </w:pPr>
      <w:r>
        <w:rPr>
          <w:rStyle w:val="eop"/>
        </w:rPr>
        <w:t> </w:t>
      </w:r>
    </w:p>
    <w:p w14:paraId="3241BDF3" w14:textId="53E06380" w:rsidR="00E528D5" w:rsidRDefault="00221E7E" w:rsidP="00221E7E">
      <w:pPr>
        <w:pStyle w:val="paragraph"/>
        <w:numPr>
          <w:ilvl w:val="0"/>
          <w:numId w:val="10"/>
        </w:numPr>
        <w:spacing w:before="0" w:beforeAutospacing="0" w:after="0" w:afterAutospacing="0"/>
        <w:textAlignment w:val="baseline"/>
        <w:rPr>
          <w:rStyle w:val="normaltextrun"/>
        </w:rPr>
      </w:pPr>
      <w:r>
        <w:rPr>
          <w:rStyle w:val="normaltextrun"/>
        </w:rPr>
        <w:t>30 PHNs have supplied either or both descriptions of formal and informal support activities, and a workforce strategy addressing the capability, capacity, and proportion of the Aboriginal and Torres Strait Islander identified health workforce. This is the same as the 2019-20 reporting period.</w:t>
      </w:r>
    </w:p>
    <w:p w14:paraId="78C4D09A" w14:textId="2F111F19" w:rsidR="00221E7E" w:rsidRDefault="006002A8" w:rsidP="00E528D5">
      <w:pPr>
        <w:pStyle w:val="paragraph"/>
        <w:spacing w:before="0" w:beforeAutospacing="0" w:after="0" w:afterAutospacing="0"/>
        <w:textAlignment w:val="baseline"/>
        <w:rPr>
          <w:rStyle w:val="normaltextrun"/>
        </w:rPr>
      </w:pPr>
      <w:r>
        <w:rPr>
          <w:rStyle w:val="normaltextrun"/>
        </w:rPr>
        <w:br/>
      </w:r>
      <w:r w:rsidRPr="006002A8">
        <w:rPr>
          <w:rStyle w:val="normaltextrun"/>
          <w:b/>
          <w:bCs/>
        </w:rPr>
        <w:t>W1 (Workforce):</w:t>
      </w:r>
      <w:r>
        <w:rPr>
          <w:rStyle w:val="normaltextrun"/>
        </w:rPr>
        <w:t xml:space="preserve"> Rate of drug and alcohol treatment service providers with suitable accreditation.</w:t>
      </w:r>
      <w:bookmarkEnd w:id="59"/>
    </w:p>
    <w:p w14:paraId="31839CF5" w14:textId="77777777" w:rsidR="00221E7E" w:rsidRDefault="00221E7E" w:rsidP="00221E7E">
      <w:pPr>
        <w:pStyle w:val="paragraph"/>
        <w:spacing w:before="0" w:beforeAutospacing="0" w:after="0" w:afterAutospacing="0"/>
        <w:textAlignment w:val="baseline"/>
        <w:rPr>
          <w:rStyle w:val="normaltextrun"/>
        </w:rPr>
      </w:pPr>
    </w:p>
    <w:p w14:paraId="561807FD" w14:textId="204CD575" w:rsidR="00D902B6" w:rsidRPr="00E528D5" w:rsidRDefault="00221E7E" w:rsidP="00E528D5">
      <w:pPr>
        <w:pStyle w:val="paragraph"/>
        <w:numPr>
          <w:ilvl w:val="0"/>
          <w:numId w:val="10"/>
        </w:numPr>
        <w:spacing w:before="0" w:beforeAutospacing="0" w:after="0" w:afterAutospacing="0"/>
        <w:textAlignment w:val="baseline"/>
      </w:pPr>
      <w:r>
        <w:rPr>
          <w:rStyle w:val="normaltextrun"/>
        </w:rPr>
        <w:t>Thirty PHNs report all specialist drug and alcohol treatment service providers have or are working toward accreditation</w:t>
      </w:r>
      <w:r w:rsidR="00465454">
        <w:rPr>
          <w:rStyle w:val="normaltextrun"/>
        </w:rPr>
        <w:t xml:space="preserve">. This </w:t>
      </w:r>
      <w:r>
        <w:rPr>
          <w:rStyle w:val="normaltextrun"/>
        </w:rPr>
        <w:t>i</w:t>
      </w:r>
      <w:r w:rsidRPr="00E528D5">
        <w:rPr>
          <w:rStyle w:val="normaltextrun"/>
        </w:rPr>
        <w:t>s four more</w:t>
      </w:r>
      <w:r>
        <w:rPr>
          <w:rStyle w:val="normaltextrun"/>
        </w:rPr>
        <w:t xml:space="preserve"> than in the 2019-20 reporting period.</w:t>
      </w:r>
      <w:r>
        <w:rPr>
          <w:rStyle w:val="eop"/>
        </w:rPr>
        <w:t> </w:t>
      </w:r>
    </w:p>
    <w:p w14:paraId="4255A714" w14:textId="77777777" w:rsidR="00221E7E" w:rsidRDefault="00221E7E" w:rsidP="00221E7E">
      <w:pPr>
        <w:pStyle w:val="paragraph"/>
        <w:spacing w:before="0" w:beforeAutospacing="0" w:after="0" w:afterAutospacing="0"/>
        <w:textAlignment w:val="baseline"/>
      </w:pPr>
      <w:r>
        <w:rPr>
          <w:rStyle w:val="eop"/>
        </w:rPr>
        <w:t> </w:t>
      </w:r>
    </w:p>
    <w:p w14:paraId="6AF776C4" w14:textId="77777777" w:rsidR="00221E7E" w:rsidRDefault="00221E7E" w:rsidP="00221E7E">
      <w:pPr>
        <w:pStyle w:val="paragraph"/>
        <w:spacing w:before="0" w:beforeAutospacing="0" w:after="0" w:afterAutospacing="0"/>
        <w:textAlignment w:val="baseline"/>
      </w:pPr>
      <w:r>
        <w:rPr>
          <w:rStyle w:val="normaltextrun"/>
          <w:b/>
          <w:bCs/>
        </w:rPr>
        <w:t>W2 (Workforce):</w:t>
      </w:r>
      <w:r>
        <w:rPr>
          <w:rStyle w:val="normaltextrun"/>
        </w:rPr>
        <w:t xml:space="preserve"> PHN support for drug and alcohol commissioned health professionals.</w:t>
      </w:r>
      <w:r>
        <w:rPr>
          <w:rStyle w:val="eop"/>
        </w:rPr>
        <w:t> </w:t>
      </w:r>
    </w:p>
    <w:p w14:paraId="32942880" w14:textId="77777777" w:rsidR="00221E7E" w:rsidRDefault="00221E7E" w:rsidP="00221E7E">
      <w:pPr>
        <w:pStyle w:val="paragraph"/>
        <w:spacing w:before="0" w:beforeAutospacing="0" w:after="0" w:afterAutospacing="0"/>
        <w:textAlignment w:val="baseline"/>
      </w:pPr>
      <w:r>
        <w:rPr>
          <w:rStyle w:val="eop"/>
        </w:rPr>
        <w:t> </w:t>
      </w:r>
    </w:p>
    <w:p w14:paraId="78E29488" w14:textId="73CD9879" w:rsidR="00221E7E" w:rsidRDefault="00221E7E" w:rsidP="00964BE6">
      <w:pPr>
        <w:pStyle w:val="paragraph"/>
        <w:numPr>
          <w:ilvl w:val="0"/>
          <w:numId w:val="10"/>
        </w:numPr>
        <w:spacing w:before="0" w:beforeAutospacing="0" w:after="0" w:afterAutospacing="0"/>
        <w:textAlignment w:val="baseline"/>
      </w:pPr>
      <w:r>
        <w:rPr>
          <w:rStyle w:val="normaltextrun"/>
        </w:rPr>
        <w:t>Twenty-eight PHNs supplied adequate evidence of support provided to drug and alcohol commissioned health professionals</w:t>
      </w:r>
      <w:r w:rsidR="00790D8B">
        <w:rPr>
          <w:rStyle w:val="normaltextrun"/>
        </w:rPr>
        <w:t xml:space="preserve">. This </w:t>
      </w:r>
      <w:r>
        <w:rPr>
          <w:rStyle w:val="normaltextrun"/>
        </w:rPr>
        <w:t>is two more than in the 2019-20 reporting period.</w:t>
      </w:r>
      <w:r>
        <w:rPr>
          <w:rStyle w:val="eop"/>
        </w:rPr>
        <w:t> </w:t>
      </w:r>
    </w:p>
    <w:p w14:paraId="27692409" w14:textId="77777777" w:rsidR="00221E7E" w:rsidRDefault="00221E7E" w:rsidP="00221E7E">
      <w:pPr>
        <w:pStyle w:val="paragraph"/>
        <w:spacing w:before="0" w:beforeAutospacing="0" w:after="0" w:afterAutospacing="0"/>
        <w:textAlignment w:val="baseline"/>
      </w:pPr>
      <w:r>
        <w:rPr>
          <w:rStyle w:val="eop"/>
        </w:rPr>
        <w:t> </w:t>
      </w:r>
    </w:p>
    <w:p w14:paraId="07984637" w14:textId="77777777" w:rsidR="00221E7E" w:rsidRDefault="00221E7E" w:rsidP="00221E7E">
      <w:pPr>
        <w:pStyle w:val="paragraph"/>
        <w:spacing w:before="0" w:beforeAutospacing="0" w:after="0" w:afterAutospacing="0"/>
        <w:textAlignment w:val="baseline"/>
      </w:pPr>
      <w:r>
        <w:rPr>
          <w:rStyle w:val="normaltextrun"/>
          <w:b/>
          <w:bCs/>
        </w:rPr>
        <w:t>W3 (Workforce):</w:t>
      </w:r>
      <w:r>
        <w:rPr>
          <w:rStyle w:val="normaltextrun"/>
        </w:rPr>
        <w:t xml:space="preserve"> PHN Commissioning Framework.</w:t>
      </w:r>
      <w:r>
        <w:rPr>
          <w:rStyle w:val="eop"/>
        </w:rPr>
        <w:t> </w:t>
      </w:r>
    </w:p>
    <w:p w14:paraId="77CA5064" w14:textId="77777777" w:rsidR="00221E7E" w:rsidRDefault="00221E7E" w:rsidP="00221E7E">
      <w:pPr>
        <w:pStyle w:val="paragraph"/>
        <w:spacing w:before="0" w:beforeAutospacing="0" w:after="0" w:afterAutospacing="0"/>
        <w:textAlignment w:val="baseline"/>
      </w:pPr>
      <w:r>
        <w:rPr>
          <w:rStyle w:val="eop"/>
        </w:rPr>
        <w:t> </w:t>
      </w:r>
    </w:p>
    <w:p w14:paraId="277B172C" w14:textId="77777777" w:rsidR="00221E7E" w:rsidRDefault="00221E7E" w:rsidP="00964BE6">
      <w:pPr>
        <w:pStyle w:val="paragraph"/>
        <w:numPr>
          <w:ilvl w:val="0"/>
          <w:numId w:val="10"/>
        </w:numPr>
        <w:spacing w:before="0" w:beforeAutospacing="0" w:after="0" w:afterAutospacing="0"/>
        <w:textAlignment w:val="baseline"/>
      </w:pPr>
      <w:r>
        <w:rPr>
          <w:rStyle w:val="normaltextrun"/>
        </w:rPr>
        <w:t>All 31 PHNs have Commissioning Frameworks including strategic planning, procuring services, and monitoring evaluation phases, with cultural appropriateness and stakeholder engagement considered throughout the process. This is the same as the 2019-20 reporting period.</w:t>
      </w:r>
    </w:p>
    <w:p w14:paraId="3834BCCA" w14:textId="77777777" w:rsidR="00221E7E" w:rsidRDefault="00221E7E" w:rsidP="00221E7E">
      <w:pPr>
        <w:pStyle w:val="paragraph"/>
        <w:spacing w:before="0" w:beforeAutospacing="0" w:after="0" w:afterAutospacing="0"/>
        <w:textAlignment w:val="baseline"/>
      </w:pPr>
      <w:r>
        <w:rPr>
          <w:rStyle w:val="eop"/>
        </w:rPr>
        <w:t> </w:t>
      </w:r>
    </w:p>
    <w:p w14:paraId="5A3B6800" w14:textId="77777777" w:rsidR="00221E7E" w:rsidRDefault="00221E7E" w:rsidP="00221E7E">
      <w:pPr>
        <w:pStyle w:val="paragraph"/>
        <w:spacing w:before="0" w:beforeAutospacing="0" w:after="0" w:afterAutospacing="0"/>
        <w:textAlignment w:val="baseline"/>
      </w:pPr>
      <w:r>
        <w:rPr>
          <w:rStyle w:val="normaltextrun"/>
          <w:b/>
          <w:bCs/>
        </w:rPr>
        <w:t>DH2 (Digital Health):</w:t>
      </w:r>
      <w:r>
        <w:rPr>
          <w:rStyle w:val="normaltextrun"/>
        </w:rPr>
        <w:t xml:space="preserve"> Rate of health care providers using specific digital health systems.</w:t>
      </w:r>
    </w:p>
    <w:p w14:paraId="3411A0F1" w14:textId="77777777" w:rsidR="00221E7E" w:rsidRDefault="00221E7E" w:rsidP="00221E7E">
      <w:pPr>
        <w:pStyle w:val="paragraph"/>
        <w:spacing w:before="0" w:beforeAutospacing="0" w:after="0" w:afterAutospacing="0"/>
        <w:textAlignment w:val="baseline"/>
        <w:rPr>
          <w:rStyle w:val="eop"/>
        </w:rPr>
      </w:pPr>
    </w:p>
    <w:p w14:paraId="776F8765" w14:textId="42409171" w:rsidR="00255033" w:rsidRDefault="00221E7E" w:rsidP="003702FD">
      <w:pPr>
        <w:pStyle w:val="paragraph"/>
        <w:numPr>
          <w:ilvl w:val="0"/>
          <w:numId w:val="10"/>
        </w:numPr>
        <w:spacing w:before="0" w:beforeAutospacing="0" w:after="0" w:afterAutospacing="0"/>
        <w:textAlignment w:val="baseline"/>
      </w:pPr>
      <w:r>
        <w:rPr>
          <w:rStyle w:val="eop"/>
        </w:rPr>
        <w:t xml:space="preserve">Thirty </w:t>
      </w:r>
      <w:r>
        <w:rPr>
          <w:rStyle w:val="normaltextrun"/>
        </w:rPr>
        <w:t>PHNs reported an increase in the rate of general practices, pharmacies, and allied health service practices using smart forms, e-referrals, and telehealth</w:t>
      </w:r>
      <w:r w:rsidR="00255033">
        <w:rPr>
          <w:rStyle w:val="normaltextrun"/>
        </w:rPr>
        <w:t xml:space="preserve">. </w:t>
      </w:r>
      <w:r w:rsidR="000028C1" w:rsidRPr="00E528D5">
        <w:rPr>
          <w:rStyle w:val="normaltextrun"/>
        </w:rPr>
        <w:t>This is three more</w:t>
      </w:r>
      <w:r w:rsidR="000028C1">
        <w:rPr>
          <w:rStyle w:val="normaltextrun"/>
        </w:rPr>
        <w:t xml:space="preserve"> than in the 2019-20 reporting period.</w:t>
      </w:r>
      <w:r w:rsidR="000028C1">
        <w:rPr>
          <w:rStyle w:val="eop"/>
        </w:rPr>
        <w:t> </w:t>
      </w:r>
    </w:p>
    <w:p w14:paraId="13FF2AF7" w14:textId="77777777" w:rsidR="00410EAC" w:rsidRDefault="00410EAC" w:rsidP="00410EAC">
      <w:pPr>
        <w:pStyle w:val="paragraph"/>
        <w:spacing w:before="0" w:beforeAutospacing="0" w:after="0" w:afterAutospacing="0"/>
        <w:textAlignment w:val="baseline"/>
      </w:pPr>
      <w:r>
        <w:rPr>
          <w:rStyle w:val="eop"/>
        </w:rPr>
        <w:t> </w:t>
      </w:r>
    </w:p>
    <w:p w14:paraId="3F1FEF51" w14:textId="1D12F125" w:rsidR="00410EAC" w:rsidRDefault="00410EAC" w:rsidP="00410EAC">
      <w:pPr>
        <w:pStyle w:val="paragraph"/>
        <w:spacing w:before="0" w:beforeAutospacing="0" w:after="0" w:afterAutospacing="0"/>
        <w:textAlignment w:val="baseline"/>
      </w:pPr>
      <w:r>
        <w:rPr>
          <w:rStyle w:val="normaltextrun"/>
          <w:b/>
          <w:bCs/>
        </w:rPr>
        <w:t xml:space="preserve">DH3 (Digital Health): </w:t>
      </w:r>
      <w:r>
        <w:rPr>
          <w:rStyle w:val="normaltextrun"/>
        </w:rPr>
        <w:t>Rate of accredited general practices sharing data with PHN.</w:t>
      </w:r>
    </w:p>
    <w:p w14:paraId="59C5C501" w14:textId="77777777" w:rsidR="00221E7E" w:rsidRDefault="00221E7E" w:rsidP="00221E7E">
      <w:pPr>
        <w:pStyle w:val="paragraph"/>
        <w:spacing w:before="0" w:beforeAutospacing="0" w:after="0" w:afterAutospacing="0"/>
        <w:textAlignment w:val="baseline"/>
        <w:rPr>
          <w:rStyle w:val="eop"/>
        </w:rPr>
      </w:pPr>
    </w:p>
    <w:p w14:paraId="6DF2DA8D" w14:textId="3C849405" w:rsidR="008C550F" w:rsidRPr="008C550F" w:rsidRDefault="00221E7E" w:rsidP="00E601B6">
      <w:pPr>
        <w:pStyle w:val="paragraph"/>
        <w:numPr>
          <w:ilvl w:val="0"/>
          <w:numId w:val="10"/>
        </w:numPr>
        <w:spacing w:before="0" w:beforeAutospacing="0" w:after="0" w:afterAutospacing="0"/>
        <w:textAlignment w:val="baseline"/>
        <w:rPr>
          <w:i/>
          <w:iCs/>
        </w:rPr>
      </w:pPr>
      <w:r>
        <w:rPr>
          <w:rStyle w:val="eop"/>
        </w:rPr>
        <w:lastRenderedPageBreak/>
        <w:t>Twenty-three</w:t>
      </w:r>
      <w:r w:rsidR="00410EAC">
        <w:rPr>
          <w:rStyle w:val="normaltextrun"/>
        </w:rPr>
        <w:t xml:space="preserve"> PHNs reported at least a </w:t>
      </w:r>
      <w:r>
        <w:rPr>
          <w:rStyle w:val="normaltextrun"/>
        </w:rPr>
        <w:t>five per cent</w:t>
      </w:r>
      <w:r w:rsidR="00410EAC">
        <w:rPr>
          <w:rStyle w:val="normaltextrun"/>
        </w:rPr>
        <w:t xml:space="preserve"> increase in the rate of accredited general practices sharing data with them (or where the baseline rate was over 60</w:t>
      </w:r>
      <w:r>
        <w:rPr>
          <w:rStyle w:val="normaltextrun"/>
        </w:rPr>
        <w:t xml:space="preserve"> per cent</w:t>
      </w:r>
      <w:r w:rsidR="00410EAC">
        <w:rPr>
          <w:rStyle w:val="normaltextrun"/>
        </w:rPr>
        <w:t>, maintenance of that rate).</w:t>
      </w:r>
      <w:r w:rsidR="00410EAC">
        <w:rPr>
          <w:rStyle w:val="eop"/>
        </w:rPr>
        <w:t> </w:t>
      </w:r>
      <w:r w:rsidR="00A42D21">
        <w:rPr>
          <w:rStyle w:val="normaltextrun"/>
        </w:rPr>
        <w:t xml:space="preserve">This is </w:t>
      </w:r>
      <w:r w:rsidR="00A42D21" w:rsidRPr="00E528D5">
        <w:rPr>
          <w:rStyle w:val="normaltextrun"/>
        </w:rPr>
        <w:t>two less</w:t>
      </w:r>
      <w:r w:rsidR="00A42D21">
        <w:rPr>
          <w:rStyle w:val="normaltextrun"/>
        </w:rPr>
        <w:t xml:space="preserve"> than in the 2019-20 reporting period.</w:t>
      </w:r>
      <w:r w:rsidR="00A42D21">
        <w:rPr>
          <w:rStyle w:val="eop"/>
        </w:rPr>
        <w:t> </w:t>
      </w:r>
    </w:p>
    <w:p w14:paraId="1C27BEEC" w14:textId="18B742CB" w:rsidR="00410EAC" w:rsidRDefault="00410EAC" w:rsidP="00A42D21">
      <w:pPr>
        <w:pStyle w:val="paragraph"/>
        <w:spacing w:before="0" w:beforeAutospacing="0" w:after="0" w:afterAutospacing="0"/>
        <w:ind w:left="720"/>
        <w:textAlignment w:val="baseline"/>
      </w:pPr>
    </w:p>
    <w:p w14:paraId="54E40942" w14:textId="300A57B1" w:rsidR="00410EAC" w:rsidRDefault="00410EAC" w:rsidP="00410EAC">
      <w:pPr>
        <w:pStyle w:val="paragraph"/>
        <w:spacing w:before="0" w:beforeAutospacing="0" w:after="0" w:afterAutospacing="0"/>
        <w:textAlignment w:val="baseline"/>
        <w:rPr>
          <w:i/>
          <w:iCs/>
          <w:color w:val="1F3763"/>
        </w:rPr>
      </w:pPr>
      <w:r>
        <w:rPr>
          <w:rStyle w:val="normaltextrun"/>
          <w:i/>
          <w:iCs/>
          <w:color w:val="1F3763"/>
        </w:rPr>
        <w:t>Improving Access</w:t>
      </w:r>
      <w:r>
        <w:rPr>
          <w:rStyle w:val="eop"/>
          <w:i/>
          <w:iCs/>
          <w:color w:val="1F3763"/>
        </w:rPr>
        <w:t> </w:t>
      </w:r>
    </w:p>
    <w:p w14:paraId="4B44176C" w14:textId="14055D96" w:rsidR="00410EAC" w:rsidRDefault="00410EAC" w:rsidP="00410EAC">
      <w:pPr>
        <w:pStyle w:val="paragraph"/>
        <w:spacing w:before="0" w:beforeAutospacing="0" w:after="0" w:afterAutospacing="0"/>
        <w:textAlignment w:val="baseline"/>
      </w:pPr>
      <w:r>
        <w:rPr>
          <w:rStyle w:val="normaltextrun"/>
          <w:b/>
          <w:bCs/>
        </w:rPr>
        <w:t>MH1 (Mental Health):</w:t>
      </w:r>
      <w:r>
        <w:rPr>
          <w:rStyle w:val="normaltextrun"/>
        </w:rPr>
        <w:t xml:space="preserve"> Rate of regional population receiving PHN commissioned low intensity psychological interventions.</w:t>
      </w:r>
    </w:p>
    <w:p w14:paraId="0E435A09" w14:textId="77777777" w:rsidR="00410EAC" w:rsidRDefault="00410EAC" w:rsidP="00410EAC">
      <w:pPr>
        <w:pStyle w:val="paragraph"/>
        <w:spacing w:before="0" w:beforeAutospacing="0" w:after="0" w:afterAutospacing="0"/>
        <w:textAlignment w:val="baseline"/>
      </w:pPr>
      <w:r>
        <w:rPr>
          <w:rStyle w:val="eop"/>
        </w:rPr>
        <w:t> </w:t>
      </w:r>
    </w:p>
    <w:p w14:paraId="1E7AD1AB" w14:textId="126146E5" w:rsidR="00C434D8" w:rsidRPr="00673CD1" w:rsidRDefault="00E601B6" w:rsidP="00673CD1">
      <w:pPr>
        <w:pStyle w:val="paragraph"/>
        <w:numPr>
          <w:ilvl w:val="0"/>
          <w:numId w:val="10"/>
        </w:numPr>
        <w:spacing w:before="0" w:beforeAutospacing="0" w:after="0" w:afterAutospacing="0"/>
        <w:textAlignment w:val="baseline"/>
      </w:pPr>
      <w:r>
        <w:rPr>
          <w:rStyle w:val="normaltextrun"/>
        </w:rPr>
        <w:t>Seventeen</w:t>
      </w:r>
      <w:r w:rsidR="008C550F" w:rsidRPr="00673CD1">
        <w:rPr>
          <w:rStyle w:val="normaltextrun"/>
        </w:rPr>
        <w:t xml:space="preserve"> </w:t>
      </w:r>
      <w:r w:rsidR="00410EAC" w:rsidRPr="00673CD1">
        <w:rPr>
          <w:rStyle w:val="normaltextrun"/>
        </w:rPr>
        <w:t>PHNs reported</w:t>
      </w:r>
      <w:r w:rsidRPr="00E601B6">
        <w:rPr>
          <w:color w:val="000000" w:themeColor="text1"/>
        </w:rPr>
        <w:t xml:space="preserve"> </w:t>
      </w:r>
      <w:r w:rsidRPr="00B67850">
        <w:rPr>
          <w:color w:val="000000" w:themeColor="text1"/>
        </w:rPr>
        <w:t>met the growth target</w:t>
      </w:r>
      <w:r>
        <w:rPr>
          <w:rStyle w:val="normaltextrun"/>
        </w:rPr>
        <w:t xml:space="preserve"> (</w:t>
      </w:r>
      <w:r w:rsidR="00410EAC" w:rsidRPr="00673CD1">
        <w:rPr>
          <w:rStyle w:val="normaltextrun"/>
        </w:rPr>
        <w:t>at least 5</w:t>
      </w:r>
      <w:r w:rsidR="008C550F" w:rsidRPr="00673CD1">
        <w:rPr>
          <w:rStyle w:val="normaltextrun"/>
        </w:rPr>
        <w:t xml:space="preserve"> per cent</w:t>
      </w:r>
      <w:r w:rsidR="00410EAC" w:rsidRPr="00673CD1">
        <w:rPr>
          <w:rStyle w:val="normaltextrun"/>
        </w:rPr>
        <w:t xml:space="preserve"> growth</w:t>
      </w:r>
      <w:r>
        <w:rPr>
          <w:rStyle w:val="normaltextrun"/>
        </w:rPr>
        <w:t xml:space="preserve">) </w:t>
      </w:r>
      <w:r w:rsidRPr="00B67850">
        <w:rPr>
          <w:color w:val="000000" w:themeColor="text1"/>
        </w:rPr>
        <w:t>for an increase</w:t>
      </w:r>
      <w:r w:rsidR="00410EAC" w:rsidRPr="00673CD1">
        <w:rPr>
          <w:rStyle w:val="normaltextrun"/>
        </w:rPr>
        <w:t xml:space="preserve"> in the number of people accessing </w:t>
      </w:r>
      <w:r>
        <w:rPr>
          <w:rStyle w:val="normaltextrun"/>
        </w:rPr>
        <w:t xml:space="preserve">PHN-commissioned </w:t>
      </w:r>
      <w:r w:rsidR="00410EAC" w:rsidRPr="00673CD1">
        <w:rPr>
          <w:rStyle w:val="normaltextrun"/>
        </w:rPr>
        <w:t xml:space="preserve">low intensity </w:t>
      </w:r>
      <w:r>
        <w:rPr>
          <w:rStyle w:val="normaltextrun"/>
        </w:rPr>
        <w:t xml:space="preserve">psychological interventions </w:t>
      </w:r>
      <w:r w:rsidR="00B233ED" w:rsidRPr="00673CD1">
        <w:rPr>
          <w:rStyle w:val="normaltextrun"/>
        </w:rPr>
        <w:t>in the 2020-21 reporting period</w:t>
      </w:r>
      <w:r>
        <w:rPr>
          <w:rStyle w:val="normaltextrun"/>
        </w:rPr>
        <w:t xml:space="preserve"> compared to </w:t>
      </w:r>
      <w:r w:rsidR="004B30AF" w:rsidRPr="00673CD1">
        <w:rPr>
          <w:rStyle w:val="normaltextrun"/>
        </w:rPr>
        <w:t>the 2019-20 reporting period.</w:t>
      </w:r>
      <w:r w:rsidR="004B30AF" w:rsidRPr="00673CD1">
        <w:rPr>
          <w:rStyle w:val="eop"/>
        </w:rPr>
        <w:t> </w:t>
      </w:r>
    </w:p>
    <w:p w14:paraId="333BDFD8" w14:textId="07C60A03" w:rsidR="00E601B6" w:rsidRDefault="00E601B6" w:rsidP="00410EAC">
      <w:pPr>
        <w:pStyle w:val="paragraph"/>
        <w:spacing w:before="0" w:beforeAutospacing="0" w:after="0" w:afterAutospacing="0"/>
        <w:textAlignment w:val="baseline"/>
      </w:pPr>
    </w:p>
    <w:p w14:paraId="69640CCC" w14:textId="7306FFE2" w:rsidR="00410EAC" w:rsidRDefault="00410EAC" w:rsidP="00410EAC">
      <w:pPr>
        <w:pStyle w:val="paragraph"/>
        <w:spacing w:before="0" w:beforeAutospacing="0" w:after="0" w:afterAutospacing="0"/>
        <w:textAlignment w:val="baseline"/>
      </w:pPr>
      <w:r>
        <w:rPr>
          <w:rStyle w:val="normaltextrun"/>
          <w:b/>
          <w:bCs/>
        </w:rPr>
        <w:t>MH2 (Mental Health):</w:t>
      </w:r>
      <w:r>
        <w:rPr>
          <w:rStyle w:val="normaltextrun"/>
        </w:rPr>
        <w:t xml:space="preserve"> Rate of regional population receiving PHN commissioned psychological therapies delivered by mental health professionals.</w:t>
      </w:r>
      <w:r w:rsidR="00307692">
        <w:rPr>
          <w:rStyle w:val="FootnoteReference"/>
        </w:rPr>
        <w:footnoteReference w:id="6"/>
      </w:r>
    </w:p>
    <w:p w14:paraId="06B9A968" w14:textId="1B6324FE" w:rsidR="00410EAC" w:rsidRDefault="00E601B6" w:rsidP="00E601B6">
      <w:pPr>
        <w:pStyle w:val="paragraph"/>
        <w:numPr>
          <w:ilvl w:val="0"/>
          <w:numId w:val="10"/>
        </w:numPr>
        <w:spacing w:before="0" w:beforeAutospacing="0" w:after="0" w:afterAutospacing="0"/>
        <w:textAlignment w:val="baseline"/>
      </w:pPr>
      <w:r>
        <w:rPr>
          <w:rStyle w:val="normaltextrun"/>
        </w:rPr>
        <w:t xml:space="preserve">Seventeen </w:t>
      </w:r>
      <w:r w:rsidR="00410EAC" w:rsidRPr="00673CD1">
        <w:rPr>
          <w:rStyle w:val="normaltextrun"/>
        </w:rPr>
        <w:t xml:space="preserve">PHNs </w:t>
      </w:r>
      <w:r w:rsidRPr="00E601B6">
        <w:rPr>
          <w:color w:val="000000" w:themeColor="text1"/>
        </w:rPr>
        <w:t>met the growth target (</w:t>
      </w:r>
      <w:r w:rsidR="00410EAC" w:rsidRPr="00673CD1">
        <w:rPr>
          <w:rStyle w:val="normaltextrun"/>
        </w:rPr>
        <w:t>at least 5</w:t>
      </w:r>
      <w:r w:rsidR="004B30AF" w:rsidRPr="00673CD1">
        <w:rPr>
          <w:rStyle w:val="normaltextrun"/>
        </w:rPr>
        <w:t xml:space="preserve"> per cent</w:t>
      </w:r>
      <w:r w:rsidR="00410EAC" w:rsidRPr="00673CD1">
        <w:rPr>
          <w:rStyle w:val="normaltextrun"/>
        </w:rPr>
        <w:t xml:space="preserve"> growth</w:t>
      </w:r>
      <w:r>
        <w:rPr>
          <w:rStyle w:val="normaltextrun"/>
        </w:rPr>
        <w:t>)</w:t>
      </w:r>
      <w:r w:rsidR="00410EAC" w:rsidRPr="00673CD1">
        <w:rPr>
          <w:rStyle w:val="normaltextrun"/>
        </w:rPr>
        <w:t xml:space="preserve"> in the number of people accessing </w:t>
      </w:r>
      <w:r>
        <w:rPr>
          <w:rStyle w:val="normaltextrun"/>
        </w:rPr>
        <w:t xml:space="preserve">PHN-commissioned </w:t>
      </w:r>
      <w:r w:rsidR="00410EAC" w:rsidRPr="00673CD1">
        <w:rPr>
          <w:rStyle w:val="normaltextrun"/>
        </w:rPr>
        <w:t>psychological therap</w:t>
      </w:r>
      <w:r>
        <w:rPr>
          <w:rStyle w:val="normaltextrun"/>
        </w:rPr>
        <w:t>ies</w:t>
      </w:r>
      <w:r w:rsidR="00410EAC" w:rsidRPr="00673CD1">
        <w:rPr>
          <w:rStyle w:val="normaltextrun"/>
        </w:rPr>
        <w:t xml:space="preserve"> </w:t>
      </w:r>
      <w:r w:rsidR="004B30AF" w:rsidRPr="00673CD1">
        <w:rPr>
          <w:rStyle w:val="normaltextrun"/>
        </w:rPr>
        <w:t>in the 2020-21 reporting period.</w:t>
      </w:r>
      <w:r w:rsidR="004B30AF" w:rsidRPr="00673CD1">
        <w:rPr>
          <w:rStyle w:val="eop"/>
        </w:rPr>
        <w:t> </w:t>
      </w:r>
      <w:r w:rsidRPr="00E601B6">
        <w:rPr>
          <w:color w:val="000000" w:themeColor="text1"/>
        </w:rPr>
        <w:t>20 PHNs improved on rates of access to PHN-commissioned psychological therapies compared to 2019-20.</w:t>
      </w:r>
      <w:r w:rsidR="00410EAC">
        <w:rPr>
          <w:rStyle w:val="eop"/>
        </w:rPr>
        <w:t> </w:t>
      </w:r>
    </w:p>
    <w:p w14:paraId="3FF65927" w14:textId="77777777" w:rsidR="00E601B6" w:rsidRDefault="00E601B6" w:rsidP="00410EAC">
      <w:pPr>
        <w:pStyle w:val="paragraph"/>
        <w:spacing w:before="0" w:beforeAutospacing="0" w:after="0" w:afterAutospacing="0"/>
        <w:textAlignment w:val="baseline"/>
        <w:rPr>
          <w:rStyle w:val="normaltextrun"/>
          <w:b/>
          <w:bCs/>
        </w:rPr>
      </w:pPr>
    </w:p>
    <w:p w14:paraId="1BA4BC46" w14:textId="0BC5D7D9" w:rsidR="00410EAC" w:rsidRDefault="00410EAC" w:rsidP="00410EAC">
      <w:pPr>
        <w:pStyle w:val="paragraph"/>
        <w:spacing w:before="0" w:beforeAutospacing="0" w:after="0" w:afterAutospacing="0"/>
        <w:textAlignment w:val="baseline"/>
      </w:pPr>
      <w:r>
        <w:rPr>
          <w:rStyle w:val="normaltextrun"/>
          <w:b/>
          <w:bCs/>
        </w:rPr>
        <w:t>AOD1 (Alcohol and Other Drugs):</w:t>
      </w:r>
      <w:r>
        <w:rPr>
          <w:rStyle w:val="normaltextrun"/>
        </w:rPr>
        <w:t xml:space="preserve"> Rate of drug and alcohol commissioned providers actively delivering services.</w:t>
      </w:r>
      <w:r>
        <w:rPr>
          <w:rStyle w:val="eop"/>
        </w:rPr>
        <w:t> </w:t>
      </w:r>
    </w:p>
    <w:p w14:paraId="19D77EF8" w14:textId="77777777" w:rsidR="00410EAC" w:rsidRDefault="00410EAC" w:rsidP="00410EAC">
      <w:pPr>
        <w:pStyle w:val="paragraph"/>
        <w:spacing w:before="0" w:beforeAutospacing="0" w:after="0" w:afterAutospacing="0"/>
        <w:textAlignment w:val="baseline"/>
      </w:pPr>
      <w:r>
        <w:rPr>
          <w:rStyle w:val="eop"/>
        </w:rPr>
        <w:t> </w:t>
      </w:r>
    </w:p>
    <w:p w14:paraId="7B2EAE65" w14:textId="350EC9D9" w:rsidR="00410EAC" w:rsidRDefault="00410EAC" w:rsidP="00E601B6">
      <w:pPr>
        <w:pStyle w:val="paragraph"/>
        <w:numPr>
          <w:ilvl w:val="0"/>
          <w:numId w:val="10"/>
        </w:numPr>
        <w:spacing w:before="0" w:beforeAutospacing="0" w:after="0" w:afterAutospacing="0"/>
        <w:textAlignment w:val="baseline"/>
      </w:pPr>
      <w:r>
        <w:rPr>
          <w:rStyle w:val="normaltextrun"/>
        </w:rPr>
        <w:t>All</w:t>
      </w:r>
      <w:r w:rsidR="004B30AF">
        <w:rPr>
          <w:rStyle w:val="normaltextrun"/>
        </w:rPr>
        <w:t xml:space="preserve"> 31 </w:t>
      </w:r>
      <w:r>
        <w:rPr>
          <w:rStyle w:val="normaltextrun"/>
        </w:rPr>
        <w:t xml:space="preserve">PHNs report that the rate of drug and alcohol commissioned providers actively delivering services has remained the same or increased </w:t>
      </w:r>
      <w:r w:rsidR="004B30AF">
        <w:rPr>
          <w:rStyle w:val="normaltextrun"/>
        </w:rPr>
        <w:t>in the 2020-21 reporting period.</w:t>
      </w:r>
      <w:r w:rsidR="004B30AF">
        <w:rPr>
          <w:rStyle w:val="eop"/>
        </w:rPr>
        <w:t> </w:t>
      </w:r>
      <w:r w:rsidR="004B30AF">
        <w:rPr>
          <w:rStyle w:val="normaltextrun"/>
        </w:rPr>
        <w:t>This is the same as the 2019-20 reporting period.</w:t>
      </w:r>
      <w:r w:rsidR="004B30AF">
        <w:rPr>
          <w:rStyle w:val="eop"/>
        </w:rPr>
        <w:t> </w:t>
      </w:r>
    </w:p>
    <w:p w14:paraId="48E54706" w14:textId="77777777" w:rsidR="00410EAC" w:rsidRDefault="00410EAC" w:rsidP="00410EAC">
      <w:pPr>
        <w:pStyle w:val="paragraph"/>
        <w:spacing w:before="0" w:beforeAutospacing="0" w:after="0" w:afterAutospacing="0"/>
        <w:textAlignment w:val="baseline"/>
      </w:pPr>
      <w:r>
        <w:rPr>
          <w:rStyle w:val="eop"/>
        </w:rPr>
        <w:t> </w:t>
      </w:r>
    </w:p>
    <w:p w14:paraId="1EE289D2" w14:textId="77777777" w:rsidR="00410EAC" w:rsidRDefault="00410EAC" w:rsidP="00410EAC">
      <w:pPr>
        <w:pStyle w:val="paragraph"/>
        <w:spacing w:before="0" w:beforeAutospacing="0" w:after="0" w:afterAutospacing="0"/>
        <w:textAlignment w:val="baseline"/>
        <w:rPr>
          <w:i/>
          <w:iCs/>
          <w:color w:val="1F3763"/>
        </w:rPr>
      </w:pPr>
      <w:r>
        <w:rPr>
          <w:rStyle w:val="normaltextrun"/>
          <w:i/>
          <w:iCs/>
          <w:color w:val="1F3763"/>
        </w:rPr>
        <w:t>Coordinated Care</w:t>
      </w:r>
      <w:r>
        <w:rPr>
          <w:rStyle w:val="eop"/>
          <w:i/>
          <w:iCs/>
          <w:color w:val="1F3763"/>
        </w:rPr>
        <w:t> </w:t>
      </w:r>
    </w:p>
    <w:p w14:paraId="73CE128E" w14:textId="3EC7DAFB" w:rsidR="00410EAC" w:rsidRDefault="00410EAC" w:rsidP="00410EAC">
      <w:pPr>
        <w:pStyle w:val="paragraph"/>
        <w:spacing w:before="0" w:beforeAutospacing="0" w:after="0" w:afterAutospacing="0"/>
        <w:textAlignment w:val="baseline"/>
      </w:pPr>
      <w:r>
        <w:rPr>
          <w:rStyle w:val="normaltextrun"/>
          <w:b/>
          <w:bCs/>
        </w:rPr>
        <w:t>MH3 (Mental Health):</w:t>
      </w:r>
      <w:r>
        <w:rPr>
          <w:rStyle w:val="normaltextrun"/>
        </w:rPr>
        <w:t xml:space="preserve"> Rate of regional population receiving PHN commissioned clinical care coordination services for people with severe and complex mental illness.</w:t>
      </w:r>
    </w:p>
    <w:p w14:paraId="43AAC68D" w14:textId="77777777" w:rsidR="00410EAC" w:rsidRDefault="00410EAC" w:rsidP="00410EAC">
      <w:pPr>
        <w:pStyle w:val="paragraph"/>
        <w:spacing w:before="0" w:beforeAutospacing="0" w:after="0" w:afterAutospacing="0"/>
        <w:textAlignment w:val="baseline"/>
      </w:pPr>
      <w:r>
        <w:rPr>
          <w:rStyle w:val="eop"/>
        </w:rPr>
        <w:t> </w:t>
      </w:r>
    </w:p>
    <w:p w14:paraId="6E4C3ABE" w14:textId="41D1B39B" w:rsidR="00410EAC" w:rsidRDefault="00E601B6" w:rsidP="00E601B6">
      <w:pPr>
        <w:pStyle w:val="paragraph"/>
        <w:numPr>
          <w:ilvl w:val="0"/>
          <w:numId w:val="10"/>
        </w:numPr>
        <w:spacing w:before="0" w:beforeAutospacing="0" w:after="0" w:afterAutospacing="0"/>
        <w:textAlignment w:val="baseline"/>
      </w:pPr>
      <w:r>
        <w:rPr>
          <w:rStyle w:val="normaltextrun"/>
        </w:rPr>
        <w:t xml:space="preserve">Fifteen </w:t>
      </w:r>
      <w:r w:rsidR="0023668D" w:rsidRPr="00673CD1">
        <w:rPr>
          <w:rStyle w:val="normaltextrun"/>
        </w:rPr>
        <w:t xml:space="preserve">PHNs </w:t>
      </w:r>
      <w:r w:rsidRPr="00E601B6">
        <w:rPr>
          <w:color w:val="000000" w:themeColor="text1"/>
        </w:rPr>
        <w:t>met the growth target (</w:t>
      </w:r>
      <w:r w:rsidR="0023668D" w:rsidRPr="00673CD1">
        <w:rPr>
          <w:rStyle w:val="normaltextrun"/>
        </w:rPr>
        <w:t>at least five per cent growth</w:t>
      </w:r>
      <w:r>
        <w:rPr>
          <w:rStyle w:val="normaltextrun"/>
        </w:rPr>
        <w:t>)</w:t>
      </w:r>
      <w:r w:rsidR="0023668D" w:rsidRPr="00673CD1">
        <w:rPr>
          <w:rStyle w:val="normaltextrun"/>
        </w:rPr>
        <w:t xml:space="preserve"> in the number of people accessing </w:t>
      </w:r>
      <w:r>
        <w:rPr>
          <w:rStyle w:val="normaltextrun"/>
        </w:rPr>
        <w:t xml:space="preserve">PHN-commissioned </w:t>
      </w:r>
      <w:r w:rsidR="0023668D" w:rsidRPr="00673CD1">
        <w:rPr>
          <w:rStyle w:val="normaltextrun"/>
        </w:rPr>
        <w:t xml:space="preserve">care coordination </w:t>
      </w:r>
      <w:r>
        <w:rPr>
          <w:rStyle w:val="normaltextrun"/>
        </w:rPr>
        <w:t xml:space="preserve">services </w:t>
      </w:r>
      <w:r w:rsidR="0023668D" w:rsidRPr="00673CD1">
        <w:rPr>
          <w:rStyle w:val="normaltextrun"/>
        </w:rPr>
        <w:t>in the 2020-21 reporting period</w:t>
      </w:r>
      <w:r>
        <w:rPr>
          <w:rStyle w:val="normaltextrun"/>
        </w:rPr>
        <w:t xml:space="preserve"> compared to </w:t>
      </w:r>
      <w:r w:rsidR="0023668D" w:rsidRPr="00673CD1">
        <w:rPr>
          <w:rStyle w:val="normaltextrun"/>
        </w:rPr>
        <w:t>the 2019-20 reporting period.</w:t>
      </w:r>
      <w:r w:rsidR="0023668D" w:rsidRPr="00673CD1">
        <w:rPr>
          <w:rStyle w:val="eop"/>
        </w:rPr>
        <w:t> </w:t>
      </w:r>
      <w:r w:rsidR="00410EAC">
        <w:rPr>
          <w:rStyle w:val="eop"/>
        </w:rPr>
        <w:t> </w:t>
      </w:r>
    </w:p>
    <w:p w14:paraId="09716576" w14:textId="77777777" w:rsidR="00E601B6" w:rsidRDefault="00E601B6" w:rsidP="00410EAC">
      <w:pPr>
        <w:pStyle w:val="paragraph"/>
        <w:spacing w:before="0" w:beforeAutospacing="0" w:after="0" w:afterAutospacing="0"/>
        <w:textAlignment w:val="baseline"/>
        <w:rPr>
          <w:rStyle w:val="normaltextrun"/>
          <w:b/>
          <w:bCs/>
        </w:rPr>
      </w:pPr>
    </w:p>
    <w:p w14:paraId="7D769005" w14:textId="14F80200" w:rsidR="00410EAC" w:rsidRDefault="00410EAC" w:rsidP="00410EAC">
      <w:pPr>
        <w:pStyle w:val="paragraph"/>
        <w:spacing w:before="0" w:beforeAutospacing="0" w:after="0" w:afterAutospacing="0"/>
        <w:textAlignment w:val="baseline"/>
      </w:pPr>
      <w:r>
        <w:rPr>
          <w:rStyle w:val="normaltextrun"/>
          <w:b/>
          <w:bCs/>
        </w:rPr>
        <w:t>MH4 (Mental Health):</w:t>
      </w:r>
      <w:r>
        <w:rPr>
          <w:rStyle w:val="normaltextrun"/>
        </w:rPr>
        <w:t xml:space="preserve"> Formalised partnerships with other regional service providers to support integrated regional planning and service delivery.</w:t>
      </w:r>
      <w:r>
        <w:rPr>
          <w:rStyle w:val="eop"/>
        </w:rPr>
        <w:t> </w:t>
      </w:r>
    </w:p>
    <w:p w14:paraId="58AC0F54" w14:textId="77777777" w:rsidR="00745C80" w:rsidRDefault="00745C80" w:rsidP="00745C80">
      <w:pPr>
        <w:pStyle w:val="paragraph"/>
        <w:spacing w:before="0" w:beforeAutospacing="0" w:after="0" w:afterAutospacing="0"/>
        <w:textAlignment w:val="baseline"/>
        <w:rPr>
          <w:rStyle w:val="eop"/>
        </w:rPr>
      </w:pPr>
    </w:p>
    <w:p w14:paraId="6E5AAE10" w14:textId="3268C2B3" w:rsidR="00745C80" w:rsidRPr="006F4AEE" w:rsidRDefault="00745C80" w:rsidP="001D2EE7">
      <w:pPr>
        <w:pStyle w:val="ListParagraph"/>
        <w:numPr>
          <w:ilvl w:val="0"/>
          <w:numId w:val="10"/>
        </w:numPr>
        <w:spacing w:after="160" w:line="259" w:lineRule="auto"/>
        <w:rPr>
          <w:rStyle w:val="normaltextrun"/>
          <w:rFonts w:ascii="Calibri" w:eastAsiaTheme="minorHAnsi" w:hAnsi="Calibri" w:cs="Calibri"/>
          <w:color w:val="000000" w:themeColor="text1"/>
          <w:szCs w:val="22"/>
          <w:lang w:val="en-GB"/>
        </w:rPr>
      </w:pPr>
      <w:r w:rsidRPr="00745C80">
        <w:rPr>
          <w:rStyle w:val="normaltextrun"/>
        </w:rPr>
        <w:t xml:space="preserve">All 31 </w:t>
      </w:r>
      <w:r w:rsidR="00410EAC" w:rsidRPr="00745C80">
        <w:rPr>
          <w:rStyle w:val="normaltextrun"/>
        </w:rPr>
        <w:t>PHNs</w:t>
      </w:r>
      <w:r w:rsidR="006F4AEE">
        <w:rPr>
          <w:rStyle w:val="normaltextrun"/>
        </w:rPr>
        <w:t>,</w:t>
      </w:r>
      <w:r w:rsidR="00410EAC" w:rsidRPr="00745C80">
        <w:rPr>
          <w:rStyle w:val="normaltextrun"/>
        </w:rPr>
        <w:t xml:space="preserve"> </w:t>
      </w:r>
      <w:r w:rsidR="006F4AEE" w:rsidRPr="00054752">
        <w:rPr>
          <w:rFonts w:cstheme="minorHAnsi"/>
        </w:rPr>
        <w:t>in collaboration with their respective state and territory government-funded commissioning bodies</w:t>
      </w:r>
      <w:r w:rsidR="006F4AEE">
        <w:rPr>
          <w:rFonts w:cstheme="minorHAnsi"/>
        </w:rPr>
        <w:t>,</w:t>
      </w:r>
      <w:r w:rsidR="006F4AEE" w:rsidRPr="00054752">
        <w:rPr>
          <w:rFonts w:cstheme="minorHAnsi"/>
        </w:rPr>
        <w:t xml:space="preserve"> and other stakeholders</w:t>
      </w:r>
      <w:r w:rsidR="006F4AEE">
        <w:rPr>
          <w:rFonts w:cstheme="minorHAnsi"/>
        </w:rPr>
        <w:t>,</w:t>
      </w:r>
      <w:r w:rsidR="006F4AEE">
        <w:rPr>
          <w:color w:val="000000" w:themeColor="text1"/>
        </w:rPr>
        <w:t xml:space="preserve"> </w:t>
      </w:r>
      <w:r w:rsidR="006F4AEE" w:rsidRPr="00AA3F22">
        <w:rPr>
          <w:color w:val="000000" w:themeColor="text1"/>
        </w:rPr>
        <w:t>delivered</w:t>
      </w:r>
      <w:r w:rsidR="006F4AEE">
        <w:rPr>
          <w:color w:val="000000" w:themeColor="text1"/>
        </w:rPr>
        <w:t xml:space="preserve"> their</w:t>
      </w:r>
      <w:r w:rsidR="006F4AEE" w:rsidRPr="00AA3F22">
        <w:rPr>
          <w:color w:val="000000" w:themeColor="text1"/>
        </w:rPr>
        <w:t xml:space="preserve"> joint </w:t>
      </w:r>
      <w:r w:rsidR="006F4AEE">
        <w:rPr>
          <w:color w:val="000000" w:themeColor="text1"/>
        </w:rPr>
        <w:t xml:space="preserve">foundational </w:t>
      </w:r>
      <w:r w:rsidR="00410EAC" w:rsidRPr="00745C80">
        <w:rPr>
          <w:rStyle w:val="normaltextrun"/>
        </w:rPr>
        <w:t xml:space="preserve">regional mental health and suicide prevention plans. </w:t>
      </w:r>
      <w:r w:rsidRPr="00745C80">
        <w:rPr>
          <w:rStyle w:val="normaltextrun"/>
        </w:rPr>
        <w:t>This is one more than in the 2019-20 reporting period.</w:t>
      </w:r>
      <w:r w:rsidRPr="00745C80">
        <w:rPr>
          <w:rStyle w:val="eop"/>
        </w:rPr>
        <w:t> </w:t>
      </w:r>
    </w:p>
    <w:p w14:paraId="54DF8260" w14:textId="77777777" w:rsidR="00DF5C3C" w:rsidRDefault="00DF5C3C" w:rsidP="00410EAC">
      <w:pPr>
        <w:pStyle w:val="paragraph"/>
        <w:spacing w:before="0" w:beforeAutospacing="0" w:after="0" w:afterAutospacing="0"/>
        <w:textAlignment w:val="baseline"/>
        <w:rPr>
          <w:rStyle w:val="eop"/>
        </w:rPr>
      </w:pPr>
    </w:p>
    <w:p w14:paraId="11491307" w14:textId="7EBDC645" w:rsidR="00410EAC" w:rsidRDefault="00DF5C3C" w:rsidP="00410EAC">
      <w:pPr>
        <w:pStyle w:val="paragraph"/>
        <w:spacing w:before="0" w:beforeAutospacing="0" w:after="0" w:afterAutospacing="0"/>
        <w:textAlignment w:val="baseline"/>
      </w:pPr>
      <w:r w:rsidRPr="001605AB">
        <w:rPr>
          <w:rStyle w:val="eop"/>
          <w:b/>
          <w:bCs/>
        </w:rPr>
        <w:t>MH5 (Mental Health):</w:t>
      </w:r>
      <w:r w:rsidR="00410EAC">
        <w:rPr>
          <w:rStyle w:val="eop"/>
        </w:rPr>
        <w:t> </w:t>
      </w:r>
      <w:r>
        <w:rPr>
          <w:rStyle w:val="eop"/>
        </w:rPr>
        <w:t>Proportion of people referred to PHN commissioned services due to a recent suicide attempt or because they were at risk of suicide, followed up</w:t>
      </w:r>
      <w:r w:rsidR="001605AB">
        <w:rPr>
          <w:rStyle w:val="eop"/>
        </w:rPr>
        <w:t xml:space="preserve"> within seven days of referral.</w:t>
      </w:r>
      <w:r w:rsidR="001605AB">
        <w:rPr>
          <w:rStyle w:val="eop"/>
        </w:rPr>
        <w:br/>
      </w:r>
    </w:p>
    <w:p w14:paraId="786AA0CE" w14:textId="5647BEE8" w:rsidR="006F4AEE" w:rsidRPr="006F4AEE" w:rsidRDefault="00745C80" w:rsidP="006F4AEE">
      <w:pPr>
        <w:pStyle w:val="ListParagraph"/>
        <w:numPr>
          <w:ilvl w:val="0"/>
          <w:numId w:val="10"/>
        </w:numPr>
        <w:rPr>
          <w:rFonts w:ascii="Calibri" w:hAnsi="Calibri" w:cs="Calibri"/>
          <w:color w:val="000000"/>
        </w:rPr>
      </w:pPr>
      <w:r>
        <w:rPr>
          <w:rStyle w:val="normaltextrun"/>
        </w:rPr>
        <w:t xml:space="preserve">No PHNs </w:t>
      </w:r>
      <w:r w:rsidR="006F4AEE">
        <w:rPr>
          <w:rStyle w:val="normaltextrun"/>
        </w:rPr>
        <w:t xml:space="preserve">met the target indicator of </w:t>
      </w:r>
      <w:r>
        <w:rPr>
          <w:rStyle w:val="normaltextrun"/>
        </w:rPr>
        <w:t xml:space="preserve">100 per cent </w:t>
      </w:r>
      <w:r w:rsidR="006F4AEE">
        <w:rPr>
          <w:rStyle w:val="normaltextrun"/>
        </w:rPr>
        <w:t xml:space="preserve">follow up of clients at risk of </w:t>
      </w:r>
      <w:r>
        <w:rPr>
          <w:rStyle w:val="normaltextrun"/>
        </w:rPr>
        <w:t>suicide</w:t>
      </w:r>
      <w:r w:rsidR="00A1288E">
        <w:rPr>
          <w:rStyle w:val="normaltextrun"/>
        </w:rPr>
        <w:t xml:space="preserve">. </w:t>
      </w:r>
      <w:r w:rsidR="006F4AEE" w:rsidRPr="006F4AEE">
        <w:rPr>
          <w:color w:val="000000" w:themeColor="text1"/>
        </w:rPr>
        <w:t>However, 68 per cent improved on the number of clients followed up compared to 2019-20.</w:t>
      </w:r>
    </w:p>
    <w:p w14:paraId="51E6D418" w14:textId="77777777" w:rsidR="006F4AEE" w:rsidRDefault="006F4AEE" w:rsidP="006F4AEE">
      <w:pPr>
        <w:pStyle w:val="ListParagraph"/>
        <w:numPr>
          <w:ilvl w:val="1"/>
          <w:numId w:val="10"/>
        </w:numPr>
        <w:rPr>
          <w:color w:val="000000" w:themeColor="text1"/>
        </w:rPr>
      </w:pPr>
      <w:r>
        <w:rPr>
          <w:rStyle w:val="eop"/>
        </w:rPr>
        <w:t xml:space="preserve">There </w:t>
      </w:r>
      <w:r>
        <w:rPr>
          <w:color w:val="000000" w:themeColor="text1"/>
        </w:rPr>
        <w:t xml:space="preserve">are known methodological challenges with this indicator </w:t>
      </w:r>
      <w:r w:rsidRPr="002261DC">
        <w:rPr>
          <w:color w:val="000000" w:themeColor="text1"/>
        </w:rPr>
        <w:t>including clients with unique personal preferences, availability or complexities related to their presentation,</w:t>
      </w:r>
      <w:r>
        <w:rPr>
          <w:color w:val="000000" w:themeColor="text1"/>
        </w:rPr>
        <w:t xml:space="preserve"> </w:t>
      </w:r>
      <w:r w:rsidRPr="002261DC">
        <w:rPr>
          <w:color w:val="000000" w:themeColor="text1"/>
        </w:rPr>
        <w:t>workforce capacity challenges, inaccurate information at referral or data capture, and a challenging business</w:t>
      </w:r>
      <w:r>
        <w:rPr>
          <w:color w:val="000000" w:themeColor="text1"/>
        </w:rPr>
        <w:t xml:space="preserve"> </w:t>
      </w:r>
      <w:r w:rsidRPr="002261DC">
        <w:rPr>
          <w:color w:val="000000" w:themeColor="text1"/>
        </w:rPr>
        <w:t xml:space="preserve">context. </w:t>
      </w:r>
    </w:p>
    <w:p w14:paraId="79BE2B12" w14:textId="77777777" w:rsidR="006F4AEE" w:rsidRDefault="006F4AEE" w:rsidP="00410EAC">
      <w:pPr>
        <w:pStyle w:val="paragraph"/>
        <w:spacing w:before="0" w:beforeAutospacing="0" w:after="0" w:afterAutospacing="0"/>
        <w:textAlignment w:val="baseline"/>
      </w:pPr>
    </w:p>
    <w:p w14:paraId="32DAD2C7" w14:textId="77777777" w:rsidR="00410EAC" w:rsidRDefault="00410EAC" w:rsidP="00410EAC">
      <w:pPr>
        <w:pStyle w:val="paragraph"/>
        <w:spacing w:before="0" w:beforeAutospacing="0" w:after="0" w:afterAutospacing="0"/>
        <w:textAlignment w:val="baseline"/>
      </w:pPr>
      <w:bookmarkStart w:id="60" w:name="_Hlk133217032"/>
      <w:r>
        <w:rPr>
          <w:rStyle w:val="normaltextrun"/>
          <w:b/>
          <w:bCs/>
        </w:rPr>
        <w:t>IH7 (Indigenous Health):</w:t>
      </w:r>
      <w:r>
        <w:rPr>
          <w:rStyle w:val="normaltextrun"/>
        </w:rPr>
        <w:t xml:space="preserve"> ITC processes support Aboriginal and Torres Strait Islander people enrolled in the program to access coordinated care.</w:t>
      </w:r>
      <w:r>
        <w:rPr>
          <w:rStyle w:val="eop"/>
        </w:rPr>
        <w:t> </w:t>
      </w:r>
    </w:p>
    <w:p w14:paraId="2E39CF97" w14:textId="77777777" w:rsidR="000E07AA" w:rsidRDefault="000E07AA" w:rsidP="000E07AA">
      <w:pPr>
        <w:pStyle w:val="paragraph"/>
        <w:spacing w:before="0" w:beforeAutospacing="0" w:after="0" w:afterAutospacing="0"/>
        <w:textAlignment w:val="baseline"/>
        <w:rPr>
          <w:rStyle w:val="eop"/>
        </w:rPr>
      </w:pPr>
    </w:p>
    <w:p w14:paraId="7812E699" w14:textId="4B4FA7EB"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0E07AA">
        <w:rPr>
          <w:rStyle w:val="normaltextrun"/>
        </w:rPr>
        <w:t xml:space="preserve">31 </w:t>
      </w:r>
      <w:r>
        <w:rPr>
          <w:rStyle w:val="normaltextrun"/>
        </w:rPr>
        <w:t>PHNs provided satisfactory descriptions of the referral, intake, and discharge processes used in their ITC programs.</w:t>
      </w:r>
      <w:r>
        <w:rPr>
          <w:rStyle w:val="eop"/>
        </w:rPr>
        <w:t> </w:t>
      </w:r>
      <w:r w:rsidR="000E07AA">
        <w:rPr>
          <w:rStyle w:val="normaltextrun"/>
        </w:rPr>
        <w:t>This is the same as the 2019-20 reporting period.</w:t>
      </w:r>
      <w:r w:rsidR="000E07AA">
        <w:rPr>
          <w:rStyle w:val="eop"/>
        </w:rPr>
        <w:t> </w:t>
      </w:r>
    </w:p>
    <w:bookmarkEnd w:id="60"/>
    <w:p w14:paraId="0825745F" w14:textId="77777777" w:rsidR="00410EAC" w:rsidRDefault="00410EAC" w:rsidP="00410EAC">
      <w:pPr>
        <w:pStyle w:val="paragraph"/>
        <w:spacing w:before="0" w:beforeAutospacing="0" w:after="0" w:afterAutospacing="0"/>
        <w:textAlignment w:val="baseline"/>
      </w:pPr>
      <w:r>
        <w:rPr>
          <w:rStyle w:val="eop"/>
        </w:rPr>
        <w:t> </w:t>
      </w:r>
    </w:p>
    <w:p w14:paraId="1FEE0C7F" w14:textId="77777777" w:rsidR="00410EAC" w:rsidRDefault="00410EAC" w:rsidP="00410EAC">
      <w:pPr>
        <w:pStyle w:val="paragraph"/>
        <w:spacing w:before="0" w:beforeAutospacing="0" w:after="0" w:afterAutospacing="0"/>
        <w:textAlignment w:val="baseline"/>
      </w:pPr>
      <w:r>
        <w:rPr>
          <w:rStyle w:val="normaltextrun"/>
          <w:b/>
          <w:bCs/>
        </w:rPr>
        <w:t>DH1 (Digital Health):</w:t>
      </w:r>
      <w:r>
        <w:rPr>
          <w:rStyle w:val="normaltextrun"/>
        </w:rPr>
        <w:t xml:space="preserve"> Rate of health care providers informed about My Health Record.</w:t>
      </w:r>
      <w:r>
        <w:rPr>
          <w:rStyle w:val="eop"/>
        </w:rPr>
        <w:t> </w:t>
      </w:r>
    </w:p>
    <w:p w14:paraId="7CC7ACFD" w14:textId="77777777" w:rsidR="000E07AA" w:rsidRDefault="000E07AA" w:rsidP="000E07AA">
      <w:pPr>
        <w:pStyle w:val="paragraph"/>
        <w:spacing w:before="0" w:beforeAutospacing="0" w:after="0" w:afterAutospacing="0"/>
        <w:textAlignment w:val="baseline"/>
        <w:rPr>
          <w:rStyle w:val="eop"/>
        </w:rPr>
      </w:pPr>
    </w:p>
    <w:p w14:paraId="73C5AA73" w14:textId="4757BA79" w:rsidR="00410EAC" w:rsidRDefault="00410EAC" w:rsidP="00964BE6">
      <w:pPr>
        <w:pStyle w:val="paragraph"/>
        <w:numPr>
          <w:ilvl w:val="0"/>
          <w:numId w:val="10"/>
        </w:numPr>
        <w:spacing w:before="0" w:beforeAutospacing="0" w:after="0" w:afterAutospacing="0"/>
        <w:textAlignment w:val="baseline"/>
      </w:pPr>
      <w:r>
        <w:rPr>
          <w:rStyle w:val="normaltextrun"/>
        </w:rPr>
        <w:t>All</w:t>
      </w:r>
      <w:r w:rsidR="000E07AA">
        <w:rPr>
          <w:rStyle w:val="normaltextrun"/>
        </w:rPr>
        <w:t xml:space="preserve"> 31</w:t>
      </w:r>
      <w:r>
        <w:rPr>
          <w:rStyle w:val="normaltextrun"/>
        </w:rPr>
        <w:t xml:space="preserve"> </w:t>
      </w:r>
      <w:r w:rsidR="000E07AA">
        <w:rPr>
          <w:rStyle w:val="normaltextrun"/>
        </w:rPr>
        <w:t>P</w:t>
      </w:r>
      <w:r>
        <w:rPr>
          <w:rStyle w:val="normaltextrun"/>
        </w:rPr>
        <w:t>HNs report</w:t>
      </w:r>
      <w:r w:rsidR="000E07AA">
        <w:rPr>
          <w:rStyle w:val="normaltextrun"/>
        </w:rPr>
        <w:t>ed</w:t>
      </w:r>
      <w:r>
        <w:rPr>
          <w:rStyle w:val="normaltextrun"/>
        </w:rPr>
        <w:t xml:space="preserve"> 100</w:t>
      </w:r>
      <w:r w:rsidR="000E07AA">
        <w:rPr>
          <w:rStyle w:val="normaltextrun"/>
        </w:rPr>
        <w:t xml:space="preserve"> per cent</w:t>
      </w:r>
      <w:r>
        <w:rPr>
          <w:rStyle w:val="normaltextrun"/>
        </w:rPr>
        <w:t xml:space="preserve"> of general practices are aware of and provided access to My Health Record education</w:t>
      </w:r>
      <w:r w:rsidR="008E66EE">
        <w:rPr>
          <w:rStyle w:val="normaltextrun"/>
        </w:rPr>
        <w:t>. This is the same as the 2019-20 reporting period</w:t>
      </w:r>
      <w:r>
        <w:rPr>
          <w:rStyle w:val="normaltextrun"/>
        </w:rPr>
        <w:t>.</w:t>
      </w:r>
      <w:r>
        <w:rPr>
          <w:rStyle w:val="eop"/>
        </w:rPr>
        <w:t> </w:t>
      </w:r>
    </w:p>
    <w:p w14:paraId="0128F345" w14:textId="77777777" w:rsidR="00410EAC" w:rsidRDefault="00410EAC" w:rsidP="00410EAC">
      <w:pPr>
        <w:pStyle w:val="paragraph"/>
        <w:spacing w:before="0" w:beforeAutospacing="0" w:after="0" w:afterAutospacing="0"/>
        <w:textAlignment w:val="baseline"/>
      </w:pPr>
      <w:r>
        <w:rPr>
          <w:rStyle w:val="eop"/>
        </w:rPr>
        <w:t> </w:t>
      </w:r>
    </w:p>
    <w:p w14:paraId="1B094A5A" w14:textId="77777777" w:rsidR="00410EAC" w:rsidRDefault="00410EAC" w:rsidP="00410EAC">
      <w:pPr>
        <w:pStyle w:val="paragraph"/>
        <w:spacing w:before="0" w:beforeAutospacing="0" w:after="0" w:afterAutospacing="0"/>
        <w:textAlignment w:val="baseline"/>
      </w:pPr>
      <w:r>
        <w:rPr>
          <w:rStyle w:val="normaltextrun"/>
          <w:b/>
          <w:bCs/>
        </w:rPr>
        <w:t>AOD2 (Alcohol and Other Drugs):</w:t>
      </w:r>
      <w:r>
        <w:rPr>
          <w:rStyle w:val="normaltextrun"/>
        </w:rPr>
        <w:t xml:space="preserve"> Partnerships established with local key stakeholders for drug and alcohol treatment services. </w:t>
      </w:r>
      <w:r>
        <w:rPr>
          <w:rStyle w:val="eop"/>
        </w:rPr>
        <w:t> </w:t>
      </w:r>
    </w:p>
    <w:p w14:paraId="4E761F95" w14:textId="77777777" w:rsidR="00410EAC" w:rsidRDefault="00410EAC" w:rsidP="00410EAC">
      <w:pPr>
        <w:pStyle w:val="paragraph"/>
        <w:spacing w:before="0" w:beforeAutospacing="0" w:after="0" w:afterAutospacing="0"/>
        <w:textAlignment w:val="baseline"/>
      </w:pPr>
      <w:r>
        <w:rPr>
          <w:rStyle w:val="eop"/>
        </w:rPr>
        <w:t> </w:t>
      </w:r>
    </w:p>
    <w:p w14:paraId="24A68803" w14:textId="3E626F5E" w:rsidR="00410EAC" w:rsidRDefault="00410EAC" w:rsidP="00964BE6">
      <w:pPr>
        <w:pStyle w:val="paragraph"/>
        <w:numPr>
          <w:ilvl w:val="0"/>
          <w:numId w:val="10"/>
        </w:numPr>
        <w:spacing w:before="0" w:beforeAutospacing="0" w:after="0" w:afterAutospacing="0"/>
        <w:textAlignment w:val="baseline"/>
      </w:pPr>
      <w:r>
        <w:rPr>
          <w:rStyle w:val="normaltextrun"/>
        </w:rPr>
        <w:t>All</w:t>
      </w:r>
      <w:r w:rsidR="008E66EE">
        <w:rPr>
          <w:rStyle w:val="normaltextrun"/>
        </w:rPr>
        <w:t xml:space="preserve"> 31 </w:t>
      </w:r>
      <w:r>
        <w:rPr>
          <w:rStyle w:val="normaltextrun"/>
        </w:rPr>
        <w:t>PHNs have a satisfactory range of organisations involved in delivering drug and alcohol services</w:t>
      </w:r>
      <w:r w:rsidR="008E66EE">
        <w:rPr>
          <w:rStyle w:val="normaltextrun"/>
        </w:rPr>
        <w:t>. This is the same as the 2019-20 reporting period.</w:t>
      </w:r>
    </w:p>
    <w:p w14:paraId="23BC940A" w14:textId="77777777" w:rsidR="00410EAC" w:rsidRDefault="00410EAC" w:rsidP="00410EAC">
      <w:pPr>
        <w:pStyle w:val="paragraph"/>
        <w:spacing w:before="0" w:beforeAutospacing="0" w:after="0" w:afterAutospacing="0"/>
        <w:textAlignment w:val="baseline"/>
      </w:pPr>
      <w:r>
        <w:rPr>
          <w:rStyle w:val="eop"/>
        </w:rPr>
        <w:t> </w:t>
      </w:r>
    </w:p>
    <w:p w14:paraId="1487F8E9" w14:textId="77777777" w:rsidR="00410EAC" w:rsidRDefault="00410EAC" w:rsidP="00410EAC">
      <w:pPr>
        <w:pStyle w:val="paragraph"/>
        <w:spacing w:before="0" w:beforeAutospacing="0" w:after="0" w:afterAutospacing="0"/>
        <w:textAlignment w:val="baseline"/>
        <w:rPr>
          <w:i/>
          <w:iCs/>
          <w:color w:val="1F3763"/>
        </w:rPr>
      </w:pPr>
      <w:r>
        <w:rPr>
          <w:rStyle w:val="normaltextrun"/>
          <w:i/>
          <w:iCs/>
          <w:color w:val="1F3763"/>
        </w:rPr>
        <w:t>Capable Organisations</w:t>
      </w:r>
      <w:r>
        <w:rPr>
          <w:rStyle w:val="eop"/>
          <w:i/>
          <w:iCs/>
          <w:color w:val="1F3763"/>
        </w:rPr>
        <w:t> </w:t>
      </w:r>
    </w:p>
    <w:p w14:paraId="3F64BBBE" w14:textId="77777777" w:rsidR="00410EAC" w:rsidRDefault="00410EAC" w:rsidP="00410EAC">
      <w:pPr>
        <w:pStyle w:val="paragraph"/>
        <w:spacing w:before="0" w:beforeAutospacing="0" w:after="0" w:afterAutospacing="0"/>
        <w:textAlignment w:val="baseline"/>
      </w:pPr>
      <w:r>
        <w:rPr>
          <w:rStyle w:val="normaltextrun"/>
          <w:b/>
          <w:bCs/>
        </w:rPr>
        <w:t>P1 (Program):</w:t>
      </w:r>
      <w:r>
        <w:rPr>
          <w:rStyle w:val="normaltextrun"/>
        </w:rPr>
        <w:t xml:space="preserve"> PHN activities address prioritised needs.</w:t>
      </w:r>
      <w:r>
        <w:rPr>
          <w:rStyle w:val="eop"/>
        </w:rPr>
        <w:t> </w:t>
      </w:r>
    </w:p>
    <w:p w14:paraId="32B656BC" w14:textId="77777777" w:rsidR="008E66EE" w:rsidRDefault="008E66EE" w:rsidP="008E66EE">
      <w:pPr>
        <w:pStyle w:val="paragraph"/>
        <w:spacing w:before="0" w:beforeAutospacing="0" w:after="0" w:afterAutospacing="0"/>
        <w:textAlignment w:val="baseline"/>
        <w:rPr>
          <w:rStyle w:val="eop"/>
        </w:rPr>
      </w:pPr>
    </w:p>
    <w:p w14:paraId="411E7403" w14:textId="20DB60B2" w:rsidR="00410EAC" w:rsidRDefault="00410EAC" w:rsidP="00964BE6">
      <w:pPr>
        <w:pStyle w:val="paragraph"/>
        <w:numPr>
          <w:ilvl w:val="0"/>
          <w:numId w:val="10"/>
        </w:numPr>
        <w:spacing w:before="0" w:beforeAutospacing="0" w:after="0" w:afterAutospacing="0"/>
        <w:textAlignment w:val="baseline"/>
      </w:pPr>
      <w:r>
        <w:rPr>
          <w:rStyle w:val="normaltextrun"/>
        </w:rPr>
        <w:t>All</w:t>
      </w:r>
      <w:r w:rsidR="008E66EE">
        <w:rPr>
          <w:rStyle w:val="normaltextrun"/>
        </w:rPr>
        <w:t xml:space="preserve"> 31 </w:t>
      </w:r>
      <w:r>
        <w:rPr>
          <w:rStyle w:val="normaltextrun"/>
        </w:rPr>
        <w:t>PHNs have demonstrated their activities address prioritised needs as set out in PHN Needs Assessment and/or national priorities.</w:t>
      </w:r>
      <w:r>
        <w:rPr>
          <w:rStyle w:val="eop"/>
        </w:rPr>
        <w:t> </w:t>
      </w:r>
      <w:r w:rsidR="008E66EE">
        <w:rPr>
          <w:rStyle w:val="normaltextrun"/>
        </w:rPr>
        <w:t>This is the same as the 2019-20 reporting period.</w:t>
      </w:r>
    </w:p>
    <w:p w14:paraId="4855816A" w14:textId="77777777" w:rsidR="00410EAC" w:rsidRDefault="00410EAC" w:rsidP="00410EAC">
      <w:pPr>
        <w:pStyle w:val="paragraph"/>
        <w:spacing w:before="0" w:beforeAutospacing="0" w:after="0" w:afterAutospacing="0"/>
        <w:textAlignment w:val="baseline"/>
      </w:pPr>
      <w:r>
        <w:rPr>
          <w:rStyle w:val="eop"/>
        </w:rPr>
        <w:t> </w:t>
      </w:r>
    </w:p>
    <w:p w14:paraId="13528FAF" w14:textId="77777777" w:rsidR="00410EAC" w:rsidRDefault="00410EAC" w:rsidP="00410EAC">
      <w:pPr>
        <w:pStyle w:val="paragraph"/>
        <w:spacing w:before="0" w:beforeAutospacing="0" w:after="0" w:afterAutospacing="0"/>
        <w:textAlignment w:val="baseline"/>
      </w:pPr>
      <w:r>
        <w:rPr>
          <w:rStyle w:val="normaltextrun"/>
          <w:b/>
          <w:bCs/>
        </w:rPr>
        <w:t>P4 (Program):</w:t>
      </w:r>
      <w:r>
        <w:rPr>
          <w:rStyle w:val="normaltextrun"/>
        </w:rPr>
        <w:t xml:space="preserve"> Support provided to general practices and other health care providers.</w:t>
      </w:r>
      <w:r>
        <w:rPr>
          <w:rStyle w:val="eop"/>
        </w:rPr>
        <w:t> </w:t>
      </w:r>
    </w:p>
    <w:p w14:paraId="615EEDAF" w14:textId="77777777" w:rsidR="00410EAC" w:rsidRDefault="00410EAC" w:rsidP="00410EAC">
      <w:pPr>
        <w:pStyle w:val="paragraph"/>
        <w:spacing w:before="0" w:beforeAutospacing="0" w:after="0" w:afterAutospacing="0"/>
        <w:textAlignment w:val="baseline"/>
      </w:pPr>
      <w:r>
        <w:rPr>
          <w:rStyle w:val="eop"/>
        </w:rPr>
        <w:t> </w:t>
      </w:r>
    </w:p>
    <w:p w14:paraId="11D14CDC" w14:textId="5C58D45D"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8E66EE">
        <w:rPr>
          <w:rStyle w:val="normaltextrun"/>
        </w:rPr>
        <w:t xml:space="preserve">31 </w:t>
      </w:r>
      <w:r>
        <w:rPr>
          <w:rStyle w:val="normaltextrun"/>
        </w:rPr>
        <w:t>PHNs have demonstrated they provide a range of support activities to general practices and other health care providers within their region.</w:t>
      </w:r>
      <w:r>
        <w:rPr>
          <w:rStyle w:val="eop"/>
        </w:rPr>
        <w:t> </w:t>
      </w:r>
      <w:r w:rsidR="008E66EE">
        <w:rPr>
          <w:rStyle w:val="normaltextrun"/>
        </w:rPr>
        <w:t>This is the same as the 2019-20 reporting period.</w:t>
      </w:r>
      <w:r w:rsidR="008E66EE">
        <w:rPr>
          <w:rStyle w:val="eop"/>
        </w:rPr>
        <w:t> </w:t>
      </w:r>
    </w:p>
    <w:p w14:paraId="257E582F" w14:textId="77777777" w:rsidR="00410EAC" w:rsidRDefault="00410EAC" w:rsidP="00410EAC">
      <w:pPr>
        <w:pStyle w:val="paragraph"/>
        <w:spacing w:before="0" w:beforeAutospacing="0" w:after="0" w:afterAutospacing="0"/>
        <w:textAlignment w:val="baseline"/>
      </w:pPr>
      <w:r>
        <w:rPr>
          <w:rStyle w:val="eop"/>
        </w:rPr>
        <w:t> </w:t>
      </w:r>
    </w:p>
    <w:p w14:paraId="7B09C8C1" w14:textId="77777777" w:rsidR="00410EAC" w:rsidRDefault="00410EAC" w:rsidP="00410EAC">
      <w:pPr>
        <w:pStyle w:val="paragraph"/>
        <w:spacing w:before="0" w:beforeAutospacing="0" w:after="0" w:afterAutospacing="0"/>
        <w:textAlignment w:val="baseline"/>
      </w:pPr>
      <w:r>
        <w:rPr>
          <w:rStyle w:val="normaltextrun"/>
          <w:b/>
          <w:bCs/>
        </w:rPr>
        <w:t>W3 (Workforce):</w:t>
      </w:r>
      <w:r>
        <w:rPr>
          <w:rStyle w:val="normaltextrun"/>
        </w:rPr>
        <w:t xml:space="preserve"> PHN Commissioning Framework.</w:t>
      </w:r>
      <w:r>
        <w:rPr>
          <w:rStyle w:val="eop"/>
        </w:rPr>
        <w:t> </w:t>
      </w:r>
    </w:p>
    <w:p w14:paraId="41679178" w14:textId="77777777" w:rsidR="00410EAC" w:rsidRDefault="00410EAC" w:rsidP="00410EAC">
      <w:pPr>
        <w:pStyle w:val="paragraph"/>
        <w:spacing w:before="0" w:beforeAutospacing="0" w:after="0" w:afterAutospacing="0"/>
        <w:textAlignment w:val="baseline"/>
      </w:pPr>
      <w:r>
        <w:rPr>
          <w:rStyle w:val="eop"/>
        </w:rPr>
        <w:t> </w:t>
      </w:r>
    </w:p>
    <w:p w14:paraId="39B2A9C9" w14:textId="77777777" w:rsidR="008E66EE" w:rsidRDefault="00410EAC" w:rsidP="00964BE6">
      <w:pPr>
        <w:pStyle w:val="paragraph"/>
        <w:numPr>
          <w:ilvl w:val="0"/>
          <w:numId w:val="10"/>
        </w:numPr>
        <w:spacing w:before="0" w:beforeAutospacing="0" w:after="0" w:afterAutospacing="0"/>
        <w:textAlignment w:val="baseline"/>
        <w:rPr>
          <w:rStyle w:val="eop"/>
        </w:rPr>
      </w:pPr>
      <w:r>
        <w:rPr>
          <w:rStyle w:val="normaltextrun"/>
        </w:rPr>
        <w:t xml:space="preserve">All </w:t>
      </w:r>
      <w:r w:rsidR="008E66EE">
        <w:rPr>
          <w:rStyle w:val="normaltextrun"/>
        </w:rPr>
        <w:t xml:space="preserve">31 </w:t>
      </w:r>
      <w:r>
        <w:rPr>
          <w:rStyle w:val="normaltextrun"/>
        </w:rPr>
        <w:t>PHNs have Commissioning Frameworks including strategic planning, procuring services, and monitoring evaluation phases, with cultural appropriateness and stakeholder engagement considered throughout the process.</w:t>
      </w:r>
      <w:r w:rsidR="008E66EE">
        <w:rPr>
          <w:rStyle w:val="normaltextrun"/>
        </w:rPr>
        <w:t xml:space="preserve"> This is the same as the 2019-20 reporting period.</w:t>
      </w:r>
    </w:p>
    <w:p w14:paraId="07A5F580" w14:textId="74FA198A" w:rsidR="00410EAC" w:rsidRDefault="00410EAC" w:rsidP="008E66EE">
      <w:pPr>
        <w:pStyle w:val="paragraph"/>
        <w:spacing w:before="0" w:beforeAutospacing="0" w:after="0" w:afterAutospacing="0"/>
        <w:textAlignment w:val="baseline"/>
      </w:pPr>
      <w:r>
        <w:rPr>
          <w:rStyle w:val="eop"/>
        </w:rPr>
        <w:t> </w:t>
      </w:r>
    </w:p>
    <w:p w14:paraId="04C7EB5F" w14:textId="77777777" w:rsidR="00410EAC" w:rsidRDefault="00410EAC" w:rsidP="00410EAC">
      <w:pPr>
        <w:pStyle w:val="paragraph"/>
        <w:spacing w:before="0" w:beforeAutospacing="0" w:after="0" w:afterAutospacing="0"/>
        <w:textAlignment w:val="baseline"/>
      </w:pPr>
      <w:r>
        <w:rPr>
          <w:rStyle w:val="normaltextrun"/>
          <w:b/>
          <w:bCs/>
        </w:rPr>
        <w:t>O1 (Organisational):</w:t>
      </w:r>
      <w:r>
        <w:rPr>
          <w:rStyle w:val="normaltextrun"/>
        </w:rPr>
        <w:t xml:space="preserve"> PHN has an independent and diverse skills-based Board.</w:t>
      </w:r>
      <w:r>
        <w:rPr>
          <w:rStyle w:val="eop"/>
        </w:rPr>
        <w:t> </w:t>
      </w:r>
    </w:p>
    <w:p w14:paraId="049D5403" w14:textId="77777777" w:rsidR="00410EAC" w:rsidRDefault="00410EAC" w:rsidP="00410EAC">
      <w:pPr>
        <w:pStyle w:val="paragraph"/>
        <w:spacing w:before="0" w:beforeAutospacing="0" w:after="0" w:afterAutospacing="0"/>
        <w:textAlignment w:val="baseline"/>
      </w:pPr>
      <w:r>
        <w:rPr>
          <w:rStyle w:val="eop"/>
        </w:rPr>
        <w:t> </w:t>
      </w:r>
    </w:p>
    <w:p w14:paraId="22ACA8EB" w14:textId="43210B33"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404B8B">
        <w:rPr>
          <w:rStyle w:val="normaltextrun"/>
        </w:rPr>
        <w:t xml:space="preserve">31 </w:t>
      </w:r>
      <w:r>
        <w:rPr>
          <w:rStyle w:val="normaltextrun"/>
        </w:rPr>
        <w:t>PHNs have appropriately independent and diverse skills-based Boards.</w:t>
      </w:r>
      <w:r>
        <w:rPr>
          <w:rStyle w:val="eop"/>
        </w:rPr>
        <w:t> </w:t>
      </w:r>
      <w:r w:rsidR="00404B8B">
        <w:rPr>
          <w:rStyle w:val="normaltextrun"/>
        </w:rPr>
        <w:t>This is the same as the 2019-20 reporting period.</w:t>
      </w:r>
    </w:p>
    <w:p w14:paraId="54D91131" w14:textId="77777777" w:rsidR="00410EAC" w:rsidRDefault="00410EAC" w:rsidP="00410EAC">
      <w:pPr>
        <w:pStyle w:val="paragraph"/>
        <w:spacing w:before="0" w:beforeAutospacing="0" w:after="0" w:afterAutospacing="0"/>
        <w:textAlignment w:val="baseline"/>
      </w:pPr>
      <w:r>
        <w:rPr>
          <w:rStyle w:val="eop"/>
        </w:rPr>
        <w:t> </w:t>
      </w:r>
    </w:p>
    <w:p w14:paraId="26756C21" w14:textId="77777777" w:rsidR="00410EAC" w:rsidRDefault="00410EAC" w:rsidP="00410EAC">
      <w:pPr>
        <w:pStyle w:val="paragraph"/>
        <w:spacing w:before="0" w:beforeAutospacing="0" w:after="0" w:afterAutospacing="0"/>
        <w:textAlignment w:val="baseline"/>
      </w:pPr>
      <w:r>
        <w:rPr>
          <w:rStyle w:val="normaltextrun"/>
          <w:b/>
          <w:bCs/>
        </w:rPr>
        <w:t>O2 (Organisational):</w:t>
      </w:r>
      <w:r>
        <w:rPr>
          <w:rStyle w:val="normaltextrun"/>
        </w:rPr>
        <w:t xml:space="preserve"> PHN Clinical Council and Community Advisory Committee Membership.</w:t>
      </w:r>
      <w:r>
        <w:rPr>
          <w:rStyle w:val="eop"/>
        </w:rPr>
        <w:t> </w:t>
      </w:r>
    </w:p>
    <w:p w14:paraId="01C1F3FA" w14:textId="77777777" w:rsidR="00410EAC" w:rsidRDefault="00410EAC" w:rsidP="00410EAC">
      <w:pPr>
        <w:pStyle w:val="paragraph"/>
        <w:spacing w:before="0" w:beforeAutospacing="0" w:after="0" w:afterAutospacing="0"/>
        <w:textAlignment w:val="baseline"/>
      </w:pPr>
      <w:r>
        <w:rPr>
          <w:rStyle w:val="eop"/>
        </w:rPr>
        <w:t> </w:t>
      </w:r>
    </w:p>
    <w:p w14:paraId="08B963F6" w14:textId="3B4A8CE7"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404B8B">
        <w:rPr>
          <w:rStyle w:val="normaltextrun"/>
        </w:rPr>
        <w:t xml:space="preserve">31 </w:t>
      </w:r>
      <w:r>
        <w:rPr>
          <w:rStyle w:val="normaltextrun"/>
        </w:rPr>
        <w:t>PHNs have at least one Clinical Council and Community Advisory Committee.</w:t>
      </w:r>
      <w:r>
        <w:rPr>
          <w:rStyle w:val="eop"/>
        </w:rPr>
        <w:t> </w:t>
      </w:r>
      <w:r w:rsidR="00404B8B">
        <w:rPr>
          <w:rStyle w:val="normaltextrun"/>
        </w:rPr>
        <w:t>This is the same as the 2019-20 reporting period.</w:t>
      </w:r>
      <w:r w:rsidR="00404B8B">
        <w:rPr>
          <w:rStyle w:val="eop"/>
        </w:rPr>
        <w:t> </w:t>
      </w:r>
    </w:p>
    <w:p w14:paraId="4B3C994E" w14:textId="77777777" w:rsidR="00410EAC" w:rsidRDefault="00410EAC" w:rsidP="00410EAC">
      <w:pPr>
        <w:pStyle w:val="paragraph"/>
        <w:spacing w:before="0" w:beforeAutospacing="0" w:after="0" w:afterAutospacing="0"/>
        <w:textAlignment w:val="baseline"/>
      </w:pPr>
      <w:r>
        <w:rPr>
          <w:rStyle w:val="eop"/>
        </w:rPr>
        <w:t> </w:t>
      </w:r>
    </w:p>
    <w:p w14:paraId="6ED21400" w14:textId="77777777" w:rsidR="00410EAC" w:rsidRDefault="00410EAC" w:rsidP="00410EAC">
      <w:pPr>
        <w:pStyle w:val="paragraph"/>
        <w:spacing w:before="0" w:beforeAutospacing="0" w:after="0" w:afterAutospacing="0"/>
        <w:textAlignment w:val="baseline"/>
      </w:pPr>
      <w:r>
        <w:rPr>
          <w:rStyle w:val="normaltextrun"/>
          <w:b/>
          <w:bCs/>
        </w:rPr>
        <w:t>O3 (Organisational):</w:t>
      </w:r>
      <w:r>
        <w:rPr>
          <w:rStyle w:val="normaltextrun"/>
        </w:rPr>
        <w:t xml:space="preserve"> PHN Board considers input for committees.</w:t>
      </w:r>
      <w:r>
        <w:rPr>
          <w:rStyle w:val="eop"/>
        </w:rPr>
        <w:t> </w:t>
      </w:r>
    </w:p>
    <w:p w14:paraId="0C562A48" w14:textId="77777777" w:rsidR="00410EAC" w:rsidRDefault="00410EAC" w:rsidP="00410EAC">
      <w:pPr>
        <w:pStyle w:val="paragraph"/>
        <w:spacing w:before="0" w:beforeAutospacing="0" w:after="0" w:afterAutospacing="0"/>
        <w:textAlignment w:val="baseline"/>
      </w:pPr>
      <w:r>
        <w:rPr>
          <w:rStyle w:val="eop"/>
        </w:rPr>
        <w:t> </w:t>
      </w:r>
    </w:p>
    <w:p w14:paraId="60A0BD62" w14:textId="3DB941D2"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404B8B">
        <w:rPr>
          <w:rStyle w:val="normaltextrun"/>
        </w:rPr>
        <w:t xml:space="preserve">31 </w:t>
      </w:r>
      <w:r>
        <w:rPr>
          <w:rStyle w:val="normaltextrun"/>
        </w:rPr>
        <w:t>PHNs provided satisfactory statements explaining how the Board considers input from committees. </w:t>
      </w:r>
      <w:r w:rsidR="00404B8B">
        <w:rPr>
          <w:rStyle w:val="normaltextrun"/>
        </w:rPr>
        <w:t>This is the same as the 2019-20 reporting period.</w:t>
      </w:r>
    </w:p>
    <w:p w14:paraId="118E3F68" w14:textId="77777777" w:rsidR="00410EAC" w:rsidRDefault="00410EAC" w:rsidP="00410EAC">
      <w:pPr>
        <w:pStyle w:val="paragraph"/>
        <w:spacing w:before="0" w:beforeAutospacing="0" w:after="0" w:afterAutospacing="0"/>
        <w:textAlignment w:val="baseline"/>
      </w:pPr>
      <w:r>
        <w:rPr>
          <w:rStyle w:val="eop"/>
        </w:rPr>
        <w:t> </w:t>
      </w:r>
    </w:p>
    <w:p w14:paraId="1923345A" w14:textId="77777777" w:rsidR="00410EAC" w:rsidRDefault="00410EAC" w:rsidP="00410EAC">
      <w:pPr>
        <w:pStyle w:val="paragraph"/>
        <w:spacing w:before="0" w:beforeAutospacing="0" w:after="0" w:afterAutospacing="0"/>
        <w:textAlignment w:val="baseline"/>
      </w:pPr>
      <w:r>
        <w:rPr>
          <w:rStyle w:val="normaltextrun"/>
          <w:b/>
          <w:bCs/>
        </w:rPr>
        <w:t>O4 (Organisational):</w:t>
      </w:r>
      <w:r>
        <w:rPr>
          <w:rStyle w:val="normaltextrun"/>
        </w:rPr>
        <w:t xml:space="preserve"> Record of PHN Board member attendance at meetings.</w:t>
      </w:r>
      <w:r>
        <w:rPr>
          <w:rStyle w:val="eop"/>
        </w:rPr>
        <w:t> </w:t>
      </w:r>
    </w:p>
    <w:p w14:paraId="769C23AE" w14:textId="77777777" w:rsidR="00410EAC" w:rsidRDefault="00410EAC" w:rsidP="00410EAC">
      <w:pPr>
        <w:pStyle w:val="paragraph"/>
        <w:spacing w:before="0" w:beforeAutospacing="0" w:after="0" w:afterAutospacing="0"/>
        <w:textAlignment w:val="baseline"/>
      </w:pPr>
      <w:r>
        <w:rPr>
          <w:rStyle w:val="eop"/>
        </w:rPr>
        <w:lastRenderedPageBreak/>
        <w:t> </w:t>
      </w:r>
    </w:p>
    <w:p w14:paraId="5F11B2E2" w14:textId="6CD7F54B"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404B8B">
        <w:rPr>
          <w:rStyle w:val="normaltextrun"/>
        </w:rPr>
        <w:t xml:space="preserve">31 </w:t>
      </w:r>
      <w:r>
        <w:rPr>
          <w:rStyle w:val="normaltextrun"/>
        </w:rPr>
        <w:t>PHNs’ Board members met or exceeded minimum attendance at meetings. </w:t>
      </w:r>
      <w:r w:rsidR="00404B8B">
        <w:rPr>
          <w:rStyle w:val="normaltextrun"/>
        </w:rPr>
        <w:t>This is the same as the 2019-20 reporting period.</w:t>
      </w:r>
    </w:p>
    <w:p w14:paraId="45087EDD" w14:textId="77777777" w:rsidR="00410EAC" w:rsidRDefault="00410EAC" w:rsidP="00410EAC">
      <w:pPr>
        <w:pStyle w:val="paragraph"/>
        <w:spacing w:before="0" w:beforeAutospacing="0" w:after="0" w:afterAutospacing="0"/>
        <w:textAlignment w:val="baseline"/>
      </w:pPr>
      <w:r>
        <w:rPr>
          <w:rStyle w:val="eop"/>
        </w:rPr>
        <w:t> </w:t>
      </w:r>
    </w:p>
    <w:p w14:paraId="71F7BA4D" w14:textId="77777777" w:rsidR="00410EAC" w:rsidRDefault="00410EAC" w:rsidP="00410EAC">
      <w:pPr>
        <w:pStyle w:val="paragraph"/>
        <w:spacing w:before="0" w:beforeAutospacing="0" w:after="0" w:afterAutospacing="0"/>
        <w:textAlignment w:val="baseline"/>
      </w:pPr>
      <w:r>
        <w:rPr>
          <w:rStyle w:val="normaltextrun"/>
          <w:b/>
          <w:bCs/>
        </w:rPr>
        <w:t>O5 (Organisational):</w:t>
      </w:r>
      <w:r>
        <w:rPr>
          <w:rStyle w:val="normaltextrun"/>
        </w:rPr>
        <w:t xml:space="preserve"> PHN Board has a regular review of its performance.</w:t>
      </w:r>
      <w:r>
        <w:rPr>
          <w:rStyle w:val="eop"/>
        </w:rPr>
        <w:t> </w:t>
      </w:r>
    </w:p>
    <w:p w14:paraId="47B309E4" w14:textId="77777777" w:rsidR="00410EAC" w:rsidRDefault="00410EAC" w:rsidP="00410EAC">
      <w:pPr>
        <w:pStyle w:val="paragraph"/>
        <w:spacing w:before="0" w:beforeAutospacing="0" w:after="0" w:afterAutospacing="0"/>
        <w:textAlignment w:val="baseline"/>
      </w:pPr>
      <w:r>
        <w:rPr>
          <w:rStyle w:val="eop"/>
        </w:rPr>
        <w:t> </w:t>
      </w:r>
    </w:p>
    <w:p w14:paraId="3A8F5BA7" w14:textId="6D115D48"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404B8B">
        <w:rPr>
          <w:rStyle w:val="normaltextrun"/>
        </w:rPr>
        <w:t xml:space="preserve">31 </w:t>
      </w:r>
      <w:r>
        <w:rPr>
          <w:rStyle w:val="normaltextrun"/>
        </w:rPr>
        <w:t>PHNs have Board performance reviews at least every 3 years.</w:t>
      </w:r>
      <w:r>
        <w:rPr>
          <w:rStyle w:val="eop"/>
        </w:rPr>
        <w:t> </w:t>
      </w:r>
      <w:r w:rsidR="00404B8B">
        <w:rPr>
          <w:rStyle w:val="normaltextrun"/>
        </w:rPr>
        <w:t>This is the same as the 2019-20 reporting period.</w:t>
      </w:r>
    </w:p>
    <w:p w14:paraId="28BBD7C2" w14:textId="77777777" w:rsidR="00410EAC" w:rsidRDefault="00410EAC" w:rsidP="00410EAC">
      <w:pPr>
        <w:pStyle w:val="paragraph"/>
        <w:spacing w:before="0" w:beforeAutospacing="0" w:after="0" w:afterAutospacing="0"/>
        <w:textAlignment w:val="baseline"/>
      </w:pPr>
      <w:r>
        <w:rPr>
          <w:rStyle w:val="eop"/>
        </w:rPr>
        <w:t> </w:t>
      </w:r>
    </w:p>
    <w:p w14:paraId="4950E8E5" w14:textId="77777777" w:rsidR="00410EAC" w:rsidRDefault="00410EAC" w:rsidP="00410EAC">
      <w:pPr>
        <w:pStyle w:val="paragraph"/>
        <w:spacing w:before="0" w:beforeAutospacing="0" w:after="0" w:afterAutospacing="0"/>
        <w:textAlignment w:val="baseline"/>
      </w:pPr>
      <w:r>
        <w:rPr>
          <w:rStyle w:val="normaltextrun"/>
          <w:b/>
          <w:bCs/>
        </w:rPr>
        <w:t>O6 (Organisational):</w:t>
      </w:r>
      <w:r>
        <w:rPr>
          <w:rStyle w:val="normaltextrun"/>
        </w:rPr>
        <w:t xml:space="preserve"> PHN Board approves strategic plan.</w:t>
      </w:r>
      <w:r>
        <w:rPr>
          <w:rStyle w:val="eop"/>
        </w:rPr>
        <w:t> </w:t>
      </w:r>
    </w:p>
    <w:p w14:paraId="4003749B" w14:textId="77777777" w:rsidR="00410EAC" w:rsidRDefault="00410EAC" w:rsidP="00410EAC">
      <w:pPr>
        <w:pStyle w:val="paragraph"/>
        <w:spacing w:before="0" w:beforeAutospacing="0" w:after="0" w:afterAutospacing="0"/>
        <w:textAlignment w:val="baseline"/>
      </w:pPr>
      <w:r>
        <w:rPr>
          <w:rStyle w:val="eop"/>
        </w:rPr>
        <w:t> </w:t>
      </w:r>
    </w:p>
    <w:p w14:paraId="5F9D28DC" w14:textId="7548A18A"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404B8B">
        <w:rPr>
          <w:rStyle w:val="normaltextrun"/>
        </w:rPr>
        <w:t xml:space="preserve">31 </w:t>
      </w:r>
      <w:r>
        <w:rPr>
          <w:rStyle w:val="normaltextrun"/>
        </w:rPr>
        <w:t>PHNs’ Boards approved their PHN strategic plan.</w:t>
      </w:r>
      <w:r>
        <w:rPr>
          <w:rStyle w:val="eop"/>
        </w:rPr>
        <w:t> </w:t>
      </w:r>
      <w:r w:rsidR="00404B8B">
        <w:rPr>
          <w:rStyle w:val="normaltextrun"/>
        </w:rPr>
        <w:t>This is the same as the 2019-20 reporting period.</w:t>
      </w:r>
    </w:p>
    <w:p w14:paraId="2B3575DC" w14:textId="77777777" w:rsidR="00410EAC" w:rsidRDefault="00410EAC" w:rsidP="00410EAC">
      <w:pPr>
        <w:pStyle w:val="paragraph"/>
        <w:spacing w:before="0" w:beforeAutospacing="0" w:after="0" w:afterAutospacing="0"/>
        <w:textAlignment w:val="baseline"/>
      </w:pPr>
      <w:r>
        <w:rPr>
          <w:rStyle w:val="eop"/>
        </w:rPr>
        <w:t> </w:t>
      </w:r>
    </w:p>
    <w:p w14:paraId="3CF74F04" w14:textId="77777777" w:rsidR="00410EAC" w:rsidRDefault="00410EAC" w:rsidP="00410EAC">
      <w:pPr>
        <w:pStyle w:val="paragraph"/>
        <w:spacing w:before="0" w:beforeAutospacing="0" w:after="0" w:afterAutospacing="0"/>
        <w:textAlignment w:val="baseline"/>
      </w:pPr>
      <w:r>
        <w:rPr>
          <w:rStyle w:val="normaltextrun"/>
          <w:b/>
          <w:bCs/>
        </w:rPr>
        <w:t>O7 (Organisational):</w:t>
      </w:r>
      <w:r>
        <w:rPr>
          <w:rStyle w:val="normaltextrun"/>
        </w:rPr>
        <w:t xml:space="preserve"> Variance report of scheduled activities.</w:t>
      </w:r>
      <w:r>
        <w:rPr>
          <w:rStyle w:val="eop"/>
        </w:rPr>
        <w:t> </w:t>
      </w:r>
    </w:p>
    <w:p w14:paraId="769F1AFA" w14:textId="77777777" w:rsidR="00410EAC" w:rsidRDefault="00410EAC" w:rsidP="00410EAC">
      <w:pPr>
        <w:pStyle w:val="paragraph"/>
        <w:spacing w:before="0" w:beforeAutospacing="0" w:after="0" w:afterAutospacing="0"/>
        <w:textAlignment w:val="baseline"/>
      </w:pPr>
      <w:r>
        <w:rPr>
          <w:rStyle w:val="eop"/>
        </w:rPr>
        <w:t> </w:t>
      </w:r>
    </w:p>
    <w:p w14:paraId="50DAD072" w14:textId="35534AE0" w:rsidR="00410EAC" w:rsidRDefault="00404B8B" w:rsidP="00964BE6">
      <w:pPr>
        <w:pStyle w:val="paragraph"/>
        <w:numPr>
          <w:ilvl w:val="0"/>
          <w:numId w:val="10"/>
        </w:numPr>
        <w:spacing w:before="0" w:beforeAutospacing="0" w:after="0" w:afterAutospacing="0"/>
        <w:textAlignment w:val="baseline"/>
      </w:pPr>
      <w:r>
        <w:rPr>
          <w:rStyle w:val="normaltextrun"/>
        </w:rPr>
        <w:t xml:space="preserve">All 31 </w:t>
      </w:r>
      <w:r w:rsidR="00410EAC">
        <w:rPr>
          <w:rStyle w:val="normaltextrun"/>
        </w:rPr>
        <w:t>PHNs accounted for all variations</w:t>
      </w:r>
      <w:r>
        <w:rPr>
          <w:rStyle w:val="normaltextrun"/>
        </w:rPr>
        <w:t>. This is two more than in the 2019-20 reporting period.</w:t>
      </w:r>
      <w:r w:rsidR="00410EAC">
        <w:rPr>
          <w:rStyle w:val="normaltextrun"/>
        </w:rPr>
        <w:t> </w:t>
      </w:r>
      <w:r w:rsidR="00410EAC">
        <w:rPr>
          <w:rStyle w:val="eop"/>
        </w:rPr>
        <w:t> </w:t>
      </w:r>
    </w:p>
    <w:p w14:paraId="757B8758" w14:textId="77777777" w:rsidR="00410EAC" w:rsidRDefault="00410EAC" w:rsidP="00410EAC">
      <w:pPr>
        <w:pStyle w:val="paragraph"/>
        <w:spacing w:before="0" w:beforeAutospacing="0" w:after="0" w:afterAutospacing="0"/>
        <w:textAlignment w:val="baseline"/>
      </w:pPr>
      <w:r>
        <w:rPr>
          <w:rStyle w:val="eop"/>
        </w:rPr>
        <w:t> </w:t>
      </w:r>
    </w:p>
    <w:p w14:paraId="1F042452" w14:textId="77777777" w:rsidR="00410EAC" w:rsidRDefault="00410EAC" w:rsidP="00410EAC">
      <w:pPr>
        <w:pStyle w:val="paragraph"/>
        <w:spacing w:before="0" w:beforeAutospacing="0" w:after="0" w:afterAutospacing="0"/>
        <w:textAlignment w:val="baseline"/>
      </w:pPr>
      <w:r>
        <w:rPr>
          <w:rStyle w:val="normaltextrun"/>
          <w:b/>
          <w:bCs/>
        </w:rPr>
        <w:t>O8 (Organisational):</w:t>
      </w:r>
      <w:r>
        <w:rPr>
          <w:rStyle w:val="normaltextrun"/>
        </w:rPr>
        <w:t xml:space="preserve"> Quality management system.</w:t>
      </w:r>
      <w:r>
        <w:rPr>
          <w:rStyle w:val="eop"/>
        </w:rPr>
        <w:t> </w:t>
      </w:r>
    </w:p>
    <w:p w14:paraId="7CF2203F" w14:textId="77777777" w:rsidR="00410EAC" w:rsidRDefault="00410EAC" w:rsidP="00410EAC">
      <w:pPr>
        <w:pStyle w:val="paragraph"/>
        <w:spacing w:before="0" w:beforeAutospacing="0" w:after="0" w:afterAutospacing="0"/>
        <w:textAlignment w:val="baseline"/>
      </w:pPr>
      <w:r>
        <w:rPr>
          <w:rStyle w:val="eop"/>
        </w:rPr>
        <w:t> </w:t>
      </w:r>
    </w:p>
    <w:p w14:paraId="6FCC1582" w14:textId="79EBB962"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404B8B">
        <w:rPr>
          <w:rStyle w:val="normaltextrun"/>
        </w:rPr>
        <w:t xml:space="preserve">31 </w:t>
      </w:r>
      <w:r>
        <w:rPr>
          <w:rStyle w:val="normaltextrun"/>
        </w:rPr>
        <w:t>PHNs have or are in the process of moving towards a fit for purpose quality management system.</w:t>
      </w:r>
      <w:r>
        <w:rPr>
          <w:rStyle w:val="eop"/>
        </w:rPr>
        <w:t> </w:t>
      </w:r>
      <w:r w:rsidR="00404B8B">
        <w:rPr>
          <w:rStyle w:val="normaltextrun"/>
        </w:rPr>
        <w:t>This is the same as the 2019-20 reporting period.</w:t>
      </w:r>
    </w:p>
    <w:p w14:paraId="0362098D" w14:textId="77777777" w:rsidR="00410EAC" w:rsidRDefault="00410EAC" w:rsidP="00410EAC">
      <w:pPr>
        <w:pStyle w:val="paragraph"/>
        <w:spacing w:before="0" w:beforeAutospacing="0" w:after="0" w:afterAutospacing="0"/>
        <w:textAlignment w:val="baseline"/>
      </w:pPr>
      <w:r>
        <w:rPr>
          <w:rStyle w:val="eop"/>
        </w:rPr>
        <w:t> </w:t>
      </w:r>
    </w:p>
    <w:p w14:paraId="63151A4C" w14:textId="77777777" w:rsidR="00410EAC" w:rsidRDefault="00410EAC" w:rsidP="00410EAC">
      <w:pPr>
        <w:pStyle w:val="paragraph"/>
        <w:spacing w:before="0" w:beforeAutospacing="0" w:after="0" w:afterAutospacing="0"/>
        <w:textAlignment w:val="baseline"/>
      </w:pPr>
      <w:r>
        <w:rPr>
          <w:rStyle w:val="normaltextrun"/>
          <w:b/>
          <w:bCs/>
        </w:rPr>
        <w:t>O9 (Organisational):</w:t>
      </w:r>
      <w:r>
        <w:rPr>
          <w:rStyle w:val="normaltextrun"/>
        </w:rPr>
        <w:t xml:space="preserve"> Staff satisfaction.</w:t>
      </w:r>
      <w:r>
        <w:rPr>
          <w:rStyle w:val="eop"/>
        </w:rPr>
        <w:t> </w:t>
      </w:r>
    </w:p>
    <w:p w14:paraId="37AECCE1" w14:textId="77777777" w:rsidR="00404B8B" w:rsidRDefault="00404B8B" w:rsidP="00404B8B">
      <w:pPr>
        <w:pStyle w:val="paragraph"/>
        <w:spacing w:before="0" w:beforeAutospacing="0" w:after="0" w:afterAutospacing="0"/>
        <w:textAlignment w:val="baseline"/>
        <w:rPr>
          <w:rStyle w:val="eop"/>
        </w:rPr>
      </w:pPr>
    </w:p>
    <w:p w14:paraId="531F308B" w14:textId="023D7BFD"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404B8B">
        <w:rPr>
          <w:rStyle w:val="normaltextrun"/>
        </w:rPr>
        <w:t xml:space="preserve">31 </w:t>
      </w:r>
      <w:r>
        <w:rPr>
          <w:rStyle w:val="normaltextrun"/>
        </w:rPr>
        <w:t xml:space="preserve">PHNs have a fit for purpose process to measure staff satisfaction at least every </w:t>
      </w:r>
      <w:r w:rsidR="00404B8B">
        <w:rPr>
          <w:rStyle w:val="normaltextrun"/>
        </w:rPr>
        <w:t>two</w:t>
      </w:r>
      <w:r>
        <w:rPr>
          <w:rStyle w:val="normaltextrun"/>
        </w:rPr>
        <w:t xml:space="preserve"> years.</w:t>
      </w:r>
      <w:r w:rsidR="00404B8B">
        <w:rPr>
          <w:rStyle w:val="normaltextrun"/>
        </w:rPr>
        <w:t xml:space="preserve"> This is the same as the 2019-20 reporting period.</w:t>
      </w:r>
      <w:r>
        <w:rPr>
          <w:rStyle w:val="eop"/>
        </w:rPr>
        <w:t> </w:t>
      </w:r>
    </w:p>
    <w:p w14:paraId="6E9615B7" w14:textId="77777777" w:rsidR="00410EAC" w:rsidRDefault="00410EAC" w:rsidP="00410EAC">
      <w:pPr>
        <w:pStyle w:val="paragraph"/>
        <w:spacing w:before="0" w:beforeAutospacing="0" w:after="0" w:afterAutospacing="0"/>
        <w:textAlignment w:val="baseline"/>
      </w:pPr>
      <w:r>
        <w:rPr>
          <w:rStyle w:val="eop"/>
        </w:rPr>
        <w:t> </w:t>
      </w:r>
    </w:p>
    <w:p w14:paraId="0ECC09CA" w14:textId="77777777" w:rsidR="00410EAC" w:rsidRDefault="00410EAC" w:rsidP="00410EAC">
      <w:pPr>
        <w:pStyle w:val="paragraph"/>
        <w:spacing w:before="0" w:beforeAutospacing="0" w:after="0" w:afterAutospacing="0"/>
        <w:textAlignment w:val="baseline"/>
      </w:pPr>
      <w:r>
        <w:rPr>
          <w:rStyle w:val="normaltextrun"/>
          <w:b/>
          <w:bCs/>
        </w:rPr>
        <w:t>O10 (Organisational):</w:t>
      </w:r>
      <w:r>
        <w:rPr>
          <w:rStyle w:val="normaltextrun"/>
        </w:rPr>
        <w:t xml:space="preserve"> Performance management process.</w:t>
      </w:r>
      <w:r>
        <w:rPr>
          <w:rStyle w:val="eop"/>
        </w:rPr>
        <w:t> </w:t>
      </w:r>
    </w:p>
    <w:p w14:paraId="44A04B0C" w14:textId="77777777" w:rsidR="00410EAC" w:rsidRDefault="00410EAC" w:rsidP="00410EAC">
      <w:pPr>
        <w:pStyle w:val="paragraph"/>
        <w:spacing w:before="0" w:beforeAutospacing="0" w:after="0" w:afterAutospacing="0"/>
        <w:textAlignment w:val="baseline"/>
      </w:pPr>
      <w:r>
        <w:rPr>
          <w:rStyle w:val="eop"/>
        </w:rPr>
        <w:t> </w:t>
      </w:r>
    </w:p>
    <w:p w14:paraId="546BDBD5" w14:textId="2B709B58" w:rsidR="00410EAC" w:rsidRDefault="00404B8B" w:rsidP="00964BE6">
      <w:pPr>
        <w:pStyle w:val="paragraph"/>
        <w:numPr>
          <w:ilvl w:val="0"/>
          <w:numId w:val="10"/>
        </w:numPr>
        <w:spacing w:before="0" w:beforeAutospacing="0" w:after="0" w:afterAutospacing="0"/>
        <w:textAlignment w:val="baseline"/>
      </w:pPr>
      <w:r>
        <w:rPr>
          <w:rStyle w:val="normaltextrun"/>
        </w:rPr>
        <w:t xml:space="preserve">All 31 </w:t>
      </w:r>
      <w:r w:rsidR="00410EAC">
        <w:rPr>
          <w:rStyle w:val="normaltextrun"/>
        </w:rPr>
        <w:t xml:space="preserve">PHNs have a fit for purpose process to measure staff performance at least every </w:t>
      </w:r>
      <w:r>
        <w:rPr>
          <w:rStyle w:val="normaltextrun"/>
        </w:rPr>
        <w:t>two</w:t>
      </w:r>
      <w:r w:rsidR="00410EAC">
        <w:rPr>
          <w:rStyle w:val="normaltextrun"/>
        </w:rPr>
        <w:t xml:space="preserve"> years.</w:t>
      </w:r>
      <w:r w:rsidR="00410EAC">
        <w:rPr>
          <w:rStyle w:val="eop"/>
        </w:rPr>
        <w:t> </w:t>
      </w:r>
      <w:r>
        <w:rPr>
          <w:rStyle w:val="normaltextrun"/>
        </w:rPr>
        <w:t>This is the same as the 2019-20 reporting period.</w:t>
      </w:r>
    </w:p>
    <w:p w14:paraId="48DD575D" w14:textId="77777777" w:rsidR="00410EAC" w:rsidRDefault="00410EAC" w:rsidP="00410EAC">
      <w:pPr>
        <w:pStyle w:val="paragraph"/>
        <w:spacing w:before="0" w:beforeAutospacing="0" w:after="0" w:afterAutospacing="0"/>
        <w:textAlignment w:val="baseline"/>
      </w:pPr>
      <w:r>
        <w:rPr>
          <w:rStyle w:val="eop"/>
        </w:rPr>
        <w:t> </w:t>
      </w:r>
    </w:p>
    <w:p w14:paraId="6E6D7495" w14:textId="77777777" w:rsidR="00410EAC" w:rsidRDefault="00410EAC" w:rsidP="00410EAC">
      <w:pPr>
        <w:pStyle w:val="paragraph"/>
        <w:spacing w:before="0" w:beforeAutospacing="0" w:after="0" w:afterAutospacing="0"/>
        <w:textAlignment w:val="baseline"/>
      </w:pPr>
      <w:r>
        <w:rPr>
          <w:rStyle w:val="normaltextrun"/>
          <w:b/>
          <w:bCs/>
        </w:rPr>
        <w:t>O11 (Organisational):</w:t>
      </w:r>
      <w:r>
        <w:rPr>
          <w:rStyle w:val="normaltextrun"/>
        </w:rPr>
        <w:t xml:space="preserve"> Cultural awareness training.</w:t>
      </w:r>
      <w:r>
        <w:rPr>
          <w:rStyle w:val="eop"/>
        </w:rPr>
        <w:t> </w:t>
      </w:r>
    </w:p>
    <w:p w14:paraId="781E643F" w14:textId="77777777" w:rsidR="00410EAC" w:rsidRDefault="00410EAC" w:rsidP="00410EAC">
      <w:pPr>
        <w:pStyle w:val="paragraph"/>
        <w:spacing w:before="0" w:beforeAutospacing="0" w:after="0" w:afterAutospacing="0"/>
        <w:textAlignment w:val="baseline"/>
      </w:pPr>
      <w:r>
        <w:rPr>
          <w:rStyle w:val="eop"/>
        </w:rPr>
        <w:t> </w:t>
      </w:r>
    </w:p>
    <w:p w14:paraId="40F8C949" w14:textId="07979AE5"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404B8B">
        <w:rPr>
          <w:rStyle w:val="normaltextrun"/>
        </w:rPr>
        <w:t xml:space="preserve">31 </w:t>
      </w:r>
      <w:r>
        <w:rPr>
          <w:rStyle w:val="normaltextrun"/>
        </w:rPr>
        <w:t xml:space="preserve">PHNs conduct or offer cultural awareness training to staff at least every </w:t>
      </w:r>
      <w:r w:rsidR="00404B8B">
        <w:rPr>
          <w:rStyle w:val="normaltextrun"/>
        </w:rPr>
        <w:t xml:space="preserve">two </w:t>
      </w:r>
      <w:r>
        <w:rPr>
          <w:rStyle w:val="normaltextrun"/>
        </w:rPr>
        <w:t>years.</w:t>
      </w:r>
      <w:r>
        <w:rPr>
          <w:rStyle w:val="eop"/>
        </w:rPr>
        <w:t> </w:t>
      </w:r>
      <w:r w:rsidR="00404B8B">
        <w:rPr>
          <w:rStyle w:val="normaltextrun"/>
        </w:rPr>
        <w:t>This is the same as the 2019-20 reporting period.</w:t>
      </w:r>
    </w:p>
    <w:p w14:paraId="234ECDDD" w14:textId="77777777" w:rsidR="00410EAC" w:rsidRDefault="00410EAC" w:rsidP="00410EAC">
      <w:pPr>
        <w:pStyle w:val="paragraph"/>
        <w:spacing w:before="0" w:beforeAutospacing="0" w:after="0" w:afterAutospacing="0"/>
        <w:textAlignment w:val="baseline"/>
      </w:pPr>
      <w:r>
        <w:rPr>
          <w:rStyle w:val="eop"/>
        </w:rPr>
        <w:t> </w:t>
      </w:r>
    </w:p>
    <w:p w14:paraId="213C50AF" w14:textId="4C969DAA" w:rsidR="00410EAC" w:rsidRDefault="00410EAC" w:rsidP="00410EAC">
      <w:pPr>
        <w:pStyle w:val="paragraph"/>
        <w:spacing w:before="0" w:beforeAutospacing="0" w:after="0" w:afterAutospacing="0"/>
        <w:textAlignment w:val="baseline"/>
      </w:pPr>
      <w:r>
        <w:rPr>
          <w:rStyle w:val="normaltextrun"/>
          <w:b/>
          <w:bCs/>
        </w:rPr>
        <w:t>O12 (Organisational):</w:t>
      </w:r>
      <w:r>
        <w:rPr>
          <w:rStyle w:val="normaltextrun"/>
        </w:rPr>
        <w:t xml:space="preserve"> Rate of contracts for commissioned health services that include both output and outcome performance indicators.</w:t>
      </w:r>
    </w:p>
    <w:p w14:paraId="21F0024C" w14:textId="77777777" w:rsidR="00410EAC" w:rsidRDefault="00410EAC" w:rsidP="00410EAC">
      <w:pPr>
        <w:pStyle w:val="paragraph"/>
        <w:spacing w:before="0" w:beforeAutospacing="0" w:after="0" w:afterAutospacing="0"/>
        <w:textAlignment w:val="baseline"/>
      </w:pPr>
      <w:r>
        <w:rPr>
          <w:rStyle w:val="eop"/>
        </w:rPr>
        <w:t> </w:t>
      </w:r>
    </w:p>
    <w:p w14:paraId="0F94E458" w14:textId="18D45DEC" w:rsidR="00410EAC" w:rsidRPr="00673CD1" w:rsidRDefault="00404B8B" w:rsidP="00673CD1">
      <w:pPr>
        <w:pStyle w:val="paragraph"/>
        <w:numPr>
          <w:ilvl w:val="0"/>
          <w:numId w:val="10"/>
        </w:numPr>
        <w:spacing w:before="0" w:beforeAutospacing="0" w:after="0" w:afterAutospacing="0"/>
        <w:textAlignment w:val="baseline"/>
      </w:pPr>
      <w:r w:rsidRPr="00673CD1">
        <w:rPr>
          <w:rStyle w:val="normaltextrun"/>
        </w:rPr>
        <w:t xml:space="preserve">Twenty-eight </w:t>
      </w:r>
      <w:r w:rsidR="00410EAC" w:rsidRPr="00673CD1">
        <w:rPr>
          <w:rStyle w:val="normaltextrun"/>
        </w:rPr>
        <w:t>PHNs have increased the number of contracts containing both output and outcome measures</w:t>
      </w:r>
      <w:r w:rsidR="000B5BF4" w:rsidRPr="00673CD1">
        <w:rPr>
          <w:rStyle w:val="normaltextrun"/>
        </w:rPr>
        <w:t xml:space="preserve"> or maintained a 100 per cent rate of contracts with such measures</w:t>
      </w:r>
      <w:r w:rsidR="00DA315E" w:rsidRPr="00673CD1">
        <w:rPr>
          <w:rStyle w:val="normaltextrun"/>
        </w:rPr>
        <w:t xml:space="preserve"> in the 2020-21 reporting period. This is four more than in the 2019-20 reporting period. </w:t>
      </w:r>
      <w:r w:rsidR="00DA315E" w:rsidRPr="00673CD1">
        <w:rPr>
          <w:rStyle w:val="eop"/>
        </w:rPr>
        <w:t> </w:t>
      </w:r>
    </w:p>
    <w:p w14:paraId="5E08C96D" w14:textId="77777777" w:rsidR="00410EAC" w:rsidRDefault="00410EAC" w:rsidP="00410EAC">
      <w:pPr>
        <w:pStyle w:val="paragraph"/>
        <w:spacing w:before="0" w:beforeAutospacing="0" w:after="0" w:afterAutospacing="0"/>
        <w:textAlignment w:val="baseline"/>
      </w:pPr>
      <w:r>
        <w:rPr>
          <w:rStyle w:val="eop"/>
        </w:rPr>
        <w:t> </w:t>
      </w:r>
    </w:p>
    <w:p w14:paraId="1224430D" w14:textId="77777777" w:rsidR="00410EAC" w:rsidRDefault="00410EAC" w:rsidP="00410EAC">
      <w:pPr>
        <w:pStyle w:val="paragraph"/>
        <w:spacing w:before="0" w:beforeAutospacing="0" w:after="0" w:afterAutospacing="0"/>
        <w:textAlignment w:val="baseline"/>
      </w:pPr>
      <w:r>
        <w:rPr>
          <w:rStyle w:val="normaltextrun"/>
          <w:b/>
          <w:bCs/>
        </w:rPr>
        <w:t>O13 (Organisational):</w:t>
      </w:r>
      <w:r>
        <w:rPr>
          <w:rStyle w:val="normaltextrun"/>
        </w:rPr>
        <w:t xml:space="preserve"> Annual Report and audited financial statements.</w:t>
      </w:r>
      <w:r>
        <w:rPr>
          <w:rStyle w:val="eop"/>
        </w:rPr>
        <w:t> </w:t>
      </w:r>
    </w:p>
    <w:p w14:paraId="142D0525" w14:textId="77777777" w:rsidR="00410EAC" w:rsidRDefault="00410EAC" w:rsidP="00410EAC">
      <w:pPr>
        <w:pStyle w:val="paragraph"/>
        <w:spacing w:before="0" w:beforeAutospacing="0" w:after="0" w:afterAutospacing="0"/>
        <w:textAlignment w:val="baseline"/>
      </w:pPr>
      <w:r>
        <w:rPr>
          <w:rStyle w:val="eop"/>
        </w:rPr>
        <w:t> </w:t>
      </w:r>
    </w:p>
    <w:p w14:paraId="1E2B117E" w14:textId="71C62F4D"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C86998">
        <w:rPr>
          <w:rStyle w:val="normaltextrun"/>
        </w:rPr>
        <w:t xml:space="preserve">31 </w:t>
      </w:r>
      <w:r>
        <w:rPr>
          <w:rStyle w:val="normaltextrun"/>
        </w:rPr>
        <w:t>PHNs’ annual reports meet requirements, and audited financial reports have unqualified auditor statements.</w:t>
      </w:r>
      <w:r>
        <w:rPr>
          <w:rStyle w:val="eop"/>
        </w:rPr>
        <w:t> </w:t>
      </w:r>
      <w:r w:rsidR="00964BE6">
        <w:rPr>
          <w:rStyle w:val="normaltextrun"/>
        </w:rPr>
        <w:t>This is the same as the 2019-20 reporting period.</w:t>
      </w:r>
    </w:p>
    <w:p w14:paraId="754AD953" w14:textId="77777777" w:rsidR="00410EAC" w:rsidRDefault="00410EAC" w:rsidP="00410EAC">
      <w:pPr>
        <w:pStyle w:val="paragraph"/>
        <w:spacing w:before="0" w:beforeAutospacing="0" w:after="0" w:afterAutospacing="0"/>
        <w:textAlignment w:val="baseline"/>
      </w:pPr>
      <w:r>
        <w:rPr>
          <w:rStyle w:val="eop"/>
        </w:rPr>
        <w:t> </w:t>
      </w:r>
    </w:p>
    <w:p w14:paraId="53803B17" w14:textId="77777777" w:rsidR="00410EAC" w:rsidRDefault="00410EAC" w:rsidP="00410EAC">
      <w:pPr>
        <w:pStyle w:val="paragraph"/>
        <w:spacing w:before="0" w:beforeAutospacing="0" w:after="0" w:afterAutospacing="0"/>
        <w:textAlignment w:val="baseline"/>
      </w:pPr>
      <w:r>
        <w:rPr>
          <w:rStyle w:val="normaltextrun"/>
          <w:b/>
          <w:bCs/>
        </w:rPr>
        <w:t>O14 (Organisational):</w:t>
      </w:r>
      <w:r>
        <w:rPr>
          <w:rStyle w:val="normaltextrun"/>
        </w:rPr>
        <w:t xml:space="preserve"> PHN stakeholder engagement.</w:t>
      </w:r>
      <w:r>
        <w:rPr>
          <w:rStyle w:val="eop"/>
        </w:rPr>
        <w:t> </w:t>
      </w:r>
    </w:p>
    <w:p w14:paraId="7967B798" w14:textId="77777777" w:rsidR="00410EAC" w:rsidRDefault="00410EAC" w:rsidP="00410EAC">
      <w:pPr>
        <w:pStyle w:val="paragraph"/>
        <w:spacing w:before="0" w:beforeAutospacing="0" w:after="0" w:afterAutospacing="0"/>
        <w:textAlignment w:val="baseline"/>
      </w:pPr>
      <w:r>
        <w:rPr>
          <w:rStyle w:val="eop"/>
        </w:rPr>
        <w:t> </w:t>
      </w:r>
    </w:p>
    <w:p w14:paraId="1AFB450C" w14:textId="7D89B14F" w:rsidR="00410EAC" w:rsidRDefault="00410EAC" w:rsidP="00964BE6">
      <w:pPr>
        <w:pStyle w:val="paragraph"/>
        <w:numPr>
          <w:ilvl w:val="0"/>
          <w:numId w:val="10"/>
        </w:numPr>
        <w:spacing w:before="0" w:beforeAutospacing="0" w:after="0" w:afterAutospacing="0"/>
        <w:textAlignment w:val="baseline"/>
      </w:pPr>
      <w:r>
        <w:rPr>
          <w:rStyle w:val="normaltextrun"/>
        </w:rPr>
        <w:lastRenderedPageBreak/>
        <w:t xml:space="preserve">All </w:t>
      </w:r>
      <w:r w:rsidR="00964BE6">
        <w:rPr>
          <w:rStyle w:val="normaltextrun"/>
        </w:rPr>
        <w:t xml:space="preserve">31 </w:t>
      </w:r>
      <w:r>
        <w:rPr>
          <w:rStyle w:val="normaltextrun"/>
        </w:rPr>
        <w:t>PHNs have described satisfactory stakeholder engagement activities undertaken.</w:t>
      </w:r>
      <w:r>
        <w:rPr>
          <w:rStyle w:val="eop"/>
        </w:rPr>
        <w:t> </w:t>
      </w:r>
      <w:r w:rsidR="00964BE6">
        <w:rPr>
          <w:rStyle w:val="normaltextrun"/>
        </w:rPr>
        <w:t>This is the same as the 2019-20 reporting period.</w:t>
      </w:r>
    </w:p>
    <w:p w14:paraId="34949688" w14:textId="77777777" w:rsidR="00410EAC" w:rsidRDefault="00410EAC" w:rsidP="00410EAC">
      <w:pPr>
        <w:pStyle w:val="paragraph"/>
        <w:spacing w:before="0" w:beforeAutospacing="0" w:after="0" w:afterAutospacing="0"/>
        <w:textAlignment w:val="baseline"/>
      </w:pPr>
      <w:r>
        <w:rPr>
          <w:rStyle w:val="eop"/>
        </w:rPr>
        <w:t> </w:t>
      </w:r>
    </w:p>
    <w:p w14:paraId="435FA996" w14:textId="77777777" w:rsidR="00410EAC" w:rsidRDefault="00410EAC" w:rsidP="00410EAC">
      <w:pPr>
        <w:pStyle w:val="paragraph"/>
        <w:spacing w:before="0" w:beforeAutospacing="0" w:after="0" w:afterAutospacing="0"/>
        <w:textAlignment w:val="baseline"/>
      </w:pPr>
      <w:r>
        <w:rPr>
          <w:rStyle w:val="normaltextrun"/>
          <w:b/>
          <w:bCs/>
        </w:rPr>
        <w:t>O15 (Organisational):</w:t>
      </w:r>
      <w:r>
        <w:rPr>
          <w:rStyle w:val="normaltextrun"/>
        </w:rPr>
        <w:t xml:space="preserve"> Engaging with complaints.</w:t>
      </w:r>
      <w:r>
        <w:rPr>
          <w:rStyle w:val="eop"/>
        </w:rPr>
        <w:t> </w:t>
      </w:r>
    </w:p>
    <w:p w14:paraId="47F9B296" w14:textId="77777777" w:rsidR="00410EAC" w:rsidRDefault="00410EAC" w:rsidP="00410EAC">
      <w:pPr>
        <w:pStyle w:val="paragraph"/>
        <w:spacing w:before="0" w:beforeAutospacing="0" w:after="0" w:afterAutospacing="0"/>
        <w:textAlignment w:val="baseline"/>
      </w:pPr>
      <w:r>
        <w:rPr>
          <w:rStyle w:val="eop"/>
        </w:rPr>
        <w:t> </w:t>
      </w:r>
    </w:p>
    <w:p w14:paraId="51450F30" w14:textId="3EA7B334" w:rsidR="00410EAC" w:rsidRDefault="00410EAC" w:rsidP="00964BE6">
      <w:pPr>
        <w:pStyle w:val="paragraph"/>
        <w:numPr>
          <w:ilvl w:val="0"/>
          <w:numId w:val="10"/>
        </w:numPr>
        <w:spacing w:before="0" w:beforeAutospacing="0" w:after="0" w:afterAutospacing="0"/>
        <w:textAlignment w:val="baseline"/>
      </w:pPr>
      <w:r>
        <w:rPr>
          <w:rStyle w:val="normaltextrun"/>
        </w:rPr>
        <w:t xml:space="preserve">All </w:t>
      </w:r>
      <w:r w:rsidR="00964BE6">
        <w:rPr>
          <w:rStyle w:val="normaltextrun"/>
        </w:rPr>
        <w:t xml:space="preserve">31 </w:t>
      </w:r>
      <w:r>
        <w:rPr>
          <w:rStyle w:val="normaltextrun"/>
        </w:rPr>
        <w:t>PHNs have attempted to address all complaints referred by the Department. </w:t>
      </w:r>
      <w:r w:rsidR="00964BE6">
        <w:rPr>
          <w:rStyle w:val="normaltextrun"/>
        </w:rPr>
        <w:t>This is the same as the 2019-20 reporting period.</w:t>
      </w:r>
    </w:p>
    <w:p w14:paraId="6722A2CE" w14:textId="32A00C96" w:rsidR="00C506FF" w:rsidRDefault="00C506FF">
      <w:pPr>
        <w:spacing w:after="160" w:line="259" w:lineRule="auto"/>
        <w:rPr>
          <w:rFonts w:ascii="Calibri" w:eastAsia="Calibri" w:hAnsi="Calibri" w:cs="Calibri"/>
          <w:szCs w:val="22"/>
          <w:lang w:eastAsia="en-US"/>
        </w:rPr>
      </w:pPr>
      <w:r>
        <w:rPr>
          <w:rFonts w:ascii="Calibri" w:eastAsia="Calibri" w:hAnsi="Calibri" w:cs="Calibri"/>
          <w:szCs w:val="22"/>
          <w:lang w:eastAsia="en-US"/>
        </w:rPr>
        <w:br w:type="page"/>
      </w:r>
    </w:p>
    <w:p w14:paraId="1151458A" w14:textId="77777777" w:rsidR="00C506FF" w:rsidRPr="00C0467D" w:rsidRDefault="00C506FF" w:rsidP="00C506FF">
      <w:pPr>
        <w:pStyle w:val="Heading2"/>
        <w:rPr>
          <w:rFonts w:eastAsia="Calibri"/>
        </w:rPr>
      </w:pPr>
      <w:bookmarkStart w:id="61" w:name="_Toc136505548"/>
      <w:r w:rsidRPr="00C0467D">
        <w:rPr>
          <w:rFonts w:eastAsia="Calibri"/>
        </w:rPr>
        <w:lastRenderedPageBreak/>
        <w:t>Appendix 2</w:t>
      </w:r>
      <w:bookmarkEnd w:id="61"/>
    </w:p>
    <w:p w14:paraId="75E56A83" w14:textId="77777777" w:rsidR="00C506FF" w:rsidRPr="00C0467D" w:rsidRDefault="00C506FF" w:rsidP="00C506FF">
      <w:pPr>
        <w:spacing w:line="257" w:lineRule="auto"/>
        <w:rPr>
          <w:rFonts w:ascii="Calibri" w:eastAsia="Calibri" w:hAnsi="Calibri" w:cs="Calibri"/>
          <w:szCs w:val="22"/>
        </w:rPr>
      </w:pPr>
      <w:r w:rsidRPr="00C0467D">
        <w:rPr>
          <w:rFonts w:ascii="Calibri" w:eastAsia="Calibri" w:hAnsi="Calibri" w:cs="Calibri"/>
          <w:szCs w:val="22"/>
        </w:rPr>
        <w:t xml:space="preserve"> </w:t>
      </w:r>
    </w:p>
    <w:p w14:paraId="7D342A4F" w14:textId="6E51FC00" w:rsidR="00C506FF" w:rsidRPr="00C0467D" w:rsidRDefault="00C506FF" w:rsidP="00C506FF">
      <w:pPr>
        <w:spacing w:line="257" w:lineRule="auto"/>
        <w:rPr>
          <w:rFonts w:ascii="Calibri" w:eastAsia="Calibri" w:hAnsi="Calibri" w:cs="Calibri"/>
          <w:szCs w:val="22"/>
        </w:rPr>
      </w:pPr>
      <w:r w:rsidRPr="00C0467D">
        <w:rPr>
          <w:rFonts w:ascii="Calibri" w:eastAsia="Calibri" w:hAnsi="Calibri" w:cs="Calibri"/>
          <w:szCs w:val="22"/>
        </w:rPr>
        <w:t>Table 1: Breakdown of potentially preventable hospitalisation conditions</w:t>
      </w:r>
      <w:r w:rsidRPr="00C0467D">
        <w:rPr>
          <w:rFonts w:ascii="Calibri" w:eastAsia="Calibri" w:hAnsi="Calibri" w:cs="Calibri"/>
          <w:szCs w:val="22"/>
        </w:rPr>
        <w:br/>
      </w:r>
    </w:p>
    <w:tbl>
      <w:tblPr>
        <w:tblStyle w:val="PlainTable4"/>
        <w:tblW w:w="0" w:type="auto"/>
        <w:tblLayout w:type="fixed"/>
        <w:tblLook w:val="04A0" w:firstRow="1" w:lastRow="0" w:firstColumn="1" w:lastColumn="0" w:noHBand="0" w:noVBand="1"/>
      </w:tblPr>
      <w:tblGrid>
        <w:gridCol w:w="8640"/>
      </w:tblGrid>
      <w:tr w:rsidR="00C506FF" w:rsidRPr="00C729DD" w14:paraId="479A4290" w14:textId="77777777" w:rsidTr="00C729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55480951" w14:textId="77777777" w:rsidR="00C506FF" w:rsidRPr="00C729DD" w:rsidRDefault="00C506FF" w:rsidP="00CD3C9B">
            <w:pPr>
              <w:spacing w:line="276" w:lineRule="auto"/>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Acute PPH</w:t>
            </w:r>
          </w:p>
        </w:tc>
      </w:tr>
      <w:tr w:rsidR="00C506FF" w:rsidRPr="00C729DD" w14:paraId="6EB46FD3"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03F87BDD"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Cellulitis</w:t>
            </w:r>
          </w:p>
        </w:tc>
      </w:tr>
      <w:tr w:rsidR="00C506FF" w:rsidRPr="00C729DD" w14:paraId="0AF121B1"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1B32E7BE"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Convulsions and epilepsy</w:t>
            </w:r>
          </w:p>
        </w:tc>
      </w:tr>
      <w:tr w:rsidR="00C506FF" w:rsidRPr="00C729DD" w14:paraId="0961C182"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5FA64995"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Dental conditions</w:t>
            </w:r>
          </w:p>
        </w:tc>
      </w:tr>
      <w:tr w:rsidR="00C506FF" w:rsidRPr="00C729DD" w14:paraId="450F6862"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06494CAE"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 xml:space="preserve">Ear, </w:t>
            </w:r>
            <w:proofErr w:type="gramStart"/>
            <w:r w:rsidRPr="00C729DD">
              <w:rPr>
                <w:rFonts w:ascii="Calibri" w:eastAsia="Calibri" w:hAnsi="Calibri" w:cs="Calibri"/>
                <w:b w:val="0"/>
                <w:bCs w:val="0"/>
                <w:color w:val="000000" w:themeColor="text1"/>
                <w:szCs w:val="22"/>
              </w:rPr>
              <w:t>nose</w:t>
            </w:r>
            <w:proofErr w:type="gramEnd"/>
            <w:r w:rsidRPr="00C729DD">
              <w:rPr>
                <w:rFonts w:ascii="Calibri" w:eastAsia="Calibri" w:hAnsi="Calibri" w:cs="Calibri"/>
                <w:b w:val="0"/>
                <w:bCs w:val="0"/>
                <w:color w:val="000000" w:themeColor="text1"/>
                <w:szCs w:val="22"/>
              </w:rPr>
              <w:t xml:space="preserve"> and throat infections</w:t>
            </w:r>
          </w:p>
        </w:tc>
      </w:tr>
      <w:tr w:rsidR="00C506FF" w:rsidRPr="00C729DD" w14:paraId="38FC68C1"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7B2441C7"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Eclampsia</w:t>
            </w:r>
          </w:p>
        </w:tc>
      </w:tr>
      <w:tr w:rsidR="00C506FF" w:rsidRPr="00C729DD" w14:paraId="585B804C"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464B7886"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Gangrene</w:t>
            </w:r>
          </w:p>
        </w:tc>
      </w:tr>
      <w:tr w:rsidR="00C506FF" w:rsidRPr="00C729DD" w14:paraId="7D68075F"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4955D8B9"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Pelvic inflammatory disease</w:t>
            </w:r>
          </w:p>
        </w:tc>
      </w:tr>
      <w:tr w:rsidR="00C506FF" w:rsidRPr="00C729DD" w14:paraId="7B26D0BA"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1AEFC35F"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Perforated/bleeding ulcer</w:t>
            </w:r>
          </w:p>
        </w:tc>
      </w:tr>
      <w:tr w:rsidR="00C506FF" w:rsidRPr="00C729DD" w14:paraId="0FB4584F"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1B2258C6"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Pneumonia (not vaccine-preventable)</w:t>
            </w:r>
          </w:p>
        </w:tc>
      </w:tr>
      <w:tr w:rsidR="00C506FF" w:rsidRPr="00C729DD" w14:paraId="38D9EC38"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14AC80E7"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Total acute</w:t>
            </w:r>
          </w:p>
        </w:tc>
      </w:tr>
      <w:tr w:rsidR="00C506FF" w:rsidRPr="00C729DD" w14:paraId="32449B08"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1B47F311" w14:textId="5A3D8874"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Urinary tract infections, including pyelonephritis</w:t>
            </w:r>
            <w:r w:rsidRPr="00C729DD">
              <w:rPr>
                <w:rFonts w:ascii="Calibri" w:eastAsia="Calibri" w:hAnsi="Calibri" w:cs="Calibri"/>
                <w:b w:val="0"/>
                <w:bCs w:val="0"/>
                <w:color w:val="000000" w:themeColor="text1"/>
                <w:szCs w:val="22"/>
              </w:rPr>
              <w:br/>
            </w:r>
          </w:p>
        </w:tc>
      </w:tr>
      <w:tr w:rsidR="00C506FF" w:rsidRPr="00C729DD" w14:paraId="49751341"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0CFC632B" w14:textId="77777777" w:rsidR="00C506FF" w:rsidRPr="00C729DD" w:rsidRDefault="00C506FF" w:rsidP="00CD3C9B">
            <w:pPr>
              <w:spacing w:line="276" w:lineRule="auto"/>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Chronic PPH</w:t>
            </w:r>
          </w:p>
        </w:tc>
      </w:tr>
      <w:tr w:rsidR="00C506FF" w:rsidRPr="00C729DD" w14:paraId="17B84268"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2B708C04"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Angina</w:t>
            </w:r>
          </w:p>
        </w:tc>
      </w:tr>
      <w:tr w:rsidR="00C506FF" w:rsidRPr="00C729DD" w14:paraId="10BB0892"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12D8582A"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Asthma</w:t>
            </w:r>
          </w:p>
        </w:tc>
      </w:tr>
      <w:tr w:rsidR="00C506FF" w:rsidRPr="00C729DD" w14:paraId="48838476"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72447D30"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Bronchiectasis</w:t>
            </w:r>
          </w:p>
        </w:tc>
      </w:tr>
      <w:tr w:rsidR="00C506FF" w:rsidRPr="00C729DD" w14:paraId="01487BE1"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787D7D9A"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Congestive cardiac failure</w:t>
            </w:r>
          </w:p>
        </w:tc>
      </w:tr>
      <w:tr w:rsidR="00C506FF" w:rsidRPr="00C729DD" w14:paraId="26D69550"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54C50ED3"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COPD</w:t>
            </w:r>
          </w:p>
        </w:tc>
      </w:tr>
      <w:tr w:rsidR="00C506FF" w:rsidRPr="00C729DD" w14:paraId="363EE411"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112AE925"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Diabetes complications</w:t>
            </w:r>
          </w:p>
        </w:tc>
      </w:tr>
      <w:tr w:rsidR="00C506FF" w:rsidRPr="00C729DD" w14:paraId="5B5BD32A"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25C03FC9"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Hypertension</w:t>
            </w:r>
          </w:p>
        </w:tc>
      </w:tr>
      <w:tr w:rsidR="00C506FF" w:rsidRPr="00C729DD" w14:paraId="3F819D4B"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6CC0E798"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Iron deficiency anaemia</w:t>
            </w:r>
          </w:p>
        </w:tc>
      </w:tr>
      <w:tr w:rsidR="00C506FF" w:rsidRPr="00C729DD" w14:paraId="34699A60"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6A7C0F73"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Nutritional deficiencies</w:t>
            </w:r>
          </w:p>
        </w:tc>
      </w:tr>
      <w:tr w:rsidR="00C506FF" w:rsidRPr="00C729DD" w14:paraId="019F7F05"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5254286B"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Rheumatic heart disease</w:t>
            </w:r>
          </w:p>
        </w:tc>
      </w:tr>
      <w:tr w:rsidR="00C506FF" w:rsidRPr="00C729DD" w14:paraId="361BCC25"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5ED896BD" w14:textId="05A8BF1C"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Total chronic</w:t>
            </w:r>
            <w:r w:rsidRPr="00C729DD">
              <w:rPr>
                <w:rFonts w:ascii="Calibri" w:eastAsia="Calibri" w:hAnsi="Calibri" w:cs="Calibri"/>
                <w:b w:val="0"/>
                <w:bCs w:val="0"/>
                <w:color w:val="000000" w:themeColor="text1"/>
                <w:szCs w:val="22"/>
              </w:rPr>
              <w:br/>
            </w:r>
          </w:p>
        </w:tc>
      </w:tr>
      <w:tr w:rsidR="00C506FF" w:rsidRPr="00C729DD" w14:paraId="5F25707E"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63737391" w14:textId="77777777" w:rsidR="00C506FF" w:rsidRPr="00C729DD" w:rsidRDefault="00C506FF" w:rsidP="00CD3C9B">
            <w:pPr>
              <w:spacing w:line="276" w:lineRule="auto"/>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Vaccine preventable PPH</w:t>
            </w:r>
          </w:p>
        </w:tc>
      </w:tr>
      <w:tr w:rsidR="00C506FF" w:rsidRPr="00C729DD" w14:paraId="1739ACE7"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3A59846A"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Other vaccine-preventable conditions</w:t>
            </w:r>
          </w:p>
        </w:tc>
      </w:tr>
      <w:tr w:rsidR="00C506FF" w:rsidRPr="00C729DD" w14:paraId="2811B0C9" w14:textId="77777777" w:rsidTr="00C729DD">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1AAADDF5"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Pneumonia and influenza (vaccine-preventable)</w:t>
            </w:r>
          </w:p>
        </w:tc>
      </w:tr>
      <w:tr w:rsidR="00C506FF" w:rsidRPr="00C729DD" w14:paraId="2B1A6363" w14:textId="77777777" w:rsidTr="00C729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49B7CC03" w14:textId="77777777" w:rsidR="00C506FF" w:rsidRPr="00C729DD" w:rsidRDefault="00C506FF" w:rsidP="00CD3C9B">
            <w:pPr>
              <w:spacing w:line="276" w:lineRule="auto"/>
              <w:ind w:firstLine="220"/>
              <w:rPr>
                <w:rFonts w:ascii="Calibri" w:eastAsia="Calibri" w:hAnsi="Calibri" w:cs="Calibri"/>
                <w:b w:val="0"/>
                <w:bCs w:val="0"/>
                <w:color w:val="000000" w:themeColor="text1"/>
                <w:szCs w:val="22"/>
              </w:rPr>
            </w:pPr>
            <w:r w:rsidRPr="00C729DD">
              <w:rPr>
                <w:rFonts w:ascii="Calibri" w:eastAsia="Calibri" w:hAnsi="Calibri" w:cs="Calibri"/>
                <w:b w:val="0"/>
                <w:bCs w:val="0"/>
                <w:color w:val="000000" w:themeColor="text1"/>
                <w:szCs w:val="22"/>
              </w:rPr>
              <w:t>Total vaccine preventable</w:t>
            </w:r>
          </w:p>
        </w:tc>
      </w:tr>
    </w:tbl>
    <w:p w14:paraId="2E638DB4" w14:textId="77777777" w:rsidR="00C506FF" w:rsidRDefault="00C506FF" w:rsidP="00C506FF">
      <w:pPr>
        <w:rPr>
          <w:rFonts w:ascii="Calibri" w:eastAsia="Calibri" w:hAnsi="Calibri" w:cs="Calibri"/>
          <w:b/>
          <w:bCs/>
          <w:szCs w:val="22"/>
        </w:rPr>
      </w:pPr>
    </w:p>
    <w:p w14:paraId="3C4009D5" w14:textId="77777777" w:rsidR="00C506FF" w:rsidRDefault="00C506FF" w:rsidP="00C506FF"/>
    <w:p w14:paraId="7724585D" w14:textId="77777777" w:rsidR="00C506FF" w:rsidRDefault="00C506FF">
      <w:pPr>
        <w:spacing w:after="160" w:line="259" w:lineRule="auto"/>
        <w:rPr>
          <w:rFonts w:ascii="Calibri" w:hAnsi="Calibri" w:cs="Calibri"/>
          <w:b/>
          <w:bCs/>
          <w:color w:val="FFFFFF" w:themeColor="background1"/>
          <w:sz w:val="28"/>
          <w:szCs w:val="28"/>
          <w:lang w:eastAsia="en-US"/>
        </w:rPr>
      </w:pPr>
      <w:r>
        <w:br w:type="page"/>
      </w:r>
    </w:p>
    <w:p w14:paraId="1B9A25F0" w14:textId="35B8370A" w:rsidR="009D1C76" w:rsidRDefault="009D1C76" w:rsidP="00582BAC">
      <w:pPr>
        <w:pStyle w:val="Heading1"/>
      </w:pPr>
      <w:bookmarkStart w:id="62" w:name="_Toc136505549"/>
      <w:r>
        <w:lastRenderedPageBreak/>
        <w:t>Acronyms and abbreviations</w:t>
      </w:r>
      <w:bookmarkEnd w:id="62"/>
    </w:p>
    <w:tbl>
      <w:tblPr>
        <w:tblStyle w:val="PlainTable4"/>
        <w:tblW w:w="8986" w:type="dxa"/>
        <w:tblLook w:val="04A0" w:firstRow="1" w:lastRow="0" w:firstColumn="1" w:lastColumn="0" w:noHBand="0" w:noVBand="1"/>
      </w:tblPr>
      <w:tblGrid>
        <w:gridCol w:w="1289"/>
        <w:gridCol w:w="7697"/>
      </w:tblGrid>
      <w:tr w:rsidR="00D4757D" w:rsidRPr="00D4757D" w14:paraId="50CA7309" w14:textId="77777777" w:rsidTr="00C729DD">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89" w:type="dxa"/>
          </w:tcPr>
          <w:p w14:paraId="1A1A9E9A" w14:textId="45790EA9" w:rsidR="00D4757D" w:rsidRPr="00D4757D" w:rsidRDefault="00D4757D" w:rsidP="005B404B">
            <w:pPr>
              <w:rPr>
                <w:rFonts w:ascii="Calibri" w:hAnsi="Calibri" w:cs="Calibri"/>
                <w:color w:val="000000"/>
                <w:szCs w:val="22"/>
                <w:lang w:eastAsia="en-US"/>
              </w:rPr>
            </w:pPr>
            <w:r>
              <w:rPr>
                <w:rFonts w:ascii="Calibri" w:hAnsi="Calibri" w:cs="Calibri"/>
                <w:color w:val="000000"/>
                <w:szCs w:val="22"/>
                <w:lang w:eastAsia="en-US"/>
              </w:rPr>
              <w:t>AIHW</w:t>
            </w:r>
          </w:p>
        </w:tc>
        <w:tc>
          <w:tcPr>
            <w:tcW w:w="7697" w:type="dxa"/>
          </w:tcPr>
          <w:p w14:paraId="0A433EBC" w14:textId="5FCBF6B3" w:rsidR="00D4757D" w:rsidRPr="00D4757D" w:rsidRDefault="00D4757D" w:rsidP="005B404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eastAsia="en-US"/>
              </w:rPr>
            </w:pPr>
            <w:r>
              <w:rPr>
                <w:rFonts w:ascii="Calibri" w:hAnsi="Calibri" w:cs="Calibri"/>
                <w:color w:val="000000"/>
                <w:szCs w:val="22"/>
                <w:lang w:eastAsia="en-US"/>
              </w:rPr>
              <w:t>Australian Institute of Health and Welfare</w:t>
            </w:r>
          </w:p>
        </w:tc>
      </w:tr>
      <w:tr w:rsidR="00D4757D" w:rsidRPr="00D4757D" w14:paraId="5BBAF03D" w14:textId="77777777" w:rsidTr="00C729D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4A1A208D"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COVID-19</w:t>
            </w:r>
          </w:p>
        </w:tc>
        <w:tc>
          <w:tcPr>
            <w:tcW w:w="7697" w:type="dxa"/>
            <w:hideMark/>
          </w:tcPr>
          <w:p w14:paraId="675FA7F3" w14:textId="77777777" w:rsidR="00D4757D" w:rsidRPr="00D4757D" w:rsidRDefault="00D4757D" w:rsidP="005B4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Coronavirus disease 2019</w:t>
            </w:r>
          </w:p>
        </w:tc>
      </w:tr>
      <w:tr w:rsidR="00D4757D" w:rsidRPr="00D4757D" w14:paraId="5AD60A3A" w14:textId="77777777" w:rsidTr="00C729DD">
        <w:trPr>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2D9F41A2"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GP</w:t>
            </w:r>
          </w:p>
        </w:tc>
        <w:tc>
          <w:tcPr>
            <w:tcW w:w="7697" w:type="dxa"/>
            <w:hideMark/>
          </w:tcPr>
          <w:p w14:paraId="51A5A5CA" w14:textId="77777777" w:rsidR="00D4757D" w:rsidRPr="00D4757D" w:rsidRDefault="00D4757D" w:rsidP="005B4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General Practice</w:t>
            </w:r>
          </w:p>
        </w:tc>
      </w:tr>
      <w:tr w:rsidR="00D4757D" w:rsidRPr="00D4757D" w14:paraId="5C2A047E" w14:textId="77777777" w:rsidTr="00C729D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605336B9"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GP</w:t>
            </w:r>
          </w:p>
        </w:tc>
        <w:tc>
          <w:tcPr>
            <w:tcW w:w="7697" w:type="dxa"/>
            <w:hideMark/>
          </w:tcPr>
          <w:p w14:paraId="7367475F" w14:textId="77777777" w:rsidR="00D4757D" w:rsidRPr="00D4757D" w:rsidRDefault="00D4757D" w:rsidP="005B4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General Practice</w:t>
            </w:r>
          </w:p>
        </w:tc>
      </w:tr>
      <w:tr w:rsidR="00D4757D" w:rsidRPr="00D4757D" w14:paraId="5B09E174" w14:textId="77777777" w:rsidTr="00C729DD">
        <w:trPr>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52FB2EB6"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IPA</w:t>
            </w:r>
          </w:p>
        </w:tc>
        <w:tc>
          <w:tcPr>
            <w:tcW w:w="7697" w:type="dxa"/>
            <w:hideMark/>
          </w:tcPr>
          <w:p w14:paraId="093BED43" w14:textId="77777777" w:rsidR="00D4757D" w:rsidRPr="00D4757D" w:rsidRDefault="00D4757D" w:rsidP="005B4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Individual Performance Assessment</w:t>
            </w:r>
          </w:p>
        </w:tc>
      </w:tr>
      <w:tr w:rsidR="00D4757D" w:rsidRPr="00D4757D" w14:paraId="7BC93279" w14:textId="77777777" w:rsidTr="00C729D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251B0F3C"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ITC</w:t>
            </w:r>
          </w:p>
        </w:tc>
        <w:tc>
          <w:tcPr>
            <w:tcW w:w="7697" w:type="dxa"/>
            <w:hideMark/>
          </w:tcPr>
          <w:p w14:paraId="1A244073" w14:textId="77777777" w:rsidR="00D4757D" w:rsidRPr="00D4757D" w:rsidRDefault="00D4757D" w:rsidP="005B4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Integrated Team Care</w:t>
            </w:r>
          </w:p>
        </w:tc>
      </w:tr>
      <w:tr w:rsidR="00D4757D" w:rsidRPr="00D4757D" w14:paraId="7A6D4888" w14:textId="77777777" w:rsidTr="00C729DD">
        <w:trPr>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70A23CB9"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KPI</w:t>
            </w:r>
          </w:p>
        </w:tc>
        <w:tc>
          <w:tcPr>
            <w:tcW w:w="7697" w:type="dxa"/>
            <w:hideMark/>
          </w:tcPr>
          <w:p w14:paraId="1B006D49" w14:textId="77777777" w:rsidR="00D4757D" w:rsidRPr="00D4757D" w:rsidRDefault="00D4757D" w:rsidP="005B4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Key Performance Indicator</w:t>
            </w:r>
          </w:p>
        </w:tc>
      </w:tr>
      <w:tr w:rsidR="00D4757D" w:rsidRPr="00D4757D" w14:paraId="480BE3CE" w14:textId="77777777" w:rsidTr="00C729D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4D848064"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LHNs</w:t>
            </w:r>
          </w:p>
        </w:tc>
        <w:tc>
          <w:tcPr>
            <w:tcW w:w="7697" w:type="dxa"/>
            <w:hideMark/>
          </w:tcPr>
          <w:p w14:paraId="6F3E6740" w14:textId="77777777" w:rsidR="00D4757D" w:rsidRPr="00D4757D" w:rsidRDefault="00D4757D" w:rsidP="005B4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Local Health Networks</w:t>
            </w:r>
          </w:p>
        </w:tc>
      </w:tr>
      <w:tr w:rsidR="00D4757D" w:rsidRPr="00D4757D" w14:paraId="2D9098B8" w14:textId="77777777" w:rsidTr="00C729DD">
        <w:trPr>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0B2F42DC"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MBS</w:t>
            </w:r>
          </w:p>
        </w:tc>
        <w:tc>
          <w:tcPr>
            <w:tcW w:w="7697" w:type="dxa"/>
            <w:hideMark/>
          </w:tcPr>
          <w:p w14:paraId="2F24B06A" w14:textId="77777777" w:rsidR="00D4757D" w:rsidRPr="00D4757D" w:rsidRDefault="00D4757D" w:rsidP="005B4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Medicare Benefit Schedule</w:t>
            </w:r>
          </w:p>
        </w:tc>
      </w:tr>
      <w:tr w:rsidR="00D4757D" w:rsidRPr="00D4757D" w14:paraId="19E70C37" w14:textId="77777777" w:rsidTr="00C729D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1F3F85E4"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MHR</w:t>
            </w:r>
          </w:p>
        </w:tc>
        <w:tc>
          <w:tcPr>
            <w:tcW w:w="7697" w:type="dxa"/>
            <w:hideMark/>
          </w:tcPr>
          <w:p w14:paraId="63003466" w14:textId="77777777" w:rsidR="00D4757D" w:rsidRPr="00D4757D" w:rsidRDefault="00D4757D" w:rsidP="005B4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My Health record</w:t>
            </w:r>
          </w:p>
        </w:tc>
      </w:tr>
      <w:tr w:rsidR="00D4757D" w:rsidRPr="00D4757D" w14:paraId="29FC8479" w14:textId="77777777" w:rsidTr="00C729DD">
        <w:trPr>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4FCC67AE"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PHN</w:t>
            </w:r>
          </w:p>
        </w:tc>
        <w:tc>
          <w:tcPr>
            <w:tcW w:w="7697" w:type="dxa"/>
            <w:hideMark/>
          </w:tcPr>
          <w:p w14:paraId="6FB265E9" w14:textId="77777777" w:rsidR="00D4757D" w:rsidRPr="00D4757D" w:rsidRDefault="00D4757D" w:rsidP="005B4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Primary Health Network</w:t>
            </w:r>
          </w:p>
        </w:tc>
      </w:tr>
      <w:tr w:rsidR="00D4757D" w:rsidRPr="00D4757D" w14:paraId="0AFD7978" w14:textId="77777777" w:rsidTr="00C729D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5772CDED"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PIP</w:t>
            </w:r>
          </w:p>
        </w:tc>
        <w:tc>
          <w:tcPr>
            <w:tcW w:w="7697" w:type="dxa"/>
            <w:hideMark/>
          </w:tcPr>
          <w:p w14:paraId="6A52F13C" w14:textId="77777777" w:rsidR="00D4757D" w:rsidRPr="00D4757D" w:rsidRDefault="00D4757D" w:rsidP="005B4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Practice Incentive Program</w:t>
            </w:r>
          </w:p>
        </w:tc>
      </w:tr>
      <w:tr w:rsidR="00D4757D" w:rsidRPr="00D4757D" w14:paraId="1A73C2BB" w14:textId="77777777" w:rsidTr="00C729DD">
        <w:trPr>
          <w:trHeight w:val="209"/>
        </w:trPr>
        <w:tc>
          <w:tcPr>
            <w:cnfStyle w:val="001000000000" w:firstRow="0" w:lastRow="0" w:firstColumn="1" w:lastColumn="0" w:oddVBand="0" w:evenVBand="0" w:oddHBand="0" w:evenHBand="0" w:firstRowFirstColumn="0" w:firstRowLastColumn="0" w:lastRowFirstColumn="0" w:lastRowLastColumn="0"/>
            <w:tcW w:w="1289" w:type="dxa"/>
          </w:tcPr>
          <w:p w14:paraId="5B08FE8B" w14:textId="541B25F4" w:rsidR="00D4757D" w:rsidRPr="00D4757D" w:rsidRDefault="00D4757D" w:rsidP="005B404B">
            <w:pPr>
              <w:rPr>
                <w:rFonts w:ascii="Calibri" w:hAnsi="Calibri" w:cs="Calibri"/>
                <w:color w:val="000000"/>
                <w:szCs w:val="22"/>
                <w:lang w:eastAsia="en-US"/>
              </w:rPr>
            </w:pPr>
            <w:r>
              <w:rPr>
                <w:rFonts w:ascii="Calibri" w:hAnsi="Calibri" w:cs="Calibri"/>
                <w:color w:val="000000"/>
                <w:szCs w:val="22"/>
                <w:lang w:eastAsia="en-US"/>
              </w:rPr>
              <w:t>PPERS</w:t>
            </w:r>
          </w:p>
        </w:tc>
        <w:tc>
          <w:tcPr>
            <w:tcW w:w="7697" w:type="dxa"/>
          </w:tcPr>
          <w:p w14:paraId="031A13BC" w14:textId="2A8C0619" w:rsidR="00D4757D" w:rsidRPr="00D4757D" w:rsidRDefault="00D4757D" w:rsidP="005B4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US"/>
              </w:rPr>
            </w:pPr>
            <w:r>
              <w:rPr>
                <w:rFonts w:ascii="Calibri" w:hAnsi="Calibri" w:cs="Calibri"/>
                <w:color w:val="000000"/>
                <w:szCs w:val="22"/>
                <w:lang w:eastAsia="en-US"/>
              </w:rPr>
              <w:t>PHN Program Electronic Reporting System</w:t>
            </w:r>
          </w:p>
        </w:tc>
      </w:tr>
      <w:tr w:rsidR="00D4757D" w:rsidRPr="00D4757D" w14:paraId="700D537B" w14:textId="77777777" w:rsidTr="00C729D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89" w:type="dxa"/>
          </w:tcPr>
          <w:p w14:paraId="3C465AD1" w14:textId="504EA86C" w:rsidR="00D4757D" w:rsidRPr="00D4757D" w:rsidRDefault="00D4757D" w:rsidP="005B404B">
            <w:pPr>
              <w:rPr>
                <w:rFonts w:ascii="Calibri" w:hAnsi="Calibri" w:cs="Calibri"/>
                <w:color w:val="000000"/>
                <w:szCs w:val="22"/>
                <w:lang w:eastAsia="en-US"/>
              </w:rPr>
            </w:pPr>
            <w:r>
              <w:rPr>
                <w:rFonts w:ascii="Calibri" w:hAnsi="Calibri" w:cs="Calibri"/>
                <w:color w:val="000000"/>
                <w:szCs w:val="22"/>
                <w:lang w:eastAsia="en-US"/>
              </w:rPr>
              <w:t>PPH</w:t>
            </w:r>
          </w:p>
        </w:tc>
        <w:tc>
          <w:tcPr>
            <w:tcW w:w="7697" w:type="dxa"/>
          </w:tcPr>
          <w:p w14:paraId="7216CEED" w14:textId="70777E04" w:rsidR="00D4757D" w:rsidRPr="00D4757D" w:rsidRDefault="00D4757D" w:rsidP="005B4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US"/>
              </w:rPr>
            </w:pPr>
            <w:r>
              <w:rPr>
                <w:rFonts w:ascii="Calibri" w:hAnsi="Calibri" w:cs="Calibri"/>
                <w:color w:val="000000"/>
                <w:szCs w:val="22"/>
                <w:lang w:eastAsia="en-US"/>
              </w:rPr>
              <w:t>Potentially Preventable Hospitalisations</w:t>
            </w:r>
          </w:p>
        </w:tc>
      </w:tr>
      <w:tr w:rsidR="00D4757D" w:rsidRPr="00D4757D" w14:paraId="1C51A202" w14:textId="77777777" w:rsidTr="00C729DD">
        <w:trPr>
          <w:trHeight w:val="209"/>
        </w:trPr>
        <w:tc>
          <w:tcPr>
            <w:cnfStyle w:val="001000000000" w:firstRow="0" w:lastRow="0" w:firstColumn="1" w:lastColumn="0" w:oddVBand="0" w:evenVBand="0" w:oddHBand="0" w:evenHBand="0" w:firstRowFirstColumn="0" w:firstRowLastColumn="0" w:lastRowFirstColumn="0" w:lastRowLastColumn="0"/>
            <w:tcW w:w="1289" w:type="dxa"/>
          </w:tcPr>
          <w:p w14:paraId="52558486" w14:textId="67CFDA5D" w:rsidR="00D4757D" w:rsidRPr="00D4757D" w:rsidRDefault="00D4757D" w:rsidP="005B404B">
            <w:pPr>
              <w:rPr>
                <w:rFonts w:ascii="Calibri" w:hAnsi="Calibri" w:cs="Calibri"/>
                <w:color w:val="000000"/>
                <w:szCs w:val="22"/>
                <w:lang w:eastAsia="en-US"/>
              </w:rPr>
            </w:pPr>
            <w:r>
              <w:rPr>
                <w:rFonts w:ascii="Calibri" w:hAnsi="Calibri" w:cs="Calibri"/>
                <w:color w:val="000000"/>
                <w:szCs w:val="22"/>
                <w:lang w:eastAsia="en-US"/>
              </w:rPr>
              <w:t>RACGP</w:t>
            </w:r>
          </w:p>
        </w:tc>
        <w:tc>
          <w:tcPr>
            <w:tcW w:w="7697" w:type="dxa"/>
          </w:tcPr>
          <w:p w14:paraId="35C9DDE0" w14:textId="1D751E4D" w:rsidR="00D4757D" w:rsidRPr="00D4757D" w:rsidRDefault="00D4757D" w:rsidP="005B4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US"/>
              </w:rPr>
            </w:pPr>
            <w:r>
              <w:rPr>
                <w:rFonts w:ascii="Calibri" w:hAnsi="Calibri" w:cs="Calibri"/>
                <w:color w:val="000000"/>
                <w:szCs w:val="22"/>
                <w:lang w:eastAsia="en-US"/>
              </w:rPr>
              <w:t>Residential Aged Care General Practice</w:t>
            </w:r>
          </w:p>
        </w:tc>
      </w:tr>
      <w:tr w:rsidR="00D4757D" w:rsidRPr="00D4757D" w14:paraId="26B0BDB2" w14:textId="77777777" w:rsidTr="00C729D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192FC62F"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RACHs</w:t>
            </w:r>
          </w:p>
        </w:tc>
        <w:tc>
          <w:tcPr>
            <w:tcW w:w="7697" w:type="dxa"/>
            <w:hideMark/>
          </w:tcPr>
          <w:p w14:paraId="58D2B684" w14:textId="77777777" w:rsidR="00D4757D" w:rsidRPr="00D4757D" w:rsidRDefault="00D4757D" w:rsidP="005B4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Residential Aged Care Homes</w:t>
            </w:r>
          </w:p>
        </w:tc>
      </w:tr>
      <w:tr w:rsidR="00D4757D" w:rsidRPr="00D4757D" w14:paraId="696FCCE3" w14:textId="77777777" w:rsidTr="00C729DD">
        <w:trPr>
          <w:trHeight w:val="209"/>
        </w:trPr>
        <w:tc>
          <w:tcPr>
            <w:cnfStyle w:val="001000000000" w:firstRow="0" w:lastRow="0" w:firstColumn="1" w:lastColumn="0" w:oddVBand="0" w:evenVBand="0" w:oddHBand="0" w:evenHBand="0" w:firstRowFirstColumn="0" w:firstRowLastColumn="0" w:lastRowFirstColumn="0" w:lastRowLastColumn="0"/>
            <w:tcW w:w="1289" w:type="dxa"/>
            <w:hideMark/>
          </w:tcPr>
          <w:p w14:paraId="656A2409" w14:textId="77777777" w:rsidR="00D4757D" w:rsidRPr="00D4757D" w:rsidRDefault="00D4757D" w:rsidP="005B404B">
            <w:pPr>
              <w:rPr>
                <w:rFonts w:ascii="Calibri" w:hAnsi="Calibri" w:cs="Calibri"/>
                <w:color w:val="000000"/>
                <w:szCs w:val="22"/>
              </w:rPr>
            </w:pPr>
            <w:r w:rsidRPr="00D4757D">
              <w:rPr>
                <w:rFonts w:ascii="Calibri" w:hAnsi="Calibri" w:cs="Calibri"/>
                <w:color w:val="000000"/>
                <w:szCs w:val="22"/>
                <w:lang w:eastAsia="en-US"/>
              </w:rPr>
              <w:t>SEIFA</w:t>
            </w:r>
          </w:p>
        </w:tc>
        <w:tc>
          <w:tcPr>
            <w:tcW w:w="7697" w:type="dxa"/>
            <w:hideMark/>
          </w:tcPr>
          <w:p w14:paraId="33F56D53" w14:textId="77777777" w:rsidR="00D4757D" w:rsidRPr="00D4757D" w:rsidRDefault="00D4757D" w:rsidP="005B4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4757D">
              <w:rPr>
                <w:rFonts w:ascii="Calibri" w:hAnsi="Calibri" w:cs="Calibri"/>
                <w:color w:val="000000"/>
                <w:szCs w:val="22"/>
                <w:lang w:eastAsia="en-US"/>
              </w:rPr>
              <w:t>Socio Economic Indexes for Areas</w:t>
            </w:r>
          </w:p>
        </w:tc>
      </w:tr>
    </w:tbl>
    <w:p w14:paraId="3505F4D7" w14:textId="77777777" w:rsidR="009D1C76" w:rsidRPr="00B33D3B" w:rsidRDefault="009D1C76" w:rsidP="00B33D3B">
      <w:pPr>
        <w:rPr>
          <w:lang w:eastAsia="en-US"/>
        </w:rPr>
      </w:pPr>
    </w:p>
    <w:sectPr w:rsidR="009D1C76" w:rsidRPr="00B33D3B" w:rsidSect="00AD0275">
      <w:footerReference w:type="default" r:id="rId62"/>
      <w:footerReference w:type="first" r:id="rId63"/>
      <w:pgSz w:w="11906" w:h="16838" w:code="9"/>
      <w:pgMar w:top="992" w:right="1418" w:bottom="992"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8485" w14:textId="77777777" w:rsidR="00394AC8" w:rsidRDefault="00394AC8" w:rsidP="00046EB2">
      <w:r>
        <w:separator/>
      </w:r>
    </w:p>
  </w:endnote>
  <w:endnote w:type="continuationSeparator" w:id="0">
    <w:p w14:paraId="066C99BC" w14:textId="77777777" w:rsidR="00394AC8" w:rsidRDefault="00394AC8" w:rsidP="00046EB2">
      <w:r>
        <w:continuationSeparator/>
      </w:r>
    </w:p>
  </w:endnote>
  <w:endnote w:type="continuationNotice" w:id="1">
    <w:p w14:paraId="6809309A" w14:textId="77777777" w:rsidR="00394AC8" w:rsidRDefault="00394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Cs w:val="22"/>
      </w:rPr>
      <w:id w:val="1061062334"/>
      <w:docPartObj>
        <w:docPartGallery w:val="Page Numbers (Bottom of Page)"/>
        <w:docPartUnique/>
      </w:docPartObj>
    </w:sdtPr>
    <w:sdtEndPr/>
    <w:sdtContent>
      <w:sdt>
        <w:sdtPr>
          <w:rPr>
            <w:rFonts w:cstheme="minorHAnsi"/>
            <w:szCs w:val="22"/>
          </w:rPr>
          <w:id w:val="-1705238520"/>
          <w:docPartObj>
            <w:docPartGallery w:val="Page Numbers (Top of Page)"/>
            <w:docPartUnique/>
          </w:docPartObj>
        </w:sdtPr>
        <w:sdtEndPr/>
        <w:sdtContent>
          <w:p w14:paraId="6560290A" w14:textId="36943C13" w:rsidR="00BC24EE" w:rsidRPr="00FA3807" w:rsidRDefault="00046EB2" w:rsidP="00BC24EE">
            <w:pPr>
              <w:pStyle w:val="Footer"/>
              <w:tabs>
                <w:tab w:val="clear" w:pos="4153"/>
                <w:tab w:val="clear" w:pos="8306"/>
                <w:tab w:val="right" w:pos="9070"/>
              </w:tabs>
              <w:rPr>
                <w:rFonts w:cstheme="minorHAnsi"/>
                <w:szCs w:val="22"/>
              </w:rPr>
            </w:pPr>
            <w:r w:rsidRPr="00FA3807">
              <w:rPr>
                <w:rFonts w:cstheme="minorHAnsi"/>
                <w:szCs w:val="22"/>
              </w:rPr>
              <w:t>PHN Program Annual Performance Report 20</w:t>
            </w:r>
            <w:r w:rsidR="00F57971">
              <w:rPr>
                <w:rFonts w:cstheme="minorHAnsi"/>
                <w:szCs w:val="22"/>
              </w:rPr>
              <w:t>20-21</w:t>
            </w:r>
            <w:r w:rsidRPr="00FA3807">
              <w:rPr>
                <w:rFonts w:cstheme="minorHAnsi"/>
                <w:szCs w:val="22"/>
              </w:rPr>
              <w:tab/>
              <w:t xml:space="preserve">Page </w:t>
            </w:r>
            <w:r w:rsidRPr="00FA3807">
              <w:rPr>
                <w:rFonts w:cstheme="minorHAnsi"/>
                <w:color w:val="2B579A"/>
                <w:szCs w:val="22"/>
                <w:shd w:val="clear" w:color="auto" w:fill="E6E6E6"/>
              </w:rPr>
              <w:fldChar w:fldCharType="begin"/>
            </w:r>
            <w:r w:rsidRPr="00FA3807">
              <w:rPr>
                <w:rFonts w:cstheme="minorHAnsi"/>
                <w:szCs w:val="22"/>
              </w:rPr>
              <w:instrText xml:space="preserve"> PAGE </w:instrText>
            </w:r>
            <w:r w:rsidRPr="00FA3807">
              <w:rPr>
                <w:rFonts w:cstheme="minorHAnsi"/>
                <w:color w:val="2B579A"/>
                <w:szCs w:val="22"/>
                <w:shd w:val="clear" w:color="auto" w:fill="E6E6E6"/>
              </w:rPr>
              <w:fldChar w:fldCharType="separate"/>
            </w:r>
            <w:r w:rsidRPr="00FA3807">
              <w:rPr>
                <w:rFonts w:cstheme="minorHAnsi"/>
                <w:noProof/>
                <w:szCs w:val="22"/>
              </w:rPr>
              <w:t>2</w:t>
            </w:r>
            <w:r w:rsidRPr="00FA3807">
              <w:rPr>
                <w:rFonts w:cstheme="minorHAnsi"/>
                <w:color w:val="2B579A"/>
                <w:szCs w:val="22"/>
                <w:shd w:val="clear" w:color="auto" w:fill="E6E6E6"/>
              </w:rPr>
              <w:fldChar w:fldCharType="end"/>
            </w:r>
            <w:r w:rsidRPr="00FA3807">
              <w:rPr>
                <w:rFonts w:cstheme="minorHAnsi"/>
                <w:szCs w:val="22"/>
              </w:rPr>
              <w:t xml:space="preserve"> of </w:t>
            </w:r>
            <w:r w:rsidRPr="00FA3807">
              <w:rPr>
                <w:rFonts w:cstheme="minorHAnsi"/>
                <w:color w:val="2B579A"/>
                <w:szCs w:val="22"/>
                <w:shd w:val="clear" w:color="auto" w:fill="E6E6E6"/>
              </w:rPr>
              <w:fldChar w:fldCharType="begin"/>
            </w:r>
            <w:r w:rsidRPr="00FA3807">
              <w:rPr>
                <w:rFonts w:cstheme="minorHAnsi"/>
                <w:szCs w:val="22"/>
              </w:rPr>
              <w:instrText xml:space="preserve"> NUMPAGES  </w:instrText>
            </w:r>
            <w:r w:rsidRPr="00FA3807">
              <w:rPr>
                <w:rFonts w:cstheme="minorHAnsi"/>
                <w:color w:val="2B579A"/>
                <w:szCs w:val="22"/>
                <w:shd w:val="clear" w:color="auto" w:fill="E6E6E6"/>
              </w:rPr>
              <w:fldChar w:fldCharType="separate"/>
            </w:r>
            <w:r w:rsidRPr="00FA3807">
              <w:rPr>
                <w:rFonts w:cstheme="minorHAnsi"/>
                <w:noProof/>
                <w:szCs w:val="22"/>
              </w:rPr>
              <w:t>2</w:t>
            </w:r>
            <w:r w:rsidRPr="00FA3807">
              <w:rPr>
                <w:rFonts w:cstheme="minorHAnsi"/>
                <w:color w:val="2B579A"/>
                <w:szCs w:val="22"/>
                <w:shd w:val="clear" w:color="auto" w:fill="E6E6E6"/>
              </w:rPr>
              <w:fldChar w:fldCharType="end"/>
            </w:r>
          </w:p>
        </w:sdtContent>
      </w:sdt>
    </w:sdtContent>
  </w:sdt>
  <w:p w14:paraId="20F78AC1" w14:textId="77777777" w:rsidR="007330D7" w:rsidRDefault="007330D7"/>
  <w:p w14:paraId="0E96B4D8" w14:textId="77777777" w:rsidR="007330D7" w:rsidRDefault="007330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1517" w14:textId="77777777" w:rsidR="00BC24EE" w:rsidRPr="0035420B" w:rsidRDefault="00BC24EE" w:rsidP="00BC24EE">
    <w:pPr>
      <w:pStyle w:val="Footer"/>
      <w:tabs>
        <w:tab w:val="clear" w:pos="4153"/>
        <w:tab w:val="clear" w:pos="8306"/>
      </w:tabs>
      <w:rPr>
        <w:rFonts w:cs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03E5" w14:textId="77777777" w:rsidR="00394AC8" w:rsidRDefault="00394AC8" w:rsidP="00046EB2">
      <w:r>
        <w:separator/>
      </w:r>
    </w:p>
  </w:footnote>
  <w:footnote w:type="continuationSeparator" w:id="0">
    <w:p w14:paraId="2F75C68B" w14:textId="77777777" w:rsidR="00394AC8" w:rsidRDefault="00394AC8" w:rsidP="00046EB2">
      <w:r>
        <w:continuationSeparator/>
      </w:r>
    </w:p>
  </w:footnote>
  <w:footnote w:type="continuationNotice" w:id="1">
    <w:p w14:paraId="621ED6F8" w14:textId="77777777" w:rsidR="00394AC8" w:rsidRDefault="00394AC8"/>
  </w:footnote>
  <w:footnote w:id="2">
    <w:p w14:paraId="6683E437" w14:textId="77777777" w:rsidR="006D26EA" w:rsidRPr="00307692" w:rsidRDefault="006D26EA" w:rsidP="006D26EA">
      <w:pPr>
        <w:rPr>
          <w:rFonts w:cstheme="minorHAnsi"/>
          <w:sz w:val="20"/>
        </w:rPr>
      </w:pPr>
      <w:r w:rsidRPr="00307692">
        <w:rPr>
          <w:rStyle w:val="FootnoteReference"/>
          <w:rFonts w:cstheme="minorHAnsi"/>
        </w:rPr>
        <w:footnoteRef/>
      </w:r>
      <w:r w:rsidRPr="00307692">
        <w:rPr>
          <w:rFonts w:cstheme="minorHAnsi"/>
        </w:rPr>
        <w:t xml:space="preserve"> </w:t>
      </w:r>
      <w:r w:rsidRPr="00307692">
        <w:rPr>
          <w:rFonts w:cstheme="minorHAnsi"/>
          <w:spacing w:val="-2"/>
          <w:sz w:val="20"/>
        </w:rPr>
        <w:t>Available</w:t>
      </w:r>
      <w:r w:rsidRPr="00307692">
        <w:rPr>
          <w:rFonts w:cstheme="minorHAnsi"/>
          <w:spacing w:val="28"/>
          <w:sz w:val="20"/>
        </w:rPr>
        <w:t xml:space="preserve"> </w:t>
      </w:r>
      <w:r w:rsidRPr="00307692">
        <w:rPr>
          <w:rFonts w:cstheme="minorHAnsi"/>
          <w:spacing w:val="-2"/>
          <w:sz w:val="20"/>
        </w:rPr>
        <w:t>at</w:t>
      </w:r>
      <w:r w:rsidRPr="00307692">
        <w:rPr>
          <w:rFonts w:cstheme="minorHAnsi"/>
          <w:spacing w:val="33"/>
          <w:sz w:val="20"/>
        </w:rPr>
        <w:t xml:space="preserve"> </w:t>
      </w:r>
      <w:hyperlink r:id="rId1">
        <w:r w:rsidRPr="00307692">
          <w:rPr>
            <w:rFonts w:cstheme="minorHAnsi"/>
            <w:spacing w:val="-2"/>
            <w:sz w:val="20"/>
          </w:rPr>
          <w:t>www.racgp.org.au/running-a-practice/practice-standards/standards-5th-edition</w:t>
        </w:r>
      </w:hyperlink>
    </w:p>
  </w:footnote>
  <w:footnote w:id="3">
    <w:p w14:paraId="53CB5C82" w14:textId="77777777" w:rsidR="0028552D" w:rsidRDefault="0028552D" w:rsidP="0028552D">
      <w:r>
        <w:rPr>
          <w:rStyle w:val="FootnoteReference"/>
        </w:rPr>
        <w:footnoteRef/>
      </w:r>
      <w:r>
        <w:t xml:space="preserve"> </w:t>
      </w:r>
      <w:r w:rsidRPr="009451C2">
        <w:rPr>
          <w:sz w:val="18"/>
          <w:szCs w:val="18"/>
        </w:rPr>
        <w:t>A culturally appropriate</w:t>
      </w:r>
      <w:r>
        <w:rPr>
          <w:sz w:val="18"/>
          <w:szCs w:val="18"/>
        </w:rPr>
        <w:t xml:space="preserve"> mental health</w:t>
      </w:r>
      <w:r w:rsidRPr="009451C2">
        <w:rPr>
          <w:sz w:val="18"/>
          <w:szCs w:val="18"/>
        </w:rPr>
        <w:t xml:space="preserve"> service is defined as one that is delivered by a service provider who is: an Aboriginal and Torres Strait Islander person, or employed by an Aboriginal Community Controlled Health Service, or has indicated that they have completed a recognised training program in the delivery of culturally safe services to Aboriginal and Torres Strait Islander peoples.</w:t>
      </w:r>
    </w:p>
  </w:footnote>
  <w:footnote w:id="4">
    <w:p w14:paraId="5A6AC812" w14:textId="77777777" w:rsidR="00007F3E" w:rsidRPr="00307692" w:rsidRDefault="00007F3E" w:rsidP="00007F3E">
      <w:pPr>
        <w:pStyle w:val="FootnoteText"/>
        <w:rPr>
          <w:rFonts w:asciiTheme="minorHAnsi" w:hAnsiTheme="minorHAnsi" w:cstheme="minorHAnsi"/>
        </w:rPr>
      </w:pPr>
      <w:r w:rsidRPr="00307692">
        <w:rPr>
          <w:rStyle w:val="FootnoteReference"/>
          <w:rFonts w:asciiTheme="minorHAnsi" w:hAnsiTheme="minorHAnsi" w:cstheme="minorHAnsi"/>
        </w:rPr>
        <w:footnoteRef/>
      </w:r>
      <w:r w:rsidRPr="00307692">
        <w:rPr>
          <w:rFonts w:asciiTheme="minorHAnsi" w:hAnsiTheme="minorHAnsi" w:cstheme="minorHAnsi"/>
        </w:rPr>
        <w:t xml:space="preserve"> </w:t>
      </w:r>
      <w:r w:rsidRPr="00307692">
        <w:rPr>
          <w:rFonts w:asciiTheme="minorHAnsi" w:hAnsiTheme="minorHAnsi" w:cstheme="minorHAnsi"/>
          <w:sz w:val="18"/>
          <w:szCs w:val="18"/>
        </w:rPr>
        <w:t xml:space="preserve">MH1 Low intensity, MH2 Psychological Therapies, MH3 Clinical Care Coordination, MH4 Integrated Regional Planning, MH5 Suicide Risk, MH6 Outcome Readiness. The PHN Performance Quality framework can be found here: </w:t>
      </w:r>
      <w:hyperlink r:id="rId2" w:history="1">
        <w:r w:rsidRPr="00307692">
          <w:rPr>
            <w:rStyle w:val="Hyperlink"/>
            <w:rFonts w:asciiTheme="minorHAnsi" w:eastAsia="Times New Roman" w:hAnsiTheme="minorHAnsi" w:cstheme="minorHAnsi"/>
            <w:sz w:val="18"/>
            <w:szCs w:val="18"/>
          </w:rPr>
          <w:t>Performance Quality Framework</w:t>
        </w:r>
      </w:hyperlink>
      <w:r w:rsidRPr="00307692">
        <w:rPr>
          <w:rFonts w:asciiTheme="minorHAnsi" w:eastAsia="Times New Roman" w:hAnsiTheme="minorHAnsi" w:cstheme="minorHAnsi"/>
          <w:sz w:val="18"/>
          <w:szCs w:val="18"/>
        </w:rPr>
        <w:t>.</w:t>
      </w:r>
    </w:p>
  </w:footnote>
  <w:footnote w:id="5">
    <w:p w14:paraId="70E426CF" w14:textId="77777777" w:rsidR="00FE3E4B" w:rsidRPr="00C44C32" w:rsidRDefault="00FE3E4B" w:rsidP="00FE3E4B">
      <w:pPr>
        <w:pStyle w:val="FootnoteText"/>
        <w:rPr>
          <w:rFonts w:asciiTheme="minorHAnsi" w:hAnsiTheme="minorHAnsi" w:cstheme="minorHAnsi"/>
        </w:rPr>
      </w:pPr>
      <w:r w:rsidRPr="00307692">
        <w:rPr>
          <w:rStyle w:val="FootnoteReference"/>
          <w:rFonts w:asciiTheme="minorHAnsi" w:hAnsiTheme="minorHAnsi" w:cstheme="minorHAnsi"/>
        </w:rPr>
        <w:footnoteRef/>
      </w:r>
      <w:r w:rsidRPr="00307692">
        <w:rPr>
          <w:rFonts w:asciiTheme="minorHAnsi" w:hAnsiTheme="minorHAnsi" w:cstheme="minorHAnsi"/>
        </w:rPr>
        <w:t xml:space="preserve"> </w:t>
      </w:r>
      <w:r w:rsidRPr="00307692">
        <w:rPr>
          <w:rFonts w:asciiTheme="minorHAnsi" w:hAnsiTheme="minorHAnsi" w:cstheme="minorHAnsi"/>
          <w:sz w:val="18"/>
          <w:szCs w:val="18"/>
        </w:rPr>
        <w:t>In 2018-19, this indicator was measured as a baseline.</w:t>
      </w:r>
    </w:p>
  </w:footnote>
  <w:footnote w:id="6">
    <w:p w14:paraId="6E937649" w14:textId="13F1DA99" w:rsidR="00307692" w:rsidRPr="00846641" w:rsidRDefault="00307692">
      <w:pPr>
        <w:pStyle w:val="FootnoteText"/>
        <w:rPr>
          <w:rFonts w:asciiTheme="minorHAnsi" w:hAnsiTheme="minorHAnsi" w:cstheme="minorHAnsi"/>
        </w:rPr>
      </w:pPr>
      <w:r w:rsidRPr="00846641">
        <w:rPr>
          <w:rStyle w:val="FootnoteReference"/>
          <w:rFonts w:asciiTheme="minorHAnsi" w:hAnsiTheme="minorHAnsi" w:cstheme="minorHAnsi"/>
        </w:rPr>
        <w:footnoteRef/>
      </w:r>
      <w:r w:rsidRPr="00846641">
        <w:rPr>
          <w:rFonts w:asciiTheme="minorHAnsi" w:hAnsiTheme="minorHAnsi" w:cstheme="minorHAnsi"/>
        </w:rPr>
        <w:t xml:space="preserve"> </w:t>
      </w:r>
      <w:r w:rsidRPr="00846641">
        <w:rPr>
          <w:rFonts w:asciiTheme="minorHAnsi" w:hAnsiTheme="minorHAnsi" w:cstheme="minorHAnsi"/>
          <w:sz w:val="18"/>
          <w:szCs w:val="18"/>
        </w:rPr>
        <w:t>In 2018-19, this indicator was measured as a baseline.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1A83C2"/>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E8FA86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60CF2"/>
    <w:multiLevelType w:val="hybridMultilevel"/>
    <w:tmpl w:val="A78079C2"/>
    <w:lvl w:ilvl="0" w:tplc="2A869DC4">
      <w:start w:val="1"/>
      <w:numFmt w:val="bullet"/>
      <w:pStyle w:val="ListContinue"/>
      <w:lvlText w:val=""/>
      <w:lvlJc w:val="left"/>
      <w:pPr>
        <w:ind w:left="1003" w:hanging="360"/>
      </w:pPr>
      <w:rPr>
        <w:rFonts w:ascii="Wingdings" w:hAnsi="Wingding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 w15:restartNumberingAfterBreak="0">
    <w:nsid w:val="0A0F2222"/>
    <w:multiLevelType w:val="hybridMultilevel"/>
    <w:tmpl w:val="5C42B1B4"/>
    <w:lvl w:ilvl="0" w:tplc="2DF6B67C">
      <w:start w:val="2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D0A62"/>
    <w:multiLevelType w:val="hybridMultilevel"/>
    <w:tmpl w:val="A39AE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AC222"/>
    <w:multiLevelType w:val="hybridMultilevel"/>
    <w:tmpl w:val="10FAC422"/>
    <w:lvl w:ilvl="0" w:tplc="C22A637C">
      <w:start w:val="1"/>
      <w:numFmt w:val="bullet"/>
      <w:lvlText w:val="·"/>
      <w:lvlJc w:val="left"/>
      <w:pPr>
        <w:ind w:left="720" w:hanging="360"/>
      </w:pPr>
      <w:rPr>
        <w:rFonts w:ascii="Symbol" w:hAnsi="Symbol" w:hint="default"/>
      </w:rPr>
    </w:lvl>
    <w:lvl w:ilvl="1" w:tplc="EAB47EF8">
      <w:start w:val="1"/>
      <w:numFmt w:val="bullet"/>
      <w:lvlText w:val="o"/>
      <w:lvlJc w:val="left"/>
      <w:pPr>
        <w:ind w:left="1440" w:hanging="360"/>
      </w:pPr>
      <w:rPr>
        <w:rFonts w:ascii="Courier New" w:hAnsi="Courier New" w:hint="default"/>
      </w:rPr>
    </w:lvl>
    <w:lvl w:ilvl="2" w:tplc="5E10FE36">
      <w:start w:val="1"/>
      <w:numFmt w:val="bullet"/>
      <w:lvlText w:val=""/>
      <w:lvlJc w:val="left"/>
      <w:pPr>
        <w:ind w:left="2160" w:hanging="360"/>
      </w:pPr>
      <w:rPr>
        <w:rFonts w:ascii="Wingdings" w:hAnsi="Wingdings" w:hint="default"/>
      </w:rPr>
    </w:lvl>
    <w:lvl w:ilvl="3" w:tplc="135E3D90">
      <w:start w:val="1"/>
      <w:numFmt w:val="bullet"/>
      <w:lvlText w:val=""/>
      <w:lvlJc w:val="left"/>
      <w:pPr>
        <w:ind w:left="2880" w:hanging="360"/>
      </w:pPr>
      <w:rPr>
        <w:rFonts w:ascii="Symbol" w:hAnsi="Symbol" w:hint="default"/>
      </w:rPr>
    </w:lvl>
    <w:lvl w:ilvl="4" w:tplc="475030EC">
      <w:start w:val="1"/>
      <w:numFmt w:val="bullet"/>
      <w:lvlText w:val="o"/>
      <w:lvlJc w:val="left"/>
      <w:pPr>
        <w:ind w:left="3600" w:hanging="360"/>
      </w:pPr>
      <w:rPr>
        <w:rFonts w:ascii="Courier New" w:hAnsi="Courier New" w:hint="default"/>
      </w:rPr>
    </w:lvl>
    <w:lvl w:ilvl="5" w:tplc="47862CB0">
      <w:start w:val="1"/>
      <w:numFmt w:val="bullet"/>
      <w:lvlText w:val=""/>
      <w:lvlJc w:val="left"/>
      <w:pPr>
        <w:ind w:left="4320" w:hanging="360"/>
      </w:pPr>
      <w:rPr>
        <w:rFonts w:ascii="Wingdings" w:hAnsi="Wingdings" w:hint="default"/>
      </w:rPr>
    </w:lvl>
    <w:lvl w:ilvl="6" w:tplc="C7AA70DC">
      <w:start w:val="1"/>
      <w:numFmt w:val="bullet"/>
      <w:lvlText w:val=""/>
      <w:lvlJc w:val="left"/>
      <w:pPr>
        <w:ind w:left="5040" w:hanging="360"/>
      </w:pPr>
      <w:rPr>
        <w:rFonts w:ascii="Symbol" w:hAnsi="Symbol" w:hint="default"/>
      </w:rPr>
    </w:lvl>
    <w:lvl w:ilvl="7" w:tplc="3286B084">
      <w:start w:val="1"/>
      <w:numFmt w:val="bullet"/>
      <w:lvlText w:val="o"/>
      <w:lvlJc w:val="left"/>
      <w:pPr>
        <w:ind w:left="5760" w:hanging="360"/>
      </w:pPr>
      <w:rPr>
        <w:rFonts w:ascii="Courier New" w:hAnsi="Courier New" w:hint="default"/>
      </w:rPr>
    </w:lvl>
    <w:lvl w:ilvl="8" w:tplc="3CF882AE">
      <w:start w:val="1"/>
      <w:numFmt w:val="bullet"/>
      <w:lvlText w:val=""/>
      <w:lvlJc w:val="left"/>
      <w:pPr>
        <w:ind w:left="6480" w:hanging="360"/>
      </w:pPr>
      <w:rPr>
        <w:rFonts w:ascii="Wingdings" w:hAnsi="Wingdings" w:hint="default"/>
      </w:rPr>
    </w:lvl>
  </w:abstractNum>
  <w:abstractNum w:abstractNumId="6" w15:restartNumberingAfterBreak="0">
    <w:nsid w:val="32A237BB"/>
    <w:multiLevelType w:val="hybridMultilevel"/>
    <w:tmpl w:val="7246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A5D73"/>
    <w:multiLevelType w:val="hybridMultilevel"/>
    <w:tmpl w:val="AAEA70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59842E3"/>
    <w:multiLevelType w:val="hybridMultilevel"/>
    <w:tmpl w:val="75B62F9A"/>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49C54C5E"/>
    <w:multiLevelType w:val="hybridMultilevel"/>
    <w:tmpl w:val="E106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7345B7"/>
    <w:multiLevelType w:val="hybridMultilevel"/>
    <w:tmpl w:val="5E80E9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0342A5D"/>
    <w:multiLevelType w:val="hybridMultilevel"/>
    <w:tmpl w:val="F754F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0E526AC"/>
    <w:multiLevelType w:val="hybridMultilevel"/>
    <w:tmpl w:val="AE5809F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8E4D82"/>
    <w:multiLevelType w:val="hybridMultilevel"/>
    <w:tmpl w:val="5CA48A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CB0F33"/>
    <w:multiLevelType w:val="hybridMultilevel"/>
    <w:tmpl w:val="98BCF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7"/>
  </w:num>
  <w:num w:numId="6">
    <w:abstractNumId w:val="8"/>
  </w:num>
  <w:num w:numId="7">
    <w:abstractNumId w:val="10"/>
  </w:num>
  <w:num w:numId="8">
    <w:abstractNumId w:val="14"/>
  </w:num>
  <w:num w:numId="9">
    <w:abstractNumId w:val="13"/>
  </w:num>
  <w:num w:numId="10">
    <w:abstractNumId w:val="12"/>
  </w:num>
  <w:num w:numId="11">
    <w:abstractNumId w:val="9"/>
  </w:num>
  <w:num w:numId="12">
    <w:abstractNumId w:val="11"/>
  </w:num>
  <w:num w:numId="13">
    <w:abstractNumId w:val="4"/>
  </w:num>
  <w:num w:numId="14">
    <w:abstractNumId w:val="6"/>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B2"/>
    <w:rsid w:val="000028C1"/>
    <w:rsid w:val="000030D9"/>
    <w:rsid w:val="00003DF1"/>
    <w:rsid w:val="0000607A"/>
    <w:rsid w:val="00006499"/>
    <w:rsid w:val="00006ADF"/>
    <w:rsid w:val="00006C3C"/>
    <w:rsid w:val="00007A3A"/>
    <w:rsid w:val="00007AF0"/>
    <w:rsid w:val="00007F3E"/>
    <w:rsid w:val="000100EB"/>
    <w:rsid w:val="00010797"/>
    <w:rsid w:val="00011676"/>
    <w:rsid w:val="00011936"/>
    <w:rsid w:val="00013306"/>
    <w:rsid w:val="00013578"/>
    <w:rsid w:val="0001549C"/>
    <w:rsid w:val="0001580F"/>
    <w:rsid w:val="00016802"/>
    <w:rsid w:val="00020A73"/>
    <w:rsid w:val="000235FF"/>
    <w:rsid w:val="00024153"/>
    <w:rsid w:val="00025AA1"/>
    <w:rsid w:val="00026BED"/>
    <w:rsid w:val="00027FE0"/>
    <w:rsid w:val="00027FE4"/>
    <w:rsid w:val="00031857"/>
    <w:rsid w:val="00032881"/>
    <w:rsid w:val="00032D34"/>
    <w:rsid w:val="00035529"/>
    <w:rsid w:val="0003625E"/>
    <w:rsid w:val="000364E7"/>
    <w:rsid w:val="0003652E"/>
    <w:rsid w:val="00036865"/>
    <w:rsid w:val="00036D6C"/>
    <w:rsid w:val="00037610"/>
    <w:rsid w:val="00037FC9"/>
    <w:rsid w:val="000402EB"/>
    <w:rsid w:val="00040722"/>
    <w:rsid w:val="00041823"/>
    <w:rsid w:val="00041AC6"/>
    <w:rsid w:val="00041B20"/>
    <w:rsid w:val="00042C2A"/>
    <w:rsid w:val="000446D9"/>
    <w:rsid w:val="0004508B"/>
    <w:rsid w:val="0004592E"/>
    <w:rsid w:val="00046547"/>
    <w:rsid w:val="00046804"/>
    <w:rsid w:val="00046EB2"/>
    <w:rsid w:val="00046F91"/>
    <w:rsid w:val="000472F7"/>
    <w:rsid w:val="000527C9"/>
    <w:rsid w:val="00052988"/>
    <w:rsid w:val="00052E08"/>
    <w:rsid w:val="00053905"/>
    <w:rsid w:val="00054479"/>
    <w:rsid w:val="0005482D"/>
    <w:rsid w:val="00054CD3"/>
    <w:rsid w:val="00055547"/>
    <w:rsid w:val="00055969"/>
    <w:rsid w:val="000560BB"/>
    <w:rsid w:val="00056213"/>
    <w:rsid w:val="00056311"/>
    <w:rsid w:val="000569FF"/>
    <w:rsid w:val="000570BF"/>
    <w:rsid w:val="00057E4F"/>
    <w:rsid w:val="00060EA0"/>
    <w:rsid w:val="00061135"/>
    <w:rsid w:val="00061943"/>
    <w:rsid w:val="00061B72"/>
    <w:rsid w:val="00061EB8"/>
    <w:rsid w:val="000623DB"/>
    <w:rsid w:val="0006256D"/>
    <w:rsid w:val="000632EB"/>
    <w:rsid w:val="000640A9"/>
    <w:rsid w:val="000657D9"/>
    <w:rsid w:val="00065EA4"/>
    <w:rsid w:val="00066712"/>
    <w:rsid w:val="0007081D"/>
    <w:rsid w:val="0007137D"/>
    <w:rsid w:val="0007144C"/>
    <w:rsid w:val="00072A68"/>
    <w:rsid w:val="00072B43"/>
    <w:rsid w:val="00072C24"/>
    <w:rsid w:val="000734BA"/>
    <w:rsid w:val="00073B2E"/>
    <w:rsid w:val="000756E8"/>
    <w:rsid w:val="000820D3"/>
    <w:rsid w:val="00083BA9"/>
    <w:rsid w:val="00084763"/>
    <w:rsid w:val="00084DCA"/>
    <w:rsid w:val="00084F5E"/>
    <w:rsid w:val="00085258"/>
    <w:rsid w:val="000858AD"/>
    <w:rsid w:val="000920CD"/>
    <w:rsid w:val="00092554"/>
    <w:rsid w:val="000926A6"/>
    <w:rsid w:val="00092F5B"/>
    <w:rsid w:val="00093828"/>
    <w:rsid w:val="00094F89"/>
    <w:rsid w:val="000957C7"/>
    <w:rsid w:val="00095CF6"/>
    <w:rsid w:val="00096B72"/>
    <w:rsid w:val="00096CEE"/>
    <w:rsid w:val="000973B4"/>
    <w:rsid w:val="00097A55"/>
    <w:rsid w:val="00097AEE"/>
    <w:rsid w:val="00097ECE"/>
    <w:rsid w:val="000A00FF"/>
    <w:rsid w:val="000A365D"/>
    <w:rsid w:val="000A503D"/>
    <w:rsid w:val="000A685C"/>
    <w:rsid w:val="000A700F"/>
    <w:rsid w:val="000A7575"/>
    <w:rsid w:val="000B0CCF"/>
    <w:rsid w:val="000B1924"/>
    <w:rsid w:val="000B26CB"/>
    <w:rsid w:val="000B5A4A"/>
    <w:rsid w:val="000B5BF4"/>
    <w:rsid w:val="000B7932"/>
    <w:rsid w:val="000C0BEA"/>
    <w:rsid w:val="000C111B"/>
    <w:rsid w:val="000C1800"/>
    <w:rsid w:val="000C204B"/>
    <w:rsid w:val="000C22B9"/>
    <w:rsid w:val="000C269D"/>
    <w:rsid w:val="000C3B9F"/>
    <w:rsid w:val="000C3DDC"/>
    <w:rsid w:val="000C4975"/>
    <w:rsid w:val="000C4CFB"/>
    <w:rsid w:val="000C55BF"/>
    <w:rsid w:val="000C657A"/>
    <w:rsid w:val="000C6D53"/>
    <w:rsid w:val="000C720B"/>
    <w:rsid w:val="000C72C4"/>
    <w:rsid w:val="000C7C87"/>
    <w:rsid w:val="000D0ACC"/>
    <w:rsid w:val="000D1090"/>
    <w:rsid w:val="000D143A"/>
    <w:rsid w:val="000D1F2C"/>
    <w:rsid w:val="000D347D"/>
    <w:rsid w:val="000D41D6"/>
    <w:rsid w:val="000D5D17"/>
    <w:rsid w:val="000D6456"/>
    <w:rsid w:val="000D6C5A"/>
    <w:rsid w:val="000D752D"/>
    <w:rsid w:val="000E07AA"/>
    <w:rsid w:val="000E0C1D"/>
    <w:rsid w:val="000E1811"/>
    <w:rsid w:val="000E1DA7"/>
    <w:rsid w:val="000E26DB"/>
    <w:rsid w:val="000E28E6"/>
    <w:rsid w:val="000E2AC6"/>
    <w:rsid w:val="000E2B8B"/>
    <w:rsid w:val="000E37FF"/>
    <w:rsid w:val="000E4311"/>
    <w:rsid w:val="000E4660"/>
    <w:rsid w:val="000E4807"/>
    <w:rsid w:val="000E4BF7"/>
    <w:rsid w:val="000E55ED"/>
    <w:rsid w:val="000E5B77"/>
    <w:rsid w:val="000F0474"/>
    <w:rsid w:val="000F07A8"/>
    <w:rsid w:val="000F205C"/>
    <w:rsid w:val="000F21F6"/>
    <w:rsid w:val="000F2E02"/>
    <w:rsid w:val="000F3B23"/>
    <w:rsid w:val="000F4AF4"/>
    <w:rsid w:val="000F50D4"/>
    <w:rsid w:val="00100AE2"/>
    <w:rsid w:val="00100DBF"/>
    <w:rsid w:val="00101994"/>
    <w:rsid w:val="001020BB"/>
    <w:rsid w:val="0010476E"/>
    <w:rsid w:val="00104F61"/>
    <w:rsid w:val="00105FFC"/>
    <w:rsid w:val="00106B42"/>
    <w:rsid w:val="001077F0"/>
    <w:rsid w:val="00107B20"/>
    <w:rsid w:val="00110263"/>
    <w:rsid w:val="001105F7"/>
    <w:rsid w:val="00111974"/>
    <w:rsid w:val="00113C30"/>
    <w:rsid w:val="00115415"/>
    <w:rsid w:val="00120849"/>
    <w:rsid w:val="00120F43"/>
    <w:rsid w:val="001235B8"/>
    <w:rsid w:val="001244D1"/>
    <w:rsid w:val="00124CCC"/>
    <w:rsid w:val="00125930"/>
    <w:rsid w:val="001268C7"/>
    <w:rsid w:val="001269C5"/>
    <w:rsid w:val="00126D50"/>
    <w:rsid w:val="00127592"/>
    <w:rsid w:val="00127783"/>
    <w:rsid w:val="00127C73"/>
    <w:rsid w:val="001304DA"/>
    <w:rsid w:val="00130B22"/>
    <w:rsid w:val="00131457"/>
    <w:rsid w:val="00133580"/>
    <w:rsid w:val="001339E9"/>
    <w:rsid w:val="00134690"/>
    <w:rsid w:val="00134B78"/>
    <w:rsid w:val="00134E48"/>
    <w:rsid w:val="0013510E"/>
    <w:rsid w:val="00136449"/>
    <w:rsid w:val="00140E8A"/>
    <w:rsid w:val="001420CB"/>
    <w:rsid w:val="00142164"/>
    <w:rsid w:val="00142C94"/>
    <w:rsid w:val="00142DB4"/>
    <w:rsid w:val="00142F96"/>
    <w:rsid w:val="00144713"/>
    <w:rsid w:val="00145FCA"/>
    <w:rsid w:val="001470A6"/>
    <w:rsid w:val="00150FFF"/>
    <w:rsid w:val="00151F36"/>
    <w:rsid w:val="00152451"/>
    <w:rsid w:val="00152A8C"/>
    <w:rsid w:val="001535C3"/>
    <w:rsid w:val="00153AA6"/>
    <w:rsid w:val="0015420E"/>
    <w:rsid w:val="00154444"/>
    <w:rsid w:val="0015501C"/>
    <w:rsid w:val="00155343"/>
    <w:rsid w:val="00155774"/>
    <w:rsid w:val="00155D92"/>
    <w:rsid w:val="00155F8F"/>
    <w:rsid w:val="00156C2A"/>
    <w:rsid w:val="00157247"/>
    <w:rsid w:val="001605AB"/>
    <w:rsid w:val="00160C4E"/>
    <w:rsid w:val="00161979"/>
    <w:rsid w:val="001636AB"/>
    <w:rsid w:val="0016370A"/>
    <w:rsid w:val="0016449D"/>
    <w:rsid w:val="00164663"/>
    <w:rsid w:val="0016616E"/>
    <w:rsid w:val="001670E1"/>
    <w:rsid w:val="001676AA"/>
    <w:rsid w:val="00167B45"/>
    <w:rsid w:val="00170AD1"/>
    <w:rsid w:val="00170AE6"/>
    <w:rsid w:val="001717FA"/>
    <w:rsid w:val="00172848"/>
    <w:rsid w:val="00173575"/>
    <w:rsid w:val="00174072"/>
    <w:rsid w:val="00175361"/>
    <w:rsid w:val="00175A45"/>
    <w:rsid w:val="00175C61"/>
    <w:rsid w:val="00175C77"/>
    <w:rsid w:val="00176AA1"/>
    <w:rsid w:val="00176E3C"/>
    <w:rsid w:val="00177101"/>
    <w:rsid w:val="001774F4"/>
    <w:rsid w:val="00177642"/>
    <w:rsid w:val="00177940"/>
    <w:rsid w:val="00181BC6"/>
    <w:rsid w:val="00183D1D"/>
    <w:rsid w:val="00184D5F"/>
    <w:rsid w:val="001857CD"/>
    <w:rsid w:val="00186248"/>
    <w:rsid w:val="00186590"/>
    <w:rsid w:val="00191000"/>
    <w:rsid w:val="00191653"/>
    <w:rsid w:val="00191D83"/>
    <w:rsid w:val="00191E9B"/>
    <w:rsid w:val="0019285C"/>
    <w:rsid w:val="00192AD9"/>
    <w:rsid w:val="0019341B"/>
    <w:rsid w:val="001953A5"/>
    <w:rsid w:val="001962EC"/>
    <w:rsid w:val="0019701D"/>
    <w:rsid w:val="00197600"/>
    <w:rsid w:val="001A10C0"/>
    <w:rsid w:val="001A2344"/>
    <w:rsid w:val="001A54A5"/>
    <w:rsid w:val="001A54BE"/>
    <w:rsid w:val="001A6F6A"/>
    <w:rsid w:val="001A7689"/>
    <w:rsid w:val="001B0B9F"/>
    <w:rsid w:val="001B1008"/>
    <w:rsid w:val="001B14B8"/>
    <w:rsid w:val="001B3211"/>
    <w:rsid w:val="001B48C5"/>
    <w:rsid w:val="001B4EF2"/>
    <w:rsid w:val="001B5364"/>
    <w:rsid w:val="001B53A6"/>
    <w:rsid w:val="001B673E"/>
    <w:rsid w:val="001B7E39"/>
    <w:rsid w:val="001C0431"/>
    <w:rsid w:val="001C0986"/>
    <w:rsid w:val="001C2282"/>
    <w:rsid w:val="001C23D5"/>
    <w:rsid w:val="001C268B"/>
    <w:rsid w:val="001C2A23"/>
    <w:rsid w:val="001C2B00"/>
    <w:rsid w:val="001C2F3F"/>
    <w:rsid w:val="001C378C"/>
    <w:rsid w:val="001C3F06"/>
    <w:rsid w:val="001C415E"/>
    <w:rsid w:val="001C516B"/>
    <w:rsid w:val="001C5A5C"/>
    <w:rsid w:val="001C5D64"/>
    <w:rsid w:val="001C7734"/>
    <w:rsid w:val="001C773B"/>
    <w:rsid w:val="001D1B30"/>
    <w:rsid w:val="001D2823"/>
    <w:rsid w:val="001D2CF7"/>
    <w:rsid w:val="001D2EE7"/>
    <w:rsid w:val="001D3091"/>
    <w:rsid w:val="001D5589"/>
    <w:rsid w:val="001D622E"/>
    <w:rsid w:val="001D6A28"/>
    <w:rsid w:val="001D6D85"/>
    <w:rsid w:val="001E0A3A"/>
    <w:rsid w:val="001E1184"/>
    <w:rsid w:val="001E187A"/>
    <w:rsid w:val="001E2176"/>
    <w:rsid w:val="001E34D4"/>
    <w:rsid w:val="001E574D"/>
    <w:rsid w:val="001E5BAE"/>
    <w:rsid w:val="001E5D29"/>
    <w:rsid w:val="001E7D3B"/>
    <w:rsid w:val="001F00A2"/>
    <w:rsid w:val="001F0C05"/>
    <w:rsid w:val="001F2649"/>
    <w:rsid w:val="001F3119"/>
    <w:rsid w:val="001F458A"/>
    <w:rsid w:val="001F4DA2"/>
    <w:rsid w:val="001F577D"/>
    <w:rsid w:val="001F668B"/>
    <w:rsid w:val="001F6BCF"/>
    <w:rsid w:val="001F7865"/>
    <w:rsid w:val="001F7A82"/>
    <w:rsid w:val="001F7F2D"/>
    <w:rsid w:val="0020050D"/>
    <w:rsid w:val="002021FD"/>
    <w:rsid w:val="002045E7"/>
    <w:rsid w:val="002045FF"/>
    <w:rsid w:val="002056F6"/>
    <w:rsid w:val="00205772"/>
    <w:rsid w:val="00205B36"/>
    <w:rsid w:val="00205F27"/>
    <w:rsid w:val="002108C8"/>
    <w:rsid w:val="00211082"/>
    <w:rsid w:val="00215F8F"/>
    <w:rsid w:val="00216D57"/>
    <w:rsid w:val="00217038"/>
    <w:rsid w:val="002179F9"/>
    <w:rsid w:val="00220004"/>
    <w:rsid w:val="002201CE"/>
    <w:rsid w:val="00221768"/>
    <w:rsid w:val="002217DA"/>
    <w:rsid w:val="00221A38"/>
    <w:rsid w:val="00221BC9"/>
    <w:rsid w:val="00221C49"/>
    <w:rsid w:val="00221D81"/>
    <w:rsid w:val="00221E7E"/>
    <w:rsid w:val="00222390"/>
    <w:rsid w:val="00222647"/>
    <w:rsid w:val="002240E8"/>
    <w:rsid w:val="00224477"/>
    <w:rsid w:val="0022769F"/>
    <w:rsid w:val="0023017F"/>
    <w:rsid w:val="002307F7"/>
    <w:rsid w:val="00232489"/>
    <w:rsid w:val="0023285E"/>
    <w:rsid w:val="00234EFE"/>
    <w:rsid w:val="002361EF"/>
    <w:rsid w:val="0023668D"/>
    <w:rsid w:val="0023678F"/>
    <w:rsid w:val="00237C21"/>
    <w:rsid w:val="00241003"/>
    <w:rsid w:val="00241DD8"/>
    <w:rsid w:val="002424B1"/>
    <w:rsid w:val="0024391E"/>
    <w:rsid w:val="00243B00"/>
    <w:rsid w:val="0024457A"/>
    <w:rsid w:val="00245C10"/>
    <w:rsid w:val="00246AF8"/>
    <w:rsid w:val="00247034"/>
    <w:rsid w:val="002473BE"/>
    <w:rsid w:val="0025039E"/>
    <w:rsid w:val="00252467"/>
    <w:rsid w:val="00252F58"/>
    <w:rsid w:val="0025330C"/>
    <w:rsid w:val="002534BB"/>
    <w:rsid w:val="00255033"/>
    <w:rsid w:val="0025557B"/>
    <w:rsid w:val="00255592"/>
    <w:rsid w:val="002555D0"/>
    <w:rsid w:val="00256E9D"/>
    <w:rsid w:val="002575A2"/>
    <w:rsid w:val="00257EF5"/>
    <w:rsid w:val="00260096"/>
    <w:rsid w:val="00260524"/>
    <w:rsid w:val="00261F97"/>
    <w:rsid w:val="00262609"/>
    <w:rsid w:val="00262C43"/>
    <w:rsid w:val="002637D1"/>
    <w:rsid w:val="0026380A"/>
    <w:rsid w:val="00263987"/>
    <w:rsid w:val="00263E20"/>
    <w:rsid w:val="002641C9"/>
    <w:rsid w:val="002654A0"/>
    <w:rsid w:val="00271ED1"/>
    <w:rsid w:val="002721FC"/>
    <w:rsid w:val="00272560"/>
    <w:rsid w:val="00274BA5"/>
    <w:rsid w:val="00274F2A"/>
    <w:rsid w:val="002751D7"/>
    <w:rsid w:val="0027698A"/>
    <w:rsid w:val="00276BB1"/>
    <w:rsid w:val="00277626"/>
    <w:rsid w:val="002805E9"/>
    <w:rsid w:val="00282586"/>
    <w:rsid w:val="00282BDC"/>
    <w:rsid w:val="00283040"/>
    <w:rsid w:val="0028357C"/>
    <w:rsid w:val="0028451D"/>
    <w:rsid w:val="0028552D"/>
    <w:rsid w:val="00286AE7"/>
    <w:rsid w:val="00291675"/>
    <w:rsid w:val="0029174C"/>
    <w:rsid w:val="002921C1"/>
    <w:rsid w:val="00292455"/>
    <w:rsid w:val="00292889"/>
    <w:rsid w:val="00292E39"/>
    <w:rsid w:val="00293729"/>
    <w:rsid w:val="0029379E"/>
    <w:rsid w:val="0029396C"/>
    <w:rsid w:val="002945C7"/>
    <w:rsid w:val="0029651D"/>
    <w:rsid w:val="0029697B"/>
    <w:rsid w:val="002976BB"/>
    <w:rsid w:val="00297FA9"/>
    <w:rsid w:val="002A03E0"/>
    <w:rsid w:val="002A0814"/>
    <w:rsid w:val="002A13A3"/>
    <w:rsid w:val="002A1707"/>
    <w:rsid w:val="002A170A"/>
    <w:rsid w:val="002A1EDD"/>
    <w:rsid w:val="002A260A"/>
    <w:rsid w:val="002A3C8B"/>
    <w:rsid w:val="002A4B9C"/>
    <w:rsid w:val="002A510D"/>
    <w:rsid w:val="002A5F7D"/>
    <w:rsid w:val="002A6507"/>
    <w:rsid w:val="002A671C"/>
    <w:rsid w:val="002A7019"/>
    <w:rsid w:val="002A7020"/>
    <w:rsid w:val="002A7862"/>
    <w:rsid w:val="002A7921"/>
    <w:rsid w:val="002B028F"/>
    <w:rsid w:val="002B038C"/>
    <w:rsid w:val="002B0871"/>
    <w:rsid w:val="002B1435"/>
    <w:rsid w:val="002B2152"/>
    <w:rsid w:val="002B26D3"/>
    <w:rsid w:val="002B3C65"/>
    <w:rsid w:val="002B3D23"/>
    <w:rsid w:val="002B4518"/>
    <w:rsid w:val="002B46CF"/>
    <w:rsid w:val="002B575A"/>
    <w:rsid w:val="002B6264"/>
    <w:rsid w:val="002B6E8A"/>
    <w:rsid w:val="002B7B4D"/>
    <w:rsid w:val="002C1C88"/>
    <w:rsid w:val="002C1E28"/>
    <w:rsid w:val="002C20BD"/>
    <w:rsid w:val="002C2A5F"/>
    <w:rsid w:val="002C3083"/>
    <w:rsid w:val="002C3179"/>
    <w:rsid w:val="002C35F9"/>
    <w:rsid w:val="002C395C"/>
    <w:rsid w:val="002C5920"/>
    <w:rsid w:val="002C6078"/>
    <w:rsid w:val="002C7341"/>
    <w:rsid w:val="002C7543"/>
    <w:rsid w:val="002D0F45"/>
    <w:rsid w:val="002D1E60"/>
    <w:rsid w:val="002D261C"/>
    <w:rsid w:val="002D33B6"/>
    <w:rsid w:val="002D4494"/>
    <w:rsid w:val="002D4AEA"/>
    <w:rsid w:val="002D7B86"/>
    <w:rsid w:val="002E03E3"/>
    <w:rsid w:val="002E098B"/>
    <w:rsid w:val="002E403C"/>
    <w:rsid w:val="002E4679"/>
    <w:rsid w:val="002E4944"/>
    <w:rsid w:val="002E5B39"/>
    <w:rsid w:val="002E73F4"/>
    <w:rsid w:val="002E7C4D"/>
    <w:rsid w:val="002F2A3A"/>
    <w:rsid w:val="002F3653"/>
    <w:rsid w:val="002F36EA"/>
    <w:rsid w:val="002F3DD5"/>
    <w:rsid w:val="002F57CA"/>
    <w:rsid w:val="002F5BCC"/>
    <w:rsid w:val="002F7760"/>
    <w:rsid w:val="0030020A"/>
    <w:rsid w:val="003003A1"/>
    <w:rsid w:val="00300D4D"/>
    <w:rsid w:val="00301301"/>
    <w:rsid w:val="00301623"/>
    <w:rsid w:val="003035CF"/>
    <w:rsid w:val="00304007"/>
    <w:rsid w:val="0030406E"/>
    <w:rsid w:val="00304318"/>
    <w:rsid w:val="00304959"/>
    <w:rsid w:val="00305409"/>
    <w:rsid w:val="00307692"/>
    <w:rsid w:val="003076F5"/>
    <w:rsid w:val="00307E1E"/>
    <w:rsid w:val="00307E67"/>
    <w:rsid w:val="003111CC"/>
    <w:rsid w:val="00312202"/>
    <w:rsid w:val="0031226E"/>
    <w:rsid w:val="00314B3E"/>
    <w:rsid w:val="0031549B"/>
    <w:rsid w:val="0031585B"/>
    <w:rsid w:val="00315DBA"/>
    <w:rsid w:val="00315E4F"/>
    <w:rsid w:val="003160C5"/>
    <w:rsid w:val="00317D88"/>
    <w:rsid w:val="00320730"/>
    <w:rsid w:val="00321D10"/>
    <w:rsid w:val="0032276F"/>
    <w:rsid w:val="0032382D"/>
    <w:rsid w:val="00324BA4"/>
    <w:rsid w:val="00324D47"/>
    <w:rsid w:val="00324EF1"/>
    <w:rsid w:val="00325323"/>
    <w:rsid w:val="0032679F"/>
    <w:rsid w:val="00326DE9"/>
    <w:rsid w:val="003273DB"/>
    <w:rsid w:val="00327AD6"/>
    <w:rsid w:val="003306B8"/>
    <w:rsid w:val="003319A0"/>
    <w:rsid w:val="00331ADC"/>
    <w:rsid w:val="00332E9F"/>
    <w:rsid w:val="00333389"/>
    <w:rsid w:val="00333632"/>
    <w:rsid w:val="00334C3F"/>
    <w:rsid w:val="00335C18"/>
    <w:rsid w:val="00337646"/>
    <w:rsid w:val="003409A0"/>
    <w:rsid w:val="003416EB"/>
    <w:rsid w:val="00341B14"/>
    <w:rsid w:val="00341D81"/>
    <w:rsid w:val="003420FE"/>
    <w:rsid w:val="00342944"/>
    <w:rsid w:val="00343DF7"/>
    <w:rsid w:val="00344424"/>
    <w:rsid w:val="0034451A"/>
    <w:rsid w:val="003460D2"/>
    <w:rsid w:val="003461A5"/>
    <w:rsid w:val="00347046"/>
    <w:rsid w:val="00347E84"/>
    <w:rsid w:val="00350CFD"/>
    <w:rsid w:val="00350E24"/>
    <w:rsid w:val="00350E6F"/>
    <w:rsid w:val="00351AED"/>
    <w:rsid w:val="003521D2"/>
    <w:rsid w:val="00353068"/>
    <w:rsid w:val="003533D2"/>
    <w:rsid w:val="003534B6"/>
    <w:rsid w:val="0035397C"/>
    <w:rsid w:val="00353E1B"/>
    <w:rsid w:val="00354416"/>
    <w:rsid w:val="00354874"/>
    <w:rsid w:val="0035493B"/>
    <w:rsid w:val="003572B7"/>
    <w:rsid w:val="00357A39"/>
    <w:rsid w:val="00361BEC"/>
    <w:rsid w:val="003621DE"/>
    <w:rsid w:val="00362298"/>
    <w:rsid w:val="003644FE"/>
    <w:rsid w:val="00364754"/>
    <w:rsid w:val="00364B46"/>
    <w:rsid w:val="003656D5"/>
    <w:rsid w:val="00366147"/>
    <w:rsid w:val="00366221"/>
    <w:rsid w:val="003675A4"/>
    <w:rsid w:val="0036767A"/>
    <w:rsid w:val="00367F5B"/>
    <w:rsid w:val="0036A308"/>
    <w:rsid w:val="003702FD"/>
    <w:rsid w:val="00370672"/>
    <w:rsid w:val="00370A9F"/>
    <w:rsid w:val="00370C3D"/>
    <w:rsid w:val="0037239B"/>
    <w:rsid w:val="0037264C"/>
    <w:rsid w:val="00372AB5"/>
    <w:rsid w:val="003737F0"/>
    <w:rsid w:val="003739C4"/>
    <w:rsid w:val="0037536F"/>
    <w:rsid w:val="003753AC"/>
    <w:rsid w:val="0037640E"/>
    <w:rsid w:val="00376601"/>
    <w:rsid w:val="00377B80"/>
    <w:rsid w:val="00380323"/>
    <w:rsid w:val="0038053A"/>
    <w:rsid w:val="003806DD"/>
    <w:rsid w:val="00382D97"/>
    <w:rsid w:val="00382EF2"/>
    <w:rsid w:val="00383521"/>
    <w:rsid w:val="003835DE"/>
    <w:rsid w:val="003837E4"/>
    <w:rsid w:val="0038503D"/>
    <w:rsid w:val="003859A2"/>
    <w:rsid w:val="00386869"/>
    <w:rsid w:val="00386E78"/>
    <w:rsid w:val="003901DE"/>
    <w:rsid w:val="00390385"/>
    <w:rsid w:val="00390BAC"/>
    <w:rsid w:val="003915C5"/>
    <w:rsid w:val="0039240A"/>
    <w:rsid w:val="0039399B"/>
    <w:rsid w:val="00394AC8"/>
    <w:rsid w:val="00394EA4"/>
    <w:rsid w:val="00395291"/>
    <w:rsid w:val="00395F7C"/>
    <w:rsid w:val="003976E6"/>
    <w:rsid w:val="00397828"/>
    <w:rsid w:val="003A2CC2"/>
    <w:rsid w:val="003A329F"/>
    <w:rsid w:val="003A345A"/>
    <w:rsid w:val="003A3BC2"/>
    <w:rsid w:val="003A4133"/>
    <w:rsid w:val="003A41D3"/>
    <w:rsid w:val="003A44C4"/>
    <w:rsid w:val="003A5BBE"/>
    <w:rsid w:val="003A7518"/>
    <w:rsid w:val="003A76D3"/>
    <w:rsid w:val="003A7A68"/>
    <w:rsid w:val="003B0C4B"/>
    <w:rsid w:val="003B36A2"/>
    <w:rsid w:val="003B5E4C"/>
    <w:rsid w:val="003B6BC4"/>
    <w:rsid w:val="003B7EA0"/>
    <w:rsid w:val="003C1C8D"/>
    <w:rsid w:val="003C2036"/>
    <w:rsid w:val="003C3906"/>
    <w:rsid w:val="003C7534"/>
    <w:rsid w:val="003C7822"/>
    <w:rsid w:val="003C7C7A"/>
    <w:rsid w:val="003D0DA0"/>
    <w:rsid w:val="003D1473"/>
    <w:rsid w:val="003D17A1"/>
    <w:rsid w:val="003D244C"/>
    <w:rsid w:val="003D24AF"/>
    <w:rsid w:val="003D2F77"/>
    <w:rsid w:val="003D317C"/>
    <w:rsid w:val="003D4C50"/>
    <w:rsid w:val="003D5A1B"/>
    <w:rsid w:val="003D64F0"/>
    <w:rsid w:val="003D64FA"/>
    <w:rsid w:val="003D6FB6"/>
    <w:rsid w:val="003D737B"/>
    <w:rsid w:val="003D7CC1"/>
    <w:rsid w:val="003D7DCD"/>
    <w:rsid w:val="003E1840"/>
    <w:rsid w:val="003E1A6D"/>
    <w:rsid w:val="003E2368"/>
    <w:rsid w:val="003E2A2B"/>
    <w:rsid w:val="003E3D1A"/>
    <w:rsid w:val="003E4818"/>
    <w:rsid w:val="003E51C3"/>
    <w:rsid w:val="003E7565"/>
    <w:rsid w:val="003E7856"/>
    <w:rsid w:val="003F048A"/>
    <w:rsid w:val="003F0BCD"/>
    <w:rsid w:val="003F2836"/>
    <w:rsid w:val="003F2AA9"/>
    <w:rsid w:val="003F3082"/>
    <w:rsid w:val="003F35E3"/>
    <w:rsid w:val="003F3F71"/>
    <w:rsid w:val="003F3FF4"/>
    <w:rsid w:val="003F4DD2"/>
    <w:rsid w:val="003F5EE9"/>
    <w:rsid w:val="003F79A9"/>
    <w:rsid w:val="004014C1"/>
    <w:rsid w:val="0040235E"/>
    <w:rsid w:val="00403CB4"/>
    <w:rsid w:val="00404B8B"/>
    <w:rsid w:val="00404D18"/>
    <w:rsid w:val="00405242"/>
    <w:rsid w:val="00407C22"/>
    <w:rsid w:val="00410EAC"/>
    <w:rsid w:val="0041195C"/>
    <w:rsid w:val="004129B2"/>
    <w:rsid w:val="00412DFA"/>
    <w:rsid w:val="00412EEC"/>
    <w:rsid w:val="00413090"/>
    <w:rsid w:val="00415041"/>
    <w:rsid w:val="00415123"/>
    <w:rsid w:val="004157EB"/>
    <w:rsid w:val="00416251"/>
    <w:rsid w:val="00416917"/>
    <w:rsid w:val="0041697B"/>
    <w:rsid w:val="004172DA"/>
    <w:rsid w:val="00417612"/>
    <w:rsid w:val="00417F61"/>
    <w:rsid w:val="00421268"/>
    <w:rsid w:val="00421AAE"/>
    <w:rsid w:val="00422FDA"/>
    <w:rsid w:val="00423C7A"/>
    <w:rsid w:val="0042465C"/>
    <w:rsid w:val="00424FBC"/>
    <w:rsid w:val="00425330"/>
    <w:rsid w:val="0042588C"/>
    <w:rsid w:val="00427036"/>
    <w:rsid w:val="004271FF"/>
    <w:rsid w:val="004301F4"/>
    <w:rsid w:val="0043109A"/>
    <w:rsid w:val="00432011"/>
    <w:rsid w:val="004322B0"/>
    <w:rsid w:val="0043283F"/>
    <w:rsid w:val="00432B42"/>
    <w:rsid w:val="00432FB0"/>
    <w:rsid w:val="00433266"/>
    <w:rsid w:val="00435210"/>
    <w:rsid w:val="0043565B"/>
    <w:rsid w:val="00435BFA"/>
    <w:rsid w:val="00436B0A"/>
    <w:rsid w:val="0043708B"/>
    <w:rsid w:val="004370AA"/>
    <w:rsid w:val="004375FB"/>
    <w:rsid w:val="004416BA"/>
    <w:rsid w:val="0044246D"/>
    <w:rsid w:val="00442781"/>
    <w:rsid w:val="004429E4"/>
    <w:rsid w:val="00443176"/>
    <w:rsid w:val="00444F64"/>
    <w:rsid w:val="00445C0A"/>
    <w:rsid w:val="0044670C"/>
    <w:rsid w:val="004472A9"/>
    <w:rsid w:val="0045014D"/>
    <w:rsid w:val="00451649"/>
    <w:rsid w:val="004529D7"/>
    <w:rsid w:val="00452B51"/>
    <w:rsid w:val="004530AA"/>
    <w:rsid w:val="004538A1"/>
    <w:rsid w:val="004555BB"/>
    <w:rsid w:val="00455F83"/>
    <w:rsid w:val="0045603E"/>
    <w:rsid w:val="0045694D"/>
    <w:rsid w:val="00457240"/>
    <w:rsid w:val="004574A5"/>
    <w:rsid w:val="00457DFD"/>
    <w:rsid w:val="00460086"/>
    <w:rsid w:val="004602E1"/>
    <w:rsid w:val="00460437"/>
    <w:rsid w:val="004606A1"/>
    <w:rsid w:val="00461577"/>
    <w:rsid w:val="00461AFB"/>
    <w:rsid w:val="00462777"/>
    <w:rsid w:val="00462F02"/>
    <w:rsid w:val="00463554"/>
    <w:rsid w:val="00463816"/>
    <w:rsid w:val="00464005"/>
    <w:rsid w:val="00465454"/>
    <w:rsid w:val="00466F7C"/>
    <w:rsid w:val="00467ED8"/>
    <w:rsid w:val="00472266"/>
    <w:rsid w:val="0047286F"/>
    <w:rsid w:val="004729E0"/>
    <w:rsid w:val="004763A9"/>
    <w:rsid w:val="0047678F"/>
    <w:rsid w:val="00480309"/>
    <w:rsid w:val="004804AC"/>
    <w:rsid w:val="00480F96"/>
    <w:rsid w:val="00481AAD"/>
    <w:rsid w:val="00481B70"/>
    <w:rsid w:val="00481EAB"/>
    <w:rsid w:val="004823C7"/>
    <w:rsid w:val="004825F8"/>
    <w:rsid w:val="00483B14"/>
    <w:rsid w:val="004848AC"/>
    <w:rsid w:val="004863DB"/>
    <w:rsid w:val="004865D8"/>
    <w:rsid w:val="00486826"/>
    <w:rsid w:val="00487734"/>
    <w:rsid w:val="00487B8A"/>
    <w:rsid w:val="00490144"/>
    <w:rsid w:val="0049319D"/>
    <w:rsid w:val="004950D3"/>
    <w:rsid w:val="00496066"/>
    <w:rsid w:val="00496258"/>
    <w:rsid w:val="00497B08"/>
    <w:rsid w:val="00497D6C"/>
    <w:rsid w:val="004A065F"/>
    <w:rsid w:val="004A093F"/>
    <w:rsid w:val="004A1D59"/>
    <w:rsid w:val="004A3B71"/>
    <w:rsid w:val="004A44AF"/>
    <w:rsid w:val="004A7067"/>
    <w:rsid w:val="004A7834"/>
    <w:rsid w:val="004B0B2D"/>
    <w:rsid w:val="004B0EF3"/>
    <w:rsid w:val="004B138F"/>
    <w:rsid w:val="004B28EC"/>
    <w:rsid w:val="004B30AF"/>
    <w:rsid w:val="004B3AC7"/>
    <w:rsid w:val="004B4B89"/>
    <w:rsid w:val="004B535F"/>
    <w:rsid w:val="004B54D1"/>
    <w:rsid w:val="004B5ED0"/>
    <w:rsid w:val="004B61A8"/>
    <w:rsid w:val="004B6658"/>
    <w:rsid w:val="004B7123"/>
    <w:rsid w:val="004B7316"/>
    <w:rsid w:val="004C0D6B"/>
    <w:rsid w:val="004C1251"/>
    <w:rsid w:val="004C3858"/>
    <w:rsid w:val="004C474D"/>
    <w:rsid w:val="004C6735"/>
    <w:rsid w:val="004C6C6C"/>
    <w:rsid w:val="004C6E61"/>
    <w:rsid w:val="004D0614"/>
    <w:rsid w:val="004D064F"/>
    <w:rsid w:val="004D0A3D"/>
    <w:rsid w:val="004D2258"/>
    <w:rsid w:val="004D2597"/>
    <w:rsid w:val="004D2DCE"/>
    <w:rsid w:val="004D3742"/>
    <w:rsid w:val="004D46F5"/>
    <w:rsid w:val="004D4897"/>
    <w:rsid w:val="004D4931"/>
    <w:rsid w:val="004D5234"/>
    <w:rsid w:val="004D672D"/>
    <w:rsid w:val="004D7150"/>
    <w:rsid w:val="004D7E08"/>
    <w:rsid w:val="004E099B"/>
    <w:rsid w:val="004E13B1"/>
    <w:rsid w:val="004E32C1"/>
    <w:rsid w:val="004E36E9"/>
    <w:rsid w:val="004E41B8"/>
    <w:rsid w:val="004E44DE"/>
    <w:rsid w:val="004E5128"/>
    <w:rsid w:val="004E76AB"/>
    <w:rsid w:val="004E7B65"/>
    <w:rsid w:val="004E7D41"/>
    <w:rsid w:val="004F0479"/>
    <w:rsid w:val="004F1221"/>
    <w:rsid w:val="004F21AA"/>
    <w:rsid w:val="004F2D2A"/>
    <w:rsid w:val="004F347B"/>
    <w:rsid w:val="004F38A0"/>
    <w:rsid w:val="004F4710"/>
    <w:rsid w:val="004F59A0"/>
    <w:rsid w:val="004F5E0C"/>
    <w:rsid w:val="004F6853"/>
    <w:rsid w:val="00500C97"/>
    <w:rsid w:val="00504ABA"/>
    <w:rsid w:val="00506132"/>
    <w:rsid w:val="005073D5"/>
    <w:rsid w:val="00507EBC"/>
    <w:rsid w:val="00510B3C"/>
    <w:rsid w:val="005110F4"/>
    <w:rsid w:val="0051378D"/>
    <w:rsid w:val="005139B6"/>
    <w:rsid w:val="00514CD7"/>
    <w:rsid w:val="0051582F"/>
    <w:rsid w:val="005166ED"/>
    <w:rsid w:val="005168CB"/>
    <w:rsid w:val="00516BDE"/>
    <w:rsid w:val="00517962"/>
    <w:rsid w:val="0052076B"/>
    <w:rsid w:val="00520E7E"/>
    <w:rsid w:val="00522C4D"/>
    <w:rsid w:val="0052327E"/>
    <w:rsid w:val="005240C7"/>
    <w:rsid w:val="00525C10"/>
    <w:rsid w:val="00525EE6"/>
    <w:rsid w:val="005308D3"/>
    <w:rsid w:val="00534476"/>
    <w:rsid w:val="005346AF"/>
    <w:rsid w:val="0053473F"/>
    <w:rsid w:val="00534B6F"/>
    <w:rsid w:val="005359C4"/>
    <w:rsid w:val="00535A64"/>
    <w:rsid w:val="0053671F"/>
    <w:rsid w:val="005372FC"/>
    <w:rsid w:val="00537DF3"/>
    <w:rsid w:val="00541F70"/>
    <w:rsid w:val="005436FA"/>
    <w:rsid w:val="00546536"/>
    <w:rsid w:val="00546999"/>
    <w:rsid w:val="005474C0"/>
    <w:rsid w:val="00547867"/>
    <w:rsid w:val="00547BBA"/>
    <w:rsid w:val="00547E54"/>
    <w:rsid w:val="00551908"/>
    <w:rsid w:val="00551E9E"/>
    <w:rsid w:val="00552624"/>
    <w:rsid w:val="00552F65"/>
    <w:rsid w:val="0055396E"/>
    <w:rsid w:val="00553DF9"/>
    <w:rsid w:val="0055472C"/>
    <w:rsid w:val="00554A6F"/>
    <w:rsid w:val="00556ACC"/>
    <w:rsid w:val="00556CAB"/>
    <w:rsid w:val="005629C7"/>
    <w:rsid w:val="00564573"/>
    <w:rsid w:val="00564E0F"/>
    <w:rsid w:val="00565143"/>
    <w:rsid w:val="00565790"/>
    <w:rsid w:val="005666BA"/>
    <w:rsid w:val="005702C1"/>
    <w:rsid w:val="00573791"/>
    <w:rsid w:val="005744FD"/>
    <w:rsid w:val="005749F9"/>
    <w:rsid w:val="00574D03"/>
    <w:rsid w:val="00574D6D"/>
    <w:rsid w:val="00575121"/>
    <w:rsid w:val="005754AB"/>
    <w:rsid w:val="00575D53"/>
    <w:rsid w:val="00577D5C"/>
    <w:rsid w:val="0058124F"/>
    <w:rsid w:val="00581784"/>
    <w:rsid w:val="00581819"/>
    <w:rsid w:val="00581A97"/>
    <w:rsid w:val="0058225C"/>
    <w:rsid w:val="005822A1"/>
    <w:rsid w:val="00582BAC"/>
    <w:rsid w:val="0058303F"/>
    <w:rsid w:val="005834A1"/>
    <w:rsid w:val="005835AC"/>
    <w:rsid w:val="00585D3B"/>
    <w:rsid w:val="00590458"/>
    <w:rsid w:val="0059449B"/>
    <w:rsid w:val="00594C77"/>
    <w:rsid w:val="0059582E"/>
    <w:rsid w:val="0059694B"/>
    <w:rsid w:val="005977B6"/>
    <w:rsid w:val="005A012C"/>
    <w:rsid w:val="005A104A"/>
    <w:rsid w:val="005A134E"/>
    <w:rsid w:val="005A39FB"/>
    <w:rsid w:val="005A5068"/>
    <w:rsid w:val="005A6014"/>
    <w:rsid w:val="005A7933"/>
    <w:rsid w:val="005A7D2F"/>
    <w:rsid w:val="005B0B63"/>
    <w:rsid w:val="005B18B7"/>
    <w:rsid w:val="005B1DC5"/>
    <w:rsid w:val="005B3C55"/>
    <w:rsid w:val="005B3FB3"/>
    <w:rsid w:val="005B404B"/>
    <w:rsid w:val="005B414B"/>
    <w:rsid w:val="005B59BA"/>
    <w:rsid w:val="005B5A84"/>
    <w:rsid w:val="005B67E9"/>
    <w:rsid w:val="005B6A5C"/>
    <w:rsid w:val="005B6DF3"/>
    <w:rsid w:val="005B71CC"/>
    <w:rsid w:val="005B737C"/>
    <w:rsid w:val="005C11FE"/>
    <w:rsid w:val="005C1EFC"/>
    <w:rsid w:val="005C2C50"/>
    <w:rsid w:val="005C3FEA"/>
    <w:rsid w:val="005C5E98"/>
    <w:rsid w:val="005C7C71"/>
    <w:rsid w:val="005C7E1D"/>
    <w:rsid w:val="005D0340"/>
    <w:rsid w:val="005D12B6"/>
    <w:rsid w:val="005D3736"/>
    <w:rsid w:val="005D5FD0"/>
    <w:rsid w:val="005D60B9"/>
    <w:rsid w:val="005E1D55"/>
    <w:rsid w:val="005E1DE1"/>
    <w:rsid w:val="005E211C"/>
    <w:rsid w:val="005E2381"/>
    <w:rsid w:val="005E3133"/>
    <w:rsid w:val="005E3F98"/>
    <w:rsid w:val="005E40D8"/>
    <w:rsid w:val="005E46CD"/>
    <w:rsid w:val="005E497D"/>
    <w:rsid w:val="005E4DEE"/>
    <w:rsid w:val="005E5530"/>
    <w:rsid w:val="005E5CD5"/>
    <w:rsid w:val="005E6F64"/>
    <w:rsid w:val="005E7731"/>
    <w:rsid w:val="005F0A8F"/>
    <w:rsid w:val="005F178A"/>
    <w:rsid w:val="005F1CB9"/>
    <w:rsid w:val="005F1EC9"/>
    <w:rsid w:val="005F3BDF"/>
    <w:rsid w:val="005F44BD"/>
    <w:rsid w:val="005F5EA0"/>
    <w:rsid w:val="005F6947"/>
    <w:rsid w:val="006002A8"/>
    <w:rsid w:val="00601F16"/>
    <w:rsid w:val="00601FAD"/>
    <w:rsid w:val="0060228F"/>
    <w:rsid w:val="006024CC"/>
    <w:rsid w:val="00603508"/>
    <w:rsid w:val="00604C99"/>
    <w:rsid w:val="00605BEE"/>
    <w:rsid w:val="00607FDA"/>
    <w:rsid w:val="00610919"/>
    <w:rsid w:val="006109F2"/>
    <w:rsid w:val="00612501"/>
    <w:rsid w:val="00612CD0"/>
    <w:rsid w:val="006132EB"/>
    <w:rsid w:val="006138F1"/>
    <w:rsid w:val="00613B70"/>
    <w:rsid w:val="0061437C"/>
    <w:rsid w:val="00614AE8"/>
    <w:rsid w:val="00615373"/>
    <w:rsid w:val="006164D2"/>
    <w:rsid w:val="00620780"/>
    <w:rsid w:val="00620943"/>
    <w:rsid w:val="006209D9"/>
    <w:rsid w:val="006215B5"/>
    <w:rsid w:val="00621FAD"/>
    <w:rsid w:val="00623A70"/>
    <w:rsid w:val="00624B1B"/>
    <w:rsid w:val="0062580C"/>
    <w:rsid w:val="00625DD1"/>
    <w:rsid w:val="00630B4F"/>
    <w:rsid w:val="00630BD7"/>
    <w:rsid w:val="00632487"/>
    <w:rsid w:val="00632BF3"/>
    <w:rsid w:val="006353A0"/>
    <w:rsid w:val="00635977"/>
    <w:rsid w:val="00636096"/>
    <w:rsid w:val="00640AF8"/>
    <w:rsid w:val="00642807"/>
    <w:rsid w:val="00642E40"/>
    <w:rsid w:val="00643D07"/>
    <w:rsid w:val="0064533A"/>
    <w:rsid w:val="00645366"/>
    <w:rsid w:val="006476E8"/>
    <w:rsid w:val="0064785A"/>
    <w:rsid w:val="00650A4A"/>
    <w:rsid w:val="00650DF9"/>
    <w:rsid w:val="006512E1"/>
    <w:rsid w:val="00651E4E"/>
    <w:rsid w:val="006524FD"/>
    <w:rsid w:val="006525A8"/>
    <w:rsid w:val="006527D5"/>
    <w:rsid w:val="00653DFF"/>
    <w:rsid w:val="00653FAE"/>
    <w:rsid w:val="00657BDE"/>
    <w:rsid w:val="00657E1D"/>
    <w:rsid w:val="006600B8"/>
    <w:rsid w:val="006622F5"/>
    <w:rsid w:val="006629D3"/>
    <w:rsid w:val="006629F6"/>
    <w:rsid w:val="00662BEF"/>
    <w:rsid w:val="00663477"/>
    <w:rsid w:val="006637BB"/>
    <w:rsid w:val="00663985"/>
    <w:rsid w:val="00663B60"/>
    <w:rsid w:val="00664283"/>
    <w:rsid w:val="0066432A"/>
    <w:rsid w:val="00664805"/>
    <w:rsid w:val="00664926"/>
    <w:rsid w:val="00664B39"/>
    <w:rsid w:val="00665711"/>
    <w:rsid w:val="00665C2F"/>
    <w:rsid w:val="00666375"/>
    <w:rsid w:val="00666FDF"/>
    <w:rsid w:val="0067172F"/>
    <w:rsid w:val="00672A7D"/>
    <w:rsid w:val="00672C17"/>
    <w:rsid w:val="00672F0B"/>
    <w:rsid w:val="00673CD1"/>
    <w:rsid w:val="006745AD"/>
    <w:rsid w:val="006747F8"/>
    <w:rsid w:val="00675282"/>
    <w:rsid w:val="00676AEA"/>
    <w:rsid w:val="006805CD"/>
    <w:rsid w:val="00683D17"/>
    <w:rsid w:val="00687AD5"/>
    <w:rsid w:val="00687C1B"/>
    <w:rsid w:val="0069054A"/>
    <w:rsid w:val="00690923"/>
    <w:rsid w:val="006918BE"/>
    <w:rsid w:val="0069367C"/>
    <w:rsid w:val="0069460C"/>
    <w:rsid w:val="00694672"/>
    <w:rsid w:val="00694677"/>
    <w:rsid w:val="0069479D"/>
    <w:rsid w:val="00695075"/>
    <w:rsid w:val="0069578E"/>
    <w:rsid w:val="006961FA"/>
    <w:rsid w:val="00696743"/>
    <w:rsid w:val="006A0C08"/>
    <w:rsid w:val="006A20AC"/>
    <w:rsid w:val="006A2F1D"/>
    <w:rsid w:val="006A305B"/>
    <w:rsid w:val="006A3BCE"/>
    <w:rsid w:val="006A4DE2"/>
    <w:rsid w:val="006A51F9"/>
    <w:rsid w:val="006A78CC"/>
    <w:rsid w:val="006A7CA3"/>
    <w:rsid w:val="006B1794"/>
    <w:rsid w:val="006B254D"/>
    <w:rsid w:val="006B403C"/>
    <w:rsid w:val="006B4FB7"/>
    <w:rsid w:val="006B5A3B"/>
    <w:rsid w:val="006B71D1"/>
    <w:rsid w:val="006C1E60"/>
    <w:rsid w:val="006C266E"/>
    <w:rsid w:val="006C2D55"/>
    <w:rsid w:val="006C2D90"/>
    <w:rsid w:val="006C32D7"/>
    <w:rsid w:val="006C3CD4"/>
    <w:rsid w:val="006C4148"/>
    <w:rsid w:val="006C6097"/>
    <w:rsid w:val="006C6AED"/>
    <w:rsid w:val="006C7584"/>
    <w:rsid w:val="006D09C4"/>
    <w:rsid w:val="006D0B16"/>
    <w:rsid w:val="006D13C8"/>
    <w:rsid w:val="006D1D27"/>
    <w:rsid w:val="006D26EA"/>
    <w:rsid w:val="006D309C"/>
    <w:rsid w:val="006D593B"/>
    <w:rsid w:val="006D64F4"/>
    <w:rsid w:val="006D7980"/>
    <w:rsid w:val="006E0071"/>
    <w:rsid w:val="006E0644"/>
    <w:rsid w:val="006E194D"/>
    <w:rsid w:val="006E3302"/>
    <w:rsid w:val="006E358C"/>
    <w:rsid w:val="006E3DBE"/>
    <w:rsid w:val="006E4D2F"/>
    <w:rsid w:val="006E7028"/>
    <w:rsid w:val="006E7242"/>
    <w:rsid w:val="006E75B7"/>
    <w:rsid w:val="006F0434"/>
    <w:rsid w:val="006F177F"/>
    <w:rsid w:val="006F3329"/>
    <w:rsid w:val="006F3539"/>
    <w:rsid w:val="006F3770"/>
    <w:rsid w:val="006F4AEE"/>
    <w:rsid w:val="006F4B63"/>
    <w:rsid w:val="006F51E7"/>
    <w:rsid w:val="006F58CB"/>
    <w:rsid w:val="006F5C81"/>
    <w:rsid w:val="006F713F"/>
    <w:rsid w:val="006F7B7F"/>
    <w:rsid w:val="006F7DD4"/>
    <w:rsid w:val="0070030F"/>
    <w:rsid w:val="00701C6D"/>
    <w:rsid w:val="00701DCE"/>
    <w:rsid w:val="007022C3"/>
    <w:rsid w:val="00702EDF"/>
    <w:rsid w:val="007032D8"/>
    <w:rsid w:val="00704880"/>
    <w:rsid w:val="00705AFA"/>
    <w:rsid w:val="00705D54"/>
    <w:rsid w:val="00706400"/>
    <w:rsid w:val="00707341"/>
    <w:rsid w:val="0070751A"/>
    <w:rsid w:val="00711DCA"/>
    <w:rsid w:val="0071303A"/>
    <w:rsid w:val="00714B27"/>
    <w:rsid w:val="00715903"/>
    <w:rsid w:val="00715FF9"/>
    <w:rsid w:val="007161BE"/>
    <w:rsid w:val="007171E5"/>
    <w:rsid w:val="007173BB"/>
    <w:rsid w:val="00717B26"/>
    <w:rsid w:val="00722548"/>
    <w:rsid w:val="00722CEC"/>
    <w:rsid w:val="00722E7E"/>
    <w:rsid w:val="00723440"/>
    <w:rsid w:val="0072389A"/>
    <w:rsid w:val="007241AD"/>
    <w:rsid w:val="007248E7"/>
    <w:rsid w:val="007269A1"/>
    <w:rsid w:val="007301C7"/>
    <w:rsid w:val="00730777"/>
    <w:rsid w:val="00731ADF"/>
    <w:rsid w:val="007325C0"/>
    <w:rsid w:val="007330D7"/>
    <w:rsid w:val="00735027"/>
    <w:rsid w:val="007352FA"/>
    <w:rsid w:val="00735A2B"/>
    <w:rsid w:val="00735C6A"/>
    <w:rsid w:val="007360F8"/>
    <w:rsid w:val="00737A82"/>
    <w:rsid w:val="007409F2"/>
    <w:rsid w:val="007419D6"/>
    <w:rsid w:val="00741B6A"/>
    <w:rsid w:val="00744D8D"/>
    <w:rsid w:val="00745B8E"/>
    <w:rsid w:val="00745C80"/>
    <w:rsid w:val="00745F39"/>
    <w:rsid w:val="00745F75"/>
    <w:rsid w:val="00746C30"/>
    <w:rsid w:val="00747742"/>
    <w:rsid w:val="00747ABE"/>
    <w:rsid w:val="00747CDC"/>
    <w:rsid w:val="00750161"/>
    <w:rsid w:val="007502DC"/>
    <w:rsid w:val="0075033B"/>
    <w:rsid w:val="00751524"/>
    <w:rsid w:val="00751E85"/>
    <w:rsid w:val="007522DF"/>
    <w:rsid w:val="0075267D"/>
    <w:rsid w:val="007533E6"/>
    <w:rsid w:val="00754C51"/>
    <w:rsid w:val="00754FF8"/>
    <w:rsid w:val="0075510A"/>
    <w:rsid w:val="00756E99"/>
    <w:rsid w:val="00756F8A"/>
    <w:rsid w:val="007579B5"/>
    <w:rsid w:val="00758609"/>
    <w:rsid w:val="0076035C"/>
    <w:rsid w:val="007604E6"/>
    <w:rsid w:val="0076216E"/>
    <w:rsid w:val="0076386A"/>
    <w:rsid w:val="00764F1B"/>
    <w:rsid w:val="00765478"/>
    <w:rsid w:val="00765592"/>
    <w:rsid w:val="007655E9"/>
    <w:rsid w:val="00765B3A"/>
    <w:rsid w:val="00766792"/>
    <w:rsid w:val="00766B30"/>
    <w:rsid w:val="00766FBF"/>
    <w:rsid w:val="00770850"/>
    <w:rsid w:val="00770A8A"/>
    <w:rsid w:val="00770F40"/>
    <w:rsid w:val="00771441"/>
    <w:rsid w:val="00771F8E"/>
    <w:rsid w:val="00772DBD"/>
    <w:rsid w:val="007746AB"/>
    <w:rsid w:val="00776B42"/>
    <w:rsid w:val="00780CC0"/>
    <w:rsid w:val="00780CC6"/>
    <w:rsid w:val="00781AD2"/>
    <w:rsid w:val="00784ED1"/>
    <w:rsid w:val="00785708"/>
    <w:rsid w:val="00785E02"/>
    <w:rsid w:val="00790D8B"/>
    <w:rsid w:val="007911AA"/>
    <w:rsid w:val="00791465"/>
    <w:rsid w:val="007925C2"/>
    <w:rsid w:val="00792921"/>
    <w:rsid w:val="00792BED"/>
    <w:rsid w:val="0079465D"/>
    <w:rsid w:val="007949B8"/>
    <w:rsid w:val="00794C5C"/>
    <w:rsid w:val="0079570B"/>
    <w:rsid w:val="00796604"/>
    <w:rsid w:val="00796A81"/>
    <w:rsid w:val="00796F1C"/>
    <w:rsid w:val="00797B1F"/>
    <w:rsid w:val="00797EDB"/>
    <w:rsid w:val="007A1689"/>
    <w:rsid w:val="007A1C82"/>
    <w:rsid w:val="007A1F79"/>
    <w:rsid w:val="007A2240"/>
    <w:rsid w:val="007A2518"/>
    <w:rsid w:val="007A2AF4"/>
    <w:rsid w:val="007A4E63"/>
    <w:rsid w:val="007A771F"/>
    <w:rsid w:val="007A776F"/>
    <w:rsid w:val="007A784D"/>
    <w:rsid w:val="007B1E66"/>
    <w:rsid w:val="007B28A9"/>
    <w:rsid w:val="007B2CFE"/>
    <w:rsid w:val="007B38DD"/>
    <w:rsid w:val="007B4B04"/>
    <w:rsid w:val="007B50AB"/>
    <w:rsid w:val="007B62CF"/>
    <w:rsid w:val="007B7A6E"/>
    <w:rsid w:val="007B7C5E"/>
    <w:rsid w:val="007C1FD8"/>
    <w:rsid w:val="007C2791"/>
    <w:rsid w:val="007C49A6"/>
    <w:rsid w:val="007C7BA2"/>
    <w:rsid w:val="007C7EEF"/>
    <w:rsid w:val="007D1901"/>
    <w:rsid w:val="007D2F17"/>
    <w:rsid w:val="007D351D"/>
    <w:rsid w:val="007D4CA3"/>
    <w:rsid w:val="007D755B"/>
    <w:rsid w:val="007E0426"/>
    <w:rsid w:val="007E1ACB"/>
    <w:rsid w:val="007E4E63"/>
    <w:rsid w:val="007E5DD5"/>
    <w:rsid w:val="007E60C9"/>
    <w:rsid w:val="007E6FF8"/>
    <w:rsid w:val="007E7F65"/>
    <w:rsid w:val="007F0D7B"/>
    <w:rsid w:val="007F1013"/>
    <w:rsid w:val="007F182A"/>
    <w:rsid w:val="007F19A7"/>
    <w:rsid w:val="007F2CFF"/>
    <w:rsid w:val="007F5D27"/>
    <w:rsid w:val="007F69F2"/>
    <w:rsid w:val="00801A81"/>
    <w:rsid w:val="00802671"/>
    <w:rsid w:val="00803F98"/>
    <w:rsid w:val="008044D4"/>
    <w:rsid w:val="0080454A"/>
    <w:rsid w:val="00806EBF"/>
    <w:rsid w:val="008071A5"/>
    <w:rsid w:val="00807F88"/>
    <w:rsid w:val="00812A61"/>
    <w:rsid w:val="00812D32"/>
    <w:rsid w:val="00812EBB"/>
    <w:rsid w:val="00814B21"/>
    <w:rsid w:val="00816BF4"/>
    <w:rsid w:val="00817225"/>
    <w:rsid w:val="00817287"/>
    <w:rsid w:val="008203EE"/>
    <w:rsid w:val="00821015"/>
    <w:rsid w:val="00821D8D"/>
    <w:rsid w:val="00821FD8"/>
    <w:rsid w:val="00822BCF"/>
    <w:rsid w:val="00822E0E"/>
    <w:rsid w:val="00823A3D"/>
    <w:rsid w:val="008246CF"/>
    <w:rsid w:val="00824EC9"/>
    <w:rsid w:val="00825C85"/>
    <w:rsid w:val="0082774E"/>
    <w:rsid w:val="00830030"/>
    <w:rsid w:val="00830279"/>
    <w:rsid w:val="00830EE9"/>
    <w:rsid w:val="008318B0"/>
    <w:rsid w:val="00832D25"/>
    <w:rsid w:val="00832DFA"/>
    <w:rsid w:val="00834885"/>
    <w:rsid w:val="00835119"/>
    <w:rsid w:val="00835E74"/>
    <w:rsid w:val="00836CF1"/>
    <w:rsid w:val="00837262"/>
    <w:rsid w:val="00840113"/>
    <w:rsid w:val="00840B8C"/>
    <w:rsid w:val="00841FB0"/>
    <w:rsid w:val="00843A8C"/>
    <w:rsid w:val="00844C37"/>
    <w:rsid w:val="008465D6"/>
    <w:rsid w:val="00846641"/>
    <w:rsid w:val="00846A84"/>
    <w:rsid w:val="008505D5"/>
    <w:rsid w:val="008513ED"/>
    <w:rsid w:val="008535C7"/>
    <w:rsid w:val="0085486B"/>
    <w:rsid w:val="00854956"/>
    <w:rsid w:val="00854F3D"/>
    <w:rsid w:val="00855664"/>
    <w:rsid w:val="00856327"/>
    <w:rsid w:val="008572F4"/>
    <w:rsid w:val="00861388"/>
    <w:rsid w:val="008615BF"/>
    <w:rsid w:val="00861849"/>
    <w:rsid w:val="00861FC6"/>
    <w:rsid w:val="00862098"/>
    <w:rsid w:val="0086337F"/>
    <w:rsid w:val="00863B30"/>
    <w:rsid w:val="008644BA"/>
    <w:rsid w:val="00864B44"/>
    <w:rsid w:val="00865D64"/>
    <w:rsid w:val="00866F4A"/>
    <w:rsid w:val="0086758F"/>
    <w:rsid w:val="00870FB4"/>
    <w:rsid w:val="008712D4"/>
    <w:rsid w:val="008712E9"/>
    <w:rsid w:val="008712EB"/>
    <w:rsid w:val="008722A5"/>
    <w:rsid w:val="0087287F"/>
    <w:rsid w:val="0087473A"/>
    <w:rsid w:val="008765D5"/>
    <w:rsid w:val="00876833"/>
    <w:rsid w:val="00877010"/>
    <w:rsid w:val="00877974"/>
    <w:rsid w:val="0087799E"/>
    <w:rsid w:val="00877CCF"/>
    <w:rsid w:val="00884AD7"/>
    <w:rsid w:val="0088519D"/>
    <w:rsid w:val="00885C6D"/>
    <w:rsid w:val="00890F5C"/>
    <w:rsid w:val="00891417"/>
    <w:rsid w:val="00891420"/>
    <w:rsid w:val="00891483"/>
    <w:rsid w:val="0089233A"/>
    <w:rsid w:val="00893EC1"/>
    <w:rsid w:val="0089489B"/>
    <w:rsid w:val="00895A9A"/>
    <w:rsid w:val="008969C9"/>
    <w:rsid w:val="008A17A2"/>
    <w:rsid w:val="008A1CB2"/>
    <w:rsid w:val="008A3C7D"/>
    <w:rsid w:val="008A45EB"/>
    <w:rsid w:val="008A4607"/>
    <w:rsid w:val="008A49AB"/>
    <w:rsid w:val="008A613D"/>
    <w:rsid w:val="008A6A7D"/>
    <w:rsid w:val="008A6B91"/>
    <w:rsid w:val="008A79A3"/>
    <w:rsid w:val="008B08A4"/>
    <w:rsid w:val="008B1666"/>
    <w:rsid w:val="008B1741"/>
    <w:rsid w:val="008B1B41"/>
    <w:rsid w:val="008B2047"/>
    <w:rsid w:val="008B24A6"/>
    <w:rsid w:val="008B3164"/>
    <w:rsid w:val="008B38C1"/>
    <w:rsid w:val="008B3F21"/>
    <w:rsid w:val="008B4599"/>
    <w:rsid w:val="008B45A2"/>
    <w:rsid w:val="008B4A78"/>
    <w:rsid w:val="008B4D22"/>
    <w:rsid w:val="008B4DF2"/>
    <w:rsid w:val="008B57EA"/>
    <w:rsid w:val="008B5C58"/>
    <w:rsid w:val="008B71E6"/>
    <w:rsid w:val="008B79E1"/>
    <w:rsid w:val="008C0F45"/>
    <w:rsid w:val="008C1188"/>
    <w:rsid w:val="008C1625"/>
    <w:rsid w:val="008C2536"/>
    <w:rsid w:val="008C2F91"/>
    <w:rsid w:val="008C367B"/>
    <w:rsid w:val="008C41D6"/>
    <w:rsid w:val="008C4DC8"/>
    <w:rsid w:val="008C550F"/>
    <w:rsid w:val="008C6047"/>
    <w:rsid w:val="008C63E6"/>
    <w:rsid w:val="008D37DE"/>
    <w:rsid w:val="008D5193"/>
    <w:rsid w:val="008E04F6"/>
    <w:rsid w:val="008E1377"/>
    <w:rsid w:val="008E1621"/>
    <w:rsid w:val="008E1949"/>
    <w:rsid w:val="008E3010"/>
    <w:rsid w:val="008E30AE"/>
    <w:rsid w:val="008E3765"/>
    <w:rsid w:val="008E4522"/>
    <w:rsid w:val="008E476D"/>
    <w:rsid w:val="008E66EE"/>
    <w:rsid w:val="008E6961"/>
    <w:rsid w:val="008E6E42"/>
    <w:rsid w:val="008E7321"/>
    <w:rsid w:val="008E7930"/>
    <w:rsid w:val="008F0846"/>
    <w:rsid w:val="008F126C"/>
    <w:rsid w:val="008F12E9"/>
    <w:rsid w:val="008F2C42"/>
    <w:rsid w:val="008F3016"/>
    <w:rsid w:val="008F5373"/>
    <w:rsid w:val="008F54E2"/>
    <w:rsid w:val="008F5ED9"/>
    <w:rsid w:val="00900B87"/>
    <w:rsid w:val="00901F12"/>
    <w:rsid w:val="009023C2"/>
    <w:rsid w:val="00902FD3"/>
    <w:rsid w:val="0090517E"/>
    <w:rsid w:val="009059B6"/>
    <w:rsid w:val="00907BC9"/>
    <w:rsid w:val="009124F5"/>
    <w:rsid w:val="0091264E"/>
    <w:rsid w:val="009131A0"/>
    <w:rsid w:val="009132B3"/>
    <w:rsid w:val="00914AC4"/>
    <w:rsid w:val="00915B09"/>
    <w:rsid w:val="00915D42"/>
    <w:rsid w:val="00915F04"/>
    <w:rsid w:val="00916241"/>
    <w:rsid w:val="0091640C"/>
    <w:rsid w:val="009165B5"/>
    <w:rsid w:val="009174AB"/>
    <w:rsid w:val="00920957"/>
    <w:rsid w:val="00920B35"/>
    <w:rsid w:val="00920C61"/>
    <w:rsid w:val="00921BC5"/>
    <w:rsid w:val="00921D1A"/>
    <w:rsid w:val="00921E28"/>
    <w:rsid w:val="00922925"/>
    <w:rsid w:val="00924AB2"/>
    <w:rsid w:val="00925CA7"/>
    <w:rsid w:val="009263D8"/>
    <w:rsid w:val="009264B0"/>
    <w:rsid w:val="0092666D"/>
    <w:rsid w:val="00926711"/>
    <w:rsid w:val="0093178A"/>
    <w:rsid w:val="009326EB"/>
    <w:rsid w:val="009327E9"/>
    <w:rsid w:val="00932E6F"/>
    <w:rsid w:val="00933852"/>
    <w:rsid w:val="0093497F"/>
    <w:rsid w:val="00935083"/>
    <w:rsid w:val="00936356"/>
    <w:rsid w:val="009371F3"/>
    <w:rsid w:val="009374F7"/>
    <w:rsid w:val="0094057B"/>
    <w:rsid w:val="00940E3A"/>
    <w:rsid w:val="009412D5"/>
    <w:rsid w:val="00941C7B"/>
    <w:rsid w:val="009429F6"/>
    <w:rsid w:val="00942BE2"/>
    <w:rsid w:val="00942D95"/>
    <w:rsid w:val="00942E0C"/>
    <w:rsid w:val="00943ABF"/>
    <w:rsid w:val="00943BC6"/>
    <w:rsid w:val="00943D5B"/>
    <w:rsid w:val="00944FE6"/>
    <w:rsid w:val="00945849"/>
    <w:rsid w:val="00946623"/>
    <w:rsid w:val="0094671F"/>
    <w:rsid w:val="0094746A"/>
    <w:rsid w:val="00947C50"/>
    <w:rsid w:val="00947C6E"/>
    <w:rsid w:val="00947F77"/>
    <w:rsid w:val="00950250"/>
    <w:rsid w:val="0095073A"/>
    <w:rsid w:val="00950918"/>
    <w:rsid w:val="00952D9F"/>
    <w:rsid w:val="00953A30"/>
    <w:rsid w:val="0096074C"/>
    <w:rsid w:val="00961AF8"/>
    <w:rsid w:val="00961EF1"/>
    <w:rsid w:val="00962939"/>
    <w:rsid w:val="00963558"/>
    <w:rsid w:val="009648DF"/>
    <w:rsid w:val="00964BE6"/>
    <w:rsid w:val="009661DF"/>
    <w:rsid w:val="00966CE1"/>
    <w:rsid w:val="009704D0"/>
    <w:rsid w:val="00970AB1"/>
    <w:rsid w:val="009732D5"/>
    <w:rsid w:val="00974DF1"/>
    <w:rsid w:val="00976D7C"/>
    <w:rsid w:val="009805EB"/>
    <w:rsid w:val="00980FBF"/>
    <w:rsid w:val="00981B7B"/>
    <w:rsid w:val="009822F3"/>
    <w:rsid w:val="009827E9"/>
    <w:rsid w:val="00983109"/>
    <w:rsid w:val="009843BD"/>
    <w:rsid w:val="00984D62"/>
    <w:rsid w:val="009854A1"/>
    <w:rsid w:val="00986D6C"/>
    <w:rsid w:val="009870DE"/>
    <w:rsid w:val="009871E2"/>
    <w:rsid w:val="00987FF8"/>
    <w:rsid w:val="0099552F"/>
    <w:rsid w:val="00995CA0"/>
    <w:rsid w:val="00996D55"/>
    <w:rsid w:val="009A016D"/>
    <w:rsid w:val="009A1047"/>
    <w:rsid w:val="009A105C"/>
    <w:rsid w:val="009A24FC"/>
    <w:rsid w:val="009A3BF9"/>
    <w:rsid w:val="009A4A0B"/>
    <w:rsid w:val="009A4B3F"/>
    <w:rsid w:val="009A5573"/>
    <w:rsid w:val="009A5705"/>
    <w:rsid w:val="009A63E0"/>
    <w:rsid w:val="009A7BC9"/>
    <w:rsid w:val="009A7F5C"/>
    <w:rsid w:val="009B0B83"/>
    <w:rsid w:val="009B106C"/>
    <w:rsid w:val="009B14A7"/>
    <w:rsid w:val="009B1C89"/>
    <w:rsid w:val="009B2CC9"/>
    <w:rsid w:val="009B2E72"/>
    <w:rsid w:val="009B32F7"/>
    <w:rsid w:val="009B4C3B"/>
    <w:rsid w:val="009B528D"/>
    <w:rsid w:val="009B5906"/>
    <w:rsid w:val="009B6045"/>
    <w:rsid w:val="009B6833"/>
    <w:rsid w:val="009B777D"/>
    <w:rsid w:val="009C04FC"/>
    <w:rsid w:val="009C1BB2"/>
    <w:rsid w:val="009C1CCD"/>
    <w:rsid w:val="009C2A80"/>
    <w:rsid w:val="009C2FA2"/>
    <w:rsid w:val="009C4B1E"/>
    <w:rsid w:val="009C7460"/>
    <w:rsid w:val="009D0CA8"/>
    <w:rsid w:val="009D1C76"/>
    <w:rsid w:val="009D26AF"/>
    <w:rsid w:val="009D67D7"/>
    <w:rsid w:val="009D6F88"/>
    <w:rsid w:val="009D7441"/>
    <w:rsid w:val="009E18B7"/>
    <w:rsid w:val="009E4AEE"/>
    <w:rsid w:val="009E5617"/>
    <w:rsid w:val="009E600D"/>
    <w:rsid w:val="009E632E"/>
    <w:rsid w:val="009E633D"/>
    <w:rsid w:val="009E64C9"/>
    <w:rsid w:val="009F0569"/>
    <w:rsid w:val="009F08C3"/>
    <w:rsid w:val="009F0C1D"/>
    <w:rsid w:val="009F0EE4"/>
    <w:rsid w:val="009F1C6D"/>
    <w:rsid w:val="009F2080"/>
    <w:rsid w:val="009F248E"/>
    <w:rsid w:val="009F3355"/>
    <w:rsid w:val="009F43D1"/>
    <w:rsid w:val="009F5B80"/>
    <w:rsid w:val="009F6919"/>
    <w:rsid w:val="009F7336"/>
    <w:rsid w:val="009F78B5"/>
    <w:rsid w:val="009F79C6"/>
    <w:rsid w:val="009F7D20"/>
    <w:rsid w:val="009F7F24"/>
    <w:rsid w:val="00A00100"/>
    <w:rsid w:val="00A03692"/>
    <w:rsid w:val="00A04CDC"/>
    <w:rsid w:val="00A067DC"/>
    <w:rsid w:val="00A1288E"/>
    <w:rsid w:val="00A12C1F"/>
    <w:rsid w:val="00A1327C"/>
    <w:rsid w:val="00A13C0B"/>
    <w:rsid w:val="00A15B06"/>
    <w:rsid w:val="00A15F39"/>
    <w:rsid w:val="00A20DA1"/>
    <w:rsid w:val="00A21DA1"/>
    <w:rsid w:val="00A227C1"/>
    <w:rsid w:val="00A22DC9"/>
    <w:rsid w:val="00A234D4"/>
    <w:rsid w:val="00A25074"/>
    <w:rsid w:val="00A270AF"/>
    <w:rsid w:val="00A27377"/>
    <w:rsid w:val="00A306C0"/>
    <w:rsid w:val="00A30996"/>
    <w:rsid w:val="00A31A7E"/>
    <w:rsid w:val="00A33274"/>
    <w:rsid w:val="00A33465"/>
    <w:rsid w:val="00A4176C"/>
    <w:rsid w:val="00A42CF1"/>
    <w:rsid w:val="00A42D21"/>
    <w:rsid w:val="00A43229"/>
    <w:rsid w:val="00A43817"/>
    <w:rsid w:val="00A43E48"/>
    <w:rsid w:val="00A4499C"/>
    <w:rsid w:val="00A452D1"/>
    <w:rsid w:val="00A45A75"/>
    <w:rsid w:val="00A46BF2"/>
    <w:rsid w:val="00A503DB"/>
    <w:rsid w:val="00A5044C"/>
    <w:rsid w:val="00A5156D"/>
    <w:rsid w:val="00A52540"/>
    <w:rsid w:val="00A52606"/>
    <w:rsid w:val="00A52DF7"/>
    <w:rsid w:val="00A54AE2"/>
    <w:rsid w:val="00A56EEB"/>
    <w:rsid w:val="00A60203"/>
    <w:rsid w:val="00A60595"/>
    <w:rsid w:val="00A606CE"/>
    <w:rsid w:val="00A61BED"/>
    <w:rsid w:val="00A630BC"/>
    <w:rsid w:val="00A63C5D"/>
    <w:rsid w:val="00A63EC2"/>
    <w:rsid w:val="00A645C4"/>
    <w:rsid w:val="00A654E7"/>
    <w:rsid w:val="00A65821"/>
    <w:rsid w:val="00A6679C"/>
    <w:rsid w:val="00A66E9B"/>
    <w:rsid w:val="00A6729F"/>
    <w:rsid w:val="00A67BF2"/>
    <w:rsid w:val="00A70615"/>
    <w:rsid w:val="00A70B6E"/>
    <w:rsid w:val="00A712CC"/>
    <w:rsid w:val="00A71D59"/>
    <w:rsid w:val="00A720D6"/>
    <w:rsid w:val="00A729FD"/>
    <w:rsid w:val="00A73A76"/>
    <w:rsid w:val="00A753F9"/>
    <w:rsid w:val="00A76792"/>
    <w:rsid w:val="00A77AF8"/>
    <w:rsid w:val="00A77F43"/>
    <w:rsid w:val="00A8212C"/>
    <w:rsid w:val="00A8286D"/>
    <w:rsid w:val="00A82F3D"/>
    <w:rsid w:val="00A8413F"/>
    <w:rsid w:val="00A861CF"/>
    <w:rsid w:val="00A86235"/>
    <w:rsid w:val="00A8668E"/>
    <w:rsid w:val="00A87596"/>
    <w:rsid w:val="00A8788A"/>
    <w:rsid w:val="00A87E27"/>
    <w:rsid w:val="00A9034E"/>
    <w:rsid w:val="00A90CCA"/>
    <w:rsid w:val="00A90E31"/>
    <w:rsid w:val="00A9307D"/>
    <w:rsid w:val="00A93261"/>
    <w:rsid w:val="00A93F2E"/>
    <w:rsid w:val="00A94170"/>
    <w:rsid w:val="00A944DC"/>
    <w:rsid w:val="00A9694A"/>
    <w:rsid w:val="00AA00D7"/>
    <w:rsid w:val="00AA4CBC"/>
    <w:rsid w:val="00AA6F7C"/>
    <w:rsid w:val="00AA7198"/>
    <w:rsid w:val="00AB1FF0"/>
    <w:rsid w:val="00AB22F4"/>
    <w:rsid w:val="00AB26D9"/>
    <w:rsid w:val="00AB2C12"/>
    <w:rsid w:val="00AB2FCC"/>
    <w:rsid w:val="00AB43EE"/>
    <w:rsid w:val="00AB583F"/>
    <w:rsid w:val="00AB69C1"/>
    <w:rsid w:val="00AB7566"/>
    <w:rsid w:val="00AC009B"/>
    <w:rsid w:val="00AC06E6"/>
    <w:rsid w:val="00AC095C"/>
    <w:rsid w:val="00AC09A3"/>
    <w:rsid w:val="00AC2BD1"/>
    <w:rsid w:val="00AC356E"/>
    <w:rsid w:val="00AC5152"/>
    <w:rsid w:val="00AC535E"/>
    <w:rsid w:val="00AC62A2"/>
    <w:rsid w:val="00AD0275"/>
    <w:rsid w:val="00AD25CF"/>
    <w:rsid w:val="00AD3523"/>
    <w:rsid w:val="00AD357C"/>
    <w:rsid w:val="00AD359B"/>
    <w:rsid w:val="00AD383C"/>
    <w:rsid w:val="00AD412C"/>
    <w:rsid w:val="00AD568D"/>
    <w:rsid w:val="00AD5734"/>
    <w:rsid w:val="00AD748C"/>
    <w:rsid w:val="00AE0934"/>
    <w:rsid w:val="00AE101B"/>
    <w:rsid w:val="00AE13E5"/>
    <w:rsid w:val="00AE1A3F"/>
    <w:rsid w:val="00AE32EB"/>
    <w:rsid w:val="00AE35B8"/>
    <w:rsid w:val="00AE3790"/>
    <w:rsid w:val="00AE405F"/>
    <w:rsid w:val="00AE4D11"/>
    <w:rsid w:val="00AE515F"/>
    <w:rsid w:val="00AE72B7"/>
    <w:rsid w:val="00AE7649"/>
    <w:rsid w:val="00AF1131"/>
    <w:rsid w:val="00AF16A8"/>
    <w:rsid w:val="00AF1893"/>
    <w:rsid w:val="00AF21C7"/>
    <w:rsid w:val="00AF225B"/>
    <w:rsid w:val="00AF4A54"/>
    <w:rsid w:val="00AF55B5"/>
    <w:rsid w:val="00AF69AD"/>
    <w:rsid w:val="00AF6D7C"/>
    <w:rsid w:val="00AF7575"/>
    <w:rsid w:val="00B0011F"/>
    <w:rsid w:val="00B0078D"/>
    <w:rsid w:val="00B0088C"/>
    <w:rsid w:val="00B01061"/>
    <w:rsid w:val="00B0186D"/>
    <w:rsid w:val="00B02184"/>
    <w:rsid w:val="00B03ED9"/>
    <w:rsid w:val="00B0467D"/>
    <w:rsid w:val="00B0496E"/>
    <w:rsid w:val="00B05599"/>
    <w:rsid w:val="00B060A8"/>
    <w:rsid w:val="00B06943"/>
    <w:rsid w:val="00B06EC5"/>
    <w:rsid w:val="00B07736"/>
    <w:rsid w:val="00B1107F"/>
    <w:rsid w:val="00B111DD"/>
    <w:rsid w:val="00B1200E"/>
    <w:rsid w:val="00B14655"/>
    <w:rsid w:val="00B15F16"/>
    <w:rsid w:val="00B1766E"/>
    <w:rsid w:val="00B17BBA"/>
    <w:rsid w:val="00B2029C"/>
    <w:rsid w:val="00B213AE"/>
    <w:rsid w:val="00B22010"/>
    <w:rsid w:val="00B233ED"/>
    <w:rsid w:val="00B24514"/>
    <w:rsid w:val="00B26D44"/>
    <w:rsid w:val="00B26FD9"/>
    <w:rsid w:val="00B33D3B"/>
    <w:rsid w:val="00B35EEF"/>
    <w:rsid w:val="00B361C1"/>
    <w:rsid w:val="00B367F3"/>
    <w:rsid w:val="00B400EE"/>
    <w:rsid w:val="00B4089D"/>
    <w:rsid w:val="00B42521"/>
    <w:rsid w:val="00B42926"/>
    <w:rsid w:val="00B43E4A"/>
    <w:rsid w:val="00B43FA0"/>
    <w:rsid w:val="00B44742"/>
    <w:rsid w:val="00B44A7B"/>
    <w:rsid w:val="00B44E05"/>
    <w:rsid w:val="00B457F7"/>
    <w:rsid w:val="00B46AA0"/>
    <w:rsid w:val="00B50718"/>
    <w:rsid w:val="00B51EF8"/>
    <w:rsid w:val="00B51FDB"/>
    <w:rsid w:val="00B527ED"/>
    <w:rsid w:val="00B54254"/>
    <w:rsid w:val="00B54AFD"/>
    <w:rsid w:val="00B555BE"/>
    <w:rsid w:val="00B55CDE"/>
    <w:rsid w:val="00B57558"/>
    <w:rsid w:val="00B57D75"/>
    <w:rsid w:val="00B60276"/>
    <w:rsid w:val="00B614C5"/>
    <w:rsid w:val="00B61A47"/>
    <w:rsid w:val="00B6205B"/>
    <w:rsid w:val="00B623E8"/>
    <w:rsid w:val="00B62F73"/>
    <w:rsid w:val="00B6355C"/>
    <w:rsid w:val="00B63A26"/>
    <w:rsid w:val="00B6583A"/>
    <w:rsid w:val="00B65A92"/>
    <w:rsid w:val="00B66C34"/>
    <w:rsid w:val="00B67D3E"/>
    <w:rsid w:val="00B71530"/>
    <w:rsid w:val="00B72A45"/>
    <w:rsid w:val="00B749CD"/>
    <w:rsid w:val="00B76FA7"/>
    <w:rsid w:val="00B8060D"/>
    <w:rsid w:val="00B809F2"/>
    <w:rsid w:val="00B8168D"/>
    <w:rsid w:val="00B826E0"/>
    <w:rsid w:val="00B83CC0"/>
    <w:rsid w:val="00B84359"/>
    <w:rsid w:val="00B87FCD"/>
    <w:rsid w:val="00B90120"/>
    <w:rsid w:val="00B90336"/>
    <w:rsid w:val="00B91B6F"/>
    <w:rsid w:val="00B91D8D"/>
    <w:rsid w:val="00B929D9"/>
    <w:rsid w:val="00B92ABC"/>
    <w:rsid w:val="00B93259"/>
    <w:rsid w:val="00B932D6"/>
    <w:rsid w:val="00B944A7"/>
    <w:rsid w:val="00B963B5"/>
    <w:rsid w:val="00B97A18"/>
    <w:rsid w:val="00B97AD7"/>
    <w:rsid w:val="00BA0913"/>
    <w:rsid w:val="00BA0DA2"/>
    <w:rsid w:val="00BA25F1"/>
    <w:rsid w:val="00BA28A4"/>
    <w:rsid w:val="00BA2E31"/>
    <w:rsid w:val="00BA3561"/>
    <w:rsid w:val="00BA3B1C"/>
    <w:rsid w:val="00BA3F34"/>
    <w:rsid w:val="00BA41BF"/>
    <w:rsid w:val="00BA441D"/>
    <w:rsid w:val="00BA48B6"/>
    <w:rsid w:val="00BA704A"/>
    <w:rsid w:val="00BB0434"/>
    <w:rsid w:val="00BB18DB"/>
    <w:rsid w:val="00BB1AF9"/>
    <w:rsid w:val="00BB26C1"/>
    <w:rsid w:val="00BB2C82"/>
    <w:rsid w:val="00BB3082"/>
    <w:rsid w:val="00BB4DE1"/>
    <w:rsid w:val="00BB6F35"/>
    <w:rsid w:val="00BB72BE"/>
    <w:rsid w:val="00BC03B6"/>
    <w:rsid w:val="00BC1D32"/>
    <w:rsid w:val="00BC24EE"/>
    <w:rsid w:val="00BC31D0"/>
    <w:rsid w:val="00BC3455"/>
    <w:rsid w:val="00BC3B2B"/>
    <w:rsid w:val="00BC3BE1"/>
    <w:rsid w:val="00BC3FB5"/>
    <w:rsid w:val="00BC3FE0"/>
    <w:rsid w:val="00BC44EA"/>
    <w:rsid w:val="00BC6B27"/>
    <w:rsid w:val="00BC7258"/>
    <w:rsid w:val="00BC7F92"/>
    <w:rsid w:val="00BD034A"/>
    <w:rsid w:val="00BD0D56"/>
    <w:rsid w:val="00BD308D"/>
    <w:rsid w:val="00BD39FB"/>
    <w:rsid w:val="00BD3A23"/>
    <w:rsid w:val="00BD3B89"/>
    <w:rsid w:val="00BD68F7"/>
    <w:rsid w:val="00BD6AD7"/>
    <w:rsid w:val="00BE06B7"/>
    <w:rsid w:val="00BE24BB"/>
    <w:rsid w:val="00BE3EDD"/>
    <w:rsid w:val="00BE560E"/>
    <w:rsid w:val="00BE5CD8"/>
    <w:rsid w:val="00BE61ED"/>
    <w:rsid w:val="00BE6989"/>
    <w:rsid w:val="00BE7FFC"/>
    <w:rsid w:val="00BF01AF"/>
    <w:rsid w:val="00BF0A5A"/>
    <w:rsid w:val="00BF0E5F"/>
    <w:rsid w:val="00BF1381"/>
    <w:rsid w:val="00BF1AC9"/>
    <w:rsid w:val="00BF1DA7"/>
    <w:rsid w:val="00BF33F7"/>
    <w:rsid w:val="00BF3FD3"/>
    <w:rsid w:val="00BF481B"/>
    <w:rsid w:val="00BF5035"/>
    <w:rsid w:val="00BF5ACD"/>
    <w:rsid w:val="00BF5DFF"/>
    <w:rsid w:val="00BF7396"/>
    <w:rsid w:val="00BF74EA"/>
    <w:rsid w:val="00BF75D2"/>
    <w:rsid w:val="00C00239"/>
    <w:rsid w:val="00C00EEB"/>
    <w:rsid w:val="00C0276C"/>
    <w:rsid w:val="00C02C90"/>
    <w:rsid w:val="00C032B1"/>
    <w:rsid w:val="00C0467D"/>
    <w:rsid w:val="00C06C3A"/>
    <w:rsid w:val="00C07AD4"/>
    <w:rsid w:val="00C10379"/>
    <w:rsid w:val="00C1053A"/>
    <w:rsid w:val="00C10B9B"/>
    <w:rsid w:val="00C11099"/>
    <w:rsid w:val="00C11ACF"/>
    <w:rsid w:val="00C1242A"/>
    <w:rsid w:val="00C129DF"/>
    <w:rsid w:val="00C12B98"/>
    <w:rsid w:val="00C13729"/>
    <w:rsid w:val="00C13DD4"/>
    <w:rsid w:val="00C142B8"/>
    <w:rsid w:val="00C14A45"/>
    <w:rsid w:val="00C154CF"/>
    <w:rsid w:val="00C16E70"/>
    <w:rsid w:val="00C1717E"/>
    <w:rsid w:val="00C17181"/>
    <w:rsid w:val="00C2150C"/>
    <w:rsid w:val="00C21F07"/>
    <w:rsid w:val="00C23C62"/>
    <w:rsid w:val="00C23E57"/>
    <w:rsid w:val="00C23EBB"/>
    <w:rsid w:val="00C24AA6"/>
    <w:rsid w:val="00C2536A"/>
    <w:rsid w:val="00C260DB"/>
    <w:rsid w:val="00C266FB"/>
    <w:rsid w:val="00C26DF3"/>
    <w:rsid w:val="00C27E29"/>
    <w:rsid w:val="00C314C5"/>
    <w:rsid w:val="00C318F4"/>
    <w:rsid w:val="00C31CFC"/>
    <w:rsid w:val="00C31DCA"/>
    <w:rsid w:val="00C31EB1"/>
    <w:rsid w:val="00C321F4"/>
    <w:rsid w:val="00C32C66"/>
    <w:rsid w:val="00C334AE"/>
    <w:rsid w:val="00C3388F"/>
    <w:rsid w:val="00C33A9B"/>
    <w:rsid w:val="00C34B1C"/>
    <w:rsid w:val="00C34EB6"/>
    <w:rsid w:val="00C3635E"/>
    <w:rsid w:val="00C368BC"/>
    <w:rsid w:val="00C36F88"/>
    <w:rsid w:val="00C374A6"/>
    <w:rsid w:val="00C41CAF"/>
    <w:rsid w:val="00C420C5"/>
    <w:rsid w:val="00C42914"/>
    <w:rsid w:val="00C4305C"/>
    <w:rsid w:val="00C434D8"/>
    <w:rsid w:val="00C44231"/>
    <w:rsid w:val="00C44C32"/>
    <w:rsid w:val="00C45527"/>
    <w:rsid w:val="00C458DA"/>
    <w:rsid w:val="00C464C3"/>
    <w:rsid w:val="00C46734"/>
    <w:rsid w:val="00C46DD8"/>
    <w:rsid w:val="00C47643"/>
    <w:rsid w:val="00C47CE5"/>
    <w:rsid w:val="00C47FC2"/>
    <w:rsid w:val="00C5064E"/>
    <w:rsid w:val="00C506FF"/>
    <w:rsid w:val="00C523F0"/>
    <w:rsid w:val="00C52DEC"/>
    <w:rsid w:val="00C53B9D"/>
    <w:rsid w:val="00C5482A"/>
    <w:rsid w:val="00C54D14"/>
    <w:rsid w:val="00C5575E"/>
    <w:rsid w:val="00C56C18"/>
    <w:rsid w:val="00C57496"/>
    <w:rsid w:val="00C6129D"/>
    <w:rsid w:val="00C616D3"/>
    <w:rsid w:val="00C617E5"/>
    <w:rsid w:val="00C63A38"/>
    <w:rsid w:val="00C63D90"/>
    <w:rsid w:val="00C643FC"/>
    <w:rsid w:val="00C649FA"/>
    <w:rsid w:val="00C66946"/>
    <w:rsid w:val="00C67986"/>
    <w:rsid w:val="00C67FB4"/>
    <w:rsid w:val="00C729DD"/>
    <w:rsid w:val="00C73996"/>
    <w:rsid w:val="00C74571"/>
    <w:rsid w:val="00C746BB"/>
    <w:rsid w:val="00C75AE5"/>
    <w:rsid w:val="00C75E7B"/>
    <w:rsid w:val="00C77C36"/>
    <w:rsid w:val="00C77CCD"/>
    <w:rsid w:val="00C81A89"/>
    <w:rsid w:val="00C81B85"/>
    <w:rsid w:val="00C81C5C"/>
    <w:rsid w:val="00C837B1"/>
    <w:rsid w:val="00C84225"/>
    <w:rsid w:val="00C85372"/>
    <w:rsid w:val="00C86998"/>
    <w:rsid w:val="00C8714C"/>
    <w:rsid w:val="00C91D17"/>
    <w:rsid w:val="00C91FE5"/>
    <w:rsid w:val="00C92441"/>
    <w:rsid w:val="00C92B8B"/>
    <w:rsid w:val="00C93831"/>
    <w:rsid w:val="00C96148"/>
    <w:rsid w:val="00C977AE"/>
    <w:rsid w:val="00CA0562"/>
    <w:rsid w:val="00CA0E2A"/>
    <w:rsid w:val="00CA1940"/>
    <w:rsid w:val="00CA1CE2"/>
    <w:rsid w:val="00CA24D1"/>
    <w:rsid w:val="00CA3EC4"/>
    <w:rsid w:val="00CA5CC7"/>
    <w:rsid w:val="00CA61A3"/>
    <w:rsid w:val="00CA7022"/>
    <w:rsid w:val="00CA729D"/>
    <w:rsid w:val="00CA73D9"/>
    <w:rsid w:val="00CA74C5"/>
    <w:rsid w:val="00CB32C6"/>
    <w:rsid w:val="00CB4D1D"/>
    <w:rsid w:val="00CB5042"/>
    <w:rsid w:val="00CB5768"/>
    <w:rsid w:val="00CB75B8"/>
    <w:rsid w:val="00CB7691"/>
    <w:rsid w:val="00CB77D2"/>
    <w:rsid w:val="00CC088F"/>
    <w:rsid w:val="00CC1210"/>
    <w:rsid w:val="00CC131C"/>
    <w:rsid w:val="00CC13B1"/>
    <w:rsid w:val="00CC1DC4"/>
    <w:rsid w:val="00CC3111"/>
    <w:rsid w:val="00CC3A92"/>
    <w:rsid w:val="00CC58F8"/>
    <w:rsid w:val="00CC5C0B"/>
    <w:rsid w:val="00CC6C07"/>
    <w:rsid w:val="00CC7389"/>
    <w:rsid w:val="00CC7468"/>
    <w:rsid w:val="00CC7EFD"/>
    <w:rsid w:val="00CD225B"/>
    <w:rsid w:val="00CD4C44"/>
    <w:rsid w:val="00CD4E1E"/>
    <w:rsid w:val="00CD5C91"/>
    <w:rsid w:val="00CE002F"/>
    <w:rsid w:val="00CE08F7"/>
    <w:rsid w:val="00CE0AFF"/>
    <w:rsid w:val="00CE0F91"/>
    <w:rsid w:val="00CE1438"/>
    <w:rsid w:val="00CE26FD"/>
    <w:rsid w:val="00CE37E3"/>
    <w:rsid w:val="00CE40BD"/>
    <w:rsid w:val="00CE48A0"/>
    <w:rsid w:val="00CE4B19"/>
    <w:rsid w:val="00CE58AE"/>
    <w:rsid w:val="00CE5C5E"/>
    <w:rsid w:val="00CF1E0B"/>
    <w:rsid w:val="00CF23E0"/>
    <w:rsid w:val="00CF5442"/>
    <w:rsid w:val="00CF587A"/>
    <w:rsid w:val="00CF69EF"/>
    <w:rsid w:val="00CF7EE6"/>
    <w:rsid w:val="00D001DA"/>
    <w:rsid w:val="00D008DC"/>
    <w:rsid w:val="00D01A20"/>
    <w:rsid w:val="00D02125"/>
    <w:rsid w:val="00D025BE"/>
    <w:rsid w:val="00D03CF7"/>
    <w:rsid w:val="00D05F15"/>
    <w:rsid w:val="00D06F62"/>
    <w:rsid w:val="00D105D7"/>
    <w:rsid w:val="00D11897"/>
    <w:rsid w:val="00D13AF9"/>
    <w:rsid w:val="00D153AC"/>
    <w:rsid w:val="00D15C0D"/>
    <w:rsid w:val="00D1681F"/>
    <w:rsid w:val="00D168F2"/>
    <w:rsid w:val="00D16F32"/>
    <w:rsid w:val="00D17E86"/>
    <w:rsid w:val="00D2149B"/>
    <w:rsid w:val="00D22F60"/>
    <w:rsid w:val="00D23D5D"/>
    <w:rsid w:val="00D245B0"/>
    <w:rsid w:val="00D24CB8"/>
    <w:rsid w:val="00D268EF"/>
    <w:rsid w:val="00D27A32"/>
    <w:rsid w:val="00D27CDC"/>
    <w:rsid w:val="00D30692"/>
    <w:rsid w:val="00D30D4D"/>
    <w:rsid w:val="00D32427"/>
    <w:rsid w:val="00D32785"/>
    <w:rsid w:val="00D34B34"/>
    <w:rsid w:val="00D34D90"/>
    <w:rsid w:val="00D3538E"/>
    <w:rsid w:val="00D354ED"/>
    <w:rsid w:val="00D36CDB"/>
    <w:rsid w:val="00D372AA"/>
    <w:rsid w:val="00D3780F"/>
    <w:rsid w:val="00D407D3"/>
    <w:rsid w:val="00D40D26"/>
    <w:rsid w:val="00D414D1"/>
    <w:rsid w:val="00D41739"/>
    <w:rsid w:val="00D41BA1"/>
    <w:rsid w:val="00D42869"/>
    <w:rsid w:val="00D435B3"/>
    <w:rsid w:val="00D4416D"/>
    <w:rsid w:val="00D449C2"/>
    <w:rsid w:val="00D457F4"/>
    <w:rsid w:val="00D45EA3"/>
    <w:rsid w:val="00D4757D"/>
    <w:rsid w:val="00D4768B"/>
    <w:rsid w:val="00D50191"/>
    <w:rsid w:val="00D51002"/>
    <w:rsid w:val="00D529A0"/>
    <w:rsid w:val="00D52E23"/>
    <w:rsid w:val="00D5467C"/>
    <w:rsid w:val="00D5559B"/>
    <w:rsid w:val="00D558CA"/>
    <w:rsid w:val="00D563B4"/>
    <w:rsid w:val="00D56828"/>
    <w:rsid w:val="00D622EE"/>
    <w:rsid w:val="00D62FDA"/>
    <w:rsid w:val="00D6462F"/>
    <w:rsid w:val="00D647A8"/>
    <w:rsid w:val="00D64E3A"/>
    <w:rsid w:val="00D64EF8"/>
    <w:rsid w:val="00D67816"/>
    <w:rsid w:val="00D701F5"/>
    <w:rsid w:val="00D70D75"/>
    <w:rsid w:val="00D739FB"/>
    <w:rsid w:val="00D74DF4"/>
    <w:rsid w:val="00D759C6"/>
    <w:rsid w:val="00D81FF8"/>
    <w:rsid w:val="00D83127"/>
    <w:rsid w:val="00D847B7"/>
    <w:rsid w:val="00D84AB7"/>
    <w:rsid w:val="00D84EED"/>
    <w:rsid w:val="00D84F60"/>
    <w:rsid w:val="00D85125"/>
    <w:rsid w:val="00D858B7"/>
    <w:rsid w:val="00D8594B"/>
    <w:rsid w:val="00D86A73"/>
    <w:rsid w:val="00D87E41"/>
    <w:rsid w:val="00D902B6"/>
    <w:rsid w:val="00D908DC"/>
    <w:rsid w:val="00D90A72"/>
    <w:rsid w:val="00D91098"/>
    <w:rsid w:val="00D9193A"/>
    <w:rsid w:val="00D91E7D"/>
    <w:rsid w:val="00D93E11"/>
    <w:rsid w:val="00D96C1A"/>
    <w:rsid w:val="00D96D37"/>
    <w:rsid w:val="00D96E81"/>
    <w:rsid w:val="00D97415"/>
    <w:rsid w:val="00DA315E"/>
    <w:rsid w:val="00DA3A9A"/>
    <w:rsid w:val="00DA3F23"/>
    <w:rsid w:val="00DA5135"/>
    <w:rsid w:val="00DA54D0"/>
    <w:rsid w:val="00DA7F2A"/>
    <w:rsid w:val="00DB0806"/>
    <w:rsid w:val="00DB15F1"/>
    <w:rsid w:val="00DB27E9"/>
    <w:rsid w:val="00DB2C52"/>
    <w:rsid w:val="00DB3A9C"/>
    <w:rsid w:val="00DB4441"/>
    <w:rsid w:val="00DB5487"/>
    <w:rsid w:val="00DB56F5"/>
    <w:rsid w:val="00DB5D3C"/>
    <w:rsid w:val="00DB665C"/>
    <w:rsid w:val="00DB69E8"/>
    <w:rsid w:val="00DB6C79"/>
    <w:rsid w:val="00DB7708"/>
    <w:rsid w:val="00DC1769"/>
    <w:rsid w:val="00DC3741"/>
    <w:rsid w:val="00DC53D7"/>
    <w:rsid w:val="00DC5F63"/>
    <w:rsid w:val="00DC630B"/>
    <w:rsid w:val="00DC6A3E"/>
    <w:rsid w:val="00DC6D57"/>
    <w:rsid w:val="00DD1266"/>
    <w:rsid w:val="00DD27AA"/>
    <w:rsid w:val="00DD37CC"/>
    <w:rsid w:val="00DD3B2B"/>
    <w:rsid w:val="00DD3FD2"/>
    <w:rsid w:val="00DD4B43"/>
    <w:rsid w:val="00DD54A9"/>
    <w:rsid w:val="00DD5CBD"/>
    <w:rsid w:val="00DD60C2"/>
    <w:rsid w:val="00DD7B4E"/>
    <w:rsid w:val="00DE0B0B"/>
    <w:rsid w:val="00DE0FAB"/>
    <w:rsid w:val="00DE1520"/>
    <w:rsid w:val="00DE2426"/>
    <w:rsid w:val="00DE4D94"/>
    <w:rsid w:val="00DE5DC5"/>
    <w:rsid w:val="00DE6A78"/>
    <w:rsid w:val="00DF1259"/>
    <w:rsid w:val="00DF482D"/>
    <w:rsid w:val="00DF5637"/>
    <w:rsid w:val="00DF5C3C"/>
    <w:rsid w:val="00DF5D7F"/>
    <w:rsid w:val="00DF6795"/>
    <w:rsid w:val="00E011F4"/>
    <w:rsid w:val="00E012B9"/>
    <w:rsid w:val="00E017F8"/>
    <w:rsid w:val="00E01AC9"/>
    <w:rsid w:val="00E01E7A"/>
    <w:rsid w:val="00E0342C"/>
    <w:rsid w:val="00E07618"/>
    <w:rsid w:val="00E07A15"/>
    <w:rsid w:val="00E07F33"/>
    <w:rsid w:val="00E1114D"/>
    <w:rsid w:val="00E114CE"/>
    <w:rsid w:val="00E11CA8"/>
    <w:rsid w:val="00E123A6"/>
    <w:rsid w:val="00E12C79"/>
    <w:rsid w:val="00E12CD1"/>
    <w:rsid w:val="00E13E6A"/>
    <w:rsid w:val="00E14E06"/>
    <w:rsid w:val="00E161D1"/>
    <w:rsid w:val="00E16688"/>
    <w:rsid w:val="00E16EBA"/>
    <w:rsid w:val="00E1714D"/>
    <w:rsid w:val="00E2049A"/>
    <w:rsid w:val="00E20767"/>
    <w:rsid w:val="00E20834"/>
    <w:rsid w:val="00E20B34"/>
    <w:rsid w:val="00E21C8E"/>
    <w:rsid w:val="00E22269"/>
    <w:rsid w:val="00E23BA0"/>
    <w:rsid w:val="00E246C0"/>
    <w:rsid w:val="00E24F06"/>
    <w:rsid w:val="00E268BF"/>
    <w:rsid w:val="00E26E58"/>
    <w:rsid w:val="00E26F6B"/>
    <w:rsid w:val="00E27CF2"/>
    <w:rsid w:val="00E27E5C"/>
    <w:rsid w:val="00E27F2E"/>
    <w:rsid w:val="00E31280"/>
    <w:rsid w:val="00E33B78"/>
    <w:rsid w:val="00E33C9A"/>
    <w:rsid w:val="00E34398"/>
    <w:rsid w:val="00E34FFC"/>
    <w:rsid w:val="00E37AFF"/>
    <w:rsid w:val="00E4114A"/>
    <w:rsid w:val="00E4136A"/>
    <w:rsid w:val="00E425F6"/>
    <w:rsid w:val="00E42D33"/>
    <w:rsid w:val="00E44491"/>
    <w:rsid w:val="00E445DE"/>
    <w:rsid w:val="00E44DCB"/>
    <w:rsid w:val="00E452AC"/>
    <w:rsid w:val="00E456D9"/>
    <w:rsid w:val="00E45EFA"/>
    <w:rsid w:val="00E47D63"/>
    <w:rsid w:val="00E504B5"/>
    <w:rsid w:val="00E50B8F"/>
    <w:rsid w:val="00E52082"/>
    <w:rsid w:val="00E5260D"/>
    <w:rsid w:val="00E527DA"/>
    <w:rsid w:val="00E528D5"/>
    <w:rsid w:val="00E5315D"/>
    <w:rsid w:val="00E5472D"/>
    <w:rsid w:val="00E56345"/>
    <w:rsid w:val="00E56569"/>
    <w:rsid w:val="00E5661E"/>
    <w:rsid w:val="00E57A32"/>
    <w:rsid w:val="00E601B6"/>
    <w:rsid w:val="00E603A4"/>
    <w:rsid w:val="00E603C8"/>
    <w:rsid w:val="00E618E9"/>
    <w:rsid w:val="00E61B65"/>
    <w:rsid w:val="00E62099"/>
    <w:rsid w:val="00E6221D"/>
    <w:rsid w:val="00E62A5A"/>
    <w:rsid w:val="00E6340D"/>
    <w:rsid w:val="00E64F44"/>
    <w:rsid w:val="00E65229"/>
    <w:rsid w:val="00E653AF"/>
    <w:rsid w:val="00E65963"/>
    <w:rsid w:val="00E65AB0"/>
    <w:rsid w:val="00E6740F"/>
    <w:rsid w:val="00E716A2"/>
    <w:rsid w:val="00E71D70"/>
    <w:rsid w:val="00E73C2D"/>
    <w:rsid w:val="00E74669"/>
    <w:rsid w:val="00E753C4"/>
    <w:rsid w:val="00E75447"/>
    <w:rsid w:val="00E75DFF"/>
    <w:rsid w:val="00E76223"/>
    <w:rsid w:val="00E77FAD"/>
    <w:rsid w:val="00E8051C"/>
    <w:rsid w:val="00E816C6"/>
    <w:rsid w:val="00E82154"/>
    <w:rsid w:val="00E826E8"/>
    <w:rsid w:val="00E84024"/>
    <w:rsid w:val="00E851A3"/>
    <w:rsid w:val="00E85A0E"/>
    <w:rsid w:val="00E85A76"/>
    <w:rsid w:val="00E85BEF"/>
    <w:rsid w:val="00E86F5D"/>
    <w:rsid w:val="00E8725E"/>
    <w:rsid w:val="00E8728A"/>
    <w:rsid w:val="00E87F77"/>
    <w:rsid w:val="00E90E5C"/>
    <w:rsid w:val="00E94A29"/>
    <w:rsid w:val="00E952A3"/>
    <w:rsid w:val="00E95665"/>
    <w:rsid w:val="00E96648"/>
    <w:rsid w:val="00E9739D"/>
    <w:rsid w:val="00E97924"/>
    <w:rsid w:val="00E97BF6"/>
    <w:rsid w:val="00EA0641"/>
    <w:rsid w:val="00EA1638"/>
    <w:rsid w:val="00EA3A9D"/>
    <w:rsid w:val="00EA6B07"/>
    <w:rsid w:val="00EB071D"/>
    <w:rsid w:val="00EB1F27"/>
    <w:rsid w:val="00EB3E9A"/>
    <w:rsid w:val="00EB48D3"/>
    <w:rsid w:val="00EB4ADA"/>
    <w:rsid w:val="00EB5899"/>
    <w:rsid w:val="00EB6CDA"/>
    <w:rsid w:val="00EB6FEE"/>
    <w:rsid w:val="00EC2100"/>
    <w:rsid w:val="00EC3380"/>
    <w:rsid w:val="00EC3ED5"/>
    <w:rsid w:val="00EC4285"/>
    <w:rsid w:val="00EC56DC"/>
    <w:rsid w:val="00EC6F20"/>
    <w:rsid w:val="00ED12C4"/>
    <w:rsid w:val="00ED1792"/>
    <w:rsid w:val="00ED37F1"/>
    <w:rsid w:val="00ED3D20"/>
    <w:rsid w:val="00ED3FD1"/>
    <w:rsid w:val="00ED6EC4"/>
    <w:rsid w:val="00EE094C"/>
    <w:rsid w:val="00EE1834"/>
    <w:rsid w:val="00EE33F9"/>
    <w:rsid w:val="00EE36DD"/>
    <w:rsid w:val="00EE3D89"/>
    <w:rsid w:val="00EE4695"/>
    <w:rsid w:val="00EE7128"/>
    <w:rsid w:val="00EE72C5"/>
    <w:rsid w:val="00EE7A3C"/>
    <w:rsid w:val="00EE7EB5"/>
    <w:rsid w:val="00EF16D5"/>
    <w:rsid w:val="00EF1A43"/>
    <w:rsid w:val="00EF3468"/>
    <w:rsid w:val="00EF3E78"/>
    <w:rsid w:val="00EF3F93"/>
    <w:rsid w:val="00EF4632"/>
    <w:rsid w:val="00EF4AD6"/>
    <w:rsid w:val="00EF792B"/>
    <w:rsid w:val="00F00291"/>
    <w:rsid w:val="00F002E3"/>
    <w:rsid w:val="00F003ED"/>
    <w:rsid w:val="00F00CC4"/>
    <w:rsid w:val="00F01876"/>
    <w:rsid w:val="00F02263"/>
    <w:rsid w:val="00F02D58"/>
    <w:rsid w:val="00F05D08"/>
    <w:rsid w:val="00F062A5"/>
    <w:rsid w:val="00F07DB3"/>
    <w:rsid w:val="00F105AD"/>
    <w:rsid w:val="00F1071C"/>
    <w:rsid w:val="00F126EF"/>
    <w:rsid w:val="00F15622"/>
    <w:rsid w:val="00F15AB8"/>
    <w:rsid w:val="00F17170"/>
    <w:rsid w:val="00F17D82"/>
    <w:rsid w:val="00F2116E"/>
    <w:rsid w:val="00F21898"/>
    <w:rsid w:val="00F22566"/>
    <w:rsid w:val="00F23197"/>
    <w:rsid w:val="00F24CC6"/>
    <w:rsid w:val="00F261CB"/>
    <w:rsid w:val="00F27EBB"/>
    <w:rsid w:val="00F27FC8"/>
    <w:rsid w:val="00F313EA"/>
    <w:rsid w:val="00F335C0"/>
    <w:rsid w:val="00F33829"/>
    <w:rsid w:val="00F353F0"/>
    <w:rsid w:val="00F35906"/>
    <w:rsid w:val="00F36175"/>
    <w:rsid w:val="00F36205"/>
    <w:rsid w:val="00F367CF"/>
    <w:rsid w:val="00F36A10"/>
    <w:rsid w:val="00F40BE2"/>
    <w:rsid w:val="00F41B1B"/>
    <w:rsid w:val="00F4231B"/>
    <w:rsid w:val="00F44F01"/>
    <w:rsid w:val="00F45F5B"/>
    <w:rsid w:val="00F478C4"/>
    <w:rsid w:val="00F50250"/>
    <w:rsid w:val="00F50A5F"/>
    <w:rsid w:val="00F50DE5"/>
    <w:rsid w:val="00F50EEA"/>
    <w:rsid w:val="00F510C4"/>
    <w:rsid w:val="00F516D1"/>
    <w:rsid w:val="00F5299A"/>
    <w:rsid w:val="00F52D46"/>
    <w:rsid w:val="00F5343B"/>
    <w:rsid w:val="00F53E63"/>
    <w:rsid w:val="00F547DE"/>
    <w:rsid w:val="00F54B2A"/>
    <w:rsid w:val="00F56EF8"/>
    <w:rsid w:val="00F5711B"/>
    <w:rsid w:val="00F57971"/>
    <w:rsid w:val="00F60085"/>
    <w:rsid w:val="00F60D49"/>
    <w:rsid w:val="00F61534"/>
    <w:rsid w:val="00F61DD3"/>
    <w:rsid w:val="00F63781"/>
    <w:rsid w:val="00F6641C"/>
    <w:rsid w:val="00F6686D"/>
    <w:rsid w:val="00F66914"/>
    <w:rsid w:val="00F670E2"/>
    <w:rsid w:val="00F67ED5"/>
    <w:rsid w:val="00F70011"/>
    <w:rsid w:val="00F70BF5"/>
    <w:rsid w:val="00F71581"/>
    <w:rsid w:val="00F731E5"/>
    <w:rsid w:val="00F736ED"/>
    <w:rsid w:val="00F73EBA"/>
    <w:rsid w:val="00F73F79"/>
    <w:rsid w:val="00F76D89"/>
    <w:rsid w:val="00F80276"/>
    <w:rsid w:val="00F814C8"/>
    <w:rsid w:val="00F821D3"/>
    <w:rsid w:val="00F82663"/>
    <w:rsid w:val="00F82C01"/>
    <w:rsid w:val="00F837DC"/>
    <w:rsid w:val="00F842E1"/>
    <w:rsid w:val="00F851C5"/>
    <w:rsid w:val="00F85FF4"/>
    <w:rsid w:val="00F8658E"/>
    <w:rsid w:val="00F8684A"/>
    <w:rsid w:val="00F90B59"/>
    <w:rsid w:val="00F90D5D"/>
    <w:rsid w:val="00F91810"/>
    <w:rsid w:val="00F928B8"/>
    <w:rsid w:val="00F9300B"/>
    <w:rsid w:val="00F93CEB"/>
    <w:rsid w:val="00F94C0B"/>
    <w:rsid w:val="00F94F6D"/>
    <w:rsid w:val="00F94FD3"/>
    <w:rsid w:val="00F955E0"/>
    <w:rsid w:val="00F9584D"/>
    <w:rsid w:val="00F96F9B"/>
    <w:rsid w:val="00F97732"/>
    <w:rsid w:val="00FA1090"/>
    <w:rsid w:val="00FA142A"/>
    <w:rsid w:val="00FA23BD"/>
    <w:rsid w:val="00FA3692"/>
    <w:rsid w:val="00FA3B9E"/>
    <w:rsid w:val="00FA48F8"/>
    <w:rsid w:val="00FA4B95"/>
    <w:rsid w:val="00FA4CE7"/>
    <w:rsid w:val="00FA4DA6"/>
    <w:rsid w:val="00FA4E37"/>
    <w:rsid w:val="00FA5967"/>
    <w:rsid w:val="00FA7575"/>
    <w:rsid w:val="00FB1539"/>
    <w:rsid w:val="00FB1C7F"/>
    <w:rsid w:val="00FB4886"/>
    <w:rsid w:val="00FB4D79"/>
    <w:rsid w:val="00FB736D"/>
    <w:rsid w:val="00FB7DA0"/>
    <w:rsid w:val="00FC0498"/>
    <w:rsid w:val="00FC1B7C"/>
    <w:rsid w:val="00FC39E1"/>
    <w:rsid w:val="00FC40BC"/>
    <w:rsid w:val="00FC41DE"/>
    <w:rsid w:val="00FC4A7F"/>
    <w:rsid w:val="00FC56B0"/>
    <w:rsid w:val="00FC74BB"/>
    <w:rsid w:val="00FC7ED8"/>
    <w:rsid w:val="00FD269F"/>
    <w:rsid w:val="00FD2BD6"/>
    <w:rsid w:val="00FD3AC4"/>
    <w:rsid w:val="00FD3F7F"/>
    <w:rsid w:val="00FD40E8"/>
    <w:rsid w:val="00FD470B"/>
    <w:rsid w:val="00FD49C0"/>
    <w:rsid w:val="00FD5265"/>
    <w:rsid w:val="00FD655B"/>
    <w:rsid w:val="00FD7722"/>
    <w:rsid w:val="00FE2BC1"/>
    <w:rsid w:val="00FE34B8"/>
    <w:rsid w:val="00FE3A41"/>
    <w:rsid w:val="00FE3E4B"/>
    <w:rsid w:val="00FE5583"/>
    <w:rsid w:val="00FE6DD3"/>
    <w:rsid w:val="00FF35E6"/>
    <w:rsid w:val="00FF3EE5"/>
    <w:rsid w:val="00FF56AD"/>
    <w:rsid w:val="00FF6E94"/>
    <w:rsid w:val="00FF74FF"/>
    <w:rsid w:val="01209830"/>
    <w:rsid w:val="015B1881"/>
    <w:rsid w:val="01B64C87"/>
    <w:rsid w:val="0211385C"/>
    <w:rsid w:val="021203E1"/>
    <w:rsid w:val="026C954E"/>
    <w:rsid w:val="02EDAE1D"/>
    <w:rsid w:val="033203AF"/>
    <w:rsid w:val="036D4997"/>
    <w:rsid w:val="03754835"/>
    <w:rsid w:val="03B6D16E"/>
    <w:rsid w:val="04A854D0"/>
    <w:rsid w:val="05160D9C"/>
    <w:rsid w:val="0517C32D"/>
    <w:rsid w:val="064711B0"/>
    <w:rsid w:val="065D7337"/>
    <w:rsid w:val="066354FA"/>
    <w:rsid w:val="0666C318"/>
    <w:rsid w:val="06758A49"/>
    <w:rsid w:val="06B3B97F"/>
    <w:rsid w:val="06C71581"/>
    <w:rsid w:val="06CFBA2D"/>
    <w:rsid w:val="06E4A97F"/>
    <w:rsid w:val="06E86961"/>
    <w:rsid w:val="06F46D41"/>
    <w:rsid w:val="071B8CC5"/>
    <w:rsid w:val="075A6F90"/>
    <w:rsid w:val="077FA05E"/>
    <w:rsid w:val="077FFE36"/>
    <w:rsid w:val="07C41114"/>
    <w:rsid w:val="07DD35C5"/>
    <w:rsid w:val="07F94398"/>
    <w:rsid w:val="083ABA47"/>
    <w:rsid w:val="08A67263"/>
    <w:rsid w:val="08B75D26"/>
    <w:rsid w:val="08C03BDA"/>
    <w:rsid w:val="08D835E1"/>
    <w:rsid w:val="08F5E6ED"/>
    <w:rsid w:val="0922F106"/>
    <w:rsid w:val="0928EE2C"/>
    <w:rsid w:val="09601C2D"/>
    <w:rsid w:val="098AEE3C"/>
    <w:rsid w:val="09FFC090"/>
    <w:rsid w:val="0A2FFC7A"/>
    <w:rsid w:val="0A3DFCC9"/>
    <w:rsid w:val="0A5D56C4"/>
    <w:rsid w:val="0A9D9DAA"/>
    <w:rsid w:val="0ABA3689"/>
    <w:rsid w:val="0B1352E3"/>
    <w:rsid w:val="0BA0FA68"/>
    <w:rsid w:val="0BD195DE"/>
    <w:rsid w:val="0BEEFDE8"/>
    <w:rsid w:val="0BFC29E7"/>
    <w:rsid w:val="0C082645"/>
    <w:rsid w:val="0C53EA69"/>
    <w:rsid w:val="0C9952CF"/>
    <w:rsid w:val="0D1E6ABA"/>
    <w:rsid w:val="0D6A2B6E"/>
    <w:rsid w:val="0E58D652"/>
    <w:rsid w:val="0E6A57B1"/>
    <w:rsid w:val="0E6D14AC"/>
    <w:rsid w:val="0E9FEF5E"/>
    <w:rsid w:val="0EACD730"/>
    <w:rsid w:val="0EBB46EA"/>
    <w:rsid w:val="0F036D9D"/>
    <w:rsid w:val="0F0BEE8F"/>
    <w:rsid w:val="0F0F9423"/>
    <w:rsid w:val="0F5D9311"/>
    <w:rsid w:val="0F74B64C"/>
    <w:rsid w:val="0F8AC706"/>
    <w:rsid w:val="0FACF916"/>
    <w:rsid w:val="0FBBA381"/>
    <w:rsid w:val="1028168D"/>
    <w:rsid w:val="102C0FA9"/>
    <w:rsid w:val="10B5D299"/>
    <w:rsid w:val="11269767"/>
    <w:rsid w:val="118AC813"/>
    <w:rsid w:val="11E477F2"/>
    <w:rsid w:val="123C1152"/>
    <w:rsid w:val="12587A16"/>
    <w:rsid w:val="1297A5A5"/>
    <w:rsid w:val="12E2E8FC"/>
    <w:rsid w:val="13665FD9"/>
    <w:rsid w:val="138C551A"/>
    <w:rsid w:val="140A0360"/>
    <w:rsid w:val="140AA5DB"/>
    <w:rsid w:val="14A0590A"/>
    <w:rsid w:val="14B8D53D"/>
    <w:rsid w:val="14C268D5"/>
    <w:rsid w:val="1597200A"/>
    <w:rsid w:val="15C313B5"/>
    <w:rsid w:val="16739701"/>
    <w:rsid w:val="16C487FA"/>
    <w:rsid w:val="16C83B54"/>
    <w:rsid w:val="16F4433B"/>
    <w:rsid w:val="17576ABE"/>
    <w:rsid w:val="176F67E1"/>
    <w:rsid w:val="17878CC5"/>
    <w:rsid w:val="1807A61E"/>
    <w:rsid w:val="18109174"/>
    <w:rsid w:val="189E8B30"/>
    <w:rsid w:val="193F1AC2"/>
    <w:rsid w:val="1A0363B8"/>
    <w:rsid w:val="1A213334"/>
    <w:rsid w:val="1A7437F4"/>
    <w:rsid w:val="1A9CEA29"/>
    <w:rsid w:val="1AB8A76E"/>
    <w:rsid w:val="1B25CD93"/>
    <w:rsid w:val="1B3F46E0"/>
    <w:rsid w:val="1BDD3224"/>
    <w:rsid w:val="1BF638CF"/>
    <w:rsid w:val="1C26C417"/>
    <w:rsid w:val="1C740B75"/>
    <w:rsid w:val="1C80FE2C"/>
    <w:rsid w:val="1C8B29F2"/>
    <w:rsid w:val="1D5F6C3B"/>
    <w:rsid w:val="1D670268"/>
    <w:rsid w:val="1DB99A9D"/>
    <w:rsid w:val="1E7A04EB"/>
    <w:rsid w:val="1E86966C"/>
    <w:rsid w:val="1E94B506"/>
    <w:rsid w:val="1EA1F6F2"/>
    <w:rsid w:val="1F4CD557"/>
    <w:rsid w:val="1FD11A18"/>
    <w:rsid w:val="20203BBE"/>
    <w:rsid w:val="202266CD"/>
    <w:rsid w:val="204D8EF5"/>
    <w:rsid w:val="20E56513"/>
    <w:rsid w:val="2183BD0A"/>
    <w:rsid w:val="2189A943"/>
    <w:rsid w:val="21AE8864"/>
    <w:rsid w:val="21ED8026"/>
    <w:rsid w:val="221DC36D"/>
    <w:rsid w:val="22BB081B"/>
    <w:rsid w:val="22E21ED1"/>
    <w:rsid w:val="22F9F485"/>
    <w:rsid w:val="2306A2BB"/>
    <w:rsid w:val="23169872"/>
    <w:rsid w:val="2318788B"/>
    <w:rsid w:val="232559B1"/>
    <w:rsid w:val="23312994"/>
    <w:rsid w:val="2347C1DF"/>
    <w:rsid w:val="23682629"/>
    <w:rsid w:val="236EB2C7"/>
    <w:rsid w:val="2397CCE3"/>
    <w:rsid w:val="2483D8FE"/>
    <w:rsid w:val="24A4D1D5"/>
    <w:rsid w:val="24B73A99"/>
    <w:rsid w:val="24C64E0C"/>
    <w:rsid w:val="250B13A4"/>
    <w:rsid w:val="25339D44"/>
    <w:rsid w:val="2628E4BD"/>
    <w:rsid w:val="2636B04A"/>
    <w:rsid w:val="26A2D308"/>
    <w:rsid w:val="26AAC991"/>
    <w:rsid w:val="26C0A2D5"/>
    <w:rsid w:val="26C7536C"/>
    <w:rsid w:val="26F5ED36"/>
    <w:rsid w:val="2707A3C2"/>
    <w:rsid w:val="279C1552"/>
    <w:rsid w:val="27FB536B"/>
    <w:rsid w:val="281A3B9F"/>
    <w:rsid w:val="282D78B2"/>
    <w:rsid w:val="2864158C"/>
    <w:rsid w:val="298E7296"/>
    <w:rsid w:val="2A3E29E5"/>
    <w:rsid w:val="2A3F4484"/>
    <w:rsid w:val="2A71199E"/>
    <w:rsid w:val="2B03AD0E"/>
    <w:rsid w:val="2B2B19F1"/>
    <w:rsid w:val="2B5A0FB1"/>
    <w:rsid w:val="2B5BFCD8"/>
    <w:rsid w:val="2B68F881"/>
    <w:rsid w:val="2C27594A"/>
    <w:rsid w:val="2C32A435"/>
    <w:rsid w:val="2C4C8763"/>
    <w:rsid w:val="2CD6BFC1"/>
    <w:rsid w:val="2CF36362"/>
    <w:rsid w:val="2D932A7A"/>
    <w:rsid w:val="2D9538E3"/>
    <w:rsid w:val="2DA3EDA6"/>
    <w:rsid w:val="2E2A8496"/>
    <w:rsid w:val="2E2B5D3D"/>
    <w:rsid w:val="2E40735B"/>
    <w:rsid w:val="2EB69D69"/>
    <w:rsid w:val="2F0B1B5A"/>
    <w:rsid w:val="2F3FBE07"/>
    <w:rsid w:val="2F67A602"/>
    <w:rsid w:val="2F7E3779"/>
    <w:rsid w:val="30730EDB"/>
    <w:rsid w:val="30BB4DAE"/>
    <w:rsid w:val="31060DA3"/>
    <w:rsid w:val="312143C7"/>
    <w:rsid w:val="3152E2BF"/>
    <w:rsid w:val="3163D634"/>
    <w:rsid w:val="3163F294"/>
    <w:rsid w:val="31813318"/>
    <w:rsid w:val="31BD50D4"/>
    <w:rsid w:val="32FFC2F5"/>
    <w:rsid w:val="33053BE9"/>
    <w:rsid w:val="335CAB72"/>
    <w:rsid w:val="33D6D6DE"/>
    <w:rsid w:val="345B3E5B"/>
    <w:rsid w:val="3489B2E6"/>
    <w:rsid w:val="349B9356"/>
    <w:rsid w:val="34B3BE99"/>
    <w:rsid w:val="3632B858"/>
    <w:rsid w:val="364D840B"/>
    <w:rsid w:val="365AE18D"/>
    <w:rsid w:val="365E6CEC"/>
    <w:rsid w:val="374A4259"/>
    <w:rsid w:val="379F6E1B"/>
    <w:rsid w:val="37C7321B"/>
    <w:rsid w:val="37E5ADB9"/>
    <w:rsid w:val="37F0749C"/>
    <w:rsid w:val="37FD3C42"/>
    <w:rsid w:val="38026989"/>
    <w:rsid w:val="38334ACE"/>
    <w:rsid w:val="3849CFC7"/>
    <w:rsid w:val="38EFFC42"/>
    <w:rsid w:val="390BF162"/>
    <w:rsid w:val="391058E3"/>
    <w:rsid w:val="39960DAE"/>
    <w:rsid w:val="39CFB42E"/>
    <w:rsid w:val="3A330763"/>
    <w:rsid w:val="3A7A5042"/>
    <w:rsid w:val="3ABA0773"/>
    <w:rsid w:val="3AC1EC74"/>
    <w:rsid w:val="3B31DE0F"/>
    <w:rsid w:val="3B5ADEA5"/>
    <w:rsid w:val="3B6214E1"/>
    <w:rsid w:val="3BED1440"/>
    <w:rsid w:val="3BF5A426"/>
    <w:rsid w:val="3C55D7D4"/>
    <w:rsid w:val="3C91230E"/>
    <w:rsid w:val="3D27FA94"/>
    <w:rsid w:val="3D3A5ED6"/>
    <w:rsid w:val="3D88E4A1"/>
    <w:rsid w:val="3D966BC2"/>
    <w:rsid w:val="3DA67EE7"/>
    <w:rsid w:val="3DF98D36"/>
    <w:rsid w:val="3EC34239"/>
    <w:rsid w:val="3EC93E4E"/>
    <w:rsid w:val="41170347"/>
    <w:rsid w:val="41524743"/>
    <w:rsid w:val="41AB091B"/>
    <w:rsid w:val="41C7B698"/>
    <w:rsid w:val="4240481B"/>
    <w:rsid w:val="426B976E"/>
    <w:rsid w:val="4286A396"/>
    <w:rsid w:val="42CB1D9D"/>
    <w:rsid w:val="437E51C6"/>
    <w:rsid w:val="4549A2E9"/>
    <w:rsid w:val="4588A8F8"/>
    <w:rsid w:val="45FCBA1A"/>
    <w:rsid w:val="4686B425"/>
    <w:rsid w:val="468F04B0"/>
    <w:rsid w:val="46FBC48D"/>
    <w:rsid w:val="470A29C5"/>
    <w:rsid w:val="471B8C89"/>
    <w:rsid w:val="478C5508"/>
    <w:rsid w:val="47C08D88"/>
    <w:rsid w:val="48261B08"/>
    <w:rsid w:val="489AF017"/>
    <w:rsid w:val="48C79928"/>
    <w:rsid w:val="49370734"/>
    <w:rsid w:val="4958DB02"/>
    <w:rsid w:val="497E18BD"/>
    <w:rsid w:val="498C86D1"/>
    <w:rsid w:val="49AA564D"/>
    <w:rsid w:val="4A3002D0"/>
    <w:rsid w:val="4A7D48AD"/>
    <w:rsid w:val="4A9A8314"/>
    <w:rsid w:val="4B001EB1"/>
    <w:rsid w:val="4B1BD48A"/>
    <w:rsid w:val="4B732F0E"/>
    <w:rsid w:val="4C8752CB"/>
    <w:rsid w:val="4DC3AB86"/>
    <w:rsid w:val="4DC84924"/>
    <w:rsid w:val="4DF46D9D"/>
    <w:rsid w:val="4E1A6012"/>
    <w:rsid w:val="4E2654A9"/>
    <w:rsid w:val="4F562EA4"/>
    <w:rsid w:val="4F66F79E"/>
    <w:rsid w:val="4F7C8939"/>
    <w:rsid w:val="4F7D4ADB"/>
    <w:rsid w:val="502667F7"/>
    <w:rsid w:val="50329E49"/>
    <w:rsid w:val="503E58AF"/>
    <w:rsid w:val="50945D47"/>
    <w:rsid w:val="50969F97"/>
    <w:rsid w:val="509BB0EA"/>
    <w:rsid w:val="510B0C54"/>
    <w:rsid w:val="5127E6E2"/>
    <w:rsid w:val="5145CA22"/>
    <w:rsid w:val="51C23858"/>
    <w:rsid w:val="51C43833"/>
    <w:rsid w:val="51E03B64"/>
    <w:rsid w:val="528F43CA"/>
    <w:rsid w:val="52A92B25"/>
    <w:rsid w:val="52B57F1A"/>
    <w:rsid w:val="52CA024B"/>
    <w:rsid w:val="52D0E4F8"/>
    <w:rsid w:val="530F1181"/>
    <w:rsid w:val="5322D9D0"/>
    <w:rsid w:val="533DCA5A"/>
    <w:rsid w:val="535E08B9"/>
    <w:rsid w:val="537BD835"/>
    <w:rsid w:val="53A6AEA3"/>
    <w:rsid w:val="542E3BE7"/>
    <w:rsid w:val="546B776E"/>
    <w:rsid w:val="548031E1"/>
    <w:rsid w:val="549AE7BE"/>
    <w:rsid w:val="54A499A2"/>
    <w:rsid w:val="54F9D91A"/>
    <w:rsid w:val="54FA6812"/>
    <w:rsid w:val="55503F8E"/>
    <w:rsid w:val="55B27B8E"/>
    <w:rsid w:val="55E7EAF5"/>
    <w:rsid w:val="561A0028"/>
    <w:rsid w:val="567049AC"/>
    <w:rsid w:val="56BFBDCB"/>
    <w:rsid w:val="56FAF3AB"/>
    <w:rsid w:val="58241E54"/>
    <w:rsid w:val="58303B98"/>
    <w:rsid w:val="58580B45"/>
    <w:rsid w:val="593B3040"/>
    <w:rsid w:val="5959FE6F"/>
    <w:rsid w:val="599A3F8C"/>
    <w:rsid w:val="59B41960"/>
    <w:rsid w:val="59F4E26A"/>
    <w:rsid w:val="5A62957D"/>
    <w:rsid w:val="5A691298"/>
    <w:rsid w:val="5AF02467"/>
    <w:rsid w:val="5B183659"/>
    <w:rsid w:val="5C192288"/>
    <w:rsid w:val="5C67C91E"/>
    <w:rsid w:val="5C8DA6AF"/>
    <w:rsid w:val="5CE460A9"/>
    <w:rsid w:val="5D496271"/>
    <w:rsid w:val="5D578FFA"/>
    <w:rsid w:val="5DCE2F64"/>
    <w:rsid w:val="5DF0E0D8"/>
    <w:rsid w:val="5E443D9C"/>
    <w:rsid w:val="5E6A29A9"/>
    <w:rsid w:val="5EE58D87"/>
    <w:rsid w:val="5F088012"/>
    <w:rsid w:val="5F1DFEBB"/>
    <w:rsid w:val="5F50C34A"/>
    <w:rsid w:val="5F7A4A83"/>
    <w:rsid w:val="5F90DF1E"/>
    <w:rsid w:val="5FA9C070"/>
    <w:rsid w:val="5FB6A3ED"/>
    <w:rsid w:val="5FFD82A1"/>
    <w:rsid w:val="6041249E"/>
    <w:rsid w:val="60F1DED8"/>
    <w:rsid w:val="6122A3CC"/>
    <w:rsid w:val="612CAF7F"/>
    <w:rsid w:val="612DACED"/>
    <w:rsid w:val="615564AF"/>
    <w:rsid w:val="61645B60"/>
    <w:rsid w:val="616DCE8A"/>
    <w:rsid w:val="617BDE5E"/>
    <w:rsid w:val="623EFB54"/>
    <w:rsid w:val="62B6A2F9"/>
    <w:rsid w:val="62C60705"/>
    <w:rsid w:val="6317AEBF"/>
    <w:rsid w:val="63C1A358"/>
    <w:rsid w:val="645E1FDA"/>
    <w:rsid w:val="653945BB"/>
    <w:rsid w:val="65C34D1B"/>
    <w:rsid w:val="65EFB761"/>
    <w:rsid w:val="660230C7"/>
    <w:rsid w:val="6693220E"/>
    <w:rsid w:val="66DE7453"/>
    <w:rsid w:val="677997B5"/>
    <w:rsid w:val="67978F45"/>
    <w:rsid w:val="679843CC"/>
    <w:rsid w:val="67B39738"/>
    <w:rsid w:val="67F7E392"/>
    <w:rsid w:val="68063D29"/>
    <w:rsid w:val="6852F6FD"/>
    <w:rsid w:val="68970EE1"/>
    <w:rsid w:val="68B578C5"/>
    <w:rsid w:val="68DE703D"/>
    <w:rsid w:val="68E4C4A2"/>
    <w:rsid w:val="69F26B6A"/>
    <w:rsid w:val="6A3A4F9C"/>
    <w:rsid w:val="6A3C6712"/>
    <w:rsid w:val="6A802286"/>
    <w:rsid w:val="6A90ADB1"/>
    <w:rsid w:val="6AB36235"/>
    <w:rsid w:val="6B0628D2"/>
    <w:rsid w:val="6B881E92"/>
    <w:rsid w:val="6B8FB74B"/>
    <w:rsid w:val="6BB623C6"/>
    <w:rsid w:val="6BBD15C2"/>
    <w:rsid w:val="6BDEFAED"/>
    <w:rsid w:val="6BE34001"/>
    <w:rsid w:val="6BEBC567"/>
    <w:rsid w:val="6C7DFA16"/>
    <w:rsid w:val="6C8CB3DE"/>
    <w:rsid w:val="6CBC9E06"/>
    <w:rsid w:val="6CC07830"/>
    <w:rsid w:val="6CCEAF67"/>
    <w:rsid w:val="6D0CDA4E"/>
    <w:rsid w:val="6D917399"/>
    <w:rsid w:val="6D9CAB19"/>
    <w:rsid w:val="6DAB7E32"/>
    <w:rsid w:val="6DAE7449"/>
    <w:rsid w:val="6DB253F8"/>
    <w:rsid w:val="6DD56B00"/>
    <w:rsid w:val="6E5E7B2E"/>
    <w:rsid w:val="6EB054ED"/>
    <w:rsid w:val="6F0DC3DE"/>
    <w:rsid w:val="6F3314D0"/>
    <w:rsid w:val="6F4DB1C1"/>
    <w:rsid w:val="6FBFE5F9"/>
    <w:rsid w:val="6FE8CCAB"/>
    <w:rsid w:val="708994E9"/>
    <w:rsid w:val="70A7C59E"/>
    <w:rsid w:val="70B0B661"/>
    <w:rsid w:val="70B26C10"/>
    <w:rsid w:val="70B4707B"/>
    <w:rsid w:val="70F0352C"/>
    <w:rsid w:val="71D577FB"/>
    <w:rsid w:val="71E12A28"/>
    <w:rsid w:val="7303E01C"/>
    <w:rsid w:val="732FB9B4"/>
    <w:rsid w:val="73392E60"/>
    <w:rsid w:val="73992D72"/>
    <w:rsid w:val="73BD60DA"/>
    <w:rsid w:val="73C03FA7"/>
    <w:rsid w:val="741B6F2F"/>
    <w:rsid w:val="74E5B4C6"/>
    <w:rsid w:val="7516EB51"/>
    <w:rsid w:val="75CD843F"/>
    <w:rsid w:val="76014A3C"/>
    <w:rsid w:val="762ACE64"/>
    <w:rsid w:val="766CC7F7"/>
    <w:rsid w:val="76DA4A67"/>
    <w:rsid w:val="76F5019C"/>
    <w:rsid w:val="77C7A1AB"/>
    <w:rsid w:val="7806D193"/>
    <w:rsid w:val="7875F079"/>
    <w:rsid w:val="788B3A63"/>
    <w:rsid w:val="7890B2BF"/>
    <w:rsid w:val="78A45598"/>
    <w:rsid w:val="78BC6884"/>
    <w:rsid w:val="7983E515"/>
    <w:rsid w:val="79D9C508"/>
    <w:rsid w:val="7A1F4ED3"/>
    <w:rsid w:val="7A8B2D12"/>
    <w:rsid w:val="7ACAC133"/>
    <w:rsid w:val="7B69DDFF"/>
    <w:rsid w:val="7B8DFD4E"/>
    <w:rsid w:val="7BADBB8A"/>
    <w:rsid w:val="7BFBFC06"/>
    <w:rsid w:val="7C619A47"/>
    <w:rsid w:val="7C786DB3"/>
    <w:rsid w:val="7C8A4CBB"/>
    <w:rsid w:val="7D045A90"/>
    <w:rsid w:val="7D04FA9E"/>
    <w:rsid w:val="7D0E2627"/>
    <w:rsid w:val="7D255261"/>
    <w:rsid w:val="7D4D65B7"/>
    <w:rsid w:val="7D56108F"/>
    <w:rsid w:val="7DA7DD6F"/>
    <w:rsid w:val="7DCFFFA6"/>
    <w:rsid w:val="7E1ACA8C"/>
    <w:rsid w:val="7E2596A0"/>
    <w:rsid w:val="7E302A3C"/>
    <w:rsid w:val="7E33B752"/>
    <w:rsid w:val="7E502420"/>
    <w:rsid w:val="7E74AFFF"/>
    <w:rsid w:val="7E8DB17A"/>
    <w:rsid w:val="7E8EC5DF"/>
    <w:rsid w:val="7EA94BF1"/>
    <w:rsid w:val="7F1800C3"/>
    <w:rsid w:val="7F5521C4"/>
    <w:rsid w:val="7F63F5F7"/>
    <w:rsid w:val="7F663D0D"/>
    <w:rsid w:val="7F6BC311"/>
    <w:rsid w:val="7F88E34D"/>
    <w:rsid w:val="7F9397AC"/>
    <w:rsid w:val="7FE037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2E7A"/>
  <w15:chartTrackingRefBased/>
  <w15:docId w15:val="{D341ACA3-6C97-4768-B8D9-739FE44D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35E"/>
    <w:pPr>
      <w:spacing w:after="0" w:line="240" w:lineRule="auto"/>
    </w:pPr>
    <w:rPr>
      <w:rFonts w:eastAsia="Times New Roman" w:cs="Times New Roman"/>
      <w:szCs w:val="24"/>
      <w:lang w:eastAsia="en-AU"/>
    </w:rPr>
  </w:style>
  <w:style w:type="paragraph" w:styleId="Heading1">
    <w:name w:val="heading 1"/>
    <w:basedOn w:val="Normal"/>
    <w:next w:val="Normal"/>
    <w:link w:val="Heading1Char"/>
    <w:uiPriority w:val="9"/>
    <w:qFormat/>
    <w:rsid w:val="00582BAC"/>
    <w:pPr>
      <w:keepNext/>
      <w:keepLines/>
      <w:shd w:val="clear" w:color="auto" w:fill="003D69"/>
      <w:spacing w:before="240" w:after="60"/>
      <w:outlineLvl w:val="0"/>
    </w:pPr>
    <w:rPr>
      <w:rFonts w:ascii="Calibri" w:hAnsi="Calibri" w:cs="Calibri"/>
      <w:b/>
      <w:bCs/>
      <w:color w:val="FFFFFF" w:themeColor="background1"/>
      <w:sz w:val="28"/>
      <w:szCs w:val="28"/>
      <w:lang w:eastAsia="en-US"/>
    </w:rPr>
  </w:style>
  <w:style w:type="paragraph" w:styleId="Heading2">
    <w:name w:val="heading 2"/>
    <w:basedOn w:val="Heading1"/>
    <w:next w:val="Normal"/>
    <w:link w:val="Heading2Char"/>
    <w:uiPriority w:val="9"/>
    <w:unhideWhenUsed/>
    <w:qFormat/>
    <w:rsid w:val="00582BAC"/>
    <w:pPr>
      <w:shd w:val="clear" w:color="auto" w:fill="auto"/>
      <w:outlineLvl w:val="1"/>
    </w:pPr>
    <w:rPr>
      <w:color w:val="003D69"/>
      <w:sz w:val="24"/>
      <w:szCs w:val="24"/>
    </w:rPr>
  </w:style>
  <w:style w:type="paragraph" w:styleId="Heading3">
    <w:name w:val="heading 3"/>
    <w:basedOn w:val="Normal"/>
    <w:next w:val="Normal"/>
    <w:link w:val="Heading3Char"/>
    <w:uiPriority w:val="9"/>
    <w:unhideWhenUsed/>
    <w:qFormat/>
    <w:rsid w:val="002B2152"/>
    <w:pPr>
      <w:keepNext/>
      <w:keepLines/>
      <w:spacing w:before="40"/>
      <w:outlineLvl w:val="2"/>
    </w:pPr>
    <w:rPr>
      <w:rFonts w:eastAsiaTheme="majorEastAsia" w:cstheme="minorHAnsi"/>
      <w:i/>
      <w:iCs/>
      <w:color w:val="1F3763" w:themeColor="accent1" w:themeShade="7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EB2"/>
    <w:pPr>
      <w:tabs>
        <w:tab w:val="center" w:pos="4153"/>
        <w:tab w:val="right" w:pos="8306"/>
      </w:tabs>
    </w:pPr>
  </w:style>
  <w:style w:type="character" w:customStyle="1" w:styleId="HeaderChar">
    <w:name w:val="Header Char"/>
    <w:basedOn w:val="DefaultParagraphFont"/>
    <w:link w:val="Header"/>
    <w:rsid w:val="00046EB2"/>
    <w:rPr>
      <w:rFonts w:ascii="Book Antiqua" w:eastAsia="Times New Roman" w:hAnsi="Book Antiqua" w:cs="Times New Roman"/>
      <w:sz w:val="24"/>
      <w:szCs w:val="24"/>
      <w:lang w:eastAsia="en-AU"/>
    </w:rPr>
  </w:style>
  <w:style w:type="paragraph" w:styleId="Footer">
    <w:name w:val="footer"/>
    <w:basedOn w:val="Normal"/>
    <w:link w:val="FooterChar"/>
    <w:uiPriority w:val="99"/>
    <w:rsid w:val="00046EB2"/>
    <w:pPr>
      <w:tabs>
        <w:tab w:val="center" w:pos="4153"/>
        <w:tab w:val="right" w:pos="8306"/>
      </w:tabs>
    </w:pPr>
  </w:style>
  <w:style w:type="character" w:customStyle="1" w:styleId="FooterChar">
    <w:name w:val="Footer Char"/>
    <w:basedOn w:val="DefaultParagraphFont"/>
    <w:link w:val="Footer"/>
    <w:uiPriority w:val="99"/>
    <w:rsid w:val="00046EB2"/>
    <w:rPr>
      <w:rFonts w:ascii="Book Antiqua" w:eastAsia="Times New Roman" w:hAnsi="Book Antiqua" w:cs="Times New Roman"/>
      <w:sz w:val="24"/>
      <w:szCs w:val="24"/>
      <w:lang w:eastAsia="en-AU"/>
    </w:rPr>
  </w:style>
  <w:style w:type="character" w:styleId="Hyperlink">
    <w:name w:val="Hyperlink"/>
    <w:basedOn w:val="DefaultParagraphFont"/>
    <w:uiPriority w:val="99"/>
    <w:unhideWhenUsed/>
    <w:rsid w:val="00046EB2"/>
    <w:rPr>
      <w:color w:val="0000FF"/>
      <w:u w:val="single"/>
    </w:rPr>
  </w:style>
  <w:style w:type="paragraph" w:styleId="FootnoteText">
    <w:name w:val="footnote text"/>
    <w:basedOn w:val="Normal"/>
    <w:link w:val="FootnoteTextChar"/>
    <w:uiPriority w:val="99"/>
    <w:unhideWhenUsed/>
    <w:rsid w:val="00046EB2"/>
    <w:rPr>
      <w:rFonts w:ascii="Times New Roman" w:eastAsia="Calibri" w:hAnsi="Times New Roman"/>
      <w:sz w:val="20"/>
      <w:szCs w:val="20"/>
      <w:lang w:eastAsia="en-US"/>
    </w:rPr>
  </w:style>
  <w:style w:type="character" w:customStyle="1" w:styleId="FootnoteTextChar">
    <w:name w:val="Footnote Text Char"/>
    <w:basedOn w:val="DefaultParagraphFont"/>
    <w:link w:val="FootnoteText"/>
    <w:uiPriority w:val="99"/>
    <w:rsid w:val="00046EB2"/>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46EB2"/>
    <w:rPr>
      <w:vertAlign w:val="superscript"/>
    </w:rPr>
  </w:style>
  <w:style w:type="character" w:customStyle="1" w:styleId="Heading1Char">
    <w:name w:val="Heading 1 Char"/>
    <w:basedOn w:val="DefaultParagraphFont"/>
    <w:link w:val="Heading1"/>
    <w:uiPriority w:val="9"/>
    <w:rsid w:val="00582BAC"/>
    <w:rPr>
      <w:rFonts w:ascii="Calibri" w:eastAsia="Times New Roman" w:hAnsi="Calibri" w:cs="Calibri"/>
      <w:b/>
      <w:bCs/>
      <w:color w:val="FFFFFF" w:themeColor="background1"/>
      <w:sz w:val="28"/>
      <w:szCs w:val="28"/>
      <w:shd w:val="clear" w:color="auto" w:fill="003D69"/>
    </w:rPr>
  </w:style>
  <w:style w:type="paragraph" w:styleId="TOCHeading">
    <w:name w:val="TOC Heading"/>
    <w:basedOn w:val="Heading1"/>
    <w:next w:val="Normal"/>
    <w:uiPriority w:val="39"/>
    <w:unhideWhenUsed/>
    <w:qFormat/>
    <w:rsid w:val="00046EB2"/>
    <w:pPr>
      <w:spacing w:line="259" w:lineRule="auto"/>
      <w:outlineLvl w:val="9"/>
    </w:pPr>
    <w:rPr>
      <w:lang w:val="en-US"/>
    </w:rPr>
  </w:style>
  <w:style w:type="paragraph" w:styleId="TOC3">
    <w:name w:val="toc 3"/>
    <w:basedOn w:val="Normal"/>
    <w:next w:val="Normal"/>
    <w:autoRedefine/>
    <w:uiPriority w:val="39"/>
    <w:unhideWhenUsed/>
    <w:rsid w:val="00046EB2"/>
    <w:pPr>
      <w:spacing w:after="100"/>
      <w:ind w:left="480"/>
    </w:pPr>
  </w:style>
  <w:style w:type="paragraph" w:styleId="NormalWeb">
    <w:name w:val="Normal (Web)"/>
    <w:basedOn w:val="Normal"/>
    <w:uiPriority w:val="99"/>
    <w:unhideWhenUsed/>
    <w:rsid w:val="00046EB2"/>
    <w:pPr>
      <w:spacing w:before="100" w:beforeAutospacing="1" w:after="100" w:afterAutospacing="1"/>
    </w:pPr>
    <w:rPr>
      <w:rFonts w:ascii="Times New Roman" w:hAnsi="Times New Roman"/>
    </w:rPr>
  </w:style>
  <w:style w:type="paragraph" w:customStyle="1" w:styleId="Heading2Blue">
    <w:name w:val="Heading 2 Blue"/>
    <w:basedOn w:val="Heading2"/>
    <w:next w:val="Normal"/>
    <w:rsid w:val="00F57971"/>
    <w:pPr>
      <w:keepLines w:val="0"/>
      <w:ind w:left="578" w:hanging="578"/>
    </w:pPr>
    <w:rPr>
      <w:rFonts w:ascii="Arial" w:hAnsi="Arial" w:cs="Arial"/>
      <w:b w:val="0"/>
      <w:bCs w:val="0"/>
      <w:iCs/>
      <w:sz w:val="32"/>
      <w:szCs w:val="32"/>
    </w:rPr>
  </w:style>
  <w:style w:type="paragraph" w:styleId="TOC1">
    <w:name w:val="toc 1"/>
    <w:basedOn w:val="Normal"/>
    <w:next w:val="Normal"/>
    <w:autoRedefine/>
    <w:uiPriority w:val="39"/>
    <w:unhideWhenUsed/>
    <w:rsid w:val="00046EB2"/>
    <w:pPr>
      <w:spacing w:after="100"/>
    </w:pPr>
  </w:style>
  <w:style w:type="character" w:styleId="CommentReference">
    <w:name w:val="annotation reference"/>
    <w:basedOn w:val="DefaultParagraphFont"/>
    <w:uiPriority w:val="99"/>
    <w:semiHidden/>
    <w:unhideWhenUsed/>
    <w:rsid w:val="00046EB2"/>
    <w:rPr>
      <w:sz w:val="16"/>
      <w:szCs w:val="16"/>
    </w:rPr>
  </w:style>
  <w:style w:type="paragraph" w:styleId="ListParagraph">
    <w:name w:val="List Paragraph"/>
    <w:aliases w:val="Body text,Bullet point,Bullets,CV text,Dot pt,F5 List Paragraph,FooterText,L,List Paragraph Number,List Paragraph1,List Paragraph11,List Paragraph111,List Paragraph2,Medium Grid 1 - Accent 21,NAST Quote,Recommendation,standard lewis,リスト段落"/>
    <w:basedOn w:val="Normal"/>
    <w:link w:val="ListParagraphChar"/>
    <w:uiPriority w:val="34"/>
    <w:qFormat/>
    <w:rsid w:val="00046EB2"/>
    <w:pPr>
      <w:ind w:left="720"/>
      <w:contextualSpacing/>
    </w:pPr>
  </w:style>
  <w:style w:type="paragraph" w:customStyle="1" w:styleId="Default">
    <w:name w:val="Default"/>
    <w:basedOn w:val="Normal"/>
    <w:rsid w:val="00046EB2"/>
    <w:pPr>
      <w:autoSpaceDE w:val="0"/>
      <w:autoSpaceDN w:val="0"/>
    </w:pPr>
    <w:rPr>
      <w:rFonts w:ascii="Calibri" w:eastAsiaTheme="minorHAnsi" w:hAnsi="Calibri" w:cs="Calibri"/>
      <w:color w:val="000000"/>
      <w:lang w:eastAsia="en-US"/>
    </w:rPr>
  </w:style>
  <w:style w:type="character" w:customStyle="1" w:styleId="Heading2Char">
    <w:name w:val="Heading 2 Char"/>
    <w:basedOn w:val="DefaultParagraphFont"/>
    <w:link w:val="Heading2"/>
    <w:uiPriority w:val="9"/>
    <w:rsid w:val="00582BAC"/>
    <w:rPr>
      <w:rFonts w:ascii="Calibri" w:eastAsia="Times New Roman" w:hAnsi="Calibri" w:cs="Calibri"/>
      <w:b/>
      <w:bCs/>
      <w:color w:val="003D69"/>
      <w:sz w:val="24"/>
      <w:szCs w:val="24"/>
    </w:rPr>
  </w:style>
  <w:style w:type="paragraph" w:styleId="Caption">
    <w:name w:val="caption"/>
    <w:basedOn w:val="Normal"/>
    <w:next w:val="Normal"/>
    <w:uiPriority w:val="35"/>
    <w:unhideWhenUsed/>
    <w:qFormat/>
    <w:rsid w:val="00F57971"/>
    <w:pPr>
      <w:spacing w:after="60"/>
    </w:pPr>
    <w:rPr>
      <w:i/>
      <w:iCs/>
      <w:color w:val="44546A" w:themeColor="text2"/>
      <w:sz w:val="18"/>
      <w:szCs w:val="18"/>
    </w:rPr>
  </w:style>
  <w:style w:type="character" w:styleId="UnresolvedMention">
    <w:name w:val="Unresolved Mention"/>
    <w:basedOn w:val="DefaultParagraphFont"/>
    <w:uiPriority w:val="99"/>
    <w:unhideWhenUsed/>
    <w:rsid w:val="00221C49"/>
    <w:rPr>
      <w:color w:val="605E5C"/>
      <w:shd w:val="clear" w:color="auto" w:fill="E1DFDD"/>
    </w:rPr>
  </w:style>
  <w:style w:type="character" w:styleId="FollowedHyperlink">
    <w:name w:val="FollowedHyperlink"/>
    <w:basedOn w:val="DefaultParagraphFont"/>
    <w:uiPriority w:val="99"/>
    <w:semiHidden/>
    <w:unhideWhenUsed/>
    <w:rsid w:val="00221C49"/>
    <w:rPr>
      <w:color w:val="954F72" w:themeColor="followedHyperlink"/>
      <w:u w:val="single"/>
    </w:rPr>
  </w:style>
  <w:style w:type="table" w:styleId="PlainTable4">
    <w:name w:val="Plain Table 4"/>
    <w:basedOn w:val="TableNormal"/>
    <w:uiPriority w:val="44"/>
    <w:rsid w:val="00A63C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834885"/>
    <w:rPr>
      <w:sz w:val="20"/>
      <w:szCs w:val="20"/>
    </w:rPr>
  </w:style>
  <w:style w:type="character" w:customStyle="1" w:styleId="CommentTextChar">
    <w:name w:val="Comment Text Char"/>
    <w:basedOn w:val="DefaultParagraphFont"/>
    <w:link w:val="CommentText"/>
    <w:uiPriority w:val="99"/>
    <w:rsid w:val="00834885"/>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34885"/>
    <w:rPr>
      <w:b/>
      <w:bCs/>
    </w:rPr>
  </w:style>
  <w:style w:type="character" w:customStyle="1" w:styleId="CommentSubjectChar">
    <w:name w:val="Comment Subject Char"/>
    <w:basedOn w:val="CommentTextChar"/>
    <w:link w:val="CommentSubject"/>
    <w:uiPriority w:val="99"/>
    <w:semiHidden/>
    <w:rsid w:val="00834885"/>
    <w:rPr>
      <w:rFonts w:eastAsia="Times New Roman" w:cs="Times New Roman"/>
      <w:b/>
      <w:bCs/>
      <w:sz w:val="20"/>
      <w:szCs w:val="20"/>
      <w:lang w:eastAsia="en-AU"/>
    </w:rPr>
  </w:style>
  <w:style w:type="paragraph" w:styleId="TOC2">
    <w:name w:val="toc 2"/>
    <w:basedOn w:val="Normal"/>
    <w:next w:val="Normal"/>
    <w:autoRedefine/>
    <w:uiPriority w:val="39"/>
    <w:unhideWhenUsed/>
    <w:rsid w:val="00276BB1"/>
    <w:pPr>
      <w:tabs>
        <w:tab w:val="right" w:leader="dot" w:pos="9060"/>
      </w:tabs>
      <w:spacing w:after="100"/>
      <w:ind w:left="220"/>
    </w:pPr>
  </w:style>
  <w:style w:type="character" w:customStyle="1" w:styleId="font221">
    <w:name w:val="font221"/>
    <w:basedOn w:val="DefaultParagraphFont"/>
    <w:rsid w:val="00C420C5"/>
    <w:rPr>
      <w:rFonts w:ascii="Arial" w:hAnsi="Arial" w:cs="Arial" w:hint="default"/>
      <w:b w:val="0"/>
      <w:bCs w:val="0"/>
      <w:i w:val="0"/>
      <w:iCs w:val="0"/>
      <w:strike w:val="0"/>
      <w:dstrike w:val="0"/>
      <w:color w:val="auto"/>
      <w:sz w:val="20"/>
      <w:szCs w:val="20"/>
      <w:u w:val="none"/>
      <w:effect w:val="none"/>
    </w:rPr>
  </w:style>
  <w:style w:type="table" w:styleId="TableGrid">
    <w:name w:val="Table Grid"/>
    <w:basedOn w:val="TableNormal"/>
    <w:uiPriority w:val="39"/>
    <w:rsid w:val="0094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2152"/>
    <w:rPr>
      <w:rFonts w:eastAsiaTheme="majorEastAsia" w:cstheme="minorHAnsi"/>
      <w:i/>
      <w:iCs/>
      <w:color w:val="1F3763" w:themeColor="accent1" w:themeShade="7F"/>
      <w:sz w:val="24"/>
      <w:szCs w:val="24"/>
    </w:rPr>
  </w:style>
  <w:style w:type="paragraph" w:styleId="ListBullet">
    <w:name w:val="List Bullet"/>
    <w:basedOn w:val="Normal"/>
    <w:uiPriority w:val="99"/>
    <w:unhideWhenUsed/>
    <w:rsid w:val="006D26EA"/>
    <w:pPr>
      <w:widowControl w:val="0"/>
      <w:numPr>
        <w:numId w:val="1"/>
      </w:numPr>
      <w:autoSpaceDE w:val="0"/>
      <w:autoSpaceDN w:val="0"/>
      <w:spacing w:before="120" w:after="120" w:line="276" w:lineRule="auto"/>
      <w:contextualSpacing/>
    </w:pPr>
    <w:rPr>
      <w:rFonts w:eastAsia="Calibri" w:cs="Calibri"/>
      <w:szCs w:val="22"/>
      <w:lang w:val="en-US" w:eastAsia="en-US"/>
    </w:rPr>
  </w:style>
  <w:style w:type="paragraph" w:styleId="ListBullet2">
    <w:name w:val="List Bullet 2"/>
    <w:basedOn w:val="Normal"/>
    <w:uiPriority w:val="99"/>
    <w:unhideWhenUsed/>
    <w:rsid w:val="00657BDE"/>
    <w:pPr>
      <w:widowControl w:val="0"/>
      <w:numPr>
        <w:numId w:val="2"/>
      </w:numPr>
      <w:autoSpaceDE w:val="0"/>
      <w:autoSpaceDN w:val="0"/>
      <w:spacing w:before="120" w:after="120" w:line="276" w:lineRule="auto"/>
      <w:contextualSpacing/>
    </w:pPr>
    <w:rPr>
      <w:rFonts w:eastAsia="Calibri" w:cs="Calibri"/>
      <w:szCs w:val="22"/>
      <w:lang w:val="en-US" w:eastAsia="en-US"/>
    </w:rPr>
  </w:style>
  <w:style w:type="paragraph" w:styleId="ListContinue">
    <w:name w:val="List Continue"/>
    <w:uiPriority w:val="99"/>
    <w:unhideWhenUsed/>
    <w:rsid w:val="009023C2"/>
    <w:pPr>
      <w:widowControl w:val="0"/>
      <w:numPr>
        <w:numId w:val="3"/>
      </w:numPr>
      <w:autoSpaceDE w:val="0"/>
      <w:autoSpaceDN w:val="0"/>
      <w:spacing w:before="120" w:after="120" w:line="240" w:lineRule="auto"/>
      <w:ind w:left="697" w:hanging="357"/>
    </w:pPr>
    <w:rPr>
      <w:rFonts w:eastAsia="Calibri" w:cs="Calibri"/>
      <w:lang w:val="en-US"/>
    </w:rPr>
  </w:style>
  <w:style w:type="character" w:styleId="Strong">
    <w:name w:val="Strong"/>
    <w:basedOn w:val="DefaultParagraphFont"/>
    <w:uiPriority w:val="22"/>
    <w:qFormat/>
    <w:rsid w:val="009023C2"/>
    <w:rPr>
      <w:b/>
      <w:bCs/>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7949B8"/>
    <w:pPr>
      <w:spacing w:before="100" w:beforeAutospacing="1" w:after="100" w:afterAutospacing="1"/>
    </w:pPr>
    <w:rPr>
      <w:rFonts w:ascii="Calibri" w:eastAsiaTheme="minorHAnsi" w:hAnsi="Calibri" w:cs="Calibri"/>
      <w:szCs w:val="22"/>
      <w:lang w:val="en-GB"/>
    </w:rPr>
  </w:style>
  <w:style w:type="character" w:customStyle="1" w:styleId="normaltextrun">
    <w:name w:val="normaltextrun"/>
    <w:basedOn w:val="DefaultParagraphFont"/>
    <w:rsid w:val="007949B8"/>
  </w:style>
  <w:style w:type="character" w:customStyle="1" w:styleId="eop">
    <w:name w:val="eop"/>
    <w:basedOn w:val="DefaultParagraphFont"/>
    <w:rsid w:val="007949B8"/>
  </w:style>
  <w:style w:type="paragraph" w:styleId="NoSpacing">
    <w:name w:val="No Spacing"/>
    <w:uiPriority w:val="1"/>
    <w:qFormat/>
    <w:rsid w:val="007949B8"/>
    <w:pPr>
      <w:spacing w:after="0" w:line="240" w:lineRule="auto"/>
    </w:pPr>
    <w:rPr>
      <w:rFonts w:eastAsia="Times New Roman" w:cs="Times New Roman"/>
      <w:szCs w:val="24"/>
      <w:lang w:eastAsia="en-AU"/>
    </w:rPr>
  </w:style>
  <w:style w:type="paragraph" w:styleId="Revision">
    <w:name w:val="Revision"/>
    <w:hidden/>
    <w:uiPriority w:val="99"/>
    <w:semiHidden/>
    <w:rsid w:val="00D008DC"/>
    <w:pPr>
      <w:spacing w:after="0" w:line="240" w:lineRule="auto"/>
    </w:pPr>
    <w:rPr>
      <w:rFonts w:eastAsia="Times New Roman" w:cs="Times New Roman"/>
      <w:szCs w:val="24"/>
      <w:lang w:eastAsia="en-AU"/>
    </w:rPr>
  </w:style>
  <w:style w:type="character" w:customStyle="1" w:styleId="ListParagraphChar">
    <w:name w:val="List Paragraph Char"/>
    <w:aliases w:val="Body text Char,Bullet point Char,Bullets Char,CV text Char,Dot pt Char,F5 List Paragraph Char,FooterText Char,L Char,List Paragraph Number Char,List Paragraph1 Char,List Paragraph11 Char,List Paragraph111 Char,List Paragraph2 Char"/>
    <w:basedOn w:val="DefaultParagraphFont"/>
    <w:link w:val="ListParagraph"/>
    <w:uiPriority w:val="34"/>
    <w:qFormat/>
    <w:locked/>
    <w:rsid w:val="00292889"/>
    <w:rPr>
      <w:rFonts w:eastAsia="Times New Roman" w:cs="Times New Roman"/>
      <w:szCs w:val="24"/>
      <w:lang w:eastAsia="en-AU"/>
    </w:rPr>
  </w:style>
  <w:style w:type="character" w:customStyle="1" w:styleId="null1">
    <w:name w:val="null1"/>
    <w:basedOn w:val="DefaultParagraphFont"/>
    <w:rsid w:val="00007F3E"/>
  </w:style>
  <w:style w:type="table" w:styleId="PlainTable3">
    <w:name w:val="Plain Table 3"/>
    <w:basedOn w:val="TableNormal"/>
    <w:uiPriority w:val="43"/>
    <w:rsid w:val="00C729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7636">
      <w:bodyDiv w:val="1"/>
      <w:marLeft w:val="0"/>
      <w:marRight w:val="0"/>
      <w:marTop w:val="0"/>
      <w:marBottom w:val="0"/>
      <w:divBdr>
        <w:top w:val="none" w:sz="0" w:space="0" w:color="auto"/>
        <w:left w:val="none" w:sz="0" w:space="0" w:color="auto"/>
        <w:bottom w:val="none" w:sz="0" w:space="0" w:color="auto"/>
        <w:right w:val="none" w:sz="0" w:space="0" w:color="auto"/>
      </w:divBdr>
    </w:div>
    <w:div w:id="572008750">
      <w:bodyDiv w:val="1"/>
      <w:marLeft w:val="0"/>
      <w:marRight w:val="0"/>
      <w:marTop w:val="0"/>
      <w:marBottom w:val="0"/>
      <w:divBdr>
        <w:top w:val="none" w:sz="0" w:space="0" w:color="auto"/>
        <w:left w:val="none" w:sz="0" w:space="0" w:color="auto"/>
        <w:bottom w:val="none" w:sz="0" w:space="0" w:color="auto"/>
        <w:right w:val="none" w:sz="0" w:space="0" w:color="auto"/>
      </w:divBdr>
    </w:div>
    <w:div w:id="663359949">
      <w:bodyDiv w:val="1"/>
      <w:marLeft w:val="0"/>
      <w:marRight w:val="0"/>
      <w:marTop w:val="0"/>
      <w:marBottom w:val="0"/>
      <w:divBdr>
        <w:top w:val="none" w:sz="0" w:space="0" w:color="auto"/>
        <w:left w:val="none" w:sz="0" w:space="0" w:color="auto"/>
        <w:bottom w:val="none" w:sz="0" w:space="0" w:color="auto"/>
        <w:right w:val="none" w:sz="0" w:space="0" w:color="auto"/>
      </w:divBdr>
    </w:div>
    <w:div w:id="889919290">
      <w:bodyDiv w:val="1"/>
      <w:marLeft w:val="0"/>
      <w:marRight w:val="0"/>
      <w:marTop w:val="0"/>
      <w:marBottom w:val="0"/>
      <w:divBdr>
        <w:top w:val="none" w:sz="0" w:space="0" w:color="auto"/>
        <w:left w:val="none" w:sz="0" w:space="0" w:color="auto"/>
        <w:bottom w:val="none" w:sz="0" w:space="0" w:color="auto"/>
        <w:right w:val="none" w:sz="0" w:space="0" w:color="auto"/>
      </w:divBdr>
    </w:div>
    <w:div w:id="991644302">
      <w:bodyDiv w:val="1"/>
      <w:marLeft w:val="0"/>
      <w:marRight w:val="0"/>
      <w:marTop w:val="0"/>
      <w:marBottom w:val="0"/>
      <w:divBdr>
        <w:top w:val="none" w:sz="0" w:space="0" w:color="auto"/>
        <w:left w:val="none" w:sz="0" w:space="0" w:color="auto"/>
        <w:bottom w:val="none" w:sz="0" w:space="0" w:color="auto"/>
        <w:right w:val="none" w:sz="0" w:space="0" w:color="auto"/>
      </w:divBdr>
    </w:div>
    <w:div w:id="1058280952">
      <w:bodyDiv w:val="1"/>
      <w:marLeft w:val="0"/>
      <w:marRight w:val="0"/>
      <w:marTop w:val="0"/>
      <w:marBottom w:val="0"/>
      <w:divBdr>
        <w:top w:val="none" w:sz="0" w:space="0" w:color="auto"/>
        <w:left w:val="none" w:sz="0" w:space="0" w:color="auto"/>
        <w:bottom w:val="none" w:sz="0" w:space="0" w:color="auto"/>
        <w:right w:val="none" w:sz="0" w:space="0" w:color="auto"/>
      </w:divBdr>
      <w:divsChild>
        <w:div w:id="200023596">
          <w:marLeft w:val="0"/>
          <w:marRight w:val="0"/>
          <w:marTop w:val="0"/>
          <w:marBottom w:val="0"/>
          <w:divBdr>
            <w:top w:val="none" w:sz="0" w:space="0" w:color="auto"/>
            <w:left w:val="none" w:sz="0" w:space="0" w:color="auto"/>
            <w:bottom w:val="none" w:sz="0" w:space="0" w:color="auto"/>
            <w:right w:val="none" w:sz="0" w:space="0" w:color="auto"/>
          </w:divBdr>
        </w:div>
        <w:div w:id="516847554">
          <w:marLeft w:val="0"/>
          <w:marRight w:val="0"/>
          <w:marTop w:val="0"/>
          <w:marBottom w:val="0"/>
          <w:divBdr>
            <w:top w:val="none" w:sz="0" w:space="0" w:color="auto"/>
            <w:left w:val="none" w:sz="0" w:space="0" w:color="auto"/>
            <w:bottom w:val="none" w:sz="0" w:space="0" w:color="auto"/>
            <w:right w:val="none" w:sz="0" w:space="0" w:color="auto"/>
          </w:divBdr>
        </w:div>
        <w:div w:id="1322269580">
          <w:marLeft w:val="0"/>
          <w:marRight w:val="0"/>
          <w:marTop w:val="0"/>
          <w:marBottom w:val="0"/>
          <w:divBdr>
            <w:top w:val="none" w:sz="0" w:space="0" w:color="auto"/>
            <w:left w:val="none" w:sz="0" w:space="0" w:color="auto"/>
            <w:bottom w:val="none" w:sz="0" w:space="0" w:color="auto"/>
            <w:right w:val="none" w:sz="0" w:space="0" w:color="auto"/>
          </w:divBdr>
        </w:div>
        <w:div w:id="1781291307">
          <w:marLeft w:val="0"/>
          <w:marRight w:val="0"/>
          <w:marTop w:val="0"/>
          <w:marBottom w:val="0"/>
          <w:divBdr>
            <w:top w:val="none" w:sz="0" w:space="0" w:color="auto"/>
            <w:left w:val="none" w:sz="0" w:space="0" w:color="auto"/>
            <w:bottom w:val="none" w:sz="0" w:space="0" w:color="auto"/>
            <w:right w:val="none" w:sz="0" w:space="0" w:color="auto"/>
          </w:divBdr>
        </w:div>
        <w:div w:id="1795437702">
          <w:marLeft w:val="0"/>
          <w:marRight w:val="0"/>
          <w:marTop w:val="0"/>
          <w:marBottom w:val="0"/>
          <w:divBdr>
            <w:top w:val="none" w:sz="0" w:space="0" w:color="auto"/>
            <w:left w:val="none" w:sz="0" w:space="0" w:color="auto"/>
            <w:bottom w:val="none" w:sz="0" w:space="0" w:color="auto"/>
            <w:right w:val="none" w:sz="0" w:space="0" w:color="auto"/>
          </w:divBdr>
        </w:div>
        <w:div w:id="1925996513">
          <w:marLeft w:val="0"/>
          <w:marRight w:val="0"/>
          <w:marTop w:val="0"/>
          <w:marBottom w:val="0"/>
          <w:divBdr>
            <w:top w:val="none" w:sz="0" w:space="0" w:color="auto"/>
            <w:left w:val="none" w:sz="0" w:space="0" w:color="auto"/>
            <w:bottom w:val="none" w:sz="0" w:space="0" w:color="auto"/>
            <w:right w:val="none" w:sz="0" w:space="0" w:color="auto"/>
          </w:divBdr>
        </w:div>
      </w:divsChild>
    </w:div>
    <w:div w:id="1187056935">
      <w:bodyDiv w:val="1"/>
      <w:marLeft w:val="0"/>
      <w:marRight w:val="0"/>
      <w:marTop w:val="0"/>
      <w:marBottom w:val="0"/>
      <w:divBdr>
        <w:top w:val="none" w:sz="0" w:space="0" w:color="auto"/>
        <w:left w:val="none" w:sz="0" w:space="0" w:color="auto"/>
        <w:bottom w:val="none" w:sz="0" w:space="0" w:color="auto"/>
        <w:right w:val="none" w:sz="0" w:space="0" w:color="auto"/>
      </w:divBdr>
      <w:divsChild>
        <w:div w:id="1577083362">
          <w:marLeft w:val="0"/>
          <w:marRight w:val="0"/>
          <w:marTop w:val="0"/>
          <w:marBottom w:val="0"/>
          <w:divBdr>
            <w:top w:val="none" w:sz="0" w:space="0" w:color="auto"/>
            <w:left w:val="none" w:sz="0" w:space="0" w:color="auto"/>
            <w:bottom w:val="none" w:sz="0" w:space="0" w:color="auto"/>
            <w:right w:val="none" w:sz="0" w:space="0" w:color="auto"/>
          </w:divBdr>
        </w:div>
      </w:divsChild>
    </w:div>
    <w:div w:id="1486967979">
      <w:bodyDiv w:val="1"/>
      <w:marLeft w:val="0"/>
      <w:marRight w:val="0"/>
      <w:marTop w:val="0"/>
      <w:marBottom w:val="0"/>
      <w:divBdr>
        <w:top w:val="none" w:sz="0" w:space="0" w:color="auto"/>
        <w:left w:val="none" w:sz="0" w:space="0" w:color="auto"/>
        <w:bottom w:val="none" w:sz="0" w:space="0" w:color="auto"/>
        <w:right w:val="none" w:sz="0" w:space="0" w:color="auto"/>
      </w:divBdr>
    </w:div>
    <w:div w:id="1544632647">
      <w:bodyDiv w:val="1"/>
      <w:marLeft w:val="0"/>
      <w:marRight w:val="0"/>
      <w:marTop w:val="0"/>
      <w:marBottom w:val="0"/>
      <w:divBdr>
        <w:top w:val="none" w:sz="0" w:space="0" w:color="auto"/>
        <w:left w:val="none" w:sz="0" w:space="0" w:color="auto"/>
        <w:bottom w:val="none" w:sz="0" w:space="0" w:color="auto"/>
        <w:right w:val="none" w:sz="0" w:space="0" w:color="auto"/>
      </w:divBdr>
    </w:div>
    <w:div w:id="1570846766">
      <w:bodyDiv w:val="1"/>
      <w:marLeft w:val="0"/>
      <w:marRight w:val="0"/>
      <w:marTop w:val="0"/>
      <w:marBottom w:val="0"/>
      <w:divBdr>
        <w:top w:val="none" w:sz="0" w:space="0" w:color="auto"/>
        <w:left w:val="none" w:sz="0" w:space="0" w:color="auto"/>
        <w:bottom w:val="none" w:sz="0" w:space="0" w:color="auto"/>
        <w:right w:val="none" w:sz="0" w:space="0" w:color="auto"/>
      </w:divBdr>
    </w:div>
    <w:div w:id="1658268397">
      <w:bodyDiv w:val="1"/>
      <w:marLeft w:val="0"/>
      <w:marRight w:val="0"/>
      <w:marTop w:val="0"/>
      <w:marBottom w:val="0"/>
      <w:divBdr>
        <w:top w:val="none" w:sz="0" w:space="0" w:color="auto"/>
        <w:left w:val="none" w:sz="0" w:space="0" w:color="auto"/>
        <w:bottom w:val="none" w:sz="0" w:space="0" w:color="auto"/>
        <w:right w:val="none" w:sz="0" w:space="0" w:color="auto"/>
      </w:divBdr>
      <w:divsChild>
        <w:div w:id="823542860">
          <w:marLeft w:val="0"/>
          <w:marRight w:val="0"/>
          <w:marTop w:val="0"/>
          <w:marBottom w:val="0"/>
          <w:divBdr>
            <w:top w:val="none" w:sz="0" w:space="0" w:color="auto"/>
            <w:left w:val="none" w:sz="0" w:space="0" w:color="auto"/>
            <w:bottom w:val="none" w:sz="0" w:space="0" w:color="auto"/>
            <w:right w:val="none" w:sz="0" w:space="0" w:color="auto"/>
          </w:divBdr>
        </w:div>
        <w:div w:id="832986424">
          <w:marLeft w:val="0"/>
          <w:marRight w:val="0"/>
          <w:marTop w:val="0"/>
          <w:marBottom w:val="0"/>
          <w:divBdr>
            <w:top w:val="none" w:sz="0" w:space="0" w:color="auto"/>
            <w:left w:val="none" w:sz="0" w:space="0" w:color="auto"/>
            <w:bottom w:val="none" w:sz="0" w:space="0" w:color="auto"/>
            <w:right w:val="none" w:sz="0" w:space="0" w:color="auto"/>
          </w:divBdr>
        </w:div>
        <w:div w:id="845827876">
          <w:marLeft w:val="0"/>
          <w:marRight w:val="0"/>
          <w:marTop w:val="0"/>
          <w:marBottom w:val="0"/>
          <w:divBdr>
            <w:top w:val="none" w:sz="0" w:space="0" w:color="auto"/>
            <w:left w:val="none" w:sz="0" w:space="0" w:color="auto"/>
            <w:bottom w:val="none" w:sz="0" w:space="0" w:color="auto"/>
            <w:right w:val="none" w:sz="0" w:space="0" w:color="auto"/>
          </w:divBdr>
        </w:div>
        <w:div w:id="931937556">
          <w:marLeft w:val="0"/>
          <w:marRight w:val="0"/>
          <w:marTop w:val="0"/>
          <w:marBottom w:val="0"/>
          <w:divBdr>
            <w:top w:val="none" w:sz="0" w:space="0" w:color="auto"/>
            <w:left w:val="none" w:sz="0" w:space="0" w:color="auto"/>
            <w:bottom w:val="none" w:sz="0" w:space="0" w:color="auto"/>
            <w:right w:val="none" w:sz="0" w:space="0" w:color="auto"/>
          </w:divBdr>
        </w:div>
        <w:div w:id="1229458525">
          <w:marLeft w:val="0"/>
          <w:marRight w:val="0"/>
          <w:marTop w:val="0"/>
          <w:marBottom w:val="0"/>
          <w:divBdr>
            <w:top w:val="none" w:sz="0" w:space="0" w:color="auto"/>
            <w:left w:val="none" w:sz="0" w:space="0" w:color="auto"/>
            <w:bottom w:val="none" w:sz="0" w:space="0" w:color="auto"/>
            <w:right w:val="none" w:sz="0" w:space="0" w:color="auto"/>
          </w:divBdr>
        </w:div>
        <w:div w:id="1424574557">
          <w:marLeft w:val="0"/>
          <w:marRight w:val="0"/>
          <w:marTop w:val="0"/>
          <w:marBottom w:val="0"/>
          <w:divBdr>
            <w:top w:val="none" w:sz="0" w:space="0" w:color="auto"/>
            <w:left w:val="none" w:sz="0" w:space="0" w:color="auto"/>
            <w:bottom w:val="none" w:sz="0" w:space="0" w:color="auto"/>
            <w:right w:val="none" w:sz="0" w:space="0" w:color="auto"/>
          </w:divBdr>
        </w:div>
      </w:divsChild>
    </w:div>
    <w:div w:id="1707832232">
      <w:bodyDiv w:val="1"/>
      <w:marLeft w:val="0"/>
      <w:marRight w:val="0"/>
      <w:marTop w:val="0"/>
      <w:marBottom w:val="0"/>
      <w:divBdr>
        <w:top w:val="none" w:sz="0" w:space="0" w:color="auto"/>
        <w:left w:val="none" w:sz="0" w:space="0" w:color="auto"/>
        <w:bottom w:val="none" w:sz="0" w:space="0" w:color="auto"/>
        <w:right w:val="none" w:sz="0" w:space="0" w:color="auto"/>
      </w:divBdr>
    </w:div>
    <w:div w:id="1789279571">
      <w:bodyDiv w:val="1"/>
      <w:marLeft w:val="0"/>
      <w:marRight w:val="0"/>
      <w:marTop w:val="0"/>
      <w:marBottom w:val="0"/>
      <w:divBdr>
        <w:top w:val="none" w:sz="0" w:space="0" w:color="auto"/>
        <w:left w:val="none" w:sz="0" w:space="0" w:color="auto"/>
        <w:bottom w:val="none" w:sz="0" w:space="0" w:color="auto"/>
        <w:right w:val="none" w:sz="0" w:space="0" w:color="auto"/>
      </w:divBdr>
    </w:div>
    <w:div w:id="1841500872">
      <w:bodyDiv w:val="1"/>
      <w:marLeft w:val="0"/>
      <w:marRight w:val="0"/>
      <w:marTop w:val="0"/>
      <w:marBottom w:val="0"/>
      <w:divBdr>
        <w:top w:val="none" w:sz="0" w:space="0" w:color="auto"/>
        <w:left w:val="none" w:sz="0" w:space="0" w:color="auto"/>
        <w:bottom w:val="none" w:sz="0" w:space="0" w:color="auto"/>
        <w:right w:val="none" w:sz="0" w:space="0" w:color="auto"/>
      </w:divBdr>
    </w:div>
    <w:div w:id="1855151165">
      <w:bodyDiv w:val="1"/>
      <w:marLeft w:val="0"/>
      <w:marRight w:val="0"/>
      <w:marTop w:val="0"/>
      <w:marBottom w:val="0"/>
      <w:divBdr>
        <w:top w:val="none" w:sz="0" w:space="0" w:color="auto"/>
        <w:left w:val="none" w:sz="0" w:space="0" w:color="auto"/>
        <w:bottom w:val="none" w:sz="0" w:space="0" w:color="auto"/>
        <w:right w:val="none" w:sz="0" w:space="0" w:color="auto"/>
      </w:divBdr>
    </w:div>
    <w:div w:id="1882085988">
      <w:bodyDiv w:val="1"/>
      <w:marLeft w:val="0"/>
      <w:marRight w:val="0"/>
      <w:marTop w:val="0"/>
      <w:marBottom w:val="0"/>
      <w:divBdr>
        <w:top w:val="none" w:sz="0" w:space="0" w:color="auto"/>
        <w:left w:val="none" w:sz="0" w:space="0" w:color="auto"/>
        <w:bottom w:val="none" w:sz="0" w:space="0" w:color="auto"/>
        <w:right w:val="none" w:sz="0" w:space="0" w:color="auto"/>
      </w:divBdr>
    </w:div>
    <w:div w:id="1889761943">
      <w:bodyDiv w:val="1"/>
      <w:marLeft w:val="0"/>
      <w:marRight w:val="0"/>
      <w:marTop w:val="0"/>
      <w:marBottom w:val="0"/>
      <w:divBdr>
        <w:top w:val="none" w:sz="0" w:space="0" w:color="auto"/>
        <w:left w:val="none" w:sz="0" w:space="0" w:color="auto"/>
        <w:bottom w:val="none" w:sz="0" w:space="0" w:color="auto"/>
        <w:right w:val="none" w:sz="0" w:space="0" w:color="auto"/>
      </w:divBdr>
    </w:div>
    <w:div w:id="19472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health.gov.au"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hyperlink" Target="https://www.health.gov.au/resources/publications/2020-phn-childhood-immunisation-coverage-data?language=en" TargetMode="External"/><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image" Target="media/image37.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hyperlink" Target="https://www.health.gov.au/resources/publications/2018-phn-childhood-immunisation-coverage-data?language=en" TargetMode="External"/><Relationship Id="rId53" Type="http://schemas.openxmlformats.org/officeDocument/2006/relationships/image" Target="media/image36.png"/><Relationship Id="rId58" Type="http://schemas.openxmlformats.org/officeDocument/2006/relationships/hyperlink" Target="https://www.aihw.gov.au/reports/indigenous-australians/indigenous-health-checks-follow-ups/data" TargetMode="External"/><Relationship Id="rId66"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2.png"/><Relationship Id="rId57" Type="http://schemas.openxmlformats.org/officeDocument/2006/relationships/image" Target="media/image40.png"/><Relationship Id="rId61" Type="http://schemas.openxmlformats.org/officeDocument/2006/relationships/hyperlink" Target="https://www.aihw.gov.au/reports/primary-health-care/medicare-subsidised-health-local-areas-2019/data"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hyperlink" Target="https://www.health.gov.au/resources/publications" TargetMode="External"/><Relationship Id="rId52" Type="http://schemas.openxmlformats.org/officeDocument/2006/relationships/image" Target="media/image35.png"/><Relationship Id="rId60" Type="http://schemas.openxmlformats.org/officeDocument/2006/relationships/hyperlink" Target="https://www.aihw.gov.au/reports/primary-health-care/medicare-subsidised-health-local-areas-2021-22/data"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hyperlink" Target="https://www.health.gov.au/resources/publications/2021-phn-childhood-immunisation-coverage-data?language=en" TargetMode="External"/><Relationship Id="rId56" Type="http://schemas.openxmlformats.org/officeDocument/2006/relationships/image" Target="media/image39.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4.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cid:image008.png@01D96DEC.EA278BF0" TargetMode="Externa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yperlink" Target="https://www.health.gov.au/resources/publications/2019-phn-childhood-immunisation-coverage-data" TargetMode="External"/><Relationship Id="rId59" Type="http://schemas.openxmlformats.org/officeDocument/2006/relationships/hyperlink" Target="https://www.aihw.gov.au/reports/indigenous-australians/indigenous-health-checks-follow-ups/archived-cont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resources/publications/primary-health-networks-phn-performance-and-quality-framework" TargetMode="External"/><Relationship Id="rId1" Type="http://schemas.openxmlformats.org/officeDocument/2006/relationships/hyperlink" Target="http://www.racgp.org.au/running-a-practice/practice-standards/standards-5th-edition" TargetMode="External"/></Relationships>
</file>

<file path=word/documenttasks/documenttasks1.xml><?xml version="1.0" encoding="utf-8"?>
<t:Tasks xmlns:t="http://schemas.microsoft.com/office/tasks/2019/documenttasks" xmlns:oel="http://schemas.microsoft.com/office/2019/extlst">
  <t:Task id="{317FD817-7EB6-487E-A5A4-0F09D593605C}">
    <t:Anchor>
      <t:Comment id="1947705103"/>
    </t:Anchor>
    <t:History>
      <t:Event id="{AA3BEDDB-D473-4322-888E-CAACDD12D39C}" time="2023-04-11T05:21:16.773Z">
        <t:Attribution userId="S::trish.vandartel@health.gov.au::988c21ea-ead5-4c5f-97c2-05f2fb77473a" userProvider="AD" userName="VAN DARTEL, Trish"/>
        <t:Anchor>
          <t:Comment id="1947705103"/>
        </t:Anchor>
        <t:Create/>
      </t:Event>
      <t:Event id="{C324A421-C7F9-4CE1-8C7E-41FA908566FC}" time="2023-04-11T05:21:16.773Z">
        <t:Attribution userId="S::trish.vandartel@health.gov.au::988c21ea-ead5-4c5f-97c2-05f2fb77473a" userProvider="AD" userName="VAN DARTEL, Trish"/>
        <t:Anchor>
          <t:Comment id="1947705103"/>
        </t:Anchor>
        <t:Assign userId="S::Clara.BARRS@Health.gov.au::f3a48a8e-8729-43e1-b1ea-f25282fc0f55" userProvider="AD" userName="BARRS, Clara"/>
      </t:Event>
      <t:Event id="{A540964C-F379-4B71-9994-10FA0E9E899A}" time="2023-04-11T05:21:16.773Z">
        <t:Attribution userId="S::trish.vandartel@health.gov.au::988c21ea-ead5-4c5f-97c2-05f2fb77473a" userProvider="AD" userName="VAN DARTEL, Trish"/>
        <t:Anchor>
          <t:Comment id="1947705103"/>
        </t:Anchor>
        <t:SetTitle title="This is based on 21 PHNs increasing their accrediation rate - do I have this right? @BARRS, Clara"/>
      </t:Event>
    </t:History>
  </t:Task>
  <t:Task id="{2664FC6E-A4DC-46E8-B8D3-EDF50B868B5B}">
    <t:Anchor>
      <t:Comment id="11023077"/>
    </t:Anchor>
    <t:History>
      <t:Event id="{69FCD701-98EE-4420-BCDE-F114AB2374DC}" time="2023-04-05T23:33:10.482Z">
        <t:Attribution userId="S::trish.vandartel@health.gov.au::988c21ea-ead5-4c5f-97c2-05f2fb77473a" userProvider="AD" userName="VAN DARTEL, Trish"/>
        <t:Anchor>
          <t:Comment id="11023077"/>
        </t:Anchor>
        <t:Create/>
      </t:Event>
      <t:Event id="{66AA539A-1760-4D1E-9C46-D2F123FBCD52}" time="2023-04-05T23:33:10.482Z">
        <t:Attribution userId="S::trish.vandartel@health.gov.au::988c21ea-ead5-4c5f-97c2-05f2fb77473a" userProvider="AD" userName="VAN DARTEL, Trish"/>
        <t:Anchor>
          <t:Comment id="11023077"/>
        </t:Anchor>
        <t:Assign userId="S::Clara.BARRS@Health.gov.au::f3a48a8e-8729-43e1-b1ea-f25282fc0f55" userProvider="AD" userName="BARRS, Clara"/>
      </t:Event>
      <t:Event id="{85C296B7-7852-4F03-B6D3-9935E5F3BE71}" time="2023-04-05T23:33:10.482Z">
        <t:Attribution userId="S::trish.vandartel@health.gov.au::988c21ea-ead5-4c5f-97c2-05f2fb77473a" userProvider="AD" userName="VAN DARTEL, Trish"/>
        <t:Anchor>
          <t:Comment id="11023077"/>
        </t:Anchor>
        <t:SetTitle title="@BARRS, Clara Aged Care has asked if we can include the 'total Australia' figures to this figure?"/>
      </t:Event>
    </t:History>
  </t:Task>
  <t:Task id="{74604715-D9D8-4C4D-9C23-340F3389192A}">
    <t:Anchor>
      <t:Comment id="1954070648"/>
    </t:Anchor>
    <t:History>
      <t:Event id="{733A77B9-0352-41B4-B134-D5AF76842F81}" time="2023-04-12T06:10:01.003Z">
        <t:Attribution userId="S::trish.vandartel@health.gov.au::988c21ea-ead5-4c5f-97c2-05f2fb77473a" userProvider="AD" userName="VAN DARTEL, Trish"/>
        <t:Anchor>
          <t:Comment id="1954070648"/>
        </t:Anchor>
        <t:Create/>
      </t:Event>
      <t:Event id="{6E27BE5C-D978-449F-8DA8-282AF9AC0CD4}" time="2023-04-12T06:10:01.003Z">
        <t:Attribution userId="S::trish.vandartel@health.gov.au::988c21ea-ead5-4c5f-97c2-05f2fb77473a" userProvider="AD" userName="VAN DARTEL, Trish"/>
        <t:Anchor>
          <t:Comment id="1954070648"/>
        </t:Anchor>
        <t:Assign userId="S::Clara.BARRS@Health.gov.au::f3a48a8e-8729-43e1-b1ea-f25282fc0f55" userProvider="AD" userName="BARRS, Clara"/>
      </t:Event>
      <t:Event id="{D4441EF2-A60F-4C47-952A-9CFCD3A8D74B}" time="2023-04-12T06:10:01.003Z">
        <t:Attribution userId="S::trish.vandartel@health.gov.au::988c21ea-ead5-4c5f-97c2-05f2fb77473a" userProvider="AD" userName="VAN DARTEL, Trish"/>
        <t:Anchor>
          <t:Comment id="1954070648"/>
        </t:Anchor>
        <t:SetTitle title="@BARRS, Clara as we are missing ACT and all indicators except one were met by all 30 PHNs, is this the right per cent? (30/31) or should I be doing 29/30 which gives me 97%"/>
      </t:Event>
      <t:Event id="{E4EF7B2A-F7A2-429E-9807-273EAB28231D}" time="2023-04-12T06:14:05.983Z">
        <t:Attribution userId="S::trish.vandartel@health.gov.au::988c21ea-ead5-4c5f-97c2-05f2fb77473a" userProvider="AD" userName="VAN DARTEL, Tris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1" ma:contentTypeDescription="Create a new document." ma:contentTypeScope="" ma:versionID="a2307125c68a70fb9265ba6adbe2798f">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38b85c909474fb48a47644c3a30fb1b5"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1726e7-70bc-45cd-a9c9-7801a33afadc}"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CE878-0E0D-4957-9625-9265BC54D395}">
  <ds:schemaRefs>
    <ds:schemaRef ds:uri="http://schemas.microsoft.com/sharepoint/v3/contenttype/forms"/>
  </ds:schemaRefs>
</ds:datastoreItem>
</file>

<file path=customXml/itemProps2.xml><?xml version="1.0" encoding="utf-8"?>
<ds:datastoreItem xmlns:ds="http://schemas.openxmlformats.org/officeDocument/2006/customXml" ds:itemID="{32270FC3-E6A0-40ED-B55E-B5EEC22E35A1}">
  <ds:schemaRefs>
    <ds:schemaRef ds:uri="http://schemas.microsoft.com/office/2006/documentManagement/types"/>
    <ds:schemaRef ds:uri="http://schemas.microsoft.com/office/2006/metadata/properties"/>
    <ds:schemaRef ds:uri="http://purl.org/dc/elements/1.1/"/>
    <ds:schemaRef ds:uri="c4876c76-5897-4d5d-ac80-954d0599e137"/>
    <ds:schemaRef ds:uri="01920aa1-7832-453e-a147-98c77996387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3F3BDCB-5B6E-4F09-BE27-8D64CAB02ACA}">
  <ds:schemaRefs>
    <ds:schemaRef ds:uri="http://schemas.openxmlformats.org/officeDocument/2006/bibliography"/>
  </ds:schemaRefs>
</ds:datastoreItem>
</file>

<file path=customXml/itemProps4.xml><?xml version="1.0" encoding="utf-8"?>
<ds:datastoreItem xmlns:ds="http://schemas.openxmlformats.org/officeDocument/2006/customXml" ds:itemID="{E4079944-E63D-4C20-B0E5-68BA60684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7413</Words>
  <Characters>42628</Characters>
  <Application>Microsoft Office Word</Application>
  <DocSecurity>0</DocSecurity>
  <Lines>1014</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49565</CharactersWithSpaces>
  <SharedDoc>false</SharedDoc>
  <HLinks>
    <vt:vector size="258" baseType="variant">
      <vt:variant>
        <vt:i4>5177361</vt:i4>
      </vt:variant>
      <vt:variant>
        <vt:i4>249</vt:i4>
      </vt:variant>
      <vt:variant>
        <vt:i4>0</vt:i4>
      </vt:variant>
      <vt:variant>
        <vt:i4>5</vt:i4>
      </vt:variant>
      <vt:variant>
        <vt:lpwstr>https://www.aihw.gov.au/reports/primary-health-care/medicare-subsidised-health-local-areas-2019/data</vt:lpwstr>
      </vt:variant>
      <vt:variant>
        <vt:lpwstr/>
      </vt:variant>
      <vt:variant>
        <vt:i4>7078005</vt:i4>
      </vt:variant>
      <vt:variant>
        <vt:i4>246</vt:i4>
      </vt:variant>
      <vt:variant>
        <vt:i4>0</vt:i4>
      </vt:variant>
      <vt:variant>
        <vt:i4>5</vt:i4>
      </vt:variant>
      <vt:variant>
        <vt:lpwstr>https://www.aihw.gov.au/reports/primary-health-care/medicare-subsidised-health-local-areas-2021-22/data</vt:lpwstr>
      </vt:variant>
      <vt:variant>
        <vt:lpwstr/>
      </vt:variant>
      <vt:variant>
        <vt:i4>6357093</vt:i4>
      </vt:variant>
      <vt:variant>
        <vt:i4>243</vt:i4>
      </vt:variant>
      <vt:variant>
        <vt:i4>0</vt:i4>
      </vt:variant>
      <vt:variant>
        <vt:i4>5</vt:i4>
      </vt:variant>
      <vt:variant>
        <vt:lpwstr>https://www.aihw.gov.au/reports/indigenous-australians/indigenous-health-checks-follow-ups/archived-content</vt:lpwstr>
      </vt:variant>
      <vt:variant>
        <vt:lpwstr/>
      </vt:variant>
      <vt:variant>
        <vt:i4>2556004</vt:i4>
      </vt:variant>
      <vt:variant>
        <vt:i4>240</vt:i4>
      </vt:variant>
      <vt:variant>
        <vt:i4>0</vt:i4>
      </vt:variant>
      <vt:variant>
        <vt:i4>5</vt:i4>
      </vt:variant>
      <vt:variant>
        <vt:lpwstr>https://www.aihw.gov.au/reports/indigenous-australians/indigenous-health-checks-follow-ups/data</vt:lpwstr>
      </vt:variant>
      <vt:variant>
        <vt:lpwstr/>
      </vt:variant>
      <vt:variant>
        <vt:i4>1835068</vt:i4>
      </vt:variant>
      <vt:variant>
        <vt:i4>221</vt:i4>
      </vt:variant>
      <vt:variant>
        <vt:i4>0</vt:i4>
      </vt:variant>
      <vt:variant>
        <vt:i4>5</vt:i4>
      </vt:variant>
      <vt:variant>
        <vt:lpwstr/>
      </vt:variant>
      <vt:variant>
        <vt:lpwstr>_Toc132884745</vt:lpwstr>
      </vt:variant>
      <vt:variant>
        <vt:i4>1835068</vt:i4>
      </vt:variant>
      <vt:variant>
        <vt:i4>215</vt:i4>
      </vt:variant>
      <vt:variant>
        <vt:i4>0</vt:i4>
      </vt:variant>
      <vt:variant>
        <vt:i4>5</vt:i4>
      </vt:variant>
      <vt:variant>
        <vt:lpwstr/>
      </vt:variant>
      <vt:variant>
        <vt:lpwstr>_Toc132884744</vt:lpwstr>
      </vt:variant>
      <vt:variant>
        <vt:i4>1835068</vt:i4>
      </vt:variant>
      <vt:variant>
        <vt:i4>209</vt:i4>
      </vt:variant>
      <vt:variant>
        <vt:i4>0</vt:i4>
      </vt:variant>
      <vt:variant>
        <vt:i4>5</vt:i4>
      </vt:variant>
      <vt:variant>
        <vt:lpwstr/>
      </vt:variant>
      <vt:variant>
        <vt:lpwstr>_Toc132884743</vt:lpwstr>
      </vt:variant>
      <vt:variant>
        <vt:i4>1835068</vt:i4>
      </vt:variant>
      <vt:variant>
        <vt:i4>203</vt:i4>
      </vt:variant>
      <vt:variant>
        <vt:i4>0</vt:i4>
      </vt:variant>
      <vt:variant>
        <vt:i4>5</vt:i4>
      </vt:variant>
      <vt:variant>
        <vt:lpwstr/>
      </vt:variant>
      <vt:variant>
        <vt:lpwstr>_Toc132884742</vt:lpwstr>
      </vt:variant>
      <vt:variant>
        <vt:i4>1835068</vt:i4>
      </vt:variant>
      <vt:variant>
        <vt:i4>197</vt:i4>
      </vt:variant>
      <vt:variant>
        <vt:i4>0</vt:i4>
      </vt:variant>
      <vt:variant>
        <vt:i4>5</vt:i4>
      </vt:variant>
      <vt:variant>
        <vt:lpwstr/>
      </vt:variant>
      <vt:variant>
        <vt:lpwstr>_Toc132884741</vt:lpwstr>
      </vt:variant>
      <vt:variant>
        <vt:i4>1835068</vt:i4>
      </vt:variant>
      <vt:variant>
        <vt:i4>191</vt:i4>
      </vt:variant>
      <vt:variant>
        <vt:i4>0</vt:i4>
      </vt:variant>
      <vt:variant>
        <vt:i4>5</vt:i4>
      </vt:variant>
      <vt:variant>
        <vt:lpwstr/>
      </vt:variant>
      <vt:variant>
        <vt:lpwstr>_Toc132884740</vt:lpwstr>
      </vt:variant>
      <vt:variant>
        <vt:i4>1769532</vt:i4>
      </vt:variant>
      <vt:variant>
        <vt:i4>185</vt:i4>
      </vt:variant>
      <vt:variant>
        <vt:i4>0</vt:i4>
      </vt:variant>
      <vt:variant>
        <vt:i4>5</vt:i4>
      </vt:variant>
      <vt:variant>
        <vt:lpwstr/>
      </vt:variant>
      <vt:variant>
        <vt:lpwstr>_Toc132884739</vt:lpwstr>
      </vt:variant>
      <vt:variant>
        <vt:i4>1769532</vt:i4>
      </vt:variant>
      <vt:variant>
        <vt:i4>179</vt:i4>
      </vt:variant>
      <vt:variant>
        <vt:i4>0</vt:i4>
      </vt:variant>
      <vt:variant>
        <vt:i4>5</vt:i4>
      </vt:variant>
      <vt:variant>
        <vt:lpwstr/>
      </vt:variant>
      <vt:variant>
        <vt:lpwstr>_Toc132884738</vt:lpwstr>
      </vt:variant>
      <vt:variant>
        <vt:i4>1769532</vt:i4>
      </vt:variant>
      <vt:variant>
        <vt:i4>173</vt:i4>
      </vt:variant>
      <vt:variant>
        <vt:i4>0</vt:i4>
      </vt:variant>
      <vt:variant>
        <vt:i4>5</vt:i4>
      </vt:variant>
      <vt:variant>
        <vt:lpwstr/>
      </vt:variant>
      <vt:variant>
        <vt:lpwstr>_Toc132884737</vt:lpwstr>
      </vt:variant>
      <vt:variant>
        <vt:i4>1769532</vt:i4>
      </vt:variant>
      <vt:variant>
        <vt:i4>167</vt:i4>
      </vt:variant>
      <vt:variant>
        <vt:i4>0</vt:i4>
      </vt:variant>
      <vt:variant>
        <vt:i4>5</vt:i4>
      </vt:variant>
      <vt:variant>
        <vt:lpwstr/>
      </vt:variant>
      <vt:variant>
        <vt:lpwstr>_Toc132884736</vt:lpwstr>
      </vt:variant>
      <vt:variant>
        <vt:i4>1769532</vt:i4>
      </vt:variant>
      <vt:variant>
        <vt:i4>161</vt:i4>
      </vt:variant>
      <vt:variant>
        <vt:i4>0</vt:i4>
      </vt:variant>
      <vt:variant>
        <vt:i4>5</vt:i4>
      </vt:variant>
      <vt:variant>
        <vt:lpwstr/>
      </vt:variant>
      <vt:variant>
        <vt:lpwstr>_Toc132884735</vt:lpwstr>
      </vt:variant>
      <vt:variant>
        <vt:i4>1769532</vt:i4>
      </vt:variant>
      <vt:variant>
        <vt:i4>155</vt:i4>
      </vt:variant>
      <vt:variant>
        <vt:i4>0</vt:i4>
      </vt:variant>
      <vt:variant>
        <vt:i4>5</vt:i4>
      </vt:variant>
      <vt:variant>
        <vt:lpwstr/>
      </vt:variant>
      <vt:variant>
        <vt:lpwstr>_Toc132884734</vt:lpwstr>
      </vt:variant>
      <vt:variant>
        <vt:i4>1769532</vt:i4>
      </vt:variant>
      <vt:variant>
        <vt:i4>149</vt:i4>
      </vt:variant>
      <vt:variant>
        <vt:i4>0</vt:i4>
      </vt:variant>
      <vt:variant>
        <vt:i4>5</vt:i4>
      </vt:variant>
      <vt:variant>
        <vt:lpwstr/>
      </vt:variant>
      <vt:variant>
        <vt:lpwstr>_Toc132884733</vt:lpwstr>
      </vt:variant>
      <vt:variant>
        <vt:i4>1769532</vt:i4>
      </vt:variant>
      <vt:variant>
        <vt:i4>143</vt:i4>
      </vt:variant>
      <vt:variant>
        <vt:i4>0</vt:i4>
      </vt:variant>
      <vt:variant>
        <vt:i4>5</vt:i4>
      </vt:variant>
      <vt:variant>
        <vt:lpwstr/>
      </vt:variant>
      <vt:variant>
        <vt:lpwstr>_Toc132884732</vt:lpwstr>
      </vt:variant>
      <vt:variant>
        <vt:i4>1769532</vt:i4>
      </vt:variant>
      <vt:variant>
        <vt:i4>137</vt:i4>
      </vt:variant>
      <vt:variant>
        <vt:i4>0</vt:i4>
      </vt:variant>
      <vt:variant>
        <vt:i4>5</vt:i4>
      </vt:variant>
      <vt:variant>
        <vt:lpwstr/>
      </vt:variant>
      <vt:variant>
        <vt:lpwstr>_Toc132884731</vt:lpwstr>
      </vt:variant>
      <vt:variant>
        <vt:i4>1769532</vt:i4>
      </vt:variant>
      <vt:variant>
        <vt:i4>131</vt:i4>
      </vt:variant>
      <vt:variant>
        <vt:i4>0</vt:i4>
      </vt:variant>
      <vt:variant>
        <vt:i4>5</vt:i4>
      </vt:variant>
      <vt:variant>
        <vt:lpwstr/>
      </vt:variant>
      <vt:variant>
        <vt:lpwstr>_Toc132884730</vt:lpwstr>
      </vt:variant>
      <vt:variant>
        <vt:i4>1703996</vt:i4>
      </vt:variant>
      <vt:variant>
        <vt:i4>125</vt:i4>
      </vt:variant>
      <vt:variant>
        <vt:i4>0</vt:i4>
      </vt:variant>
      <vt:variant>
        <vt:i4>5</vt:i4>
      </vt:variant>
      <vt:variant>
        <vt:lpwstr/>
      </vt:variant>
      <vt:variant>
        <vt:lpwstr>_Toc132884729</vt:lpwstr>
      </vt:variant>
      <vt:variant>
        <vt:i4>1703996</vt:i4>
      </vt:variant>
      <vt:variant>
        <vt:i4>119</vt:i4>
      </vt:variant>
      <vt:variant>
        <vt:i4>0</vt:i4>
      </vt:variant>
      <vt:variant>
        <vt:i4>5</vt:i4>
      </vt:variant>
      <vt:variant>
        <vt:lpwstr/>
      </vt:variant>
      <vt:variant>
        <vt:lpwstr>_Toc132884728</vt:lpwstr>
      </vt:variant>
      <vt:variant>
        <vt:i4>1703996</vt:i4>
      </vt:variant>
      <vt:variant>
        <vt:i4>113</vt:i4>
      </vt:variant>
      <vt:variant>
        <vt:i4>0</vt:i4>
      </vt:variant>
      <vt:variant>
        <vt:i4>5</vt:i4>
      </vt:variant>
      <vt:variant>
        <vt:lpwstr/>
      </vt:variant>
      <vt:variant>
        <vt:lpwstr>_Toc132884727</vt:lpwstr>
      </vt:variant>
      <vt:variant>
        <vt:i4>1703996</vt:i4>
      </vt:variant>
      <vt:variant>
        <vt:i4>107</vt:i4>
      </vt:variant>
      <vt:variant>
        <vt:i4>0</vt:i4>
      </vt:variant>
      <vt:variant>
        <vt:i4>5</vt:i4>
      </vt:variant>
      <vt:variant>
        <vt:lpwstr/>
      </vt:variant>
      <vt:variant>
        <vt:lpwstr>_Toc132884726</vt:lpwstr>
      </vt:variant>
      <vt:variant>
        <vt:i4>1703996</vt:i4>
      </vt:variant>
      <vt:variant>
        <vt:i4>101</vt:i4>
      </vt:variant>
      <vt:variant>
        <vt:i4>0</vt:i4>
      </vt:variant>
      <vt:variant>
        <vt:i4>5</vt:i4>
      </vt:variant>
      <vt:variant>
        <vt:lpwstr/>
      </vt:variant>
      <vt:variant>
        <vt:lpwstr>_Toc132884725</vt:lpwstr>
      </vt:variant>
      <vt:variant>
        <vt:i4>1703996</vt:i4>
      </vt:variant>
      <vt:variant>
        <vt:i4>95</vt:i4>
      </vt:variant>
      <vt:variant>
        <vt:i4>0</vt:i4>
      </vt:variant>
      <vt:variant>
        <vt:i4>5</vt:i4>
      </vt:variant>
      <vt:variant>
        <vt:lpwstr/>
      </vt:variant>
      <vt:variant>
        <vt:lpwstr>_Toc132884724</vt:lpwstr>
      </vt:variant>
      <vt:variant>
        <vt:i4>1703996</vt:i4>
      </vt:variant>
      <vt:variant>
        <vt:i4>89</vt:i4>
      </vt:variant>
      <vt:variant>
        <vt:i4>0</vt:i4>
      </vt:variant>
      <vt:variant>
        <vt:i4>5</vt:i4>
      </vt:variant>
      <vt:variant>
        <vt:lpwstr/>
      </vt:variant>
      <vt:variant>
        <vt:lpwstr>_Toc132884723</vt:lpwstr>
      </vt:variant>
      <vt:variant>
        <vt:i4>1703996</vt:i4>
      </vt:variant>
      <vt:variant>
        <vt:i4>83</vt:i4>
      </vt:variant>
      <vt:variant>
        <vt:i4>0</vt:i4>
      </vt:variant>
      <vt:variant>
        <vt:i4>5</vt:i4>
      </vt:variant>
      <vt:variant>
        <vt:lpwstr/>
      </vt:variant>
      <vt:variant>
        <vt:lpwstr>_Toc132884722</vt:lpwstr>
      </vt:variant>
      <vt:variant>
        <vt:i4>1703996</vt:i4>
      </vt:variant>
      <vt:variant>
        <vt:i4>77</vt:i4>
      </vt:variant>
      <vt:variant>
        <vt:i4>0</vt:i4>
      </vt:variant>
      <vt:variant>
        <vt:i4>5</vt:i4>
      </vt:variant>
      <vt:variant>
        <vt:lpwstr/>
      </vt:variant>
      <vt:variant>
        <vt:lpwstr>_Toc132884721</vt:lpwstr>
      </vt:variant>
      <vt:variant>
        <vt:i4>1703996</vt:i4>
      </vt:variant>
      <vt:variant>
        <vt:i4>71</vt:i4>
      </vt:variant>
      <vt:variant>
        <vt:i4>0</vt:i4>
      </vt:variant>
      <vt:variant>
        <vt:i4>5</vt:i4>
      </vt:variant>
      <vt:variant>
        <vt:lpwstr/>
      </vt:variant>
      <vt:variant>
        <vt:lpwstr>_Toc132884720</vt:lpwstr>
      </vt:variant>
      <vt:variant>
        <vt:i4>1638460</vt:i4>
      </vt:variant>
      <vt:variant>
        <vt:i4>65</vt:i4>
      </vt:variant>
      <vt:variant>
        <vt:i4>0</vt:i4>
      </vt:variant>
      <vt:variant>
        <vt:i4>5</vt:i4>
      </vt:variant>
      <vt:variant>
        <vt:lpwstr/>
      </vt:variant>
      <vt:variant>
        <vt:lpwstr>_Toc132884719</vt:lpwstr>
      </vt:variant>
      <vt:variant>
        <vt:i4>1638460</vt:i4>
      </vt:variant>
      <vt:variant>
        <vt:i4>59</vt:i4>
      </vt:variant>
      <vt:variant>
        <vt:i4>0</vt:i4>
      </vt:variant>
      <vt:variant>
        <vt:i4>5</vt:i4>
      </vt:variant>
      <vt:variant>
        <vt:lpwstr/>
      </vt:variant>
      <vt:variant>
        <vt:lpwstr>_Toc132884718</vt:lpwstr>
      </vt:variant>
      <vt:variant>
        <vt:i4>1638460</vt:i4>
      </vt:variant>
      <vt:variant>
        <vt:i4>53</vt:i4>
      </vt:variant>
      <vt:variant>
        <vt:i4>0</vt:i4>
      </vt:variant>
      <vt:variant>
        <vt:i4>5</vt:i4>
      </vt:variant>
      <vt:variant>
        <vt:lpwstr/>
      </vt:variant>
      <vt:variant>
        <vt:lpwstr>_Toc132884717</vt:lpwstr>
      </vt:variant>
      <vt:variant>
        <vt:i4>1638460</vt:i4>
      </vt:variant>
      <vt:variant>
        <vt:i4>47</vt:i4>
      </vt:variant>
      <vt:variant>
        <vt:i4>0</vt:i4>
      </vt:variant>
      <vt:variant>
        <vt:i4>5</vt:i4>
      </vt:variant>
      <vt:variant>
        <vt:lpwstr/>
      </vt:variant>
      <vt:variant>
        <vt:lpwstr>_Toc132884716</vt:lpwstr>
      </vt:variant>
      <vt:variant>
        <vt:i4>1638460</vt:i4>
      </vt:variant>
      <vt:variant>
        <vt:i4>41</vt:i4>
      </vt:variant>
      <vt:variant>
        <vt:i4>0</vt:i4>
      </vt:variant>
      <vt:variant>
        <vt:i4>5</vt:i4>
      </vt:variant>
      <vt:variant>
        <vt:lpwstr/>
      </vt:variant>
      <vt:variant>
        <vt:lpwstr>_Toc132884715</vt:lpwstr>
      </vt:variant>
      <vt:variant>
        <vt:i4>1638460</vt:i4>
      </vt:variant>
      <vt:variant>
        <vt:i4>35</vt:i4>
      </vt:variant>
      <vt:variant>
        <vt:i4>0</vt:i4>
      </vt:variant>
      <vt:variant>
        <vt:i4>5</vt:i4>
      </vt:variant>
      <vt:variant>
        <vt:lpwstr/>
      </vt:variant>
      <vt:variant>
        <vt:lpwstr>_Toc132884714</vt:lpwstr>
      </vt:variant>
      <vt:variant>
        <vt:i4>1638460</vt:i4>
      </vt:variant>
      <vt:variant>
        <vt:i4>29</vt:i4>
      </vt:variant>
      <vt:variant>
        <vt:i4>0</vt:i4>
      </vt:variant>
      <vt:variant>
        <vt:i4>5</vt:i4>
      </vt:variant>
      <vt:variant>
        <vt:lpwstr/>
      </vt:variant>
      <vt:variant>
        <vt:lpwstr>_Toc132884713</vt:lpwstr>
      </vt:variant>
      <vt:variant>
        <vt:i4>1638460</vt:i4>
      </vt:variant>
      <vt:variant>
        <vt:i4>23</vt:i4>
      </vt:variant>
      <vt:variant>
        <vt:i4>0</vt:i4>
      </vt:variant>
      <vt:variant>
        <vt:i4>5</vt:i4>
      </vt:variant>
      <vt:variant>
        <vt:lpwstr/>
      </vt:variant>
      <vt:variant>
        <vt:lpwstr>_Toc132884712</vt:lpwstr>
      </vt:variant>
      <vt:variant>
        <vt:i4>1638460</vt:i4>
      </vt:variant>
      <vt:variant>
        <vt:i4>17</vt:i4>
      </vt:variant>
      <vt:variant>
        <vt:i4>0</vt:i4>
      </vt:variant>
      <vt:variant>
        <vt:i4>5</vt:i4>
      </vt:variant>
      <vt:variant>
        <vt:lpwstr/>
      </vt:variant>
      <vt:variant>
        <vt:lpwstr>_Toc132884711</vt:lpwstr>
      </vt:variant>
      <vt:variant>
        <vt:i4>1638460</vt:i4>
      </vt:variant>
      <vt:variant>
        <vt:i4>11</vt:i4>
      </vt:variant>
      <vt:variant>
        <vt:i4>0</vt:i4>
      </vt:variant>
      <vt:variant>
        <vt:i4>5</vt:i4>
      </vt:variant>
      <vt:variant>
        <vt:lpwstr/>
      </vt:variant>
      <vt:variant>
        <vt:lpwstr>_Toc132884710</vt:lpwstr>
      </vt:variant>
      <vt:variant>
        <vt:i4>1572924</vt:i4>
      </vt:variant>
      <vt:variant>
        <vt:i4>5</vt:i4>
      </vt:variant>
      <vt:variant>
        <vt:i4>0</vt:i4>
      </vt:variant>
      <vt:variant>
        <vt:i4>5</vt:i4>
      </vt:variant>
      <vt:variant>
        <vt:lpwstr/>
      </vt:variant>
      <vt:variant>
        <vt:lpwstr>_Toc132884709</vt:lpwstr>
      </vt:variant>
      <vt:variant>
        <vt:i4>7798796</vt:i4>
      </vt:variant>
      <vt:variant>
        <vt:i4>0</vt:i4>
      </vt:variant>
      <vt:variant>
        <vt:i4>0</vt:i4>
      </vt:variant>
      <vt:variant>
        <vt:i4>5</vt:i4>
      </vt:variant>
      <vt:variant>
        <vt:lpwstr>mailto:copyright@health.gov.au</vt:lpwstr>
      </vt:variant>
      <vt:variant>
        <vt:lpwstr/>
      </vt:variant>
      <vt:variant>
        <vt:i4>7012398</vt:i4>
      </vt:variant>
      <vt:variant>
        <vt:i4>0</vt:i4>
      </vt:variant>
      <vt:variant>
        <vt:i4>0</vt:i4>
      </vt:variant>
      <vt:variant>
        <vt:i4>5</vt:i4>
      </vt:variant>
      <vt:variant>
        <vt:lpwstr>http://www.racgp.org.au/running-a-practice/practice-standards/standards-5th-edition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 and Aged Care</dc:creator>
  <cp:keywords/>
  <dc:description/>
  <cp:lastModifiedBy>ARNOLD, Max</cp:lastModifiedBy>
  <cp:revision>3</cp:revision>
  <dcterms:created xsi:type="dcterms:W3CDTF">2023-06-01T00:17:00Z</dcterms:created>
  <dcterms:modified xsi:type="dcterms:W3CDTF">2023-06-01T00:20:00Z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y fmtid="{D5CDD505-2E9C-101B-9397-08002B2CF9AE}" pid="3" name="Host Area">
    <vt:lpwstr>4;#Primary Health Networks Branch|bd24f1ea-50d5-44e0-a7e6-d904956990c2</vt:lpwstr>
  </property>
  <property fmtid="{D5CDD505-2E9C-101B-9397-08002B2CF9AE}" pid="4" name="MediaServiceImageTags">
    <vt:lpwstr/>
  </property>
</Properties>
</file>