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B01E7" w14:textId="17BD9DF0" w:rsidR="00FF7DCE" w:rsidRPr="00FF7DCE" w:rsidRDefault="00EF46F4" w:rsidP="00EF46F4">
      <w:pPr>
        <w:pStyle w:val="Heading1"/>
      </w:pPr>
      <w:bookmarkStart w:id="0" w:name="_Hlk138160096"/>
      <w:r>
        <w:t>Post-Acute Sequelae of COVID-19 (</w:t>
      </w:r>
      <w:r w:rsidR="00BE79F1">
        <w:t>PASC</w:t>
      </w:r>
      <w:r>
        <w:t xml:space="preserve">) Research Plan </w:t>
      </w:r>
      <w:bookmarkEnd w:id="0"/>
      <w:r w:rsidR="00CF2A5C">
        <w:t>Expert A</w:t>
      </w:r>
      <w:r w:rsidR="00A64754">
        <w:t>dvisory Panel</w:t>
      </w:r>
    </w:p>
    <w:p w14:paraId="057000D4" w14:textId="77777777" w:rsidR="00FF7DCE" w:rsidRPr="00CF2A5C" w:rsidRDefault="00FF7DCE" w:rsidP="008B5CF2">
      <w:pPr>
        <w:pStyle w:val="Heading2"/>
      </w:pPr>
      <w:r w:rsidRPr="00CF2A5C">
        <w:rPr>
          <w:rStyle w:val="Strong"/>
          <w:b/>
          <w:bCs/>
        </w:rPr>
        <w:t>Terms of reference</w:t>
      </w:r>
    </w:p>
    <w:p w14:paraId="2D3CEB3C" w14:textId="11A37056" w:rsidR="00A64754" w:rsidRPr="00CF2A5C" w:rsidRDefault="00A64754" w:rsidP="008B5CF2">
      <w:pPr>
        <w:pStyle w:val="Heading3"/>
      </w:pPr>
      <w:r w:rsidRPr="00CF2A5C">
        <w:t>P</w:t>
      </w:r>
      <w:r>
        <w:t>reamble</w:t>
      </w:r>
    </w:p>
    <w:p w14:paraId="3595E360" w14:textId="65D07A5C" w:rsidR="008B5CF2" w:rsidRPr="008B5CF2" w:rsidRDefault="008B5CF2" w:rsidP="008B5CF2">
      <w:r w:rsidRPr="008B5CF2">
        <w:t xml:space="preserve">The Medical Research Future Fund (MRFF) </w:t>
      </w:r>
      <w:hyperlink r:id="rId11" w:history="1">
        <w:r w:rsidRPr="008B5CF2">
          <w:rPr>
            <w:rStyle w:val="Hyperlink"/>
          </w:rPr>
          <w:t>Emerging Priorities and Consumer-Driven Research initiative</w:t>
        </w:r>
      </w:hyperlink>
      <w:r w:rsidRPr="008B5CF2">
        <w:t xml:space="preserve"> is providing $613 million over 10 years from 2022-23 to support research to improve patient care, translate new discoveries into clinical practice and encourage researchers to work together with consumers.</w:t>
      </w:r>
    </w:p>
    <w:p w14:paraId="149A3F5F" w14:textId="53D796E9" w:rsidR="00EF46F4" w:rsidRDefault="00EF46F4" w:rsidP="00AC4750">
      <w:pPr>
        <w:rPr>
          <w:b/>
          <w:bCs/>
        </w:rPr>
      </w:pPr>
      <w:r w:rsidRPr="00EF46F4">
        <w:t>This initiative will provide $50 million in funding to support the Government’s priority of improving outcomes</w:t>
      </w:r>
      <w:r>
        <w:t xml:space="preserve"> </w:t>
      </w:r>
      <w:r w:rsidRPr="00EF46F4">
        <w:t>for those experiencing Post-Acute Sequelae of COVID-19 (PASC), also known as long COVID, through the</w:t>
      </w:r>
      <w:r>
        <w:t xml:space="preserve"> </w:t>
      </w:r>
      <w:r w:rsidRPr="00EF46F4">
        <w:t xml:space="preserve">development and implementation of the </w:t>
      </w:r>
      <w:r w:rsidR="00F07DAD">
        <w:t>MRFF PASC</w:t>
      </w:r>
      <w:r w:rsidRPr="00EF46F4">
        <w:t xml:space="preserve"> Research Plan, which will support delivery of the</w:t>
      </w:r>
      <w:r>
        <w:t xml:space="preserve"> </w:t>
      </w:r>
      <w:r w:rsidRPr="00740029">
        <w:t>National PASC Plan</w:t>
      </w:r>
      <w:r w:rsidRPr="00EF46F4">
        <w:t>.</w:t>
      </w:r>
    </w:p>
    <w:p w14:paraId="7265886E" w14:textId="51BB2C2B" w:rsidR="00CF2A5C" w:rsidRPr="00CF2A5C" w:rsidRDefault="00CF2A5C" w:rsidP="00EF46F4">
      <w:pPr>
        <w:pStyle w:val="Heading3"/>
      </w:pPr>
      <w:r w:rsidRPr="00CF2A5C">
        <w:t>Purpose of the Expert Advisory Panel (EAP)</w:t>
      </w:r>
    </w:p>
    <w:p w14:paraId="5A7C4373" w14:textId="18C2140F" w:rsidR="00EF46F4" w:rsidRPr="00EF46F4" w:rsidRDefault="00EF46F4" w:rsidP="00EF46F4">
      <w:r w:rsidRPr="00EF46F4">
        <w:t>The EAP will provide the Minister for Health and Aged Care advice on research investments required to meet</w:t>
      </w:r>
      <w:r>
        <w:t xml:space="preserve"> </w:t>
      </w:r>
      <w:r w:rsidRPr="00EF46F4">
        <w:t>the following objectives:</w:t>
      </w:r>
    </w:p>
    <w:p w14:paraId="322C3B97" w14:textId="12AB6999" w:rsidR="00EF46F4" w:rsidRPr="00EF46F4" w:rsidRDefault="00EF46F4" w:rsidP="00AA55CD">
      <w:pPr>
        <w:pStyle w:val="ListParagraph"/>
        <w:numPr>
          <w:ilvl w:val="0"/>
          <w:numId w:val="23"/>
        </w:numPr>
      </w:pPr>
      <w:r w:rsidRPr="00EF46F4">
        <w:t>generate evidence on the current and future impacts of PASC in the specific Australian context (including</w:t>
      </w:r>
      <w:r>
        <w:t xml:space="preserve"> </w:t>
      </w:r>
      <w:r w:rsidRPr="00EF46F4">
        <w:t xml:space="preserve">individual health and </w:t>
      </w:r>
      <w:r w:rsidR="00F07DAD" w:rsidRPr="00EF46F4">
        <w:t>wellbeing</w:t>
      </w:r>
      <w:r w:rsidRPr="00EF46F4">
        <w:t>, carers, communities, health system)</w:t>
      </w:r>
    </w:p>
    <w:p w14:paraId="491D499E" w14:textId="2688F6E4" w:rsidR="00EF46F4" w:rsidRPr="00EF46F4" w:rsidRDefault="00EF46F4" w:rsidP="00D6615E">
      <w:pPr>
        <w:pStyle w:val="ListParagraph"/>
        <w:numPr>
          <w:ilvl w:val="0"/>
          <w:numId w:val="23"/>
        </w:numPr>
      </w:pPr>
      <w:r w:rsidRPr="00EF46F4">
        <w:t>design and evaluate clinical pathways and models of care, co-led by general practitioners and primary</w:t>
      </w:r>
      <w:r>
        <w:t xml:space="preserve"> </w:t>
      </w:r>
      <w:r w:rsidRPr="00EF46F4">
        <w:t>care, for Australians with PASC, including to address inequities in access and outcomes</w:t>
      </w:r>
    </w:p>
    <w:p w14:paraId="600C200E" w14:textId="0D3FFBFB" w:rsidR="00EF46F4" w:rsidRPr="00EF46F4" w:rsidRDefault="00EF46F4" w:rsidP="007D314B">
      <w:pPr>
        <w:pStyle w:val="ListParagraph"/>
        <w:numPr>
          <w:ilvl w:val="0"/>
          <w:numId w:val="23"/>
        </w:numPr>
      </w:pPr>
      <w:r w:rsidRPr="00EF46F4">
        <w:t>generate new therapeutic approaches to prevent the occurrence of PASC and/or improve health</w:t>
      </w:r>
      <w:r>
        <w:t xml:space="preserve"> </w:t>
      </w:r>
      <w:r w:rsidRPr="00EF46F4">
        <w:t>outcomes for individuals with PASC.</w:t>
      </w:r>
    </w:p>
    <w:p w14:paraId="0E71B3F2" w14:textId="5AB060E5" w:rsidR="00EF46F4" w:rsidRDefault="00EF46F4" w:rsidP="00EF46F4">
      <w:r w:rsidRPr="00EF46F4">
        <w:t>In developing advice, the EAP is to consider priority populations, including but not limited to people living in</w:t>
      </w:r>
      <w:r>
        <w:t xml:space="preserve"> </w:t>
      </w:r>
      <w:r w:rsidRPr="00EF46F4">
        <w:t>rural, regional and remote communities, First Nations, and Culturally and Linguistically Diverse people.</w:t>
      </w:r>
    </w:p>
    <w:p w14:paraId="18FEA729" w14:textId="04FA3937" w:rsidR="00CF2A5C" w:rsidRPr="00CF2A5C" w:rsidRDefault="00CF2A5C" w:rsidP="00EF46F4">
      <w:pPr>
        <w:pStyle w:val="Heading3"/>
        <w:keepNext/>
      </w:pPr>
      <w:r w:rsidRPr="00CF2A5C">
        <w:lastRenderedPageBreak/>
        <w:t>Key deliverables</w:t>
      </w:r>
    </w:p>
    <w:p w14:paraId="13122913" w14:textId="54FEBDF7" w:rsidR="00EF46F4" w:rsidRPr="00EF46F4" w:rsidRDefault="00EF46F4" w:rsidP="00EF46F4">
      <w:r w:rsidRPr="00EF46F4">
        <w:t xml:space="preserve">The EAP will provide advice on priorities for research investment by developing the MRFF </w:t>
      </w:r>
      <w:r w:rsidR="00F07DAD">
        <w:t>PASC</w:t>
      </w:r>
      <w:r>
        <w:rPr>
          <w:b/>
          <w:bCs/>
        </w:rPr>
        <w:t xml:space="preserve"> </w:t>
      </w:r>
      <w:r w:rsidRPr="00EF46F4">
        <w:t>Research Plan, outlining the short (1-2 years) and medium (3-4 years) term priorities for the $50 million</w:t>
      </w:r>
      <w:r>
        <w:rPr>
          <w:b/>
          <w:bCs/>
        </w:rPr>
        <w:t xml:space="preserve"> </w:t>
      </w:r>
      <w:r w:rsidRPr="00EF46F4">
        <w:t>made available through the MRFF.</w:t>
      </w:r>
    </w:p>
    <w:p w14:paraId="2A2E352F" w14:textId="167F2D01" w:rsidR="00EF46F4" w:rsidRDefault="00EF46F4" w:rsidP="00EF46F4">
      <w:pPr>
        <w:rPr>
          <w:b/>
          <w:bCs/>
        </w:rPr>
      </w:pPr>
      <w:r w:rsidRPr="00EF46F4">
        <w:t xml:space="preserve">In doing so, the EAP will consider the outcomes the </w:t>
      </w:r>
      <w:hyperlink r:id="rId12" w:history="1">
        <w:r w:rsidRPr="00A57521">
          <w:rPr>
            <w:rStyle w:val="Hyperlink"/>
          </w:rPr>
          <w:t>House of Representatives Inquiry into Long COVID and</w:t>
        </w:r>
        <w:r w:rsidRPr="00A57521">
          <w:rPr>
            <w:rStyle w:val="Hyperlink"/>
            <w:b/>
            <w:bCs/>
          </w:rPr>
          <w:t xml:space="preserve"> </w:t>
        </w:r>
        <w:r w:rsidRPr="00A57521">
          <w:rPr>
            <w:rStyle w:val="Hyperlink"/>
          </w:rPr>
          <w:t>Repeated COVID Infection</w:t>
        </w:r>
      </w:hyperlink>
      <w:r w:rsidRPr="00EF46F4">
        <w:t xml:space="preserve">, the </w:t>
      </w:r>
      <w:r w:rsidRPr="00740029">
        <w:t>National PASC Plan</w:t>
      </w:r>
      <w:r w:rsidRPr="00EF46F4">
        <w:t>, and national (including state and territory based)</w:t>
      </w:r>
      <w:r>
        <w:rPr>
          <w:b/>
          <w:bCs/>
        </w:rPr>
        <w:t xml:space="preserve"> </w:t>
      </w:r>
      <w:r w:rsidRPr="00EF46F4">
        <w:t>and international knowledge and experiences. The EAP will also consider existing Australian Government</w:t>
      </w:r>
      <w:r>
        <w:rPr>
          <w:b/>
          <w:bCs/>
        </w:rPr>
        <w:t xml:space="preserve"> </w:t>
      </w:r>
      <w:r w:rsidRPr="00EF46F4">
        <w:t>investments in PASC, including the Long COVID Register managed by the Australian Institute of Health and</w:t>
      </w:r>
      <w:r>
        <w:rPr>
          <w:b/>
          <w:bCs/>
        </w:rPr>
        <w:t xml:space="preserve"> </w:t>
      </w:r>
      <w:r w:rsidRPr="00EF46F4">
        <w:t>Welfare.</w:t>
      </w:r>
    </w:p>
    <w:p w14:paraId="3723746D" w14:textId="71D04541" w:rsidR="00CF2A5C" w:rsidRPr="00CF2A5C" w:rsidRDefault="00CF2A5C" w:rsidP="00EF46F4">
      <w:pPr>
        <w:pStyle w:val="Heading3"/>
      </w:pPr>
      <w:r w:rsidRPr="00CF2A5C">
        <w:t>Membership</w:t>
      </w:r>
    </w:p>
    <w:p w14:paraId="143757CA" w14:textId="2E7C4C3F" w:rsidR="00EF46F4" w:rsidRDefault="00EF46F4" w:rsidP="00EF46F4">
      <w:r>
        <w:t xml:space="preserve">The EAP will consist of up to 9 members including the Chair and an international member. </w:t>
      </w:r>
    </w:p>
    <w:p w14:paraId="793C2506" w14:textId="535AF3A7" w:rsidR="00EF46F4" w:rsidRDefault="00EF46F4" w:rsidP="00EF46F4">
      <w:r>
        <w:t>The international member will be a researcher with expertise in PASC and/or other post-viral syndromes, who understands the Australian system and relevant activities occurring internationally. At least one member will be a consumer representative.</w:t>
      </w:r>
    </w:p>
    <w:p w14:paraId="30326F3B" w14:textId="7E8A7A05" w:rsidR="00EF46F4" w:rsidRDefault="00EF46F4" w:rsidP="00EF46F4">
      <w:r>
        <w:t>All other members will have research or clinical expertise or experience in PASC and/or other post-viral syndromes or health service delivery with a focus on primary care and health system implementation.</w:t>
      </w:r>
    </w:p>
    <w:p w14:paraId="0DF32CCE" w14:textId="4BCA8D16" w:rsidR="00EF46F4" w:rsidRDefault="00EF46F4" w:rsidP="00EF46F4">
      <w:r>
        <w:t xml:space="preserve">An </w:t>
      </w:r>
      <w:hyperlink r:id="rId13" w:history="1">
        <w:r w:rsidRPr="00E85DE9">
          <w:rPr>
            <w:rStyle w:val="Hyperlink"/>
          </w:rPr>
          <w:t>Australian Medical Research Advisory Board (AMRAB)</w:t>
        </w:r>
      </w:hyperlink>
      <w:r w:rsidRPr="008B5CF2">
        <w:t xml:space="preserve"> representative </w:t>
      </w:r>
      <w:r>
        <w:t xml:space="preserve">will be selected to attend EAP meetings to support the strategic alignment of </w:t>
      </w:r>
      <w:r w:rsidR="00F07DAD" w:rsidRPr="00EF46F4">
        <w:t xml:space="preserve">MRFF </w:t>
      </w:r>
      <w:r w:rsidR="00F07DAD">
        <w:t>PASC</w:t>
      </w:r>
      <w:r>
        <w:t xml:space="preserve"> Research Plan priorities with the MRFF more broadly.</w:t>
      </w:r>
    </w:p>
    <w:p w14:paraId="36B3924F" w14:textId="77777777" w:rsidR="00EF46F4" w:rsidRDefault="00EF46F4" w:rsidP="00EF46F4">
      <w:r>
        <w:t>Professor Michael Kidd, Deputy Chief Medical Officer Primary Health Care and Adjunct Professor Ruth Stewart, National Rural Health Commissioner, will be ex-officio members.</w:t>
      </w:r>
    </w:p>
    <w:p w14:paraId="7FA99016" w14:textId="5D5E01C0" w:rsidR="00CF2A5C" w:rsidRPr="00CF2A5C" w:rsidRDefault="00CF2A5C" w:rsidP="008B5CF2">
      <w:pPr>
        <w:pStyle w:val="Heading3"/>
      </w:pPr>
      <w:r w:rsidRPr="00CF2A5C">
        <w:t>Term</w:t>
      </w:r>
    </w:p>
    <w:p w14:paraId="378B828F" w14:textId="06B4F352" w:rsidR="00EF46F4" w:rsidRDefault="00EF46F4" w:rsidP="00EF46F4">
      <w:pPr>
        <w:rPr>
          <w:b/>
          <w:bCs/>
        </w:rPr>
      </w:pPr>
      <w:r w:rsidRPr="00EF46F4">
        <w:t>Members will be selected and appointed by the Minister for Health and Aged Care for a 6-month term, to</w:t>
      </w:r>
      <w:r>
        <w:t xml:space="preserve"> </w:t>
      </w:r>
      <w:r w:rsidRPr="00EF46F4">
        <w:t xml:space="preserve">establish the MRFF PASC Research Plan by July 2023. </w:t>
      </w:r>
    </w:p>
    <w:p w14:paraId="3340E44E" w14:textId="7B103343" w:rsidR="00CF2A5C" w:rsidRPr="00CF2A5C" w:rsidRDefault="00CF2A5C" w:rsidP="00EF46F4">
      <w:pPr>
        <w:pStyle w:val="Heading3"/>
      </w:pPr>
      <w:r w:rsidRPr="00CF2A5C">
        <w:t>Member applications for MRFF funding</w:t>
      </w:r>
    </w:p>
    <w:p w14:paraId="4FCEB5E0" w14:textId="34937576" w:rsidR="00EF46F4" w:rsidRPr="00EF46F4" w:rsidRDefault="00EF46F4" w:rsidP="00EF46F4">
      <w:r w:rsidRPr="00EF46F4">
        <w:t xml:space="preserve">Members will be ineligible to apply for funding from the </w:t>
      </w:r>
      <w:r w:rsidR="00F07DAD" w:rsidRPr="00EF46F4">
        <w:t xml:space="preserve">MRFF </w:t>
      </w:r>
      <w:r w:rsidR="00F07DAD">
        <w:t>PASC</w:t>
      </w:r>
      <w:r w:rsidRPr="00EF46F4">
        <w:t xml:space="preserve"> Research Plan grant opportunities that open</w:t>
      </w:r>
      <w:r>
        <w:t xml:space="preserve"> </w:t>
      </w:r>
      <w:r w:rsidRPr="00EF46F4">
        <w:t>during the term of the EAP and for one year following the cessation of the EAP. Members will be able to</w:t>
      </w:r>
      <w:r>
        <w:t xml:space="preserve"> </w:t>
      </w:r>
      <w:r w:rsidRPr="00EF46F4">
        <w:t xml:space="preserve">apply for MRFF grant opportunities outside of the </w:t>
      </w:r>
      <w:r w:rsidR="00F07DAD" w:rsidRPr="00EF46F4">
        <w:t xml:space="preserve">MRFF </w:t>
      </w:r>
      <w:r w:rsidRPr="00EF46F4">
        <w:t>PASC Research Plan during this time.</w:t>
      </w:r>
    </w:p>
    <w:p w14:paraId="7663D87E" w14:textId="77777777" w:rsidR="00EF46F4" w:rsidRPr="00EF46F4" w:rsidRDefault="00EF46F4" w:rsidP="00AC4750">
      <w:pPr>
        <w:pStyle w:val="Heading3"/>
        <w:keepNext/>
      </w:pPr>
      <w:r w:rsidRPr="00EF46F4">
        <w:lastRenderedPageBreak/>
        <w:t>Categorisation of PASC</w:t>
      </w:r>
    </w:p>
    <w:p w14:paraId="01EA5617" w14:textId="55C4BB57" w:rsidR="00EF46F4" w:rsidRPr="00EF46F4" w:rsidRDefault="00EF46F4" w:rsidP="00AC4750">
      <w:pPr>
        <w:keepNext/>
        <w:rPr>
          <w:b/>
          <w:bCs/>
        </w:rPr>
      </w:pPr>
      <w:r w:rsidRPr="00EF46F4">
        <w:t xml:space="preserve">There are broadly </w:t>
      </w:r>
      <w:r w:rsidR="00A57521">
        <w:t>3</w:t>
      </w:r>
      <w:r w:rsidRPr="00EF46F4">
        <w:t xml:space="preserve"> categories through which the term ‘PASC’ can be understood, as each generally</w:t>
      </w:r>
      <w:r>
        <w:t xml:space="preserve"> </w:t>
      </w:r>
      <w:r w:rsidRPr="00EF46F4">
        <w:t>requires different levels and types of health care.</w:t>
      </w:r>
    </w:p>
    <w:p w14:paraId="12B67A5D" w14:textId="1EB5721D" w:rsidR="00EF46F4" w:rsidRPr="00EF46F4" w:rsidRDefault="00EF46F4" w:rsidP="00EF46F4">
      <w:pPr>
        <w:pStyle w:val="ListParagraph"/>
        <w:numPr>
          <w:ilvl w:val="0"/>
          <w:numId w:val="26"/>
        </w:numPr>
      </w:pPr>
      <w:r w:rsidRPr="00EF46F4">
        <w:t>Post-viral syndrome: Short-term and most common. Symptoms of post-viral syndrome generally self</w:t>
      </w:r>
      <w:r w:rsidRPr="00EF46F4">
        <w:rPr>
          <w:b/>
          <w:bCs/>
        </w:rPr>
        <w:t>-</w:t>
      </w:r>
      <w:r w:rsidRPr="00EF46F4">
        <w:t>resolve</w:t>
      </w:r>
      <w:r w:rsidRPr="00EF46F4">
        <w:rPr>
          <w:b/>
          <w:bCs/>
        </w:rPr>
        <w:t xml:space="preserve"> </w:t>
      </w:r>
      <w:r w:rsidRPr="00EF46F4">
        <w:t xml:space="preserve">within </w:t>
      </w:r>
      <w:r w:rsidR="00A57521">
        <w:t>3</w:t>
      </w:r>
      <w:r w:rsidRPr="00EF46F4">
        <w:t xml:space="preserve"> to </w:t>
      </w:r>
      <w:r w:rsidR="00A57521">
        <w:t>6</w:t>
      </w:r>
      <w:r w:rsidRPr="00EF46F4">
        <w:t xml:space="preserve"> months. People with post-viral syndrome may require management in</w:t>
      </w:r>
      <w:r w:rsidRPr="00EF46F4">
        <w:rPr>
          <w:b/>
          <w:bCs/>
        </w:rPr>
        <w:t xml:space="preserve"> </w:t>
      </w:r>
      <w:r w:rsidRPr="00EF46F4">
        <w:t>primary care, including support and reassurance from their General Practitioner.</w:t>
      </w:r>
    </w:p>
    <w:p w14:paraId="06E1DC67" w14:textId="2F3D121D" w:rsidR="00EF46F4" w:rsidRPr="00EF46F4" w:rsidRDefault="00EF46F4" w:rsidP="00EF46F4">
      <w:pPr>
        <w:pStyle w:val="ListParagraph"/>
        <w:numPr>
          <w:ilvl w:val="0"/>
          <w:numId w:val="26"/>
        </w:numPr>
      </w:pPr>
      <w:r w:rsidRPr="00EF46F4">
        <w:t>Disease and organ-specific conditions: Some people will experience medical conditions following COVID-19 that are medically explainable and readily diagnosable. In addition to management in primary care, supported by allied health, these people will require access to specialist care for management.</w:t>
      </w:r>
    </w:p>
    <w:p w14:paraId="1D931AA1" w14:textId="4CBD4492" w:rsidR="00EF46F4" w:rsidRPr="00EF46F4" w:rsidRDefault="00EF46F4" w:rsidP="00EF46F4">
      <w:pPr>
        <w:pStyle w:val="ListParagraph"/>
        <w:numPr>
          <w:ilvl w:val="0"/>
          <w:numId w:val="26"/>
        </w:numPr>
      </w:pPr>
      <w:r w:rsidRPr="00EF46F4">
        <w:t xml:space="preserve">Medically unexplained conditions: A small proportion of people will experience medically unexplained sequelae that persist beyond </w:t>
      </w:r>
      <w:r w:rsidR="00A57521">
        <w:t>3</w:t>
      </w:r>
      <w:r w:rsidRPr="00EF46F4">
        <w:t xml:space="preserve"> to </w:t>
      </w:r>
      <w:r w:rsidR="00A57521">
        <w:t>6</w:t>
      </w:r>
      <w:r w:rsidRPr="00EF46F4">
        <w:t xml:space="preserve"> months, are difficult to diagnose and manage, and require specific multidisciplinary </w:t>
      </w:r>
      <w:proofErr w:type="gramStart"/>
      <w:r w:rsidRPr="00EF46F4">
        <w:t>care;</w:t>
      </w:r>
      <w:proofErr w:type="gramEnd"/>
      <w:r w:rsidRPr="00EF46F4">
        <w:t xml:space="preserve"> such as postural orthostatic tachycardia syndrome, fibromyalgia</w:t>
      </w:r>
      <w:r w:rsidRPr="00EF46F4">
        <w:rPr>
          <w:b/>
          <w:bCs/>
        </w:rPr>
        <w:t xml:space="preserve"> </w:t>
      </w:r>
      <w:r w:rsidRPr="00EF46F4">
        <w:t>syndrome, and post infectious fatigue syndrome.</w:t>
      </w:r>
    </w:p>
    <w:p w14:paraId="2DCBAF9D" w14:textId="7F452007" w:rsidR="00EF46F4" w:rsidRDefault="00EF46F4" w:rsidP="00EF46F4">
      <w:pPr>
        <w:rPr>
          <w:b/>
          <w:bCs/>
        </w:rPr>
      </w:pPr>
      <w:r w:rsidRPr="00EF46F4">
        <w:t>Some consideration should also be given to those who develop post-Intensive Care Unit (ICU) syndrome</w:t>
      </w:r>
      <w:r>
        <w:rPr>
          <w:b/>
          <w:bCs/>
        </w:rPr>
        <w:t xml:space="preserve"> </w:t>
      </w:r>
      <w:r w:rsidRPr="00EF46F4">
        <w:t>following ICU admission due to COVID-19.</w:t>
      </w:r>
    </w:p>
    <w:p w14:paraId="18B4BE4A" w14:textId="4DF792E8" w:rsidR="00CF2A5C" w:rsidRPr="00CF2A5C" w:rsidRDefault="00CF2A5C" w:rsidP="00EF46F4">
      <w:pPr>
        <w:pStyle w:val="Heading3"/>
        <w:keepNext/>
      </w:pPr>
      <w:r w:rsidRPr="00CF2A5C">
        <w:t>Logistical Arrangements</w:t>
      </w:r>
    </w:p>
    <w:p w14:paraId="68F4CA96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>EAP meetings will be held on an as required basis and at the discretion of the Chair.</w:t>
      </w:r>
    </w:p>
    <w:p w14:paraId="120CD50E" w14:textId="24246BB5" w:rsidR="00CF2A5C" w:rsidRPr="00CF2A5C" w:rsidRDefault="00CF2A5C" w:rsidP="00A64754">
      <w:pPr>
        <w:pStyle w:val="Default"/>
        <w:numPr>
          <w:ilvl w:val="0"/>
          <w:numId w:val="12"/>
        </w:numPr>
        <w:spacing w:before="120"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It is expected that 3-6 meetings will be required to draft the </w:t>
      </w:r>
      <w:r w:rsidR="00F07DAD">
        <w:rPr>
          <w:rFonts w:ascii="Segoe UI" w:hAnsi="Segoe UI" w:cs="Segoe UI"/>
          <w:bCs/>
          <w:color w:val="auto"/>
          <w:sz w:val="22"/>
          <w:szCs w:val="22"/>
        </w:rPr>
        <w:t xml:space="preserve">MRFF </w:t>
      </w:r>
      <w:r w:rsidR="00833177">
        <w:rPr>
          <w:rFonts w:ascii="Segoe UI" w:hAnsi="Segoe UI" w:cs="Segoe UI"/>
          <w:bCs/>
          <w:color w:val="auto"/>
          <w:sz w:val="22"/>
          <w:szCs w:val="22"/>
        </w:rPr>
        <w:t xml:space="preserve">PASC </w:t>
      </w:r>
      <w:r w:rsidRPr="00CF2A5C">
        <w:rPr>
          <w:rFonts w:ascii="Segoe UI" w:hAnsi="Segoe UI" w:cs="Segoe UI"/>
          <w:color w:val="auto"/>
          <w:sz w:val="22"/>
          <w:szCs w:val="22"/>
        </w:rPr>
        <w:t>Research Plan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>.</w:t>
      </w:r>
    </w:p>
    <w:p w14:paraId="11563788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If a </w:t>
      </w:r>
      <w:r w:rsidRPr="00CF2A5C">
        <w:rPr>
          <w:rFonts w:ascii="Segoe UI" w:hAnsi="Segoe UI" w:cs="Segoe UI"/>
          <w:color w:val="auto"/>
          <w:sz w:val="22"/>
          <w:szCs w:val="22"/>
        </w:rPr>
        <w:t>member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is unable to attend, proxies will not be permitted.</w:t>
      </w:r>
    </w:p>
    <w:p w14:paraId="339D0DC9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If </w:t>
      </w:r>
      <w:r w:rsidRPr="00CF2A5C">
        <w:rPr>
          <w:rFonts w:ascii="Segoe UI" w:hAnsi="Segoe UI" w:cs="Segoe UI"/>
          <w:color w:val="auto"/>
          <w:sz w:val="22"/>
          <w:szCs w:val="22"/>
        </w:rPr>
        <w:t>required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>, arrangements will be made to seek agreement to items utilising out-of-session arrangements.</w:t>
      </w:r>
    </w:p>
    <w:p w14:paraId="2B26A665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>Papers for meetings will be provided to EAP members at least one week prior to the scheduled meeting.</w:t>
      </w:r>
    </w:p>
    <w:p w14:paraId="04CA4A62" w14:textId="0F1C040F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The </w:t>
      </w:r>
      <w:r w:rsidRPr="00CF2A5C">
        <w:rPr>
          <w:rFonts w:ascii="Segoe UI" w:hAnsi="Segoe UI" w:cs="Segoe UI"/>
          <w:color w:val="auto"/>
          <w:sz w:val="22"/>
          <w:szCs w:val="22"/>
        </w:rPr>
        <w:t>Australian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Government Department of Health</w:t>
      </w:r>
      <w:r w:rsidR="00A64754">
        <w:rPr>
          <w:rFonts w:ascii="Segoe UI" w:hAnsi="Segoe UI" w:cs="Segoe UI"/>
          <w:bCs/>
          <w:color w:val="auto"/>
          <w:sz w:val="22"/>
          <w:szCs w:val="22"/>
        </w:rPr>
        <w:t xml:space="preserve"> and Aged Care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will be the Secretariat for the EAP. For non-urgent inquiries the following email address can be utilised: </w:t>
      </w:r>
      <w:hyperlink r:id="rId14" w:history="1">
        <w:r w:rsidRPr="00CF2A5C">
          <w:rPr>
            <w:rStyle w:val="Hyperlink"/>
            <w:rFonts w:ascii="Segoe UI" w:hAnsi="Segoe UI" w:cs="Segoe UI"/>
            <w:bCs/>
            <w:sz w:val="22"/>
            <w:szCs w:val="22"/>
          </w:rPr>
          <w:t>MRFF@health.gov.au</w:t>
        </w:r>
      </w:hyperlink>
      <w:r w:rsidRPr="00CF2A5C">
        <w:rPr>
          <w:rFonts w:ascii="Segoe UI" w:hAnsi="Segoe UI" w:cs="Segoe UI"/>
          <w:bCs/>
          <w:color w:val="auto"/>
          <w:sz w:val="22"/>
          <w:szCs w:val="22"/>
        </w:rPr>
        <w:t>.</w:t>
      </w:r>
    </w:p>
    <w:p w14:paraId="50B7783B" w14:textId="77777777" w:rsidR="00CF2A5C" w:rsidRPr="00CF2A5C" w:rsidRDefault="00CF2A5C" w:rsidP="008B5CF2">
      <w:pPr>
        <w:pStyle w:val="Heading3"/>
      </w:pPr>
      <w:r w:rsidRPr="00CF2A5C">
        <w:t>Quorum</w:t>
      </w:r>
    </w:p>
    <w:p w14:paraId="298C4A06" w14:textId="550CB8E0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Five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members of the EAP are required to be in attendance at any meeting for a quorum to be achieved. </w:t>
      </w:r>
    </w:p>
    <w:p w14:paraId="060092D0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If </w:t>
      </w:r>
      <w:r w:rsidRPr="00CF2A5C">
        <w:rPr>
          <w:rFonts w:ascii="Segoe UI" w:hAnsi="Segoe UI" w:cs="Segoe UI"/>
          <w:color w:val="auto"/>
          <w:sz w:val="22"/>
          <w:szCs w:val="22"/>
        </w:rPr>
        <w:t>the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Chair is unavailable to attend a scheduled meeting, the AMRAB member, or an identified deputy chair will assume this role. </w:t>
      </w:r>
    </w:p>
    <w:p w14:paraId="0CD67C00" w14:textId="77777777" w:rsidR="00CF2A5C" w:rsidRPr="00CF2A5C" w:rsidRDefault="00CF2A5C" w:rsidP="008B5CF2">
      <w:pPr>
        <w:pStyle w:val="Heading3"/>
      </w:pPr>
      <w:r w:rsidRPr="00CF2A5C">
        <w:t>Declarations of Interest</w:t>
      </w:r>
    </w:p>
    <w:p w14:paraId="1B5FB48A" w14:textId="3918F3E4" w:rsidR="00CF2A5C" w:rsidRPr="00CF2A5C" w:rsidRDefault="00CF2A5C" w:rsidP="00AC4750">
      <w:pPr>
        <w:rPr>
          <w:bCs/>
          <w:color w:val="auto"/>
        </w:rPr>
      </w:pPr>
      <w:r w:rsidRPr="00CF2A5C">
        <w:rPr>
          <w:bCs/>
          <w:color w:val="auto"/>
        </w:rPr>
        <w:t xml:space="preserve">Members must abide by the </w:t>
      </w:r>
      <w:hyperlink r:id="rId15" w:anchor=":~:text=The%20Medical%20Research%20Future%20Fund%20%28MRFF%29%20Declaration%20of,guidance%20on%20how%20to%20manage%20any%20potential%20conflicts." w:history="1">
        <w:r w:rsidRPr="00A64754">
          <w:rPr>
            <w:rStyle w:val="Hyperlink"/>
            <w:bCs/>
          </w:rPr>
          <w:t>MRFF Declaration of Interest Policy Statement</w:t>
        </w:r>
      </w:hyperlink>
      <w:r w:rsidRPr="00CF2A5C">
        <w:rPr>
          <w:bCs/>
          <w:color w:val="auto"/>
        </w:rPr>
        <w:t xml:space="preserve">. The Statement, and supporting documents, enables members to be aware of their obligation to disclose any </w:t>
      </w:r>
      <w:r w:rsidRPr="00CF2A5C">
        <w:rPr>
          <w:bCs/>
          <w:color w:val="auto"/>
        </w:rPr>
        <w:lastRenderedPageBreak/>
        <w:t xml:space="preserve">relevant </w:t>
      </w:r>
      <w:r w:rsidRPr="00CF2A5C">
        <w:rPr>
          <w:color w:val="auto"/>
        </w:rPr>
        <w:t>interests</w:t>
      </w:r>
      <w:r w:rsidRPr="00CF2A5C">
        <w:rPr>
          <w:bCs/>
          <w:color w:val="auto"/>
        </w:rPr>
        <w:t xml:space="preserve"> that they may have, and to ensure that they effectively and consistently manage any conflicts of interest. All interests will be published on the MRFF website.</w:t>
      </w:r>
    </w:p>
    <w:p w14:paraId="5E3C91A0" w14:textId="77777777" w:rsidR="00CF2A5C" w:rsidRPr="00CF2A5C" w:rsidRDefault="00CF2A5C" w:rsidP="008B5CF2">
      <w:pPr>
        <w:pStyle w:val="Heading3"/>
      </w:pPr>
      <w:r w:rsidRPr="00CF2A5C">
        <w:t>Remuneration</w:t>
      </w:r>
    </w:p>
    <w:p w14:paraId="54AB8B61" w14:textId="77777777" w:rsidR="00CF2A5C" w:rsidRPr="00CF2A5C" w:rsidRDefault="00CF2A5C" w:rsidP="00AC4750">
      <w:r w:rsidRPr="00CF2A5C">
        <w:t xml:space="preserve">Remuneration is provided for EAP members, with details outlined in the Member’s </w:t>
      </w:r>
      <w:r w:rsidRPr="00CF2A5C">
        <w:rPr>
          <w:color w:val="auto"/>
        </w:rPr>
        <w:t>Instrument</w:t>
      </w:r>
      <w:r w:rsidRPr="00CF2A5C">
        <w:t xml:space="preserve"> of Appointment.</w:t>
      </w:r>
    </w:p>
    <w:p w14:paraId="5A37A89C" w14:textId="77777777" w:rsidR="00CF2A5C" w:rsidRPr="00CF2A5C" w:rsidRDefault="00CF2A5C" w:rsidP="008B5CF2">
      <w:pPr>
        <w:pStyle w:val="Heading3"/>
      </w:pPr>
      <w:r w:rsidRPr="00CF2A5C">
        <w:t xml:space="preserve">Implementation of the MRFF Research Plan </w:t>
      </w:r>
    </w:p>
    <w:p w14:paraId="244C449C" w14:textId="759E2106" w:rsidR="00CF2A5C" w:rsidRPr="00CF2A5C" w:rsidRDefault="00CF2A5C" w:rsidP="00AC4750">
      <w:r w:rsidRPr="00CF2A5C">
        <w:t xml:space="preserve">The EAP will provide the MRFF </w:t>
      </w:r>
      <w:r w:rsidR="00833177">
        <w:t>PASC</w:t>
      </w:r>
      <w:r w:rsidR="008B5CF2" w:rsidRPr="008B5CF2">
        <w:t xml:space="preserve"> Research Plan</w:t>
      </w:r>
      <w:r w:rsidRPr="00CF2A5C">
        <w:t xml:space="preserve"> to the Minister for Health and Aged Care for approval.</w:t>
      </w:r>
    </w:p>
    <w:p w14:paraId="614011AB" w14:textId="77777777" w:rsidR="00CF2A5C" w:rsidRPr="00CF2A5C" w:rsidRDefault="00CF2A5C" w:rsidP="00AC4750">
      <w:r w:rsidRPr="00CF2A5C">
        <w:t xml:space="preserve">The Health and Medical Research Office will use the Research Plan to design grant </w:t>
      </w:r>
      <w:r w:rsidRPr="00CF2A5C">
        <w:rPr>
          <w:color w:val="auto"/>
        </w:rPr>
        <w:t>opportunities</w:t>
      </w:r>
      <w:r w:rsidRPr="00CF2A5C">
        <w:t xml:space="preserve"> that address the priorities for investment.</w:t>
      </w:r>
    </w:p>
    <w:p w14:paraId="71F2A5D5" w14:textId="0D514F74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Grant</w:t>
      </w:r>
      <w:r w:rsidRPr="00CF2A5C">
        <w:rPr>
          <w:rFonts w:ascii="Segoe UI" w:hAnsi="Segoe UI" w:cs="Segoe UI"/>
          <w:sz w:val="22"/>
          <w:szCs w:val="22"/>
        </w:rPr>
        <w:t xml:space="preserve"> opportunity guidelines will be published on GrantConnect (</w:t>
      </w:r>
      <w:hyperlink r:id="rId16" w:history="1">
        <w:r w:rsidRPr="00CF2A5C">
          <w:rPr>
            <w:rStyle w:val="Hyperlink"/>
            <w:rFonts w:ascii="Segoe UI" w:hAnsi="Segoe UI" w:cs="Segoe UI"/>
            <w:sz w:val="22"/>
            <w:szCs w:val="22"/>
          </w:rPr>
          <w:t>www.grants.gov.au</w:t>
        </w:r>
      </w:hyperlink>
      <w:r w:rsidRPr="00CF2A5C">
        <w:rPr>
          <w:rFonts w:ascii="Segoe UI" w:hAnsi="Segoe UI" w:cs="Segoe UI"/>
          <w:sz w:val="22"/>
          <w:szCs w:val="22"/>
        </w:rPr>
        <w:t>)</w:t>
      </w:r>
      <w:r w:rsidR="00A64754">
        <w:rPr>
          <w:rFonts w:ascii="Segoe UI" w:hAnsi="Segoe UI" w:cs="Segoe UI"/>
          <w:sz w:val="22"/>
          <w:szCs w:val="22"/>
        </w:rPr>
        <w:t>.</w:t>
      </w:r>
    </w:p>
    <w:p w14:paraId="04D0DEFC" w14:textId="571BCDCA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Grant</w:t>
      </w:r>
      <w:r w:rsidRPr="00CF2A5C">
        <w:rPr>
          <w:rFonts w:ascii="Segoe UI" w:hAnsi="Segoe UI" w:cs="Segoe UI"/>
          <w:sz w:val="22"/>
          <w:szCs w:val="22"/>
        </w:rPr>
        <w:t xml:space="preserve"> administration services will be managed by the National Health and Medical Research Council.</w:t>
      </w:r>
    </w:p>
    <w:p w14:paraId="15A6DB3D" w14:textId="77777777" w:rsidR="00CF2A5C" w:rsidRPr="00CF2A5C" w:rsidRDefault="00CF2A5C" w:rsidP="00AC4750">
      <w:r w:rsidRPr="00CF2A5C">
        <w:t xml:space="preserve">Applications received under each grant opportunity will be evaluated competitively through </w:t>
      </w:r>
      <w:r w:rsidRPr="00CF2A5C">
        <w:rPr>
          <w:color w:val="auto"/>
        </w:rPr>
        <w:t>independent</w:t>
      </w:r>
      <w:r w:rsidRPr="00CF2A5C">
        <w:t xml:space="preserve"> Grant Assessment Committees comprising Australian and international assessors with relevant expertise and experience.</w:t>
      </w:r>
    </w:p>
    <w:p w14:paraId="61082F77" w14:textId="3D271911" w:rsidR="00072475" w:rsidRPr="00CF2A5C" w:rsidRDefault="00E53640" w:rsidP="00AC4750">
      <w:r w:rsidRPr="00D558A1">
        <w:rPr>
          <w:noProof/>
        </w:rPr>
        <w:drawing>
          <wp:anchor distT="0" distB="0" distL="114300" distR="114300" simplePos="0" relativeHeight="251659264" behindDoc="1" locked="0" layoutInCell="0" allowOverlap="1" wp14:anchorId="3F52AB32" wp14:editId="33536F2D">
            <wp:simplePos x="0" y="0"/>
            <wp:positionH relativeFrom="margin">
              <wp:posOffset>4381500</wp:posOffset>
            </wp:positionH>
            <wp:positionV relativeFrom="margin">
              <wp:posOffset>7724775</wp:posOffset>
            </wp:positionV>
            <wp:extent cx="1990725" cy="1958975"/>
            <wp:effectExtent l="0" t="0" r="9525" b="317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A5C" w:rsidRPr="00CF2A5C">
        <w:rPr>
          <w:color w:val="auto"/>
        </w:rPr>
        <w:t>Following</w:t>
      </w:r>
      <w:r w:rsidR="00CF2A5C" w:rsidRPr="00CF2A5C">
        <w:t xml:space="preserve"> recommendations from the Grant Assessment Committees, the Government will announce the successful recipients.</w:t>
      </w:r>
      <w:r w:rsidRPr="00E53640">
        <w:rPr>
          <w:noProof/>
        </w:rPr>
        <w:t xml:space="preserve"> </w:t>
      </w:r>
    </w:p>
    <w:sectPr w:rsidR="00072475" w:rsidRPr="00CF2A5C" w:rsidSect="00AF0A77">
      <w:headerReference w:type="first" r:id="rId18"/>
      <w:pgSz w:w="11906" w:h="16838"/>
      <w:pgMar w:top="1134" w:right="1440" w:bottom="1134" w:left="1440" w:header="1388" w:footer="708" w:gutter="0"/>
      <w:pgBorders w:offsetFrom="page">
        <w:top w:val="single" w:sz="12" w:space="20" w:color="767171" w:themeColor="background2" w:themeShade="80"/>
        <w:left w:val="single" w:sz="12" w:space="20" w:color="767171" w:themeColor="background2" w:themeShade="80"/>
        <w:bottom w:val="single" w:sz="12" w:space="20" w:color="767171" w:themeColor="background2" w:themeShade="80"/>
        <w:right w:val="single" w:sz="12" w:space="20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C1983" w14:textId="77777777" w:rsidR="000738A7" w:rsidRDefault="000738A7" w:rsidP="008B5CF2">
      <w:r>
        <w:separator/>
      </w:r>
    </w:p>
  </w:endnote>
  <w:endnote w:type="continuationSeparator" w:id="0">
    <w:p w14:paraId="615D4162" w14:textId="77777777" w:rsidR="000738A7" w:rsidRDefault="000738A7" w:rsidP="008B5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8A48D" w14:textId="77777777" w:rsidR="000738A7" w:rsidRDefault="000738A7" w:rsidP="008B5CF2">
      <w:r>
        <w:separator/>
      </w:r>
    </w:p>
  </w:footnote>
  <w:footnote w:type="continuationSeparator" w:id="0">
    <w:p w14:paraId="2E055D3D" w14:textId="77777777" w:rsidR="000738A7" w:rsidRDefault="000738A7" w:rsidP="008B5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26E29" w14:textId="6E139077" w:rsidR="00F36E3E" w:rsidRDefault="00F36E3E" w:rsidP="008B5CF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C19D83" wp14:editId="458198B0">
          <wp:simplePos x="0" y="0"/>
          <wp:positionH relativeFrom="margin">
            <wp:align>center</wp:align>
          </wp:positionH>
          <wp:positionV relativeFrom="paragraph">
            <wp:posOffset>-877570</wp:posOffset>
          </wp:positionV>
          <wp:extent cx="7263130" cy="1891030"/>
          <wp:effectExtent l="0" t="0" r="0" b="0"/>
          <wp:wrapTopAndBottom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3130" cy="189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15"/>
    <w:multiLevelType w:val="hybridMultilevel"/>
    <w:tmpl w:val="5A48E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12B42"/>
    <w:multiLevelType w:val="hybridMultilevel"/>
    <w:tmpl w:val="24762378"/>
    <w:lvl w:ilvl="0" w:tplc="0974ED74">
      <w:numFmt w:val="bullet"/>
      <w:lvlText w:val="•"/>
      <w:lvlJc w:val="left"/>
      <w:pPr>
        <w:ind w:left="360" w:hanging="360"/>
      </w:pPr>
      <w:rPr>
        <w:rFonts w:ascii="Segoe UI" w:eastAsiaTheme="minorHAnsi" w:hAnsi="Segoe UI" w:cs="Segoe UI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8B3860"/>
    <w:multiLevelType w:val="hybridMultilevel"/>
    <w:tmpl w:val="771CCC9E"/>
    <w:lvl w:ilvl="0" w:tplc="B110363A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87DE2"/>
    <w:multiLevelType w:val="hybridMultilevel"/>
    <w:tmpl w:val="2CDC62F4"/>
    <w:lvl w:ilvl="0" w:tplc="1AFCBF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219BD"/>
    <w:multiLevelType w:val="hybridMultilevel"/>
    <w:tmpl w:val="91A4A4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1A28F0"/>
    <w:multiLevelType w:val="hybridMultilevel"/>
    <w:tmpl w:val="1902C8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F8670A"/>
    <w:multiLevelType w:val="hybridMultilevel"/>
    <w:tmpl w:val="46A45C60"/>
    <w:lvl w:ilvl="0" w:tplc="AF3E725A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B7413"/>
    <w:multiLevelType w:val="hybridMultilevel"/>
    <w:tmpl w:val="AA4A4E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646203"/>
    <w:multiLevelType w:val="multilevel"/>
    <w:tmpl w:val="9CAC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BD1D75"/>
    <w:multiLevelType w:val="hybridMultilevel"/>
    <w:tmpl w:val="B6848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30BA0"/>
    <w:multiLevelType w:val="multilevel"/>
    <w:tmpl w:val="399ED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E85E69"/>
    <w:multiLevelType w:val="hybridMultilevel"/>
    <w:tmpl w:val="5F8AA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CE4119"/>
    <w:multiLevelType w:val="hybridMultilevel"/>
    <w:tmpl w:val="32E0250E"/>
    <w:lvl w:ilvl="0" w:tplc="0A62C4E4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3" w15:restartNumberingAfterBreak="0">
    <w:nsid w:val="4BA713AD"/>
    <w:multiLevelType w:val="multilevel"/>
    <w:tmpl w:val="347A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435CD7"/>
    <w:multiLevelType w:val="hybridMultilevel"/>
    <w:tmpl w:val="C04C9E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9F76B9"/>
    <w:multiLevelType w:val="multilevel"/>
    <w:tmpl w:val="ED70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CF3317"/>
    <w:multiLevelType w:val="hybridMultilevel"/>
    <w:tmpl w:val="785E2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AC5961"/>
    <w:multiLevelType w:val="multilevel"/>
    <w:tmpl w:val="6AEC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8B06B3"/>
    <w:multiLevelType w:val="multilevel"/>
    <w:tmpl w:val="7BDE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CA2ACA"/>
    <w:multiLevelType w:val="multilevel"/>
    <w:tmpl w:val="8E6E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A83C4E"/>
    <w:multiLevelType w:val="hybridMultilevel"/>
    <w:tmpl w:val="841CB8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083331"/>
    <w:multiLevelType w:val="hybridMultilevel"/>
    <w:tmpl w:val="19505BE8"/>
    <w:lvl w:ilvl="0" w:tplc="AF3E725A">
      <w:numFmt w:val="bullet"/>
      <w:lvlText w:val="•"/>
      <w:lvlJc w:val="left"/>
      <w:pPr>
        <w:ind w:left="1080" w:hanging="360"/>
      </w:pPr>
      <w:rPr>
        <w:rFonts w:ascii="Segoe UI" w:eastAsiaTheme="minorHAnsi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8874F4D"/>
    <w:multiLevelType w:val="hybridMultilevel"/>
    <w:tmpl w:val="E67A5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232FC6"/>
    <w:multiLevelType w:val="hybridMultilevel"/>
    <w:tmpl w:val="D2E407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D77F21"/>
    <w:multiLevelType w:val="hybridMultilevel"/>
    <w:tmpl w:val="B1A21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72AA8"/>
    <w:multiLevelType w:val="multilevel"/>
    <w:tmpl w:val="6AEE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B83103"/>
    <w:multiLevelType w:val="hybridMultilevel"/>
    <w:tmpl w:val="10C22008"/>
    <w:lvl w:ilvl="0" w:tplc="0C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18"/>
  </w:num>
  <w:num w:numId="5">
    <w:abstractNumId w:val="25"/>
  </w:num>
  <w:num w:numId="6">
    <w:abstractNumId w:val="15"/>
  </w:num>
  <w:num w:numId="7">
    <w:abstractNumId w:val="0"/>
  </w:num>
  <w:num w:numId="8">
    <w:abstractNumId w:val="3"/>
  </w:num>
  <w:num w:numId="9">
    <w:abstractNumId w:val="16"/>
  </w:num>
  <w:num w:numId="10">
    <w:abstractNumId w:val="19"/>
  </w:num>
  <w:num w:numId="11">
    <w:abstractNumId w:val="10"/>
  </w:num>
  <w:num w:numId="12">
    <w:abstractNumId w:val="26"/>
  </w:num>
  <w:num w:numId="13">
    <w:abstractNumId w:val="20"/>
  </w:num>
  <w:num w:numId="14">
    <w:abstractNumId w:val="11"/>
  </w:num>
  <w:num w:numId="15">
    <w:abstractNumId w:val="5"/>
  </w:num>
  <w:num w:numId="16">
    <w:abstractNumId w:val="12"/>
  </w:num>
  <w:num w:numId="17">
    <w:abstractNumId w:val="24"/>
  </w:num>
  <w:num w:numId="18">
    <w:abstractNumId w:val="2"/>
  </w:num>
  <w:num w:numId="19">
    <w:abstractNumId w:val="1"/>
  </w:num>
  <w:num w:numId="20">
    <w:abstractNumId w:val="22"/>
  </w:num>
  <w:num w:numId="21">
    <w:abstractNumId w:val="6"/>
  </w:num>
  <w:num w:numId="22">
    <w:abstractNumId w:val="21"/>
  </w:num>
  <w:num w:numId="23">
    <w:abstractNumId w:val="14"/>
  </w:num>
  <w:num w:numId="24">
    <w:abstractNumId w:val="23"/>
  </w:num>
  <w:num w:numId="25">
    <w:abstractNumId w:val="4"/>
  </w:num>
  <w:num w:numId="26">
    <w:abstractNumId w:val="7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42E"/>
    <w:rsid w:val="00010CD1"/>
    <w:rsid w:val="00012C44"/>
    <w:rsid w:val="00051454"/>
    <w:rsid w:val="0005241E"/>
    <w:rsid w:val="00057E6F"/>
    <w:rsid w:val="00072475"/>
    <w:rsid w:val="000738A7"/>
    <w:rsid w:val="0008531A"/>
    <w:rsid w:val="000A168B"/>
    <w:rsid w:val="000A7239"/>
    <w:rsid w:val="000C334A"/>
    <w:rsid w:val="000D01B7"/>
    <w:rsid w:val="000F6521"/>
    <w:rsid w:val="000F7062"/>
    <w:rsid w:val="000F77D3"/>
    <w:rsid w:val="0012759D"/>
    <w:rsid w:val="00137FA4"/>
    <w:rsid w:val="00152DD2"/>
    <w:rsid w:val="00173BFC"/>
    <w:rsid w:val="00197948"/>
    <w:rsid w:val="001A74B8"/>
    <w:rsid w:val="001C4AAC"/>
    <w:rsid w:val="001D69EC"/>
    <w:rsid w:val="00214E86"/>
    <w:rsid w:val="002475A1"/>
    <w:rsid w:val="0026547C"/>
    <w:rsid w:val="00280050"/>
    <w:rsid w:val="002B25A2"/>
    <w:rsid w:val="002D6271"/>
    <w:rsid w:val="002E1A2A"/>
    <w:rsid w:val="002E4751"/>
    <w:rsid w:val="00316616"/>
    <w:rsid w:val="0032417F"/>
    <w:rsid w:val="00331463"/>
    <w:rsid w:val="00367A93"/>
    <w:rsid w:val="00390C89"/>
    <w:rsid w:val="003944D4"/>
    <w:rsid w:val="003A4778"/>
    <w:rsid w:val="003C1957"/>
    <w:rsid w:val="003D311B"/>
    <w:rsid w:val="003E5797"/>
    <w:rsid w:val="003E6CF4"/>
    <w:rsid w:val="003F20EE"/>
    <w:rsid w:val="003F6873"/>
    <w:rsid w:val="0040219D"/>
    <w:rsid w:val="00405D4D"/>
    <w:rsid w:val="0042760D"/>
    <w:rsid w:val="00442A1C"/>
    <w:rsid w:val="004869C5"/>
    <w:rsid w:val="004B22ED"/>
    <w:rsid w:val="005163AC"/>
    <w:rsid w:val="00535628"/>
    <w:rsid w:val="005553BD"/>
    <w:rsid w:val="00571F3E"/>
    <w:rsid w:val="00591356"/>
    <w:rsid w:val="0059353C"/>
    <w:rsid w:val="005A0D28"/>
    <w:rsid w:val="005C056D"/>
    <w:rsid w:val="005C2F42"/>
    <w:rsid w:val="005D67C0"/>
    <w:rsid w:val="005F2D4F"/>
    <w:rsid w:val="005F324F"/>
    <w:rsid w:val="005F4654"/>
    <w:rsid w:val="005F4A2D"/>
    <w:rsid w:val="00624942"/>
    <w:rsid w:val="00635C2D"/>
    <w:rsid w:val="006372F3"/>
    <w:rsid w:val="006722D0"/>
    <w:rsid w:val="006851D9"/>
    <w:rsid w:val="00685227"/>
    <w:rsid w:val="00695C2D"/>
    <w:rsid w:val="006B0F2C"/>
    <w:rsid w:val="006B2F09"/>
    <w:rsid w:val="006B3F03"/>
    <w:rsid w:val="006C7595"/>
    <w:rsid w:val="006E383D"/>
    <w:rsid w:val="006E7A44"/>
    <w:rsid w:val="00713C6E"/>
    <w:rsid w:val="0071406E"/>
    <w:rsid w:val="007156F7"/>
    <w:rsid w:val="00721D3F"/>
    <w:rsid w:val="007225D6"/>
    <w:rsid w:val="00725BB1"/>
    <w:rsid w:val="00740029"/>
    <w:rsid w:val="00755A45"/>
    <w:rsid w:val="007577BF"/>
    <w:rsid w:val="007604DE"/>
    <w:rsid w:val="007701B5"/>
    <w:rsid w:val="007711CB"/>
    <w:rsid w:val="00775692"/>
    <w:rsid w:val="00797FFA"/>
    <w:rsid w:val="007A3810"/>
    <w:rsid w:val="007A5297"/>
    <w:rsid w:val="007B5082"/>
    <w:rsid w:val="007C3A33"/>
    <w:rsid w:val="007C5922"/>
    <w:rsid w:val="007F59A4"/>
    <w:rsid w:val="00804EFC"/>
    <w:rsid w:val="00830440"/>
    <w:rsid w:val="00833177"/>
    <w:rsid w:val="00863B38"/>
    <w:rsid w:val="0089522F"/>
    <w:rsid w:val="008B5CF2"/>
    <w:rsid w:val="008E0BB5"/>
    <w:rsid w:val="008F69E6"/>
    <w:rsid w:val="008F7CCC"/>
    <w:rsid w:val="00900869"/>
    <w:rsid w:val="0091728B"/>
    <w:rsid w:val="00933027"/>
    <w:rsid w:val="00960763"/>
    <w:rsid w:val="0096142F"/>
    <w:rsid w:val="00962B01"/>
    <w:rsid w:val="00985D55"/>
    <w:rsid w:val="009A7A15"/>
    <w:rsid w:val="009D3083"/>
    <w:rsid w:val="00A07851"/>
    <w:rsid w:val="00A24502"/>
    <w:rsid w:val="00A27D25"/>
    <w:rsid w:val="00A330C3"/>
    <w:rsid w:val="00A426E4"/>
    <w:rsid w:val="00A57521"/>
    <w:rsid w:val="00A64754"/>
    <w:rsid w:val="00A663D3"/>
    <w:rsid w:val="00A77063"/>
    <w:rsid w:val="00AA24B7"/>
    <w:rsid w:val="00AA6E89"/>
    <w:rsid w:val="00AC4750"/>
    <w:rsid w:val="00AD3672"/>
    <w:rsid w:val="00AE1676"/>
    <w:rsid w:val="00AE1C7F"/>
    <w:rsid w:val="00AE585E"/>
    <w:rsid w:val="00AE75E3"/>
    <w:rsid w:val="00AF0A77"/>
    <w:rsid w:val="00AF3BE7"/>
    <w:rsid w:val="00B30BF6"/>
    <w:rsid w:val="00B44A7B"/>
    <w:rsid w:val="00B47844"/>
    <w:rsid w:val="00B67ED2"/>
    <w:rsid w:val="00B7786E"/>
    <w:rsid w:val="00B92C24"/>
    <w:rsid w:val="00B949D0"/>
    <w:rsid w:val="00BC75AD"/>
    <w:rsid w:val="00BD242E"/>
    <w:rsid w:val="00BD584A"/>
    <w:rsid w:val="00BE6AC7"/>
    <w:rsid w:val="00BE79F1"/>
    <w:rsid w:val="00BF1216"/>
    <w:rsid w:val="00BF692A"/>
    <w:rsid w:val="00C32DCE"/>
    <w:rsid w:val="00C43BCC"/>
    <w:rsid w:val="00C84259"/>
    <w:rsid w:val="00CE00BA"/>
    <w:rsid w:val="00CE3002"/>
    <w:rsid w:val="00CF2A5C"/>
    <w:rsid w:val="00CF78B8"/>
    <w:rsid w:val="00D013FF"/>
    <w:rsid w:val="00D25A96"/>
    <w:rsid w:val="00D35A63"/>
    <w:rsid w:val="00D41015"/>
    <w:rsid w:val="00D558A1"/>
    <w:rsid w:val="00D6742A"/>
    <w:rsid w:val="00D910E2"/>
    <w:rsid w:val="00DA57F4"/>
    <w:rsid w:val="00DD1AF4"/>
    <w:rsid w:val="00DE45AC"/>
    <w:rsid w:val="00DE63AC"/>
    <w:rsid w:val="00DF193B"/>
    <w:rsid w:val="00E209C7"/>
    <w:rsid w:val="00E46C36"/>
    <w:rsid w:val="00E53640"/>
    <w:rsid w:val="00E5518D"/>
    <w:rsid w:val="00E7666C"/>
    <w:rsid w:val="00E85DE9"/>
    <w:rsid w:val="00E86948"/>
    <w:rsid w:val="00E8705B"/>
    <w:rsid w:val="00E936BE"/>
    <w:rsid w:val="00E9643E"/>
    <w:rsid w:val="00EB591B"/>
    <w:rsid w:val="00ED0A2B"/>
    <w:rsid w:val="00EF46F4"/>
    <w:rsid w:val="00F07DAD"/>
    <w:rsid w:val="00F111DF"/>
    <w:rsid w:val="00F14D6C"/>
    <w:rsid w:val="00F178BE"/>
    <w:rsid w:val="00F30B58"/>
    <w:rsid w:val="00F36E3E"/>
    <w:rsid w:val="00F61C29"/>
    <w:rsid w:val="00F67D6A"/>
    <w:rsid w:val="00F763A0"/>
    <w:rsid w:val="00F83C64"/>
    <w:rsid w:val="00F87CA5"/>
    <w:rsid w:val="00FA3B67"/>
    <w:rsid w:val="00FA5E4F"/>
    <w:rsid w:val="00FB2DB7"/>
    <w:rsid w:val="00FC6BF4"/>
    <w:rsid w:val="00FE4150"/>
    <w:rsid w:val="00FF195D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CFDE5"/>
  <w15:chartTrackingRefBased/>
  <w15:docId w15:val="{E24E7178-0BEF-4D26-BDBC-313A2719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CF2"/>
    <w:pPr>
      <w:spacing w:before="100" w:beforeAutospacing="1" w:after="100" w:afterAutospacing="1" w:line="240" w:lineRule="auto"/>
    </w:pPr>
    <w:rPr>
      <w:rFonts w:ascii="Segoe UI" w:hAnsi="Segoe UI" w:cs="Segoe UI"/>
      <w:color w:val="313131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E6F"/>
    <w:pPr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7E6F"/>
    <w:pPr>
      <w:shd w:val="clear" w:color="auto" w:fill="FFFFFF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7E6F"/>
    <w:pPr>
      <w:shd w:val="clear" w:color="auto" w:fill="FFFFFF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7E6F"/>
    <w:pPr>
      <w:shd w:val="clear" w:color="auto" w:fill="FFFFFF"/>
      <w:spacing w:after="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E6F"/>
    <w:rPr>
      <w:rFonts w:ascii="Segoe UI" w:eastAsia="Times New Roman" w:hAnsi="Segoe UI" w:cs="Segoe UI"/>
      <w:b/>
      <w:bCs/>
      <w:color w:val="313131"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57E6F"/>
    <w:rPr>
      <w:rFonts w:ascii="Segoe UI" w:eastAsia="Times New Roman" w:hAnsi="Segoe UI" w:cs="Segoe UI"/>
      <w:b/>
      <w:bCs/>
      <w:color w:val="313131"/>
      <w:sz w:val="36"/>
      <w:szCs w:val="36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057E6F"/>
    <w:rPr>
      <w:rFonts w:ascii="Segoe UI" w:eastAsia="Times New Roman" w:hAnsi="Segoe UI" w:cs="Segoe UI"/>
      <w:b/>
      <w:bCs/>
      <w:color w:val="313131"/>
      <w:sz w:val="27"/>
      <w:szCs w:val="27"/>
      <w:shd w:val="clear" w:color="auto" w:fill="FFFFFF"/>
      <w:lang w:eastAsia="en-AU"/>
    </w:rPr>
  </w:style>
  <w:style w:type="paragraph" w:customStyle="1" w:styleId="au-introduction">
    <w:name w:val="au-introduction"/>
    <w:basedOn w:val="Normal"/>
    <w:rsid w:val="00057E6F"/>
  </w:style>
  <w:style w:type="character" w:styleId="Hyperlink">
    <w:name w:val="Hyperlink"/>
    <w:basedOn w:val="DefaultParagraphFont"/>
    <w:uiPriority w:val="99"/>
    <w:unhideWhenUsed/>
    <w:rsid w:val="00057E6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7E6F"/>
  </w:style>
  <w:style w:type="character" w:styleId="Strong">
    <w:name w:val="Strong"/>
    <w:basedOn w:val="DefaultParagraphFont"/>
    <w:uiPriority w:val="22"/>
    <w:qFormat/>
    <w:rsid w:val="00057E6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57E6F"/>
    <w:rPr>
      <w:rFonts w:ascii="Segoe UI" w:eastAsia="Times New Roman" w:hAnsi="Segoe UI" w:cs="Segoe UI"/>
      <w:b/>
      <w:bCs/>
      <w:color w:val="313131"/>
      <w:shd w:val="clear" w:color="auto" w:fill="FFFFFF"/>
      <w:lang w:eastAsia="en-AU"/>
    </w:rPr>
  </w:style>
  <w:style w:type="paragraph" w:styleId="ListParagraph">
    <w:name w:val="List Paragraph"/>
    <w:basedOn w:val="Normal"/>
    <w:uiPriority w:val="34"/>
    <w:qFormat/>
    <w:rsid w:val="00057E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5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58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584A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84A"/>
    <w:rPr>
      <w:rFonts w:ascii="Segoe UI" w:eastAsia="Times New Roman" w:hAnsi="Segoe UI" w:cs="Segoe UI"/>
      <w:b/>
      <w:bCs/>
      <w:color w:val="313131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84A"/>
    <w:pPr>
      <w:spacing w:before="0"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84A"/>
    <w:rPr>
      <w:rFonts w:ascii="Segoe UI" w:eastAsia="Times New Roman" w:hAnsi="Segoe UI" w:cs="Segoe UI"/>
      <w:color w:val="313131"/>
      <w:sz w:val="18"/>
      <w:szCs w:val="18"/>
      <w:lang w:eastAsia="en-AU"/>
    </w:rPr>
  </w:style>
  <w:style w:type="paragraph" w:customStyle="1" w:styleId="Onthispagemenuitem">
    <w:name w:val="On this page menu item"/>
    <w:basedOn w:val="NoSpacing"/>
    <w:qFormat/>
    <w:rsid w:val="00962B01"/>
    <w:pPr>
      <w:pBdr>
        <w:left w:val="single" w:sz="24" w:space="5" w:color="2E74B5" w:themeColor="accent1" w:themeShade="BF"/>
      </w:pBdr>
      <w:spacing w:before="100" w:after="100"/>
      <w:contextualSpacing/>
    </w:pPr>
  </w:style>
  <w:style w:type="paragraph" w:styleId="NoSpacing">
    <w:name w:val="No Spacing"/>
    <w:uiPriority w:val="1"/>
    <w:qFormat/>
    <w:rsid w:val="00962B01"/>
    <w:pPr>
      <w:spacing w:beforeAutospacing="1" w:after="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customStyle="1" w:styleId="Calloutbox">
    <w:name w:val="Callout box"/>
    <w:basedOn w:val="Normal"/>
    <w:qFormat/>
    <w:rsid w:val="007701B5"/>
    <w:pPr>
      <w:pBdr>
        <w:left w:val="single" w:sz="24" w:space="4" w:color="0093B2"/>
      </w:pBdr>
      <w:shd w:val="clear" w:color="auto" w:fill="E7E6E6" w:themeFill="background2"/>
    </w:pPr>
  </w:style>
  <w:style w:type="paragraph" w:styleId="Header">
    <w:name w:val="header"/>
    <w:basedOn w:val="Normal"/>
    <w:link w:val="Head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7786E"/>
    <w:rPr>
      <w:color w:val="954F72"/>
      <w:u w:val="single"/>
    </w:rPr>
  </w:style>
  <w:style w:type="paragraph" w:customStyle="1" w:styleId="msonormal0">
    <w:name w:val="msonormal"/>
    <w:basedOn w:val="Normal"/>
    <w:rsid w:val="00B7786E"/>
    <w:rPr>
      <w:rFonts w:ascii="Times New Roman" w:hAnsi="Times New Roman" w:cs="Times New Roman"/>
      <w:color w:val="auto"/>
    </w:rPr>
  </w:style>
  <w:style w:type="paragraph" w:customStyle="1" w:styleId="xl63">
    <w:name w:val="xl63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</w:pPr>
    <w:rPr>
      <w:rFonts w:ascii="Times New Roman" w:hAnsi="Times New Roman" w:cs="Times New Roman"/>
      <w:b/>
      <w:bCs/>
      <w:color w:val="auto"/>
    </w:rPr>
  </w:style>
  <w:style w:type="paragraph" w:customStyle="1" w:styleId="xl64">
    <w:name w:val="xl64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Times New Roman" w:hAnsi="Times New Roman" w:cs="Times New Roman"/>
      <w:color w:val="auto"/>
    </w:rPr>
  </w:style>
  <w:style w:type="paragraph" w:customStyle="1" w:styleId="xl65">
    <w:name w:val="xl65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Times New Roman" w:hAnsi="Times New Roman" w:cs="Times New Roman"/>
      <w:color w:val="aut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26E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26E4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A426E4"/>
    <w:rPr>
      <w:vertAlign w:val="superscript"/>
    </w:rPr>
  </w:style>
  <w:style w:type="table" w:styleId="TableGridLight">
    <w:name w:val="Grid Table Light"/>
    <w:basedOn w:val="TableNormal"/>
    <w:uiPriority w:val="40"/>
    <w:rsid w:val="00D410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ont5">
    <w:name w:val="font5"/>
    <w:basedOn w:val="Normal"/>
    <w:rsid w:val="00DE45AC"/>
    <w:rPr>
      <w:rFonts w:ascii="Calibri" w:hAnsi="Calibri" w:cs="Calibri"/>
      <w:color w:val="FF0000"/>
    </w:rPr>
  </w:style>
  <w:style w:type="paragraph" w:customStyle="1" w:styleId="font6">
    <w:name w:val="font6"/>
    <w:basedOn w:val="Normal"/>
    <w:rsid w:val="00DE45AC"/>
    <w:rPr>
      <w:rFonts w:ascii="Calibri" w:hAnsi="Calibri" w:cs="Calibri"/>
      <w:color w:val="FF0000"/>
      <w:sz w:val="19"/>
      <w:szCs w:val="19"/>
    </w:rPr>
  </w:style>
  <w:style w:type="paragraph" w:customStyle="1" w:styleId="xl66">
    <w:name w:val="xl66"/>
    <w:basedOn w:val="Normal"/>
    <w:rsid w:val="00DE45AC"/>
    <w:pPr>
      <w:shd w:val="clear" w:color="000000" w:fill="FFFF00"/>
      <w:textAlignment w:val="top"/>
    </w:pPr>
    <w:rPr>
      <w:rFonts w:ascii="Times New Roman" w:hAnsi="Times New Roman" w:cs="Times New Roman"/>
      <w:color w:val="auto"/>
    </w:rPr>
  </w:style>
  <w:style w:type="paragraph" w:customStyle="1" w:styleId="xl67">
    <w:name w:val="xl67"/>
    <w:basedOn w:val="Normal"/>
    <w:rsid w:val="00DE45AC"/>
    <w:pPr>
      <w:textAlignment w:val="top"/>
    </w:pPr>
    <w:rPr>
      <w:rFonts w:ascii="Times New Roman" w:hAnsi="Times New Roman" w:cs="Times New Roman"/>
      <w:color w:val="FF0000"/>
    </w:rPr>
  </w:style>
  <w:style w:type="paragraph" w:customStyle="1" w:styleId="xl68">
    <w:name w:val="xl68"/>
    <w:basedOn w:val="Normal"/>
    <w:rsid w:val="00DE45AC"/>
    <w:pPr>
      <w:shd w:val="clear" w:color="000000" w:fill="FFFF00"/>
      <w:textAlignment w:val="top"/>
    </w:pPr>
    <w:rPr>
      <w:rFonts w:ascii="Times New Roman" w:hAnsi="Times New Roman" w:cs="Times New Roman"/>
      <w:color w:val="FF0000"/>
    </w:rPr>
  </w:style>
  <w:style w:type="paragraph" w:customStyle="1" w:styleId="xl69">
    <w:name w:val="xl69"/>
    <w:basedOn w:val="Normal"/>
    <w:rsid w:val="00DE45AC"/>
    <w:pPr>
      <w:pBdr>
        <w:left w:val="single" w:sz="4" w:space="0" w:color="BFBFBF"/>
        <w:right w:val="single" w:sz="4" w:space="0" w:color="BFBFBF"/>
      </w:pBdr>
      <w:textAlignment w:val="top"/>
    </w:pPr>
    <w:rPr>
      <w:rFonts w:ascii="Times New Roman" w:hAnsi="Times New Roman" w:cs="Times New Roman"/>
      <w:color w:val="auto"/>
    </w:rPr>
  </w:style>
  <w:style w:type="paragraph" w:customStyle="1" w:styleId="xl70">
    <w:name w:val="xl70"/>
    <w:basedOn w:val="Normal"/>
    <w:rsid w:val="00DE45AC"/>
    <w:pPr>
      <w:textAlignment w:val="top"/>
    </w:pPr>
    <w:rPr>
      <w:rFonts w:ascii="Times New Roman" w:hAnsi="Times New Roman" w:cs="Times New Roman"/>
      <w:color w:val="auto"/>
      <w:u w:val="single"/>
    </w:rPr>
  </w:style>
  <w:style w:type="paragraph" w:customStyle="1" w:styleId="xl71">
    <w:name w:val="xl71"/>
    <w:basedOn w:val="Normal"/>
    <w:rsid w:val="00DE45AC"/>
    <w:pPr>
      <w:textAlignment w:val="top"/>
    </w:pPr>
    <w:rPr>
      <w:rFonts w:ascii="Times New Roman" w:hAnsi="Times New Roman" w:cs="Times New Roman"/>
      <w:b/>
      <w:bCs/>
      <w:color w:val="auto"/>
      <w:sz w:val="28"/>
      <w:szCs w:val="28"/>
    </w:rPr>
  </w:style>
  <w:style w:type="table" w:styleId="TableGrid">
    <w:name w:val="Table Grid"/>
    <w:basedOn w:val="TableNormal"/>
    <w:uiPriority w:val="39"/>
    <w:rsid w:val="00DE4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E45A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330C3"/>
    <w:rPr>
      <w:color w:val="605E5C"/>
      <w:shd w:val="clear" w:color="auto" w:fill="E1DFDD"/>
    </w:rPr>
  </w:style>
  <w:style w:type="paragraph" w:customStyle="1" w:styleId="Default">
    <w:name w:val="Default"/>
    <w:rsid w:val="00CF2A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12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3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2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070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ustralian-medical-research-advisory-board-amrab?language=und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ph.gov.au/Parliamentary_Business/Committees/House/Health_Aged_Care_and_Sport/LongandrepeatedCOVID" TargetMode="External"/><Relationship Id="rId1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hyperlink" Target="http://www.grants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emerging-priorities-and-consumer-driven-research-initiative?language=e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medical-research-future-fund-declaration-of-interest-policy-statement?language=en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RFF@health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6594ee5f-e469-45b2-993d-adfba3896cd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41F1680C99547959F9B62B85F8F81" ma:contentTypeVersion="5" ma:contentTypeDescription="Create a new document." ma:contentTypeScope="" ma:versionID="be6902d8d960908556ad4f639ce6f93a">
  <xsd:schema xmlns:xsd="http://www.w3.org/2001/XMLSchema" xmlns:xs="http://www.w3.org/2001/XMLSchema" xmlns:p="http://schemas.microsoft.com/office/2006/metadata/properties" xmlns:ns2="6594ee5f-e469-45b2-993d-adfba3896cd9" targetNamespace="http://schemas.microsoft.com/office/2006/metadata/properties" ma:root="true" ma:fieldsID="67f467f0afa8d1908f4b3dfe809504c1" ns2:_="">
    <xsd:import namespace="6594ee5f-e469-45b2-993d-adfba3896c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4ee5f-e469-45b2-993d-adfba3896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12" nillable="true" ma:displayName="Description" ma:format="Dropdown" ma:internalName="Descrip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6B9897-11BE-4CD9-AB9D-8C9FFE9C8C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2BFB20-9B57-4A78-976F-9A12FC2FC6CD}">
  <ds:schemaRefs>
    <ds:schemaRef ds:uri="http://schemas.microsoft.com/office/2006/metadata/properties"/>
    <ds:schemaRef ds:uri="http://schemas.microsoft.com/office/infopath/2007/PartnerControls"/>
    <ds:schemaRef ds:uri="6594ee5f-e469-45b2-993d-adfba3896cd9"/>
  </ds:schemaRefs>
</ds:datastoreItem>
</file>

<file path=customXml/itemProps3.xml><?xml version="1.0" encoding="utf-8"?>
<ds:datastoreItem xmlns:ds="http://schemas.openxmlformats.org/officeDocument/2006/customXml" ds:itemID="{514F70EC-0F71-4B34-9ADC-7BABF6B94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4ee5f-e469-45b2-993d-adfba3896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8BE1BA-B8A1-4D3A-8949-74BB82A2A6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1171</Words>
  <Characters>6758</Characters>
  <Application>Microsoft Office Word</Application>
  <DocSecurity>0</DocSecurity>
  <Lines>122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Consumer Reference Panel Terms of Reference</vt:lpstr>
    </vt:vector>
  </TitlesOfParts>
  <Company>Department of Health</Company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MRFF Consumer Reference Panel Terms of Reference</dc:title>
  <dc:subject>medical research</dc:subject>
  <dc:creator>Australian Goverment Department of Health</dc:creator>
  <cp:keywords>"Medical Research Future Fund; MRFF</cp:keywords>
  <dc:description/>
  <cp:lastModifiedBy>SOLLAZZO, Maria</cp:lastModifiedBy>
  <cp:revision>21</cp:revision>
  <dcterms:created xsi:type="dcterms:W3CDTF">2023-06-13T03:36:00Z</dcterms:created>
  <dcterms:modified xsi:type="dcterms:W3CDTF">2023-06-21T23:53:00Z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0x01010053D41F1680C99547959F9B62B85F8F81</vt:lpwstr>
  </property>
  <property fmtid="{D5CDD505-2E9C-101B-9397-08002B2CF9AE}" pid="3" name="Order">
    <vt:r8>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