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4C8F" w14:textId="1B86FFF7" w:rsidR="001902FB" w:rsidRPr="001902FB" w:rsidRDefault="001902FB" w:rsidP="001902FB">
      <w:pPr>
        <w:ind w:left="73"/>
      </w:pPr>
      <w:r w:rsidRPr="001902FB">
        <w:rPr>
          <w:noProof/>
        </w:rPr>
        <w:drawing>
          <wp:inline distT="0" distB="0" distL="0" distR="0" wp14:anchorId="25165D6E" wp14:editId="421F05C4">
            <wp:extent cx="3546237" cy="65175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587899" cy="659410"/>
                    </a:xfrm>
                    <a:prstGeom prst="rect">
                      <a:avLst/>
                    </a:prstGeom>
                    <a:noFill/>
                  </pic:spPr>
                </pic:pic>
              </a:graphicData>
            </a:graphic>
          </wp:inline>
        </w:drawing>
      </w:r>
    </w:p>
    <w:p w14:paraId="6F295A4D" w14:textId="778225E9" w:rsidR="004C2FC5" w:rsidRPr="00172F29" w:rsidRDefault="00884B33" w:rsidP="0034490C">
      <w:pPr>
        <w:pStyle w:val="Title"/>
        <w:spacing w:before="240"/>
        <w:jc w:val="left"/>
        <w:rPr>
          <w:color w:val="3C5B9D"/>
        </w:rPr>
      </w:pPr>
      <w:r w:rsidRPr="00172F29">
        <w:rPr>
          <w:color w:val="3C5B9D"/>
        </w:rPr>
        <w:t>National Mental Health Workforce Strategy</w:t>
      </w:r>
    </w:p>
    <w:p w14:paraId="3E4A2011" w14:textId="77777777" w:rsidR="00C027E4" w:rsidRDefault="00884B33" w:rsidP="00C027E4">
      <w:pPr>
        <w:spacing w:before="240"/>
      </w:pPr>
      <w:r>
        <w:t xml:space="preserve">The ten-year National Mental Health Workforce Strategy provides a </w:t>
      </w:r>
      <w:r w:rsidR="00C027E4">
        <w:t xml:space="preserve">high-level vision and roadmap to </w:t>
      </w:r>
      <w:r w:rsidR="00C027E4" w:rsidRPr="00C027E4">
        <w:rPr>
          <w:b/>
          <w:bCs/>
        </w:rPr>
        <w:t>build a sustainable workforce that is skilled, well-distributed and supported to deliver mental health treatment, care and support that meets the current and future population needs</w:t>
      </w:r>
      <w:r w:rsidR="00C027E4">
        <w:t xml:space="preserve">. </w:t>
      </w:r>
    </w:p>
    <w:p w14:paraId="339359B9" w14:textId="77777777" w:rsidR="00C027E4" w:rsidRPr="0082717F" w:rsidRDefault="00C027E4" w:rsidP="00C027E4">
      <w:pPr>
        <w:spacing w:before="240"/>
      </w:pPr>
      <w:r>
        <w:t xml:space="preserve">This Strategy acknowledges that social and emotional wellbeing and mental health are closely related. The mental health workforce spans promotion, prevention, early intervention, treatment, and recovery across the life course to address the diverse needs of consumers and carers, and priority populations, including people with disability, First Nations peoples, people from culturally and linguistically diverse (CALD) communities, lesbian, gay, bisexual, trans and gender diverse, intersex, queer and questioning, Sistergirl and Brotherboy (LGBTIQA+SB) communities and people experiencing specific life circumstances. The mental health </w:t>
      </w:r>
      <w:r w:rsidRPr="0082717F">
        <w:t>workforce is spread across health and social service domains in a range of roles, in paid and unpaid capacities, and is complemented by alternative therapies, friends, family and others.</w:t>
      </w:r>
    </w:p>
    <w:p w14:paraId="2AF95C9D" w14:textId="0146DD39" w:rsidR="001902FB" w:rsidRPr="0082717F" w:rsidRDefault="0082717F" w:rsidP="0082717F">
      <w:pPr>
        <w:spacing w:before="240"/>
        <w:sectPr w:rsidR="001902FB" w:rsidRPr="0082717F" w:rsidSect="00C027E4">
          <w:pgSz w:w="16838" w:h="23810"/>
          <w:pgMar w:top="426" w:right="1103" w:bottom="0" w:left="1276" w:header="227" w:footer="720" w:gutter="0"/>
          <w:pgNumType w:start="1"/>
          <w:cols w:space="720"/>
          <w:docGrid w:linePitch="326"/>
        </w:sectPr>
      </w:pPr>
      <w:r w:rsidRPr="0082717F">
        <w:t>Implementation will be shared by governments, regulators, professional colleges, education providers and peak bodies noting the shared responsibility in this space and will complement other workforce strategies.</w:t>
      </w:r>
    </w:p>
    <w:p w14:paraId="7296FD78" w14:textId="2A81C542" w:rsidR="001902FB" w:rsidRDefault="001902FB" w:rsidP="0034490C">
      <w:pPr>
        <w:pStyle w:val="Heading1"/>
        <w:shd w:val="clear" w:color="auto" w:fill="00003B"/>
        <w:ind w:right="747"/>
      </w:pPr>
      <w:r w:rsidRPr="001902FB">
        <w:t>Intended goals of the Strategy</w:t>
      </w:r>
    </w:p>
    <w:p w14:paraId="5E2A8A0A" w14:textId="24C45863" w:rsidR="00A7147F" w:rsidRDefault="00C027E4" w:rsidP="00172F29">
      <w:pPr>
        <w:spacing w:after="7" w:line="253" w:lineRule="auto"/>
        <w:ind w:hanging="142"/>
      </w:pPr>
      <w:r>
        <w:rPr>
          <w:noProof/>
        </w:rPr>
        <w:drawing>
          <wp:inline distT="0" distB="0" distL="0" distR="0" wp14:anchorId="657F90FE" wp14:editId="2AABC6FA">
            <wp:extent cx="3933825" cy="3837289"/>
            <wp:effectExtent l="0" t="0" r="0" b="0"/>
            <wp:docPr id="243" name="Picture 243" descr="The National Mental Health Workforce Strategy Framework depicts the five goals of the Strategy - attract, train, maximise, support and retain in a circular flow chart wrapped around the Vision: To build a sustainable workforce that is skilled, supported and distributed to deliver mental health treatment, care and support that meets the current and future population needs. "/>
            <wp:cNvGraphicFramePr/>
            <a:graphic xmlns:a="http://schemas.openxmlformats.org/drawingml/2006/main">
              <a:graphicData uri="http://schemas.openxmlformats.org/drawingml/2006/picture">
                <pic:pic xmlns:pic="http://schemas.openxmlformats.org/drawingml/2006/picture">
                  <pic:nvPicPr>
                    <pic:cNvPr id="243" name="Picture 243" descr="The National Mental Health Workforce Strategy Framework depicts the five goals of the Strategy - attract, train, maximise, support and retain in a circular flow chart wrapped around the Vision: To build a sustainable workforce that is skilled, supported and distributed to deliver mental health treatment, care and support that meets the current and future population needs. "/>
                    <pic:cNvPicPr/>
                  </pic:nvPicPr>
                  <pic:blipFill rotWithShape="1">
                    <a:blip r:embed="rId13" cstate="print">
                      <a:extLst>
                        <a:ext uri="{BEBA8EAE-BF5A-486C-A8C5-ECC9F3942E4B}">
                          <a14:imgProps xmlns:a14="http://schemas.microsoft.com/office/drawing/2010/main">
                            <a14:imgLayer r:embed="rId14">
                              <a14:imgEffect>
                                <a14:backgroundRemoval t="10867" b="85970" l="24100" r="60511">
                                  <a14:foregroundMark x1="27177" y1="29023" x2="42043" y2="18845"/>
                                  <a14:foregroundMark x1="42043" y1="18845" x2="35756" y2="26547"/>
                                  <a14:foregroundMark x1="35756" y1="26547" x2="45907" y2="27510"/>
                                  <a14:foregroundMark x1="45907" y1="27510" x2="51866" y2="32187"/>
                                  <a14:foregroundMark x1="51866" y1="32187" x2="55927" y2="45942"/>
                                  <a14:foregroundMark x1="55927" y1="45942" x2="53766" y2="66300"/>
                                  <a14:foregroundMark x1="53766" y1="66300" x2="51277" y2="75653"/>
                                  <a14:foregroundMark x1="51277" y1="75653" x2="44401" y2="77579"/>
                                  <a14:foregroundMark x1="44401" y1="77579" x2="38179" y2="75791"/>
                                  <a14:foregroundMark x1="38179" y1="75791" x2="31958" y2="69326"/>
                                  <a14:foregroundMark x1="31958" y1="69326" x2="28553" y2="39752"/>
                                  <a14:foregroundMark x1="28553" y1="39752" x2="31565" y2="31499"/>
                                  <a14:foregroundMark x1="34185" y1="22421" x2="45711" y2="19670"/>
                                  <a14:foregroundMark x1="37001" y1="18982" x2="42109" y2="17607"/>
                                  <a14:foregroundMark x1="42109" y1="17607" x2="44401" y2="18019"/>
                                  <a14:foregroundMark x1="42895" y1="13067" x2="43877" y2="16094"/>
                                  <a14:foregroundMark x1="26392" y1="26410" x2="38900" y2="16644"/>
                                  <a14:foregroundMark x1="58481" y1="41953" x2="57564" y2="58184"/>
                                  <a14:foregroundMark x1="59790" y1="41678" x2="59790" y2="41678"/>
                                  <a14:foregroundMark x1="47151" y1="68363" x2="41716" y2="82118"/>
                                  <a14:foregroundMark x1="41716" y1="82118" x2="46562" y2="83356"/>
                                  <a14:foregroundMark x1="46562" y1="83356" x2="36477" y2="80605"/>
                                  <a14:foregroundMark x1="50491" y1="62311" x2="53307" y2="50619"/>
                                  <a14:foregroundMark x1="53307" y1="50619" x2="55403" y2="52682"/>
                                  <a14:foregroundMark x1="50360" y1="76341" x2="53831" y2="76204"/>
                                  <a14:foregroundMark x1="43877" y1="70151" x2="38048" y2="68913"/>
                                  <a14:foregroundMark x1="38048" y1="68913" x2="33726" y2="64237"/>
                                  <a14:foregroundMark x1="33726" y1="64237" x2="32351" y2="48143"/>
                                  <a14:foregroundMark x1="32351" y1="48143" x2="33923" y2="37552"/>
                                  <a14:foregroundMark x1="33923" y1="37552" x2="39751" y2="29298"/>
                                  <a14:foregroundMark x1="39751" y1="29298" x2="43157" y2="27098"/>
                                  <a14:foregroundMark x1="46038" y1="25997" x2="44597" y2="15268"/>
                                  <a14:foregroundMark x1="44597" y1="15268" x2="42502" y2="12380"/>
                                  <a14:foregroundMark x1="45056" y1="16919" x2="47282" y2="24897"/>
                                  <a14:foregroundMark x1="30845" y1="31087" x2="25475" y2="34388"/>
                                  <a14:foregroundMark x1="25475" y1="34388" x2="25475" y2="34388"/>
                                  <a14:foregroundMark x1="25278" y1="33975" x2="24558" y2="34525"/>
                                  <a14:foregroundMark x1="27832" y1="29023" x2="24100" y2="39202"/>
                                  <a14:foregroundMark x1="24100" y1="39202" x2="24558" y2="43741"/>
                                  <a14:foregroundMark x1="26392" y1="65887" x2="34512" y2="82393"/>
                                  <a14:foregroundMark x1="29797" y1="74415" x2="33923" y2="82393"/>
                                  <a14:foregroundMark x1="33923" y1="82393" x2="34054" y2="82393"/>
                                  <a14:foregroundMark x1="30255" y1="76341" x2="33595" y2="83219"/>
                                  <a14:foregroundMark x1="58153" y1="42228" x2="60576" y2="40578"/>
                                  <a14:foregroundMark x1="42371" y1="11004" x2="42371" y2="15818"/>
                                  <a14:foregroundMark x1="24100" y1="35076" x2="25802" y2="37139"/>
                                  <a14:foregroundMark x1="32155" y1="80743" x2="31238" y2="78817"/>
                                  <a14:foregroundMark x1="31041" y1="22558" x2="35953" y2="16506"/>
                                  <a14:foregroundMark x1="35953" y1="16506" x2="45056" y2="14030"/>
                                  <a14:foregroundMark x1="37001" y1="15956" x2="44073" y2="13067"/>
                                  <a14:foregroundMark x1="44073" y1="13067" x2="44073" y2="13067"/>
                                  <a14:foregroundMark x1="45318" y1="14305" x2="50491" y2="17744"/>
                                  <a14:foregroundMark x1="50491" y1="17744" x2="54355" y2="23109"/>
                                  <a14:foregroundMark x1="54355" y1="23109" x2="58022" y2="35076"/>
                                  <a14:foregroundMark x1="58022" y1="35076" x2="58743" y2="40440"/>
                                  <a14:foregroundMark x1="60511" y1="41265" x2="57171" y2="67950"/>
                                  <a14:foregroundMark x1="57171" y1="67950" x2="51473" y2="81706"/>
                                  <a14:foregroundMark x1="53831" y1="77166" x2="54420" y2="74278"/>
                                  <a14:foregroundMark x1="54551" y1="71802" x2="56451" y2="76204"/>
                                  <a14:foregroundMark x1="57891" y1="69326" x2="52652" y2="79367"/>
                                  <a14:foregroundMark x1="58022" y1="71389" x2="52718" y2="80605"/>
                                  <a14:foregroundMark x1="55992" y1="75928" x2="50164" y2="81843"/>
                                  <a14:foregroundMark x1="49771" y1="81843" x2="33923" y2="83631"/>
                                  <a14:foregroundMark x1="34643" y1="82669" x2="44270" y2="85970"/>
                                  <a14:foregroundMark x1="44270" y1="85970" x2="50295" y2="84732"/>
                                  <a14:foregroundMark x1="50295" y1="84732" x2="51473" y2="83631"/>
                                  <a14:foregroundMark x1="49574" y1="82256" x2="32286" y2="84457"/>
                                  <a14:foregroundMark x1="40602" y1="85970" x2="31696" y2="84869"/>
                                  <a14:foregroundMark x1="32744" y1="82944" x2="29142" y2="76616"/>
                                  <a14:foregroundMark x1="29142" y1="76616" x2="24492" y2="43604"/>
                                  <a14:foregroundMark x1="24820" y1="43604" x2="24558" y2="59697"/>
                                  <a14:foregroundMark x1="24558" y1="59697" x2="28225" y2="73315"/>
                                  <a14:foregroundMark x1="28225" y1="73315" x2="28880" y2="74691"/>
                                  <a14:foregroundMark x1="24492" y1="38239" x2="24361" y2="35488"/>
                                  <a14:foregroundMark x1="25016" y1="33012" x2="32744" y2="17607"/>
                                  <a14:foregroundMark x1="32744" y1="17607" x2="39424" y2="13893"/>
                                  <a14:foregroundMark x1="39424" y1="13893" x2="45972" y2="14030"/>
                                  <a14:foregroundMark x1="45972" y1="14030" x2="56385" y2="23246"/>
                                  <a14:foregroundMark x1="56385" y1="23246" x2="59005" y2="32737"/>
                                  <a14:foregroundMark x1="59005" y1="32737" x2="59856" y2="40715"/>
                                  <a14:backgroundMark x1="26457" y1="12792" x2="26392" y2="18569"/>
                                </a14:backgroundRemoval>
                              </a14:imgEffect>
                            </a14:imgLayer>
                          </a14:imgProps>
                        </a:ext>
                        <a:ext uri="{28A0092B-C50C-407E-A947-70E740481C1C}">
                          <a14:useLocalDpi xmlns:a14="http://schemas.microsoft.com/office/drawing/2010/main" val="0"/>
                        </a:ext>
                      </a:extLst>
                    </a:blip>
                    <a:srcRect l="24013" t="10077" r="38710" b="13628"/>
                    <a:stretch/>
                  </pic:blipFill>
                  <pic:spPr bwMode="auto">
                    <a:xfrm>
                      <a:off x="0" y="0"/>
                      <a:ext cx="3945690" cy="3848863"/>
                    </a:xfrm>
                    <a:prstGeom prst="rect">
                      <a:avLst/>
                    </a:prstGeom>
                    <a:noFill/>
                    <a:ln>
                      <a:noFill/>
                    </a:ln>
                    <a:extLst>
                      <a:ext uri="{53640926-AAD7-44D8-BBD7-CCE9431645EC}">
                        <a14:shadowObscured xmlns:a14="http://schemas.microsoft.com/office/drawing/2010/main"/>
                      </a:ext>
                    </a:extLst>
                  </pic:spPr>
                </pic:pic>
              </a:graphicData>
            </a:graphic>
          </wp:inline>
        </w:drawing>
      </w:r>
    </w:p>
    <w:p w14:paraId="50975743" w14:textId="20FE8537" w:rsidR="001902FB" w:rsidRPr="001902FB" w:rsidRDefault="001902FB" w:rsidP="00172F29">
      <w:pPr>
        <w:pStyle w:val="Heading1"/>
        <w:shd w:val="clear" w:color="auto" w:fill="00003B"/>
        <w:spacing w:before="60"/>
        <w:ind w:right="180"/>
      </w:pPr>
      <w:r w:rsidRPr="001902FB">
        <w:t>Principles of practice</w:t>
      </w:r>
    </w:p>
    <w:p w14:paraId="295EAD9B" w14:textId="77777777" w:rsidR="00C027E4" w:rsidRDefault="00C027E4" w:rsidP="00621E18">
      <w:pPr>
        <w:spacing w:before="160"/>
      </w:pPr>
      <w:r w:rsidRPr="00C027E4">
        <w:t>To meet current and future population needs, the Strategy supports the workforce (regardless of discipline, setting or role) to deliver mental health treatment, care and support in accordance with the following principles of practice:</w:t>
      </w:r>
    </w:p>
    <w:p w14:paraId="35FBBD50" w14:textId="3A42A271" w:rsidR="001902FB" w:rsidRDefault="00A7147F" w:rsidP="00621E18">
      <w:pPr>
        <w:spacing w:before="160"/>
      </w:pPr>
      <w:r w:rsidRPr="00A7147F">
        <w:rPr>
          <w:rStyle w:val="Strong"/>
        </w:rPr>
        <w:t>Holistic, compassionate &amp; person-centred</w:t>
      </w:r>
      <w:r>
        <w:t xml:space="preserve"> </w:t>
      </w:r>
      <w:r w:rsidRPr="00A7147F">
        <w:t>–</w:t>
      </w:r>
      <w:r w:rsidR="0081759D">
        <w:t xml:space="preserve"> </w:t>
      </w:r>
      <w:r w:rsidRPr="00A7147F">
        <w:t>The needs and goals of consumers and carers are placed at the centre</w:t>
      </w:r>
    </w:p>
    <w:p w14:paraId="692CA56A" w14:textId="45C6E138" w:rsidR="001902FB" w:rsidRDefault="00A7147F" w:rsidP="00621E18">
      <w:pPr>
        <w:spacing w:before="160"/>
      </w:pPr>
      <w:r w:rsidRPr="00A7147F">
        <w:rPr>
          <w:rStyle w:val="Strong"/>
        </w:rPr>
        <w:t>Recovery oriented</w:t>
      </w:r>
      <w:r>
        <w:t xml:space="preserve"> </w:t>
      </w:r>
      <w:r w:rsidRPr="00A7147F">
        <w:t>–</w:t>
      </w:r>
      <w:r w:rsidR="0081759D">
        <w:t xml:space="preserve"> </w:t>
      </w:r>
      <w:r w:rsidRPr="00A7147F">
        <w:t>Consumers and their carers and families are supported to actively lead their recovery journey</w:t>
      </w:r>
    </w:p>
    <w:p w14:paraId="5EE64EC4" w14:textId="71559348" w:rsidR="001902FB" w:rsidRDefault="00A7147F" w:rsidP="00621E18">
      <w:pPr>
        <w:spacing w:before="160"/>
      </w:pPr>
      <w:r w:rsidRPr="00A7147F">
        <w:rPr>
          <w:rStyle w:val="Strong"/>
        </w:rPr>
        <w:t>Trauma informed</w:t>
      </w:r>
      <w:r>
        <w:t xml:space="preserve"> </w:t>
      </w:r>
      <w:r w:rsidRPr="00A7147F">
        <w:t>–</w:t>
      </w:r>
      <w:r>
        <w:t xml:space="preserve"> </w:t>
      </w:r>
      <w:r w:rsidR="00C027E4" w:rsidRPr="00C027E4">
        <w:t>Services are delivered in a way that is informed by the impact of trauma on the people seeking mental health care</w:t>
      </w:r>
    </w:p>
    <w:p w14:paraId="76D30AF0" w14:textId="77777777" w:rsidR="00A7147F" w:rsidRDefault="00A7147F" w:rsidP="00621E18">
      <w:pPr>
        <w:spacing w:before="160"/>
      </w:pPr>
      <w:r w:rsidRPr="00A7147F">
        <w:rPr>
          <w:rStyle w:val="Strong"/>
        </w:rPr>
        <w:t>Culturally Safe</w:t>
      </w:r>
      <w:r>
        <w:t xml:space="preserve"> </w:t>
      </w:r>
      <w:r w:rsidRPr="00A7147F">
        <w:t>–</w:t>
      </w:r>
      <w:r>
        <w:t xml:space="preserve"> </w:t>
      </w:r>
      <w:r w:rsidRPr="00A7147F">
        <w:t>Care is safe for all cultural, sexual and gender identities</w:t>
      </w:r>
    </w:p>
    <w:p w14:paraId="3D495C36" w14:textId="77777777" w:rsidR="00A7147F" w:rsidRDefault="00A7147F" w:rsidP="00621E18">
      <w:pPr>
        <w:spacing w:before="160"/>
      </w:pPr>
      <w:r w:rsidRPr="00A7147F">
        <w:rPr>
          <w:rStyle w:val="Strong"/>
        </w:rPr>
        <w:t>Strengths based</w:t>
      </w:r>
      <w:r>
        <w:t xml:space="preserve"> </w:t>
      </w:r>
      <w:r w:rsidRPr="00A7147F">
        <w:t>–</w:t>
      </w:r>
      <w:r>
        <w:t xml:space="preserve"> </w:t>
      </w:r>
      <w:r w:rsidRPr="00A7147F">
        <w:t xml:space="preserve">People are supported to use and build on their unique strengths and resources </w:t>
      </w:r>
    </w:p>
    <w:p w14:paraId="72BD6418" w14:textId="77777777" w:rsidR="00A7147F" w:rsidRDefault="00A7147F" w:rsidP="00621E18">
      <w:pPr>
        <w:spacing w:before="160"/>
      </w:pPr>
      <w:r w:rsidRPr="00A7147F">
        <w:rPr>
          <w:rStyle w:val="Strong"/>
        </w:rPr>
        <w:t>Integrated</w:t>
      </w:r>
      <w:r>
        <w:t xml:space="preserve"> </w:t>
      </w:r>
      <w:r w:rsidRPr="00A7147F">
        <w:t>–</w:t>
      </w:r>
      <w:r>
        <w:t xml:space="preserve"> </w:t>
      </w:r>
      <w:r w:rsidRPr="00A7147F">
        <w:t>Mental health services are connected across the wider health and social services sectors</w:t>
      </w:r>
    </w:p>
    <w:p w14:paraId="4F6D7948" w14:textId="7EE104C7" w:rsidR="00A7147F" w:rsidRDefault="00A7147F" w:rsidP="00621E18">
      <w:pPr>
        <w:spacing w:before="160"/>
      </w:pPr>
      <w:r w:rsidRPr="00A7147F">
        <w:rPr>
          <w:rStyle w:val="Strong"/>
        </w:rPr>
        <w:t>Accessible &amp; equitable</w:t>
      </w:r>
      <w:r>
        <w:t xml:space="preserve"> </w:t>
      </w:r>
      <w:r w:rsidRPr="00A7147F">
        <w:t>–</w:t>
      </w:r>
      <w:r>
        <w:t xml:space="preserve"> </w:t>
      </w:r>
      <w:r w:rsidR="00C027E4" w:rsidRPr="00C027E4">
        <w:t>Services respond to the diversity of needs at different stages in the life course, minimising barriers for vulnerable communities</w:t>
      </w:r>
    </w:p>
    <w:p w14:paraId="559FFE79" w14:textId="2A9ABBAC" w:rsidR="001902FB" w:rsidRDefault="00A7147F" w:rsidP="00C027E4">
      <w:pPr>
        <w:spacing w:before="160"/>
        <w:sectPr w:rsidR="001902FB" w:rsidSect="00172F29">
          <w:type w:val="continuous"/>
          <w:pgSz w:w="16838" w:h="23810"/>
          <w:pgMar w:top="1440" w:right="1440" w:bottom="1440" w:left="1560" w:header="227" w:footer="720" w:gutter="0"/>
          <w:pgNumType w:start="1"/>
          <w:cols w:num="2" w:space="720"/>
          <w:docGrid w:linePitch="326"/>
        </w:sectPr>
      </w:pPr>
      <w:r w:rsidRPr="00A7147F">
        <w:rPr>
          <w:rStyle w:val="Strong"/>
        </w:rPr>
        <w:t>Evidence based</w:t>
      </w:r>
      <w:r>
        <w:t xml:space="preserve"> </w:t>
      </w:r>
      <w:r w:rsidRPr="00A7147F">
        <w:t>–</w:t>
      </w:r>
      <w:r>
        <w:t xml:space="preserve"> </w:t>
      </w:r>
      <w:r w:rsidR="00C027E4" w:rsidRPr="00C027E4">
        <w:t>Data and evidence underpin service and workforce design, delivery and evaluation</w:t>
      </w:r>
    </w:p>
    <w:p w14:paraId="6A5A1AB3" w14:textId="661F2216" w:rsidR="001902FB" w:rsidRDefault="001902FB" w:rsidP="0034490C">
      <w:pPr>
        <w:pStyle w:val="Heading1"/>
        <w:shd w:val="clear" w:color="auto" w:fill="00003B"/>
        <w:spacing w:before="360"/>
        <w:ind w:right="68"/>
      </w:pPr>
      <w:r w:rsidRPr="001902FB">
        <w:t>Strategic Pillars</w:t>
      </w:r>
    </w:p>
    <w:p w14:paraId="46B24A48" w14:textId="555F551F" w:rsidR="001902FB" w:rsidRPr="001902FB" w:rsidRDefault="001902FB" w:rsidP="00BC5221">
      <w:r w:rsidRPr="00ED61E3">
        <w:t xml:space="preserve">The </w:t>
      </w:r>
      <w:r w:rsidR="00621E18">
        <w:t>four</w:t>
      </w:r>
      <w:r w:rsidRPr="00ED61E3">
        <w:t xml:space="preserve"> strategic pillars provide targeted objectives and prioritise key action areas to achieve the vision of the Strategy. The Strategy recognises that there are linkages between the actions across the strategic pillars.</w:t>
      </w:r>
    </w:p>
    <w:tbl>
      <w:tblPr>
        <w:tblStyle w:val="GridTable4-Accent6"/>
        <w:tblW w:w="5053" w:type="pct"/>
        <w:tblInd w:w="-147" w:type="dxa"/>
        <w:tblLook w:val="0420" w:firstRow="1" w:lastRow="0" w:firstColumn="0" w:lastColumn="0" w:noHBand="0" w:noVBand="1"/>
        <w:tblDescription w:val="This table is a list of the strategic pillars."/>
      </w:tblPr>
      <w:tblGrid>
        <w:gridCol w:w="4537"/>
        <w:gridCol w:w="5092"/>
        <w:gridCol w:w="4346"/>
      </w:tblGrid>
      <w:tr w:rsidR="00BC5221" w14:paraId="15CC1496" w14:textId="77777777" w:rsidTr="0034490C">
        <w:trPr>
          <w:cnfStyle w:val="100000000000" w:firstRow="1" w:lastRow="0" w:firstColumn="0" w:lastColumn="0" w:oddVBand="0" w:evenVBand="0" w:oddHBand="0" w:evenHBand="0" w:firstRowFirstColumn="0" w:firstRowLastColumn="0" w:lastRowFirstColumn="0" w:lastRowLastColumn="0"/>
          <w:trHeight w:val="482"/>
          <w:tblHeader/>
        </w:trPr>
        <w:tc>
          <w:tcPr>
            <w:tcW w:w="1623" w:type="pct"/>
            <w:shd w:val="clear" w:color="auto" w:fill="3C5B9D"/>
            <w:vAlign w:val="center"/>
          </w:tcPr>
          <w:p w14:paraId="04E5F114" w14:textId="77777777" w:rsidR="002C7142" w:rsidRPr="00C43756" w:rsidRDefault="002C7142" w:rsidP="00BC5221">
            <w:pPr>
              <w:pStyle w:val="TableofAuthorities"/>
              <w:jc w:val="center"/>
            </w:pPr>
            <w:r w:rsidRPr="00C43756">
              <w:t>Attract &amp; Train</w:t>
            </w:r>
          </w:p>
        </w:tc>
        <w:tc>
          <w:tcPr>
            <w:tcW w:w="1822" w:type="pct"/>
            <w:shd w:val="clear" w:color="auto" w:fill="3C5B9D"/>
            <w:vAlign w:val="center"/>
          </w:tcPr>
          <w:p w14:paraId="045E3EB2" w14:textId="3ED3BC29" w:rsidR="002C7142" w:rsidRPr="00C43756" w:rsidRDefault="002C7142" w:rsidP="00BC5221">
            <w:pPr>
              <w:pStyle w:val="TableofAuthorities"/>
              <w:jc w:val="center"/>
            </w:pPr>
            <w:r w:rsidRPr="00C43756">
              <w:t>Maximi</w:t>
            </w:r>
            <w:r w:rsidR="00D20BF0">
              <w:t>s</w:t>
            </w:r>
            <w:r w:rsidRPr="00C43756">
              <w:t>e, Distribute &amp; Connect</w:t>
            </w:r>
          </w:p>
        </w:tc>
        <w:tc>
          <w:tcPr>
            <w:tcW w:w="1555" w:type="pct"/>
            <w:shd w:val="clear" w:color="auto" w:fill="3C5B9D"/>
            <w:vAlign w:val="center"/>
          </w:tcPr>
          <w:p w14:paraId="2E97EF82" w14:textId="77777777" w:rsidR="002C7142" w:rsidRPr="00C43756" w:rsidRDefault="002C7142" w:rsidP="00BC5221">
            <w:pPr>
              <w:pStyle w:val="TableofAuthorities"/>
              <w:jc w:val="center"/>
            </w:pPr>
            <w:r w:rsidRPr="00C43756">
              <w:t>Support &amp; Retain</w:t>
            </w:r>
          </w:p>
        </w:tc>
      </w:tr>
      <w:tr w:rsidR="002C7142" w14:paraId="7D7B9511" w14:textId="77777777" w:rsidTr="0034490C">
        <w:trPr>
          <w:trHeight w:val="794"/>
        </w:trPr>
        <w:tc>
          <w:tcPr>
            <w:tcW w:w="1623" w:type="pct"/>
          </w:tcPr>
          <w:p w14:paraId="513E8779" w14:textId="0845D680" w:rsidR="002C7142" w:rsidRDefault="00CA1E55" w:rsidP="00BC5221">
            <w:pPr>
              <w:pStyle w:val="TableofFigures"/>
            </w:pPr>
            <w:r>
              <w:t>Address critical shortages in the mental health workforce</w:t>
            </w:r>
          </w:p>
        </w:tc>
        <w:tc>
          <w:tcPr>
            <w:tcW w:w="1822" w:type="pct"/>
          </w:tcPr>
          <w:p w14:paraId="66E003A6" w14:textId="53731228" w:rsidR="002C7142" w:rsidRDefault="002C7142" w:rsidP="00BC5221">
            <w:pPr>
              <w:pStyle w:val="TableofFigures"/>
            </w:pPr>
            <w:r>
              <w:t xml:space="preserve">Enable the workforce to expand and work to the top of their scope and enhance regulatory arrangements to strengthen the safety and quality of care </w:t>
            </w:r>
          </w:p>
        </w:tc>
        <w:tc>
          <w:tcPr>
            <w:tcW w:w="1555" w:type="pct"/>
          </w:tcPr>
          <w:p w14:paraId="77651FA3" w14:textId="008C612D" w:rsidR="002C7142" w:rsidRDefault="002C7142" w:rsidP="00BC5221">
            <w:pPr>
              <w:pStyle w:val="TableofFigures"/>
            </w:pPr>
            <w:r>
              <w:t xml:space="preserve">Support workplaces to create mentally healthy workplaces and adopt positive workplace cultures </w:t>
            </w:r>
          </w:p>
        </w:tc>
      </w:tr>
      <w:tr w:rsidR="002C7142" w14:paraId="48E77628" w14:textId="77777777" w:rsidTr="0034490C">
        <w:trPr>
          <w:trHeight w:val="794"/>
        </w:trPr>
        <w:tc>
          <w:tcPr>
            <w:tcW w:w="1623" w:type="pct"/>
          </w:tcPr>
          <w:p w14:paraId="091299E7" w14:textId="44284E37" w:rsidR="002C7142" w:rsidRDefault="002C7142" w:rsidP="00BC5221">
            <w:pPr>
              <w:pStyle w:val="TableofFigures"/>
            </w:pPr>
            <w:r>
              <w:t xml:space="preserve">Mobilise the broader social and emotional wellbeing and health workforce </w:t>
            </w:r>
          </w:p>
        </w:tc>
        <w:tc>
          <w:tcPr>
            <w:tcW w:w="1822" w:type="pct"/>
          </w:tcPr>
          <w:p w14:paraId="29A6D59D" w14:textId="77777777" w:rsidR="002C7142" w:rsidRDefault="002C7142" w:rsidP="00BC5221">
            <w:pPr>
              <w:pStyle w:val="TableofFigures"/>
            </w:pPr>
            <w:r>
              <w:t xml:space="preserve">Strengthen coordinated care, collaboration and multidisciplinary ways of working within and between the mental health, wider health and social service workforces </w:t>
            </w:r>
          </w:p>
        </w:tc>
        <w:tc>
          <w:tcPr>
            <w:tcW w:w="1555" w:type="pct"/>
          </w:tcPr>
          <w:p w14:paraId="22B65BAB" w14:textId="3BC65A76" w:rsidR="002C7142" w:rsidRDefault="002C7142" w:rsidP="00BC5221">
            <w:pPr>
              <w:pStyle w:val="TableofFigures"/>
            </w:pPr>
            <w:r>
              <w:t xml:space="preserve">Implement evidence driven strategies to </w:t>
            </w:r>
            <w:r w:rsidR="00E11A08">
              <w:t xml:space="preserve">prevent and </w:t>
            </w:r>
            <w:r>
              <w:t>address worker stress and burnout</w:t>
            </w:r>
          </w:p>
        </w:tc>
      </w:tr>
      <w:tr w:rsidR="002C7142" w14:paraId="4A6929DC" w14:textId="77777777" w:rsidTr="0034490C">
        <w:trPr>
          <w:trHeight w:val="794"/>
        </w:trPr>
        <w:tc>
          <w:tcPr>
            <w:tcW w:w="1623" w:type="pct"/>
          </w:tcPr>
          <w:p w14:paraId="72ACA5E2" w14:textId="77777777" w:rsidR="002C7142" w:rsidRDefault="002C7142" w:rsidP="00BC5221">
            <w:pPr>
              <w:pStyle w:val="TableofFigures"/>
            </w:pPr>
            <w:r>
              <w:t>Promote mental health careers as an attractive career choice</w:t>
            </w:r>
          </w:p>
        </w:tc>
        <w:tc>
          <w:tcPr>
            <w:tcW w:w="1822" w:type="pct"/>
          </w:tcPr>
          <w:p w14:paraId="6464C8A2" w14:textId="47CAF14C" w:rsidR="002C7142" w:rsidRDefault="002C7142" w:rsidP="00BC5221">
            <w:pPr>
              <w:pStyle w:val="TableofFigures"/>
            </w:pPr>
            <w:r>
              <w:t>Provide evidence</w:t>
            </w:r>
            <w:r w:rsidR="00335339">
              <w:t>-</w:t>
            </w:r>
            <w:r>
              <w:t>based guidance to underpin workforce planning and the management of demand and surge capacity</w:t>
            </w:r>
          </w:p>
        </w:tc>
        <w:tc>
          <w:tcPr>
            <w:tcW w:w="1555" w:type="pct"/>
          </w:tcPr>
          <w:p w14:paraId="70C4D696" w14:textId="0BF5AABC" w:rsidR="002C7142" w:rsidRDefault="002C7142" w:rsidP="00BC5221">
            <w:pPr>
              <w:pStyle w:val="TableofFigures"/>
            </w:pPr>
            <w:r>
              <w:t>Increase access to, and use of, continuing professional development across all career stages</w:t>
            </w:r>
          </w:p>
        </w:tc>
      </w:tr>
      <w:tr w:rsidR="002C7142" w14:paraId="3F471FB7" w14:textId="77777777" w:rsidTr="0034490C">
        <w:trPr>
          <w:trHeight w:val="794"/>
        </w:trPr>
        <w:tc>
          <w:tcPr>
            <w:tcW w:w="1623" w:type="pct"/>
          </w:tcPr>
          <w:p w14:paraId="3F77B005" w14:textId="77777777" w:rsidR="002C7142" w:rsidRDefault="002C7142" w:rsidP="00BC5221">
            <w:pPr>
              <w:pStyle w:val="TableofFigures"/>
            </w:pPr>
            <w:r>
              <w:t>Develop and deliver recruitment and career pathways</w:t>
            </w:r>
            <w:r w:rsidR="00C43756">
              <w:t xml:space="preserve"> </w:t>
            </w:r>
            <w:r>
              <w:t xml:space="preserve">to attract a suitably skilled and diverse workforce </w:t>
            </w:r>
          </w:p>
        </w:tc>
        <w:tc>
          <w:tcPr>
            <w:tcW w:w="1822" w:type="pct"/>
          </w:tcPr>
          <w:p w14:paraId="727CC8D1" w14:textId="02F88951" w:rsidR="002C7142" w:rsidRDefault="002C7142" w:rsidP="00BC5221">
            <w:pPr>
              <w:pStyle w:val="TableofFigures"/>
            </w:pPr>
            <w:r>
              <w:t xml:space="preserve">Address workforce </w:t>
            </w:r>
            <w:r w:rsidR="00A51457">
              <w:t>supply in rural and remote areas</w:t>
            </w:r>
          </w:p>
        </w:tc>
        <w:tc>
          <w:tcPr>
            <w:tcW w:w="1555" w:type="pct"/>
          </w:tcPr>
          <w:p w14:paraId="48F021A2" w14:textId="3E79216F" w:rsidR="002C7142" w:rsidRDefault="002C7142" w:rsidP="00BC5221">
            <w:pPr>
              <w:pStyle w:val="TableofFigures"/>
            </w:pPr>
            <w:r>
              <w:t>Increase supervision and mentoring across all career stages, including current and emerging</w:t>
            </w:r>
            <w:r w:rsidR="00A51457">
              <w:t xml:space="preserve"> </w:t>
            </w:r>
            <w:r>
              <w:t>leaders</w:t>
            </w:r>
          </w:p>
        </w:tc>
      </w:tr>
      <w:tr w:rsidR="002C7142" w14:paraId="160A02B4" w14:textId="77777777" w:rsidTr="0034490C">
        <w:trPr>
          <w:trHeight w:val="794"/>
        </w:trPr>
        <w:tc>
          <w:tcPr>
            <w:tcW w:w="1623" w:type="pct"/>
          </w:tcPr>
          <w:p w14:paraId="4312B4E5" w14:textId="0BE7163A" w:rsidR="002C7142" w:rsidRDefault="002C7142" w:rsidP="00BC5221">
            <w:pPr>
              <w:pStyle w:val="TableofFigures"/>
            </w:pPr>
            <w:r>
              <w:t xml:space="preserve">Enhance training pathways, access to supervision, and support skills transfer </w:t>
            </w:r>
          </w:p>
        </w:tc>
        <w:tc>
          <w:tcPr>
            <w:tcW w:w="1822" w:type="pct"/>
          </w:tcPr>
          <w:p w14:paraId="3FB28D88" w14:textId="635E286A" w:rsidR="002C7142" w:rsidRDefault="00A51457" w:rsidP="00BC5221">
            <w:pPr>
              <w:pStyle w:val="TableofFigures"/>
            </w:pPr>
            <w:r w:rsidRPr="00A51457">
              <w:t xml:space="preserve">Address workforce distribution across settings and between public, private and </w:t>
            </w:r>
            <w:r w:rsidR="00E11A08">
              <w:t>not-for-profit</w:t>
            </w:r>
            <w:r w:rsidRPr="00A51457">
              <w:t xml:space="preserve"> sectors</w:t>
            </w:r>
          </w:p>
        </w:tc>
        <w:tc>
          <w:tcPr>
            <w:tcW w:w="1555" w:type="pct"/>
          </w:tcPr>
          <w:p w14:paraId="6E177C57" w14:textId="6AA3B33B" w:rsidR="002C7142" w:rsidRDefault="002C7142" w:rsidP="00BC5221">
            <w:pPr>
              <w:pStyle w:val="TableofFigures"/>
            </w:pPr>
            <w:r>
              <w:t>Adopt funding models and arrangements that drive quality of care and promote retention</w:t>
            </w:r>
          </w:p>
        </w:tc>
      </w:tr>
      <w:tr w:rsidR="002C7142" w14:paraId="1C7FDE9A" w14:textId="77777777" w:rsidTr="0034490C">
        <w:trPr>
          <w:trHeight w:val="794"/>
        </w:trPr>
        <w:tc>
          <w:tcPr>
            <w:tcW w:w="1623" w:type="pct"/>
          </w:tcPr>
          <w:p w14:paraId="191678DA" w14:textId="6B761979" w:rsidR="002C7142" w:rsidRPr="00BC5221" w:rsidRDefault="002C7142" w:rsidP="00BC5221">
            <w:pPr>
              <w:pStyle w:val="TableofFigures"/>
            </w:pPr>
            <w:r w:rsidRPr="00BC5221">
              <w:t>Strengthen the capability and core competencies of</w:t>
            </w:r>
            <w:r w:rsidR="00BC5221" w:rsidRPr="00BC5221">
              <w:t xml:space="preserve"> </w:t>
            </w:r>
            <w:r w:rsidRPr="00BC5221">
              <w:t>the workforce to recognise and respond to community need</w:t>
            </w:r>
          </w:p>
        </w:tc>
        <w:tc>
          <w:tcPr>
            <w:tcW w:w="1822" w:type="pct"/>
          </w:tcPr>
          <w:p w14:paraId="0E270549" w14:textId="77777777" w:rsidR="002C7142" w:rsidRPr="00BC5221" w:rsidRDefault="002C7142" w:rsidP="00BC5221">
            <w:pPr>
              <w:pStyle w:val="TableofFigures"/>
            </w:pPr>
          </w:p>
        </w:tc>
        <w:tc>
          <w:tcPr>
            <w:tcW w:w="1555" w:type="pct"/>
          </w:tcPr>
          <w:p w14:paraId="0A027CF1" w14:textId="77777777" w:rsidR="002C7142" w:rsidRPr="00BC5221" w:rsidRDefault="002C7142" w:rsidP="00BC5221">
            <w:pPr>
              <w:pStyle w:val="TableofFigures"/>
            </w:pPr>
          </w:p>
        </w:tc>
      </w:tr>
    </w:tbl>
    <w:p w14:paraId="2893D444" w14:textId="77777777" w:rsidR="004C2FC5" w:rsidRPr="00BC5221" w:rsidRDefault="004C2FC5" w:rsidP="00BC5221"/>
    <w:tbl>
      <w:tblPr>
        <w:tblStyle w:val="GridTable4-Accent6"/>
        <w:tblW w:w="5053" w:type="pct"/>
        <w:tblInd w:w="-147" w:type="dxa"/>
        <w:tblLook w:val="0420" w:firstRow="1" w:lastRow="0" w:firstColumn="0" w:lastColumn="0" w:noHBand="0" w:noVBand="1"/>
        <w:tblDescription w:val="This table is a list of Data, Planning, Evaluation &amp; Technology"/>
      </w:tblPr>
      <w:tblGrid>
        <w:gridCol w:w="13975"/>
      </w:tblGrid>
      <w:tr w:rsidR="002C7142" w14:paraId="3D4B1A0D" w14:textId="77777777" w:rsidTr="0034490C">
        <w:trPr>
          <w:cnfStyle w:val="100000000000" w:firstRow="1" w:lastRow="0" w:firstColumn="0" w:lastColumn="0" w:oddVBand="0" w:evenVBand="0" w:oddHBand="0" w:evenHBand="0" w:firstRowFirstColumn="0" w:firstRowLastColumn="0" w:lastRowFirstColumn="0" w:lastRowLastColumn="0"/>
          <w:trHeight w:val="482"/>
        </w:trPr>
        <w:tc>
          <w:tcPr>
            <w:tcW w:w="5000" w:type="pct"/>
            <w:shd w:val="clear" w:color="auto" w:fill="3C5B9D"/>
            <w:vAlign w:val="center"/>
          </w:tcPr>
          <w:p w14:paraId="63A7F411" w14:textId="77777777" w:rsidR="002C7142" w:rsidRPr="00BC5221" w:rsidRDefault="002C7142" w:rsidP="00BC5221">
            <w:pPr>
              <w:pStyle w:val="TableofAuthorities"/>
              <w:jc w:val="center"/>
            </w:pPr>
            <w:r w:rsidRPr="00BC5221">
              <w:t>Data, Planning, Evaluation &amp; Technology</w:t>
            </w:r>
          </w:p>
        </w:tc>
      </w:tr>
      <w:tr w:rsidR="002C7142" w14:paraId="17FCE29E" w14:textId="77777777" w:rsidTr="0034490C">
        <w:trPr>
          <w:trHeight w:val="283"/>
        </w:trPr>
        <w:tc>
          <w:tcPr>
            <w:tcW w:w="5000" w:type="pct"/>
          </w:tcPr>
          <w:p w14:paraId="05333174" w14:textId="0EE43E46" w:rsidR="002C7142" w:rsidRPr="00BC5221" w:rsidRDefault="0034490C" w:rsidP="0034490C">
            <w:pPr>
              <w:pStyle w:val="TableofFigures"/>
              <w:spacing w:before="60" w:after="60"/>
            </w:pPr>
            <w:r>
              <w:softHyphen/>
            </w:r>
            <w:r w:rsidR="002C7142" w:rsidRPr="00BC5221">
              <w:t xml:space="preserve">Collaborate with consumers, carers and service providers in planning, monitoring and evaluation processes </w:t>
            </w:r>
          </w:p>
        </w:tc>
      </w:tr>
      <w:tr w:rsidR="002C7142" w14:paraId="089320EF" w14:textId="77777777" w:rsidTr="0034490C">
        <w:trPr>
          <w:trHeight w:val="283"/>
        </w:trPr>
        <w:tc>
          <w:tcPr>
            <w:tcW w:w="5000" w:type="pct"/>
          </w:tcPr>
          <w:p w14:paraId="5B8E9912" w14:textId="77777777" w:rsidR="002C7142" w:rsidRPr="00BC5221" w:rsidRDefault="002C7142" w:rsidP="0034490C">
            <w:pPr>
              <w:pStyle w:val="TableofFigures"/>
              <w:spacing w:before="60" w:after="60"/>
            </w:pPr>
            <w:r w:rsidRPr="00BC5221">
              <w:t>Use data to support workforce and service planning, including demand and surge management</w:t>
            </w:r>
          </w:p>
        </w:tc>
      </w:tr>
      <w:tr w:rsidR="002C7142" w14:paraId="67B6E3B0" w14:textId="77777777" w:rsidTr="0034490C">
        <w:trPr>
          <w:trHeight w:val="283"/>
        </w:trPr>
        <w:tc>
          <w:tcPr>
            <w:tcW w:w="5000" w:type="pct"/>
          </w:tcPr>
          <w:p w14:paraId="0F6318B0" w14:textId="77777777" w:rsidR="002C7142" w:rsidRPr="00BC5221" w:rsidRDefault="002C7142" w:rsidP="0034490C">
            <w:pPr>
              <w:pStyle w:val="TableofFigures"/>
              <w:spacing w:before="60" w:after="60"/>
            </w:pPr>
            <w:r w:rsidRPr="00BC5221">
              <w:t>Improve data governance, quality, collection and utilisation, including addressing data gaps</w:t>
            </w:r>
          </w:p>
        </w:tc>
      </w:tr>
      <w:tr w:rsidR="002C7142" w14:paraId="1FBB89AD" w14:textId="77777777" w:rsidTr="0034490C">
        <w:trPr>
          <w:trHeight w:val="283"/>
        </w:trPr>
        <w:tc>
          <w:tcPr>
            <w:tcW w:w="5000" w:type="pct"/>
          </w:tcPr>
          <w:p w14:paraId="6E49C947" w14:textId="77777777" w:rsidR="002C7142" w:rsidRPr="00BC5221" w:rsidRDefault="002C7142" w:rsidP="0034490C">
            <w:pPr>
              <w:pStyle w:val="TableofFigures"/>
              <w:spacing w:before="60" w:after="60"/>
            </w:pPr>
            <w:r w:rsidRPr="00BC5221">
              <w:t xml:space="preserve">Evaluate workforce initiatives and monitor outcomes to drive continuous improvement </w:t>
            </w:r>
          </w:p>
        </w:tc>
      </w:tr>
      <w:tr w:rsidR="002C7142" w14:paraId="4E3B79A9" w14:textId="77777777" w:rsidTr="0034490C">
        <w:trPr>
          <w:trHeight w:val="283"/>
        </w:trPr>
        <w:tc>
          <w:tcPr>
            <w:tcW w:w="5000" w:type="pct"/>
          </w:tcPr>
          <w:p w14:paraId="789D8670" w14:textId="77777777" w:rsidR="002C7142" w:rsidRPr="00BC5221" w:rsidRDefault="002C7142" w:rsidP="0034490C">
            <w:pPr>
              <w:pStyle w:val="TableofFigures"/>
              <w:spacing w:before="60" w:after="60"/>
            </w:pPr>
            <w:r w:rsidRPr="00BC5221">
              <w:t xml:space="preserve">Improve access to digital technology and support greater digital inclusion </w:t>
            </w:r>
          </w:p>
        </w:tc>
      </w:tr>
    </w:tbl>
    <w:p w14:paraId="39D32A77" w14:textId="64220DD8" w:rsidR="004C2FC5" w:rsidRPr="00424845" w:rsidRDefault="00172F29" w:rsidP="00BC5221">
      <w:pPr>
        <w:rPr>
          <w:sz w:val="4"/>
          <w:szCs w:val="4"/>
        </w:rPr>
      </w:pPr>
      <w:r>
        <w:rPr>
          <w:noProof/>
        </w:rPr>
        <mc:AlternateContent>
          <mc:Choice Requires="wps">
            <w:drawing>
              <wp:anchor distT="0" distB="0" distL="114300" distR="114300" simplePos="0" relativeHeight="251660288" behindDoc="0" locked="0" layoutInCell="1" allowOverlap="1" wp14:anchorId="0A6925F0" wp14:editId="4B9E9F15">
                <wp:simplePos x="0" y="0"/>
                <wp:positionH relativeFrom="page">
                  <wp:align>left</wp:align>
                </wp:positionH>
                <wp:positionV relativeFrom="paragraph">
                  <wp:posOffset>299964</wp:posOffset>
                </wp:positionV>
                <wp:extent cx="10682605" cy="288290"/>
                <wp:effectExtent l="0" t="0" r="23495" b="1651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82605" cy="288290"/>
                        </a:xfrm>
                        <a:prstGeom prst="rect">
                          <a:avLst/>
                        </a:prstGeom>
                        <a:solidFill>
                          <a:srgbClr val="ECF7F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7F9DC2" id="Rectangle 1" o:spid="_x0000_s1026" alt="&quot;&quot;" style="position:absolute;margin-left:0;margin-top:23.6pt;width:841.15pt;height:22.7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" fillcolor="#ecf7fd" strokecolor="#1f3763 [1604]" strokeweight="1pt">
                <w10:wrap anchorx="page"/>
              </v:rect>
            </w:pict>
          </mc:Fallback>
        </mc:AlternateContent>
      </w:r>
    </w:p>
    <w:sectPr w:rsidR="004C2FC5" w:rsidRPr="00424845" w:rsidSect="00172F29">
      <w:type w:val="continuous"/>
      <w:pgSz w:w="16838" w:h="23810"/>
      <w:pgMar w:top="1440" w:right="1440" w:bottom="709" w:left="1560" w:header="227"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0C56" w14:textId="77777777" w:rsidR="00673D8F" w:rsidRDefault="00673D8F" w:rsidP="00424845">
      <w:pPr>
        <w:spacing w:after="0"/>
      </w:pPr>
      <w:r>
        <w:separator/>
      </w:r>
    </w:p>
  </w:endnote>
  <w:endnote w:type="continuationSeparator" w:id="0">
    <w:p w14:paraId="3A04F481" w14:textId="77777777" w:rsidR="00673D8F" w:rsidRDefault="00673D8F" w:rsidP="004248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C336" w14:textId="77777777" w:rsidR="00673D8F" w:rsidRDefault="00673D8F" w:rsidP="00424845">
      <w:pPr>
        <w:spacing w:after="0"/>
      </w:pPr>
      <w:r>
        <w:separator/>
      </w:r>
    </w:p>
  </w:footnote>
  <w:footnote w:type="continuationSeparator" w:id="0">
    <w:p w14:paraId="48C75A58" w14:textId="77777777" w:rsidR="00673D8F" w:rsidRDefault="00673D8F" w:rsidP="004248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F0F0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4A32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92EE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5AFC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D4F6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E63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9E6A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F0EC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88E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52CD1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C5"/>
    <w:rsid w:val="0001208D"/>
    <w:rsid w:val="00017223"/>
    <w:rsid w:val="00172F29"/>
    <w:rsid w:val="001902FB"/>
    <w:rsid w:val="001A0CB1"/>
    <w:rsid w:val="00227911"/>
    <w:rsid w:val="00252BF0"/>
    <w:rsid w:val="002C7142"/>
    <w:rsid w:val="002F5ABC"/>
    <w:rsid w:val="0030788D"/>
    <w:rsid w:val="00335339"/>
    <w:rsid w:val="0034490C"/>
    <w:rsid w:val="0037641A"/>
    <w:rsid w:val="00424845"/>
    <w:rsid w:val="00481110"/>
    <w:rsid w:val="004A0DBB"/>
    <w:rsid w:val="004C2FC5"/>
    <w:rsid w:val="00546EE1"/>
    <w:rsid w:val="005655F6"/>
    <w:rsid w:val="005948A8"/>
    <w:rsid w:val="005E149A"/>
    <w:rsid w:val="00621E18"/>
    <w:rsid w:val="00632B96"/>
    <w:rsid w:val="00673D8F"/>
    <w:rsid w:val="006769E6"/>
    <w:rsid w:val="007518CC"/>
    <w:rsid w:val="007B482F"/>
    <w:rsid w:val="007D5D18"/>
    <w:rsid w:val="0081759D"/>
    <w:rsid w:val="0082717F"/>
    <w:rsid w:val="00884B33"/>
    <w:rsid w:val="008D38E3"/>
    <w:rsid w:val="0097602A"/>
    <w:rsid w:val="00984694"/>
    <w:rsid w:val="00A178AA"/>
    <w:rsid w:val="00A2454B"/>
    <w:rsid w:val="00A51457"/>
    <w:rsid w:val="00A7147F"/>
    <w:rsid w:val="00A72C08"/>
    <w:rsid w:val="00AE67D3"/>
    <w:rsid w:val="00B4423D"/>
    <w:rsid w:val="00B56A5A"/>
    <w:rsid w:val="00BC5221"/>
    <w:rsid w:val="00BC7A90"/>
    <w:rsid w:val="00C027E4"/>
    <w:rsid w:val="00C2563A"/>
    <w:rsid w:val="00C43756"/>
    <w:rsid w:val="00C60E68"/>
    <w:rsid w:val="00CA1E55"/>
    <w:rsid w:val="00CF1A02"/>
    <w:rsid w:val="00D20BF0"/>
    <w:rsid w:val="00D77255"/>
    <w:rsid w:val="00DC49C2"/>
    <w:rsid w:val="00E11A08"/>
    <w:rsid w:val="00EA62EC"/>
    <w:rsid w:val="00ED3CBF"/>
    <w:rsid w:val="00ED61E3"/>
    <w:rsid w:val="00F45E8C"/>
    <w:rsid w:val="00F760EB"/>
    <w:rsid w:val="00F95E4F"/>
    <w:rsid w:val="00FC4D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D4FE04"/>
  <w15:docId w15:val="{956B8807-C940-4303-A9B5-2DED4E28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pPr>
        <w:spacing w:after="7" w:line="252" w:lineRule="auto"/>
        <w:ind w:left="85" w:hanging="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221"/>
    <w:pPr>
      <w:spacing w:before="60" w:after="60" w:line="240" w:lineRule="auto"/>
      <w:ind w:left="0" w:firstLine="0"/>
    </w:pPr>
    <w:rPr>
      <w:color w:val="000000"/>
      <w:sz w:val="22"/>
    </w:rPr>
  </w:style>
  <w:style w:type="paragraph" w:styleId="Heading1">
    <w:name w:val="heading 1"/>
    <w:next w:val="Normal"/>
    <w:link w:val="Heading1Char"/>
    <w:uiPriority w:val="9"/>
    <w:qFormat/>
    <w:rsid w:val="001902FB"/>
    <w:pPr>
      <w:keepNext/>
      <w:keepLines/>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4472C4" w:themeFill="accent1"/>
      <w:spacing w:before="120" w:after="120" w:line="240" w:lineRule="auto"/>
      <w:ind w:left="0" w:firstLine="0"/>
      <w:outlineLvl w:val="0"/>
    </w:pPr>
    <w:rPr>
      <w:b/>
      <w:color w:val="FFFFFF" w:themeColor="background1"/>
      <w:sz w:val="32"/>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C5221"/>
    <w:pPr>
      <w:jc w:val="right"/>
    </w:pPr>
    <w:rPr>
      <w:rFonts w:ascii="Arial" w:eastAsia="Helvetica Neue" w:hAnsi="Arial" w:cs="Helvetica Neue"/>
      <w:noProof/>
      <w:color w:val="0B5394"/>
      <w:sz w:val="48"/>
      <w:szCs w:val="5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F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0F06"/>
    <w:pPr>
      <w:spacing w:before="100" w:beforeAutospacing="1" w:after="100" w:afterAutospacing="1"/>
    </w:pPr>
    <w:rPr>
      <w:rFonts w:ascii="Times New Roman" w:eastAsia="Times New Roman" w:hAnsi="Times New Roman" w:cs="Times New Roman"/>
      <w:color w:val="auto"/>
    </w:rPr>
  </w:style>
  <w:style w:type="character" w:styleId="CommentReference">
    <w:name w:val="annotation reference"/>
    <w:basedOn w:val="DefaultParagraphFont"/>
    <w:uiPriority w:val="99"/>
    <w:semiHidden/>
    <w:unhideWhenUsed/>
    <w:rsid w:val="00BC547C"/>
    <w:rPr>
      <w:sz w:val="16"/>
      <w:szCs w:val="16"/>
    </w:rPr>
  </w:style>
  <w:style w:type="paragraph" w:styleId="CommentText">
    <w:name w:val="annotation text"/>
    <w:basedOn w:val="Normal"/>
    <w:link w:val="CommentTextChar"/>
    <w:uiPriority w:val="99"/>
    <w:unhideWhenUsed/>
    <w:rsid w:val="00BC547C"/>
    <w:rPr>
      <w:sz w:val="20"/>
      <w:szCs w:val="20"/>
    </w:rPr>
  </w:style>
  <w:style w:type="character" w:customStyle="1" w:styleId="CommentTextChar">
    <w:name w:val="Comment Text Char"/>
    <w:basedOn w:val="DefaultParagraphFont"/>
    <w:link w:val="CommentText"/>
    <w:uiPriority w:val="99"/>
    <w:rsid w:val="00BC547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C547C"/>
    <w:rPr>
      <w:b/>
      <w:bCs/>
    </w:rPr>
  </w:style>
  <w:style w:type="character" w:customStyle="1" w:styleId="CommentSubjectChar">
    <w:name w:val="Comment Subject Char"/>
    <w:basedOn w:val="CommentTextChar"/>
    <w:link w:val="CommentSubject"/>
    <w:uiPriority w:val="99"/>
    <w:semiHidden/>
    <w:rsid w:val="00BC547C"/>
    <w:rPr>
      <w:rFonts w:ascii="Calibri" w:eastAsia="Calibri" w:hAnsi="Calibri" w:cs="Calibri"/>
      <w:b/>
      <w:bCs/>
      <w:color w:val="000000"/>
      <w:sz w:val="20"/>
      <w:szCs w:val="20"/>
    </w:rPr>
  </w:style>
  <w:style w:type="paragraph" w:styleId="ListParagraph">
    <w:name w:val="List Paragraph"/>
    <w:basedOn w:val="Normal"/>
    <w:uiPriority w:val="34"/>
    <w:qFormat/>
    <w:rsid w:val="003E1A32"/>
    <w:pPr>
      <w:ind w:left="720"/>
      <w:contextualSpacing/>
    </w:pPr>
  </w:style>
  <w:style w:type="paragraph" w:styleId="Header">
    <w:name w:val="header"/>
    <w:basedOn w:val="Normal"/>
    <w:link w:val="HeaderChar"/>
    <w:uiPriority w:val="99"/>
    <w:unhideWhenUsed/>
    <w:rsid w:val="00833458"/>
    <w:pPr>
      <w:tabs>
        <w:tab w:val="center" w:pos="4513"/>
        <w:tab w:val="right" w:pos="9026"/>
      </w:tabs>
      <w:spacing w:after="0"/>
    </w:pPr>
  </w:style>
  <w:style w:type="character" w:customStyle="1" w:styleId="HeaderChar">
    <w:name w:val="Header Char"/>
    <w:basedOn w:val="DefaultParagraphFont"/>
    <w:link w:val="Header"/>
    <w:uiPriority w:val="99"/>
    <w:rsid w:val="00833458"/>
    <w:rPr>
      <w:rFonts w:ascii="Calibri" w:eastAsia="Calibri" w:hAnsi="Calibri" w:cs="Calibri"/>
      <w:color w:val="000000"/>
      <w:sz w:val="24"/>
    </w:rPr>
  </w:style>
  <w:style w:type="paragraph" w:styleId="Footer">
    <w:name w:val="footer"/>
    <w:basedOn w:val="Normal"/>
    <w:link w:val="FooterChar"/>
    <w:uiPriority w:val="99"/>
    <w:unhideWhenUsed/>
    <w:rsid w:val="00833458"/>
    <w:pPr>
      <w:tabs>
        <w:tab w:val="center" w:pos="4513"/>
        <w:tab w:val="right" w:pos="9026"/>
      </w:tabs>
      <w:spacing w:after="0"/>
    </w:pPr>
  </w:style>
  <w:style w:type="character" w:customStyle="1" w:styleId="FooterChar">
    <w:name w:val="Footer Char"/>
    <w:basedOn w:val="DefaultParagraphFont"/>
    <w:link w:val="Footer"/>
    <w:uiPriority w:val="99"/>
    <w:rsid w:val="00833458"/>
    <w:rPr>
      <w:rFonts w:ascii="Calibri" w:eastAsia="Calibri" w:hAnsi="Calibri" w:cs="Calibri"/>
      <w:color w:val="000000"/>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Strong">
    <w:name w:val="Strong"/>
    <w:basedOn w:val="DefaultParagraphFont"/>
    <w:uiPriority w:val="22"/>
    <w:qFormat/>
    <w:rsid w:val="001902FB"/>
    <w:rPr>
      <w:b/>
      <w:bCs/>
    </w:rPr>
  </w:style>
  <w:style w:type="paragraph" w:customStyle="1" w:styleId="Boxtext">
    <w:name w:val="Box text"/>
    <w:basedOn w:val="Heading1"/>
    <w:link w:val="BoxtextChar"/>
    <w:qFormat/>
    <w:rsid w:val="001902FB"/>
    <w:rPr>
      <w:b w:val="0"/>
      <w:sz w:val="24"/>
    </w:rPr>
  </w:style>
  <w:style w:type="table" w:styleId="GridTable4-Accent6">
    <w:name w:val="Grid Table 4 Accent 6"/>
    <w:basedOn w:val="TableNormal"/>
    <w:uiPriority w:val="49"/>
    <w:rsid w:val="00C43756"/>
    <w:pPr>
      <w:spacing w:after="0" w:line="240" w:lineRule="auto"/>
    </w:pPr>
    <w:tblPr>
      <w:tblStyleRowBandSize w:val="1"/>
      <w:tblStyleColBandSize w:val="1"/>
      <w:tblBorders>
        <w:top w:val="single" w:sz="4" w:space="0" w:color="00727D"/>
        <w:left w:val="single" w:sz="4" w:space="0" w:color="00727D"/>
        <w:bottom w:val="single" w:sz="4" w:space="0" w:color="00727D"/>
        <w:right w:val="single" w:sz="4" w:space="0" w:color="00727D"/>
        <w:insideH w:val="single" w:sz="4" w:space="0" w:color="00727D"/>
        <w:insideV w:val="single" w:sz="4" w:space="0" w:color="00727D"/>
      </w:tblBorders>
    </w:tblPr>
    <w:tblStylePr w:type="firstRow">
      <w:rPr>
        <w:rFonts w:ascii="Calibri" w:hAnsi="Calibri"/>
        <w:b/>
        <w:bCs/>
        <w:color w:val="FFFFFF" w:themeColor="background1"/>
        <w:sz w:val="22"/>
      </w:rPr>
      <w:tblPr/>
      <w:tcPr>
        <w:shd w:val="clear" w:color="auto" w:fill="00727D"/>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style>
  <w:style w:type="character" w:customStyle="1" w:styleId="Heading1Char">
    <w:name w:val="Heading 1 Char"/>
    <w:basedOn w:val="DefaultParagraphFont"/>
    <w:link w:val="Heading1"/>
    <w:uiPriority w:val="9"/>
    <w:rsid w:val="001902FB"/>
    <w:rPr>
      <w:b/>
      <w:color w:val="FFFFFF" w:themeColor="background1"/>
      <w:sz w:val="32"/>
      <w:szCs w:val="48"/>
      <w:shd w:val="clear" w:color="auto" w:fill="4472C4" w:themeFill="accent1"/>
    </w:rPr>
  </w:style>
  <w:style w:type="character" w:customStyle="1" w:styleId="BoxtextChar">
    <w:name w:val="Box text Char"/>
    <w:basedOn w:val="Heading1Char"/>
    <w:link w:val="Boxtext"/>
    <w:rsid w:val="001902FB"/>
    <w:rPr>
      <w:b w:val="0"/>
      <w:color w:val="FFFFFF" w:themeColor="background1"/>
      <w:sz w:val="32"/>
      <w:szCs w:val="48"/>
      <w:shd w:val="clear" w:color="auto" w:fill="4472C4" w:themeFill="accent1"/>
    </w:rPr>
  </w:style>
  <w:style w:type="paragraph" w:styleId="TableofAuthorities">
    <w:name w:val="table of authorities"/>
    <w:next w:val="Normal"/>
    <w:uiPriority w:val="99"/>
    <w:unhideWhenUsed/>
    <w:rsid w:val="00BC5221"/>
    <w:pPr>
      <w:spacing w:after="0"/>
      <w:ind w:left="240" w:hanging="240"/>
    </w:pPr>
    <w:rPr>
      <w:color w:val="FFFFFF" w:themeColor="background1"/>
    </w:rPr>
  </w:style>
  <w:style w:type="paragraph" w:styleId="TableofFigures">
    <w:name w:val="table of figures"/>
    <w:next w:val="Normal"/>
    <w:uiPriority w:val="99"/>
    <w:unhideWhenUsed/>
    <w:rsid w:val="00BC5221"/>
    <w:pPr>
      <w:spacing w:after="0" w:line="240" w:lineRule="auto"/>
      <w:ind w:left="0" w:firstLine="0"/>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hSXgF9hvZ2rGF5wf+y2ZdWN7ItYg==">AMUW2mXILL9Gzjh/A2JLlpI2ISkHyMTMpRE252bbSpAYqzoa3yAiHoZ1s8PYKcyt50i96LfCBfzoe9WrzU4gnENmWMTCwVhG1bZZ5CFQDlw5XUyGr70qr/o=</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Props1.xml><?xml version="1.0" encoding="utf-8"?>
<ds:datastoreItem xmlns:ds="http://schemas.openxmlformats.org/officeDocument/2006/customXml" ds:itemID="{7673A92A-1F0B-49C4-8D2D-923F156C6AA7}">
  <ds:schemaRefs>
    <ds:schemaRef ds:uri="http://schemas.microsoft.com/sharepoint/v3/contenttype/forms"/>
  </ds:schemaRefs>
</ds:datastoreItem>
</file>

<file path=customXml/itemProps2.xml><?xml version="1.0" encoding="utf-8"?>
<ds:datastoreItem xmlns:ds="http://schemas.openxmlformats.org/officeDocument/2006/customXml" ds:itemID="{78BB2177-20FE-4784-B373-119C8D35C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BF860-76AB-41C0-ADD1-EF302FEC262F}">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4C9C5EC-1B8A-4911-846C-541659D97C36}">
  <ds:schemaRefs>
    <ds:schemaRef ds:uri="http://schemas.microsoft.com/office/2006/documentManagement/types"/>
    <ds:schemaRef ds:uri="http://purl.org/dc/elements/1.1/"/>
    <ds:schemaRef ds:uri="http://schemas.microsoft.com/office/2006/metadata/properties"/>
    <ds:schemaRef ds:uri="9F719B23-D1DC-4D6A-A7A4-D93D33018A3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Mental Health Workforce Strategy</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Mental Health Workforce Strategy</dc:title>
  <dc:subject>Mental Health</dc:subject>
  <dc:creator>Australian Government Department of Health</dc:creator>
  <cp:keywords>Mental Health; Health Workforce; Strategy;</cp:keywords>
  <cp:lastModifiedBy>ANDREWS, Robbie</cp:lastModifiedBy>
  <cp:revision>4</cp:revision>
  <dcterms:created xsi:type="dcterms:W3CDTF">2023-02-02T03:09:00Z</dcterms:created>
  <dcterms:modified xsi:type="dcterms:W3CDTF">2023-02-03T04:15:00Z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0x010100266966F133664895A6EE3632470D45F5006A7750314F7B204FA4DD50E83A562493</vt:lpwstr>
  </property>
</Properties>
</file>