
<file path=[Content_Types].xml><?xml version="1.0" encoding="utf-8"?>
<Types xmlns="http://schemas.openxmlformats.org/package/2006/content-types">
  <Default Extension="848EF190"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EAA89" w14:textId="7FC1D2D9" w:rsidR="001F57F7" w:rsidRDefault="007A06FE" w:rsidP="001F57F7">
      <w:r>
        <w:rPr>
          <w:noProof/>
        </w:rPr>
        <w:drawing>
          <wp:inline distT="0" distB="0" distL="0" distR="0" wp14:anchorId="4FBEE8A0" wp14:editId="0DD86F79">
            <wp:extent cx="2310765" cy="810895"/>
            <wp:effectExtent l="0" t="0" r="0" b="8255"/>
            <wp:docPr id="8" name="Picture 8" descr="logo for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for Centre for health service develop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65" cy="810895"/>
                    </a:xfrm>
                    <a:prstGeom prst="rect">
                      <a:avLst/>
                    </a:prstGeom>
                    <a:noFill/>
                  </pic:spPr>
                </pic:pic>
              </a:graphicData>
            </a:graphic>
          </wp:inline>
        </w:drawing>
      </w:r>
    </w:p>
    <w:p w14:paraId="08ADC25E" w14:textId="77777777" w:rsidR="00134C42" w:rsidRDefault="00134C42" w:rsidP="00134C42">
      <w:pPr>
        <w:pStyle w:val="Title"/>
        <w:pBdr>
          <w:bottom w:val="single" w:sz="8" w:space="4" w:color="0398D7"/>
        </w:pBdr>
        <w:spacing w:before="3000" w:after="3000"/>
      </w:pPr>
      <w:r>
        <w:t xml:space="preserve">Monitoring and evaluation services for </w:t>
      </w:r>
      <w:r w:rsidRPr="00F34131">
        <w:rPr>
          <w:i/>
          <w:sz w:val="48"/>
          <w:szCs w:val="48"/>
        </w:rPr>
        <w:t>Woman-centred care: Strategic directions for Australian maternity services</w:t>
      </w:r>
    </w:p>
    <w:p w14:paraId="0D063DB5" w14:textId="77777777" w:rsidR="00134C42" w:rsidRDefault="00134C42" w:rsidP="00134C42">
      <w:pPr>
        <w:pStyle w:val="Title"/>
        <w:pBdr>
          <w:bottom w:val="single" w:sz="8" w:space="4" w:color="0398D7"/>
        </w:pBdr>
        <w:spacing w:before="4000" w:after="3000"/>
      </w:pPr>
    </w:p>
    <w:p w14:paraId="437A0D04" w14:textId="11E042C3" w:rsidR="00134C42" w:rsidRPr="0016467A" w:rsidRDefault="00CD2277" w:rsidP="00134C42">
      <w:pPr>
        <w:pStyle w:val="Title"/>
        <w:pBdr>
          <w:bottom w:val="single" w:sz="8" w:space="4" w:color="0398D7"/>
        </w:pBdr>
        <w:spacing w:before="4000" w:after="1800"/>
        <w:rPr>
          <w:sz w:val="44"/>
          <w:szCs w:val="44"/>
        </w:rPr>
      </w:pPr>
      <w:r>
        <w:rPr>
          <w:sz w:val="44"/>
          <w:szCs w:val="44"/>
        </w:rPr>
        <w:t xml:space="preserve">Part </w:t>
      </w:r>
      <w:r w:rsidR="00A64FC5">
        <w:rPr>
          <w:sz w:val="44"/>
          <w:szCs w:val="44"/>
        </w:rPr>
        <w:t>1 – Baseline Report</w:t>
      </w:r>
    </w:p>
    <w:p w14:paraId="5B4944AD" w14:textId="77777777" w:rsidR="00134C42" w:rsidRDefault="00134C42" w:rsidP="00C459D0">
      <w:pPr>
        <w:spacing w:after="1200"/>
        <w:rPr>
          <w:b/>
          <w:color w:val="0398D7"/>
          <w:sz w:val="32"/>
          <w:szCs w:val="32"/>
        </w:rPr>
      </w:pPr>
    </w:p>
    <w:p w14:paraId="58082106" w14:textId="601B4051" w:rsidR="007A06FE" w:rsidRPr="00C459D0" w:rsidRDefault="00417BC6" w:rsidP="00C459D0">
      <w:pPr>
        <w:spacing w:after="480"/>
        <w:rPr>
          <w:b/>
          <w:color w:val="0398D7"/>
          <w:sz w:val="32"/>
          <w:szCs w:val="32"/>
        </w:rPr>
      </w:pPr>
      <w:r>
        <w:rPr>
          <w:b/>
          <w:color w:val="0398D7"/>
          <w:sz w:val="32"/>
          <w:szCs w:val="32"/>
        </w:rPr>
        <w:t>9</w:t>
      </w:r>
      <w:r w:rsidR="00D1333B">
        <w:rPr>
          <w:b/>
          <w:color w:val="0398D7"/>
          <w:sz w:val="32"/>
          <w:szCs w:val="32"/>
        </w:rPr>
        <w:t xml:space="preserve"> December </w:t>
      </w:r>
      <w:r w:rsidR="00BF3CBC" w:rsidRPr="0027565D">
        <w:rPr>
          <w:b/>
          <w:color w:val="0398D7"/>
          <w:sz w:val="32"/>
          <w:szCs w:val="32"/>
        </w:rPr>
        <w:t>202</w:t>
      </w:r>
      <w:r w:rsidR="00134C42">
        <w:rPr>
          <w:b/>
          <w:color w:val="0398D7"/>
          <w:sz w:val="32"/>
          <w:szCs w:val="32"/>
        </w:rPr>
        <w:t>2</w:t>
      </w:r>
    </w:p>
    <w:p w14:paraId="7D5DB4BD" w14:textId="77777777" w:rsidR="00892ADC" w:rsidRDefault="007A06FE">
      <w:r>
        <w:rPr>
          <w:noProof/>
        </w:rPr>
        <w:drawing>
          <wp:inline distT="0" distB="0" distL="0" distR="0" wp14:anchorId="1735ABB4" wp14:editId="0DB2A44B">
            <wp:extent cx="2548255" cy="450850"/>
            <wp:effectExtent l="0" t="0" r="4445" b="6350"/>
            <wp:docPr id="9" name="Picture 9" descr="university of Wollongong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iversity of Wollongong logos&#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255" cy="450850"/>
                    </a:xfrm>
                    <a:prstGeom prst="rect">
                      <a:avLst/>
                    </a:prstGeom>
                    <a:noFill/>
                  </pic:spPr>
                </pic:pic>
              </a:graphicData>
            </a:graphic>
          </wp:inline>
        </w:drawing>
      </w:r>
    </w:p>
    <w:p w14:paraId="0EEBA75B" w14:textId="77777777" w:rsidR="00892ADC" w:rsidRDefault="00892ADC"/>
    <w:p w14:paraId="05350809" w14:textId="4396EF2D" w:rsidR="00880D6B" w:rsidRDefault="00880D6B">
      <w:pPr>
        <w:sectPr w:rsidR="00880D6B" w:rsidSect="00A32E67">
          <w:headerReference w:type="even" r:id="rId13"/>
          <w:footerReference w:type="even" r:id="rId14"/>
          <w:headerReference w:type="first" r:id="rId15"/>
          <w:footerReference w:type="first" r:id="rId16"/>
          <w:pgSz w:w="11906" w:h="16838"/>
          <w:pgMar w:top="1418" w:right="1418" w:bottom="505" w:left="1418" w:header="709" w:footer="709" w:gutter="0"/>
          <w:cols w:space="708"/>
          <w:docGrid w:linePitch="360"/>
        </w:sectPr>
      </w:pPr>
    </w:p>
    <w:p w14:paraId="33BD0EFF" w14:textId="7F396865" w:rsidR="00A565DF" w:rsidRDefault="00C169F6" w:rsidP="00A565DF">
      <w:pPr>
        <w:spacing w:after="1000"/>
        <w:jc w:val="right"/>
        <w:rPr>
          <w:b/>
          <w:color w:val="0398D7"/>
          <w:sz w:val="40"/>
          <w:szCs w:val="32"/>
        </w:rPr>
      </w:pPr>
      <w:bookmarkStart w:id="0" w:name="_Toc500597337"/>
      <w:bookmarkStart w:id="1" w:name="_Toc501280357"/>
      <w:bookmarkStart w:id="2" w:name="_Toc501379990"/>
      <w:bookmarkStart w:id="3" w:name="_Toc508996178"/>
      <w:bookmarkStart w:id="4" w:name="_Toc526261276"/>
      <w:bookmarkStart w:id="5" w:name="_Toc526264210"/>
      <w:bookmarkStart w:id="6" w:name="_Toc526276008"/>
      <w:bookmarkStart w:id="7" w:name="_Toc526333071"/>
      <w:bookmarkStart w:id="8" w:name="_Toc526333429"/>
      <w:bookmarkStart w:id="9" w:name="_Toc535706741"/>
      <w:bookmarkStart w:id="10" w:name="_Toc535707238"/>
      <w:bookmarkStart w:id="11" w:name="_Toc535772024"/>
      <w:bookmarkStart w:id="12" w:name="_Toc535839956"/>
      <w:bookmarkStart w:id="13" w:name="_Toc535852768"/>
      <w:bookmarkStart w:id="14" w:name="_Toc535949692"/>
      <w:bookmarkStart w:id="15" w:name="_Toc536003343"/>
      <w:bookmarkStart w:id="16" w:name="_Toc536012523"/>
      <w:bookmarkStart w:id="17" w:name="_Toc454355990"/>
      <w:bookmarkStart w:id="18" w:name="_Toc454984417"/>
      <w:r>
        <w:rPr>
          <w:b/>
          <w:color w:val="0398D7"/>
          <w:sz w:val="40"/>
          <w:szCs w:val="32"/>
        </w:rPr>
        <w:lastRenderedPageBreak/>
        <w:t>Nicole Reilly</w:t>
      </w:r>
    </w:p>
    <w:p w14:paraId="7555DFAD" w14:textId="698B60FA" w:rsidR="00A565DF" w:rsidRDefault="00C169F6" w:rsidP="00A565DF">
      <w:pPr>
        <w:spacing w:after="1000"/>
        <w:jc w:val="right"/>
        <w:rPr>
          <w:b/>
          <w:color w:val="0398D7"/>
          <w:sz w:val="40"/>
          <w:szCs w:val="32"/>
        </w:rPr>
      </w:pPr>
      <w:r>
        <w:rPr>
          <w:b/>
          <w:color w:val="0398D7"/>
          <w:sz w:val="40"/>
          <w:szCs w:val="32"/>
        </w:rPr>
        <w:t>Kate Williams</w:t>
      </w:r>
    </w:p>
    <w:p w14:paraId="311C3D0F" w14:textId="24B9D3A5" w:rsidR="00A565DF" w:rsidRDefault="00C169F6" w:rsidP="00A565DF">
      <w:pPr>
        <w:spacing w:after="1000"/>
        <w:jc w:val="right"/>
        <w:rPr>
          <w:b/>
          <w:color w:val="0398D7"/>
          <w:sz w:val="40"/>
          <w:szCs w:val="32"/>
        </w:rPr>
      </w:pPr>
      <w:r>
        <w:rPr>
          <w:b/>
          <w:color w:val="0398D7"/>
          <w:sz w:val="40"/>
          <w:szCs w:val="32"/>
        </w:rPr>
        <w:t>Malcolm Masso</w:t>
      </w:r>
    </w:p>
    <w:p w14:paraId="6E5AFD02" w14:textId="5174525E" w:rsidR="00A565DF" w:rsidRPr="0027565D" w:rsidRDefault="00C169F6" w:rsidP="00A565DF">
      <w:pPr>
        <w:spacing w:after="1000"/>
        <w:jc w:val="right"/>
        <w:rPr>
          <w:b/>
          <w:color w:val="0398D7"/>
          <w:sz w:val="40"/>
          <w:szCs w:val="32"/>
        </w:rPr>
      </w:pPr>
      <w:r>
        <w:rPr>
          <w:b/>
          <w:color w:val="0398D7"/>
          <w:sz w:val="40"/>
          <w:szCs w:val="32"/>
        </w:rPr>
        <w:t>Conrad Kobel</w:t>
      </w:r>
    </w:p>
    <w:tbl>
      <w:tblPr>
        <w:tblStyle w:val="TableGrid"/>
        <w:tblpPr w:leftFromText="180" w:rightFromText="180" w:vertAnchor="text" w:horzAnchor="margin" w:tblpY="4373"/>
        <w:tblW w:w="0" w:type="auto"/>
        <w:tblLook w:val="04A0" w:firstRow="1" w:lastRow="0" w:firstColumn="1" w:lastColumn="0" w:noHBand="0" w:noVBand="1"/>
      </w:tblPr>
      <w:tblGrid>
        <w:gridCol w:w="9855"/>
      </w:tblGrid>
      <w:tr w:rsidR="00E95020" w14:paraId="3960A611" w14:textId="77777777" w:rsidTr="00947871">
        <w:tc>
          <w:tcPr>
            <w:tcW w:w="9855" w:type="dxa"/>
          </w:tcPr>
          <w:p w14:paraId="521CEE95" w14:textId="77777777" w:rsidR="00E95020" w:rsidRPr="0027565D" w:rsidRDefault="00E95020" w:rsidP="00947871">
            <w:pPr>
              <w:spacing w:before="120" w:after="120"/>
              <w:rPr>
                <w:b/>
                <w:color w:val="0398D7"/>
              </w:rPr>
            </w:pPr>
            <w:r w:rsidRPr="0027565D">
              <w:rPr>
                <w:b/>
                <w:color w:val="0398D7"/>
              </w:rPr>
              <w:t>Suggested citation:</w:t>
            </w:r>
          </w:p>
          <w:p w14:paraId="47AE3F64" w14:textId="77777777" w:rsidR="00E95020" w:rsidRDefault="00E95020" w:rsidP="00947871">
            <w:r>
              <w:t xml:space="preserve">Reilly N, Williams K, Masso M, Kobel C and Artiss S. </w:t>
            </w:r>
            <w:r w:rsidRPr="006E67D3">
              <w:t>(20</w:t>
            </w:r>
            <w:r>
              <w:t>22</w:t>
            </w:r>
            <w:r w:rsidRPr="006E67D3">
              <w:t xml:space="preserve">) </w:t>
            </w:r>
            <w:r w:rsidRPr="00DE2380">
              <w:rPr>
                <w:i/>
                <w:lang w:eastAsia="zh-CN" w:bidi="th-TH"/>
              </w:rPr>
              <w:t>Woman-centred care: Strategic directions for Australian maternity services</w:t>
            </w:r>
            <w:r>
              <w:rPr>
                <w:i/>
                <w:lang w:eastAsia="zh-CN" w:bidi="th-TH"/>
              </w:rPr>
              <w:t>. Part 1 – Baseline Report</w:t>
            </w:r>
            <w:r>
              <w:t xml:space="preserve">. </w:t>
            </w:r>
            <w:r w:rsidRPr="006E67D3">
              <w:t>Centre for Health Service Development, Australian Health Services Research Institute, University of Wollongong.</w:t>
            </w:r>
          </w:p>
          <w:p w14:paraId="16F468AE" w14:textId="57934440" w:rsidR="0070420C" w:rsidRPr="006E67D3" w:rsidRDefault="0070420C" w:rsidP="00947871">
            <w:pPr>
              <w:rPr>
                <w:b/>
              </w:rPr>
            </w:pPr>
          </w:p>
        </w:tc>
      </w:tr>
    </w:tbl>
    <w:tbl>
      <w:tblPr>
        <w:tblStyle w:val="TableGrid"/>
        <w:tblpPr w:leftFromText="180" w:rightFromText="180" w:vertAnchor="text" w:horzAnchor="margin" w:tblpY="1222"/>
        <w:tblW w:w="0" w:type="auto"/>
        <w:tblLook w:val="04A0" w:firstRow="1" w:lastRow="0" w:firstColumn="1" w:lastColumn="0" w:noHBand="0" w:noVBand="1"/>
      </w:tblPr>
      <w:tblGrid>
        <w:gridCol w:w="9855"/>
      </w:tblGrid>
      <w:tr w:rsidR="00D95E2B" w14:paraId="271336E8" w14:textId="77777777" w:rsidTr="00D95E2B">
        <w:tc>
          <w:tcPr>
            <w:tcW w:w="9855" w:type="dxa"/>
          </w:tcPr>
          <w:p w14:paraId="665D04E8" w14:textId="77777777" w:rsidR="00D95E2B" w:rsidRPr="0027565D" w:rsidRDefault="00D95E2B" w:rsidP="00D95E2B">
            <w:pPr>
              <w:spacing w:before="120" w:after="120"/>
              <w:rPr>
                <w:b/>
                <w:color w:val="0398D7"/>
              </w:rPr>
            </w:pPr>
            <w:r>
              <w:rPr>
                <w:b/>
                <w:color w:val="0398D7"/>
              </w:rPr>
              <w:t>Acknowledgments</w:t>
            </w:r>
            <w:r w:rsidRPr="0027565D">
              <w:rPr>
                <w:b/>
                <w:color w:val="0398D7"/>
              </w:rPr>
              <w:t>:</w:t>
            </w:r>
          </w:p>
          <w:p w14:paraId="199233EA" w14:textId="27B8344E" w:rsidR="00D95E2B" w:rsidRDefault="00D95E2B" w:rsidP="00D95E2B">
            <w:r w:rsidRPr="00C86076">
              <w:rPr>
                <w:szCs w:val="22"/>
              </w:rPr>
              <w:t xml:space="preserve">The evaluation team would like to thank all stakeholders who participated in the interviews for their time and valuable insights. We acknowledge Daniela Gagliardi, Belinda Royds and Kaitlyn Lamb of the Australian Government Department of Health </w:t>
            </w:r>
            <w:r w:rsidR="0051498D">
              <w:rPr>
                <w:szCs w:val="22"/>
              </w:rPr>
              <w:t xml:space="preserve">and Aged Care </w:t>
            </w:r>
            <w:r w:rsidRPr="00C86076">
              <w:rPr>
                <w:szCs w:val="22"/>
              </w:rPr>
              <w:t xml:space="preserve">for their contribution to, and guidance of, this project. </w:t>
            </w:r>
            <w:r>
              <w:rPr>
                <w:szCs w:val="22"/>
              </w:rPr>
              <w:t xml:space="preserve">We thank Anita Westera, Dave Fildes, Darcy Morris, Carol Loggie, </w:t>
            </w:r>
            <w:r w:rsidR="0065143C">
              <w:rPr>
                <w:szCs w:val="22"/>
              </w:rPr>
              <w:t xml:space="preserve">Dinberu Shebeshi, </w:t>
            </w:r>
            <w:r>
              <w:rPr>
                <w:szCs w:val="22"/>
              </w:rPr>
              <w:t>Rachel Rowe and Paula Moss for their significant contributions to the stakeholder consultations</w:t>
            </w:r>
            <w:r w:rsidR="0065143C">
              <w:rPr>
                <w:szCs w:val="22"/>
              </w:rPr>
              <w:t>,</w:t>
            </w:r>
            <w:r>
              <w:rPr>
                <w:szCs w:val="22"/>
              </w:rPr>
              <w:t xml:space="preserve"> environment scan </w:t>
            </w:r>
            <w:r w:rsidR="0065143C">
              <w:rPr>
                <w:szCs w:val="22"/>
              </w:rPr>
              <w:t xml:space="preserve">and analysis </w:t>
            </w:r>
            <w:r>
              <w:rPr>
                <w:szCs w:val="22"/>
              </w:rPr>
              <w:t xml:space="preserve">that underpin this report. </w:t>
            </w:r>
            <w:r w:rsidRPr="00C86076">
              <w:rPr>
                <w:szCs w:val="22"/>
              </w:rPr>
              <w:t xml:space="preserve">We are grateful for the contributions of </w:t>
            </w:r>
            <w:r>
              <w:rPr>
                <w:szCs w:val="22"/>
              </w:rPr>
              <w:t>expert advisors</w:t>
            </w:r>
            <w:r w:rsidRPr="00C86076">
              <w:rPr>
                <w:szCs w:val="22"/>
              </w:rPr>
              <w:t xml:space="preserve">, </w:t>
            </w:r>
            <w:r>
              <w:rPr>
                <w:szCs w:val="22"/>
              </w:rPr>
              <w:t xml:space="preserve">in particular </w:t>
            </w:r>
            <w:r w:rsidRPr="00C86076">
              <w:rPr>
                <w:szCs w:val="22"/>
              </w:rPr>
              <w:t>Professor Hannah Dahlen of the University of Western Sydney</w:t>
            </w:r>
            <w:r>
              <w:rPr>
                <w:szCs w:val="22"/>
              </w:rPr>
              <w:t xml:space="preserve"> and</w:t>
            </w:r>
            <w:r w:rsidRPr="00C86076">
              <w:rPr>
                <w:szCs w:val="22"/>
              </w:rPr>
              <w:t xml:space="preserve"> Dr Natasha Donnolley and Professor Georgina Chambers of the University of New South Wales</w:t>
            </w:r>
            <w:r>
              <w:rPr>
                <w:szCs w:val="22"/>
              </w:rPr>
              <w:t>.</w:t>
            </w:r>
          </w:p>
          <w:p w14:paraId="18DE669C" w14:textId="77777777" w:rsidR="00D95E2B" w:rsidRDefault="00D95E2B" w:rsidP="00D95E2B"/>
        </w:tc>
      </w:tr>
    </w:tbl>
    <w:p w14:paraId="3B974A4A" w14:textId="5A731DD5" w:rsidR="00A565DF" w:rsidRPr="0027565D" w:rsidRDefault="00C169F6" w:rsidP="00A565DF">
      <w:pPr>
        <w:spacing w:after="4000"/>
        <w:jc w:val="right"/>
        <w:rPr>
          <w:b/>
          <w:color w:val="0398D7"/>
          <w:sz w:val="40"/>
          <w:szCs w:val="32"/>
        </w:rPr>
      </w:pPr>
      <w:r>
        <w:rPr>
          <w:b/>
          <w:color w:val="0398D7"/>
          <w:sz w:val="40"/>
          <w:szCs w:val="32"/>
        </w:rPr>
        <w:t xml:space="preserve">Suzanne </w:t>
      </w:r>
      <w:r w:rsidR="00CD2277">
        <w:rPr>
          <w:b/>
          <w:color w:val="0398D7"/>
          <w:sz w:val="40"/>
          <w:szCs w:val="32"/>
        </w:rPr>
        <w:t>Artiss</w:t>
      </w:r>
    </w:p>
    <w:p w14:paraId="5A50ECC7" w14:textId="24CAF3DA" w:rsidR="0027565D" w:rsidRDefault="0027565D"/>
    <w:tbl>
      <w:tblPr>
        <w:tblStyle w:val="TableGrid"/>
        <w:tblpPr w:leftFromText="180" w:rightFromText="180" w:vertAnchor="text" w:horzAnchor="margin" w:tblpY="82"/>
        <w:tblW w:w="0" w:type="auto"/>
        <w:tblLook w:val="04A0" w:firstRow="1" w:lastRow="0" w:firstColumn="1" w:lastColumn="0" w:noHBand="0" w:noVBand="1"/>
      </w:tblPr>
      <w:tblGrid>
        <w:gridCol w:w="9855"/>
      </w:tblGrid>
      <w:tr w:rsidR="00947871" w:rsidRPr="00E95020" w14:paraId="7C1C216B" w14:textId="77777777" w:rsidTr="00947871">
        <w:tc>
          <w:tcPr>
            <w:tcW w:w="9855" w:type="dxa"/>
          </w:tcPr>
          <w:p w14:paraId="39C2AAB8" w14:textId="4A051EC1" w:rsidR="00947871" w:rsidRPr="00E95020" w:rsidRDefault="003D4B9A" w:rsidP="00BC7EB1">
            <w:pPr>
              <w:spacing w:before="120" w:after="120"/>
              <w:rPr>
                <w:rFonts w:cstheme="minorHAnsi"/>
                <w:iCs/>
                <w:szCs w:val="22"/>
                <w:lang w:eastAsia="en-US"/>
              </w:rPr>
            </w:pPr>
            <w:r w:rsidRPr="008C0E43">
              <w:rPr>
                <w:iCs/>
                <w:szCs w:val="22"/>
              </w:rPr>
              <w:t>In this document, the term ‘woman’ or ‘women’ is used for consistency with the language used in the Strategy. It is acknowledged that a diverse range of individuals access maternity services. Individual parents and families may use different words and we respect their preferred terminology. When we use these words, it is not meant to exclude those who are pregnant or give birth and do not identify as women</w:t>
            </w:r>
            <w:r>
              <w:rPr>
                <w:iCs/>
                <w:szCs w:val="22"/>
              </w:rPr>
              <w:t>.</w:t>
            </w:r>
          </w:p>
        </w:tc>
      </w:tr>
    </w:tbl>
    <w:p w14:paraId="3059A4EE" w14:textId="77777777" w:rsidR="0027565D" w:rsidRDefault="0027565D"/>
    <w:p w14:paraId="75F23DC0" w14:textId="77777777" w:rsidR="00086B21" w:rsidRDefault="0016467A" w:rsidP="002C45FB">
      <w:pPr>
        <w:pStyle w:val="TOCHeading"/>
      </w:pPr>
      <w:bookmarkStart w:id="19" w:name="_Toc536023793"/>
      <w:bookmarkStart w:id="20" w:name="_Toc536028156"/>
      <w:bookmarkStart w:id="21" w:name="_Toc749896"/>
      <w:bookmarkStart w:id="22" w:name="_Toc786342"/>
      <w:bookmarkStart w:id="23" w:name="_Toc786409"/>
      <w:bookmarkStart w:id="24" w:name="_Toc790245"/>
      <w:bookmarkStart w:id="25" w:name="_Toc14887454"/>
      <w:bookmarkStart w:id="26" w:name="_Toc14887523"/>
      <w:bookmarkStart w:id="27" w:name="_Toc14947148"/>
      <w:bookmarkStart w:id="28" w:name="_Toc72866290"/>
      <w:bookmarkStart w:id="29" w:name="_Toc72867021"/>
      <w:bookmarkStart w:id="30" w:name="_Toc72867111"/>
      <w:bookmarkStart w:id="31" w:name="_Toc72878058"/>
      <w:bookmarkStart w:id="32" w:name="_Toc72882875"/>
      <w:bookmarkStart w:id="33" w:name="_Toc72882939"/>
      <w:bookmarkStart w:id="34" w:name="_Toc72883016"/>
      <w:bookmarkStart w:id="35" w:name="_Toc72883297"/>
      <w:bookmarkStart w:id="36" w:name="_Toc72883668"/>
      <w:bookmarkStart w:id="37" w:name="_Toc73023723"/>
      <w:bookmarkStart w:id="38" w:name="_Toc73127949"/>
      <w:bookmarkStart w:id="39" w:name="_Toc73208532"/>
      <w:bookmarkStart w:id="40" w:name="_Toc73219655"/>
      <w:bookmarkStart w:id="41" w:name="_Toc73220457"/>
      <w:bookmarkStart w:id="42" w:name="_Toc73220649"/>
      <w:bookmarkStart w:id="43" w:name="_Toc73236943"/>
      <w:bookmarkStart w:id="44" w:name="_Toc73302435"/>
      <w:bookmarkStart w:id="45" w:name="_Toc73309956"/>
      <w:bookmarkStart w:id="46" w:name="_Toc73310065"/>
      <w:bookmarkStart w:id="47" w:name="_Toc73310121"/>
      <w:bookmarkStart w:id="48" w:name="_Toc73310190"/>
      <w:bookmarkStart w:id="49" w:name="_Toc73310310"/>
      <w:bookmarkStart w:id="50" w:name="_Toc73314262"/>
      <w:bookmarkStart w:id="51" w:name="_Toc73325939"/>
      <w:bookmarkStart w:id="52" w:name="_Toc73345940"/>
      <w:bookmarkStart w:id="53" w:name="_Toc73390431"/>
      <w:bookmarkStart w:id="54" w:name="_Toc73643140"/>
      <w:bookmarkStart w:id="55" w:name="_Toc73652254"/>
      <w:bookmarkStart w:id="56" w:name="_Toc73719357"/>
      <w:bookmarkStart w:id="57" w:name="_Toc80134619"/>
      <w:bookmarkStart w:id="58" w:name="_Toc80135303"/>
      <w:bookmarkStart w:id="59" w:name="_Toc80183837"/>
      <w:bookmarkStart w:id="60" w:name="_Toc88826856"/>
      <w:bookmarkStart w:id="61" w:name="_Toc88841277"/>
      <w:bookmarkStart w:id="62" w:name="_Toc89070761"/>
      <w:bookmarkStart w:id="63" w:name="_Toc89161041"/>
      <w:bookmarkStart w:id="64" w:name="_Toc99118994"/>
      <w:bookmarkStart w:id="65" w:name="_Toc102567743"/>
      <w:r>
        <w:lastRenderedPageBreak/>
        <w:t>C</w:t>
      </w:r>
      <w:r w:rsidR="00521238">
        <w:t>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20701F8" w14:textId="516DB281" w:rsidR="00F66EC6" w:rsidRDefault="00D9484E">
      <w:pPr>
        <w:pStyle w:val="TOC1"/>
        <w:rPr>
          <w:rFonts w:eastAsiaTheme="minorEastAsia" w:cstheme="minorBidi"/>
          <w:noProof/>
          <w:szCs w:val="22"/>
        </w:rPr>
      </w:pPr>
      <w:r>
        <w:fldChar w:fldCharType="begin"/>
      </w:r>
      <w:r>
        <w:instrText xml:space="preserve"> TOC \o "1-2" \h \z \u </w:instrText>
      </w:r>
      <w:r>
        <w:fldChar w:fldCharType="separate"/>
      </w:r>
      <w:hyperlink w:anchor="_Toc121415051" w:history="1">
        <w:r w:rsidR="00F66EC6" w:rsidRPr="00520F7A">
          <w:rPr>
            <w:rStyle w:val="Hyperlink"/>
            <w:noProof/>
          </w:rPr>
          <w:t>Abbreviations and definitions</w:t>
        </w:r>
        <w:r w:rsidR="00F66EC6">
          <w:rPr>
            <w:noProof/>
            <w:webHidden/>
          </w:rPr>
          <w:tab/>
        </w:r>
        <w:r w:rsidR="00F66EC6">
          <w:rPr>
            <w:noProof/>
            <w:webHidden/>
          </w:rPr>
          <w:fldChar w:fldCharType="begin"/>
        </w:r>
        <w:r w:rsidR="00F66EC6">
          <w:rPr>
            <w:noProof/>
            <w:webHidden/>
          </w:rPr>
          <w:instrText xml:space="preserve"> PAGEREF _Toc121415051 \h </w:instrText>
        </w:r>
        <w:r w:rsidR="00F66EC6">
          <w:rPr>
            <w:noProof/>
            <w:webHidden/>
          </w:rPr>
        </w:r>
        <w:r w:rsidR="00F66EC6">
          <w:rPr>
            <w:noProof/>
            <w:webHidden/>
          </w:rPr>
          <w:fldChar w:fldCharType="separate"/>
        </w:r>
        <w:r w:rsidR="00296988">
          <w:rPr>
            <w:noProof/>
            <w:webHidden/>
          </w:rPr>
          <w:t>vi</w:t>
        </w:r>
        <w:r w:rsidR="00F66EC6">
          <w:rPr>
            <w:noProof/>
            <w:webHidden/>
          </w:rPr>
          <w:fldChar w:fldCharType="end"/>
        </w:r>
      </w:hyperlink>
    </w:p>
    <w:p w14:paraId="21E35BB1" w14:textId="6FEF9812" w:rsidR="00F66EC6" w:rsidRDefault="00B24361">
      <w:pPr>
        <w:pStyle w:val="TOC1"/>
        <w:rPr>
          <w:rFonts w:eastAsiaTheme="minorEastAsia" w:cstheme="minorBidi"/>
          <w:noProof/>
          <w:szCs w:val="22"/>
        </w:rPr>
      </w:pPr>
      <w:hyperlink w:anchor="_Toc121415052" w:history="1">
        <w:r w:rsidR="00F66EC6" w:rsidRPr="00520F7A">
          <w:rPr>
            <w:rStyle w:val="Hyperlink"/>
            <w:noProof/>
          </w:rPr>
          <w:t>Executive summary</w:t>
        </w:r>
        <w:r w:rsidR="00F66EC6">
          <w:rPr>
            <w:noProof/>
            <w:webHidden/>
          </w:rPr>
          <w:tab/>
        </w:r>
        <w:r w:rsidR="00F66EC6">
          <w:rPr>
            <w:noProof/>
            <w:webHidden/>
          </w:rPr>
          <w:fldChar w:fldCharType="begin"/>
        </w:r>
        <w:r w:rsidR="00F66EC6">
          <w:rPr>
            <w:noProof/>
            <w:webHidden/>
          </w:rPr>
          <w:instrText xml:space="preserve"> PAGEREF _Toc121415052 \h </w:instrText>
        </w:r>
        <w:r w:rsidR="00F66EC6">
          <w:rPr>
            <w:noProof/>
            <w:webHidden/>
          </w:rPr>
        </w:r>
        <w:r w:rsidR="00F66EC6">
          <w:rPr>
            <w:noProof/>
            <w:webHidden/>
          </w:rPr>
          <w:fldChar w:fldCharType="separate"/>
        </w:r>
        <w:r w:rsidR="00296988">
          <w:rPr>
            <w:noProof/>
            <w:webHidden/>
          </w:rPr>
          <w:t>i</w:t>
        </w:r>
        <w:r w:rsidR="00F66EC6">
          <w:rPr>
            <w:noProof/>
            <w:webHidden/>
          </w:rPr>
          <w:fldChar w:fldCharType="end"/>
        </w:r>
      </w:hyperlink>
    </w:p>
    <w:p w14:paraId="2A414B8D" w14:textId="6EB419FA" w:rsidR="00F66EC6" w:rsidRDefault="00B24361">
      <w:pPr>
        <w:pStyle w:val="TOC1"/>
        <w:tabs>
          <w:tab w:val="left" w:pos="993"/>
        </w:tabs>
        <w:rPr>
          <w:rFonts w:eastAsiaTheme="minorEastAsia" w:cstheme="minorBidi"/>
          <w:noProof/>
          <w:szCs w:val="22"/>
        </w:rPr>
      </w:pPr>
      <w:hyperlink w:anchor="_Toc121415053" w:history="1">
        <w:r w:rsidR="00F66EC6" w:rsidRPr="00520F7A">
          <w:rPr>
            <w:rStyle w:val="Hyperlink"/>
            <w:noProof/>
            <w:lang w:eastAsia="zh-CN" w:bidi="th-TH"/>
          </w:rPr>
          <w:t>1</w:t>
        </w:r>
        <w:r w:rsidR="00F66EC6">
          <w:rPr>
            <w:rFonts w:eastAsiaTheme="minorEastAsia" w:cstheme="minorBidi"/>
            <w:noProof/>
            <w:szCs w:val="22"/>
          </w:rPr>
          <w:tab/>
        </w:r>
        <w:r w:rsidR="00F66EC6" w:rsidRPr="00520F7A">
          <w:rPr>
            <w:rStyle w:val="Hyperlink"/>
            <w:noProof/>
            <w:lang w:eastAsia="zh-CN" w:bidi="th-TH"/>
          </w:rPr>
          <w:t>Introduction</w:t>
        </w:r>
        <w:r w:rsidR="00F66EC6">
          <w:rPr>
            <w:noProof/>
            <w:webHidden/>
          </w:rPr>
          <w:tab/>
        </w:r>
        <w:r w:rsidR="00F66EC6">
          <w:rPr>
            <w:noProof/>
            <w:webHidden/>
          </w:rPr>
          <w:fldChar w:fldCharType="begin"/>
        </w:r>
        <w:r w:rsidR="00F66EC6">
          <w:rPr>
            <w:noProof/>
            <w:webHidden/>
          </w:rPr>
          <w:instrText xml:space="preserve"> PAGEREF _Toc121415053 \h </w:instrText>
        </w:r>
        <w:r w:rsidR="00F66EC6">
          <w:rPr>
            <w:noProof/>
            <w:webHidden/>
          </w:rPr>
        </w:r>
        <w:r w:rsidR="00F66EC6">
          <w:rPr>
            <w:noProof/>
            <w:webHidden/>
          </w:rPr>
          <w:fldChar w:fldCharType="separate"/>
        </w:r>
        <w:r w:rsidR="00296988">
          <w:rPr>
            <w:noProof/>
            <w:webHidden/>
          </w:rPr>
          <w:t>6</w:t>
        </w:r>
        <w:r w:rsidR="00F66EC6">
          <w:rPr>
            <w:noProof/>
            <w:webHidden/>
          </w:rPr>
          <w:fldChar w:fldCharType="end"/>
        </w:r>
      </w:hyperlink>
    </w:p>
    <w:p w14:paraId="25FC272F" w14:textId="0200BE7B" w:rsidR="00F66EC6" w:rsidRDefault="00B24361">
      <w:pPr>
        <w:pStyle w:val="TOC2"/>
        <w:tabs>
          <w:tab w:val="right" w:leader="dot" w:pos="9855"/>
        </w:tabs>
        <w:rPr>
          <w:rFonts w:eastAsiaTheme="minorEastAsia" w:cstheme="minorBidi"/>
          <w:noProof/>
          <w:szCs w:val="22"/>
        </w:rPr>
      </w:pPr>
      <w:hyperlink w:anchor="_Toc121415054" w:history="1">
        <w:r w:rsidR="00F66EC6" w:rsidRPr="00520F7A">
          <w:rPr>
            <w:rStyle w:val="Hyperlink"/>
            <w:noProof/>
            <w:lang w:eastAsia="zh-CN" w:bidi="th-TH"/>
          </w:rPr>
          <w:t>1.1</w:t>
        </w:r>
        <w:r w:rsidR="00F66EC6">
          <w:rPr>
            <w:rFonts w:eastAsiaTheme="minorEastAsia" w:cstheme="minorBidi"/>
            <w:noProof/>
            <w:szCs w:val="22"/>
          </w:rPr>
          <w:tab/>
        </w:r>
        <w:r w:rsidR="00F66EC6" w:rsidRPr="00520F7A">
          <w:rPr>
            <w:rStyle w:val="Hyperlink"/>
            <w:noProof/>
            <w:lang w:eastAsia="zh-CN" w:bidi="th-TH"/>
          </w:rPr>
          <w:t>Background</w:t>
        </w:r>
        <w:r w:rsidR="00F66EC6">
          <w:rPr>
            <w:noProof/>
            <w:webHidden/>
          </w:rPr>
          <w:tab/>
        </w:r>
        <w:r w:rsidR="00F66EC6">
          <w:rPr>
            <w:noProof/>
            <w:webHidden/>
          </w:rPr>
          <w:fldChar w:fldCharType="begin"/>
        </w:r>
        <w:r w:rsidR="00F66EC6">
          <w:rPr>
            <w:noProof/>
            <w:webHidden/>
          </w:rPr>
          <w:instrText xml:space="preserve"> PAGEREF _Toc121415054 \h </w:instrText>
        </w:r>
        <w:r w:rsidR="00F66EC6">
          <w:rPr>
            <w:noProof/>
            <w:webHidden/>
          </w:rPr>
        </w:r>
        <w:r w:rsidR="00F66EC6">
          <w:rPr>
            <w:noProof/>
            <w:webHidden/>
          </w:rPr>
          <w:fldChar w:fldCharType="separate"/>
        </w:r>
        <w:r w:rsidR="00296988">
          <w:rPr>
            <w:noProof/>
            <w:webHidden/>
          </w:rPr>
          <w:t>7</w:t>
        </w:r>
        <w:r w:rsidR="00F66EC6">
          <w:rPr>
            <w:noProof/>
            <w:webHidden/>
          </w:rPr>
          <w:fldChar w:fldCharType="end"/>
        </w:r>
      </w:hyperlink>
    </w:p>
    <w:p w14:paraId="5577EA13" w14:textId="75971B13" w:rsidR="00F66EC6" w:rsidRDefault="00B24361">
      <w:pPr>
        <w:pStyle w:val="TOC2"/>
        <w:tabs>
          <w:tab w:val="right" w:leader="dot" w:pos="9855"/>
        </w:tabs>
        <w:rPr>
          <w:rFonts w:eastAsiaTheme="minorEastAsia" w:cstheme="minorBidi"/>
          <w:noProof/>
          <w:szCs w:val="22"/>
        </w:rPr>
      </w:pPr>
      <w:hyperlink w:anchor="_Toc121415055" w:history="1">
        <w:r w:rsidR="00F66EC6" w:rsidRPr="00520F7A">
          <w:rPr>
            <w:rStyle w:val="Hyperlink"/>
            <w:noProof/>
          </w:rPr>
          <w:t>1.2</w:t>
        </w:r>
        <w:r w:rsidR="00F66EC6">
          <w:rPr>
            <w:rFonts w:eastAsiaTheme="minorEastAsia" w:cstheme="minorBidi"/>
            <w:noProof/>
            <w:szCs w:val="22"/>
          </w:rPr>
          <w:tab/>
        </w:r>
        <w:r w:rsidR="00F66EC6" w:rsidRPr="00520F7A">
          <w:rPr>
            <w:rStyle w:val="Hyperlink"/>
            <w:noProof/>
          </w:rPr>
          <w:t>The purpose and structure of this report</w:t>
        </w:r>
        <w:r w:rsidR="00F66EC6">
          <w:rPr>
            <w:noProof/>
            <w:webHidden/>
          </w:rPr>
          <w:tab/>
        </w:r>
        <w:r w:rsidR="00F66EC6">
          <w:rPr>
            <w:noProof/>
            <w:webHidden/>
          </w:rPr>
          <w:fldChar w:fldCharType="begin"/>
        </w:r>
        <w:r w:rsidR="00F66EC6">
          <w:rPr>
            <w:noProof/>
            <w:webHidden/>
          </w:rPr>
          <w:instrText xml:space="preserve"> PAGEREF _Toc121415055 \h </w:instrText>
        </w:r>
        <w:r w:rsidR="00F66EC6">
          <w:rPr>
            <w:noProof/>
            <w:webHidden/>
          </w:rPr>
        </w:r>
        <w:r w:rsidR="00F66EC6">
          <w:rPr>
            <w:noProof/>
            <w:webHidden/>
          </w:rPr>
          <w:fldChar w:fldCharType="separate"/>
        </w:r>
        <w:r w:rsidR="00296988">
          <w:rPr>
            <w:noProof/>
            <w:webHidden/>
          </w:rPr>
          <w:t>7</w:t>
        </w:r>
        <w:r w:rsidR="00F66EC6">
          <w:rPr>
            <w:noProof/>
            <w:webHidden/>
          </w:rPr>
          <w:fldChar w:fldCharType="end"/>
        </w:r>
      </w:hyperlink>
    </w:p>
    <w:p w14:paraId="745BB6FD" w14:textId="4FCFFA3F" w:rsidR="00F66EC6" w:rsidRDefault="00B24361">
      <w:pPr>
        <w:pStyle w:val="TOC2"/>
        <w:tabs>
          <w:tab w:val="right" w:leader="dot" w:pos="9855"/>
        </w:tabs>
        <w:rPr>
          <w:rFonts w:eastAsiaTheme="minorEastAsia" w:cstheme="minorBidi"/>
          <w:noProof/>
          <w:szCs w:val="22"/>
        </w:rPr>
      </w:pPr>
      <w:hyperlink w:anchor="_Toc121415056" w:history="1">
        <w:r w:rsidR="00F66EC6" w:rsidRPr="00520F7A">
          <w:rPr>
            <w:rStyle w:val="Hyperlink"/>
            <w:noProof/>
            <w:lang w:eastAsia="zh-CN" w:bidi="th-TH"/>
          </w:rPr>
          <w:t>1.3</w:t>
        </w:r>
        <w:r w:rsidR="00F66EC6">
          <w:rPr>
            <w:rFonts w:eastAsiaTheme="minorEastAsia" w:cstheme="minorBidi"/>
            <w:noProof/>
            <w:szCs w:val="22"/>
          </w:rPr>
          <w:tab/>
        </w:r>
        <w:r w:rsidR="00F66EC6" w:rsidRPr="00520F7A">
          <w:rPr>
            <w:rStyle w:val="Hyperlink"/>
            <w:noProof/>
            <w:lang w:eastAsia="zh-CN" w:bidi="th-TH"/>
          </w:rPr>
          <w:t>Evaluation questions</w:t>
        </w:r>
        <w:r w:rsidR="00F66EC6">
          <w:rPr>
            <w:noProof/>
            <w:webHidden/>
          </w:rPr>
          <w:tab/>
        </w:r>
        <w:r w:rsidR="00F66EC6">
          <w:rPr>
            <w:noProof/>
            <w:webHidden/>
          </w:rPr>
          <w:fldChar w:fldCharType="begin"/>
        </w:r>
        <w:r w:rsidR="00F66EC6">
          <w:rPr>
            <w:noProof/>
            <w:webHidden/>
          </w:rPr>
          <w:instrText xml:space="preserve"> PAGEREF _Toc121415056 \h </w:instrText>
        </w:r>
        <w:r w:rsidR="00F66EC6">
          <w:rPr>
            <w:noProof/>
            <w:webHidden/>
          </w:rPr>
        </w:r>
        <w:r w:rsidR="00F66EC6">
          <w:rPr>
            <w:noProof/>
            <w:webHidden/>
          </w:rPr>
          <w:fldChar w:fldCharType="separate"/>
        </w:r>
        <w:r w:rsidR="00296988">
          <w:rPr>
            <w:noProof/>
            <w:webHidden/>
          </w:rPr>
          <w:t>8</w:t>
        </w:r>
        <w:r w:rsidR="00F66EC6">
          <w:rPr>
            <w:noProof/>
            <w:webHidden/>
          </w:rPr>
          <w:fldChar w:fldCharType="end"/>
        </w:r>
      </w:hyperlink>
    </w:p>
    <w:p w14:paraId="7D87EAD0" w14:textId="7F28E592" w:rsidR="00F66EC6" w:rsidRDefault="00B24361">
      <w:pPr>
        <w:pStyle w:val="TOC2"/>
        <w:tabs>
          <w:tab w:val="right" w:leader="dot" w:pos="9855"/>
        </w:tabs>
        <w:rPr>
          <w:rFonts w:eastAsiaTheme="minorEastAsia" w:cstheme="minorBidi"/>
          <w:noProof/>
          <w:szCs w:val="22"/>
        </w:rPr>
      </w:pPr>
      <w:hyperlink w:anchor="_Toc121415057" w:history="1">
        <w:r w:rsidR="00F66EC6" w:rsidRPr="00520F7A">
          <w:rPr>
            <w:rStyle w:val="Hyperlink"/>
            <w:noProof/>
          </w:rPr>
          <w:t>1.4</w:t>
        </w:r>
        <w:r w:rsidR="00F66EC6">
          <w:rPr>
            <w:rFonts w:eastAsiaTheme="minorEastAsia" w:cstheme="minorBidi"/>
            <w:noProof/>
            <w:szCs w:val="22"/>
          </w:rPr>
          <w:tab/>
        </w:r>
        <w:r w:rsidR="00F66EC6" w:rsidRPr="00520F7A">
          <w:rPr>
            <w:rStyle w:val="Hyperlink"/>
            <w:noProof/>
          </w:rPr>
          <w:t>Sources of baseline data</w:t>
        </w:r>
        <w:r w:rsidR="00F66EC6">
          <w:rPr>
            <w:noProof/>
            <w:webHidden/>
          </w:rPr>
          <w:tab/>
        </w:r>
        <w:r w:rsidR="00F66EC6">
          <w:rPr>
            <w:noProof/>
            <w:webHidden/>
          </w:rPr>
          <w:fldChar w:fldCharType="begin"/>
        </w:r>
        <w:r w:rsidR="00F66EC6">
          <w:rPr>
            <w:noProof/>
            <w:webHidden/>
          </w:rPr>
          <w:instrText xml:space="preserve"> PAGEREF _Toc121415057 \h </w:instrText>
        </w:r>
        <w:r w:rsidR="00F66EC6">
          <w:rPr>
            <w:noProof/>
            <w:webHidden/>
          </w:rPr>
        </w:r>
        <w:r w:rsidR="00F66EC6">
          <w:rPr>
            <w:noProof/>
            <w:webHidden/>
          </w:rPr>
          <w:fldChar w:fldCharType="separate"/>
        </w:r>
        <w:r w:rsidR="00296988">
          <w:rPr>
            <w:noProof/>
            <w:webHidden/>
          </w:rPr>
          <w:t>8</w:t>
        </w:r>
        <w:r w:rsidR="00F66EC6">
          <w:rPr>
            <w:noProof/>
            <w:webHidden/>
          </w:rPr>
          <w:fldChar w:fldCharType="end"/>
        </w:r>
      </w:hyperlink>
    </w:p>
    <w:p w14:paraId="624824C6" w14:textId="093D504A" w:rsidR="00F66EC6" w:rsidRDefault="00B24361">
      <w:pPr>
        <w:pStyle w:val="TOC1"/>
        <w:tabs>
          <w:tab w:val="left" w:pos="993"/>
        </w:tabs>
        <w:rPr>
          <w:rFonts w:eastAsiaTheme="minorEastAsia" w:cstheme="minorBidi"/>
          <w:noProof/>
          <w:szCs w:val="22"/>
        </w:rPr>
      </w:pPr>
      <w:hyperlink w:anchor="_Toc121415058" w:history="1">
        <w:r w:rsidR="00F66EC6" w:rsidRPr="00520F7A">
          <w:rPr>
            <w:rStyle w:val="Hyperlink"/>
            <w:noProof/>
          </w:rPr>
          <w:t>2</w:t>
        </w:r>
        <w:r w:rsidR="00F66EC6">
          <w:rPr>
            <w:rFonts w:eastAsiaTheme="minorEastAsia" w:cstheme="minorBidi"/>
            <w:noProof/>
            <w:szCs w:val="22"/>
          </w:rPr>
          <w:tab/>
        </w:r>
        <w:r w:rsidR="00F66EC6" w:rsidRPr="00520F7A">
          <w:rPr>
            <w:rStyle w:val="Hyperlink"/>
            <w:noProof/>
          </w:rPr>
          <w:t>Progress with implementation of the Strategy</w:t>
        </w:r>
        <w:r w:rsidR="00F66EC6">
          <w:rPr>
            <w:noProof/>
            <w:webHidden/>
          </w:rPr>
          <w:tab/>
        </w:r>
        <w:r w:rsidR="00F66EC6">
          <w:rPr>
            <w:noProof/>
            <w:webHidden/>
          </w:rPr>
          <w:fldChar w:fldCharType="begin"/>
        </w:r>
        <w:r w:rsidR="00F66EC6">
          <w:rPr>
            <w:noProof/>
            <w:webHidden/>
          </w:rPr>
          <w:instrText xml:space="preserve"> PAGEREF _Toc121415058 \h </w:instrText>
        </w:r>
        <w:r w:rsidR="00F66EC6">
          <w:rPr>
            <w:noProof/>
            <w:webHidden/>
          </w:rPr>
        </w:r>
        <w:r w:rsidR="00F66EC6">
          <w:rPr>
            <w:noProof/>
            <w:webHidden/>
          </w:rPr>
          <w:fldChar w:fldCharType="separate"/>
        </w:r>
        <w:r w:rsidR="00296988">
          <w:rPr>
            <w:noProof/>
            <w:webHidden/>
          </w:rPr>
          <w:t>10</w:t>
        </w:r>
        <w:r w:rsidR="00F66EC6">
          <w:rPr>
            <w:noProof/>
            <w:webHidden/>
          </w:rPr>
          <w:fldChar w:fldCharType="end"/>
        </w:r>
      </w:hyperlink>
    </w:p>
    <w:p w14:paraId="04B79979" w14:textId="2F67B32C" w:rsidR="00F66EC6" w:rsidRDefault="00B24361">
      <w:pPr>
        <w:pStyle w:val="TOC2"/>
        <w:tabs>
          <w:tab w:val="right" w:leader="dot" w:pos="9855"/>
        </w:tabs>
        <w:rPr>
          <w:rFonts w:eastAsiaTheme="minorEastAsia" w:cstheme="minorBidi"/>
          <w:noProof/>
          <w:szCs w:val="22"/>
        </w:rPr>
      </w:pPr>
      <w:hyperlink w:anchor="_Toc121415059" w:history="1">
        <w:r w:rsidR="00F66EC6" w:rsidRPr="00520F7A">
          <w:rPr>
            <w:rStyle w:val="Hyperlink"/>
            <w:noProof/>
            <w:lang w:eastAsia="zh-CN"/>
          </w:rPr>
          <w:t>2.1</w:t>
        </w:r>
        <w:r w:rsidR="00F66EC6">
          <w:rPr>
            <w:rFonts w:eastAsiaTheme="minorEastAsia" w:cstheme="minorBidi"/>
            <w:noProof/>
            <w:szCs w:val="22"/>
          </w:rPr>
          <w:tab/>
        </w:r>
        <w:r w:rsidR="00F66EC6" w:rsidRPr="00520F7A">
          <w:rPr>
            <w:rStyle w:val="Hyperlink"/>
            <w:noProof/>
            <w:lang w:eastAsia="zh-CN"/>
          </w:rPr>
          <w:t>Significant developments in the delivery of maternity services</w:t>
        </w:r>
        <w:r w:rsidR="00F66EC6">
          <w:rPr>
            <w:noProof/>
            <w:webHidden/>
          </w:rPr>
          <w:tab/>
        </w:r>
        <w:r w:rsidR="00F66EC6">
          <w:rPr>
            <w:noProof/>
            <w:webHidden/>
          </w:rPr>
          <w:fldChar w:fldCharType="begin"/>
        </w:r>
        <w:r w:rsidR="00F66EC6">
          <w:rPr>
            <w:noProof/>
            <w:webHidden/>
          </w:rPr>
          <w:instrText xml:space="preserve"> PAGEREF _Toc121415059 \h </w:instrText>
        </w:r>
        <w:r w:rsidR="00F66EC6">
          <w:rPr>
            <w:noProof/>
            <w:webHidden/>
          </w:rPr>
        </w:r>
        <w:r w:rsidR="00F66EC6">
          <w:rPr>
            <w:noProof/>
            <w:webHidden/>
          </w:rPr>
          <w:fldChar w:fldCharType="separate"/>
        </w:r>
        <w:r w:rsidR="00296988">
          <w:rPr>
            <w:noProof/>
            <w:webHidden/>
          </w:rPr>
          <w:t>10</w:t>
        </w:r>
        <w:r w:rsidR="00F66EC6">
          <w:rPr>
            <w:noProof/>
            <w:webHidden/>
          </w:rPr>
          <w:fldChar w:fldCharType="end"/>
        </w:r>
      </w:hyperlink>
    </w:p>
    <w:p w14:paraId="12876CC2" w14:textId="28CBA5DE" w:rsidR="00F66EC6" w:rsidRDefault="00B24361">
      <w:pPr>
        <w:pStyle w:val="TOC2"/>
        <w:tabs>
          <w:tab w:val="right" w:leader="dot" w:pos="9855"/>
        </w:tabs>
        <w:rPr>
          <w:rFonts w:eastAsiaTheme="minorEastAsia" w:cstheme="minorBidi"/>
          <w:noProof/>
          <w:szCs w:val="22"/>
        </w:rPr>
      </w:pPr>
      <w:hyperlink w:anchor="_Toc121415060" w:history="1">
        <w:r w:rsidR="00F66EC6" w:rsidRPr="00520F7A">
          <w:rPr>
            <w:rStyle w:val="Hyperlink"/>
            <w:noProof/>
            <w:lang w:eastAsia="zh-CN"/>
          </w:rPr>
          <w:t>2.2</w:t>
        </w:r>
        <w:r w:rsidR="00F66EC6">
          <w:rPr>
            <w:rFonts w:eastAsiaTheme="minorEastAsia" w:cstheme="minorBidi"/>
            <w:noProof/>
            <w:szCs w:val="22"/>
          </w:rPr>
          <w:tab/>
        </w:r>
        <w:r w:rsidR="00F66EC6" w:rsidRPr="00520F7A">
          <w:rPr>
            <w:rStyle w:val="Hyperlink"/>
            <w:noProof/>
            <w:lang w:eastAsia="zh-CN"/>
          </w:rPr>
          <w:t>Progress on enabling activities</w:t>
        </w:r>
        <w:r w:rsidR="00F66EC6">
          <w:rPr>
            <w:noProof/>
            <w:webHidden/>
          </w:rPr>
          <w:tab/>
        </w:r>
        <w:r w:rsidR="00F66EC6">
          <w:rPr>
            <w:noProof/>
            <w:webHidden/>
          </w:rPr>
          <w:fldChar w:fldCharType="begin"/>
        </w:r>
        <w:r w:rsidR="00F66EC6">
          <w:rPr>
            <w:noProof/>
            <w:webHidden/>
          </w:rPr>
          <w:instrText xml:space="preserve"> PAGEREF _Toc121415060 \h </w:instrText>
        </w:r>
        <w:r w:rsidR="00F66EC6">
          <w:rPr>
            <w:noProof/>
            <w:webHidden/>
          </w:rPr>
        </w:r>
        <w:r w:rsidR="00F66EC6">
          <w:rPr>
            <w:noProof/>
            <w:webHidden/>
          </w:rPr>
          <w:fldChar w:fldCharType="separate"/>
        </w:r>
        <w:r w:rsidR="00296988">
          <w:rPr>
            <w:noProof/>
            <w:webHidden/>
          </w:rPr>
          <w:t>16</w:t>
        </w:r>
        <w:r w:rsidR="00F66EC6">
          <w:rPr>
            <w:noProof/>
            <w:webHidden/>
          </w:rPr>
          <w:fldChar w:fldCharType="end"/>
        </w:r>
      </w:hyperlink>
    </w:p>
    <w:p w14:paraId="706411FC" w14:textId="4EBC6393" w:rsidR="00F66EC6" w:rsidRDefault="00B24361">
      <w:pPr>
        <w:pStyle w:val="TOC2"/>
        <w:tabs>
          <w:tab w:val="right" w:leader="dot" w:pos="9855"/>
        </w:tabs>
        <w:rPr>
          <w:rFonts w:eastAsiaTheme="minorEastAsia" w:cstheme="minorBidi"/>
          <w:noProof/>
          <w:szCs w:val="22"/>
        </w:rPr>
      </w:pPr>
      <w:hyperlink w:anchor="_Toc121415061" w:history="1">
        <w:r w:rsidR="00F66EC6" w:rsidRPr="00520F7A">
          <w:rPr>
            <w:rStyle w:val="Hyperlink"/>
            <w:noProof/>
          </w:rPr>
          <w:t>2.3</w:t>
        </w:r>
        <w:r w:rsidR="00F66EC6">
          <w:rPr>
            <w:rFonts w:eastAsiaTheme="minorEastAsia" w:cstheme="minorBidi"/>
            <w:noProof/>
            <w:szCs w:val="22"/>
          </w:rPr>
          <w:tab/>
        </w:r>
        <w:r w:rsidR="00F66EC6" w:rsidRPr="00520F7A">
          <w:rPr>
            <w:rStyle w:val="Hyperlink"/>
            <w:noProof/>
          </w:rPr>
          <w:t>Challenges and complexities of implementation</w:t>
        </w:r>
        <w:r w:rsidR="00F66EC6">
          <w:rPr>
            <w:noProof/>
            <w:webHidden/>
          </w:rPr>
          <w:tab/>
        </w:r>
        <w:r w:rsidR="00F66EC6">
          <w:rPr>
            <w:noProof/>
            <w:webHidden/>
          </w:rPr>
          <w:fldChar w:fldCharType="begin"/>
        </w:r>
        <w:r w:rsidR="00F66EC6">
          <w:rPr>
            <w:noProof/>
            <w:webHidden/>
          </w:rPr>
          <w:instrText xml:space="preserve"> PAGEREF _Toc121415061 \h </w:instrText>
        </w:r>
        <w:r w:rsidR="00F66EC6">
          <w:rPr>
            <w:noProof/>
            <w:webHidden/>
          </w:rPr>
        </w:r>
        <w:r w:rsidR="00F66EC6">
          <w:rPr>
            <w:noProof/>
            <w:webHidden/>
          </w:rPr>
          <w:fldChar w:fldCharType="separate"/>
        </w:r>
        <w:r w:rsidR="00296988">
          <w:rPr>
            <w:noProof/>
            <w:webHidden/>
          </w:rPr>
          <w:t>16</w:t>
        </w:r>
        <w:r w:rsidR="00F66EC6">
          <w:rPr>
            <w:noProof/>
            <w:webHidden/>
          </w:rPr>
          <w:fldChar w:fldCharType="end"/>
        </w:r>
      </w:hyperlink>
    </w:p>
    <w:p w14:paraId="4A12E3A3" w14:textId="6784BB91" w:rsidR="00F66EC6" w:rsidRDefault="00B24361">
      <w:pPr>
        <w:pStyle w:val="TOC1"/>
        <w:tabs>
          <w:tab w:val="left" w:pos="993"/>
        </w:tabs>
        <w:rPr>
          <w:rFonts w:eastAsiaTheme="minorEastAsia" w:cstheme="minorBidi"/>
          <w:noProof/>
          <w:szCs w:val="22"/>
        </w:rPr>
      </w:pPr>
      <w:hyperlink w:anchor="_Toc121415062" w:history="1">
        <w:r w:rsidR="00F66EC6" w:rsidRPr="00520F7A">
          <w:rPr>
            <w:rStyle w:val="Hyperlink"/>
            <w:noProof/>
          </w:rPr>
          <w:t>3</w:t>
        </w:r>
        <w:r w:rsidR="00F66EC6">
          <w:rPr>
            <w:rFonts w:eastAsiaTheme="minorEastAsia" w:cstheme="minorBidi"/>
            <w:noProof/>
            <w:szCs w:val="22"/>
          </w:rPr>
          <w:tab/>
        </w:r>
        <w:r w:rsidR="00F66EC6" w:rsidRPr="00520F7A">
          <w:rPr>
            <w:rStyle w:val="Hyperlink"/>
            <w:noProof/>
          </w:rPr>
          <w:t>Qualitative findings: key evaluation questions</w:t>
        </w:r>
        <w:r w:rsidR="00F66EC6">
          <w:rPr>
            <w:noProof/>
            <w:webHidden/>
          </w:rPr>
          <w:tab/>
        </w:r>
        <w:r w:rsidR="00F66EC6">
          <w:rPr>
            <w:noProof/>
            <w:webHidden/>
          </w:rPr>
          <w:fldChar w:fldCharType="begin"/>
        </w:r>
        <w:r w:rsidR="00F66EC6">
          <w:rPr>
            <w:noProof/>
            <w:webHidden/>
          </w:rPr>
          <w:instrText xml:space="preserve"> PAGEREF _Toc121415062 \h </w:instrText>
        </w:r>
        <w:r w:rsidR="00F66EC6">
          <w:rPr>
            <w:noProof/>
            <w:webHidden/>
          </w:rPr>
        </w:r>
        <w:r w:rsidR="00F66EC6">
          <w:rPr>
            <w:noProof/>
            <w:webHidden/>
          </w:rPr>
          <w:fldChar w:fldCharType="separate"/>
        </w:r>
        <w:r w:rsidR="00296988">
          <w:rPr>
            <w:noProof/>
            <w:webHidden/>
          </w:rPr>
          <w:t>19</w:t>
        </w:r>
        <w:r w:rsidR="00F66EC6">
          <w:rPr>
            <w:noProof/>
            <w:webHidden/>
          </w:rPr>
          <w:fldChar w:fldCharType="end"/>
        </w:r>
      </w:hyperlink>
    </w:p>
    <w:p w14:paraId="51B3BE0E" w14:textId="63920940" w:rsidR="00F66EC6" w:rsidRDefault="00B24361">
      <w:pPr>
        <w:pStyle w:val="TOC2"/>
        <w:tabs>
          <w:tab w:val="right" w:leader="dot" w:pos="9855"/>
        </w:tabs>
        <w:rPr>
          <w:rFonts w:eastAsiaTheme="minorEastAsia" w:cstheme="minorBidi"/>
          <w:noProof/>
          <w:szCs w:val="22"/>
        </w:rPr>
      </w:pPr>
      <w:hyperlink w:anchor="_Toc121415063" w:history="1">
        <w:r w:rsidR="00F66EC6" w:rsidRPr="00520F7A">
          <w:rPr>
            <w:rStyle w:val="Hyperlink"/>
            <w:noProof/>
          </w:rPr>
          <w:t>3.1</w:t>
        </w:r>
        <w:r w:rsidR="00F66EC6">
          <w:rPr>
            <w:rFonts w:eastAsiaTheme="minorEastAsia" w:cstheme="minorBidi"/>
            <w:noProof/>
            <w:szCs w:val="22"/>
          </w:rPr>
          <w:tab/>
        </w:r>
        <w:r w:rsidR="00F66EC6" w:rsidRPr="00520F7A">
          <w:rPr>
            <w:rStyle w:val="Hyperlink"/>
            <w:noProof/>
          </w:rPr>
          <w:t>KEQ 1: Change in maternity outcomes over time</w:t>
        </w:r>
        <w:r w:rsidR="00F66EC6">
          <w:rPr>
            <w:noProof/>
            <w:webHidden/>
          </w:rPr>
          <w:tab/>
        </w:r>
        <w:r w:rsidR="00F66EC6">
          <w:rPr>
            <w:noProof/>
            <w:webHidden/>
          </w:rPr>
          <w:fldChar w:fldCharType="begin"/>
        </w:r>
        <w:r w:rsidR="00F66EC6">
          <w:rPr>
            <w:noProof/>
            <w:webHidden/>
          </w:rPr>
          <w:instrText xml:space="preserve"> PAGEREF _Toc121415063 \h </w:instrText>
        </w:r>
        <w:r w:rsidR="00F66EC6">
          <w:rPr>
            <w:noProof/>
            <w:webHidden/>
          </w:rPr>
        </w:r>
        <w:r w:rsidR="00F66EC6">
          <w:rPr>
            <w:noProof/>
            <w:webHidden/>
          </w:rPr>
          <w:fldChar w:fldCharType="separate"/>
        </w:r>
        <w:r w:rsidR="00296988">
          <w:rPr>
            <w:noProof/>
            <w:webHidden/>
          </w:rPr>
          <w:t>19</w:t>
        </w:r>
        <w:r w:rsidR="00F66EC6">
          <w:rPr>
            <w:noProof/>
            <w:webHidden/>
          </w:rPr>
          <w:fldChar w:fldCharType="end"/>
        </w:r>
      </w:hyperlink>
    </w:p>
    <w:p w14:paraId="778EF0C1" w14:textId="0144C8BD" w:rsidR="00F66EC6" w:rsidRDefault="00B24361">
      <w:pPr>
        <w:pStyle w:val="TOC2"/>
        <w:tabs>
          <w:tab w:val="right" w:leader="dot" w:pos="9855"/>
        </w:tabs>
        <w:rPr>
          <w:rFonts w:eastAsiaTheme="minorEastAsia" w:cstheme="minorBidi"/>
          <w:noProof/>
          <w:szCs w:val="22"/>
        </w:rPr>
      </w:pPr>
      <w:hyperlink w:anchor="_Toc121415064" w:history="1">
        <w:r w:rsidR="00F66EC6" w:rsidRPr="00520F7A">
          <w:rPr>
            <w:rStyle w:val="Hyperlink"/>
            <w:noProof/>
          </w:rPr>
          <w:t>3.2</w:t>
        </w:r>
        <w:r w:rsidR="00F66EC6">
          <w:rPr>
            <w:rFonts w:eastAsiaTheme="minorEastAsia" w:cstheme="minorBidi"/>
            <w:noProof/>
            <w:szCs w:val="22"/>
          </w:rPr>
          <w:tab/>
        </w:r>
        <w:r w:rsidR="00F66EC6" w:rsidRPr="00520F7A">
          <w:rPr>
            <w:rStyle w:val="Hyperlink"/>
            <w:noProof/>
          </w:rPr>
          <w:t>KEQ 2: Access to postnatal care</w:t>
        </w:r>
        <w:r w:rsidR="00F66EC6">
          <w:rPr>
            <w:noProof/>
            <w:webHidden/>
          </w:rPr>
          <w:tab/>
        </w:r>
        <w:r w:rsidR="00F66EC6">
          <w:rPr>
            <w:noProof/>
            <w:webHidden/>
          </w:rPr>
          <w:fldChar w:fldCharType="begin"/>
        </w:r>
        <w:r w:rsidR="00F66EC6">
          <w:rPr>
            <w:noProof/>
            <w:webHidden/>
          </w:rPr>
          <w:instrText xml:space="preserve"> PAGEREF _Toc121415064 \h </w:instrText>
        </w:r>
        <w:r w:rsidR="00F66EC6">
          <w:rPr>
            <w:noProof/>
            <w:webHidden/>
          </w:rPr>
        </w:r>
        <w:r w:rsidR="00F66EC6">
          <w:rPr>
            <w:noProof/>
            <w:webHidden/>
          </w:rPr>
          <w:fldChar w:fldCharType="separate"/>
        </w:r>
        <w:r w:rsidR="00296988">
          <w:rPr>
            <w:noProof/>
            <w:webHidden/>
          </w:rPr>
          <w:t>21</w:t>
        </w:r>
        <w:r w:rsidR="00F66EC6">
          <w:rPr>
            <w:noProof/>
            <w:webHidden/>
          </w:rPr>
          <w:fldChar w:fldCharType="end"/>
        </w:r>
      </w:hyperlink>
    </w:p>
    <w:p w14:paraId="41B71BDE" w14:textId="10D66BC0" w:rsidR="00F66EC6" w:rsidRDefault="00B24361">
      <w:pPr>
        <w:pStyle w:val="TOC2"/>
        <w:tabs>
          <w:tab w:val="right" w:leader="dot" w:pos="9855"/>
        </w:tabs>
        <w:rPr>
          <w:rFonts w:eastAsiaTheme="minorEastAsia" w:cstheme="minorBidi"/>
          <w:noProof/>
          <w:szCs w:val="22"/>
        </w:rPr>
      </w:pPr>
      <w:hyperlink w:anchor="_Toc121415065" w:history="1">
        <w:r w:rsidR="00F66EC6" w:rsidRPr="00520F7A">
          <w:rPr>
            <w:rStyle w:val="Hyperlink"/>
            <w:noProof/>
          </w:rPr>
          <w:t>3.3</w:t>
        </w:r>
        <w:r w:rsidR="00F66EC6">
          <w:rPr>
            <w:rFonts w:eastAsiaTheme="minorEastAsia" w:cstheme="minorBidi"/>
            <w:noProof/>
            <w:szCs w:val="22"/>
          </w:rPr>
          <w:tab/>
        </w:r>
        <w:r w:rsidR="00F66EC6" w:rsidRPr="00520F7A">
          <w:rPr>
            <w:rStyle w:val="Hyperlink"/>
            <w:noProof/>
          </w:rPr>
          <w:t>KEQ 3: Perinatal mental health morbidity and mortality</w:t>
        </w:r>
        <w:r w:rsidR="00F66EC6">
          <w:rPr>
            <w:noProof/>
            <w:webHidden/>
          </w:rPr>
          <w:tab/>
        </w:r>
        <w:r w:rsidR="00F66EC6">
          <w:rPr>
            <w:noProof/>
            <w:webHidden/>
          </w:rPr>
          <w:fldChar w:fldCharType="begin"/>
        </w:r>
        <w:r w:rsidR="00F66EC6">
          <w:rPr>
            <w:noProof/>
            <w:webHidden/>
          </w:rPr>
          <w:instrText xml:space="preserve"> PAGEREF _Toc121415065 \h </w:instrText>
        </w:r>
        <w:r w:rsidR="00F66EC6">
          <w:rPr>
            <w:noProof/>
            <w:webHidden/>
          </w:rPr>
        </w:r>
        <w:r w:rsidR="00F66EC6">
          <w:rPr>
            <w:noProof/>
            <w:webHidden/>
          </w:rPr>
          <w:fldChar w:fldCharType="separate"/>
        </w:r>
        <w:r w:rsidR="00296988">
          <w:rPr>
            <w:noProof/>
            <w:webHidden/>
          </w:rPr>
          <w:t>23</w:t>
        </w:r>
        <w:r w:rsidR="00F66EC6">
          <w:rPr>
            <w:noProof/>
            <w:webHidden/>
          </w:rPr>
          <w:fldChar w:fldCharType="end"/>
        </w:r>
      </w:hyperlink>
    </w:p>
    <w:p w14:paraId="28B4E1F3" w14:textId="7C5E5043" w:rsidR="00F66EC6" w:rsidRDefault="00B24361">
      <w:pPr>
        <w:pStyle w:val="TOC2"/>
        <w:tabs>
          <w:tab w:val="right" w:leader="dot" w:pos="9855"/>
        </w:tabs>
        <w:rPr>
          <w:rFonts w:eastAsiaTheme="minorEastAsia" w:cstheme="minorBidi"/>
          <w:noProof/>
          <w:szCs w:val="22"/>
        </w:rPr>
      </w:pPr>
      <w:hyperlink w:anchor="_Toc121415066" w:history="1">
        <w:r w:rsidR="00F66EC6" w:rsidRPr="00520F7A">
          <w:rPr>
            <w:rStyle w:val="Hyperlink"/>
            <w:noProof/>
          </w:rPr>
          <w:t>3.4</w:t>
        </w:r>
        <w:r w:rsidR="00F66EC6">
          <w:rPr>
            <w:rFonts w:eastAsiaTheme="minorEastAsia" w:cstheme="minorBidi"/>
            <w:noProof/>
            <w:szCs w:val="22"/>
          </w:rPr>
          <w:tab/>
        </w:r>
        <w:r w:rsidR="00F66EC6" w:rsidRPr="00520F7A">
          <w:rPr>
            <w:rStyle w:val="Hyperlink"/>
            <w:noProof/>
          </w:rPr>
          <w:t>KEQ 4: Service provision based on evidence</w:t>
        </w:r>
        <w:r w:rsidR="00F66EC6">
          <w:rPr>
            <w:noProof/>
            <w:webHidden/>
          </w:rPr>
          <w:tab/>
        </w:r>
        <w:r w:rsidR="00F66EC6">
          <w:rPr>
            <w:noProof/>
            <w:webHidden/>
          </w:rPr>
          <w:fldChar w:fldCharType="begin"/>
        </w:r>
        <w:r w:rsidR="00F66EC6">
          <w:rPr>
            <w:noProof/>
            <w:webHidden/>
          </w:rPr>
          <w:instrText xml:space="preserve"> PAGEREF _Toc121415066 \h </w:instrText>
        </w:r>
        <w:r w:rsidR="00F66EC6">
          <w:rPr>
            <w:noProof/>
            <w:webHidden/>
          </w:rPr>
        </w:r>
        <w:r w:rsidR="00F66EC6">
          <w:rPr>
            <w:noProof/>
            <w:webHidden/>
          </w:rPr>
          <w:fldChar w:fldCharType="separate"/>
        </w:r>
        <w:r w:rsidR="00296988">
          <w:rPr>
            <w:noProof/>
            <w:webHidden/>
          </w:rPr>
          <w:t>25</w:t>
        </w:r>
        <w:r w:rsidR="00F66EC6">
          <w:rPr>
            <w:noProof/>
            <w:webHidden/>
          </w:rPr>
          <w:fldChar w:fldCharType="end"/>
        </w:r>
      </w:hyperlink>
    </w:p>
    <w:p w14:paraId="3E4CFA00" w14:textId="56BFA54E" w:rsidR="00F66EC6" w:rsidRDefault="00B24361">
      <w:pPr>
        <w:pStyle w:val="TOC2"/>
        <w:tabs>
          <w:tab w:val="right" w:leader="dot" w:pos="9855"/>
        </w:tabs>
        <w:rPr>
          <w:rFonts w:eastAsiaTheme="minorEastAsia" w:cstheme="minorBidi"/>
          <w:noProof/>
          <w:szCs w:val="22"/>
        </w:rPr>
      </w:pPr>
      <w:hyperlink w:anchor="_Toc121415067" w:history="1">
        <w:r w:rsidR="00F66EC6" w:rsidRPr="00520F7A">
          <w:rPr>
            <w:rStyle w:val="Hyperlink"/>
            <w:noProof/>
          </w:rPr>
          <w:t>3.5</w:t>
        </w:r>
        <w:r w:rsidR="00F66EC6">
          <w:rPr>
            <w:rFonts w:eastAsiaTheme="minorEastAsia" w:cstheme="minorBidi"/>
            <w:noProof/>
            <w:szCs w:val="22"/>
          </w:rPr>
          <w:tab/>
        </w:r>
        <w:r w:rsidR="00F66EC6" w:rsidRPr="00520F7A">
          <w:rPr>
            <w:rStyle w:val="Hyperlink"/>
            <w:noProof/>
          </w:rPr>
          <w:t>KEQ 5: Systems and processes to enable woman-centred care</w:t>
        </w:r>
        <w:r w:rsidR="00F66EC6">
          <w:rPr>
            <w:noProof/>
            <w:webHidden/>
          </w:rPr>
          <w:tab/>
        </w:r>
        <w:r w:rsidR="00F66EC6">
          <w:rPr>
            <w:noProof/>
            <w:webHidden/>
          </w:rPr>
          <w:fldChar w:fldCharType="begin"/>
        </w:r>
        <w:r w:rsidR="00F66EC6">
          <w:rPr>
            <w:noProof/>
            <w:webHidden/>
          </w:rPr>
          <w:instrText xml:space="preserve"> PAGEREF _Toc121415067 \h </w:instrText>
        </w:r>
        <w:r w:rsidR="00F66EC6">
          <w:rPr>
            <w:noProof/>
            <w:webHidden/>
          </w:rPr>
        </w:r>
        <w:r w:rsidR="00F66EC6">
          <w:rPr>
            <w:noProof/>
            <w:webHidden/>
          </w:rPr>
          <w:fldChar w:fldCharType="separate"/>
        </w:r>
        <w:r w:rsidR="00296988">
          <w:rPr>
            <w:noProof/>
            <w:webHidden/>
          </w:rPr>
          <w:t>26</w:t>
        </w:r>
        <w:r w:rsidR="00F66EC6">
          <w:rPr>
            <w:noProof/>
            <w:webHidden/>
          </w:rPr>
          <w:fldChar w:fldCharType="end"/>
        </w:r>
      </w:hyperlink>
    </w:p>
    <w:p w14:paraId="2A1F99DC" w14:textId="4EFC39E7" w:rsidR="00F66EC6" w:rsidRDefault="00B24361">
      <w:pPr>
        <w:pStyle w:val="TOC1"/>
        <w:tabs>
          <w:tab w:val="left" w:pos="993"/>
        </w:tabs>
        <w:rPr>
          <w:rFonts w:eastAsiaTheme="minorEastAsia" w:cstheme="minorBidi"/>
          <w:noProof/>
          <w:szCs w:val="22"/>
        </w:rPr>
      </w:pPr>
      <w:hyperlink w:anchor="_Toc121415068" w:history="1">
        <w:r w:rsidR="00F66EC6" w:rsidRPr="00520F7A">
          <w:rPr>
            <w:rStyle w:val="Hyperlink"/>
            <w:noProof/>
          </w:rPr>
          <w:t>4</w:t>
        </w:r>
        <w:r w:rsidR="00F66EC6">
          <w:rPr>
            <w:rFonts w:eastAsiaTheme="minorEastAsia" w:cstheme="minorBidi"/>
            <w:noProof/>
            <w:szCs w:val="22"/>
          </w:rPr>
          <w:tab/>
        </w:r>
        <w:r w:rsidR="00F66EC6" w:rsidRPr="00520F7A">
          <w:rPr>
            <w:rStyle w:val="Hyperlink"/>
            <w:noProof/>
          </w:rPr>
          <w:t>Quantitative findings: trends in maternity outcomes</w:t>
        </w:r>
        <w:r w:rsidR="00F66EC6">
          <w:rPr>
            <w:noProof/>
            <w:webHidden/>
          </w:rPr>
          <w:tab/>
        </w:r>
        <w:r w:rsidR="00F66EC6">
          <w:rPr>
            <w:noProof/>
            <w:webHidden/>
          </w:rPr>
          <w:fldChar w:fldCharType="begin"/>
        </w:r>
        <w:r w:rsidR="00F66EC6">
          <w:rPr>
            <w:noProof/>
            <w:webHidden/>
          </w:rPr>
          <w:instrText xml:space="preserve"> PAGEREF _Toc121415068 \h </w:instrText>
        </w:r>
        <w:r w:rsidR="00F66EC6">
          <w:rPr>
            <w:noProof/>
            <w:webHidden/>
          </w:rPr>
        </w:r>
        <w:r w:rsidR="00F66EC6">
          <w:rPr>
            <w:noProof/>
            <w:webHidden/>
          </w:rPr>
          <w:fldChar w:fldCharType="separate"/>
        </w:r>
        <w:r w:rsidR="00296988">
          <w:rPr>
            <w:noProof/>
            <w:webHidden/>
          </w:rPr>
          <w:t>32</w:t>
        </w:r>
        <w:r w:rsidR="00F66EC6">
          <w:rPr>
            <w:noProof/>
            <w:webHidden/>
          </w:rPr>
          <w:fldChar w:fldCharType="end"/>
        </w:r>
      </w:hyperlink>
    </w:p>
    <w:p w14:paraId="195E47D1" w14:textId="4918B5AC" w:rsidR="00F66EC6" w:rsidRDefault="00B24361">
      <w:pPr>
        <w:pStyle w:val="TOC2"/>
        <w:tabs>
          <w:tab w:val="right" w:leader="dot" w:pos="9855"/>
        </w:tabs>
        <w:rPr>
          <w:rFonts w:eastAsiaTheme="minorEastAsia" w:cstheme="minorBidi"/>
          <w:noProof/>
          <w:szCs w:val="22"/>
        </w:rPr>
      </w:pPr>
      <w:hyperlink w:anchor="_Toc121415069" w:history="1">
        <w:r w:rsidR="00F66EC6" w:rsidRPr="00520F7A">
          <w:rPr>
            <w:rStyle w:val="Hyperlink"/>
            <w:noProof/>
          </w:rPr>
          <w:t>4.1</w:t>
        </w:r>
        <w:r w:rsidR="00F66EC6">
          <w:rPr>
            <w:rFonts w:eastAsiaTheme="minorEastAsia" w:cstheme="minorBidi"/>
            <w:noProof/>
            <w:szCs w:val="22"/>
          </w:rPr>
          <w:tab/>
        </w:r>
        <w:r w:rsidR="00F66EC6" w:rsidRPr="00520F7A">
          <w:rPr>
            <w:rStyle w:val="Hyperlink"/>
            <w:noProof/>
          </w:rPr>
          <w:t>Smoking in pregnancy</w:t>
        </w:r>
        <w:r w:rsidR="00F66EC6">
          <w:rPr>
            <w:noProof/>
            <w:webHidden/>
          </w:rPr>
          <w:tab/>
        </w:r>
        <w:r w:rsidR="00F66EC6">
          <w:rPr>
            <w:noProof/>
            <w:webHidden/>
          </w:rPr>
          <w:fldChar w:fldCharType="begin"/>
        </w:r>
        <w:r w:rsidR="00F66EC6">
          <w:rPr>
            <w:noProof/>
            <w:webHidden/>
          </w:rPr>
          <w:instrText xml:space="preserve"> PAGEREF _Toc121415069 \h </w:instrText>
        </w:r>
        <w:r w:rsidR="00F66EC6">
          <w:rPr>
            <w:noProof/>
            <w:webHidden/>
          </w:rPr>
        </w:r>
        <w:r w:rsidR="00F66EC6">
          <w:rPr>
            <w:noProof/>
            <w:webHidden/>
          </w:rPr>
          <w:fldChar w:fldCharType="separate"/>
        </w:r>
        <w:r w:rsidR="00296988">
          <w:rPr>
            <w:noProof/>
            <w:webHidden/>
          </w:rPr>
          <w:t>33</w:t>
        </w:r>
        <w:r w:rsidR="00F66EC6">
          <w:rPr>
            <w:noProof/>
            <w:webHidden/>
          </w:rPr>
          <w:fldChar w:fldCharType="end"/>
        </w:r>
      </w:hyperlink>
    </w:p>
    <w:p w14:paraId="50F5EDEC" w14:textId="628F0BD0" w:rsidR="00F66EC6" w:rsidRDefault="00B24361">
      <w:pPr>
        <w:pStyle w:val="TOC2"/>
        <w:tabs>
          <w:tab w:val="right" w:leader="dot" w:pos="9855"/>
        </w:tabs>
        <w:rPr>
          <w:rFonts w:eastAsiaTheme="minorEastAsia" w:cstheme="minorBidi"/>
          <w:noProof/>
          <w:szCs w:val="22"/>
        </w:rPr>
      </w:pPr>
      <w:hyperlink w:anchor="_Toc121415070" w:history="1">
        <w:r w:rsidR="00F66EC6" w:rsidRPr="00520F7A">
          <w:rPr>
            <w:rStyle w:val="Hyperlink"/>
            <w:noProof/>
          </w:rPr>
          <w:t>4.2</w:t>
        </w:r>
        <w:r w:rsidR="00F66EC6">
          <w:rPr>
            <w:rFonts w:eastAsiaTheme="minorEastAsia" w:cstheme="minorBidi"/>
            <w:noProof/>
            <w:szCs w:val="22"/>
          </w:rPr>
          <w:tab/>
        </w:r>
        <w:r w:rsidR="00F66EC6" w:rsidRPr="00520F7A">
          <w:rPr>
            <w:rStyle w:val="Hyperlink"/>
            <w:noProof/>
          </w:rPr>
          <w:t>Antenatal care visits</w:t>
        </w:r>
        <w:r w:rsidR="00F66EC6">
          <w:rPr>
            <w:noProof/>
            <w:webHidden/>
          </w:rPr>
          <w:tab/>
        </w:r>
        <w:r w:rsidR="00F66EC6">
          <w:rPr>
            <w:noProof/>
            <w:webHidden/>
          </w:rPr>
          <w:fldChar w:fldCharType="begin"/>
        </w:r>
        <w:r w:rsidR="00F66EC6">
          <w:rPr>
            <w:noProof/>
            <w:webHidden/>
          </w:rPr>
          <w:instrText xml:space="preserve"> PAGEREF _Toc121415070 \h </w:instrText>
        </w:r>
        <w:r w:rsidR="00F66EC6">
          <w:rPr>
            <w:noProof/>
            <w:webHidden/>
          </w:rPr>
        </w:r>
        <w:r w:rsidR="00F66EC6">
          <w:rPr>
            <w:noProof/>
            <w:webHidden/>
          </w:rPr>
          <w:fldChar w:fldCharType="separate"/>
        </w:r>
        <w:r w:rsidR="00296988">
          <w:rPr>
            <w:noProof/>
            <w:webHidden/>
          </w:rPr>
          <w:t>34</w:t>
        </w:r>
        <w:r w:rsidR="00F66EC6">
          <w:rPr>
            <w:noProof/>
            <w:webHidden/>
          </w:rPr>
          <w:fldChar w:fldCharType="end"/>
        </w:r>
      </w:hyperlink>
    </w:p>
    <w:p w14:paraId="05B55E24" w14:textId="36690807" w:rsidR="00F66EC6" w:rsidRDefault="00B24361">
      <w:pPr>
        <w:pStyle w:val="TOC2"/>
        <w:tabs>
          <w:tab w:val="right" w:leader="dot" w:pos="9855"/>
        </w:tabs>
        <w:rPr>
          <w:rFonts w:eastAsiaTheme="minorEastAsia" w:cstheme="minorBidi"/>
          <w:noProof/>
          <w:szCs w:val="22"/>
        </w:rPr>
      </w:pPr>
      <w:hyperlink w:anchor="_Toc121415071" w:history="1">
        <w:r w:rsidR="00F66EC6" w:rsidRPr="00520F7A">
          <w:rPr>
            <w:rStyle w:val="Hyperlink"/>
            <w:noProof/>
          </w:rPr>
          <w:t>4.3</w:t>
        </w:r>
        <w:r w:rsidR="00F66EC6">
          <w:rPr>
            <w:rFonts w:eastAsiaTheme="minorEastAsia" w:cstheme="minorBidi"/>
            <w:noProof/>
            <w:szCs w:val="22"/>
          </w:rPr>
          <w:tab/>
        </w:r>
        <w:r w:rsidR="00F66EC6" w:rsidRPr="00520F7A">
          <w:rPr>
            <w:rStyle w:val="Hyperlink"/>
            <w:noProof/>
          </w:rPr>
          <w:t>Onset of labour</w:t>
        </w:r>
        <w:r w:rsidR="00F66EC6">
          <w:rPr>
            <w:noProof/>
            <w:webHidden/>
          </w:rPr>
          <w:tab/>
        </w:r>
        <w:r w:rsidR="00F66EC6">
          <w:rPr>
            <w:noProof/>
            <w:webHidden/>
          </w:rPr>
          <w:fldChar w:fldCharType="begin"/>
        </w:r>
        <w:r w:rsidR="00F66EC6">
          <w:rPr>
            <w:noProof/>
            <w:webHidden/>
          </w:rPr>
          <w:instrText xml:space="preserve"> PAGEREF _Toc121415071 \h </w:instrText>
        </w:r>
        <w:r w:rsidR="00F66EC6">
          <w:rPr>
            <w:noProof/>
            <w:webHidden/>
          </w:rPr>
        </w:r>
        <w:r w:rsidR="00F66EC6">
          <w:rPr>
            <w:noProof/>
            <w:webHidden/>
          </w:rPr>
          <w:fldChar w:fldCharType="separate"/>
        </w:r>
        <w:r w:rsidR="00296988">
          <w:rPr>
            <w:noProof/>
            <w:webHidden/>
          </w:rPr>
          <w:t>36</w:t>
        </w:r>
        <w:r w:rsidR="00F66EC6">
          <w:rPr>
            <w:noProof/>
            <w:webHidden/>
          </w:rPr>
          <w:fldChar w:fldCharType="end"/>
        </w:r>
      </w:hyperlink>
    </w:p>
    <w:p w14:paraId="19E931AB" w14:textId="3B776E18" w:rsidR="00F66EC6" w:rsidRDefault="00B24361">
      <w:pPr>
        <w:pStyle w:val="TOC2"/>
        <w:tabs>
          <w:tab w:val="right" w:leader="dot" w:pos="9855"/>
        </w:tabs>
        <w:rPr>
          <w:rFonts w:eastAsiaTheme="minorEastAsia" w:cstheme="minorBidi"/>
          <w:noProof/>
          <w:szCs w:val="22"/>
        </w:rPr>
      </w:pPr>
      <w:hyperlink w:anchor="_Toc121415072" w:history="1">
        <w:r w:rsidR="00F66EC6" w:rsidRPr="00520F7A">
          <w:rPr>
            <w:rStyle w:val="Hyperlink"/>
            <w:noProof/>
          </w:rPr>
          <w:t>4.4</w:t>
        </w:r>
        <w:r w:rsidR="00F66EC6">
          <w:rPr>
            <w:rFonts w:eastAsiaTheme="minorEastAsia" w:cstheme="minorBidi"/>
            <w:noProof/>
            <w:szCs w:val="22"/>
          </w:rPr>
          <w:tab/>
        </w:r>
        <w:r w:rsidR="00F66EC6" w:rsidRPr="00520F7A">
          <w:rPr>
            <w:rStyle w:val="Hyperlink"/>
            <w:noProof/>
          </w:rPr>
          <w:t>Method of birth, birth interventions and birth complications</w:t>
        </w:r>
        <w:r w:rsidR="00F66EC6">
          <w:rPr>
            <w:noProof/>
            <w:webHidden/>
          </w:rPr>
          <w:tab/>
        </w:r>
        <w:r w:rsidR="00F66EC6">
          <w:rPr>
            <w:noProof/>
            <w:webHidden/>
          </w:rPr>
          <w:fldChar w:fldCharType="begin"/>
        </w:r>
        <w:r w:rsidR="00F66EC6">
          <w:rPr>
            <w:noProof/>
            <w:webHidden/>
          </w:rPr>
          <w:instrText xml:space="preserve"> PAGEREF _Toc121415072 \h </w:instrText>
        </w:r>
        <w:r w:rsidR="00F66EC6">
          <w:rPr>
            <w:noProof/>
            <w:webHidden/>
          </w:rPr>
        </w:r>
        <w:r w:rsidR="00F66EC6">
          <w:rPr>
            <w:noProof/>
            <w:webHidden/>
          </w:rPr>
          <w:fldChar w:fldCharType="separate"/>
        </w:r>
        <w:r w:rsidR="00296988">
          <w:rPr>
            <w:noProof/>
            <w:webHidden/>
          </w:rPr>
          <w:t>37</w:t>
        </w:r>
        <w:r w:rsidR="00F66EC6">
          <w:rPr>
            <w:noProof/>
            <w:webHidden/>
          </w:rPr>
          <w:fldChar w:fldCharType="end"/>
        </w:r>
      </w:hyperlink>
    </w:p>
    <w:p w14:paraId="22233581" w14:textId="4C59F1C8" w:rsidR="00F66EC6" w:rsidRDefault="00B24361">
      <w:pPr>
        <w:pStyle w:val="TOC2"/>
        <w:tabs>
          <w:tab w:val="right" w:leader="dot" w:pos="9855"/>
        </w:tabs>
        <w:rPr>
          <w:rFonts w:eastAsiaTheme="minorEastAsia" w:cstheme="minorBidi"/>
          <w:noProof/>
          <w:szCs w:val="22"/>
        </w:rPr>
      </w:pPr>
      <w:hyperlink w:anchor="_Toc121415073" w:history="1">
        <w:r w:rsidR="00F66EC6" w:rsidRPr="00520F7A">
          <w:rPr>
            <w:rStyle w:val="Hyperlink"/>
            <w:noProof/>
          </w:rPr>
          <w:t>4.5</w:t>
        </w:r>
        <w:r w:rsidR="00F66EC6">
          <w:rPr>
            <w:rFonts w:eastAsiaTheme="minorEastAsia" w:cstheme="minorBidi"/>
            <w:noProof/>
            <w:szCs w:val="22"/>
          </w:rPr>
          <w:tab/>
        </w:r>
        <w:r w:rsidR="00F66EC6" w:rsidRPr="00520F7A">
          <w:rPr>
            <w:rStyle w:val="Hyperlink"/>
            <w:noProof/>
          </w:rPr>
          <w:t>Birth outcomes</w:t>
        </w:r>
        <w:r w:rsidR="00F66EC6">
          <w:rPr>
            <w:noProof/>
            <w:webHidden/>
          </w:rPr>
          <w:tab/>
        </w:r>
        <w:r w:rsidR="00F66EC6">
          <w:rPr>
            <w:noProof/>
            <w:webHidden/>
          </w:rPr>
          <w:fldChar w:fldCharType="begin"/>
        </w:r>
        <w:r w:rsidR="00F66EC6">
          <w:rPr>
            <w:noProof/>
            <w:webHidden/>
          </w:rPr>
          <w:instrText xml:space="preserve"> PAGEREF _Toc121415073 \h </w:instrText>
        </w:r>
        <w:r w:rsidR="00F66EC6">
          <w:rPr>
            <w:noProof/>
            <w:webHidden/>
          </w:rPr>
        </w:r>
        <w:r w:rsidR="00F66EC6">
          <w:rPr>
            <w:noProof/>
            <w:webHidden/>
          </w:rPr>
          <w:fldChar w:fldCharType="separate"/>
        </w:r>
        <w:r w:rsidR="00296988">
          <w:rPr>
            <w:noProof/>
            <w:webHidden/>
          </w:rPr>
          <w:t>42</w:t>
        </w:r>
        <w:r w:rsidR="00F66EC6">
          <w:rPr>
            <w:noProof/>
            <w:webHidden/>
          </w:rPr>
          <w:fldChar w:fldCharType="end"/>
        </w:r>
      </w:hyperlink>
    </w:p>
    <w:p w14:paraId="3BC85B2C" w14:textId="7D70DC4A" w:rsidR="00F66EC6" w:rsidRDefault="00B24361">
      <w:pPr>
        <w:pStyle w:val="TOC2"/>
        <w:tabs>
          <w:tab w:val="right" w:leader="dot" w:pos="9855"/>
        </w:tabs>
        <w:rPr>
          <w:rFonts w:eastAsiaTheme="minorEastAsia" w:cstheme="minorBidi"/>
          <w:noProof/>
          <w:szCs w:val="22"/>
        </w:rPr>
      </w:pPr>
      <w:hyperlink w:anchor="_Toc121415074" w:history="1">
        <w:r w:rsidR="00F66EC6" w:rsidRPr="00520F7A">
          <w:rPr>
            <w:rStyle w:val="Hyperlink"/>
            <w:noProof/>
          </w:rPr>
          <w:t>4.6</w:t>
        </w:r>
        <w:r w:rsidR="00F66EC6">
          <w:rPr>
            <w:rFonts w:eastAsiaTheme="minorEastAsia" w:cstheme="minorBidi"/>
            <w:noProof/>
            <w:szCs w:val="22"/>
          </w:rPr>
          <w:tab/>
        </w:r>
        <w:r w:rsidR="00F66EC6" w:rsidRPr="00520F7A">
          <w:rPr>
            <w:rStyle w:val="Hyperlink"/>
            <w:noProof/>
          </w:rPr>
          <w:t>Length of postnatal hospital stay</w:t>
        </w:r>
        <w:r w:rsidR="00F66EC6">
          <w:rPr>
            <w:noProof/>
            <w:webHidden/>
          </w:rPr>
          <w:tab/>
        </w:r>
        <w:r w:rsidR="00F66EC6">
          <w:rPr>
            <w:noProof/>
            <w:webHidden/>
          </w:rPr>
          <w:fldChar w:fldCharType="begin"/>
        </w:r>
        <w:r w:rsidR="00F66EC6">
          <w:rPr>
            <w:noProof/>
            <w:webHidden/>
          </w:rPr>
          <w:instrText xml:space="preserve"> PAGEREF _Toc121415074 \h </w:instrText>
        </w:r>
        <w:r w:rsidR="00F66EC6">
          <w:rPr>
            <w:noProof/>
            <w:webHidden/>
          </w:rPr>
        </w:r>
        <w:r w:rsidR="00F66EC6">
          <w:rPr>
            <w:noProof/>
            <w:webHidden/>
          </w:rPr>
          <w:fldChar w:fldCharType="separate"/>
        </w:r>
        <w:r w:rsidR="00296988">
          <w:rPr>
            <w:noProof/>
            <w:webHidden/>
          </w:rPr>
          <w:t>44</w:t>
        </w:r>
        <w:r w:rsidR="00F66EC6">
          <w:rPr>
            <w:noProof/>
            <w:webHidden/>
          </w:rPr>
          <w:fldChar w:fldCharType="end"/>
        </w:r>
      </w:hyperlink>
    </w:p>
    <w:p w14:paraId="105E8180" w14:textId="77B991F7" w:rsidR="00F66EC6" w:rsidRDefault="00B24361">
      <w:pPr>
        <w:pStyle w:val="TOC2"/>
        <w:tabs>
          <w:tab w:val="right" w:leader="dot" w:pos="9855"/>
        </w:tabs>
        <w:rPr>
          <w:rFonts w:eastAsiaTheme="minorEastAsia" w:cstheme="minorBidi"/>
          <w:noProof/>
          <w:szCs w:val="22"/>
        </w:rPr>
      </w:pPr>
      <w:hyperlink w:anchor="_Toc121415075" w:history="1">
        <w:r w:rsidR="00F66EC6" w:rsidRPr="00520F7A">
          <w:rPr>
            <w:rStyle w:val="Hyperlink"/>
            <w:noProof/>
          </w:rPr>
          <w:t>4.7</w:t>
        </w:r>
        <w:r w:rsidR="00F66EC6">
          <w:rPr>
            <w:rFonts w:eastAsiaTheme="minorEastAsia" w:cstheme="minorBidi"/>
            <w:noProof/>
            <w:szCs w:val="22"/>
          </w:rPr>
          <w:tab/>
        </w:r>
        <w:r w:rsidR="00F66EC6" w:rsidRPr="00520F7A">
          <w:rPr>
            <w:rStyle w:val="Hyperlink"/>
            <w:noProof/>
          </w:rPr>
          <w:t>Perinatal, stillbirth and neonatal deaths</w:t>
        </w:r>
        <w:r w:rsidR="00F66EC6">
          <w:rPr>
            <w:noProof/>
            <w:webHidden/>
          </w:rPr>
          <w:tab/>
        </w:r>
        <w:r w:rsidR="00F66EC6">
          <w:rPr>
            <w:noProof/>
            <w:webHidden/>
          </w:rPr>
          <w:fldChar w:fldCharType="begin"/>
        </w:r>
        <w:r w:rsidR="00F66EC6">
          <w:rPr>
            <w:noProof/>
            <w:webHidden/>
          </w:rPr>
          <w:instrText xml:space="preserve"> PAGEREF _Toc121415075 \h </w:instrText>
        </w:r>
        <w:r w:rsidR="00F66EC6">
          <w:rPr>
            <w:noProof/>
            <w:webHidden/>
          </w:rPr>
        </w:r>
        <w:r w:rsidR="00F66EC6">
          <w:rPr>
            <w:noProof/>
            <w:webHidden/>
          </w:rPr>
          <w:fldChar w:fldCharType="separate"/>
        </w:r>
        <w:r w:rsidR="00296988">
          <w:rPr>
            <w:noProof/>
            <w:webHidden/>
          </w:rPr>
          <w:t>44</w:t>
        </w:r>
        <w:r w:rsidR="00F66EC6">
          <w:rPr>
            <w:noProof/>
            <w:webHidden/>
          </w:rPr>
          <w:fldChar w:fldCharType="end"/>
        </w:r>
      </w:hyperlink>
    </w:p>
    <w:p w14:paraId="149ACF2A" w14:textId="1562F70B" w:rsidR="00F66EC6" w:rsidRDefault="00B24361">
      <w:pPr>
        <w:pStyle w:val="TOC2"/>
        <w:tabs>
          <w:tab w:val="right" w:leader="dot" w:pos="9855"/>
        </w:tabs>
        <w:rPr>
          <w:rFonts w:eastAsiaTheme="minorEastAsia" w:cstheme="minorBidi"/>
          <w:noProof/>
          <w:szCs w:val="22"/>
        </w:rPr>
      </w:pPr>
      <w:hyperlink w:anchor="_Toc121415076" w:history="1">
        <w:r w:rsidR="00F66EC6" w:rsidRPr="00520F7A">
          <w:rPr>
            <w:rStyle w:val="Hyperlink"/>
            <w:noProof/>
          </w:rPr>
          <w:t>4.8</w:t>
        </w:r>
        <w:r w:rsidR="00F66EC6">
          <w:rPr>
            <w:rFonts w:eastAsiaTheme="minorEastAsia" w:cstheme="minorBidi"/>
            <w:noProof/>
            <w:szCs w:val="22"/>
          </w:rPr>
          <w:tab/>
        </w:r>
        <w:r w:rsidR="00F66EC6" w:rsidRPr="00520F7A">
          <w:rPr>
            <w:rStyle w:val="Hyperlink"/>
            <w:noProof/>
          </w:rPr>
          <w:t>Maternal deaths</w:t>
        </w:r>
        <w:r w:rsidR="00F66EC6">
          <w:rPr>
            <w:noProof/>
            <w:webHidden/>
          </w:rPr>
          <w:tab/>
        </w:r>
        <w:r w:rsidR="00F66EC6">
          <w:rPr>
            <w:noProof/>
            <w:webHidden/>
          </w:rPr>
          <w:fldChar w:fldCharType="begin"/>
        </w:r>
        <w:r w:rsidR="00F66EC6">
          <w:rPr>
            <w:noProof/>
            <w:webHidden/>
          </w:rPr>
          <w:instrText xml:space="preserve"> PAGEREF _Toc121415076 \h </w:instrText>
        </w:r>
        <w:r w:rsidR="00F66EC6">
          <w:rPr>
            <w:noProof/>
            <w:webHidden/>
          </w:rPr>
        </w:r>
        <w:r w:rsidR="00F66EC6">
          <w:rPr>
            <w:noProof/>
            <w:webHidden/>
          </w:rPr>
          <w:fldChar w:fldCharType="separate"/>
        </w:r>
        <w:r w:rsidR="00296988">
          <w:rPr>
            <w:noProof/>
            <w:webHidden/>
          </w:rPr>
          <w:t>45</w:t>
        </w:r>
        <w:r w:rsidR="00F66EC6">
          <w:rPr>
            <w:noProof/>
            <w:webHidden/>
          </w:rPr>
          <w:fldChar w:fldCharType="end"/>
        </w:r>
      </w:hyperlink>
    </w:p>
    <w:p w14:paraId="120A3290" w14:textId="374378FB" w:rsidR="00F66EC6" w:rsidRDefault="00B24361">
      <w:pPr>
        <w:pStyle w:val="TOC2"/>
        <w:tabs>
          <w:tab w:val="right" w:leader="dot" w:pos="9855"/>
        </w:tabs>
        <w:rPr>
          <w:rFonts w:eastAsiaTheme="minorEastAsia" w:cstheme="minorBidi"/>
          <w:noProof/>
          <w:szCs w:val="22"/>
        </w:rPr>
      </w:pPr>
      <w:hyperlink w:anchor="_Toc121415077" w:history="1">
        <w:r w:rsidR="00F66EC6" w:rsidRPr="00520F7A">
          <w:rPr>
            <w:rStyle w:val="Hyperlink"/>
            <w:noProof/>
          </w:rPr>
          <w:t>4.9</w:t>
        </w:r>
        <w:r w:rsidR="00F66EC6">
          <w:rPr>
            <w:rFonts w:eastAsiaTheme="minorEastAsia" w:cstheme="minorBidi"/>
            <w:noProof/>
            <w:szCs w:val="22"/>
          </w:rPr>
          <w:tab/>
        </w:r>
        <w:r w:rsidR="00F66EC6" w:rsidRPr="00520F7A">
          <w:rPr>
            <w:rStyle w:val="Hyperlink"/>
            <w:noProof/>
          </w:rPr>
          <w:t>Maternity models of care</w:t>
        </w:r>
        <w:r w:rsidR="00F66EC6">
          <w:rPr>
            <w:noProof/>
            <w:webHidden/>
          </w:rPr>
          <w:tab/>
        </w:r>
        <w:r w:rsidR="00F66EC6">
          <w:rPr>
            <w:noProof/>
            <w:webHidden/>
          </w:rPr>
          <w:fldChar w:fldCharType="begin"/>
        </w:r>
        <w:r w:rsidR="00F66EC6">
          <w:rPr>
            <w:noProof/>
            <w:webHidden/>
          </w:rPr>
          <w:instrText xml:space="preserve"> PAGEREF _Toc121415077 \h </w:instrText>
        </w:r>
        <w:r w:rsidR="00F66EC6">
          <w:rPr>
            <w:noProof/>
            <w:webHidden/>
          </w:rPr>
        </w:r>
        <w:r w:rsidR="00F66EC6">
          <w:rPr>
            <w:noProof/>
            <w:webHidden/>
          </w:rPr>
          <w:fldChar w:fldCharType="separate"/>
        </w:r>
        <w:r w:rsidR="00296988">
          <w:rPr>
            <w:noProof/>
            <w:webHidden/>
          </w:rPr>
          <w:t>47</w:t>
        </w:r>
        <w:r w:rsidR="00F66EC6">
          <w:rPr>
            <w:noProof/>
            <w:webHidden/>
          </w:rPr>
          <w:fldChar w:fldCharType="end"/>
        </w:r>
      </w:hyperlink>
    </w:p>
    <w:p w14:paraId="2C42698C" w14:textId="32E96A05" w:rsidR="00F66EC6" w:rsidRDefault="00B24361">
      <w:pPr>
        <w:pStyle w:val="TOC1"/>
        <w:tabs>
          <w:tab w:val="left" w:pos="993"/>
        </w:tabs>
        <w:rPr>
          <w:rFonts w:eastAsiaTheme="minorEastAsia" w:cstheme="minorBidi"/>
          <w:noProof/>
          <w:szCs w:val="22"/>
        </w:rPr>
      </w:pPr>
      <w:hyperlink w:anchor="_Toc121415078" w:history="1">
        <w:r w:rsidR="00F66EC6" w:rsidRPr="00520F7A">
          <w:rPr>
            <w:rStyle w:val="Hyperlink"/>
            <w:noProof/>
          </w:rPr>
          <w:t>5</w:t>
        </w:r>
        <w:r w:rsidR="00F66EC6">
          <w:rPr>
            <w:rFonts w:eastAsiaTheme="minorEastAsia" w:cstheme="minorBidi"/>
            <w:noProof/>
            <w:szCs w:val="22"/>
          </w:rPr>
          <w:tab/>
        </w:r>
        <w:r w:rsidR="00F66EC6" w:rsidRPr="00520F7A">
          <w:rPr>
            <w:rStyle w:val="Hyperlink"/>
            <w:noProof/>
          </w:rPr>
          <w:t>Monitoring and evaluation of the Strategy</w:t>
        </w:r>
        <w:r w:rsidR="00F66EC6">
          <w:rPr>
            <w:noProof/>
            <w:webHidden/>
          </w:rPr>
          <w:tab/>
        </w:r>
        <w:r w:rsidR="00F66EC6">
          <w:rPr>
            <w:noProof/>
            <w:webHidden/>
          </w:rPr>
          <w:fldChar w:fldCharType="begin"/>
        </w:r>
        <w:r w:rsidR="00F66EC6">
          <w:rPr>
            <w:noProof/>
            <w:webHidden/>
          </w:rPr>
          <w:instrText xml:space="preserve"> PAGEREF _Toc121415078 \h </w:instrText>
        </w:r>
        <w:r w:rsidR="00F66EC6">
          <w:rPr>
            <w:noProof/>
            <w:webHidden/>
          </w:rPr>
        </w:r>
        <w:r w:rsidR="00F66EC6">
          <w:rPr>
            <w:noProof/>
            <w:webHidden/>
          </w:rPr>
          <w:fldChar w:fldCharType="separate"/>
        </w:r>
        <w:r w:rsidR="00296988">
          <w:rPr>
            <w:noProof/>
            <w:webHidden/>
          </w:rPr>
          <w:t>50</w:t>
        </w:r>
        <w:r w:rsidR="00F66EC6">
          <w:rPr>
            <w:noProof/>
            <w:webHidden/>
          </w:rPr>
          <w:fldChar w:fldCharType="end"/>
        </w:r>
      </w:hyperlink>
    </w:p>
    <w:p w14:paraId="0AD7F249" w14:textId="559DB5DA" w:rsidR="00F66EC6" w:rsidRDefault="00B24361">
      <w:pPr>
        <w:pStyle w:val="TOC2"/>
        <w:tabs>
          <w:tab w:val="right" w:leader="dot" w:pos="9855"/>
        </w:tabs>
        <w:rPr>
          <w:rFonts w:eastAsiaTheme="minorEastAsia" w:cstheme="minorBidi"/>
          <w:noProof/>
          <w:szCs w:val="22"/>
        </w:rPr>
      </w:pPr>
      <w:hyperlink w:anchor="_Toc121415079" w:history="1">
        <w:r w:rsidR="00F66EC6" w:rsidRPr="00520F7A">
          <w:rPr>
            <w:rStyle w:val="Hyperlink"/>
            <w:noProof/>
          </w:rPr>
          <w:t>5.1</w:t>
        </w:r>
        <w:r w:rsidR="00F66EC6">
          <w:rPr>
            <w:rFonts w:eastAsiaTheme="minorEastAsia" w:cstheme="minorBidi"/>
            <w:noProof/>
            <w:szCs w:val="22"/>
          </w:rPr>
          <w:tab/>
        </w:r>
        <w:r w:rsidR="00F66EC6" w:rsidRPr="00520F7A">
          <w:rPr>
            <w:rStyle w:val="Hyperlink"/>
            <w:noProof/>
          </w:rPr>
          <w:t>Views of the current monitoring and evaluation framework</w:t>
        </w:r>
        <w:r w:rsidR="00F66EC6">
          <w:rPr>
            <w:noProof/>
            <w:webHidden/>
          </w:rPr>
          <w:tab/>
        </w:r>
        <w:r w:rsidR="00F66EC6">
          <w:rPr>
            <w:noProof/>
            <w:webHidden/>
          </w:rPr>
          <w:fldChar w:fldCharType="begin"/>
        </w:r>
        <w:r w:rsidR="00F66EC6">
          <w:rPr>
            <w:noProof/>
            <w:webHidden/>
          </w:rPr>
          <w:instrText xml:space="preserve"> PAGEREF _Toc121415079 \h </w:instrText>
        </w:r>
        <w:r w:rsidR="00F66EC6">
          <w:rPr>
            <w:noProof/>
            <w:webHidden/>
          </w:rPr>
        </w:r>
        <w:r w:rsidR="00F66EC6">
          <w:rPr>
            <w:noProof/>
            <w:webHidden/>
          </w:rPr>
          <w:fldChar w:fldCharType="separate"/>
        </w:r>
        <w:r w:rsidR="00296988">
          <w:rPr>
            <w:noProof/>
            <w:webHidden/>
          </w:rPr>
          <w:t>50</w:t>
        </w:r>
        <w:r w:rsidR="00F66EC6">
          <w:rPr>
            <w:noProof/>
            <w:webHidden/>
          </w:rPr>
          <w:fldChar w:fldCharType="end"/>
        </w:r>
      </w:hyperlink>
    </w:p>
    <w:p w14:paraId="19768681" w14:textId="6D62491B" w:rsidR="00F66EC6" w:rsidRDefault="00B24361">
      <w:pPr>
        <w:pStyle w:val="TOC2"/>
        <w:tabs>
          <w:tab w:val="right" w:leader="dot" w:pos="9855"/>
        </w:tabs>
        <w:rPr>
          <w:rFonts w:eastAsiaTheme="minorEastAsia" w:cstheme="minorBidi"/>
          <w:noProof/>
          <w:szCs w:val="22"/>
        </w:rPr>
      </w:pPr>
      <w:hyperlink w:anchor="_Toc121415080" w:history="1">
        <w:r w:rsidR="00F66EC6" w:rsidRPr="00520F7A">
          <w:rPr>
            <w:rStyle w:val="Hyperlink"/>
            <w:noProof/>
          </w:rPr>
          <w:t>5.2</w:t>
        </w:r>
        <w:r w:rsidR="00F66EC6">
          <w:rPr>
            <w:rFonts w:eastAsiaTheme="minorEastAsia" w:cstheme="minorBidi"/>
            <w:noProof/>
            <w:szCs w:val="22"/>
          </w:rPr>
          <w:tab/>
        </w:r>
        <w:r w:rsidR="00F66EC6" w:rsidRPr="00520F7A">
          <w:rPr>
            <w:rStyle w:val="Hyperlink"/>
            <w:noProof/>
          </w:rPr>
          <w:t>Strategic and practical considerations</w:t>
        </w:r>
        <w:r w:rsidR="00F66EC6">
          <w:rPr>
            <w:noProof/>
            <w:webHidden/>
          </w:rPr>
          <w:tab/>
        </w:r>
        <w:r w:rsidR="00F66EC6">
          <w:rPr>
            <w:noProof/>
            <w:webHidden/>
          </w:rPr>
          <w:fldChar w:fldCharType="begin"/>
        </w:r>
        <w:r w:rsidR="00F66EC6">
          <w:rPr>
            <w:noProof/>
            <w:webHidden/>
          </w:rPr>
          <w:instrText xml:space="preserve"> PAGEREF _Toc121415080 \h </w:instrText>
        </w:r>
        <w:r w:rsidR="00F66EC6">
          <w:rPr>
            <w:noProof/>
            <w:webHidden/>
          </w:rPr>
        </w:r>
        <w:r w:rsidR="00F66EC6">
          <w:rPr>
            <w:noProof/>
            <w:webHidden/>
          </w:rPr>
          <w:fldChar w:fldCharType="separate"/>
        </w:r>
        <w:r w:rsidR="00296988">
          <w:rPr>
            <w:noProof/>
            <w:webHidden/>
          </w:rPr>
          <w:t>50</w:t>
        </w:r>
        <w:r w:rsidR="00F66EC6">
          <w:rPr>
            <w:noProof/>
            <w:webHidden/>
          </w:rPr>
          <w:fldChar w:fldCharType="end"/>
        </w:r>
      </w:hyperlink>
    </w:p>
    <w:p w14:paraId="7312CE3D" w14:textId="5DBB786E" w:rsidR="00F66EC6" w:rsidRDefault="00B24361">
      <w:pPr>
        <w:pStyle w:val="TOC2"/>
        <w:tabs>
          <w:tab w:val="right" w:leader="dot" w:pos="9855"/>
        </w:tabs>
        <w:rPr>
          <w:rFonts w:eastAsiaTheme="minorEastAsia" w:cstheme="minorBidi"/>
          <w:noProof/>
          <w:szCs w:val="22"/>
        </w:rPr>
      </w:pPr>
      <w:hyperlink w:anchor="_Toc121415081" w:history="1">
        <w:r w:rsidR="00F66EC6" w:rsidRPr="00520F7A">
          <w:rPr>
            <w:rStyle w:val="Hyperlink"/>
            <w:noProof/>
          </w:rPr>
          <w:t>5.3</w:t>
        </w:r>
        <w:r w:rsidR="00F66EC6">
          <w:rPr>
            <w:rFonts w:eastAsiaTheme="minorEastAsia" w:cstheme="minorBidi"/>
            <w:noProof/>
            <w:szCs w:val="22"/>
          </w:rPr>
          <w:tab/>
        </w:r>
        <w:r w:rsidR="00F66EC6" w:rsidRPr="00520F7A">
          <w:rPr>
            <w:rStyle w:val="Hyperlink"/>
            <w:noProof/>
          </w:rPr>
          <w:t>Priorities for action and measurement</w:t>
        </w:r>
        <w:r w:rsidR="00F66EC6">
          <w:rPr>
            <w:noProof/>
            <w:webHidden/>
          </w:rPr>
          <w:tab/>
        </w:r>
        <w:r w:rsidR="00F66EC6">
          <w:rPr>
            <w:noProof/>
            <w:webHidden/>
          </w:rPr>
          <w:fldChar w:fldCharType="begin"/>
        </w:r>
        <w:r w:rsidR="00F66EC6">
          <w:rPr>
            <w:noProof/>
            <w:webHidden/>
          </w:rPr>
          <w:instrText xml:space="preserve"> PAGEREF _Toc121415081 \h </w:instrText>
        </w:r>
        <w:r w:rsidR="00F66EC6">
          <w:rPr>
            <w:noProof/>
            <w:webHidden/>
          </w:rPr>
        </w:r>
        <w:r w:rsidR="00F66EC6">
          <w:rPr>
            <w:noProof/>
            <w:webHidden/>
          </w:rPr>
          <w:fldChar w:fldCharType="separate"/>
        </w:r>
        <w:r w:rsidR="00296988">
          <w:rPr>
            <w:noProof/>
            <w:webHidden/>
          </w:rPr>
          <w:t>53</w:t>
        </w:r>
        <w:r w:rsidR="00F66EC6">
          <w:rPr>
            <w:noProof/>
            <w:webHidden/>
          </w:rPr>
          <w:fldChar w:fldCharType="end"/>
        </w:r>
      </w:hyperlink>
    </w:p>
    <w:p w14:paraId="337EF006" w14:textId="57DB9BE7" w:rsidR="00F66EC6" w:rsidRDefault="00B24361">
      <w:pPr>
        <w:pStyle w:val="TOC1"/>
        <w:tabs>
          <w:tab w:val="left" w:pos="993"/>
        </w:tabs>
        <w:rPr>
          <w:rFonts w:eastAsiaTheme="minorEastAsia" w:cstheme="minorBidi"/>
          <w:noProof/>
          <w:szCs w:val="22"/>
        </w:rPr>
      </w:pPr>
      <w:hyperlink w:anchor="_Toc121415082" w:history="1">
        <w:r w:rsidR="00F66EC6" w:rsidRPr="00520F7A">
          <w:rPr>
            <w:rStyle w:val="Hyperlink"/>
            <w:noProof/>
          </w:rPr>
          <w:t>6</w:t>
        </w:r>
        <w:r w:rsidR="00F66EC6">
          <w:rPr>
            <w:rFonts w:eastAsiaTheme="minorEastAsia" w:cstheme="minorBidi"/>
            <w:noProof/>
            <w:szCs w:val="22"/>
          </w:rPr>
          <w:tab/>
        </w:r>
        <w:r w:rsidR="00F66EC6" w:rsidRPr="00520F7A">
          <w:rPr>
            <w:rStyle w:val="Hyperlink"/>
            <w:noProof/>
          </w:rPr>
          <w:t>Discussion</w:t>
        </w:r>
        <w:r w:rsidR="00F66EC6">
          <w:rPr>
            <w:noProof/>
            <w:webHidden/>
          </w:rPr>
          <w:tab/>
        </w:r>
        <w:r w:rsidR="00F66EC6">
          <w:rPr>
            <w:noProof/>
            <w:webHidden/>
          </w:rPr>
          <w:fldChar w:fldCharType="begin"/>
        </w:r>
        <w:r w:rsidR="00F66EC6">
          <w:rPr>
            <w:noProof/>
            <w:webHidden/>
          </w:rPr>
          <w:instrText xml:space="preserve"> PAGEREF _Toc121415082 \h </w:instrText>
        </w:r>
        <w:r w:rsidR="00F66EC6">
          <w:rPr>
            <w:noProof/>
            <w:webHidden/>
          </w:rPr>
        </w:r>
        <w:r w:rsidR="00F66EC6">
          <w:rPr>
            <w:noProof/>
            <w:webHidden/>
          </w:rPr>
          <w:fldChar w:fldCharType="separate"/>
        </w:r>
        <w:r w:rsidR="00296988">
          <w:rPr>
            <w:noProof/>
            <w:webHidden/>
          </w:rPr>
          <w:t>59</w:t>
        </w:r>
        <w:r w:rsidR="00F66EC6">
          <w:rPr>
            <w:noProof/>
            <w:webHidden/>
          </w:rPr>
          <w:fldChar w:fldCharType="end"/>
        </w:r>
      </w:hyperlink>
    </w:p>
    <w:p w14:paraId="27CAE561" w14:textId="48CB53B3" w:rsidR="00F66EC6" w:rsidRDefault="00B24361">
      <w:pPr>
        <w:pStyle w:val="TOC2"/>
        <w:tabs>
          <w:tab w:val="right" w:leader="dot" w:pos="9855"/>
        </w:tabs>
        <w:rPr>
          <w:rFonts w:eastAsiaTheme="minorEastAsia" w:cstheme="minorBidi"/>
          <w:noProof/>
          <w:szCs w:val="22"/>
        </w:rPr>
      </w:pPr>
      <w:hyperlink w:anchor="_Toc121415083" w:history="1">
        <w:r w:rsidR="00F66EC6" w:rsidRPr="00520F7A">
          <w:rPr>
            <w:rStyle w:val="Hyperlink"/>
            <w:noProof/>
          </w:rPr>
          <w:t>6.1</w:t>
        </w:r>
        <w:r w:rsidR="00F66EC6">
          <w:rPr>
            <w:rFonts w:eastAsiaTheme="minorEastAsia" w:cstheme="minorBidi"/>
            <w:noProof/>
            <w:szCs w:val="22"/>
          </w:rPr>
          <w:tab/>
        </w:r>
        <w:r w:rsidR="00F66EC6" w:rsidRPr="00520F7A">
          <w:rPr>
            <w:rStyle w:val="Hyperlink"/>
            <w:noProof/>
          </w:rPr>
          <w:t>Conclusion</w:t>
        </w:r>
        <w:r w:rsidR="00F66EC6">
          <w:rPr>
            <w:noProof/>
            <w:webHidden/>
          </w:rPr>
          <w:tab/>
        </w:r>
        <w:r w:rsidR="00F66EC6">
          <w:rPr>
            <w:noProof/>
            <w:webHidden/>
          </w:rPr>
          <w:fldChar w:fldCharType="begin"/>
        </w:r>
        <w:r w:rsidR="00F66EC6">
          <w:rPr>
            <w:noProof/>
            <w:webHidden/>
          </w:rPr>
          <w:instrText xml:space="preserve"> PAGEREF _Toc121415083 \h </w:instrText>
        </w:r>
        <w:r w:rsidR="00F66EC6">
          <w:rPr>
            <w:noProof/>
            <w:webHidden/>
          </w:rPr>
        </w:r>
        <w:r w:rsidR="00F66EC6">
          <w:rPr>
            <w:noProof/>
            <w:webHidden/>
          </w:rPr>
          <w:fldChar w:fldCharType="separate"/>
        </w:r>
        <w:r w:rsidR="00296988">
          <w:rPr>
            <w:noProof/>
            <w:webHidden/>
          </w:rPr>
          <w:t>60</w:t>
        </w:r>
        <w:r w:rsidR="00F66EC6">
          <w:rPr>
            <w:noProof/>
            <w:webHidden/>
          </w:rPr>
          <w:fldChar w:fldCharType="end"/>
        </w:r>
      </w:hyperlink>
    </w:p>
    <w:p w14:paraId="2DCE93DB" w14:textId="0EA2EAF6" w:rsidR="00F66EC6" w:rsidRDefault="00B24361">
      <w:pPr>
        <w:pStyle w:val="TOC1"/>
        <w:rPr>
          <w:rFonts w:eastAsiaTheme="minorEastAsia" w:cstheme="minorBidi"/>
          <w:noProof/>
          <w:szCs w:val="22"/>
        </w:rPr>
      </w:pPr>
      <w:hyperlink w:anchor="_Toc121415084" w:history="1">
        <w:r w:rsidR="00F66EC6" w:rsidRPr="00520F7A">
          <w:rPr>
            <w:rStyle w:val="Hyperlink"/>
            <w:noProof/>
          </w:rPr>
          <w:t>References</w:t>
        </w:r>
        <w:r w:rsidR="00F66EC6">
          <w:rPr>
            <w:noProof/>
            <w:webHidden/>
          </w:rPr>
          <w:tab/>
        </w:r>
        <w:r w:rsidR="00F66EC6">
          <w:rPr>
            <w:noProof/>
            <w:webHidden/>
          </w:rPr>
          <w:fldChar w:fldCharType="begin"/>
        </w:r>
        <w:r w:rsidR="00F66EC6">
          <w:rPr>
            <w:noProof/>
            <w:webHidden/>
          </w:rPr>
          <w:instrText xml:space="preserve"> PAGEREF _Toc121415084 \h </w:instrText>
        </w:r>
        <w:r w:rsidR="00F66EC6">
          <w:rPr>
            <w:noProof/>
            <w:webHidden/>
          </w:rPr>
        </w:r>
        <w:r w:rsidR="00F66EC6">
          <w:rPr>
            <w:noProof/>
            <w:webHidden/>
          </w:rPr>
          <w:fldChar w:fldCharType="separate"/>
        </w:r>
        <w:r w:rsidR="00296988">
          <w:rPr>
            <w:noProof/>
            <w:webHidden/>
          </w:rPr>
          <w:t>61</w:t>
        </w:r>
        <w:r w:rsidR="00F66EC6">
          <w:rPr>
            <w:noProof/>
            <w:webHidden/>
          </w:rPr>
          <w:fldChar w:fldCharType="end"/>
        </w:r>
      </w:hyperlink>
    </w:p>
    <w:p w14:paraId="5776FB50" w14:textId="7247A80D" w:rsidR="004F294D" w:rsidRDefault="00D9484E">
      <w:r>
        <w:fldChar w:fldCharType="end"/>
      </w:r>
    </w:p>
    <w:p w14:paraId="40F870A1" w14:textId="711D04FA" w:rsidR="00892ADC" w:rsidRPr="00A507A0" w:rsidRDefault="007A06FE" w:rsidP="002C45FB">
      <w:pPr>
        <w:pStyle w:val="TOCHeading"/>
      </w:pPr>
      <w:bookmarkStart w:id="66" w:name="_Toc500316964"/>
      <w:bookmarkStart w:id="67" w:name="_Toc500597338"/>
      <w:bookmarkStart w:id="68" w:name="_Toc501280358"/>
      <w:bookmarkStart w:id="69" w:name="_Toc501379991"/>
      <w:bookmarkStart w:id="70" w:name="_Toc508996179"/>
      <w:bookmarkStart w:id="71" w:name="_Toc526244521"/>
      <w:bookmarkStart w:id="72" w:name="_Toc526261277"/>
      <w:bookmarkStart w:id="73" w:name="_Toc526264211"/>
      <w:bookmarkStart w:id="74" w:name="_Toc526276009"/>
      <w:bookmarkStart w:id="75" w:name="_Toc526333072"/>
      <w:bookmarkStart w:id="76" w:name="_Toc526333430"/>
      <w:bookmarkStart w:id="77" w:name="_Toc790246"/>
      <w:bookmarkStart w:id="78" w:name="_Toc14887524"/>
      <w:bookmarkStart w:id="79" w:name="_Toc14947149"/>
      <w:bookmarkStart w:id="80" w:name="_Toc72866291"/>
      <w:bookmarkStart w:id="81" w:name="_Toc72867022"/>
      <w:bookmarkStart w:id="82" w:name="_Toc72867112"/>
      <w:bookmarkStart w:id="83" w:name="_Toc72878059"/>
      <w:bookmarkStart w:id="84" w:name="_Toc72882876"/>
      <w:bookmarkStart w:id="85" w:name="_Toc72882940"/>
      <w:bookmarkStart w:id="86" w:name="_Toc72883017"/>
      <w:bookmarkStart w:id="87" w:name="_Toc72883298"/>
      <w:bookmarkStart w:id="88" w:name="_Toc72883669"/>
      <w:bookmarkStart w:id="89" w:name="_Toc73023724"/>
      <w:bookmarkStart w:id="90" w:name="_Toc73127950"/>
      <w:bookmarkStart w:id="91" w:name="_Toc73208533"/>
      <w:bookmarkStart w:id="92" w:name="_Toc73219656"/>
      <w:bookmarkStart w:id="93" w:name="_Toc73220458"/>
      <w:bookmarkStart w:id="94" w:name="_Toc73220650"/>
      <w:bookmarkStart w:id="95" w:name="_Toc73236944"/>
      <w:bookmarkStart w:id="96" w:name="_Toc73302436"/>
      <w:bookmarkStart w:id="97" w:name="_Toc73309957"/>
      <w:bookmarkStart w:id="98" w:name="_Toc73310066"/>
      <w:bookmarkStart w:id="99" w:name="_Toc73310122"/>
      <w:bookmarkStart w:id="100" w:name="_Toc73310191"/>
      <w:bookmarkStart w:id="101" w:name="_Toc73310311"/>
      <w:bookmarkStart w:id="102" w:name="_Toc73314263"/>
      <w:bookmarkStart w:id="103" w:name="_Toc73325940"/>
      <w:bookmarkStart w:id="104" w:name="_Toc73345941"/>
      <w:bookmarkStart w:id="105" w:name="_Toc73390432"/>
      <w:bookmarkStart w:id="106" w:name="_Toc73643141"/>
      <w:bookmarkStart w:id="107" w:name="_Toc73652255"/>
      <w:bookmarkStart w:id="108" w:name="_Toc73719358"/>
      <w:bookmarkStart w:id="109" w:name="_Toc79276459"/>
      <w:bookmarkStart w:id="110" w:name="_Toc79618366"/>
      <w:bookmarkStart w:id="111" w:name="_Toc79865942"/>
      <w:bookmarkStart w:id="112" w:name="_Toc80134620"/>
      <w:bookmarkStart w:id="113" w:name="_Toc80135304"/>
      <w:bookmarkStart w:id="114" w:name="_Toc80183838"/>
      <w:bookmarkStart w:id="115" w:name="_Toc89070762"/>
      <w:bookmarkStart w:id="116" w:name="_Toc89161042"/>
      <w:bookmarkStart w:id="117" w:name="_Toc99118995"/>
      <w:bookmarkStart w:id="118" w:name="_Toc102567744"/>
      <w:r w:rsidRPr="00A507A0">
        <w:lastRenderedPageBreak/>
        <w:t>List of figures</w:t>
      </w:r>
      <w:bookmarkEnd w:id="17"/>
      <w:bookmarkEnd w:id="1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FAFE266" w14:textId="08450396" w:rsidR="00F66EC6" w:rsidRDefault="002947DF">
      <w:pPr>
        <w:pStyle w:val="TableofFigures"/>
        <w:tabs>
          <w:tab w:val="left" w:pos="993"/>
          <w:tab w:val="right" w:leader="dot" w:pos="9855"/>
        </w:tabs>
        <w:rPr>
          <w:rFonts w:eastAsiaTheme="minorEastAsia" w:cstheme="minorBidi"/>
          <w:noProof/>
          <w:szCs w:val="22"/>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121415167" w:history="1">
        <w:r w:rsidR="00F66EC6" w:rsidRPr="001B02A7">
          <w:rPr>
            <w:rStyle w:val="Hyperlink"/>
            <w:rFonts w:eastAsiaTheme="majorEastAsia"/>
            <w:noProof/>
          </w:rPr>
          <w:t>Figure 1</w:t>
        </w:r>
        <w:r w:rsidR="00F66EC6">
          <w:rPr>
            <w:rFonts w:eastAsiaTheme="minorEastAsia" w:cstheme="minorBidi"/>
            <w:noProof/>
            <w:szCs w:val="22"/>
          </w:rPr>
          <w:tab/>
        </w:r>
        <w:r w:rsidR="00F66EC6" w:rsidRPr="001B02A7">
          <w:rPr>
            <w:rStyle w:val="Hyperlink"/>
            <w:rFonts w:eastAsiaTheme="majorEastAsia" w:cstheme="minorHAnsi"/>
            <w:noProof/>
            <w:shd w:val="clear" w:color="auto" w:fill="FFFFFF"/>
          </w:rPr>
          <w:t>Woman-centred care - values and principles</w:t>
        </w:r>
        <w:r w:rsidR="00F66EC6">
          <w:rPr>
            <w:noProof/>
            <w:webHidden/>
          </w:rPr>
          <w:tab/>
        </w:r>
        <w:r w:rsidR="00F66EC6">
          <w:rPr>
            <w:noProof/>
            <w:webHidden/>
          </w:rPr>
          <w:fldChar w:fldCharType="begin"/>
        </w:r>
        <w:r w:rsidR="00F66EC6">
          <w:rPr>
            <w:noProof/>
            <w:webHidden/>
          </w:rPr>
          <w:instrText xml:space="preserve"> PAGEREF _Toc121415167 \h </w:instrText>
        </w:r>
        <w:r w:rsidR="00F66EC6">
          <w:rPr>
            <w:noProof/>
            <w:webHidden/>
          </w:rPr>
        </w:r>
        <w:r w:rsidR="00F66EC6">
          <w:rPr>
            <w:noProof/>
            <w:webHidden/>
          </w:rPr>
          <w:fldChar w:fldCharType="separate"/>
        </w:r>
        <w:r w:rsidR="00296988">
          <w:rPr>
            <w:noProof/>
            <w:webHidden/>
          </w:rPr>
          <w:t>6</w:t>
        </w:r>
        <w:r w:rsidR="00F66EC6">
          <w:rPr>
            <w:noProof/>
            <w:webHidden/>
          </w:rPr>
          <w:fldChar w:fldCharType="end"/>
        </w:r>
      </w:hyperlink>
    </w:p>
    <w:p w14:paraId="098D225F" w14:textId="5EC5A77D" w:rsidR="00F66EC6" w:rsidRDefault="00B24361">
      <w:pPr>
        <w:pStyle w:val="TableofFigures"/>
        <w:tabs>
          <w:tab w:val="left" w:pos="993"/>
          <w:tab w:val="right" w:leader="dot" w:pos="9855"/>
        </w:tabs>
        <w:rPr>
          <w:rFonts w:eastAsiaTheme="minorEastAsia" w:cstheme="minorBidi"/>
          <w:noProof/>
          <w:szCs w:val="22"/>
        </w:rPr>
      </w:pPr>
      <w:hyperlink w:anchor="_Toc121415168" w:history="1">
        <w:r w:rsidR="00F66EC6" w:rsidRPr="001B02A7">
          <w:rPr>
            <w:rStyle w:val="Hyperlink"/>
            <w:rFonts w:eastAsiaTheme="majorEastAsia"/>
            <w:noProof/>
          </w:rPr>
          <w:t>Figure 2</w:t>
        </w:r>
        <w:r w:rsidR="00F66EC6">
          <w:rPr>
            <w:rFonts w:eastAsiaTheme="minorEastAsia" w:cstheme="minorBidi"/>
            <w:noProof/>
            <w:szCs w:val="22"/>
          </w:rPr>
          <w:tab/>
        </w:r>
        <w:r w:rsidR="00F66EC6" w:rsidRPr="001B02A7">
          <w:rPr>
            <w:rStyle w:val="Hyperlink"/>
            <w:rFonts w:eastAsiaTheme="majorEastAsia" w:cstheme="minorHAnsi"/>
            <w:noProof/>
            <w:shd w:val="clear" w:color="auto" w:fill="FFFFFF"/>
          </w:rPr>
          <w:t xml:space="preserve">Examples of </w:t>
        </w:r>
        <w:r w:rsidR="00F66EC6" w:rsidRPr="001B02A7">
          <w:rPr>
            <w:rStyle w:val="Hyperlink"/>
            <w:rFonts w:eastAsiaTheme="majorEastAsia"/>
            <w:noProof/>
            <w:lang w:eastAsia="zh-CN"/>
          </w:rPr>
          <w:t>national and international policies and frameworks that align with the Strategy</w:t>
        </w:r>
        <w:r w:rsidR="00F66EC6">
          <w:rPr>
            <w:noProof/>
            <w:webHidden/>
          </w:rPr>
          <w:tab/>
        </w:r>
        <w:r w:rsidR="00F66EC6">
          <w:rPr>
            <w:noProof/>
            <w:webHidden/>
          </w:rPr>
          <w:fldChar w:fldCharType="begin"/>
        </w:r>
        <w:r w:rsidR="00F66EC6">
          <w:rPr>
            <w:noProof/>
            <w:webHidden/>
          </w:rPr>
          <w:instrText xml:space="preserve"> PAGEREF _Toc121415168 \h </w:instrText>
        </w:r>
        <w:r w:rsidR="00F66EC6">
          <w:rPr>
            <w:noProof/>
            <w:webHidden/>
          </w:rPr>
        </w:r>
        <w:r w:rsidR="00F66EC6">
          <w:rPr>
            <w:noProof/>
            <w:webHidden/>
          </w:rPr>
          <w:fldChar w:fldCharType="separate"/>
        </w:r>
        <w:r w:rsidR="00296988">
          <w:rPr>
            <w:noProof/>
            <w:webHidden/>
          </w:rPr>
          <w:t>7</w:t>
        </w:r>
        <w:r w:rsidR="00F66EC6">
          <w:rPr>
            <w:noProof/>
            <w:webHidden/>
          </w:rPr>
          <w:fldChar w:fldCharType="end"/>
        </w:r>
      </w:hyperlink>
    </w:p>
    <w:p w14:paraId="066C5CA6" w14:textId="14CF616D" w:rsidR="00F66EC6" w:rsidRDefault="00B24361">
      <w:pPr>
        <w:pStyle w:val="TableofFigures"/>
        <w:tabs>
          <w:tab w:val="left" w:pos="993"/>
          <w:tab w:val="right" w:leader="dot" w:pos="9855"/>
        </w:tabs>
        <w:rPr>
          <w:rFonts w:eastAsiaTheme="minorEastAsia" w:cstheme="minorBidi"/>
          <w:noProof/>
          <w:szCs w:val="22"/>
        </w:rPr>
      </w:pPr>
      <w:hyperlink w:anchor="_Toc121415169" w:history="1">
        <w:r w:rsidR="00F66EC6" w:rsidRPr="001B02A7">
          <w:rPr>
            <w:rStyle w:val="Hyperlink"/>
            <w:rFonts w:eastAsiaTheme="majorEastAsia"/>
            <w:noProof/>
          </w:rPr>
          <w:t>Figure 3</w:t>
        </w:r>
        <w:r w:rsidR="00F66EC6">
          <w:rPr>
            <w:rFonts w:eastAsiaTheme="minorEastAsia" w:cstheme="minorBidi"/>
            <w:noProof/>
            <w:szCs w:val="22"/>
          </w:rPr>
          <w:tab/>
        </w:r>
        <w:r w:rsidR="00F66EC6" w:rsidRPr="001B02A7">
          <w:rPr>
            <w:rStyle w:val="Hyperlink"/>
            <w:rFonts w:eastAsiaTheme="majorEastAsia"/>
            <w:noProof/>
          </w:rPr>
          <w:t>Sites participating in the National Preterm Birth Prevention Collaborative, as at September 2022</w:t>
        </w:r>
        <w:r w:rsidR="00F66EC6">
          <w:rPr>
            <w:noProof/>
            <w:webHidden/>
          </w:rPr>
          <w:tab/>
        </w:r>
        <w:r w:rsidR="00F66EC6">
          <w:rPr>
            <w:noProof/>
            <w:webHidden/>
          </w:rPr>
          <w:fldChar w:fldCharType="begin"/>
        </w:r>
        <w:r w:rsidR="00F66EC6">
          <w:rPr>
            <w:noProof/>
            <w:webHidden/>
          </w:rPr>
          <w:instrText xml:space="preserve"> PAGEREF _Toc121415169 \h </w:instrText>
        </w:r>
        <w:r w:rsidR="00F66EC6">
          <w:rPr>
            <w:noProof/>
            <w:webHidden/>
          </w:rPr>
        </w:r>
        <w:r w:rsidR="00F66EC6">
          <w:rPr>
            <w:noProof/>
            <w:webHidden/>
          </w:rPr>
          <w:fldChar w:fldCharType="separate"/>
        </w:r>
        <w:r w:rsidR="00296988">
          <w:rPr>
            <w:noProof/>
            <w:webHidden/>
          </w:rPr>
          <w:t>20</w:t>
        </w:r>
        <w:r w:rsidR="00F66EC6">
          <w:rPr>
            <w:noProof/>
            <w:webHidden/>
          </w:rPr>
          <w:fldChar w:fldCharType="end"/>
        </w:r>
      </w:hyperlink>
    </w:p>
    <w:p w14:paraId="062B0062" w14:textId="12FDA89D" w:rsidR="00F66EC6" w:rsidRDefault="00B24361">
      <w:pPr>
        <w:pStyle w:val="TableofFigures"/>
        <w:tabs>
          <w:tab w:val="left" w:pos="993"/>
          <w:tab w:val="right" w:leader="dot" w:pos="9855"/>
        </w:tabs>
        <w:rPr>
          <w:rFonts w:eastAsiaTheme="minorEastAsia" w:cstheme="minorBidi"/>
          <w:noProof/>
          <w:szCs w:val="22"/>
        </w:rPr>
      </w:pPr>
      <w:hyperlink w:anchor="_Toc121415170" w:history="1">
        <w:r w:rsidR="00F66EC6" w:rsidRPr="001B02A7">
          <w:rPr>
            <w:rStyle w:val="Hyperlink"/>
            <w:rFonts w:eastAsiaTheme="majorEastAsia"/>
            <w:noProof/>
          </w:rPr>
          <w:t>Figure 4</w:t>
        </w:r>
        <w:r w:rsidR="00F66EC6">
          <w:rPr>
            <w:rFonts w:eastAsiaTheme="minorEastAsia" w:cstheme="minorBidi"/>
            <w:noProof/>
            <w:szCs w:val="22"/>
          </w:rPr>
          <w:tab/>
        </w:r>
        <w:r w:rsidR="00F66EC6" w:rsidRPr="001B02A7">
          <w:rPr>
            <w:rStyle w:val="Hyperlink"/>
            <w:rFonts w:eastAsiaTheme="majorEastAsia"/>
            <w:noProof/>
          </w:rPr>
          <w:t xml:space="preserve"> Location of sites and services supported by the Molly Wardaguga Research Centre</w:t>
        </w:r>
        <w:r w:rsidR="00F66EC6">
          <w:rPr>
            <w:noProof/>
            <w:webHidden/>
          </w:rPr>
          <w:tab/>
        </w:r>
        <w:r w:rsidR="00F66EC6">
          <w:rPr>
            <w:noProof/>
            <w:webHidden/>
          </w:rPr>
          <w:fldChar w:fldCharType="begin"/>
        </w:r>
        <w:r w:rsidR="00F66EC6">
          <w:rPr>
            <w:noProof/>
            <w:webHidden/>
          </w:rPr>
          <w:instrText xml:space="preserve"> PAGEREF _Toc121415170 \h </w:instrText>
        </w:r>
        <w:r w:rsidR="00F66EC6">
          <w:rPr>
            <w:noProof/>
            <w:webHidden/>
          </w:rPr>
        </w:r>
        <w:r w:rsidR="00F66EC6">
          <w:rPr>
            <w:noProof/>
            <w:webHidden/>
          </w:rPr>
          <w:fldChar w:fldCharType="separate"/>
        </w:r>
        <w:r w:rsidR="00296988">
          <w:rPr>
            <w:noProof/>
            <w:webHidden/>
          </w:rPr>
          <w:t>27</w:t>
        </w:r>
        <w:r w:rsidR="00F66EC6">
          <w:rPr>
            <w:noProof/>
            <w:webHidden/>
          </w:rPr>
          <w:fldChar w:fldCharType="end"/>
        </w:r>
      </w:hyperlink>
    </w:p>
    <w:p w14:paraId="3ABA6C4B" w14:textId="5FE25891" w:rsidR="00F66EC6" w:rsidRDefault="00B24361">
      <w:pPr>
        <w:pStyle w:val="TableofFigures"/>
        <w:tabs>
          <w:tab w:val="left" w:pos="993"/>
          <w:tab w:val="right" w:leader="dot" w:pos="9855"/>
        </w:tabs>
        <w:rPr>
          <w:rFonts w:eastAsiaTheme="minorEastAsia" w:cstheme="minorBidi"/>
          <w:noProof/>
          <w:szCs w:val="22"/>
        </w:rPr>
      </w:pPr>
      <w:hyperlink w:anchor="_Toc121415171" w:history="1">
        <w:r w:rsidR="00F66EC6" w:rsidRPr="001B02A7">
          <w:rPr>
            <w:rStyle w:val="Hyperlink"/>
            <w:rFonts w:eastAsiaTheme="majorEastAsia"/>
            <w:noProof/>
          </w:rPr>
          <w:t>Figure 5</w:t>
        </w:r>
        <w:r w:rsidR="00F66EC6">
          <w:rPr>
            <w:rFonts w:eastAsiaTheme="minorEastAsia" w:cstheme="minorBidi"/>
            <w:noProof/>
            <w:szCs w:val="22"/>
          </w:rPr>
          <w:tab/>
        </w:r>
        <w:r w:rsidR="00F66EC6" w:rsidRPr="001B02A7">
          <w:rPr>
            <w:rStyle w:val="Hyperlink"/>
            <w:rFonts w:eastAsiaTheme="majorEastAsia"/>
            <w:noProof/>
          </w:rPr>
          <w:t>Preliminary findings of the National Birth Experiences Study, 2021</w:t>
        </w:r>
        <w:r w:rsidR="00F66EC6">
          <w:rPr>
            <w:noProof/>
            <w:webHidden/>
          </w:rPr>
          <w:tab/>
        </w:r>
        <w:r w:rsidR="00F66EC6">
          <w:rPr>
            <w:noProof/>
            <w:webHidden/>
          </w:rPr>
          <w:fldChar w:fldCharType="begin"/>
        </w:r>
        <w:r w:rsidR="00F66EC6">
          <w:rPr>
            <w:noProof/>
            <w:webHidden/>
          </w:rPr>
          <w:instrText xml:space="preserve"> PAGEREF _Toc121415171 \h </w:instrText>
        </w:r>
        <w:r w:rsidR="00F66EC6">
          <w:rPr>
            <w:noProof/>
            <w:webHidden/>
          </w:rPr>
        </w:r>
        <w:r w:rsidR="00F66EC6">
          <w:rPr>
            <w:noProof/>
            <w:webHidden/>
          </w:rPr>
          <w:fldChar w:fldCharType="separate"/>
        </w:r>
        <w:r w:rsidR="00296988">
          <w:rPr>
            <w:noProof/>
            <w:webHidden/>
          </w:rPr>
          <w:t>29</w:t>
        </w:r>
        <w:r w:rsidR="00F66EC6">
          <w:rPr>
            <w:noProof/>
            <w:webHidden/>
          </w:rPr>
          <w:fldChar w:fldCharType="end"/>
        </w:r>
      </w:hyperlink>
    </w:p>
    <w:p w14:paraId="1CD95808" w14:textId="28F2009A" w:rsidR="00F66EC6" w:rsidRDefault="00B24361">
      <w:pPr>
        <w:pStyle w:val="TableofFigures"/>
        <w:tabs>
          <w:tab w:val="left" w:pos="993"/>
          <w:tab w:val="right" w:leader="dot" w:pos="9855"/>
        </w:tabs>
        <w:rPr>
          <w:rFonts w:eastAsiaTheme="minorEastAsia" w:cstheme="minorBidi"/>
          <w:noProof/>
          <w:szCs w:val="22"/>
        </w:rPr>
      </w:pPr>
      <w:hyperlink w:anchor="_Toc121415172" w:history="1">
        <w:r w:rsidR="00F66EC6" w:rsidRPr="001B02A7">
          <w:rPr>
            <w:rStyle w:val="Hyperlink"/>
            <w:rFonts w:eastAsiaTheme="majorEastAsia"/>
            <w:noProof/>
          </w:rPr>
          <w:t>Figure 6</w:t>
        </w:r>
        <w:r w:rsidR="00F66EC6">
          <w:rPr>
            <w:rFonts w:eastAsiaTheme="minorEastAsia" w:cstheme="minorBidi"/>
            <w:noProof/>
            <w:szCs w:val="22"/>
          </w:rPr>
          <w:tab/>
        </w:r>
        <w:r w:rsidR="00F66EC6" w:rsidRPr="001B02A7">
          <w:rPr>
            <w:rStyle w:val="Hyperlink"/>
            <w:rFonts w:eastAsiaTheme="majorEastAsia"/>
            <w:noProof/>
          </w:rPr>
          <w:t>Smoking in first 20 weeks, all women giving birth (PI01a), by mother's age, 2011-2019</w:t>
        </w:r>
        <w:r w:rsidR="00F66EC6">
          <w:rPr>
            <w:noProof/>
            <w:webHidden/>
          </w:rPr>
          <w:tab/>
        </w:r>
        <w:r w:rsidR="00F66EC6">
          <w:rPr>
            <w:noProof/>
            <w:webHidden/>
          </w:rPr>
          <w:fldChar w:fldCharType="begin"/>
        </w:r>
        <w:r w:rsidR="00F66EC6">
          <w:rPr>
            <w:noProof/>
            <w:webHidden/>
          </w:rPr>
          <w:instrText xml:space="preserve"> PAGEREF _Toc121415172 \h </w:instrText>
        </w:r>
        <w:r w:rsidR="00F66EC6">
          <w:rPr>
            <w:noProof/>
            <w:webHidden/>
          </w:rPr>
        </w:r>
        <w:r w:rsidR="00F66EC6">
          <w:rPr>
            <w:noProof/>
            <w:webHidden/>
          </w:rPr>
          <w:fldChar w:fldCharType="separate"/>
        </w:r>
        <w:r w:rsidR="00296988">
          <w:rPr>
            <w:noProof/>
            <w:webHidden/>
          </w:rPr>
          <w:t>33</w:t>
        </w:r>
        <w:r w:rsidR="00F66EC6">
          <w:rPr>
            <w:noProof/>
            <w:webHidden/>
          </w:rPr>
          <w:fldChar w:fldCharType="end"/>
        </w:r>
      </w:hyperlink>
    </w:p>
    <w:p w14:paraId="5912FC21" w14:textId="1C178D51" w:rsidR="00F66EC6" w:rsidRDefault="00B24361">
      <w:pPr>
        <w:pStyle w:val="TableofFigures"/>
        <w:tabs>
          <w:tab w:val="left" w:pos="993"/>
          <w:tab w:val="right" w:leader="dot" w:pos="9855"/>
        </w:tabs>
        <w:rPr>
          <w:rFonts w:eastAsiaTheme="minorEastAsia" w:cstheme="minorBidi"/>
          <w:noProof/>
          <w:szCs w:val="22"/>
        </w:rPr>
      </w:pPr>
      <w:hyperlink w:anchor="_Toc121415173" w:history="1">
        <w:r w:rsidR="00F66EC6" w:rsidRPr="001B02A7">
          <w:rPr>
            <w:rStyle w:val="Hyperlink"/>
            <w:rFonts w:eastAsiaTheme="majorEastAsia"/>
            <w:noProof/>
          </w:rPr>
          <w:t>Figure 7</w:t>
        </w:r>
        <w:r w:rsidR="00F66EC6">
          <w:rPr>
            <w:rFonts w:eastAsiaTheme="minorEastAsia" w:cstheme="minorBidi"/>
            <w:noProof/>
            <w:szCs w:val="22"/>
          </w:rPr>
          <w:tab/>
        </w:r>
        <w:r w:rsidR="00F66EC6" w:rsidRPr="001B02A7">
          <w:rPr>
            <w:rStyle w:val="Hyperlink"/>
            <w:rFonts w:eastAsiaTheme="majorEastAsia"/>
            <w:noProof/>
          </w:rPr>
          <w:t>Smoking after first 20 weeks of pregnancy, all women giving birth who reported smoking during pregnancy (PI01b), by mother's Indigenous status, 2011–2019</w:t>
        </w:r>
        <w:r w:rsidR="00F66EC6">
          <w:rPr>
            <w:noProof/>
            <w:webHidden/>
          </w:rPr>
          <w:tab/>
        </w:r>
        <w:r w:rsidR="00F66EC6">
          <w:rPr>
            <w:noProof/>
            <w:webHidden/>
          </w:rPr>
          <w:fldChar w:fldCharType="begin"/>
        </w:r>
        <w:r w:rsidR="00F66EC6">
          <w:rPr>
            <w:noProof/>
            <w:webHidden/>
          </w:rPr>
          <w:instrText xml:space="preserve"> PAGEREF _Toc121415173 \h </w:instrText>
        </w:r>
        <w:r w:rsidR="00F66EC6">
          <w:rPr>
            <w:noProof/>
            <w:webHidden/>
          </w:rPr>
        </w:r>
        <w:r w:rsidR="00F66EC6">
          <w:rPr>
            <w:noProof/>
            <w:webHidden/>
          </w:rPr>
          <w:fldChar w:fldCharType="separate"/>
        </w:r>
        <w:r w:rsidR="00296988">
          <w:rPr>
            <w:noProof/>
            <w:webHidden/>
          </w:rPr>
          <w:t>34</w:t>
        </w:r>
        <w:r w:rsidR="00F66EC6">
          <w:rPr>
            <w:noProof/>
            <w:webHidden/>
          </w:rPr>
          <w:fldChar w:fldCharType="end"/>
        </w:r>
      </w:hyperlink>
    </w:p>
    <w:p w14:paraId="485F53EE" w14:textId="478A22D9" w:rsidR="00F66EC6" w:rsidRDefault="00B24361">
      <w:pPr>
        <w:pStyle w:val="TableofFigures"/>
        <w:tabs>
          <w:tab w:val="left" w:pos="993"/>
          <w:tab w:val="right" w:leader="dot" w:pos="9855"/>
        </w:tabs>
        <w:rPr>
          <w:rFonts w:eastAsiaTheme="minorEastAsia" w:cstheme="minorBidi"/>
          <w:noProof/>
          <w:szCs w:val="22"/>
        </w:rPr>
      </w:pPr>
      <w:hyperlink w:anchor="_Toc121415174" w:history="1">
        <w:r w:rsidR="00F66EC6" w:rsidRPr="001B02A7">
          <w:rPr>
            <w:rStyle w:val="Hyperlink"/>
            <w:rFonts w:eastAsiaTheme="majorEastAsia"/>
            <w:noProof/>
          </w:rPr>
          <w:t>Figure 8</w:t>
        </w:r>
        <w:r w:rsidR="00F66EC6">
          <w:rPr>
            <w:rFonts w:eastAsiaTheme="minorEastAsia" w:cstheme="minorBidi"/>
            <w:noProof/>
            <w:szCs w:val="22"/>
          </w:rPr>
          <w:tab/>
        </w:r>
        <w:r w:rsidR="00F66EC6" w:rsidRPr="001B02A7">
          <w:rPr>
            <w:rStyle w:val="Hyperlink"/>
            <w:rFonts w:eastAsiaTheme="majorEastAsia"/>
            <w:noProof/>
          </w:rPr>
          <w:t>Antenatal care visits in the first trimester of pregnancy, all women giving birth (PI02a), by hospital sector, 2011–2019</w:t>
        </w:r>
        <w:r w:rsidR="00F66EC6">
          <w:rPr>
            <w:noProof/>
            <w:webHidden/>
          </w:rPr>
          <w:tab/>
        </w:r>
        <w:r w:rsidR="00F66EC6">
          <w:rPr>
            <w:noProof/>
            <w:webHidden/>
          </w:rPr>
          <w:fldChar w:fldCharType="begin"/>
        </w:r>
        <w:r w:rsidR="00F66EC6">
          <w:rPr>
            <w:noProof/>
            <w:webHidden/>
          </w:rPr>
          <w:instrText xml:space="preserve"> PAGEREF _Toc121415174 \h </w:instrText>
        </w:r>
        <w:r w:rsidR="00F66EC6">
          <w:rPr>
            <w:noProof/>
            <w:webHidden/>
          </w:rPr>
        </w:r>
        <w:r w:rsidR="00F66EC6">
          <w:rPr>
            <w:noProof/>
            <w:webHidden/>
          </w:rPr>
          <w:fldChar w:fldCharType="separate"/>
        </w:r>
        <w:r w:rsidR="00296988">
          <w:rPr>
            <w:noProof/>
            <w:webHidden/>
          </w:rPr>
          <w:t>35</w:t>
        </w:r>
        <w:r w:rsidR="00F66EC6">
          <w:rPr>
            <w:noProof/>
            <w:webHidden/>
          </w:rPr>
          <w:fldChar w:fldCharType="end"/>
        </w:r>
      </w:hyperlink>
    </w:p>
    <w:p w14:paraId="0C23B86A" w14:textId="3C4F62B5" w:rsidR="00F66EC6" w:rsidRDefault="00B24361">
      <w:pPr>
        <w:pStyle w:val="TableofFigures"/>
        <w:tabs>
          <w:tab w:val="left" w:pos="993"/>
          <w:tab w:val="right" w:leader="dot" w:pos="9855"/>
        </w:tabs>
        <w:rPr>
          <w:rFonts w:eastAsiaTheme="minorEastAsia" w:cstheme="minorBidi"/>
          <w:noProof/>
          <w:szCs w:val="22"/>
        </w:rPr>
      </w:pPr>
      <w:hyperlink w:anchor="_Toc121415175" w:history="1">
        <w:r w:rsidR="00F66EC6" w:rsidRPr="001B02A7">
          <w:rPr>
            <w:rStyle w:val="Hyperlink"/>
            <w:rFonts w:eastAsiaTheme="majorEastAsia"/>
            <w:noProof/>
          </w:rPr>
          <w:t>Figure 9</w:t>
        </w:r>
        <w:r w:rsidR="00F66EC6">
          <w:rPr>
            <w:rFonts w:eastAsiaTheme="minorEastAsia" w:cstheme="minorBidi"/>
            <w:noProof/>
            <w:szCs w:val="22"/>
          </w:rPr>
          <w:tab/>
        </w:r>
        <w:r w:rsidR="00F66EC6" w:rsidRPr="001B02A7">
          <w:rPr>
            <w:rStyle w:val="Hyperlink"/>
            <w:rFonts w:eastAsiaTheme="majorEastAsia"/>
            <w:noProof/>
          </w:rPr>
          <w:t>Antenatal care visits in the first 10 weeks of pregnancy, all women giving birth (PI02b), by hospital sector, 2011–2019</w:t>
        </w:r>
        <w:r w:rsidR="00F66EC6">
          <w:rPr>
            <w:noProof/>
            <w:webHidden/>
          </w:rPr>
          <w:tab/>
        </w:r>
        <w:r w:rsidR="00F66EC6">
          <w:rPr>
            <w:noProof/>
            <w:webHidden/>
          </w:rPr>
          <w:fldChar w:fldCharType="begin"/>
        </w:r>
        <w:r w:rsidR="00F66EC6">
          <w:rPr>
            <w:noProof/>
            <w:webHidden/>
          </w:rPr>
          <w:instrText xml:space="preserve"> PAGEREF _Toc121415175 \h </w:instrText>
        </w:r>
        <w:r w:rsidR="00F66EC6">
          <w:rPr>
            <w:noProof/>
            <w:webHidden/>
          </w:rPr>
        </w:r>
        <w:r w:rsidR="00F66EC6">
          <w:rPr>
            <w:noProof/>
            <w:webHidden/>
          </w:rPr>
          <w:fldChar w:fldCharType="separate"/>
        </w:r>
        <w:r w:rsidR="00296988">
          <w:rPr>
            <w:noProof/>
            <w:webHidden/>
          </w:rPr>
          <w:t>35</w:t>
        </w:r>
        <w:r w:rsidR="00F66EC6">
          <w:rPr>
            <w:noProof/>
            <w:webHidden/>
          </w:rPr>
          <w:fldChar w:fldCharType="end"/>
        </w:r>
      </w:hyperlink>
    </w:p>
    <w:p w14:paraId="51668403" w14:textId="7A3ECC0B" w:rsidR="00F66EC6" w:rsidRDefault="00B24361">
      <w:pPr>
        <w:pStyle w:val="TableofFigures"/>
        <w:tabs>
          <w:tab w:val="left" w:pos="1200"/>
          <w:tab w:val="right" w:leader="dot" w:pos="9855"/>
        </w:tabs>
        <w:rPr>
          <w:rFonts w:eastAsiaTheme="minorEastAsia" w:cstheme="minorBidi"/>
          <w:noProof/>
          <w:szCs w:val="22"/>
        </w:rPr>
      </w:pPr>
      <w:hyperlink w:anchor="_Toc121415176" w:history="1">
        <w:r w:rsidR="00F66EC6" w:rsidRPr="001B02A7">
          <w:rPr>
            <w:rStyle w:val="Hyperlink"/>
            <w:rFonts w:eastAsiaTheme="majorEastAsia"/>
            <w:noProof/>
          </w:rPr>
          <w:t>Figure 10</w:t>
        </w:r>
        <w:r w:rsidR="00F66EC6">
          <w:rPr>
            <w:rFonts w:eastAsiaTheme="minorEastAsia" w:cstheme="minorBidi"/>
            <w:noProof/>
            <w:szCs w:val="22"/>
          </w:rPr>
          <w:tab/>
        </w:r>
        <w:r w:rsidR="00F66EC6" w:rsidRPr="001B02A7">
          <w:rPr>
            <w:rStyle w:val="Hyperlink"/>
            <w:rFonts w:eastAsiaTheme="majorEastAsia"/>
            <w:noProof/>
          </w:rPr>
          <w:t>Women who had five or more antenatal care visits, by age at birth, 2012–2019</w:t>
        </w:r>
        <w:r w:rsidR="00F66EC6">
          <w:rPr>
            <w:noProof/>
            <w:webHidden/>
          </w:rPr>
          <w:tab/>
        </w:r>
        <w:r w:rsidR="00F66EC6">
          <w:rPr>
            <w:noProof/>
            <w:webHidden/>
          </w:rPr>
          <w:fldChar w:fldCharType="begin"/>
        </w:r>
        <w:r w:rsidR="00F66EC6">
          <w:rPr>
            <w:noProof/>
            <w:webHidden/>
          </w:rPr>
          <w:instrText xml:space="preserve"> PAGEREF _Toc121415176 \h </w:instrText>
        </w:r>
        <w:r w:rsidR="00F66EC6">
          <w:rPr>
            <w:noProof/>
            <w:webHidden/>
          </w:rPr>
        </w:r>
        <w:r w:rsidR="00F66EC6">
          <w:rPr>
            <w:noProof/>
            <w:webHidden/>
          </w:rPr>
          <w:fldChar w:fldCharType="separate"/>
        </w:r>
        <w:r w:rsidR="00296988">
          <w:rPr>
            <w:noProof/>
            <w:webHidden/>
          </w:rPr>
          <w:t>36</w:t>
        </w:r>
        <w:r w:rsidR="00F66EC6">
          <w:rPr>
            <w:noProof/>
            <w:webHidden/>
          </w:rPr>
          <w:fldChar w:fldCharType="end"/>
        </w:r>
      </w:hyperlink>
    </w:p>
    <w:p w14:paraId="64E34832" w14:textId="28736A96" w:rsidR="00F66EC6" w:rsidRDefault="00B24361">
      <w:pPr>
        <w:pStyle w:val="TableofFigures"/>
        <w:tabs>
          <w:tab w:val="left" w:pos="1200"/>
          <w:tab w:val="right" w:leader="dot" w:pos="9855"/>
        </w:tabs>
        <w:rPr>
          <w:rFonts w:eastAsiaTheme="minorEastAsia" w:cstheme="minorBidi"/>
          <w:noProof/>
          <w:szCs w:val="22"/>
        </w:rPr>
      </w:pPr>
      <w:hyperlink w:anchor="_Toc121415177" w:history="1">
        <w:r w:rsidR="00F66EC6" w:rsidRPr="001B02A7">
          <w:rPr>
            <w:rStyle w:val="Hyperlink"/>
            <w:rFonts w:eastAsiaTheme="majorEastAsia"/>
            <w:noProof/>
          </w:rPr>
          <w:t>Figure 11</w:t>
        </w:r>
        <w:r w:rsidR="00F66EC6">
          <w:rPr>
            <w:rFonts w:eastAsiaTheme="minorEastAsia" w:cstheme="minorBidi"/>
            <w:noProof/>
            <w:szCs w:val="22"/>
          </w:rPr>
          <w:tab/>
        </w:r>
        <w:r w:rsidR="00F66EC6" w:rsidRPr="001B02A7">
          <w:rPr>
            <w:rStyle w:val="Hyperlink"/>
            <w:rFonts w:eastAsiaTheme="majorEastAsia"/>
            <w:noProof/>
          </w:rPr>
          <w:t>Onset of labour, all women giving birth, 2010–2019</w:t>
        </w:r>
        <w:r w:rsidR="00F66EC6">
          <w:rPr>
            <w:noProof/>
            <w:webHidden/>
          </w:rPr>
          <w:tab/>
        </w:r>
        <w:r w:rsidR="00F66EC6">
          <w:rPr>
            <w:noProof/>
            <w:webHidden/>
          </w:rPr>
          <w:fldChar w:fldCharType="begin"/>
        </w:r>
        <w:r w:rsidR="00F66EC6">
          <w:rPr>
            <w:noProof/>
            <w:webHidden/>
          </w:rPr>
          <w:instrText xml:space="preserve"> PAGEREF _Toc121415177 \h </w:instrText>
        </w:r>
        <w:r w:rsidR="00F66EC6">
          <w:rPr>
            <w:noProof/>
            <w:webHidden/>
          </w:rPr>
        </w:r>
        <w:r w:rsidR="00F66EC6">
          <w:rPr>
            <w:noProof/>
            <w:webHidden/>
          </w:rPr>
          <w:fldChar w:fldCharType="separate"/>
        </w:r>
        <w:r w:rsidR="00296988">
          <w:rPr>
            <w:noProof/>
            <w:webHidden/>
          </w:rPr>
          <w:t>37</w:t>
        </w:r>
        <w:r w:rsidR="00F66EC6">
          <w:rPr>
            <w:noProof/>
            <w:webHidden/>
          </w:rPr>
          <w:fldChar w:fldCharType="end"/>
        </w:r>
      </w:hyperlink>
    </w:p>
    <w:p w14:paraId="7E558F96" w14:textId="40141169" w:rsidR="00F66EC6" w:rsidRDefault="00B24361">
      <w:pPr>
        <w:pStyle w:val="TableofFigures"/>
        <w:tabs>
          <w:tab w:val="left" w:pos="1200"/>
          <w:tab w:val="right" w:leader="dot" w:pos="9855"/>
        </w:tabs>
        <w:rPr>
          <w:rFonts w:eastAsiaTheme="minorEastAsia" w:cstheme="minorBidi"/>
          <w:noProof/>
          <w:szCs w:val="22"/>
        </w:rPr>
      </w:pPr>
      <w:hyperlink w:anchor="_Toc121415178" w:history="1">
        <w:r w:rsidR="00F66EC6" w:rsidRPr="001B02A7">
          <w:rPr>
            <w:rStyle w:val="Hyperlink"/>
            <w:rFonts w:eastAsiaTheme="majorEastAsia"/>
            <w:noProof/>
          </w:rPr>
          <w:t>Figure 12</w:t>
        </w:r>
        <w:r w:rsidR="00F66EC6">
          <w:rPr>
            <w:rFonts w:eastAsiaTheme="minorEastAsia" w:cstheme="minorBidi"/>
            <w:noProof/>
            <w:szCs w:val="22"/>
          </w:rPr>
          <w:tab/>
        </w:r>
        <w:r w:rsidR="00F66EC6" w:rsidRPr="001B02A7">
          <w:rPr>
            <w:rStyle w:val="Hyperlink"/>
            <w:rFonts w:eastAsiaTheme="majorEastAsia"/>
            <w:noProof/>
          </w:rPr>
          <w:t>Induction of labour, selected women, first birth (PI05), 2011–2019</w:t>
        </w:r>
        <w:r w:rsidR="00F66EC6">
          <w:rPr>
            <w:noProof/>
            <w:webHidden/>
          </w:rPr>
          <w:tab/>
        </w:r>
        <w:r w:rsidR="00F66EC6">
          <w:rPr>
            <w:noProof/>
            <w:webHidden/>
          </w:rPr>
          <w:fldChar w:fldCharType="begin"/>
        </w:r>
        <w:r w:rsidR="00F66EC6">
          <w:rPr>
            <w:noProof/>
            <w:webHidden/>
          </w:rPr>
          <w:instrText xml:space="preserve"> PAGEREF _Toc121415178 \h </w:instrText>
        </w:r>
        <w:r w:rsidR="00F66EC6">
          <w:rPr>
            <w:noProof/>
            <w:webHidden/>
          </w:rPr>
        </w:r>
        <w:r w:rsidR="00F66EC6">
          <w:rPr>
            <w:noProof/>
            <w:webHidden/>
          </w:rPr>
          <w:fldChar w:fldCharType="separate"/>
        </w:r>
        <w:r w:rsidR="00296988">
          <w:rPr>
            <w:noProof/>
            <w:webHidden/>
          </w:rPr>
          <w:t>37</w:t>
        </w:r>
        <w:r w:rsidR="00F66EC6">
          <w:rPr>
            <w:noProof/>
            <w:webHidden/>
          </w:rPr>
          <w:fldChar w:fldCharType="end"/>
        </w:r>
      </w:hyperlink>
    </w:p>
    <w:p w14:paraId="33725D23" w14:textId="7FBC6957" w:rsidR="00F66EC6" w:rsidRDefault="00B24361">
      <w:pPr>
        <w:pStyle w:val="TableofFigures"/>
        <w:tabs>
          <w:tab w:val="left" w:pos="1200"/>
          <w:tab w:val="right" w:leader="dot" w:pos="9855"/>
        </w:tabs>
        <w:rPr>
          <w:rFonts w:eastAsiaTheme="minorEastAsia" w:cstheme="minorBidi"/>
          <w:noProof/>
          <w:szCs w:val="22"/>
        </w:rPr>
      </w:pPr>
      <w:hyperlink w:anchor="_Toc121415179" w:history="1">
        <w:r w:rsidR="00F66EC6" w:rsidRPr="001B02A7">
          <w:rPr>
            <w:rStyle w:val="Hyperlink"/>
            <w:rFonts w:eastAsiaTheme="majorEastAsia"/>
            <w:noProof/>
          </w:rPr>
          <w:t>Figure 13</w:t>
        </w:r>
        <w:r w:rsidR="00F66EC6">
          <w:rPr>
            <w:rFonts w:eastAsiaTheme="minorEastAsia" w:cstheme="minorBidi"/>
            <w:noProof/>
            <w:szCs w:val="22"/>
          </w:rPr>
          <w:tab/>
        </w:r>
        <w:r w:rsidR="00F66EC6" w:rsidRPr="001B02A7">
          <w:rPr>
            <w:rStyle w:val="Hyperlink"/>
            <w:rFonts w:eastAsiaTheme="majorEastAsia"/>
            <w:noProof/>
          </w:rPr>
          <w:t>Method of birth, all women, 2010–2019</w:t>
        </w:r>
        <w:r w:rsidR="00F66EC6">
          <w:rPr>
            <w:noProof/>
            <w:webHidden/>
          </w:rPr>
          <w:tab/>
        </w:r>
        <w:r w:rsidR="00F66EC6">
          <w:rPr>
            <w:noProof/>
            <w:webHidden/>
          </w:rPr>
          <w:fldChar w:fldCharType="begin"/>
        </w:r>
        <w:r w:rsidR="00F66EC6">
          <w:rPr>
            <w:noProof/>
            <w:webHidden/>
          </w:rPr>
          <w:instrText xml:space="preserve"> PAGEREF _Toc121415179 \h </w:instrText>
        </w:r>
        <w:r w:rsidR="00F66EC6">
          <w:rPr>
            <w:noProof/>
            <w:webHidden/>
          </w:rPr>
        </w:r>
        <w:r w:rsidR="00F66EC6">
          <w:rPr>
            <w:noProof/>
            <w:webHidden/>
          </w:rPr>
          <w:fldChar w:fldCharType="separate"/>
        </w:r>
        <w:r w:rsidR="00296988">
          <w:rPr>
            <w:noProof/>
            <w:webHidden/>
          </w:rPr>
          <w:t>38</w:t>
        </w:r>
        <w:r w:rsidR="00F66EC6">
          <w:rPr>
            <w:noProof/>
            <w:webHidden/>
          </w:rPr>
          <w:fldChar w:fldCharType="end"/>
        </w:r>
      </w:hyperlink>
    </w:p>
    <w:p w14:paraId="456BD411" w14:textId="0A9EA1A4" w:rsidR="00F66EC6" w:rsidRDefault="00B24361">
      <w:pPr>
        <w:pStyle w:val="TableofFigures"/>
        <w:tabs>
          <w:tab w:val="left" w:pos="1200"/>
          <w:tab w:val="right" w:leader="dot" w:pos="9855"/>
        </w:tabs>
        <w:rPr>
          <w:rFonts w:eastAsiaTheme="minorEastAsia" w:cstheme="minorBidi"/>
          <w:noProof/>
          <w:szCs w:val="22"/>
        </w:rPr>
      </w:pPr>
      <w:hyperlink w:anchor="_Toc121415180" w:history="1">
        <w:r w:rsidR="00F66EC6" w:rsidRPr="001B02A7">
          <w:rPr>
            <w:rStyle w:val="Hyperlink"/>
            <w:rFonts w:eastAsiaTheme="majorEastAsia"/>
            <w:noProof/>
          </w:rPr>
          <w:t>Figure 14</w:t>
        </w:r>
        <w:r w:rsidR="00F66EC6">
          <w:rPr>
            <w:rFonts w:eastAsiaTheme="minorEastAsia" w:cstheme="minorBidi"/>
            <w:noProof/>
            <w:szCs w:val="22"/>
          </w:rPr>
          <w:tab/>
        </w:r>
        <w:r w:rsidR="00F66EC6" w:rsidRPr="001B02A7">
          <w:rPr>
            <w:rStyle w:val="Hyperlink"/>
            <w:rFonts w:eastAsiaTheme="majorEastAsia"/>
            <w:noProof/>
          </w:rPr>
          <w:t>Caesarean section, selected women, first birth (PI06), by hospital sector, 2011–2019</w:t>
        </w:r>
        <w:r w:rsidR="00F66EC6">
          <w:rPr>
            <w:noProof/>
            <w:webHidden/>
          </w:rPr>
          <w:tab/>
        </w:r>
        <w:r w:rsidR="00F66EC6">
          <w:rPr>
            <w:noProof/>
            <w:webHidden/>
          </w:rPr>
          <w:fldChar w:fldCharType="begin"/>
        </w:r>
        <w:r w:rsidR="00F66EC6">
          <w:rPr>
            <w:noProof/>
            <w:webHidden/>
          </w:rPr>
          <w:instrText xml:space="preserve"> PAGEREF _Toc121415180 \h </w:instrText>
        </w:r>
        <w:r w:rsidR="00F66EC6">
          <w:rPr>
            <w:noProof/>
            <w:webHidden/>
          </w:rPr>
        </w:r>
        <w:r w:rsidR="00F66EC6">
          <w:rPr>
            <w:noProof/>
            <w:webHidden/>
          </w:rPr>
          <w:fldChar w:fldCharType="separate"/>
        </w:r>
        <w:r w:rsidR="00296988">
          <w:rPr>
            <w:noProof/>
            <w:webHidden/>
          </w:rPr>
          <w:t>39</w:t>
        </w:r>
        <w:r w:rsidR="00F66EC6">
          <w:rPr>
            <w:noProof/>
            <w:webHidden/>
          </w:rPr>
          <w:fldChar w:fldCharType="end"/>
        </w:r>
      </w:hyperlink>
    </w:p>
    <w:p w14:paraId="54B36D89" w14:textId="149E06F7" w:rsidR="00F66EC6" w:rsidRDefault="00B24361">
      <w:pPr>
        <w:pStyle w:val="TableofFigures"/>
        <w:tabs>
          <w:tab w:val="left" w:pos="1200"/>
          <w:tab w:val="right" w:leader="dot" w:pos="9855"/>
        </w:tabs>
        <w:rPr>
          <w:rFonts w:eastAsiaTheme="minorEastAsia" w:cstheme="minorBidi"/>
          <w:noProof/>
          <w:szCs w:val="22"/>
        </w:rPr>
      </w:pPr>
      <w:hyperlink w:anchor="_Toc121415181" w:history="1">
        <w:r w:rsidR="00F66EC6" w:rsidRPr="001B02A7">
          <w:rPr>
            <w:rStyle w:val="Hyperlink"/>
            <w:rFonts w:eastAsiaTheme="majorEastAsia"/>
            <w:noProof/>
          </w:rPr>
          <w:t>Figure 15</w:t>
        </w:r>
        <w:r w:rsidR="00F66EC6">
          <w:rPr>
            <w:rFonts w:eastAsiaTheme="minorEastAsia" w:cstheme="minorBidi"/>
            <w:noProof/>
            <w:szCs w:val="22"/>
          </w:rPr>
          <w:tab/>
        </w:r>
        <w:r w:rsidR="00F66EC6" w:rsidRPr="001B02A7">
          <w:rPr>
            <w:rStyle w:val="Hyperlink"/>
            <w:rFonts w:eastAsiaTheme="majorEastAsia"/>
            <w:noProof/>
          </w:rPr>
          <w:t>Non-instrumental vaginal birth, selected women, first birth (PI07), 2011–2019</w:t>
        </w:r>
        <w:r w:rsidR="00F66EC6">
          <w:rPr>
            <w:noProof/>
            <w:webHidden/>
          </w:rPr>
          <w:tab/>
        </w:r>
        <w:r w:rsidR="00F66EC6">
          <w:rPr>
            <w:noProof/>
            <w:webHidden/>
          </w:rPr>
          <w:fldChar w:fldCharType="begin"/>
        </w:r>
        <w:r w:rsidR="00F66EC6">
          <w:rPr>
            <w:noProof/>
            <w:webHidden/>
          </w:rPr>
          <w:instrText xml:space="preserve"> PAGEREF _Toc121415181 \h </w:instrText>
        </w:r>
        <w:r w:rsidR="00F66EC6">
          <w:rPr>
            <w:noProof/>
            <w:webHidden/>
          </w:rPr>
        </w:r>
        <w:r w:rsidR="00F66EC6">
          <w:rPr>
            <w:noProof/>
            <w:webHidden/>
          </w:rPr>
          <w:fldChar w:fldCharType="separate"/>
        </w:r>
        <w:r w:rsidR="00296988">
          <w:rPr>
            <w:noProof/>
            <w:webHidden/>
          </w:rPr>
          <w:t>39</w:t>
        </w:r>
        <w:r w:rsidR="00F66EC6">
          <w:rPr>
            <w:noProof/>
            <w:webHidden/>
          </w:rPr>
          <w:fldChar w:fldCharType="end"/>
        </w:r>
      </w:hyperlink>
    </w:p>
    <w:p w14:paraId="027E070D" w14:textId="3316BC30" w:rsidR="00F66EC6" w:rsidRDefault="00B24361">
      <w:pPr>
        <w:pStyle w:val="TableofFigures"/>
        <w:tabs>
          <w:tab w:val="left" w:pos="1200"/>
          <w:tab w:val="right" w:leader="dot" w:pos="9855"/>
        </w:tabs>
        <w:rPr>
          <w:rFonts w:eastAsiaTheme="minorEastAsia" w:cstheme="minorBidi"/>
          <w:noProof/>
          <w:szCs w:val="22"/>
        </w:rPr>
      </w:pPr>
      <w:hyperlink w:anchor="_Toc121415182" w:history="1">
        <w:r w:rsidR="00F66EC6" w:rsidRPr="001B02A7">
          <w:rPr>
            <w:rStyle w:val="Hyperlink"/>
            <w:rFonts w:eastAsiaTheme="majorEastAsia"/>
            <w:noProof/>
          </w:rPr>
          <w:t>Figure 16</w:t>
        </w:r>
        <w:r w:rsidR="00F66EC6">
          <w:rPr>
            <w:rFonts w:eastAsiaTheme="minorEastAsia" w:cstheme="minorBidi"/>
            <w:noProof/>
            <w:szCs w:val="22"/>
          </w:rPr>
          <w:tab/>
        </w:r>
        <w:r w:rsidR="00F66EC6" w:rsidRPr="001B02A7">
          <w:rPr>
            <w:rStyle w:val="Hyperlink"/>
            <w:rFonts w:eastAsiaTheme="majorEastAsia"/>
            <w:noProof/>
          </w:rPr>
          <w:t>Women having their second birth vaginally whose first birth was by caesarean section (PI15), by hospital sector, 2011–2019</w:t>
        </w:r>
        <w:r w:rsidR="00F66EC6">
          <w:rPr>
            <w:noProof/>
            <w:webHidden/>
          </w:rPr>
          <w:tab/>
        </w:r>
        <w:r w:rsidR="00F66EC6">
          <w:rPr>
            <w:noProof/>
            <w:webHidden/>
          </w:rPr>
          <w:fldChar w:fldCharType="begin"/>
        </w:r>
        <w:r w:rsidR="00F66EC6">
          <w:rPr>
            <w:noProof/>
            <w:webHidden/>
          </w:rPr>
          <w:instrText xml:space="preserve"> PAGEREF _Toc121415182 \h </w:instrText>
        </w:r>
        <w:r w:rsidR="00F66EC6">
          <w:rPr>
            <w:noProof/>
            <w:webHidden/>
          </w:rPr>
        </w:r>
        <w:r w:rsidR="00F66EC6">
          <w:rPr>
            <w:noProof/>
            <w:webHidden/>
          </w:rPr>
          <w:fldChar w:fldCharType="separate"/>
        </w:r>
        <w:r w:rsidR="00296988">
          <w:rPr>
            <w:noProof/>
            <w:webHidden/>
          </w:rPr>
          <w:t>40</w:t>
        </w:r>
        <w:r w:rsidR="00F66EC6">
          <w:rPr>
            <w:noProof/>
            <w:webHidden/>
          </w:rPr>
          <w:fldChar w:fldCharType="end"/>
        </w:r>
      </w:hyperlink>
    </w:p>
    <w:p w14:paraId="37E12EE0" w14:textId="11CFD130" w:rsidR="00F66EC6" w:rsidRDefault="00B24361">
      <w:pPr>
        <w:pStyle w:val="TableofFigures"/>
        <w:tabs>
          <w:tab w:val="left" w:pos="1200"/>
          <w:tab w:val="right" w:leader="dot" w:pos="9855"/>
        </w:tabs>
        <w:rPr>
          <w:rFonts w:eastAsiaTheme="minorEastAsia" w:cstheme="minorBidi"/>
          <w:noProof/>
          <w:szCs w:val="22"/>
        </w:rPr>
      </w:pPr>
      <w:hyperlink w:anchor="_Toc121415183" w:history="1">
        <w:r w:rsidR="00F66EC6" w:rsidRPr="001B02A7">
          <w:rPr>
            <w:rStyle w:val="Hyperlink"/>
            <w:rFonts w:eastAsiaTheme="majorEastAsia"/>
            <w:noProof/>
          </w:rPr>
          <w:t>Figure 17</w:t>
        </w:r>
        <w:r w:rsidR="00F66EC6">
          <w:rPr>
            <w:rFonts w:eastAsiaTheme="minorEastAsia" w:cstheme="minorBidi"/>
            <w:noProof/>
            <w:szCs w:val="22"/>
          </w:rPr>
          <w:tab/>
        </w:r>
        <w:r w:rsidR="00F66EC6" w:rsidRPr="001B02A7">
          <w:rPr>
            <w:rStyle w:val="Hyperlink"/>
            <w:rFonts w:eastAsiaTheme="majorEastAsia"/>
            <w:noProof/>
          </w:rPr>
          <w:t>Episiotomy, first baby, women giving birth vaginally (non-instrumental) (PI03a), 2011–2019</w:t>
        </w:r>
        <w:r w:rsidR="00F66EC6">
          <w:rPr>
            <w:noProof/>
            <w:webHidden/>
          </w:rPr>
          <w:tab/>
        </w:r>
        <w:r w:rsidR="00F66EC6">
          <w:rPr>
            <w:noProof/>
            <w:webHidden/>
          </w:rPr>
          <w:fldChar w:fldCharType="begin"/>
        </w:r>
        <w:r w:rsidR="00F66EC6">
          <w:rPr>
            <w:noProof/>
            <w:webHidden/>
          </w:rPr>
          <w:instrText xml:space="preserve"> PAGEREF _Toc121415183 \h </w:instrText>
        </w:r>
        <w:r w:rsidR="00F66EC6">
          <w:rPr>
            <w:noProof/>
            <w:webHidden/>
          </w:rPr>
        </w:r>
        <w:r w:rsidR="00F66EC6">
          <w:rPr>
            <w:noProof/>
            <w:webHidden/>
          </w:rPr>
          <w:fldChar w:fldCharType="separate"/>
        </w:r>
        <w:r w:rsidR="00296988">
          <w:rPr>
            <w:noProof/>
            <w:webHidden/>
          </w:rPr>
          <w:t>41</w:t>
        </w:r>
        <w:r w:rsidR="00F66EC6">
          <w:rPr>
            <w:noProof/>
            <w:webHidden/>
          </w:rPr>
          <w:fldChar w:fldCharType="end"/>
        </w:r>
      </w:hyperlink>
    </w:p>
    <w:p w14:paraId="54D02736" w14:textId="3EAE24B0" w:rsidR="00F66EC6" w:rsidRDefault="00B24361">
      <w:pPr>
        <w:pStyle w:val="TableofFigures"/>
        <w:tabs>
          <w:tab w:val="left" w:pos="1200"/>
          <w:tab w:val="right" w:leader="dot" w:pos="9855"/>
        </w:tabs>
        <w:rPr>
          <w:rFonts w:eastAsiaTheme="minorEastAsia" w:cstheme="minorBidi"/>
          <w:noProof/>
          <w:szCs w:val="22"/>
        </w:rPr>
      </w:pPr>
      <w:hyperlink w:anchor="_Toc121415184" w:history="1">
        <w:r w:rsidR="00F66EC6" w:rsidRPr="001B02A7">
          <w:rPr>
            <w:rStyle w:val="Hyperlink"/>
            <w:rFonts w:eastAsiaTheme="majorEastAsia"/>
            <w:noProof/>
          </w:rPr>
          <w:t>Figure 18</w:t>
        </w:r>
        <w:r w:rsidR="00F66EC6">
          <w:rPr>
            <w:rFonts w:eastAsiaTheme="minorEastAsia" w:cstheme="minorBidi"/>
            <w:noProof/>
            <w:szCs w:val="22"/>
          </w:rPr>
          <w:tab/>
        </w:r>
        <w:r w:rsidR="00F66EC6" w:rsidRPr="001B02A7">
          <w:rPr>
            <w:rStyle w:val="Hyperlink"/>
            <w:rFonts w:eastAsiaTheme="majorEastAsia"/>
            <w:noProof/>
          </w:rPr>
          <w:t>Episiotomy, first baby, women giving birth vaginally (instrumental) (PI03b), 2011–2019</w:t>
        </w:r>
        <w:r w:rsidR="00F66EC6">
          <w:rPr>
            <w:noProof/>
            <w:webHidden/>
          </w:rPr>
          <w:tab/>
        </w:r>
        <w:r w:rsidR="00F66EC6">
          <w:rPr>
            <w:noProof/>
            <w:webHidden/>
          </w:rPr>
          <w:fldChar w:fldCharType="begin"/>
        </w:r>
        <w:r w:rsidR="00F66EC6">
          <w:rPr>
            <w:noProof/>
            <w:webHidden/>
          </w:rPr>
          <w:instrText xml:space="preserve"> PAGEREF _Toc121415184 \h </w:instrText>
        </w:r>
        <w:r w:rsidR="00F66EC6">
          <w:rPr>
            <w:noProof/>
            <w:webHidden/>
          </w:rPr>
        </w:r>
        <w:r w:rsidR="00F66EC6">
          <w:rPr>
            <w:noProof/>
            <w:webHidden/>
          </w:rPr>
          <w:fldChar w:fldCharType="separate"/>
        </w:r>
        <w:r w:rsidR="00296988">
          <w:rPr>
            <w:noProof/>
            <w:webHidden/>
          </w:rPr>
          <w:t>41</w:t>
        </w:r>
        <w:r w:rsidR="00F66EC6">
          <w:rPr>
            <w:noProof/>
            <w:webHidden/>
          </w:rPr>
          <w:fldChar w:fldCharType="end"/>
        </w:r>
      </w:hyperlink>
    </w:p>
    <w:p w14:paraId="507D194F" w14:textId="6D5FA646" w:rsidR="00F66EC6" w:rsidRDefault="00B24361">
      <w:pPr>
        <w:pStyle w:val="TableofFigures"/>
        <w:tabs>
          <w:tab w:val="left" w:pos="1200"/>
          <w:tab w:val="right" w:leader="dot" w:pos="9855"/>
        </w:tabs>
        <w:rPr>
          <w:rFonts w:eastAsiaTheme="minorEastAsia" w:cstheme="minorBidi"/>
          <w:noProof/>
          <w:szCs w:val="22"/>
        </w:rPr>
      </w:pPr>
      <w:hyperlink w:anchor="_Toc121415185" w:history="1">
        <w:r w:rsidR="00F66EC6" w:rsidRPr="001B02A7">
          <w:rPr>
            <w:rStyle w:val="Hyperlink"/>
            <w:rFonts w:eastAsiaTheme="majorEastAsia"/>
            <w:noProof/>
          </w:rPr>
          <w:t>Figure 19</w:t>
        </w:r>
        <w:r w:rsidR="00F66EC6">
          <w:rPr>
            <w:rFonts w:eastAsiaTheme="minorEastAsia" w:cstheme="minorBidi"/>
            <w:noProof/>
            <w:szCs w:val="22"/>
          </w:rPr>
          <w:tab/>
        </w:r>
        <w:r w:rsidR="00F66EC6" w:rsidRPr="001B02A7">
          <w:rPr>
            <w:rStyle w:val="Hyperlink"/>
            <w:rFonts w:eastAsiaTheme="majorEastAsia"/>
            <w:noProof/>
          </w:rPr>
          <w:t>General anaesthetic administered to women giving birth by caesarean section (PI09), by age at birth, 2011–2019</w:t>
        </w:r>
        <w:r w:rsidR="00F66EC6">
          <w:rPr>
            <w:noProof/>
            <w:webHidden/>
          </w:rPr>
          <w:tab/>
        </w:r>
        <w:r w:rsidR="00F66EC6">
          <w:rPr>
            <w:noProof/>
            <w:webHidden/>
          </w:rPr>
          <w:fldChar w:fldCharType="begin"/>
        </w:r>
        <w:r w:rsidR="00F66EC6">
          <w:rPr>
            <w:noProof/>
            <w:webHidden/>
          </w:rPr>
          <w:instrText xml:space="preserve"> PAGEREF _Toc121415185 \h </w:instrText>
        </w:r>
        <w:r w:rsidR="00F66EC6">
          <w:rPr>
            <w:noProof/>
            <w:webHidden/>
          </w:rPr>
        </w:r>
        <w:r w:rsidR="00F66EC6">
          <w:rPr>
            <w:noProof/>
            <w:webHidden/>
          </w:rPr>
          <w:fldChar w:fldCharType="separate"/>
        </w:r>
        <w:r w:rsidR="00296988">
          <w:rPr>
            <w:noProof/>
            <w:webHidden/>
          </w:rPr>
          <w:t>42</w:t>
        </w:r>
        <w:r w:rsidR="00F66EC6">
          <w:rPr>
            <w:noProof/>
            <w:webHidden/>
          </w:rPr>
          <w:fldChar w:fldCharType="end"/>
        </w:r>
      </w:hyperlink>
    </w:p>
    <w:p w14:paraId="6A40CB9B" w14:textId="454AA9F6" w:rsidR="00F66EC6" w:rsidRDefault="00B24361">
      <w:pPr>
        <w:pStyle w:val="TableofFigures"/>
        <w:tabs>
          <w:tab w:val="left" w:pos="1200"/>
          <w:tab w:val="right" w:leader="dot" w:pos="9855"/>
        </w:tabs>
        <w:rPr>
          <w:rFonts w:eastAsiaTheme="minorEastAsia" w:cstheme="minorBidi"/>
          <w:noProof/>
          <w:szCs w:val="22"/>
        </w:rPr>
      </w:pPr>
      <w:hyperlink w:anchor="_Toc121415186" w:history="1">
        <w:r w:rsidR="00F66EC6" w:rsidRPr="001B02A7">
          <w:rPr>
            <w:rStyle w:val="Hyperlink"/>
            <w:rFonts w:eastAsiaTheme="majorEastAsia"/>
            <w:noProof/>
          </w:rPr>
          <w:t>Figure 20</w:t>
        </w:r>
        <w:r w:rsidR="00F66EC6">
          <w:rPr>
            <w:rFonts w:eastAsiaTheme="minorEastAsia" w:cstheme="minorBidi"/>
            <w:noProof/>
            <w:szCs w:val="22"/>
          </w:rPr>
          <w:tab/>
        </w:r>
        <w:r w:rsidR="00F66EC6" w:rsidRPr="001B02A7">
          <w:rPr>
            <w:rStyle w:val="Hyperlink"/>
            <w:rFonts w:eastAsiaTheme="majorEastAsia"/>
            <w:noProof/>
          </w:rPr>
          <w:t>Babies’ Apgar scores of less than 7 at 5 minutes, births at or after term (PI04), by mother's Indigenous status, 2011–2019</w:t>
        </w:r>
        <w:r w:rsidR="00F66EC6">
          <w:rPr>
            <w:noProof/>
            <w:webHidden/>
          </w:rPr>
          <w:tab/>
        </w:r>
        <w:r w:rsidR="00F66EC6">
          <w:rPr>
            <w:noProof/>
            <w:webHidden/>
          </w:rPr>
          <w:fldChar w:fldCharType="begin"/>
        </w:r>
        <w:r w:rsidR="00F66EC6">
          <w:rPr>
            <w:noProof/>
            <w:webHidden/>
          </w:rPr>
          <w:instrText xml:space="preserve"> PAGEREF _Toc121415186 \h </w:instrText>
        </w:r>
        <w:r w:rsidR="00F66EC6">
          <w:rPr>
            <w:noProof/>
            <w:webHidden/>
          </w:rPr>
        </w:r>
        <w:r w:rsidR="00F66EC6">
          <w:rPr>
            <w:noProof/>
            <w:webHidden/>
          </w:rPr>
          <w:fldChar w:fldCharType="separate"/>
        </w:r>
        <w:r w:rsidR="00296988">
          <w:rPr>
            <w:noProof/>
            <w:webHidden/>
          </w:rPr>
          <w:t>43</w:t>
        </w:r>
        <w:r w:rsidR="00F66EC6">
          <w:rPr>
            <w:noProof/>
            <w:webHidden/>
          </w:rPr>
          <w:fldChar w:fldCharType="end"/>
        </w:r>
      </w:hyperlink>
    </w:p>
    <w:p w14:paraId="52CFE654" w14:textId="7D21B2DC" w:rsidR="00F66EC6" w:rsidRDefault="00B24361">
      <w:pPr>
        <w:pStyle w:val="TableofFigures"/>
        <w:tabs>
          <w:tab w:val="left" w:pos="1200"/>
          <w:tab w:val="right" w:leader="dot" w:pos="9855"/>
        </w:tabs>
        <w:rPr>
          <w:rFonts w:eastAsiaTheme="minorEastAsia" w:cstheme="minorBidi"/>
          <w:noProof/>
          <w:szCs w:val="22"/>
        </w:rPr>
      </w:pPr>
      <w:hyperlink w:anchor="_Toc121415187" w:history="1">
        <w:r w:rsidR="00F66EC6" w:rsidRPr="001B02A7">
          <w:rPr>
            <w:rStyle w:val="Hyperlink"/>
            <w:rFonts w:eastAsiaTheme="majorEastAsia"/>
            <w:noProof/>
          </w:rPr>
          <w:t>Figure 21</w:t>
        </w:r>
        <w:r w:rsidR="00F66EC6">
          <w:rPr>
            <w:rFonts w:eastAsiaTheme="minorEastAsia" w:cstheme="minorBidi"/>
            <w:noProof/>
            <w:szCs w:val="22"/>
          </w:rPr>
          <w:tab/>
        </w:r>
        <w:r w:rsidR="00F66EC6" w:rsidRPr="001B02A7">
          <w:rPr>
            <w:rStyle w:val="Hyperlink"/>
            <w:rFonts w:eastAsiaTheme="majorEastAsia"/>
            <w:noProof/>
          </w:rPr>
          <w:t>Small babies among births at or after 40 weeks’ gestation (PI10), 2011–2019</w:t>
        </w:r>
        <w:r w:rsidR="00F66EC6">
          <w:rPr>
            <w:noProof/>
            <w:webHidden/>
          </w:rPr>
          <w:tab/>
        </w:r>
        <w:r w:rsidR="00F66EC6">
          <w:rPr>
            <w:noProof/>
            <w:webHidden/>
          </w:rPr>
          <w:fldChar w:fldCharType="begin"/>
        </w:r>
        <w:r w:rsidR="00F66EC6">
          <w:rPr>
            <w:noProof/>
            <w:webHidden/>
          </w:rPr>
          <w:instrText xml:space="preserve"> PAGEREF _Toc121415187 \h </w:instrText>
        </w:r>
        <w:r w:rsidR="00F66EC6">
          <w:rPr>
            <w:noProof/>
            <w:webHidden/>
          </w:rPr>
        </w:r>
        <w:r w:rsidR="00F66EC6">
          <w:rPr>
            <w:noProof/>
            <w:webHidden/>
          </w:rPr>
          <w:fldChar w:fldCharType="separate"/>
        </w:r>
        <w:r w:rsidR="00296988">
          <w:rPr>
            <w:noProof/>
            <w:webHidden/>
          </w:rPr>
          <w:t>43</w:t>
        </w:r>
        <w:r w:rsidR="00F66EC6">
          <w:rPr>
            <w:noProof/>
            <w:webHidden/>
          </w:rPr>
          <w:fldChar w:fldCharType="end"/>
        </w:r>
      </w:hyperlink>
    </w:p>
    <w:p w14:paraId="0CC4095F" w14:textId="39992CC9" w:rsidR="00F66EC6" w:rsidRDefault="00B24361">
      <w:pPr>
        <w:pStyle w:val="TableofFigures"/>
        <w:tabs>
          <w:tab w:val="left" w:pos="1200"/>
          <w:tab w:val="right" w:leader="dot" w:pos="9855"/>
        </w:tabs>
        <w:rPr>
          <w:rFonts w:eastAsiaTheme="minorEastAsia" w:cstheme="minorBidi"/>
          <w:noProof/>
          <w:szCs w:val="22"/>
        </w:rPr>
      </w:pPr>
      <w:hyperlink w:anchor="_Toc121415188" w:history="1">
        <w:r w:rsidR="00F66EC6" w:rsidRPr="001B02A7">
          <w:rPr>
            <w:rStyle w:val="Hyperlink"/>
            <w:rFonts w:eastAsiaTheme="majorEastAsia"/>
            <w:noProof/>
          </w:rPr>
          <w:t>Figure 22</w:t>
        </w:r>
        <w:r w:rsidR="00F66EC6">
          <w:rPr>
            <w:rFonts w:eastAsiaTheme="minorEastAsia" w:cstheme="minorBidi"/>
            <w:noProof/>
            <w:szCs w:val="22"/>
          </w:rPr>
          <w:tab/>
        </w:r>
        <w:r w:rsidR="00F66EC6" w:rsidRPr="001B02A7">
          <w:rPr>
            <w:rStyle w:val="Hyperlink"/>
            <w:rFonts w:eastAsiaTheme="majorEastAsia"/>
            <w:noProof/>
          </w:rPr>
          <w:t>Third and fourth degree tears, women having their first baby, vaginal births (PI13a), by mother's Indigenous status, 2013–2019</w:t>
        </w:r>
        <w:r w:rsidR="00F66EC6">
          <w:rPr>
            <w:noProof/>
            <w:webHidden/>
          </w:rPr>
          <w:tab/>
        </w:r>
        <w:r w:rsidR="00F66EC6">
          <w:rPr>
            <w:noProof/>
            <w:webHidden/>
          </w:rPr>
          <w:fldChar w:fldCharType="begin"/>
        </w:r>
        <w:r w:rsidR="00F66EC6">
          <w:rPr>
            <w:noProof/>
            <w:webHidden/>
          </w:rPr>
          <w:instrText xml:space="preserve"> PAGEREF _Toc121415188 \h </w:instrText>
        </w:r>
        <w:r w:rsidR="00F66EC6">
          <w:rPr>
            <w:noProof/>
            <w:webHidden/>
          </w:rPr>
        </w:r>
        <w:r w:rsidR="00F66EC6">
          <w:rPr>
            <w:noProof/>
            <w:webHidden/>
          </w:rPr>
          <w:fldChar w:fldCharType="separate"/>
        </w:r>
        <w:r w:rsidR="00296988">
          <w:rPr>
            <w:noProof/>
            <w:webHidden/>
          </w:rPr>
          <w:t>44</w:t>
        </w:r>
        <w:r w:rsidR="00F66EC6">
          <w:rPr>
            <w:noProof/>
            <w:webHidden/>
          </w:rPr>
          <w:fldChar w:fldCharType="end"/>
        </w:r>
      </w:hyperlink>
    </w:p>
    <w:p w14:paraId="57A847B8" w14:textId="7DC9888C" w:rsidR="00F66EC6" w:rsidRDefault="00B24361">
      <w:pPr>
        <w:pStyle w:val="TableofFigures"/>
        <w:tabs>
          <w:tab w:val="left" w:pos="1200"/>
          <w:tab w:val="right" w:leader="dot" w:pos="9855"/>
        </w:tabs>
        <w:rPr>
          <w:rFonts w:eastAsiaTheme="minorEastAsia" w:cstheme="minorBidi"/>
          <w:noProof/>
          <w:szCs w:val="22"/>
        </w:rPr>
      </w:pPr>
      <w:hyperlink w:anchor="_Toc121415189" w:history="1">
        <w:r w:rsidR="00F66EC6" w:rsidRPr="001B02A7">
          <w:rPr>
            <w:rStyle w:val="Hyperlink"/>
            <w:rFonts w:eastAsiaTheme="majorEastAsia"/>
            <w:noProof/>
          </w:rPr>
          <w:t>Figure 23</w:t>
        </w:r>
        <w:r w:rsidR="00F66EC6">
          <w:rPr>
            <w:rFonts w:eastAsiaTheme="minorEastAsia" w:cstheme="minorBidi"/>
            <w:noProof/>
            <w:szCs w:val="22"/>
          </w:rPr>
          <w:tab/>
        </w:r>
        <w:r w:rsidR="00F66EC6" w:rsidRPr="001B02A7">
          <w:rPr>
            <w:rStyle w:val="Hyperlink"/>
            <w:rFonts w:eastAsiaTheme="majorEastAsia"/>
            <w:noProof/>
          </w:rPr>
          <w:t>Length of postnatal stays, 2010–2019</w:t>
        </w:r>
        <w:r w:rsidR="00F66EC6">
          <w:rPr>
            <w:noProof/>
            <w:webHidden/>
          </w:rPr>
          <w:tab/>
        </w:r>
        <w:r w:rsidR="00F66EC6">
          <w:rPr>
            <w:noProof/>
            <w:webHidden/>
          </w:rPr>
          <w:fldChar w:fldCharType="begin"/>
        </w:r>
        <w:r w:rsidR="00F66EC6">
          <w:rPr>
            <w:noProof/>
            <w:webHidden/>
          </w:rPr>
          <w:instrText xml:space="preserve"> PAGEREF _Toc121415189 \h </w:instrText>
        </w:r>
        <w:r w:rsidR="00F66EC6">
          <w:rPr>
            <w:noProof/>
            <w:webHidden/>
          </w:rPr>
        </w:r>
        <w:r w:rsidR="00F66EC6">
          <w:rPr>
            <w:noProof/>
            <w:webHidden/>
          </w:rPr>
          <w:fldChar w:fldCharType="separate"/>
        </w:r>
        <w:r w:rsidR="00296988">
          <w:rPr>
            <w:noProof/>
            <w:webHidden/>
          </w:rPr>
          <w:t>44</w:t>
        </w:r>
        <w:r w:rsidR="00F66EC6">
          <w:rPr>
            <w:noProof/>
            <w:webHidden/>
          </w:rPr>
          <w:fldChar w:fldCharType="end"/>
        </w:r>
      </w:hyperlink>
    </w:p>
    <w:p w14:paraId="6DD43F40" w14:textId="05251BCF" w:rsidR="00F66EC6" w:rsidRDefault="00B24361">
      <w:pPr>
        <w:pStyle w:val="TableofFigures"/>
        <w:tabs>
          <w:tab w:val="left" w:pos="1200"/>
          <w:tab w:val="right" w:leader="dot" w:pos="9855"/>
        </w:tabs>
        <w:rPr>
          <w:rFonts w:eastAsiaTheme="minorEastAsia" w:cstheme="minorBidi"/>
          <w:noProof/>
          <w:szCs w:val="22"/>
        </w:rPr>
      </w:pPr>
      <w:hyperlink w:anchor="_Toc121415190" w:history="1">
        <w:r w:rsidR="00F66EC6" w:rsidRPr="001B02A7">
          <w:rPr>
            <w:rStyle w:val="Hyperlink"/>
            <w:rFonts w:eastAsiaTheme="majorEastAsia"/>
            <w:noProof/>
          </w:rPr>
          <w:t>Figure 24</w:t>
        </w:r>
        <w:r w:rsidR="00F66EC6">
          <w:rPr>
            <w:rFonts w:eastAsiaTheme="minorEastAsia" w:cstheme="minorBidi"/>
            <w:noProof/>
            <w:szCs w:val="22"/>
          </w:rPr>
          <w:tab/>
        </w:r>
        <w:r w:rsidR="00F66EC6" w:rsidRPr="001B02A7">
          <w:rPr>
            <w:rStyle w:val="Hyperlink"/>
            <w:rFonts w:eastAsiaTheme="majorEastAsia"/>
            <w:noProof/>
          </w:rPr>
          <w:t>Perinatal, stillbirth and neonatal death rates, 2000–2019</w:t>
        </w:r>
        <w:r w:rsidR="00F66EC6">
          <w:rPr>
            <w:noProof/>
            <w:webHidden/>
          </w:rPr>
          <w:tab/>
        </w:r>
        <w:r w:rsidR="00F66EC6">
          <w:rPr>
            <w:noProof/>
            <w:webHidden/>
          </w:rPr>
          <w:fldChar w:fldCharType="begin"/>
        </w:r>
        <w:r w:rsidR="00F66EC6">
          <w:rPr>
            <w:noProof/>
            <w:webHidden/>
          </w:rPr>
          <w:instrText xml:space="preserve"> PAGEREF _Toc121415190 \h </w:instrText>
        </w:r>
        <w:r w:rsidR="00F66EC6">
          <w:rPr>
            <w:noProof/>
            <w:webHidden/>
          </w:rPr>
        </w:r>
        <w:r w:rsidR="00F66EC6">
          <w:rPr>
            <w:noProof/>
            <w:webHidden/>
          </w:rPr>
          <w:fldChar w:fldCharType="separate"/>
        </w:r>
        <w:r w:rsidR="00296988">
          <w:rPr>
            <w:noProof/>
            <w:webHidden/>
          </w:rPr>
          <w:t>45</w:t>
        </w:r>
        <w:r w:rsidR="00F66EC6">
          <w:rPr>
            <w:noProof/>
            <w:webHidden/>
          </w:rPr>
          <w:fldChar w:fldCharType="end"/>
        </w:r>
      </w:hyperlink>
    </w:p>
    <w:p w14:paraId="028B5930" w14:textId="0BB76608" w:rsidR="00F66EC6" w:rsidRDefault="00B24361">
      <w:pPr>
        <w:pStyle w:val="TableofFigures"/>
        <w:tabs>
          <w:tab w:val="left" w:pos="1200"/>
          <w:tab w:val="right" w:leader="dot" w:pos="9855"/>
        </w:tabs>
        <w:rPr>
          <w:rFonts w:eastAsiaTheme="minorEastAsia" w:cstheme="minorBidi"/>
          <w:noProof/>
          <w:szCs w:val="22"/>
        </w:rPr>
      </w:pPr>
      <w:hyperlink w:anchor="_Toc121415191" w:history="1">
        <w:r w:rsidR="00F66EC6" w:rsidRPr="001B02A7">
          <w:rPr>
            <w:rStyle w:val="Hyperlink"/>
            <w:rFonts w:eastAsiaTheme="majorEastAsia"/>
            <w:noProof/>
          </w:rPr>
          <w:t>Figure 25</w:t>
        </w:r>
        <w:r w:rsidR="00F66EC6">
          <w:rPr>
            <w:rFonts w:eastAsiaTheme="minorEastAsia" w:cstheme="minorBidi"/>
            <w:noProof/>
            <w:szCs w:val="22"/>
          </w:rPr>
          <w:tab/>
        </w:r>
        <w:r w:rsidR="00F66EC6" w:rsidRPr="001B02A7">
          <w:rPr>
            <w:rStyle w:val="Hyperlink"/>
            <w:rFonts w:eastAsiaTheme="majorEastAsia"/>
            <w:noProof/>
          </w:rPr>
          <w:t>Attendances by participating midwives, 2010-2022</w:t>
        </w:r>
        <w:r w:rsidR="00F66EC6">
          <w:rPr>
            <w:noProof/>
            <w:webHidden/>
          </w:rPr>
          <w:tab/>
        </w:r>
        <w:r w:rsidR="00F66EC6">
          <w:rPr>
            <w:noProof/>
            <w:webHidden/>
          </w:rPr>
          <w:fldChar w:fldCharType="begin"/>
        </w:r>
        <w:r w:rsidR="00F66EC6">
          <w:rPr>
            <w:noProof/>
            <w:webHidden/>
          </w:rPr>
          <w:instrText xml:space="preserve"> PAGEREF _Toc121415191 \h </w:instrText>
        </w:r>
        <w:r w:rsidR="00F66EC6">
          <w:rPr>
            <w:noProof/>
            <w:webHidden/>
          </w:rPr>
        </w:r>
        <w:r w:rsidR="00F66EC6">
          <w:rPr>
            <w:noProof/>
            <w:webHidden/>
          </w:rPr>
          <w:fldChar w:fldCharType="separate"/>
        </w:r>
        <w:r w:rsidR="00296988">
          <w:rPr>
            <w:noProof/>
            <w:webHidden/>
          </w:rPr>
          <w:t>48</w:t>
        </w:r>
        <w:r w:rsidR="00F66EC6">
          <w:rPr>
            <w:noProof/>
            <w:webHidden/>
          </w:rPr>
          <w:fldChar w:fldCharType="end"/>
        </w:r>
      </w:hyperlink>
    </w:p>
    <w:p w14:paraId="36E93F4F" w14:textId="331D5F53" w:rsidR="00F66EC6" w:rsidRDefault="00B24361">
      <w:pPr>
        <w:pStyle w:val="TableofFigures"/>
        <w:tabs>
          <w:tab w:val="left" w:pos="1200"/>
          <w:tab w:val="right" w:leader="dot" w:pos="9855"/>
        </w:tabs>
        <w:rPr>
          <w:rFonts w:eastAsiaTheme="minorEastAsia" w:cstheme="minorBidi"/>
          <w:noProof/>
          <w:szCs w:val="22"/>
        </w:rPr>
      </w:pPr>
      <w:hyperlink w:anchor="_Toc121415192" w:history="1">
        <w:r w:rsidR="00F66EC6" w:rsidRPr="001B02A7">
          <w:rPr>
            <w:rStyle w:val="Hyperlink"/>
            <w:rFonts w:eastAsiaTheme="majorEastAsia"/>
            <w:noProof/>
          </w:rPr>
          <w:t>Figure 26</w:t>
        </w:r>
        <w:r w:rsidR="00F66EC6">
          <w:rPr>
            <w:rFonts w:eastAsiaTheme="minorEastAsia" w:cstheme="minorBidi"/>
            <w:noProof/>
            <w:szCs w:val="22"/>
          </w:rPr>
          <w:tab/>
        </w:r>
        <w:r w:rsidR="00F66EC6" w:rsidRPr="001B02A7">
          <w:rPr>
            <w:rStyle w:val="Hyperlink"/>
            <w:rFonts w:eastAsiaTheme="majorEastAsia"/>
            <w:noProof/>
          </w:rPr>
          <w:t>Telehealth and phone attendances by participating midwives, 2020-2022</w:t>
        </w:r>
        <w:r w:rsidR="00F66EC6">
          <w:rPr>
            <w:noProof/>
            <w:webHidden/>
          </w:rPr>
          <w:tab/>
        </w:r>
        <w:r w:rsidR="00F66EC6">
          <w:rPr>
            <w:noProof/>
            <w:webHidden/>
          </w:rPr>
          <w:fldChar w:fldCharType="begin"/>
        </w:r>
        <w:r w:rsidR="00F66EC6">
          <w:rPr>
            <w:noProof/>
            <w:webHidden/>
          </w:rPr>
          <w:instrText xml:space="preserve"> PAGEREF _Toc121415192 \h </w:instrText>
        </w:r>
        <w:r w:rsidR="00F66EC6">
          <w:rPr>
            <w:noProof/>
            <w:webHidden/>
          </w:rPr>
        </w:r>
        <w:r w:rsidR="00F66EC6">
          <w:rPr>
            <w:noProof/>
            <w:webHidden/>
          </w:rPr>
          <w:fldChar w:fldCharType="separate"/>
        </w:r>
        <w:r w:rsidR="00296988">
          <w:rPr>
            <w:noProof/>
            <w:webHidden/>
          </w:rPr>
          <w:t>49</w:t>
        </w:r>
        <w:r w:rsidR="00F66EC6">
          <w:rPr>
            <w:noProof/>
            <w:webHidden/>
          </w:rPr>
          <w:fldChar w:fldCharType="end"/>
        </w:r>
      </w:hyperlink>
    </w:p>
    <w:p w14:paraId="5D2777FE" w14:textId="46A7AA78" w:rsidR="00E95020" w:rsidRDefault="002947DF" w:rsidP="00C459D0">
      <w:pPr>
        <w:tabs>
          <w:tab w:val="left" w:pos="1134"/>
          <w:tab w:val="left" w:pos="1276"/>
        </w:tabs>
        <w:ind w:left="993" w:hanging="993"/>
      </w:pPr>
      <w:r>
        <w:rPr>
          <w:b/>
          <w:bCs/>
          <w:noProof/>
          <w:lang w:val="en-US"/>
        </w:rPr>
        <w:fldChar w:fldCharType="end"/>
      </w:r>
      <w:bookmarkStart w:id="119" w:name="_Toc454355991"/>
      <w:bookmarkStart w:id="120" w:name="_Toc454984418"/>
      <w:bookmarkStart w:id="121" w:name="_Toc500316965"/>
      <w:bookmarkStart w:id="122" w:name="_Toc500597339"/>
      <w:bookmarkStart w:id="123" w:name="_Toc501280359"/>
      <w:bookmarkStart w:id="124" w:name="_Toc501379992"/>
      <w:bookmarkStart w:id="125" w:name="_Toc508996180"/>
      <w:bookmarkStart w:id="126" w:name="_Toc526244522"/>
      <w:bookmarkStart w:id="127" w:name="_Toc526261278"/>
      <w:bookmarkStart w:id="128" w:name="_Toc526264212"/>
      <w:bookmarkStart w:id="129" w:name="_Toc526276010"/>
      <w:bookmarkStart w:id="130" w:name="_Toc526333073"/>
      <w:bookmarkStart w:id="131" w:name="_Toc526333431"/>
      <w:bookmarkStart w:id="132" w:name="_Toc790247"/>
      <w:bookmarkStart w:id="133" w:name="_Toc14887525"/>
      <w:bookmarkStart w:id="134" w:name="_Toc14947150"/>
      <w:bookmarkStart w:id="135" w:name="_Toc72866292"/>
      <w:bookmarkStart w:id="136" w:name="_Toc72867023"/>
      <w:bookmarkStart w:id="137" w:name="_Toc72867113"/>
      <w:bookmarkStart w:id="138" w:name="_Toc72878060"/>
      <w:bookmarkStart w:id="139" w:name="_Toc72882877"/>
      <w:bookmarkStart w:id="140" w:name="_Toc72882941"/>
      <w:bookmarkStart w:id="141" w:name="_Toc72883018"/>
      <w:bookmarkStart w:id="142" w:name="_Toc72883299"/>
      <w:bookmarkStart w:id="143" w:name="_Toc72883670"/>
      <w:bookmarkStart w:id="144" w:name="_Toc73023725"/>
      <w:bookmarkStart w:id="145" w:name="_Toc73127951"/>
      <w:bookmarkStart w:id="146" w:name="_Toc73208534"/>
      <w:bookmarkStart w:id="147" w:name="_Toc73219657"/>
      <w:bookmarkStart w:id="148" w:name="_Toc73220459"/>
      <w:bookmarkStart w:id="149" w:name="_Toc73220651"/>
      <w:bookmarkStart w:id="150" w:name="_Toc73236945"/>
      <w:bookmarkStart w:id="151" w:name="_Toc73302437"/>
      <w:bookmarkStart w:id="152" w:name="_Toc73309958"/>
      <w:bookmarkStart w:id="153" w:name="_Toc73310067"/>
      <w:bookmarkStart w:id="154" w:name="_Toc73310123"/>
      <w:bookmarkStart w:id="155" w:name="_Toc73310192"/>
      <w:bookmarkStart w:id="156" w:name="_Toc73310312"/>
      <w:bookmarkStart w:id="157" w:name="_Toc73314264"/>
      <w:bookmarkStart w:id="158" w:name="_Toc73325941"/>
      <w:bookmarkStart w:id="159" w:name="_Toc73345942"/>
      <w:bookmarkStart w:id="160" w:name="_Toc73390433"/>
      <w:bookmarkStart w:id="161" w:name="_Toc73643142"/>
      <w:bookmarkStart w:id="162" w:name="_Toc73652256"/>
      <w:bookmarkStart w:id="163" w:name="_Toc73719359"/>
      <w:bookmarkStart w:id="164" w:name="_Toc79276460"/>
      <w:bookmarkStart w:id="165" w:name="_Toc79618367"/>
      <w:bookmarkStart w:id="166" w:name="_Toc79865943"/>
      <w:bookmarkStart w:id="167" w:name="_Toc80134621"/>
      <w:bookmarkStart w:id="168" w:name="_Toc80135305"/>
      <w:bookmarkStart w:id="169" w:name="_Toc80183839"/>
      <w:bookmarkStart w:id="170" w:name="_Toc89070763"/>
      <w:bookmarkStart w:id="171" w:name="_Toc89161043"/>
      <w:bookmarkStart w:id="172" w:name="_Toc99118996"/>
      <w:bookmarkStart w:id="173" w:name="_Toc102567745"/>
      <w:r w:rsidR="00E95020">
        <w:br w:type="page"/>
      </w:r>
    </w:p>
    <w:p w14:paraId="3A9BD3C5" w14:textId="73E96DD5" w:rsidR="007A06FE" w:rsidRDefault="007A06FE" w:rsidP="002C45FB">
      <w:pPr>
        <w:pStyle w:val="TOCHeading"/>
      </w:pPr>
      <w:r>
        <w:lastRenderedPageBreak/>
        <w:t>List of tables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5C699FFC" w14:textId="0BF19666" w:rsidR="00F80291" w:rsidRDefault="00B16036">
      <w:pPr>
        <w:pStyle w:val="TableofFigures"/>
        <w:tabs>
          <w:tab w:val="left" w:pos="993"/>
          <w:tab w:val="right" w:leader="dot" w:pos="9855"/>
        </w:tabs>
        <w:rPr>
          <w:rFonts w:eastAsiaTheme="minorEastAsia" w:cstheme="minorBidi"/>
          <w:noProof/>
          <w:szCs w:val="22"/>
        </w:rPr>
      </w:pPr>
      <w:r>
        <w:fldChar w:fldCharType="begin"/>
      </w:r>
      <w:r>
        <w:instrText xml:space="preserve"> TOC \h \z \c "Table" </w:instrText>
      </w:r>
      <w:r>
        <w:fldChar w:fldCharType="separate"/>
      </w:r>
      <w:hyperlink w:anchor="_Toc121429177" w:history="1">
        <w:r w:rsidR="00F80291" w:rsidRPr="00750B3A">
          <w:rPr>
            <w:rStyle w:val="Hyperlink"/>
            <w:rFonts w:eastAsiaTheme="majorEastAsia"/>
            <w:noProof/>
          </w:rPr>
          <w:t>Table 1</w:t>
        </w:r>
        <w:r w:rsidR="00F80291">
          <w:rPr>
            <w:rFonts w:eastAsiaTheme="minorEastAsia" w:cstheme="minorBidi"/>
            <w:noProof/>
            <w:szCs w:val="22"/>
          </w:rPr>
          <w:tab/>
        </w:r>
        <w:r w:rsidR="00F80291" w:rsidRPr="00750B3A">
          <w:rPr>
            <w:rStyle w:val="Hyperlink"/>
            <w:rFonts w:eastAsiaTheme="majorEastAsia"/>
            <w:noProof/>
          </w:rPr>
          <w:t>MEF Evaluation questions addressed by this Baseline Report</w:t>
        </w:r>
        <w:r w:rsidR="00F80291">
          <w:rPr>
            <w:noProof/>
            <w:webHidden/>
          </w:rPr>
          <w:tab/>
        </w:r>
        <w:r w:rsidR="00F80291">
          <w:rPr>
            <w:noProof/>
            <w:webHidden/>
          </w:rPr>
          <w:fldChar w:fldCharType="begin"/>
        </w:r>
        <w:r w:rsidR="00F80291">
          <w:rPr>
            <w:noProof/>
            <w:webHidden/>
          </w:rPr>
          <w:instrText xml:space="preserve"> PAGEREF _Toc121429177 \h </w:instrText>
        </w:r>
        <w:r w:rsidR="00F80291">
          <w:rPr>
            <w:noProof/>
            <w:webHidden/>
          </w:rPr>
        </w:r>
        <w:r w:rsidR="00F80291">
          <w:rPr>
            <w:noProof/>
            <w:webHidden/>
          </w:rPr>
          <w:fldChar w:fldCharType="separate"/>
        </w:r>
        <w:r w:rsidR="00296988">
          <w:rPr>
            <w:noProof/>
            <w:webHidden/>
          </w:rPr>
          <w:t>8</w:t>
        </w:r>
        <w:r w:rsidR="00F80291">
          <w:rPr>
            <w:noProof/>
            <w:webHidden/>
          </w:rPr>
          <w:fldChar w:fldCharType="end"/>
        </w:r>
      </w:hyperlink>
    </w:p>
    <w:p w14:paraId="5B2B754A" w14:textId="44A47F1A" w:rsidR="00F80291" w:rsidRDefault="00B24361">
      <w:pPr>
        <w:pStyle w:val="TableofFigures"/>
        <w:tabs>
          <w:tab w:val="left" w:pos="993"/>
          <w:tab w:val="right" w:leader="dot" w:pos="9855"/>
        </w:tabs>
        <w:rPr>
          <w:rFonts w:eastAsiaTheme="minorEastAsia" w:cstheme="minorBidi"/>
          <w:noProof/>
          <w:szCs w:val="22"/>
        </w:rPr>
      </w:pPr>
      <w:hyperlink w:anchor="_Toc121429178" w:history="1">
        <w:r w:rsidR="00F80291" w:rsidRPr="00750B3A">
          <w:rPr>
            <w:rStyle w:val="Hyperlink"/>
            <w:rFonts w:eastAsiaTheme="majorEastAsia"/>
            <w:noProof/>
          </w:rPr>
          <w:t>Table 2</w:t>
        </w:r>
        <w:r w:rsidR="00F80291">
          <w:rPr>
            <w:rFonts w:eastAsiaTheme="minorEastAsia" w:cstheme="minorBidi"/>
            <w:noProof/>
            <w:szCs w:val="22"/>
          </w:rPr>
          <w:tab/>
        </w:r>
        <w:r w:rsidR="00F80291" w:rsidRPr="00750B3A">
          <w:rPr>
            <w:rStyle w:val="Hyperlink"/>
            <w:rFonts w:eastAsiaTheme="majorEastAsia"/>
            <w:noProof/>
          </w:rPr>
          <w:t>Examples of national or jurisdictional policies, strategies or guidance</w:t>
        </w:r>
        <w:r w:rsidR="00F80291">
          <w:rPr>
            <w:noProof/>
            <w:webHidden/>
          </w:rPr>
          <w:tab/>
        </w:r>
        <w:r w:rsidR="00F80291">
          <w:rPr>
            <w:noProof/>
            <w:webHidden/>
          </w:rPr>
          <w:fldChar w:fldCharType="begin"/>
        </w:r>
        <w:r w:rsidR="00F80291">
          <w:rPr>
            <w:noProof/>
            <w:webHidden/>
          </w:rPr>
          <w:instrText xml:space="preserve"> PAGEREF _Toc121429178 \h </w:instrText>
        </w:r>
        <w:r w:rsidR="00F80291">
          <w:rPr>
            <w:noProof/>
            <w:webHidden/>
          </w:rPr>
        </w:r>
        <w:r w:rsidR="00F80291">
          <w:rPr>
            <w:noProof/>
            <w:webHidden/>
          </w:rPr>
          <w:fldChar w:fldCharType="separate"/>
        </w:r>
        <w:r w:rsidR="00296988">
          <w:rPr>
            <w:noProof/>
            <w:webHidden/>
          </w:rPr>
          <w:t>10</w:t>
        </w:r>
        <w:r w:rsidR="00F80291">
          <w:rPr>
            <w:noProof/>
            <w:webHidden/>
          </w:rPr>
          <w:fldChar w:fldCharType="end"/>
        </w:r>
      </w:hyperlink>
    </w:p>
    <w:p w14:paraId="2D3F838E" w14:textId="061E28ED" w:rsidR="00F80291" w:rsidRDefault="00B24361">
      <w:pPr>
        <w:pStyle w:val="TableofFigures"/>
        <w:tabs>
          <w:tab w:val="left" w:pos="993"/>
          <w:tab w:val="right" w:leader="dot" w:pos="9855"/>
        </w:tabs>
        <w:rPr>
          <w:rFonts w:eastAsiaTheme="minorEastAsia" w:cstheme="minorBidi"/>
          <w:noProof/>
          <w:szCs w:val="22"/>
        </w:rPr>
      </w:pPr>
      <w:hyperlink w:anchor="_Toc121429179" w:history="1">
        <w:r w:rsidR="00F80291" w:rsidRPr="00750B3A">
          <w:rPr>
            <w:rStyle w:val="Hyperlink"/>
            <w:rFonts w:eastAsiaTheme="majorEastAsia"/>
            <w:noProof/>
          </w:rPr>
          <w:t>Table 3</w:t>
        </w:r>
        <w:r w:rsidR="00F80291">
          <w:rPr>
            <w:rFonts w:eastAsiaTheme="minorEastAsia" w:cstheme="minorBidi"/>
            <w:noProof/>
            <w:szCs w:val="22"/>
          </w:rPr>
          <w:tab/>
        </w:r>
        <w:r w:rsidR="00F80291" w:rsidRPr="00750B3A">
          <w:rPr>
            <w:rStyle w:val="Hyperlink"/>
            <w:rFonts w:eastAsiaTheme="majorEastAsia"/>
            <w:noProof/>
          </w:rPr>
          <w:t>National Core Maternity Indicators</w:t>
        </w:r>
        <w:r w:rsidR="00F80291">
          <w:rPr>
            <w:noProof/>
            <w:webHidden/>
          </w:rPr>
          <w:tab/>
        </w:r>
        <w:r w:rsidR="00F80291">
          <w:rPr>
            <w:noProof/>
            <w:webHidden/>
          </w:rPr>
          <w:fldChar w:fldCharType="begin"/>
        </w:r>
        <w:r w:rsidR="00F80291">
          <w:rPr>
            <w:noProof/>
            <w:webHidden/>
          </w:rPr>
          <w:instrText xml:space="preserve"> PAGEREF _Toc121429179 \h </w:instrText>
        </w:r>
        <w:r w:rsidR="00F80291">
          <w:rPr>
            <w:noProof/>
            <w:webHidden/>
          </w:rPr>
        </w:r>
        <w:r w:rsidR="00F80291">
          <w:rPr>
            <w:noProof/>
            <w:webHidden/>
          </w:rPr>
          <w:fldChar w:fldCharType="separate"/>
        </w:r>
        <w:r w:rsidR="00296988">
          <w:rPr>
            <w:noProof/>
            <w:webHidden/>
          </w:rPr>
          <w:t>32</w:t>
        </w:r>
        <w:r w:rsidR="00F80291">
          <w:rPr>
            <w:noProof/>
            <w:webHidden/>
          </w:rPr>
          <w:fldChar w:fldCharType="end"/>
        </w:r>
      </w:hyperlink>
    </w:p>
    <w:p w14:paraId="78A6B919" w14:textId="0CEF3D1D" w:rsidR="00F80291" w:rsidRDefault="00B24361">
      <w:pPr>
        <w:pStyle w:val="TableofFigures"/>
        <w:tabs>
          <w:tab w:val="left" w:pos="993"/>
          <w:tab w:val="right" w:leader="dot" w:pos="9855"/>
        </w:tabs>
        <w:rPr>
          <w:rFonts w:eastAsiaTheme="minorEastAsia" w:cstheme="minorBidi"/>
          <w:noProof/>
          <w:szCs w:val="22"/>
        </w:rPr>
      </w:pPr>
      <w:hyperlink w:anchor="_Toc121429180" w:history="1">
        <w:r w:rsidR="00F80291" w:rsidRPr="00750B3A">
          <w:rPr>
            <w:rStyle w:val="Hyperlink"/>
            <w:rFonts w:eastAsiaTheme="majorEastAsia"/>
            <w:noProof/>
          </w:rPr>
          <w:t>Table 4</w:t>
        </w:r>
        <w:r w:rsidR="00F80291">
          <w:rPr>
            <w:rFonts w:eastAsiaTheme="minorEastAsia" w:cstheme="minorBidi"/>
            <w:noProof/>
            <w:szCs w:val="22"/>
          </w:rPr>
          <w:tab/>
        </w:r>
        <w:r w:rsidR="00F80291" w:rsidRPr="00750B3A">
          <w:rPr>
            <w:rStyle w:val="Hyperlink"/>
            <w:rFonts w:eastAsiaTheme="majorEastAsia"/>
            <w:noProof/>
          </w:rPr>
          <w:t>Percentage of babies, by gestational age grouped by term and completed weeks, 2010–2019</w:t>
        </w:r>
        <w:r w:rsidR="00F80291">
          <w:rPr>
            <w:noProof/>
            <w:webHidden/>
          </w:rPr>
          <w:tab/>
        </w:r>
        <w:r w:rsidR="00F80291">
          <w:rPr>
            <w:noProof/>
            <w:webHidden/>
          </w:rPr>
          <w:fldChar w:fldCharType="begin"/>
        </w:r>
        <w:r w:rsidR="00F80291">
          <w:rPr>
            <w:noProof/>
            <w:webHidden/>
          </w:rPr>
          <w:instrText xml:space="preserve"> PAGEREF _Toc121429180 \h </w:instrText>
        </w:r>
        <w:r w:rsidR="00F80291">
          <w:rPr>
            <w:noProof/>
            <w:webHidden/>
          </w:rPr>
        </w:r>
        <w:r w:rsidR="00F80291">
          <w:rPr>
            <w:noProof/>
            <w:webHidden/>
          </w:rPr>
          <w:fldChar w:fldCharType="separate"/>
        </w:r>
        <w:r w:rsidR="00296988">
          <w:rPr>
            <w:noProof/>
            <w:webHidden/>
          </w:rPr>
          <w:t>42</w:t>
        </w:r>
        <w:r w:rsidR="00F80291">
          <w:rPr>
            <w:noProof/>
            <w:webHidden/>
          </w:rPr>
          <w:fldChar w:fldCharType="end"/>
        </w:r>
      </w:hyperlink>
    </w:p>
    <w:p w14:paraId="2F17DE1B" w14:textId="42064FD9" w:rsidR="00F80291" w:rsidRDefault="00B24361">
      <w:pPr>
        <w:pStyle w:val="TableofFigures"/>
        <w:tabs>
          <w:tab w:val="left" w:pos="993"/>
          <w:tab w:val="right" w:leader="dot" w:pos="9855"/>
        </w:tabs>
        <w:rPr>
          <w:rFonts w:eastAsiaTheme="minorEastAsia" w:cstheme="minorBidi"/>
          <w:noProof/>
          <w:szCs w:val="22"/>
        </w:rPr>
      </w:pPr>
      <w:hyperlink w:anchor="_Toc121429181" w:history="1">
        <w:r w:rsidR="00F80291" w:rsidRPr="00750B3A">
          <w:rPr>
            <w:rStyle w:val="Hyperlink"/>
            <w:rFonts w:eastAsiaTheme="majorEastAsia"/>
            <w:noProof/>
          </w:rPr>
          <w:t>Table 5</w:t>
        </w:r>
        <w:r w:rsidR="00F80291">
          <w:rPr>
            <w:rFonts w:eastAsiaTheme="minorEastAsia" w:cstheme="minorBidi"/>
            <w:noProof/>
            <w:szCs w:val="22"/>
          </w:rPr>
          <w:tab/>
        </w:r>
        <w:r w:rsidR="00F80291" w:rsidRPr="00750B3A">
          <w:rPr>
            <w:rStyle w:val="Hyperlink"/>
            <w:rFonts w:eastAsiaTheme="majorEastAsia"/>
            <w:noProof/>
          </w:rPr>
          <w:t>Maternal mortality ratio by year, 2010–2019</w:t>
        </w:r>
        <w:r w:rsidR="00F80291">
          <w:rPr>
            <w:noProof/>
            <w:webHidden/>
          </w:rPr>
          <w:tab/>
        </w:r>
        <w:r w:rsidR="00F80291">
          <w:rPr>
            <w:noProof/>
            <w:webHidden/>
          </w:rPr>
          <w:fldChar w:fldCharType="begin"/>
        </w:r>
        <w:r w:rsidR="00F80291">
          <w:rPr>
            <w:noProof/>
            <w:webHidden/>
          </w:rPr>
          <w:instrText xml:space="preserve"> PAGEREF _Toc121429181 \h </w:instrText>
        </w:r>
        <w:r w:rsidR="00F80291">
          <w:rPr>
            <w:noProof/>
            <w:webHidden/>
          </w:rPr>
        </w:r>
        <w:r w:rsidR="00F80291">
          <w:rPr>
            <w:noProof/>
            <w:webHidden/>
          </w:rPr>
          <w:fldChar w:fldCharType="separate"/>
        </w:r>
        <w:r w:rsidR="00296988">
          <w:rPr>
            <w:noProof/>
            <w:webHidden/>
          </w:rPr>
          <w:t>46</w:t>
        </w:r>
        <w:r w:rsidR="00F80291">
          <w:rPr>
            <w:noProof/>
            <w:webHidden/>
          </w:rPr>
          <w:fldChar w:fldCharType="end"/>
        </w:r>
      </w:hyperlink>
    </w:p>
    <w:p w14:paraId="41B08C8C" w14:textId="28F92CD8" w:rsidR="00F80291" w:rsidRDefault="00B24361">
      <w:pPr>
        <w:pStyle w:val="TableofFigures"/>
        <w:tabs>
          <w:tab w:val="left" w:pos="993"/>
          <w:tab w:val="right" w:leader="dot" w:pos="9855"/>
        </w:tabs>
        <w:rPr>
          <w:rFonts w:eastAsiaTheme="minorEastAsia" w:cstheme="minorBidi"/>
          <w:noProof/>
          <w:szCs w:val="22"/>
        </w:rPr>
      </w:pPr>
      <w:hyperlink w:anchor="_Toc121429182" w:history="1">
        <w:r w:rsidR="00F80291" w:rsidRPr="00750B3A">
          <w:rPr>
            <w:rStyle w:val="Hyperlink"/>
            <w:rFonts w:eastAsiaTheme="majorEastAsia"/>
            <w:noProof/>
          </w:rPr>
          <w:t>Table 6</w:t>
        </w:r>
        <w:r w:rsidR="00F80291">
          <w:rPr>
            <w:rFonts w:eastAsiaTheme="minorEastAsia" w:cstheme="minorBidi"/>
            <w:noProof/>
            <w:szCs w:val="22"/>
          </w:rPr>
          <w:tab/>
        </w:r>
        <w:r w:rsidR="00F80291" w:rsidRPr="00750B3A">
          <w:rPr>
            <w:rStyle w:val="Hyperlink"/>
            <w:rFonts w:eastAsiaTheme="majorEastAsia"/>
            <w:noProof/>
          </w:rPr>
          <w:t>Triennial maternal mortality ratio (MMR) by selected causes of death, 2000-2002 to 2015-2017</w:t>
        </w:r>
        <w:r w:rsidR="00F80291">
          <w:rPr>
            <w:noProof/>
            <w:webHidden/>
          </w:rPr>
          <w:tab/>
        </w:r>
        <w:r w:rsidR="00F80291">
          <w:rPr>
            <w:noProof/>
            <w:webHidden/>
          </w:rPr>
          <w:fldChar w:fldCharType="begin"/>
        </w:r>
        <w:r w:rsidR="00F80291">
          <w:rPr>
            <w:noProof/>
            <w:webHidden/>
          </w:rPr>
          <w:instrText xml:space="preserve"> PAGEREF _Toc121429182 \h </w:instrText>
        </w:r>
        <w:r w:rsidR="00F80291">
          <w:rPr>
            <w:noProof/>
            <w:webHidden/>
          </w:rPr>
        </w:r>
        <w:r w:rsidR="00F80291">
          <w:rPr>
            <w:noProof/>
            <w:webHidden/>
          </w:rPr>
          <w:fldChar w:fldCharType="separate"/>
        </w:r>
        <w:r w:rsidR="00296988">
          <w:rPr>
            <w:noProof/>
            <w:webHidden/>
          </w:rPr>
          <w:t>46</w:t>
        </w:r>
        <w:r w:rsidR="00F80291">
          <w:rPr>
            <w:noProof/>
            <w:webHidden/>
          </w:rPr>
          <w:fldChar w:fldCharType="end"/>
        </w:r>
      </w:hyperlink>
    </w:p>
    <w:p w14:paraId="2D0CAF6D" w14:textId="24C4DA15" w:rsidR="00F80291" w:rsidRDefault="00B24361">
      <w:pPr>
        <w:pStyle w:val="TableofFigures"/>
        <w:tabs>
          <w:tab w:val="left" w:pos="993"/>
          <w:tab w:val="right" w:leader="dot" w:pos="9855"/>
        </w:tabs>
        <w:rPr>
          <w:rFonts w:eastAsiaTheme="minorEastAsia" w:cstheme="minorBidi"/>
          <w:noProof/>
          <w:szCs w:val="22"/>
        </w:rPr>
      </w:pPr>
      <w:hyperlink w:anchor="_Toc121429183" w:history="1">
        <w:r w:rsidR="00F80291" w:rsidRPr="00750B3A">
          <w:rPr>
            <w:rStyle w:val="Hyperlink"/>
            <w:rFonts w:eastAsiaTheme="majorEastAsia" w:cstheme="minorHAnsi"/>
            <w:noProof/>
          </w:rPr>
          <w:t>Table 7</w:t>
        </w:r>
        <w:r w:rsidR="00F80291">
          <w:rPr>
            <w:rFonts w:eastAsiaTheme="minorEastAsia" w:cstheme="minorBidi"/>
            <w:noProof/>
            <w:szCs w:val="22"/>
          </w:rPr>
          <w:tab/>
        </w:r>
        <w:r w:rsidR="00F80291" w:rsidRPr="00750B3A">
          <w:rPr>
            <w:rStyle w:val="Hyperlink"/>
            <w:rFonts w:eastAsiaTheme="majorEastAsia" w:cstheme="minorHAnsi"/>
            <w:noProof/>
          </w:rPr>
          <w:t>Proportion of models of care, by major model category and jurisdiction, 2022</w:t>
        </w:r>
        <w:r w:rsidR="00F80291">
          <w:rPr>
            <w:noProof/>
            <w:webHidden/>
          </w:rPr>
          <w:tab/>
        </w:r>
        <w:r w:rsidR="00F80291">
          <w:rPr>
            <w:noProof/>
            <w:webHidden/>
          </w:rPr>
          <w:fldChar w:fldCharType="begin"/>
        </w:r>
        <w:r w:rsidR="00F80291">
          <w:rPr>
            <w:noProof/>
            <w:webHidden/>
          </w:rPr>
          <w:instrText xml:space="preserve"> PAGEREF _Toc121429183 \h </w:instrText>
        </w:r>
        <w:r w:rsidR="00F80291">
          <w:rPr>
            <w:noProof/>
            <w:webHidden/>
          </w:rPr>
        </w:r>
        <w:r w:rsidR="00F80291">
          <w:rPr>
            <w:noProof/>
            <w:webHidden/>
          </w:rPr>
          <w:fldChar w:fldCharType="separate"/>
        </w:r>
        <w:r w:rsidR="00296988">
          <w:rPr>
            <w:noProof/>
            <w:webHidden/>
          </w:rPr>
          <w:t>47</w:t>
        </w:r>
        <w:r w:rsidR="00F80291">
          <w:rPr>
            <w:noProof/>
            <w:webHidden/>
          </w:rPr>
          <w:fldChar w:fldCharType="end"/>
        </w:r>
      </w:hyperlink>
    </w:p>
    <w:p w14:paraId="5AB2B6E5" w14:textId="25B1C3A7" w:rsidR="00F80291" w:rsidRDefault="00B24361">
      <w:pPr>
        <w:pStyle w:val="TableofFigures"/>
        <w:tabs>
          <w:tab w:val="left" w:pos="993"/>
          <w:tab w:val="right" w:leader="dot" w:pos="9855"/>
        </w:tabs>
        <w:rPr>
          <w:rFonts w:eastAsiaTheme="minorEastAsia" w:cstheme="minorBidi"/>
          <w:noProof/>
          <w:szCs w:val="22"/>
        </w:rPr>
      </w:pPr>
      <w:hyperlink w:anchor="_Toc121429184" w:history="1">
        <w:r w:rsidR="00F80291" w:rsidRPr="00750B3A">
          <w:rPr>
            <w:rStyle w:val="Hyperlink"/>
            <w:rFonts w:eastAsiaTheme="majorEastAsia" w:cstheme="minorHAnsi"/>
            <w:noProof/>
          </w:rPr>
          <w:t>Table 8</w:t>
        </w:r>
        <w:r w:rsidR="00F80291">
          <w:rPr>
            <w:rFonts w:eastAsiaTheme="minorEastAsia" w:cstheme="minorBidi"/>
            <w:noProof/>
            <w:szCs w:val="22"/>
          </w:rPr>
          <w:tab/>
        </w:r>
        <w:r w:rsidR="00F80291" w:rsidRPr="00750B3A">
          <w:rPr>
            <w:rStyle w:val="Hyperlink"/>
            <w:rFonts w:eastAsiaTheme="majorEastAsia" w:cstheme="minorHAnsi"/>
            <w:noProof/>
          </w:rPr>
          <w:t>Proportion of models of care, by continuity of carer and jurisdiction, 2022</w:t>
        </w:r>
        <w:r w:rsidR="00F80291">
          <w:rPr>
            <w:noProof/>
            <w:webHidden/>
          </w:rPr>
          <w:tab/>
        </w:r>
        <w:r w:rsidR="00F80291">
          <w:rPr>
            <w:noProof/>
            <w:webHidden/>
          </w:rPr>
          <w:fldChar w:fldCharType="begin"/>
        </w:r>
        <w:r w:rsidR="00F80291">
          <w:rPr>
            <w:noProof/>
            <w:webHidden/>
          </w:rPr>
          <w:instrText xml:space="preserve"> PAGEREF _Toc121429184 \h </w:instrText>
        </w:r>
        <w:r w:rsidR="00F80291">
          <w:rPr>
            <w:noProof/>
            <w:webHidden/>
          </w:rPr>
        </w:r>
        <w:r w:rsidR="00F80291">
          <w:rPr>
            <w:noProof/>
            <w:webHidden/>
          </w:rPr>
          <w:fldChar w:fldCharType="separate"/>
        </w:r>
        <w:r w:rsidR="00296988">
          <w:rPr>
            <w:noProof/>
            <w:webHidden/>
          </w:rPr>
          <w:t>48</w:t>
        </w:r>
        <w:r w:rsidR="00F80291">
          <w:rPr>
            <w:noProof/>
            <w:webHidden/>
          </w:rPr>
          <w:fldChar w:fldCharType="end"/>
        </w:r>
      </w:hyperlink>
    </w:p>
    <w:p w14:paraId="151F6847" w14:textId="6602B20E" w:rsidR="00F80291" w:rsidRDefault="00B24361">
      <w:pPr>
        <w:pStyle w:val="TableofFigures"/>
        <w:tabs>
          <w:tab w:val="left" w:pos="993"/>
          <w:tab w:val="right" w:leader="dot" w:pos="9855"/>
        </w:tabs>
        <w:rPr>
          <w:rFonts w:eastAsiaTheme="minorEastAsia" w:cstheme="minorBidi"/>
          <w:noProof/>
          <w:szCs w:val="22"/>
        </w:rPr>
      </w:pPr>
      <w:hyperlink w:anchor="_Toc121429185" w:history="1">
        <w:r w:rsidR="00F80291" w:rsidRPr="00750B3A">
          <w:rPr>
            <w:rStyle w:val="Hyperlink"/>
            <w:rFonts w:eastAsiaTheme="majorEastAsia"/>
            <w:noProof/>
          </w:rPr>
          <w:t>Table 9</w:t>
        </w:r>
        <w:r w:rsidR="00F80291">
          <w:rPr>
            <w:rFonts w:eastAsiaTheme="minorEastAsia" w:cstheme="minorBidi"/>
            <w:noProof/>
            <w:szCs w:val="22"/>
          </w:rPr>
          <w:tab/>
        </w:r>
        <w:r w:rsidR="00F80291" w:rsidRPr="00750B3A">
          <w:rPr>
            <w:rStyle w:val="Hyperlink"/>
            <w:rFonts w:eastAsiaTheme="majorEastAsia"/>
            <w:noProof/>
          </w:rPr>
          <w:t>Stakeholder priorities for action and measurement by the Strategy’s values</w:t>
        </w:r>
        <w:r w:rsidR="00F80291">
          <w:rPr>
            <w:noProof/>
            <w:webHidden/>
          </w:rPr>
          <w:tab/>
        </w:r>
        <w:r w:rsidR="00F80291">
          <w:rPr>
            <w:noProof/>
            <w:webHidden/>
          </w:rPr>
          <w:fldChar w:fldCharType="begin"/>
        </w:r>
        <w:r w:rsidR="00F80291">
          <w:rPr>
            <w:noProof/>
            <w:webHidden/>
          </w:rPr>
          <w:instrText xml:space="preserve"> PAGEREF _Toc121429185 \h </w:instrText>
        </w:r>
        <w:r w:rsidR="00F80291">
          <w:rPr>
            <w:noProof/>
            <w:webHidden/>
          </w:rPr>
        </w:r>
        <w:r w:rsidR="00F80291">
          <w:rPr>
            <w:noProof/>
            <w:webHidden/>
          </w:rPr>
          <w:fldChar w:fldCharType="separate"/>
        </w:r>
        <w:r w:rsidR="00296988">
          <w:rPr>
            <w:noProof/>
            <w:webHidden/>
          </w:rPr>
          <w:t>54</w:t>
        </w:r>
        <w:r w:rsidR="00F80291">
          <w:rPr>
            <w:noProof/>
            <w:webHidden/>
          </w:rPr>
          <w:fldChar w:fldCharType="end"/>
        </w:r>
      </w:hyperlink>
    </w:p>
    <w:p w14:paraId="70F033A6" w14:textId="10DD3F0A" w:rsidR="00F80291" w:rsidRDefault="00B24361">
      <w:pPr>
        <w:pStyle w:val="TableofFigures"/>
        <w:tabs>
          <w:tab w:val="left" w:pos="993"/>
          <w:tab w:val="right" w:leader="dot" w:pos="9855"/>
        </w:tabs>
        <w:rPr>
          <w:rFonts w:eastAsiaTheme="minorEastAsia" w:cstheme="minorBidi"/>
          <w:noProof/>
          <w:szCs w:val="22"/>
        </w:rPr>
      </w:pPr>
      <w:hyperlink w:anchor="_Toc121429186" w:history="1">
        <w:r w:rsidR="00F80291" w:rsidRPr="00750B3A">
          <w:rPr>
            <w:rStyle w:val="Hyperlink"/>
            <w:rFonts w:eastAsiaTheme="majorEastAsia"/>
            <w:noProof/>
          </w:rPr>
          <w:t>Table 10</w:t>
        </w:r>
        <w:r w:rsidR="00F80291">
          <w:rPr>
            <w:rFonts w:eastAsiaTheme="minorEastAsia" w:cstheme="minorBidi"/>
            <w:noProof/>
            <w:szCs w:val="22"/>
          </w:rPr>
          <w:tab/>
        </w:r>
        <w:r w:rsidR="00F80291" w:rsidRPr="00750B3A">
          <w:rPr>
            <w:rStyle w:val="Hyperlink"/>
            <w:rFonts w:eastAsiaTheme="majorEastAsia"/>
            <w:noProof/>
          </w:rPr>
          <w:t>Smoking in first 20 weeks, all women giving birth (PI01a), 2011–2019</w:t>
        </w:r>
        <w:r w:rsidR="00F80291">
          <w:rPr>
            <w:noProof/>
            <w:webHidden/>
          </w:rPr>
          <w:tab/>
        </w:r>
        <w:r w:rsidR="00F80291">
          <w:rPr>
            <w:noProof/>
            <w:webHidden/>
          </w:rPr>
          <w:fldChar w:fldCharType="begin"/>
        </w:r>
        <w:r w:rsidR="00F80291">
          <w:rPr>
            <w:noProof/>
            <w:webHidden/>
          </w:rPr>
          <w:instrText xml:space="preserve"> PAGEREF _Toc121429186 \h </w:instrText>
        </w:r>
        <w:r w:rsidR="00F80291">
          <w:rPr>
            <w:noProof/>
            <w:webHidden/>
          </w:rPr>
        </w:r>
        <w:r w:rsidR="00F80291">
          <w:rPr>
            <w:noProof/>
            <w:webHidden/>
          </w:rPr>
          <w:fldChar w:fldCharType="separate"/>
        </w:r>
        <w:r w:rsidR="00296988">
          <w:rPr>
            <w:noProof/>
            <w:webHidden/>
          </w:rPr>
          <w:t>69</w:t>
        </w:r>
        <w:r w:rsidR="00F80291">
          <w:rPr>
            <w:noProof/>
            <w:webHidden/>
          </w:rPr>
          <w:fldChar w:fldCharType="end"/>
        </w:r>
      </w:hyperlink>
    </w:p>
    <w:p w14:paraId="49FA4890" w14:textId="243B1CDC" w:rsidR="00F80291" w:rsidRDefault="00B24361">
      <w:pPr>
        <w:pStyle w:val="TableofFigures"/>
        <w:tabs>
          <w:tab w:val="left" w:pos="993"/>
          <w:tab w:val="right" w:leader="dot" w:pos="9855"/>
        </w:tabs>
        <w:rPr>
          <w:rFonts w:eastAsiaTheme="minorEastAsia" w:cstheme="minorBidi"/>
          <w:noProof/>
          <w:szCs w:val="22"/>
        </w:rPr>
      </w:pPr>
      <w:hyperlink w:anchor="_Toc121429187" w:history="1">
        <w:r w:rsidR="00F80291" w:rsidRPr="00750B3A">
          <w:rPr>
            <w:rStyle w:val="Hyperlink"/>
            <w:rFonts w:eastAsiaTheme="majorEastAsia"/>
            <w:noProof/>
          </w:rPr>
          <w:t>Table 11</w:t>
        </w:r>
        <w:r w:rsidR="00F80291">
          <w:rPr>
            <w:rFonts w:eastAsiaTheme="minorEastAsia" w:cstheme="minorBidi"/>
            <w:noProof/>
            <w:szCs w:val="22"/>
          </w:rPr>
          <w:tab/>
        </w:r>
        <w:r w:rsidR="00F80291" w:rsidRPr="00750B3A">
          <w:rPr>
            <w:rStyle w:val="Hyperlink"/>
            <w:rFonts w:eastAsiaTheme="majorEastAsia"/>
            <w:noProof/>
          </w:rPr>
          <w:t>Smoking after first 20 weeks, all women giving birth who reported smoking during pregnancy (PI01b), 2011–2019</w:t>
        </w:r>
        <w:r w:rsidR="00F80291">
          <w:rPr>
            <w:noProof/>
            <w:webHidden/>
          </w:rPr>
          <w:tab/>
        </w:r>
        <w:r w:rsidR="00F80291">
          <w:rPr>
            <w:noProof/>
            <w:webHidden/>
          </w:rPr>
          <w:fldChar w:fldCharType="begin"/>
        </w:r>
        <w:r w:rsidR="00F80291">
          <w:rPr>
            <w:noProof/>
            <w:webHidden/>
          </w:rPr>
          <w:instrText xml:space="preserve"> PAGEREF _Toc121429187 \h </w:instrText>
        </w:r>
        <w:r w:rsidR="00F80291">
          <w:rPr>
            <w:noProof/>
            <w:webHidden/>
          </w:rPr>
        </w:r>
        <w:r w:rsidR="00F80291">
          <w:rPr>
            <w:noProof/>
            <w:webHidden/>
          </w:rPr>
          <w:fldChar w:fldCharType="separate"/>
        </w:r>
        <w:r w:rsidR="00296988">
          <w:rPr>
            <w:noProof/>
            <w:webHidden/>
          </w:rPr>
          <w:t>70</w:t>
        </w:r>
        <w:r w:rsidR="00F80291">
          <w:rPr>
            <w:noProof/>
            <w:webHidden/>
          </w:rPr>
          <w:fldChar w:fldCharType="end"/>
        </w:r>
      </w:hyperlink>
    </w:p>
    <w:p w14:paraId="21BE8D76" w14:textId="3DB12424" w:rsidR="00F80291" w:rsidRDefault="00B24361">
      <w:pPr>
        <w:pStyle w:val="TableofFigures"/>
        <w:tabs>
          <w:tab w:val="left" w:pos="993"/>
          <w:tab w:val="right" w:leader="dot" w:pos="9855"/>
        </w:tabs>
        <w:rPr>
          <w:rFonts w:eastAsiaTheme="minorEastAsia" w:cstheme="minorBidi"/>
          <w:noProof/>
          <w:szCs w:val="22"/>
        </w:rPr>
      </w:pPr>
      <w:hyperlink w:anchor="_Toc121429188" w:history="1">
        <w:r w:rsidR="00F80291" w:rsidRPr="00750B3A">
          <w:rPr>
            <w:rStyle w:val="Hyperlink"/>
            <w:rFonts w:eastAsiaTheme="majorEastAsia"/>
            <w:noProof/>
          </w:rPr>
          <w:t>Table 12</w:t>
        </w:r>
        <w:r w:rsidR="00F80291">
          <w:rPr>
            <w:rFonts w:eastAsiaTheme="minorEastAsia" w:cstheme="minorBidi"/>
            <w:noProof/>
            <w:szCs w:val="22"/>
          </w:rPr>
          <w:tab/>
        </w:r>
        <w:r w:rsidR="00F80291" w:rsidRPr="00750B3A">
          <w:rPr>
            <w:rStyle w:val="Hyperlink"/>
            <w:rFonts w:eastAsiaTheme="majorEastAsia"/>
            <w:noProof/>
          </w:rPr>
          <w:t>Antenatal care visits in first trimester, all women giving birth (PI02a), 2011-2019</w:t>
        </w:r>
        <w:r w:rsidR="00F80291">
          <w:rPr>
            <w:noProof/>
            <w:webHidden/>
          </w:rPr>
          <w:tab/>
        </w:r>
        <w:r w:rsidR="00F80291">
          <w:rPr>
            <w:noProof/>
            <w:webHidden/>
          </w:rPr>
          <w:fldChar w:fldCharType="begin"/>
        </w:r>
        <w:r w:rsidR="00F80291">
          <w:rPr>
            <w:noProof/>
            <w:webHidden/>
          </w:rPr>
          <w:instrText xml:space="preserve"> PAGEREF _Toc121429188 \h </w:instrText>
        </w:r>
        <w:r w:rsidR="00F80291">
          <w:rPr>
            <w:noProof/>
            <w:webHidden/>
          </w:rPr>
        </w:r>
        <w:r w:rsidR="00F80291">
          <w:rPr>
            <w:noProof/>
            <w:webHidden/>
          </w:rPr>
          <w:fldChar w:fldCharType="separate"/>
        </w:r>
        <w:r w:rsidR="00296988">
          <w:rPr>
            <w:noProof/>
            <w:webHidden/>
          </w:rPr>
          <w:t>71</w:t>
        </w:r>
        <w:r w:rsidR="00F80291">
          <w:rPr>
            <w:noProof/>
            <w:webHidden/>
          </w:rPr>
          <w:fldChar w:fldCharType="end"/>
        </w:r>
      </w:hyperlink>
    </w:p>
    <w:p w14:paraId="2645B6D8" w14:textId="361BBC2B" w:rsidR="00F80291" w:rsidRDefault="00B24361">
      <w:pPr>
        <w:pStyle w:val="TableofFigures"/>
        <w:tabs>
          <w:tab w:val="left" w:pos="993"/>
          <w:tab w:val="right" w:leader="dot" w:pos="9855"/>
        </w:tabs>
        <w:rPr>
          <w:rFonts w:eastAsiaTheme="minorEastAsia" w:cstheme="minorBidi"/>
          <w:noProof/>
          <w:szCs w:val="22"/>
        </w:rPr>
      </w:pPr>
      <w:hyperlink w:anchor="_Toc121429189" w:history="1">
        <w:r w:rsidR="00F80291" w:rsidRPr="00750B3A">
          <w:rPr>
            <w:rStyle w:val="Hyperlink"/>
            <w:rFonts w:eastAsiaTheme="majorEastAsia"/>
            <w:noProof/>
          </w:rPr>
          <w:t>Table 13</w:t>
        </w:r>
        <w:r w:rsidR="00F80291">
          <w:rPr>
            <w:rFonts w:eastAsiaTheme="minorEastAsia" w:cstheme="minorBidi"/>
            <w:noProof/>
            <w:szCs w:val="22"/>
          </w:rPr>
          <w:tab/>
        </w:r>
        <w:r w:rsidR="00F80291" w:rsidRPr="00750B3A">
          <w:rPr>
            <w:rStyle w:val="Hyperlink"/>
            <w:rFonts w:eastAsiaTheme="majorEastAsia"/>
            <w:noProof/>
          </w:rPr>
          <w:t>Antenatal care visits in first 10 weeks, all women giving birth (PI02b), 2011–2019</w:t>
        </w:r>
        <w:r w:rsidR="00F80291">
          <w:rPr>
            <w:noProof/>
            <w:webHidden/>
          </w:rPr>
          <w:tab/>
        </w:r>
        <w:r w:rsidR="00F80291">
          <w:rPr>
            <w:noProof/>
            <w:webHidden/>
          </w:rPr>
          <w:fldChar w:fldCharType="begin"/>
        </w:r>
        <w:r w:rsidR="00F80291">
          <w:rPr>
            <w:noProof/>
            <w:webHidden/>
          </w:rPr>
          <w:instrText xml:space="preserve"> PAGEREF _Toc121429189 \h </w:instrText>
        </w:r>
        <w:r w:rsidR="00F80291">
          <w:rPr>
            <w:noProof/>
            <w:webHidden/>
          </w:rPr>
        </w:r>
        <w:r w:rsidR="00F80291">
          <w:rPr>
            <w:noProof/>
            <w:webHidden/>
          </w:rPr>
          <w:fldChar w:fldCharType="separate"/>
        </w:r>
        <w:r w:rsidR="00296988">
          <w:rPr>
            <w:noProof/>
            <w:webHidden/>
          </w:rPr>
          <w:t>72</w:t>
        </w:r>
        <w:r w:rsidR="00F80291">
          <w:rPr>
            <w:noProof/>
            <w:webHidden/>
          </w:rPr>
          <w:fldChar w:fldCharType="end"/>
        </w:r>
      </w:hyperlink>
    </w:p>
    <w:p w14:paraId="5B84412D" w14:textId="08AFD1B7" w:rsidR="00F80291" w:rsidRDefault="00B24361">
      <w:pPr>
        <w:pStyle w:val="TableofFigures"/>
        <w:tabs>
          <w:tab w:val="left" w:pos="993"/>
          <w:tab w:val="right" w:leader="dot" w:pos="9855"/>
        </w:tabs>
        <w:rPr>
          <w:rFonts w:eastAsiaTheme="minorEastAsia" w:cstheme="minorBidi"/>
          <w:noProof/>
          <w:szCs w:val="22"/>
        </w:rPr>
      </w:pPr>
      <w:hyperlink w:anchor="_Toc121429190" w:history="1">
        <w:r w:rsidR="00F80291" w:rsidRPr="00750B3A">
          <w:rPr>
            <w:rStyle w:val="Hyperlink"/>
            <w:rFonts w:eastAsiaTheme="majorEastAsia"/>
            <w:noProof/>
          </w:rPr>
          <w:t>Table 14</w:t>
        </w:r>
        <w:r w:rsidR="00F80291">
          <w:rPr>
            <w:rFonts w:eastAsiaTheme="minorEastAsia" w:cstheme="minorBidi"/>
            <w:noProof/>
            <w:szCs w:val="22"/>
          </w:rPr>
          <w:tab/>
        </w:r>
        <w:r w:rsidR="00F80291" w:rsidRPr="00750B3A">
          <w:rPr>
            <w:rStyle w:val="Hyperlink"/>
            <w:rFonts w:eastAsiaTheme="majorEastAsia"/>
            <w:noProof/>
          </w:rPr>
          <w:t>Five or more antenatal care visits, 2012–2019</w:t>
        </w:r>
        <w:r w:rsidR="00F80291">
          <w:rPr>
            <w:noProof/>
            <w:webHidden/>
          </w:rPr>
          <w:tab/>
        </w:r>
        <w:r w:rsidR="00F80291">
          <w:rPr>
            <w:noProof/>
            <w:webHidden/>
          </w:rPr>
          <w:fldChar w:fldCharType="begin"/>
        </w:r>
        <w:r w:rsidR="00F80291">
          <w:rPr>
            <w:noProof/>
            <w:webHidden/>
          </w:rPr>
          <w:instrText xml:space="preserve"> PAGEREF _Toc121429190 \h </w:instrText>
        </w:r>
        <w:r w:rsidR="00F80291">
          <w:rPr>
            <w:noProof/>
            <w:webHidden/>
          </w:rPr>
        </w:r>
        <w:r w:rsidR="00F80291">
          <w:rPr>
            <w:noProof/>
            <w:webHidden/>
          </w:rPr>
          <w:fldChar w:fldCharType="separate"/>
        </w:r>
        <w:r w:rsidR="00296988">
          <w:rPr>
            <w:noProof/>
            <w:webHidden/>
          </w:rPr>
          <w:t>73</w:t>
        </w:r>
        <w:r w:rsidR="00F80291">
          <w:rPr>
            <w:noProof/>
            <w:webHidden/>
          </w:rPr>
          <w:fldChar w:fldCharType="end"/>
        </w:r>
      </w:hyperlink>
    </w:p>
    <w:p w14:paraId="7BC54AD6" w14:textId="7AB43050" w:rsidR="00F80291" w:rsidRDefault="00B24361">
      <w:pPr>
        <w:pStyle w:val="TableofFigures"/>
        <w:tabs>
          <w:tab w:val="left" w:pos="993"/>
          <w:tab w:val="right" w:leader="dot" w:pos="9855"/>
        </w:tabs>
        <w:rPr>
          <w:rFonts w:eastAsiaTheme="minorEastAsia" w:cstheme="minorBidi"/>
          <w:noProof/>
          <w:szCs w:val="22"/>
        </w:rPr>
      </w:pPr>
      <w:hyperlink w:anchor="_Toc121429191" w:history="1">
        <w:r w:rsidR="00F80291" w:rsidRPr="00750B3A">
          <w:rPr>
            <w:rStyle w:val="Hyperlink"/>
            <w:rFonts w:eastAsiaTheme="majorEastAsia"/>
            <w:noProof/>
          </w:rPr>
          <w:t>Table 15</w:t>
        </w:r>
        <w:r w:rsidR="00F80291">
          <w:rPr>
            <w:rFonts w:eastAsiaTheme="minorEastAsia" w:cstheme="minorBidi"/>
            <w:noProof/>
            <w:szCs w:val="22"/>
          </w:rPr>
          <w:tab/>
        </w:r>
        <w:r w:rsidR="00F80291" w:rsidRPr="00750B3A">
          <w:rPr>
            <w:rStyle w:val="Hyperlink"/>
            <w:rFonts w:eastAsiaTheme="majorEastAsia"/>
            <w:noProof/>
          </w:rPr>
          <w:t>Induction of labour, 2010–2019</w:t>
        </w:r>
        <w:r w:rsidR="00F80291">
          <w:rPr>
            <w:noProof/>
            <w:webHidden/>
          </w:rPr>
          <w:tab/>
        </w:r>
        <w:r w:rsidR="00F80291">
          <w:rPr>
            <w:noProof/>
            <w:webHidden/>
          </w:rPr>
          <w:fldChar w:fldCharType="begin"/>
        </w:r>
        <w:r w:rsidR="00F80291">
          <w:rPr>
            <w:noProof/>
            <w:webHidden/>
          </w:rPr>
          <w:instrText xml:space="preserve"> PAGEREF _Toc121429191 \h </w:instrText>
        </w:r>
        <w:r w:rsidR="00F80291">
          <w:rPr>
            <w:noProof/>
            <w:webHidden/>
          </w:rPr>
        </w:r>
        <w:r w:rsidR="00F80291">
          <w:rPr>
            <w:noProof/>
            <w:webHidden/>
          </w:rPr>
          <w:fldChar w:fldCharType="separate"/>
        </w:r>
        <w:r w:rsidR="00296988">
          <w:rPr>
            <w:noProof/>
            <w:webHidden/>
          </w:rPr>
          <w:t>74</w:t>
        </w:r>
        <w:r w:rsidR="00F80291">
          <w:rPr>
            <w:noProof/>
            <w:webHidden/>
          </w:rPr>
          <w:fldChar w:fldCharType="end"/>
        </w:r>
      </w:hyperlink>
    </w:p>
    <w:p w14:paraId="5AD4FEBC" w14:textId="55A8B236" w:rsidR="00F80291" w:rsidRDefault="00B24361">
      <w:pPr>
        <w:pStyle w:val="TableofFigures"/>
        <w:tabs>
          <w:tab w:val="left" w:pos="993"/>
          <w:tab w:val="right" w:leader="dot" w:pos="9855"/>
        </w:tabs>
        <w:rPr>
          <w:rFonts w:eastAsiaTheme="minorEastAsia" w:cstheme="minorBidi"/>
          <w:noProof/>
          <w:szCs w:val="22"/>
        </w:rPr>
      </w:pPr>
      <w:hyperlink w:anchor="_Toc121429192" w:history="1">
        <w:r w:rsidR="00F80291" w:rsidRPr="00750B3A">
          <w:rPr>
            <w:rStyle w:val="Hyperlink"/>
            <w:rFonts w:eastAsiaTheme="majorEastAsia"/>
            <w:noProof/>
          </w:rPr>
          <w:t>Table 16</w:t>
        </w:r>
        <w:r w:rsidR="00F80291">
          <w:rPr>
            <w:rFonts w:eastAsiaTheme="minorEastAsia" w:cstheme="minorBidi"/>
            <w:noProof/>
            <w:szCs w:val="22"/>
          </w:rPr>
          <w:tab/>
        </w:r>
        <w:r w:rsidR="00F80291" w:rsidRPr="00750B3A">
          <w:rPr>
            <w:rStyle w:val="Hyperlink"/>
            <w:rFonts w:eastAsiaTheme="majorEastAsia"/>
            <w:noProof/>
          </w:rPr>
          <w:t>No labour, 2010–2019</w:t>
        </w:r>
        <w:r w:rsidR="00F80291">
          <w:rPr>
            <w:noProof/>
            <w:webHidden/>
          </w:rPr>
          <w:tab/>
        </w:r>
        <w:r w:rsidR="00F80291">
          <w:rPr>
            <w:noProof/>
            <w:webHidden/>
          </w:rPr>
          <w:fldChar w:fldCharType="begin"/>
        </w:r>
        <w:r w:rsidR="00F80291">
          <w:rPr>
            <w:noProof/>
            <w:webHidden/>
          </w:rPr>
          <w:instrText xml:space="preserve"> PAGEREF _Toc121429192 \h </w:instrText>
        </w:r>
        <w:r w:rsidR="00F80291">
          <w:rPr>
            <w:noProof/>
            <w:webHidden/>
          </w:rPr>
        </w:r>
        <w:r w:rsidR="00F80291">
          <w:rPr>
            <w:noProof/>
            <w:webHidden/>
          </w:rPr>
          <w:fldChar w:fldCharType="separate"/>
        </w:r>
        <w:r w:rsidR="00296988">
          <w:rPr>
            <w:noProof/>
            <w:webHidden/>
          </w:rPr>
          <w:t>75</w:t>
        </w:r>
        <w:r w:rsidR="00F80291">
          <w:rPr>
            <w:noProof/>
            <w:webHidden/>
          </w:rPr>
          <w:fldChar w:fldCharType="end"/>
        </w:r>
      </w:hyperlink>
    </w:p>
    <w:p w14:paraId="383D4A0A" w14:textId="28D0A401" w:rsidR="00F80291" w:rsidRDefault="00B24361">
      <w:pPr>
        <w:pStyle w:val="TableofFigures"/>
        <w:tabs>
          <w:tab w:val="left" w:pos="993"/>
          <w:tab w:val="right" w:leader="dot" w:pos="9855"/>
        </w:tabs>
        <w:rPr>
          <w:rFonts w:eastAsiaTheme="minorEastAsia" w:cstheme="minorBidi"/>
          <w:noProof/>
          <w:szCs w:val="22"/>
        </w:rPr>
      </w:pPr>
      <w:hyperlink w:anchor="_Toc121429193" w:history="1">
        <w:r w:rsidR="00F80291" w:rsidRPr="00750B3A">
          <w:rPr>
            <w:rStyle w:val="Hyperlink"/>
            <w:rFonts w:eastAsiaTheme="majorEastAsia"/>
            <w:noProof/>
          </w:rPr>
          <w:t>Table 17</w:t>
        </w:r>
        <w:r w:rsidR="00F80291">
          <w:rPr>
            <w:rFonts w:eastAsiaTheme="minorEastAsia" w:cstheme="minorBidi"/>
            <w:noProof/>
            <w:szCs w:val="22"/>
          </w:rPr>
          <w:tab/>
        </w:r>
        <w:r w:rsidR="00F80291" w:rsidRPr="00750B3A">
          <w:rPr>
            <w:rStyle w:val="Hyperlink"/>
            <w:rFonts w:eastAsiaTheme="majorEastAsia"/>
            <w:noProof/>
          </w:rPr>
          <w:t>Spontaneous labour, 2010–2019</w:t>
        </w:r>
        <w:r w:rsidR="00F80291">
          <w:rPr>
            <w:noProof/>
            <w:webHidden/>
          </w:rPr>
          <w:tab/>
        </w:r>
        <w:r w:rsidR="00F80291">
          <w:rPr>
            <w:noProof/>
            <w:webHidden/>
          </w:rPr>
          <w:fldChar w:fldCharType="begin"/>
        </w:r>
        <w:r w:rsidR="00F80291">
          <w:rPr>
            <w:noProof/>
            <w:webHidden/>
          </w:rPr>
          <w:instrText xml:space="preserve"> PAGEREF _Toc121429193 \h </w:instrText>
        </w:r>
        <w:r w:rsidR="00F80291">
          <w:rPr>
            <w:noProof/>
            <w:webHidden/>
          </w:rPr>
        </w:r>
        <w:r w:rsidR="00F80291">
          <w:rPr>
            <w:noProof/>
            <w:webHidden/>
          </w:rPr>
          <w:fldChar w:fldCharType="separate"/>
        </w:r>
        <w:r w:rsidR="00296988">
          <w:rPr>
            <w:noProof/>
            <w:webHidden/>
          </w:rPr>
          <w:t>76</w:t>
        </w:r>
        <w:r w:rsidR="00F80291">
          <w:rPr>
            <w:noProof/>
            <w:webHidden/>
          </w:rPr>
          <w:fldChar w:fldCharType="end"/>
        </w:r>
      </w:hyperlink>
    </w:p>
    <w:p w14:paraId="224E3003" w14:textId="4BEC34FF" w:rsidR="00F80291" w:rsidRDefault="00B24361">
      <w:pPr>
        <w:pStyle w:val="TableofFigures"/>
        <w:tabs>
          <w:tab w:val="left" w:pos="993"/>
          <w:tab w:val="right" w:leader="dot" w:pos="9855"/>
        </w:tabs>
        <w:rPr>
          <w:rFonts w:eastAsiaTheme="minorEastAsia" w:cstheme="minorBidi"/>
          <w:noProof/>
          <w:szCs w:val="22"/>
        </w:rPr>
      </w:pPr>
      <w:hyperlink w:anchor="_Toc121429194" w:history="1">
        <w:r w:rsidR="00F80291" w:rsidRPr="00750B3A">
          <w:rPr>
            <w:rStyle w:val="Hyperlink"/>
            <w:rFonts w:eastAsiaTheme="majorEastAsia"/>
            <w:noProof/>
          </w:rPr>
          <w:t>Table 18</w:t>
        </w:r>
        <w:r w:rsidR="00F80291">
          <w:rPr>
            <w:rFonts w:eastAsiaTheme="minorEastAsia" w:cstheme="minorBidi"/>
            <w:noProof/>
            <w:szCs w:val="22"/>
          </w:rPr>
          <w:tab/>
        </w:r>
        <w:r w:rsidR="00F80291" w:rsidRPr="00750B3A">
          <w:rPr>
            <w:rStyle w:val="Hyperlink"/>
            <w:rFonts w:eastAsiaTheme="majorEastAsia"/>
            <w:noProof/>
          </w:rPr>
          <w:t>Induction of labour, selected women, first birth (PI05), 2011–2019</w:t>
        </w:r>
        <w:r w:rsidR="00F80291">
          <w:rPr>
            <w:noProof/>
            <w:webHidden/>
          </w:rPr>
          <w:tab/>
        </w:r>
        <w:r w:rsidR="00F80291">
          <w:rPr>
            <w:noProof/>
            <w:webHidden/>
          </w:rPr>
          <w:fldChar w:fldCharType="begin"/>
        </w:r>
        <w:r w:rsidR="00F80291">
          <w:rPr>
            <w:noProof/>
            <w:webHidden/>
          </w:rPr>
          <w:instrText xml:space="preserve"> PAGEREF _Toc121429194 \h </w:instrText>
        </w:r>
        <w:r w:rsidR="00F80291">
          <w:rPr>
            <w:noProof/>
            <w:webHidden/>
          </w:rPr>
        </w:r>
        <w:r w:rsidR="00F80291">
          <w:rPr>
            <w:noProof/>
            <w:webHidden/>
          </w:rPr>
          <w:fldChar w:fldCharType="separate"/>
        </w:r>
        <w:r w:rsidR="00296988">
          <w:rPr>
            <w:noProof/>
            <w:webHidden/>
          </w:rPr>
          <w:t>77</w:t>
        </w:r>
        <w:r w:rsidR="00F80291">
          <w:rPr>
            <w:noProof/>
            <w:webHidden/>
          </w:rPr>
          <w:fldChar w:fldCharType="end"/>
        </w:r>
      </w:hyperlink>
    </w:p>
    <w:p w14:paraId="2C94966B" w14:textId="5BAB4094" w:rsidR="00F80291" w:rsidRDefault="00B24361">
      <w:pPr>
        <w:pStyle w:val="TableofFigures"/>
        <w:tabs>
          <w:tab w:val="left" w:pos="993"/>
          <w:tab w:val="right" w:leader="dot" w:pos="9855"/>
        </w:tabs>
        <w:rPr>
          <w:rFonts w:eastAsiaTheme="minorEastAsia" w:cstheme="minorBidi"/>
          <w:noProof/>
          <w:szCs w:val="22"/>
        </w:rPr>
      </w:pPr>
      <w:hyperlink w:anchor="_Toc121429195" w:history="1">
        <w:r w:rsidR="00F80291" w:rsidRPr="00750B3A">
          <w:rPr>
            <w:rStyle w:val="Hyperlink"/>
            <w:rFonts w:eastAsiaTheme="majorEastAsia"/>
            <w:noProof/>
          </w:rPr>
          <w:t>Table 19</w:t>
        </w:r>
        <w:r w:rsidR="00F80291">
          <w:rPr>
            <w:rFonts w:eastAsiaTheme="minorEastAsia" w:cstheme="minorBidi"/>
            <w:noProof/>
            <w:szCs w:val="22"/>
          </w:rPr>
          <w:tab/>
        </w:r>
        <w:r w:rsidR="00F80291" w:rsidRPr="00750B3A">
          <w:rPr>
            <w:rStyle w:val="Hyperlink"/>
            <w:rFonts w:eastAsiaTheme="majorEastAsia"/>
            <w:noProof/>
          </w:rPr>
          <w:t>Non-instrumental vaginal birth, 2010–2019</w:t>
        </w:r>
        <w:r w:rsidR="00F80291">
          <w:rPr>
            <w:noProof/>
            <w:webHidden/>
          </w:rPr>
          <w:tab/>
        </w:r>
        <w:r w:rsidR="00F80291">
          <w:rPr>
            <w:noProof/>
            <w:webHidden/>
          </w:rPr>
          <w:fldChar w:fldCharType="begin"/>
        </w:r>
        <w:r w:rsidR="00F80291">
          <w:rPr>
            <w:noProof/>
            <w:webHidden/>
          </w:rPr>
          <w:instrText xml:space="preserve"> PAGEREF _Toc121429195 \h </w:instrText>
        </w:r>
        <w:r w:rsidR="00F80291">
          <w:rPr>
            <w:noProof/>
            <w:webHidden/>
          </w:rPr>
        </w:r>
        <w:r w:rsidR="00F80291">
          <w:rPr>
            <w:noProof/>
            <w:webHidden/>
          </w:rPr>
          <w:fldChar w:fldCharType="separate"/>
        </w:r>
        <w:r w:rsidR="00296988">
          <w:rPr>
            <w:noProof/>
            <w:webHidden/>
          </w:rPr>
          <w:t>78</w:t>
        </w:r>
        <w:r w:rsidR="00F80291">
          <w:rPr>
            <w:noProof/>
            <w:webHidden/>
          </w:rPr>
          <w:fldChar w:fldCharType="end"/>
        </w:r>
      </w:hyperlink>
    </w:p>
    <w:p w14:paraId="5B5B4A9B" w14:textId="52660DED" w:rsidR="00F80291" w:rsidRDefault="00B24361">
      <w:pPr>
        <w:pStyle w:val="TableofFigures"/>
        <w:tabs>
          <w:tab w:val="left" w:pos="993"/>
          <w:tab w:val="right" w:leader="dot" w:pos="9855"/>
        </w:tabs>
        <w:rPr>
          <w:rFonts w:eastAsiaTheme="minorEastAsia" w:cstheme="minorBidi"/>
          <w:noProof/>
          <w:szCs w:val="22"/>
        </w:rPr>
      </w:pPr>
      <w:hyperlink w:anchor="_Toc121429196" w:history="1">
        <w:r w:rsidR="00F80291" w:rsidRPr="00750B3A">
          <w:rPr>
            <w:rStyle w:val="Hyperlink"/>
            <w:rFonts w:eastAsiaTheme="majorEastAsia"/>
            <w:noProof/>
          </w:rPr>
          <w:t>Table 20</w:t>
        </w:r>
        <w:r w:rsidR="00F80291">
          <w:rPr>
            <w:rFonts w:eastAsiaTheme="minorEastAsia" w:cstheme="minorBidi"/>
            <w:noProof/>
            <w:szCs w:val="22"/>
          </w:rPr>
          <w:tab/>
        </w:r>
        <w:r w:rsidR="00F80291" w:rsidRPr="00750B3A">
          <w:rPr>
            <w:rStyle w:val="Hyperlink"/>
            <w:rFonts w:eastAsiaTheme="majorEastAsia"/>
            <w:noProof/>
          </w:rPr>
          <w:t>Instrumental vaginal birth, 2010–2019</w:t>
        </w:r>
        <w:r w:rsidR="00F80291">
          <w:rPr>
            <w:noProof/>
            <w:webHidden/>
          </w:rPr>
          <w:tab/>
        </w:r>
        <w:r w:rsidR="00F80291">
          <w:rPr>
            <w:noProof/>
            <w:webHidden/>
          </w:rPr>
          <w:fldChar w:fldCharType="begin"/>
        </w:r>
        <w:r w:rsidR="00F80291">
          <w:rPr>
            <w:noProof/>
            <w:webHidden/>
          </w:rPr>
          <w:instrText xml:space="preserve"> PAGEREF _Toc121429196 \h </w:instrText>
        </w:r>
        <w:r w:rsidR="00F80291">
          <w:rPr>
            <w:noProof/>
            <w:webHidden/>
          </w:rPr>
        </w:r>
        <w:r w:rsidR="00F80291">
          <w:rPr>
            <w:noProof/>
            <w:webHidden/>
          </w:rPr>
          <w:fldChar w:fldCharType="separate"/>
        </w:r>
        <w:r w:rsidR="00296988">
          <w:rPr>
            <w:noProof/>
            <w:webHidden/>
          </w:rPr>
          <w:t>79</w:t>
        </w:r>
        <w:r w:rsidR="00F80291">
          <w:rPr>
            <w:noProof/>
            <w:webHidden/>
          </w:rPr>
          <w:fldChar w:fldCharType="end"/>
        </w:r>
      </w:hyperlink>
    </w:p>
    <w:p w14:paraId="5849FDF0" w14:textId="68FBA7D2" w:rsidR="00F80291" w:rsidRDefault="00B24361">
      <w:pPr>
        <w:pStyle w:val="TableofFigures"/>
        <w:tabs>
          <w:tab w:val="left" w:pos="993"/>
          <w:tab w:val="right" w:leader="dot" w:pos="9855"/>
        </w:tabs>
        <w:rPr>
          <w:rFonts w:eastAsiaTheme="minorEastAsia" w:cstheme="minorBidi"/>
          <w:noProof/>
          <w:szCs w:val="22"/>
        </w:rPr>
      </w:pPr>
      <w:hyperlink w:anchor="_Toc121429197" w:history="1">
        <w:r w:rsidR="00F80291" w:rsidRPr="00750B3A">
          <w:rPr>
            <w:rStyle w:val="Hyperlink"/>
            <w:rFonts w:eastAsiaTheme="majorEastAsia"/>
            <w:noProof/>
          </w:rPr>
          <w:t>Table 21</w:t>
        </w:r>
        <w:r w:rsidR="00F80291">
          <w:rPr>
            <w:rFonts w:eastAsiaTheme="minorEastAsia" w:cstheme="minorBidi"/>
            <w:noProof/>
            <w:szCs w:val="22"/>
          </w:rPr>
          <w:tab/>
        </w:r>
        <w:r w:rsidR="00F80291" w:rsidRPr="00750B3A">
          <w:rPr>
            <w:rStyle w:val="Hyperlink"/>
            <w:rFonts w:eastAsiaTheme="majorEastAsia"/>
            <w:noProof/>
          </w:rPr>
          <w:t>Caesarean section, 2010–2019</w:t>
        </w:r>
        <w:r w:rsidR="00F80291">
          <w:rPr>
            <w:noProof/>
            <w:webHidden/>
          </w:rPr>
          <w:tab/>
        </w:r>
        <w:r w:rsidR="00F80291">
          <w:rPr>
            <w:noProof/>
            <w:webHidden/>
          </w:rPr>
          <w:fldChar w:fldCharType="begin"/>
        </w:r>
        <w:r w:rsidR="00F80291">
          <w:rPr>
            <w:noProof/>
            <w:webHidden/>
          </w:rPr>
          <w:instrText xml:space="preserve"> PAGEREF _Toc121429197 \h </w:instrText>
        </w:r>
        <w:r w:rsidR="00F80291">
          <w:rPr>
            <w:noProof/>
            <w:webHidden/>
          </w:rPr>
        </w:r>
        <w:r w:rsidR="00F80291">
          <w:rPr>
            <w:noProof/>
            <w:webHidden/>
          </w:rPr>
          <w:fldChar w:fldCharType="separate"/>
        </w:r>
        <w:r w:rsidR="00296988">
          <w:rPr>
            <w:noProof/>
            <w:webHidden/>
          </w:rPr>
          <w:t>80</w:t>
        </w:r>
        <w:r w:rsidR="00F80291">
          <w:rPr>
            <w:noProof/>
            <w:webHidden/>
          </w:rPr>
          <w:fldChar w:fldCharType="end"/>
        </w:r>
      </w:hyperlink>
    </w:p>
    <w:p w14:paraId="299FD407" w14:textId="60695EF3" w:rsidR="00F80291" w:rsidRDefault="00B24361">
      <w:pPr>
        <w:pStyle w:val="TableofFigures"/>
        <w:tabs>
          <w:tab w:val="left" w:pos="993"/>
          <w:tab w:val="right" w:leader="dot" w:pos="9855"/>
        </w:tabs>
        <w:rPr>
          <w:rFonts w:eastAsiaTheme="minorEastAsia" w:cstheme="minorBidi"/>
          <w:noProof/>
          <w:szCs w:val="22"/>
        </w:rPr>
      </w:pPr>
      <w:hyperlink w:anchor="_Toc121429198" w:history="1">
        <w:r w:rsidR="00F80291" w:rsidRPr="00750B3A">
          <w:rPr>
            <w:rStyle w:val="Hyperlink"/>
            <w:rFonts w:eastAsiaTheme="majorEastAsia"/>
            <w:noProof/>
          </w:rPr>
          <w:t>Table 22</w:t>
        </w:r>
        <w:r w:rsidR="00F80291">
          <w:rPr>
            <w:rFonts w:eastAsiaTheme="minorEastAsia" w:cstheme="minorBidi"/>
            <w:noProof/>
            <w:szCs w:val="22"/>
          </w:rPr>
          <w:tab/>
        </w:r>
        <w:r w:rsidR="00F80291" w:rsidRPr="00750B3A">
          <w:rPr>
            <w:rStyle w:val="Hyperlink"/>
            <w:rFonts w:eastAsiaTheme="majorEastAsia"/>
            <w:noProof/>
          </w:rPr>
          <w:t>Caesarean section, selected women, first birth (PI06), 2011–2019</w:t>
        </w:r>
        <w:r w:rsidR="00F80291">
          <w:rPr>
            <w:noProof/>
            <w:webHidden/>
          </w:rPr>
          <w:tab/>
        </w:r>
        <w:r w:rsidR="00F80291">
          <w:rPr>
            <w:noProof/>
            <w:webHidden/>
          </w:rPr>
          <w:fldChar w:fldCharType="begin"/>
        </w:r>
        <w:r w:rsidR="00F80291">
          <w:rPr>
            <w:noProof/>
            <w:webHidden/>
          </w:rPr>
          <w:instrText xml:space="preserve"> PAGEREF _Toc121429198 \h </w:instrText>
        </w:r>
        <w:r w:rsidR="00F80291">
          <w:rPr>
            <w:noProof/>
            <w:webHidden/>
          </w:rPr>
        </w:r>
        <w:r w:rsidR="00F80291">
          <w:rPr>
            <w:noProof/>
            <w:webHidden/>
          </w:rPr>
          <w:fldChar w:fldCharType="separate"/>
        </w:r>
        <w:r w:rsidR="00296988">
          <w:rPr>
            <w:noProof/>
            <w:webHidden/>
          </w:rPr>
          <w:t>81</w:t>
        </w:r>
        <w:r w:rsidR="00F80291">
          <w:rPr>
            <w:noProof/>
            <w:webHidden/>
          </w:rPr>
          <w:fldChar w:fldCharType="end"/>
        </w:r>
      </w:hyperlink>
    </w:p>
    <w:p w14:paraId="7395E356" w14:textId="6EA52ABC" w:rsidR="00F80291" w:rsidRDefault="00B24361">
      <w:pPr>
        <w:pStyle w:val="TableofFigures"/>
        <w:tabs>
          <w:tab w:val="left" w:pos="993"/>
          <w:tab w:val="right" w:leader="dot" w:pos="9855"/>
        </w:tabs>
        <w:rPr>
          <w:rFonts w:eastAsiaTheme="minorEastAsia" w:cstheme="minorBidi"/>
          <w:noProof/>
          <w:szCs w:val="22"/>
        </w:rPr>
      </w:pPr>
      <w:hyperlink w:anchor="_Toc121429199" w:history="1">
        <w:r w:rsidR="00F80291" w:rsidRPr="00750B3A">
          <w:rPr>
            <w:rStyle w:val="Hyperlink"/>
            <w:rFonts w:eastAsiaTheme="majorEastAsia"/>
            <w:noProof/>
          </w:rPr>
          <w:t>Table 23</w:t>
        </w:r>
        <w:r w:rsidR="00F80291">
          <w:rPr>
            <w:rFonts w:eastAsiaTheme="minorEastAsia" w:cstheme="minorBidi"/>
            <w:noProof/>
            <w:szCs w:val="22"/>
          </w:rPr>
          <w:tab/>
        </w:r>
        <w:r w:rsidR="00F80291" w:rsidRPr="00750B3A">
          <w:rPr>
            <w:rStyle w:val="Hyperlink"/>
            <w:rFonts w:eastAsiaTheme="majorEastAsia"/>
            <w:noProof/>
          </w:rPr>
          <w:t>Non-instrumental vaginal birth, selected women, first birth (PI07), 2011–2019</w:t>
        </w:r>
        <w:r w:rsidR="00F80291">
          <w:rPr>
            <w:noProof/>
            <w:webHidden/>
          </w:rPr>
          <w:tab/>
        </w:r>
        <w:r w:rsidR="00F80291">
          <w:rPr>
            <w:noProof/>
            <w:webHidden/>
          </w:rPr>
          <w:fldChar w:fldCharType="begin"/>
        </w:r>
        <w:r w:rsidR="00F80291">
          <w:rPr>
            <w:noProof/>
            <w:webHidden/>
          </w:rPr>
          <w:instrText xml:space="preserve"> PAGEREF _Toc121429199 \h </w:instrText>
        </w:r>
        <w:r w:rsidR="00F80291">
          <w:rPr>
            <w:noProof/>
            <w:webHidden/>
          </w:rPr>
        </w:r>
        <w:r w:rsidR="00F80291">
          <w:rPr>
            <w:noProof/>
            <w:webHidden/>
          </w:rPr>
          <w:fldChar w:fldCharType="separate"/>
        </w:r>
        <w:r w:rsidR="00296988">
          <w:rPr>
            <w:noProof/>
            <w:webHidden/>
          </w:rPr>
          <w:t>82</w:t>
        </w:r>
        <w:r w:rsidR="00F80291">
          <w:rPr>
            <w:noProof/>
            <w:webHidden/>
          </w:rPr>
          <w:fldChar w:fldCharType="end"/>
        </w:r>
      </w:hyperlink>
    </w:p>
    <w:p w14:paraId="583F4F6E" w14:textId="3ABD3CB7" w:rsidR="00F80291" w:rsidRDefault="00B24361">
      <w:pPr>
        <w:pStyle w:val="TableofFigures"/>
        <w:tabs>
          <w:tab w:val="left" w:pos="993"/>
          <w:tab w:val="right" w:leader="dot" w:pos="9855"/>
        </w:tabs>
        <w:rPr>
          <w:rFonts w:eastAsiaTheme="minorEastAsia" w:cstheme="minorBidi"/>
          <w:noProof/>
          <w:szCs w:val="22"/>
        </w:rPr>
      </w:pPr>
      <w:hyperlink w:anchor="_Toc121429200" w:history="1">
        <w:r w:rsidR="00F80291" w:rsidRPr="00750B3A">
          <w:rPr>
            <w:rStyle w:val="Hyperlink"/>
            <w:rFonts w:eastAsiaTheme="majorEastAsia"/>
            <w:noProof/>
          </w:rPr>
          <w:t>Table 24</w:t>
        </w:r>
        <w:r w:rsidR="00F80291">
          <w:rPr>
            <w:rFonts w:eastAsiaTheme="minorEastAsia" w:cstheme="minorBidi"/>
            <w:noProof/>
            <w:szCs w:val="22"/>
          </w:rPr>
          <w:tab/>
        </w:r>
        <w:r w:rsidR="00F80291" w:rsidRPr="00750B3A">
          <w:rPr>
            <w:rStyle w:val="Hyperlink"/>
            <w:rFonts w:eastAsiaTheme="majorEastAsia"/>
            <w:noProof/>
          </w:rPr>
          <w:t>Instrumental vaginal birth, selected women, first birth (PI08), 2011–2019</w:t>
        </w:r>
        <w:r w:rsidR="00F80291">
          <w:rPr>
            <w:noProof/>
            <w:webHidden/>
          </w:rPr>
          <w:tab/>
        </w:r>
        <w:r w:rsidR="00F80291">
          <w:rPr>
            <w:noProof/>
            <w:webHidden/>
          </w:rPr>
          <w:fldChar w:fldCharType="begin"/>
        </w:r>
        <w:r w:rsidR="00F80291">
          <w:rPr>
            <w:noProof/>
            <w:webHidden/>
          </w:rPr>
          <w:instrText xml:space="preserve"> PAGEREF _Toc121429200 \h </w:instrText>
        </w:r>
        <w:r w:rsidR="00F80291">
          <w:rPr>
            <w:noProof/>
            <w:webHidden/>
          </w:rPr>
        </w:r>
        <w:r w:rsidR="00F80291">
          <w:rPr>
            <w:noProof/>
            <w:webHidden/>
          </w:rPr>
          <w:fldChar w:fldCharType="separate"/>
        </w:r>
        <w:r w:rsidR="00296988">
          <w:rPr>
            <w:noProof/>
            <w:webHidden/>
          </w:rPr>
          <w:t>83</w:t>
        </w:r>
        <w:r w:rsidR="00F80291">
          <w:rPr>
            <w:noProof/>
            <w:webHidden/>
          </w:rPr>
          <w:fldChar w:fldCharType="end"/>
        </w:r>
      </w:hyperlink>
    </w:p>
    <w:p w14:paraId="0FD70C1A" w14:textId="085B23DB" w:rsidR="00F80291" w:rsidRDefault="00B24361">
      <w:pPr>
        <w:pStyle w:val="TableofFigures"/>
        <w:tabs>
          <w:tab w:val="left" w:pos="993"/>
          <w:tab w:val="right" w:leader="dot" w:pos="9855"/>
        </w:tabs>
        <w:rPr>
          <w:rFonts w:eastAsiaTheme="minorEastAsia" w:cstheme="minorBidi"/>
          <w:noProof/>
          <w:szCs w:val="22"/>
        </w:rPr>
      </w:pPr>
      <w:hyperlink w:anchor="_Toc121429201" w:history="1">
        <w:r w:rsidR="00F80291" w:rsidRPr="00750B3A">
          <w:rPr>
            <w:rStyle w:val="Hyperlink"/>
            <w:rFonts w:eastAsiaTheme="majorEastAsia"/>
            <w:noProof/>
          </w:rPr>
          <w:t>Table 25</w:t>
        </w:r>
        <w:r w:rsidR="00F80291">
          <w:rPr>
            <w:rFonts w:eastAsiaTheme="minorEastAsia" w:cstheme="minorBidi"/>
            <w:noProof/>
            <w:szCs w:val="22"/>
          </w:rPr>
          <w:tab/>
        </w:r>
        <w:r w:rsidR="00F80291" w:rsidRPr="00750B3A">
          <w:rPr>
            <w:rStyle w:val="Hyperlink"/>
            <w:rFonts w:eastAsiaTheme="majorEastAsia"/>
            <w:noProof/>
          </w:rPr>
          <w:t>Vaginal second birth, first by caesarean section (PI15), 2011–2019</w:t>
        </w:r>
        <w:r w:rsidR="00F80291">
          <w:rPr>
            <w:noProof/>
            <w:webHidden/>
          </w:rPr>
          <w:tab/>
        </w:r>
        <w:r w:rsidR="00F80291">
          <w:rPr>
            <w:noProof/>
            <w:webHidden/>
          </w:rPr>
          <w:fldChar w:fldCharType="begin"/>
        </w:r>
        <w:r w:rsidR="00F80291">
          <w:rPr>
            <w:noProof/>
            <w:webHidden/>
          </w:rPr>
          <w:instrText xml:space="preserve"> PAGEREF _Toc121429201 \h </w:instrText>
        </w:r>
        <w:r w:rsidR="00F80291">
          <w:rPr>
            <w:noProof/>
            <w:webHidden/>
          </w:rPr>
        </w:r>
        <w:r w:rsidR="00F80291">
          <w:rPr>
            <w:noProof/>
            <w:webHidden/>
          </w:rPr>
          <w:fldChar w:fldCharType="separate"/>
        </w:r>
        <w:r w:rsidR="00296988">
          <w:rPr>
            <w:noProof/>
            <w:webHidden/>
          </w:rPr>
          <w:t>84</w:t>
        </w:r>
        <w:r w:rsidR="00F80291">
          <w:rPr>
            <w:noProof/>
            <w:webHidden/>
          </w:rPr>
          <w:fldChar w:fldCharType="end"/>
        </w:r>
      </w:hyperlink>
    </w:p>
    <w:p w14:paraId="47F7EC74" w14:textId="3311078D" w:rsidR="00F80291" w:rsidRDefault="00B24361">
      <w:pPr>
        <w:pStyle w:val="TableofFigures"/>
        <w:tabs>
          <w:tab w:val="left" w:pos="993"/>
          <w:tab w:val="right" w:leader="dot" w:pos="9855"/>
        </w:tabs>
        <w:rPr>
          <w:rFonts w:eastAsiaTheme="minorEastAsia" w:cstheme="minorBidi"/>
          <w:noProof/>
          <w:szCs w:val="22"/>
        </w:rPr>
      </w:pPr>
      <w:hyperlink w:anchor="_Toc121429202" w:history="1">
        <w:r w:rsidR="00F80291" w:rsidRPr="00750B3A">
          <w:rPr>
            <w:rStyle w:val="Hyperlink"/>
            <w:rFonts w:eastAsiaTheme="majorEastAsia"/>
            <w:noProof/>
          </w:rPr>
          <w:t>Table 26</w:t>
        </w:r>
        <w:r w:rsidR="00F80291">
          <w:rPr>
            <w:rFonts w:eastAsiaTheme="minorEastAsia" w:cstheme="minorBidi"/>
            <w:noProof/>
            <w:szCs w:val="22"/>
          </w:rPr>
          <w:tab/>
        </w:r>
        <w:r w:rsidR="00F80291" w:rsidRPr="00750B3A">
          <w:rPr>
            <w:rStyle w:val="Hyperlink"/>
            <w:rFonts w:eastAsiaTheme="majorEastAsia"/>
            <w:noProof/>
          </w:rPr>
          <w:t>Episiotomy, first baby, vaginal non-instrumental births (PI03a), 2011–2019</w:t>
        </w:r>
        <w:r w:rsidR="00F80291">
          <w:rPr>
            <w:noProof/>
            <w:webHidden/>
          </w:rPr>
          <w:tab/>
        </w:r>
        <w:r w:rsidR="00F80291">
          <w:rPr>
            <w:noProof/>
            <w:webHidden/>
          </w:rPr>
          <w:fldChar w:fldCharType="begin"/>
        </w:r>
        <w:r w:rsidR="00F80291">
          <w:rPr>
            <w:noProof/>
            <w:webHidden/>
          </w:rPr>
          <w:instrText xml:space="preserve"> PAGEREF _Toc121429202 \h </w:instrText>
        </w:r>
        <w:r w:rsidR="00F80291">
          <w:rPr>
            <w:noProof/>
            <w:webHidden/>
          </w:rPr>
        </w:r>
        <w:r w:rsidR="00F80291">
          <w:rPr>
            <w:noProof/>
            <w:webHidden/>
          </w:rPr>
          <w:fldChar w:fldCharType="separate"/>
        </w:r>
        <w:r w:rsidR="00296988">
          <w:rPr>
            <w:noProof/>
            <w:webHidden/>
          </w:rPr>
          <w:t>85</w:t>
        </w:r>
        <w:r w:rsidR="00F80291">
          <w:rPr>
            <w:noProof/>
            <w:webHidden/>
          </w:rPr>
          <w:fldChar w:fldCharType="end"/>
        </w:r>
      </w:hyperlink>
    </w:p>
    <w:p w14:paraId="0D370206" w14:textId="6660B7E7" w:rsidR="00F80291" w:rsidRDefault="00B24361">
      <w:pPr>
        <w:pStyle w:val="TableofFigures"/>
        <w:tabs>
          <w:tab w:val="left" w:pos="993"/>
          <w:tab w:val="right" w:leader="dot" w:pos="9855"/>
        </w:tabs>
        <w:rPr>
          <w:rFonts w:eastAsiaTheme="minorEastAsia" w:cstheme="minorBidi"/>
          <w:noProof/>
          <w:szCs w:val="22"/>
        </w:rPr>
      </w:pPr>
      <w:hyperlink w:anchor="_Toc121429203" w:history="1">
        <w:r w:rsidR="00F80291" w:rsidRPr="00750B3A">
          <w:rPr>
            <w:rStyle w:val="Hyperlink"/>
            <w:rFonts w:eastAsiaTheme="majorEastAsia"/>
            <w:noProof/>
          </w:rPr>
          <w:t>Table 27</w:t>
        </w:r>
        <w:r w:rsidR="00F80291">
          <w:rPr>
            <w:rFonts w:eastAsiaTheme="minorEastAsia" w:cstheme="minorBidi"/>
            <w:noProof/>
            <w:szCs w:val="22"/>
          </w:rPr>
          <w:tab/>
        </w:r>
        <w:r w:rsidR="00F80291" w:rsidRPr="00750B3A">
          <w:rPr>
            <w:rStyle w:val="Hyperlink"/>
            <w:rFonts w:eastAsiaTheme="majorEastAsia"/>
            <w:noProof/>
          </w:rPr>
          <w:t>Episiotomy, first baby, vaginal instrumental births (PI03b), 2011–2019</w:t>
        </w:r>
        <w:r w:rsidR="00F80291">
          <w:rPr>
            <w:noProof/>
            <w:webHidden/>
          </w:rPr>
          <w:tab/>
        </w:r>
        <w:r w:rsidR="00F80291">
          <w:rPr>
            <w:noProof/>
            <w:webHidden/>
          </w:rPr>
          <w:fldChar w:fldCharType="begin"/>
        </w:r>
        <w:r w:rsidR="00F80291">
          <w:rPr>
            <w:noProof/>
            <w:webHidden/>
          </w:rPr>
          <w:instrText xml:space="preserve"> PAGEREF _Toc121429203 \h </w:instrText>
        </w:r>
        <w:r w:rsidR="00F80291">
          <w:rPr>
            <w:noProof/>
            <w:webHidden/>
          </w:rPr>
        </w:r>
        <w:r w:rsidR="00F80291">
          <w:rPr>
            <w:noProof/>
            <w:webHidden/>
          </w:rPr>
          <w:fldChar w:fldCharType="separate"/>
        </w:r>
        <w:r w:rsidR="00296988">
          <w:rPr>
            <w:noProof/>
            <w:webHidden/>
          </w:rPr>
          <w:t>86</w:t>
        </w:r>
        <w:r w:rsidR="00F80291">
          <w:rPr>
            <w:noProof/>
            <w:webHidden/>
          </w:rPr>
          <w:fldChar w:fldCharType="end"/>
        </w:r>
      </w:hyperlink>
    </w:p>
    <w:p w14:paraId="12555887" w14:textId="5D303F34" w:rsidR="00F80291" w:rsidRDefault="00B24361">
      <w:pPr>
        <w:pStyle w:val="TableofFigures"/>
        <w:tabs>
          <w:tab w:val="left" w:pos="993"/>
          <w:tab w:val="right" w:leader="dot" w:pos="9855"/>
        </w:tabs>
        <w:rPr>
          <w:rFonts w:eastAsiaTheme="minorEastAsia" w:cstheme="minorBidi"/>
          <w:noProof/>
          <w:szCs w:val="22"/>
        </w:rPr>
      </w:pPr>
      <w:hyperlink w:anchor="_Toc121429204" w:history="1">
        <w:r w:rsidR="00F80291" w:rsidRPr="00750B3A">
          <w:rPr>
            <w:rStyle w:val="Hyperlink"/>
            <w:rFonts w:eastAsiaTheme="majorEastAsia"/>
            <w:noProof/>
          </w:rPr>
          <w:t>Table 28</w:t>
        </w:r>
        <w:r w:rsidR="00F80291">
          <w:rPr>
            <w:rFonts w:eastAsiaTheme="minorEastAsia" w:cstheme="minorBidi"/>
            <w:noProof/>
            <w:szCs w:val="22"/>
          </w:rPr>
          <w:tab/>
        </w:r>
        <w:r w:rsidR="00F80291" w:rsidRPr="00750B3A">
          <w:rPr>
            <w:rStyle w:val="Hyperlink"/>
            <w:rFonts w:eastAsiaTheme="majorEastAsia"/>
            <w:noProof/>
          </w:rPr>
          <w:t>General anaesthetic, births by caesarean section (PI09), 2011–2019</w:t>
        </w:r>
        <w:r w:rsidR="00F80291">
          <w:rPr>
            <w:noProof/>
            <w:webHidden/>
          </w:rPr>
          <w:tab/>
        </w:r>
        <w:r w:rsidR="00F80291">
          <w:rPr>
            <w:noProof/>
            <w:webHidden/>
          </w:rPr>
          <w:fldChar w:fldCharType="begin"/>
        </w:r>
        <w:r w:rsidR="00F80291">
          <w:rPr>
            <w:noProof/>
            <w:webHidden/>
          </w:rPr>
          <w:instrText xml:space="preserve"> PAGEREF _Toc121429204 \h </w:instrText>
        </w:r>
        <w:r w:rsidR="00F80291">
          <w:rPr>
            <w:noProof/>
            <w:webHidden/>
          </w:rPr>
        </w:r>
        <w:r w:rsidR="00F80291">
          <w:rPr>
            <w:noProof/>
            <w:webHidden/>
          </w:rPr>
          <w:fldChar w:fldCharType="separate"/>
        </w:r>
        <w:r w:rsidR="00296988">
          <w:rPr>
            <w:noProof/>
            <w:webHidden/>
          </w:rPr>
          <w:t>87</w:t>
        </w:r>
        <w:r w:rsidR="00F80291">
          <w:rPr>
            <w:noProof/>
            <w:webHidden/>
          </w:rPr>
          <w:fldChar w:fldCharType="end"/>
        </w:r>
      </w:hyperlink>
    </w:p>
    <w:p w14:paraId="6F31FD4B" w14:textId="4C5C42FE" w:rsidR="00F80291" w:rsidRDefault="00B24361">
      <w:pPr>
        <w:pStyle w:val="TableofFigures"/>
        <w:tabs>
          <w:tab w:val="left" w:pos="993"/>
          <w:tab w:val="right" w:leader="dot" w:pos="9855"/>
        </w:tabs>
        <w:rPr>
          <w:rFonts w:eastAsiaTheme="minorEastAsia" w:cstheme="minorBidi"/>
          <w:noProof/>
          <w:szCs w:val="22"/>
        </w:rPr>
      </w:pPr>
      <w:hyperlink w:anchor="_Toc121429205" w:history="1">
        <w:r w:rsidR="00F80291" w:rsidRPr="00750B3A">
          <w:rPr>
            <w:rStyle w:val="Hyperlink"/>
            <w:rFonts w:eastAsiaTheme="majorEastAsia"/>
            <w:noProof/>
          </w:rPr>
          <w:t>Table 29</w:t>
        </w:r>
        <w:r w:rsidR="00F80291">
          <w:rPr>
            <w:rFonts w:eastAsiaTheme="minorEastAsia" w:cstheme="minorBidi"/>
            <w:noProof/>
            <w:szCs w:val="22"/>
          </w:rPr>
          <w:tab/>
        </w:r>
        <w:r w:rsidR="00F80291" w:rsidRPr="00750B3A">
          <w:rPr>
            <w:rStyle w:val="Hyperlink"/>
            <w:rFonts w:eastAsiaTheme="majorEastAsia"/>
            <w:noProof/>
          </w:rPr>
          <w:t>Apgar score &lt; 7 at 5 minutes for births at or after term (PI04), 2011–2019</w:t>
        </w:r>
        <w:r w:rsidR="00F80291">
          <w:rPr>
            <w:noProof/>
            <w:webHidden/>
          </w:rPr>
          <w:tab/>
        </w:r>
        <w:r w:rsidR="00F80291">
          <w:rPr>
            <w:noProof/>
            <w:webHidden/>
          </w:rPr>
          <w:fldChar w:fldCharType="begin"/>
        </w:r>
        <w:r w:rsidR="00F80291">
          <w:rPr>
            <w:noProof/>
            <w:webHidden/>
          </w:rPr>
          <w:instrText xml:space="preserve"> PAGEREF _Toc121429205 \h </w:instrText>
        </w:r>
        <w:r w:rsidR="00F80291">
          <w:rPr>
            <w:noProof/>
            <w:webHidden/>
          </w:rPr>
        </w:r>
        <w:r w:rsidR="00F80291">
          <w:rPr>
            <w:noProof/>
            <w:webHidden/>
          </w:rPr>
          <w:fldChar w:fldCharType="separate"/>
        </w:r>
        <w:r w:rsidR="00296988">
          <w:rPr>
            <w:noProof/>
            <w:webHidden/>
          </w:rPr>
          <w:t>88</w:t>
        </w:r>
        <w:r w:rsidR="00F80291">
          <w:rPr>
            <w:noProof/>
            <w:webHidden/>
          </w:rPr>
          <w:fldChar w:fldCharType="end"/>
        </w:r>
      </w:hyperlink>
    </w:p>
    <w:p w14:paraId="6BCF26AC" w14:textId="5C3F09A5" w:rsidR="00F80291" w:rsidRDefault="00B24361">
      <w:pPr>
        <w:pStyle w:val="TableofFigures"/>
        <w:tabs>
          <w:tab w:val="left" w:pos="993"/>
          <w:tab w:val="right" w:leader="dot" w:pos="9855"/>
        </w:tabs>
        <w:rPr>
          <w:rFonts w:eastAsiaTheme="minorEastAsia" w:cstheme="minorBidi"/>
          <w:noProof/>
          <w:szCs w:val="22"/>
        </w:rPr>
      </w:pPr>
      <w:hyperlink w:anchor="_Toc121429206" w:history="1">
        <w:r w:rsidR="00F80291" w:rsidRPr="00750B3A">
          <w:rPr>
            <w:rStyle w:val="Hyperlink"/>
            <w:rFonts w:eastAsiaTheme="majorEastAsia"/>
            <w:noProof/>
          </w:rPr>
          <w:t>Table 30</w:t>
        </w:r>
        <w:r w:rsidR="00F80291">
          <w:rPr>
            <w:rFonts w:eastAsiaTheme="minorEastAsia" w:cstheme="minorBidi"/>
            <w:noProof/>
            <w:szCs w:val="22"/>
          </w:rPr>
          <w:tab/>
        </w:r>
        <w:r w:rsidR="00F80291" w:rsidRPr="00750B3A">
          <w:rPr>
            <w:rStyle w:val="Hyperlink"/>
            <w:rFonts w:eastAsiaTheme="majorEastAsia"/>
            <w:noProof/>
          </w:rPr>
          <w:t>Small babies among births at or after 40 weeks’ gestation (PI10), 2011–2019</w:t>
        </w:r>
        <w:r w:rsidR="00F80291">
          <w:rPr>
            <w:noProof/>
            <w:webHidden/>
          </w:rPr>
          <w:tab/>
        </w:r>
        <w:r w:rsidR="00F80291">
          <w:rPr>
            <w:noProof/>
            <w:webHidden/>
          </w:rPr>
          <w:fldChar w:fldCharType="begin"/>
        </w:r>
        <w:r w:rsidR="00F80291">
          <w:rPr>
            <w:noProof/>
            <w:webHidden/>
          </w:rPr>
          <w:instrText xml:space="preserve"> PAGEREF _Toc121429206 \h </w:instrText>
        </w:r>
        <w:r w:rsidR="00F80291">
          <w:rPr>
            <w:noProof/>
            <w:webHidden/>
          </w:rPr>
        </w:r>
        <w:r w:rsidR="00F80291">
          <w:rPr>
            <w:noProof/>
            <w:webHidden/>
          </w:rPr>
          <w:fldChar w:fldCharType="separate"/>
        </w:r>
        <w:r w:rsidR="00296988">
          <w:rPr>
            <w:noProof/>
            <w:webHidden/>
          </w:rPr>
          <w:t>89</w:t>
        </w:r>
        <w:r w:rsidR="00F80291">
          <w:rPr>
            <w:noProof/>
            <w:webHidden/>
          </w:rPr>
          <w:fldChar w:fldCharType="end"/>
        </w:r>
      </w:hyperlink>
    </w:p>
    <w:p w14:paraId="050B7B37" w14:textId="393F2868" w:rsidR="00F80291" w:rsidRDefault="00B24361">
      <w:pPr>
        <w:pStyle w:val="TableofFigures"/>
        <w:tabs>
          <w:tab w:val="left" w:pos="993"/>
          <w:tab w:val="right" w:leader="dot" w:pos="9855"/>
        </w:tabs>
        <w:rPr>
          <w:rFonts w:eastAsiaTheme="minorEastAsia" w:cstheme="minorBidi"/>
          <w:noProof/>
          <w:szCs w:val="22"/>
        </w:rPr>
      </w:pPr>
      <w:hyperlink w:anchor="_Toc121429207" w:history="1">
        <w:r w:rsidR="00F80291" w:rsidRPr="00750B3A">
          <w:rPr>
            <w:rStyle w:val="Hyperlink"/>
            <w:rFonts w:eastAsiaTheme="majorEastAsia"/>
            <w:noProof/>
          </w:rPr>
          <w:t>Table 31</w:t>
        </w:r>
        <w:r w:rsidR="00F80291">
          <w:rPr>
            <w:rFonts w:eastAsiaTheme="minorEastAsia" w:cstheme="minorBidi"/>
            <w:noProof/>
            <w:szCs w:val="22"/>
          </w:rPr>
          <w:tab/>
        </w:r>
        <w:r w:rsidR="00F80291" w:rsidRPr="00750B3A">
          <w:rPr>
            <w:rStyle w:val="Hyperlink"/>
            <w:rFonts w:eastAsiaTheme="majorEastAsia"/>
            <w:noProof/>
          </w:rPr>
          <w:t>Third and fourth degree tears, all vaginal first births (PI13a), 2011–2019</w:t>
        </w:r>
        <w:r w:rsidR="00F80291">
          <w:rPr>
            <w:noProof/>
            <w:webHidden/>
          </w:rPr>
          <w:tab/>
        </w:r>
        <w:r w:rsidR="00F80291">
          <w:rPr>
            <w:noProof/>
            <w:webHidden/>
          </w:rPr>
          <w:fldChar w:fldCharType="begin"/>
        </w:r>
        <w:r w:rsidR="00F80291">
          <w:rPr>
            <w:noProof/>
            <w:webHidden/>
          </w:rPr>
          <w:instrText xml:space="preserve"> PAGEREF _Toc121429207 \h </w:instrText>
        </w:r>
        <w:r w:rsidR="00F80291">
          <w:rPr>
            <w:noProof/>
            <w:webHidden/>
          </w:rPr>
        </w:r>
        <w:r w:rsidR="00F80291">
          <w:rPr>
            <w:noProof/>
            <w:webHidden/>
          </w:rPr>
          <w:fldChar w:fldCharType="separate"/>
        </w:r>
        <w:r w:rsidR="00296988">
          <w:rPr>
            <w:noProof/>
            <w:webHidden/>
          </w:rPr>
          <w:t>90</w:t>
        </w:r>
        <w:r w:rsidR="00F80291">
          <w:rPr>
            <w:noProof/>
            <w:webHidden/>
          </w:rPr>
          <w:fldChar w:fldCharType="end"/>
        </w:r>
      </w:hyperlink>
    </w:p>
    <w:p w14:paraId="2482A1A8" w14:textId="184ADDDA" w:rsidR="00F80291" w:rsidRDefault="00B24361">
      <w:pPr>
        <w:pStyle w:val="TableofFigures"/>
        <w:tabs>
          <w:tab w:val="left" w:pos="993"/>
          <w:tab w:val="right" w:leader="dot" w:pos="9855"/>
        </w:tabs>
        <w:rPr>
          <w:rFonts w:eastAsiaTheme="minorEastAsia" w:cstheme="minorBidi"/>
          <w:noProof/>
          <w:szCs w:val="22"/>
        </w:rPr>
      </w:pPr>
      <w:hyperlink w:anchor="_Toc121429208" w:history="1">
        <w:r w:rsidR="00F80291" w:rsidRPr="00750B3A">
          <w:rPr>
            <w:rStyle w:val="Hyperlink"/>
            <w:rFonts w:eastAsiaTheme="majorEastAsia"/>
            <w:noProof/>
          </w:rPr>
          <w:t>Table 32</w:t>
        </w:r>
        <w:r w:rsidR="00F80291">
          <w:rPr>
            <w:rFonts w:eastAsiaTheme="minorEastAsia" w:cstheme="minorBidi"/>
            <w:noProof/>
            <w:szCs w:val="22"/>
          </w:rPr>
          <w:tab/>
        </w:r>
        <w:r w:rsidR="00F80291" w:rsidRPr="00750B3A">
          <w:rPr>
            <w:rStyle w:val="Hyperlink"/>
            <w:rFonts w:eastAsiaTheme="majorEastAsia"/>
            <w:noProof/>
          </w:rPr>
          <w:t>Third and fourth degree tears, all vaginal births (PI13b), 2011–2019</w:t>
        </w:r>
        <w:r w:rsidR="00F80291">
          <w:rPr>
            <w:noProof/>
            <w:webHidden/>
          </w:rPr>
          <w:tab/>
        </w:r>
        <w:r w:rsidR="00F80291">
          <w:rPr>
            <w:noProof/>
            <w:webHidden/>
          </w:rPr>
          <w:fldChar w:fldCharType="begin"/>
        </w:r>
        <w:r w:rsidR="00F80291">
          <w:rPr>
            <w:noProof/>
            <w:webHidden/>
          </w:rPr>
          <w:instrText xml:space="preserve"> PAGEREF _Toc121429208 \h </w:instrText>
        </w:r>
        <w:r w:rsidR="00F80291">
          <w:rPr>
            <w:noProof/>
            <w:webHidden/>
          </w:rPr>
        </w:r>
        <w:r w:rsidR="00F80291">
          <w:rPr>
            <w:noProof/>
            <w:webHidden/>
          </w:rPr>
          <w:fldChar w:fldCharType="separate"/>
        </w:r>
        <w:r w:rsidR="00296988">
          <w:rPr>
            <w:noProof/>
            <w:webHidden/>
          </w:rPr>
          <w:t>91</w:t>
        </w:r>
        <w:r w:rsidR="00F80291">
          <w:rPr>
            <w:noProof/>
            <w:webHidden/>
          </w:rPr>
          <w:fldChar w:fldCharType="end"/>
        </w:r>
      </w:hyperlink>
    </w:p>
    <w:p w14:paraId="4280781B" w14:textId="709A8DC2" w:rsidR="00F80291" w:rsidRDefault="00B24361">
      <w:pPr>
        <w:pStyle w:val="TableofFigures"/>
        <w:tabs>
          <w:tab w:val="left" w:pos="993"/>
          <w:tab w:val="right" w:leader="dot" w:pos="9855"/>
        </w:tabs>
        <w:rPr>
          <w:rFonts w:eastAsiaTheme="minorEastAsia" w:cstheme="minorBidi"/>
          <w:noProof/>
          <w:szCs w:val="22"/>
        </w:rPr>
      </w:pPr>
      <w:hyperlink w:anchor="_Toc121429209" w:history="1">
        <w:r w:rsidR="00F80291" w:rsidRPr="00750B3A">
          <w:rPr>
            <w:rStyle w:val="Hyperlink"/>
            <w:rFonts w:eastAsiaTheme="majorEastAsia"/>
            <w:noProof/>
          </w:rPr>
          <w:t>Table 33</w:t>
        </w:r>
        <w:r w:rsidR="00F80291">
          <w:rPr>
            <w:rFonts w:eastAsiaTheme="minorEastAsia" w:cstheme="minorBidi"/>
            <w:noProof/>
            <w:szCs w:val="22"/>
          </w:rPr>
          <w:tab/>
        </w:r>
        <w:r w:rsidR="00F80291" w:rsidRPr="00750B3A">
          <w:rPr>
            <w:rStyle w:val="Hyperlink"/>
            <w:rFonts w:eastAsiaTheme="majorEastAsia"/>
            <w:noProof/>
          </w:rPr>
          <w:t>Perinatal, stillbirth and neonatal death rates, 2019</w:t>
        </w:r>
        <w:r w:rsidR="00F80291">
          <w:rPr>
            <w:noProof/>
            <w:webHidden/>
          </w:rPr>
          <w:tab/>
        </w:r>
        <w:r w:rsidR="00F80291">
          <w:rPr>
            <w:noProof/>
            <w:webHidden/>
          </w:rPr>
          <w:fldChar w:fldCharType="begin"/>
        </w:r>
        <w:r w:rsidR="00F80291">
          <w:rPr>
            <w:noProof/>
            <w:webHidden/>
          </w:rPr>
          <w:instrText xml:space="preserve"> PAGEREF _Toc121429209 \h </w:instrText>
        </w:r>
        <w:r w:rsidR="00F80291">
          <w:rPr>
            <w:noProof/>
            <w:webHidden/>
          </w:rPr>
        </w:r>
        <w:r w:rsidR="00F80291">
          <w:rPr>
            <w:noProof/>
            <w:webHidden/>
          </w:rPr>
          <w:fldChar w:fldCharType="separate"/>
        </w:r>
        <w:r w:rsidR="00296988">
          <w:rPr>
            <w:noProof/>
            <w:webHidden/>
          </w:rPr>
          <w:t>92</w:t>
        </w:r>
        <w:r w:rsidR="00F80291">
          <w:rPr>
            <w:noProof/>
            <w:webHidden/>
          </w:rPr>
          <w:fldChar w:fldCharType="end"/>
        </w:r>
      </w:hyperlink>
    </w:p>
    <w:p w14:paraId="04567ABF" w14:textId="6BE4E164" w:rsidR="00E95020" w:rsidRDefault="00B16036" w:rsidP="00C459D0">
      <w:pPr>
        <w:tabs>
          <w:tab w:val="left" w:pos="1134"/>
          <w:tab w:val="left" w:pos="1276"/>
        </w:tabs>
      </w:pPr>
      <w:r>
        <w:fldChar w:fldCharType="end"/>
      </w:r>
      <w:bookmarkStart w:id="174" w:name="_Toc454984419"/>
      <w:bookmarkStart w:id="175" w:name="_Toc500316966"/>
      <w:bookmarkStart w:id="176" w:name="_Toc500597340"/>
      <w:bookmarkStart w:id="177" w:name="_Toc501280360"/>
      <w:bookmarkStart w:id="178" w:name="_Toc501379993"/>
      <w:bookmarkStart w:id="179" w:name="_Toc508996181"/>
      <w:bookmarkStart w:id="180" w:name="_Toc526244523"/>
      <w:bookmarkStart w:id="181" w:name="_Toc526261279"/>
      <w:bookmarkStart w:id="182" w:name="_Toc526264213"/>
      <w:bookmarkStart w:id="183" w:name="_Toc526276011"/>
      <w:bookmarkStart w:id="184" w:name="_Toc526333074"/>
      <w:bookmarkStart w:id="185" w:name="_Toc526333432"/>
      <w:bookmarkStart w:id="186" w:name="_Toc790248"/>
      <w:bookmarkStart w:id="187" w:name="_Toc14887526"/>
      <w:bookmarkStart w:id="188" w:name="_Toc14947151"/>
      <w:bookmarkStart w:id="189" w:name="_Toc72866293"/>
      <w:bookmarkStart w:id="190" w:name="_Toc72867024"/>
      <w:bookmarkStart w:id="191" w:name="_Toc72867114"/>
      <w:bookmarkStart w:id="192" w:name="_Toc72878061"/>
      <w:bookmarkStart w:id="193" w:name="_Toc72882878"/>
      <w:bookmarkStart w:id="194" w:name="_Toc72882942"/>
      <w:bookmarkStart w:id="195" w:name="_Toc72883019"/>
      <w:bookmarkStart w:id="196" w:name="_Toc72883300"/>
      <w:bookmarkStart w:id="197" w:name="_Toc72883671"/>
      <w:bookmarkStart w:id="198" w:name="_Toc73023726"/>
      <w:bookmarkStart w:id="199" w:name="_Toc73127952"/>
      <w:bookmarkStart w:id="200" w:name="_Toc73208535"/>
      <w:bookmarkStart w:id="201" w:name="_Toc73219658"/>
      <w:bookmarkStart w:id="202" w:name="_Toc73220460"/>
      <w:bookmarkStart w:id="203" w:name="_Toc73220652"/>
      <w:bookmarkStart w:id="204" w:name="_Toc73236946"/>
      <w:bookmarkStart w:id="205" w:name="_Toc73302438"/>
      <w:bookmarkStart w:id="206" w:name="_Toc73309959"/>
      <w:bookmarkStart w:id="207" w:name="_Toc73310068"/>
      <w:bookmarkStart w:id="208" w:name="_Toc73310124"/>
      <w:bookmarkStart w:id="209" w:name="_Toc73310193"/>
      <w:bookmarkStart w:id="210" w:name="_Toc73310313"/>
      <w:bookmarkStart w:id="211" w:name="_Toc73314265"/>
      <w:bookmarkStart w:id="212" w:name="_Toc73325942"/>
      <w:bookmarkStart w:id="213" w:name="_Toc73345943"/>
      <w:bookmarkStart w:id="214" w:name="_Toc73390434"/>
      <w:bookmarkStart w:id="215" w:name="_Toc73643143"/>
      <w:bookmarkStart w:id="216" w:name="_Toc73652257"/>
      <w:bookmarkStart w:id="217" w:name="_Toc73719360"/>
      <w:bookmarkStart w:id="218" w:name="_Toc79276461"/>
      <w:bookmarkStart w:id="219" w:name="_Toc79865944"/>
      <w:bookmarkStart w:id="220" w:name="_Toc80134622"/>
      <w:bookmarkStart w:id="221" w:name="_Toc80135306"/>
      <w:bookmarkStart w:id="222" w:name="_Toc80183840"/>
      <w:bookmarkStart w:id="223" w:name="_Toc89070764"/>
      <w:bookmarkStart w:id="224" w:name="_Toc89161044"/>
      <w:bookmarkStart w:id="225" w:name="_Toc99118997"/>
      <w:bookmarkStart w:id="226" w:name="_Toc102567746"/>
      <w:r w:rsidR="00E95020">
        <w:br w:type="page"/>
      </w:r>
    </w:p>
    <w:p w14:paraId="795CBE5B" w14:textId="2BFC2CFC" w:rsidR="00062314" w:rsidRDefault="00062314" w:rsidP="002C45FB">
      <w:pPr>
        <w:pStyle w:val="TOCHeading"/>
      </w:pPr>
      <w:r>
        <w:lastRenderedPageBreak/>
        <w:t xml:space="preserve">List of </w:t>
      </w:r>
      <w:r w:rsidR="002D0C13">
        <w:t>appendices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C7433ED" w14:textId="515BFF4F" w:rsidR="00F66EC6" w:rsidRDefault="00CC407B">
      <w:pPr>
        <w:pStyle w:val="TableofFigures"/>
        <w:tabs>
          <w:tab w:val="left" w:pos="1440"/>
          <w:tab w:val="right" w:leader="dot" w:pos="9855"/>
        </w:tabs>
        <w:rPr>
          <w:rFonts w:eastAsiaTheme="minorEastAsia" w:cstheme="minorBidi"/>
          <w:noProof/>
          <w:szCs w:val="22"/>
        </w:rPr>
      </w:pPr>
      <w:r>
        <w:rPr>
          <w:lang w:val="en-US" w:eastAsia="ja-JP"/>
        </w:rPr>
        <w:fldChar w:fldCharType="begin"/>
      </w:r>
      <w:r>
        <w:rPr>
          <w:lang w:val="en-US" w:eastAsia="ja-JP"/>
        </w:rPr>
        <w:instrText xml:space="preserve"> TOC \h \z \c "Appendix" </w:instrText>
      </w:r>
      <w:r>
        <w:rPr>
          <w:lang w:val="en-US" w:eastAsia="ja-JP"/>
        </w:rPr>
        <w:fldChar w:fldCharType="separate"/>
      </w:r>
      <w:hyperlink w:anchor="_Toc121415226" w:history="1">
        <w:r w:rsidR="00F66EC6" w:rsidRPr="00C441ED">
          <w:rPr>
            <w:rStyle w:val="Hyperlink"/>
            <w:rFonts w:eastAsiaTheme="majorEastAsia"/>
            <w:noProof/>
          </w:rPr>
          <w:t>Appendix 1</w:t>
        </w:r>
        <w:r w:rsidR="00F66EC6">
          <w:rPr>
            <w:rFonts w:eastAsiaTheme="minorEastAsia" w:cstheme="minorBidi"/>
            <w:noProof/>
            <w:szCs w:val="22"/>
          </w:rPr>
          <w:tab/>
        </w:r>
        <w:r w:rsidR="00F66EC6" w:rsidRPr="00C441ED">
          <w:rPr>
            <w:rStyle w:val="Hyperlink"/>
            <w:rFonts w:eastAsiaTheme="majorEastAsia"/>
            <w:noProof/>
          </w:rPr>
          <w:t>Methods</w:t>
        </w:r>
        <w:r w:rsidR="00F66EC6">
          <w:rPr>
            <w:noProof/>
            <w:webHidden/>
          </w:rPr>
          <w:tab/>
        </w:r>
        <w:r w:rsidR="00F66EC6">
          <w:rPr>
            <w:noProof/>
            <w:webHidden/>
          </w:rPr>
          <w:fldChar w:fldCharType="begin"/>
        </w:r>
        <w:r w:rsidR="00F66EC6">
          <w:rPr>
            <w:noProof/>
            <w:webHidden/>
          </w:rPr>
          <w:instrText xml:space="preserve"> PAGEREF _Toc121415226 \h </w:instrText>
        </w:r>
        <w:r w:rsidR="00F66EC6">
          <w:rPr>
            <w:noProof/>
            <w:webHidden/>
          </w:rPr>
        </w:r>
        <w:r w:rsidR="00F66EC6">
          <w:rPr>
            <w:noProof/>
            <w:webHidden/>
          </w:rPr>
          <w:fldChar w:fldCharType="separate"/>
        </w:r>
        <w:r w:rsidR="00296988">
          <w:rPr>
            <w:noProof/>
            <w:webHidden/>
          </w:rPr>
          <w:t>65</w:t>
        </w:r>
        <w:r w:rsidR="00F66EC6">
          <w:rPr>
            <w:noProof/>
            <w:webHidden/>
          </w:rPr>
          <w:fldChar w:fldCharType="end"/>
        </w:r>
      </w:hyperlink>
    </w:p>
    <w:p w14:paraId="60F8B9A0" w14:textId="2B921CFA" w:rsidR="00F66EC6" w:rsidRDefault="00B24361">
      <w:pPr>
        <w:pStyle w:val="TableofFigures"/>
        <w:tabs>
          <w:tab w:val="left" w:pos="1440"/>
          <w:tab w:val="right" w:leader="dot" w:pos="9855"/>
        </w:tabs>
        <w:rPr>
          <w:rFonts w:eastAsiaTheme="minorEastAsia" w:cstheme="minorBidi"/>
          <w:noProof/>
          <w:szCs w:val="22"/>
        </w:rPr>
      </w:pPr>
      <w:hyperlink w:anchor="_Toc121415227" w:history="1">
        <w:r w:rsidR="00F66EC6" w:rsidRPr="00C441ED">
          <w:rPr>
            <w:rStyle w:val="Hyperlink"/>
            <w:rFonts w:eastAsiaTheme="majorEastAsia"/>
            <w:noProof/>
          </w:rPr>
          <w:t xml:space="preserve">Appendix 2 </w:t>
        </w:r>
        <w:r w:rsidR="00F66EC6">
          <w:rPr>
            <w:rFonts w:eastAsiaTheme="minorEastAsia" w:cstheme="minorBidi"/>
            <w:noProof/>
            <w:szCs w:val="22"/>
          </w:rPr>
          <w:tab/>
        </w:r>
        <w:r w:rsidR="00F66EC6" w:rsidRPr="00C441ED">
          <w:rPr>
            <w:rStyle w:val="Hyperlink"/>
            <w:rFonts w:eastAsiaTheme="majorEastAsia"/>
            <w:noProof/>
          </w:rPr>
          <w:t>List of organisations that participated in the consultations</w:t>
        </w:r>
        <w:r w:rsidR="00F66EC6">
          <w:rPr>
            <w:noProof/>
            <w:webHidden/>
          </w:rPr>
          <w:tab/>
        </w:r>
        <w:r w:rsidR="00F66EC6">
          <w:rPr>
            <w:noProof/>
            <w:webHidden/>
          </w:rPr>
          <w:fldChar w:fldCharType="begin"/>
        </w:r>
        <w:r w:rsidR="00F66EC6">
          <w:rPr>
            <w:noProof/>
            <w:webHidden/>
          </w:rPr>
          <w:instrText xml:space="preserve"> PAGEREF _Toc121415227 \h </w:instrText>
        </w:r>
        <w:r w:rsidR="00F66EC6">
          <w:rPr>
            <w:noProof/>
            <w:webHidden/>
          </w:rPr>
        </w:r>
        <w:r w:rsidR="00F66EC6">
          <w:rPr>
            <w:noProof/>
            <w:webHidden/>
          </w:rPr>
          <w:fldChar w:fldCharType="separate"/>
        </w:r>
        <w:r w:rsidR="00296988">
          <w:rPr>
            <w:noProof/>
            <w:webHidden/>
          </w:rPr>
          <w:t>68</w:t>
        </w:r>
        <w:r w:rsidR="00F66EC6">
          <w:rPr>
            <w:noProof/>
            <w:webHidden/>
          </w:rPr>
          <w:fldChar w:fldCharType="end"/>
        </w:r>
      </w:hyperlink>
    </w:p>
    <w:p w14:paraId="40F6279C" w14:textId="6BAE7CB4" w:rsidR="00F66EC6" w:rsidRDefault="00B24361">
      <w:pPr>
        <w:pStyle w:val="TableofFigures"/>
        <w:tabs>
          <w:tab w:val="left" w:pos="1440"/>
          <w:tab w:val="right" w:leader="dot" w:pos="9855"/>
        </w:tabs>
        <w:rPr>
          <w:rFonts w:eastAsiaTheme="minorEastAsia" w:cstheme="minorBidi"/>
          <w:noProof/>
          <w:szCs w:val="22"/>
        </w:rPr>
      </w:pPr>
      <w:hyperlink w:anchor="_Toc121415228" w:history="1">
        <w:r w:rsidR="00F66EC6" w:rsidRPr="00C441ED">
          <w:rPr>
            <w:rStyle w:val="Hyperlink"/>
            <w:rFonts w:eastAsiaTheme="majorEastAsia"/>
            <w:noProof/>
          </w:rPr>
          <w:t xml:space="preserve">Appendix 3 </w:t>
        </w:r>
        <w:r w:rsidR="00F66EC6">
          <w:rPr>
            <w:rFonts w:eastAsiaTheme="minorEastAsia" w:cstheme="minorBidi"/>
            <w:noProof/>
            <w:szCs w:val="22"/>
          </w:rPr>
          <w:tab/>
        </w:r>
        <w:r w:rsidR="00F66EC6" w:rsidRPr="00C441ED">
          <w:rPr>
            <w:rStyle w:val="Hyperlink"/>
            <w:rFonts w:eastAsiaTheme="majorEastAsia"/>
            <w:noProof/>
          </w:rPr>
          <w:t>Additional data on trends over time</w:t>
        </w:r>
        <w:r w:rsidR="00F66EC6">
          <w:rPr>
            <w:noProof/>
            <w:webHidden/>
          </w:rPr>
          <w:tab/>
        </w:r>
        <w:r w:rsidR="00F66EC6">
          <w:rPr>
            <w:noProof/>
            <w:webHidden/>
          </w:rPr>
          <w:fldChar w:fldCharType="begin"/>
        </w:r>
        <w:r w:rsidR="00F66EC6">
          <w:rPr>
            <w:noProof/>
            <w:webHidden/>
          </w:rPr>
          <w:instrText xml:space="preserve"> PAGEREF _Toc121415228 \h </w:instrText>
        </w:r>
        <w:r w:rsidR="00F66EC6">
          <w:rPr>
            <w:noProof/>
            <w:webHidden/>
          </w:rPr>
        </w:r>
        <w:r w:rsidR="00F66EC6">
          <w:rPr>
            <w:noProof/>
            <w:webHidden/>
          </w:rPr>
          <w:fldChar w:fldCharType="separate"/>
        </w:r>
        <w:r w:rsidR="00296988">
          <w:rPr>
            <w:noProof/>
            <w:webHidden/>
          </w:rPr>
          <w:t>69</w:t>
        </w:r>
        <w:r w:rsidR="00F66EC6">
          <w:rPr>
            <w:noProof/>
            <w:webHidden/>
          </w:rPr>
          <w:fldChar w:fldCharType="end"/>
        </w:r>
      </w:hyperlink>
    </w:p>
    <w:p w14:paraId="6F5F6497" w14:textId="5FD6E12E" w:rsidR="006B1023" w:rsidRDefault="00CC407B" w:rsidP="001F6224">
      <w:pPr>
        <w:pStyle w:val="TableofFigures"/>
        <w:tabs>
          <w:tab w:val="left" w:pos="1440"/>
          <w:tab w:val="right" w:leader="dot" w:pos="9855"/>
        </w:tabs>
        <w:rPr>
          <w:rFonts w:eastAsiaTheme="majorEastAsia"/>
        </w:rPr>
      </w:pPr>
      <w:r>
        <w:rPr>
          <w:lang w:val="en-US" w:eastAsia="ja-JP"/>
        </w:rPr>
        <w:fldChar w:fldCharType="end"/>
      </w:r>
      <w:r w:rsidR="006B1023">
        <w:br w:type="page"/>
      </w:r>
    </w:p>
    <w:p w14:paraId="27743F1E" w14:textId="09280EBC" w:rsidR="00191B59" w:rsidRDefault="003632C2" w:rsidP="0027565D">
      <w:pPr>
        <w:pStyle w:val="Heading1"/>
        <w:numPr>
          <w:ilvl w:val="0"/>
          <w:numId w:val="0"/>
        </w:numPr>
      </w:pPr>
      <w:bookmarkStart w:id="227" w:name="_Toc73345944"/>
      <w:bookmarkStart w:id="228" w:name="_Toc89070765"/>
      <w:bookmarkStart w:id="229" w:name="_Toc89161045"/>
      <w:bookmarkStart w:id="230" w:name="_Toc99118998"/>
      <w:bookmarkStart w:id="231" w:name="_Toc102567747"/>
      <w:bookmarkStart w:id="232" w:name="_Toc121415051"/>
      <w:r>
        <w:lastRenderedPageBreak/>
        <w:t>A</w:t>
      </w:r>
      <w:r w:rsidR="0042585A">
        <w:t>bbreviations</w:t>
      </w:r>
      <w:bookmarkEnd w:id="227"/>
      <w:bookmarkEnd w:id="228"/>
      <w:bookmarkEnd w:id="229"/>
      <w:bookmarkEnd w:id="230"/>
      <w:bookmarkEnd w:id="231"/>
      <w:r w:rsidR="00F97161">
        <w:t xml:space="preserve"> and definitions</w:t>
      </w:r>
      <w:bookmarkEnd w:id="232"/>
    </w:p>
    <w:p w14:paraId="2346387A" w14:textId="77777777" w:rsidR="00184498" w:rsidRPr="00184498" w:rsidRDefault="00184498" w:rsidP="00184498"/>
    <w:tbl>
      <w:tblPr>
        <w:tblStyle w:val="ListTable3-Accent1"/>
        <w:tblW w:w="0" w:type="auto"/>
        <w:tblBorders>
          <w:top w:val="single" w:sz="4" w:space="0" w:color="0398D7"/>
          <w:left w:val="single" w:sz="4" w:space="0" w:color="0398D7"/>
          <w:bottom w:val="single" w:sz="4" w:space="0" w:color="0398D7"/>
          <w:right w:val="single" w:sz="4" w:space="0" w:color="0398D7"/>
          <w:insideH w:val="single" w:sz="4" w:space="0" w:color="0398D7"/>
          <w:insideV w:val="single" w:sz="4" w:space="0" w:color="0398D7"/>
        </w:tblBorders>
        <w:tblLook w:val="04A0" w:firstRow="1" w:lastRow="0" w:firstColumn="1" w:lastColumn="0" w:noHBand="0" w:noVBand="1"/>
      </w:tblPr>
      <w:tblGrid>
        <w:gridCol w:w="1838"/>
        <w:gridCol w:w="8017"/>
      </w:tblGrid>
      <w:tr w:rsidR="000E3134" w:rsidRPr="007432DE" w14:paraId="7618FA24" w14:textId="77777777" w:rsidTr="00750D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Borders>
              <w:bottom w:val="none" w:sz="0" w:space="0" w:color="auto"/>
              <w:right w:val="none" w:sz="0" w:space="0" w:color="auto"/>
            </w:tcBorders>
            <w:shd w:val="clear" w:color="auto" w:fill="0398D7"/>
          </w:tcPr>
          <w:p w14:paraId="4D7905D2" w14:textId="77777777" w:rsidR="000E3134" w:rsidRPr="0056578E" w:rsidRDefault="000E3134" w:rsidP="00750D05">
            <w:pPr>
              <w:spacing w:before="40" w:after="40"/>
              <w:rPr>
                <w:sz w:val="20"/>
                <w:szCs w:val="20"/>
              </w:rPr>
            </w:pPr>
            <w:r>
              <w:rPr>
                <w:sz w:val="20"/>
                <w:szCs w:val="20"/>
              </w:rPr>
              <w:t>Term</w:t>
            </w:r>
          </w:p>
        </w:tc>
        <w:tc>
          <w:tcPr>
            <w:tcW w:w="8017" w:type="dxa"/>
            <w:shd w:val="clear" w:color="auto" w:fill="0398D7"/>
          </w:tcPr>
          <w:p w14:paraId="36E1236E" w14:textId="77777777" w:rsidR="000E3134" w:rsidRPr="0056578E" w:rsidRDefault="000E3134" w:rsidP="00750D05">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Definition</w:t>
            </w:r>
          </w:p>
        </w:tc>
      </w:tr>
      <w:tr w:rsidR="000E3134" w:rsidRPr="00BA22DD" w14:paraId="2A6A80FD"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tcPr>
          <w:p w14:paraId="37412659" w14:textId="77777777" w:rsidR="000E3134" w:rsidRPr="006D31B6" w:rsidRDefault="000E3134" w:rsidP="00750D05">
            <w:pPr>
              <w:spacing w:before="40" w:after="40"/>
              <w:rPr>
                <w:sz w:val="20"/>
                <w:szCs w:val="20"/>
              </w:rPr>
            </w:pPr>
            <w:r w:rsidRPr="005B4C96">
              <w:rPr>
                <w:rFonts w:cstheme="minorHAnsi"/>
                <w:szCs w:val="20"/>
              </w:rPr>
              <w:t>ABS</w:t>
            </w:r>
          </w:p>
        </w:tc>
        <w:tc>
          <w:tcPr>
            <w:tcW w:w="8017" w:type="dxa"/>
            <w:tcBorders>
              <w:top w:val="none" w:sz="0" w:space="0" w:color="auto"/>
              <w:bottom w:val="none" w:sz="0" w:space="0" w:color="auto"/>
            </w:tcBorders>
          </w:tcPr>
          <w:p w14:paraId="5968F421" w14:textId="77777777"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5B4C96">
              <w:rPr>
                <w:rFonts w:cstheme="minorHAnsi"/>
                <w:szCs w:val="20"/>
              </w:rPr>
              <w:t>Australian Bureau of Statistics</w:t>
            </w:r>
          </w:p>
        </w:tc>
      </w:tr>
      <w:tr w:rsidR="000E3134" w:rsidRPr="00BA22DD" w14:paraId="5C0E8135"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46988E5A" w14:textId="77777777" w:rsidR="000E3134" w:rsidRPr="006D31B6" w:rsidRDefault="000E3134" w:rsidP="00750D05">
            <w:pPr>
              <w:spacing w:before="40" w:after="40"/>
              <w:rPr>
                <w:sz w:val="20"/>
                <w:szCs w:val="20"/>
              </w:rPr>
            </w:pPr>
            <w:r w:rsidRPr="00DC6D0B">
              <w:rPr>
                <w:rFonts w:cstheme="minorHAnsi"/>
                <w:szCs w:val="20"/>
              </w:rPr>
              <w:t>ACSQHC</w:t>
            </w:r>
          </w:p>
        </w:tc>
        <w:tc>
          <w:tcPr>
            <w:tcW w:w="8017" w:type="dxa"/>
          </w:tcPr>
          <w:p w14:paraId="6599E5B7"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C6D0B">
              <w:rPr>
                <w:rFonts w:cstheme="minorHAnsi"/>
                <w:szCs w:val="20"/>
              </w:rPr>
              <w:t>Australian Commission on Safety and Quality in Health Care</w:t>
            </w:r>
          </w:p>
        </w:tc>
      </w:tr>
      <w:tr w:rsidR="000E3134" w:rsidRPr="00BA22DD" w14:paraId="03A9205D"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5D076F0E" w14:textId="77777777" w:rsidR="000E3134" w:rsidRPr="006D31B6" w:rsidRDefault="000E3134" w:rsidP="00750D05">
            <w:pPr>
              <w:spacing w:before="40" w:after="40"/>
              <w:rPr>
                <w:sz w:val="20"/>
                <w:szCs w:val="20"/>
              </w:rPr>
            </w:pPr>
            <w:r w:rsidRPr="005B4C96">
              <w:rPr>
                <w:rFonts w:cstheme="minorHAnsi"/>
                <w:szCs w:val="20"/>
              </w:rPr>
              <w:t>AIHW</w:t>
            </w:r>
          </w:p>
        </w:tc>
        <w:tc>
          <w:tcPr>
            <w:tcW w:w="8017" w:type="dxa"/>
          </w:tcPr>
          <w:p w14:paraId="013C5C2F" w14:textId="77777777"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5B4C96">
              <w:rPr>
                <w:rFonts w:cstheme="minorHAnsi"/>
                <w:szCs w:val="20"/>
              </w:rPr>
              <w:t>Australian Institute of Health and Welfare</w:t>
            </w:r>
          </w:p>
        </w:tc>
      </w:tr>
      <w:tr w:rsidR="000E3134" w:rsidRPr="00BA22DD" w14:paraId="3F619134" w14:textId="77777777" w:rsidTr="00750D05">
        <w:tc>
          <w:tcPr>
            <w:cnfStyle w:val="001000000000" w:firstRow="0" w:lastRow="0" w:firstColumn="1" w:lastColumn="0" w:oddVBand="0" w:evenVBand="0" w:oddHBand="0" w:evenHBand="0" w:firstRowFirstColumn="0" w:firstRowLastColumn="0" w:lastRowFirstColumn="0" w:lastRowLastColumn="0"/>
            <w:tcW w:w="1838" w:type="dxa"/>
          </w:tcPr>
          <w:p w14:paraId="1090A239" w14:textId="77777777" w:rsidR="000E3134" w:rsidRPr="00DC6D0B" w:rsidRDefault="000E3134" w:rsidP="00750D05">
            <w:pPr>
              <w:spacing w:before="40" w:after="40"/>
              <w:rPr>
                <w:rFonts w:cstheme="minorHAnsi"/>
                <w:szCs w:val="20"/>
              </w:rPr>
            </w:pPr>
            <w:r>
              <w:rPr>
                <w:rFonts w:cstheme="minorHAnsi"/>
                <w:szCs w:val="20"/>
              </w:rPr>
              <w:t>ATSICHS</w:t>
            </w:r>
          </w:p>
        </w:tc>
        <w:tc>
          <w:tcPr>
            <w:tcW w:w="8017" w:type="dxa"/>
          </w:tcPr>
          <w:p w14:paraId="17AC12FF" w14:textId="77777777" w:rsidR="000E3134"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Aboriginal and Torres Strait Islander Community Health Service</w:t>
            </w:r>
          </w:p>
        </w:tc>
      </w:tr>
      <w:tr w:rsidR="000E3134" w:rsidRPr="00BA22DD" w14:paraId="3EDCF8FC"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098CC11" w14:textId="77777777" w:rsidR="000E3134" w:rsidRPr="006D31B6" w:rsidRDefault="000E3134" w:rsidP="00750D05">
            <w:pPr>
              <w:spacing w:before="40" w:after="40"/>
              <w:rPr>
                <w:sz w:val="20"/>
                <w:szCs w:val="20"/>
              </w:rPr>
            </w:pPr>
            <w:r w:rsidRPr="00DC6D0B">
              <w:rPr>
                <w:rFonts w:cstheme="minorHAnsi"/>
                <w:szCs w:val="20"/>
              </w:rPr>
              <w:t>CALD</w:t>
            </w:r>
          </w:p>
        </w:tc>
        <w:tc>
          <w:tcPr>
            <w:tcW w:w="8017" w:type="dxa"/>
          </w:tcPr>
          <w:p w14:paraId="50D963F8" w14:textId="7A7ED05E" w:rsidR="000E3134" w:rsidRPr="006D31B6" w:rsidRDefault="000E3134" w:rsidP="00947871">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C6D0B">
              <w:rPr>
                <w:rFonts w:cstheme="minorHAnsi"/>
                <w:szCs w:val="20"/>
              </w:rPr>
              <w:t>Cultural</w:t>
            </w:r>
            <w:r w:rsidR="00947871">
              <w:rPr>
                <w:rFonts w:cstheme="minorHAnsi"/>
                <w:szCs w:val="20"/>
              </w:rPr>
              <w:t>ly</w:t>
            </w:r>
            <w:r w:rsidRPr="00DC6D0B">
              <w:rPr>
                <w:rFonts w:cstheme="minorHAnsi"/>
                <w:szCs w:val="20"/>
              </w:rPr>
              <w:t xml:space="preserve"> and </w:t>
            </w:r>
            <w:r w:rsidR="00947871">
              <w:rPr>
                <w:rFonts w:cstheme="minorHAnsi"/>
                <w:szCs w:val="20"/>
              </w:rPr>
              <w:t>l</w:t>
            </w:r>
            <w:r w:rsidRPr="00DC6D0B">
              <w:rPr>
                <w:rFonts w:cstheme="minorHAnsi"/>
                <w:szCs w:val="20"/>
              </w:rPr>
              <w:t>inguistic</w:t>
            </w:r>
            <w:r w:rsidR="00947871">
              <w:rPr>
                <w:rFonts w:cstheme="minorHAnsi"/>
                <w:szCs w:val="20"/>
              </w:rPr>
              <w:t>ally d</w:t>
            </w:r>
            <w:r w:rsidRPr="00DC6D0B">
              <w:rPr>
                <w:rFonts w:cstheme="minorHAnsi"/>
                <w:szCs w:val="20"/>
              </w:rPr>
              <w:t>ivers</w:t>
            </w:r>
            <w:r w:rsidR="00947871">
              <w:rPr>
                <w:rFonts w:cstheme="minorHAnsi"/>
                <w:szCs w:val="20"/>
              </w:rPr>
              <w:t>e</w:t>
            </w:r>
          </w:p>
        </w:tc>
      </w:tr>
      <w:tr w:rsidR="000E3134" w:rsidRPr="00BA22DD" w14:paraId="65C5B4FF"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E48B7DC" w14:textId="77777777" w:rsidR="000E3134" w:rsidRPr="006D31B6" w:rsidRDefault="000E3134" w:rsidP="00750D05">
            <w:pPr>
              <w:spacing w:before="40" w:after="40"/>
              <w:rPr>
                <w:sz w:val="20"/>
                <w:szCs w:val="20"/>
              </w:rPr>
            </w:pPr>
            <w:r w:rsidRPr="00DC6D0B">
              <w:rPr>
                <w:rFonts w:cstheme="minorHAnsi"/>
                <w:szCs w:val="20"/>
              </w:rPr>
              <w:t>CATSINaM</w:t>
            </w:r>
          </w:p>
        </w:tc>
        <w:tc>
          <w:tcPr>
            <w:tcW w:w="8017" w:type="dxa"/>
          </w:tcPr>
          <w:p w14:paraId="06C2445F" w14:textId="5A78F646" w:rsidR="000E3134" w:rsidRPr="006D31B6" w:rsidRDefault="00947871" w:rsidP="00947871">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Cs w:val="20"/>
              </w:rPr>
              <w:t xml:space="preserve">Congress of </w:t>
            </w:r>
            <w:r w:rsidR="000E3134" w:rsidRPr="00DC6D0B">
              <w:rPr>
                <w:rFonts w:cstheme="minorHAnsi"/>
                <w:szCs w:val="20"/>
              </w:rPr>
              <w:t>Aboriginal and Torres Strait Islander Nurs</w:t>
            </w:r>
            <w:r>
              <w:rPr>
                <w:rFonts w:cstheme="minorHAnsi"/>
                <w:szCs w:val="20"/>
              </w:rPr>
              <w:t>es</w:t>
            </w:r>
            <w:r w:rsidR="000E3134" w:rsidRPr="00DC6D0B">
              <w:rPr>
                <w:rFonts w:cstheme="minorHAnsi"/>
                <w:szCs w:val="20"/>
              </w:rPr>
              <w:t xml:space="preserve"> and Midwi</w:t>
            </w:r>
            <w:r>
              <w:rPr>
                <w:rFonts w:cstheme="minorHAnsi"/>
                <w:szCs w:val="20"/>
              </w:rPr>
              <w:t>ves</w:t>
            </w:r>
          </w:p>
        </w:tc>
      </w:tr>
      <w:tr w:rsidR="000E3134" w:rsidRPr="00BA22DD" w14:paraId="2D593592"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6CBD7539" w14:textId="77777777" w:rsidR="000E3134" w:rsidRPr="006D31B6" w:rsidRDefault="000E3134" w:rsidP="00750D05">
            <w:pPr>
              <w:spacing w:before="40" w:after="40"/>
              <w:rPr>
                <w:sz w:val="20"/>
                <w:szCs w:val="20"/>
              </w:rPr>
            </w:pPr>
            <w:r w:rsidRPr="00DC6D0B">
              <w:rPr>
                <w:rFonts w:cstheme="minorHAnsi"/>
                <w:szCs w:val="20"/>
              </w:rPr>
              <w:t>CFIR</w:t>
            </w:r>
          </w:p>
        </w:tc>
        <w:tc>
          <w:tcPr>
            <w:tcW w:w="8017" w:type="dxa"/>
          </w:tcPr>
          <w:p w14:paraId="3B46FCB3" w14:textId="2969E07B"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C6D0B">
              <w:rPr>
                <w:rFonts w:cstheme="minorHAnsi"/>
                <w:szCs w:val="20"/>
              </w:rPr>
              <w:t>Consolidated Framework for Implementation Research</w:t>
            </w:r>
          </w:p>
        </w:tc>
      </w:tr>
      <w:tr w:rsidR="000E3134" w:rsidRPr="00BA22DD" w14:paraId="6382EF21"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432809B4" w14:textId="77777777" w:rsidR="000E3134" w:rsidRPr="006D31B6" w:rsidRDefault="000E3134" w:rsidP="00750D05">
            <w:pPr>
              <w:spacing w:before="40" w:after="40"/>
              <w:rPr>
                <w:sz w:val="20"/>
                <w:szCs w:val="20"/>
              </w:rPr>
            </w:pPr>
            <w:r>
              <w:rPr>
                <w:rFonts w:cstheme="minorHAnsi"/>
                <w:szCs w:val="20"/>
              </w:rPr>
              <w:t>COAG</w:t>
            </w:r>
          </w:p>
        </w:tc>
        <w:tc>
          <w:tcPr>
            <w:tcW w:w="8017" w:type="dxa"/>
          </w:tcPr>
          <w:p w14:paraId="720922A4"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Cs w:val="20"/>
              </w:rPr>
              <w:t>Council of Australian Governments</w:t>
            </w:r>
          </w:p>
        </w:tc>
      </w:tr>
      <w:tr w:rsidR="007C41CE" w:rsidRPr="00BA22DD" w14:paraId="5D808546"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A1CBF9" w14:textId="0079D278" w:rsidR="007C41CE" w:rsidRPr="007C41CE" w:rsidRDefault="007C41CE" w:rsidP="00750D05">
            <w:pPr>
              <w:spacing w:before="40" w:after="40"/>
              <w:rPr>
                <w:rFonts w:cstheme="minorHAnsi"/>
                <w:szCs w:val="22"/>
              </w:rPr>
            </w:pPr>
            <w:r w:rsidRPr="007C41CE">
              <w:rPr>
                <w:rFonts w:cstheme="minorHAnsi"/>
                <w:szCs w:val="22"/>
              </w:rPr>
              <w:t>Continuity of care</w:t>
            </w:r>
          </w:p>
        </w:tc>
        <w:tc>
          <w:tcPr>
            <w:tcW w:w="8017" w:type="dxa"/>
          </w:tcPr>
          <w:p w14:paraId="771AE2ED" w14:textId="10AB72DE" w:rsidR="007C41CE" w:rsidRPr="007C41CE" w:rsidRDefault="007C41CE" w:rsidP="00750D05">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2"/>
              </w:rPr>
            </w:pPr>
            <w:r w:rsidRPr="007C41CE">
              <w:rPr>
                <w:rFonts w:cstheme="minorHAnsi"/>
                <w:szCs w:val="22"/>
              </w:rPr>
              <w:t>A philosophy that involves shared understanding of care pathways by all health professionals involved in a woman’s or pregnant person’s care, with the aim of reducing fragmentation of care and conflicting advice</w:t>
            </w:r>
            <w:r w:rsidR="00BC7EB1">
              <w:rPr>
                <w:rFonts w:cstheme="minorHAnsi"/>
                <w:szCs w:val="22"/>
              </w:rPr>
              <w:t>.</w:t>
            </w:r>
          </w:p>
        </w:tc>
      </w:tr>
      <w:tr w:rsidR="007C41CE" w:rsidRPr="00BA22DD" w14:paraId="3212CF17" w14:textId="77777777" w:rsidTr="00750D05">
        <w:tc>
          <w:tcPr>
            <w:cnfStyle w:val="001000000000" w:firstRow="0" w:lastRow="0" w:firstColumn="1" w:lastColumn="0" w:oddVBand="0" w:evenVBand="0" w:oddHBand="0" w:evenHBand="0" w:firstRowFirstColumn="0" w:firstRowLastColumn="0" w:lastRowFirstColumn="0" w:lastRowLastColumn="0"/>
            <w:tcW w:w="1838" w:type="dxa"/>
          </w:tcPr>
          <w:p w14:paraId="2800753B" w14:textId="3FECFEF7" w:rsidR="007C41CE" w:rsidRPr="007C41CE" w:rsidRDefault="007C41CE" w:rsidP="00750D05">
            <w:pPr>
              <w:spacing w:before="40" w:after="40"/>
              <w:rPr>
                <w:rFonts w:cstheme="minorHAnsi"/>
                <w:szCs w:val="22"/>
              </w:rPr>
            </w:pPr>
            <w:r w:rsidRPr="007C41CE">
              <w:rPr>
                <w:rFonts w:cstheme="minorHAnsi"/>
                <w:szCs w:val="22"/>
              </w:rPr>
              <w:t>Continuity of carer</w:t>
            </w:r>
          </w:p>
        </w:tc>
        <w:tc>
          <w:tcPr>
            <w:tcW w:w="8017" w:type="dxa"/>
          </w:tcPr>
          <w:p w14:paraId="349E2589" w14:textId="13708B44" w:rsidR="007C41CE" w:rsidRPr="007C41CE" w:rsidRDefault="007C41CE" w:rsidP="00750D05">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2"/>
              </w:rPr>
            </w:pPr>
            <w:r w:rsidRPr="007C41CE">
              <w:rPr>
                <w:rFonts w:cstheme="minorHAnsi"/>
                <w:szCs w:val="22"/>
              </w:rPr>
              <w:t>Care is provided, or led, over the full length of a maternity period by the same named carer. Other caregivers may be involved in the provision of care, either as a backup to the named carer or to collaborate in the provision of care, however the named carer continues to coordinate and provide ongoing care throughout. The extent of continuity of carer across the continuum of maternity care can range from no continuity of carer across any stage of the maternity period to continuity of carer across the whole duration of maternity period—antenatal, intrapartum and postpartum</w:t>
            </w:r>
            <w:r w:rsidR="00BC7EB1">
              <w:rPr>
                <w:rFonts w:cstheme="minorHAnsi"/>
                <w:szCs w:val="22"/>
              </w:rPr>
              <w:t>.</w:t>
            </w:r>
          </w:p>
        </w:tc>
      </w:tr>
      <w:tr w:rsidR="000E3134" w:rsidRPr="00BA22DD" w14:paraId="16FC2E0D"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11CA114" w14:textId="77777777" w:rsidR="000E3134" w:rsidRPr="006D31B6" w:rsidRDefault="000E3134" w:rsidP="00750D05">
            <w:pPr>
              <w:spacing w:before="40" w:after="40"/>
              <w:rPr>
                <w:sz w:val="20"/>
                <w:szCs w:val="20"/>
              </w:rPr>
            </w:pPr>
            <w:r>
              <w:rPr>
                <w:rFonts w:cstheme="minorHAnsi"/>
                <w:szCs w:val="20"/>
              </w:rPr>
              <w:t>COPE</w:t>
            </w:r>
          </w:p>
        </w:tc>
        <w:tc>
          <w:tcPr>
            <w:tcW w:w="8017" w:type="dxa"/>
          </w:tcPr>
          <w:p w14:paraId="325C38CF" w14:textId="7994069F" w:rsidR="000E3134" w:rsidRPr="006D31B6" w:rsidRDefault="000E3134" w:rsidP="00D1333B">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5B4C96">
              <w:rPr>
                <w:rFonts w:cstheme="minorHAnsi"/>
                <w:szCs w:val="20"/>
              </w:rPr>
              <w:t xml:space="preserve">Centre </w:t>
            </w:r>
            <w:r w:rsidR="00D1333B">
              <w:rPr>
                <w:rFonts w:cstheme="minorHAnsi"/>
                <w:szCs w:val="20"/>
              </w:rPr>
              <w:t>of</w:t>
            </w:r>
            <w:r w:rsidR="00D1333B" w:rsidRPr="005B4C96">
              <w:rPr>
                <w:rFonts w:cstheme="minorHAnsi"/>
                <w:szCs w:val="20"/>
              </w:rPr>
              <w:t xml:space="preserve"> </w:t>
            </w:r>
            <w:r w:rsidRPr="005B4C96">
              <w:rPr>
                <w:rFonts w:cstheme="minorHAnsi"/>
                <w:szCs w:val="20"/>
              </w:rPr>
              <w:t>Perinatal Excellence</w:t>
            </w:r>
          </w:p>
        </w:tc>
      </w:tr>
      <w:tr w:rsidR="000E3134" w:rsidRPr="00BA22DD" w14:paraId="35A475B0"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93D4F96" w14:textId="77777777" w:rsidR="000E3134" w:rsidRPr="006D31B6" w:rsidRDefault="000E3134" w:rsidP="00750D05">
            <w:pPr>
              <w:spacing w:before="40" w:after="40"/>
              <w:rPr>
                <w:sz w:val="20"/>
                <w:szCs w:val="20"/>
              </w:rPr>
            </w:pPr>
            <w:r w:rsidRPr="00DC6D0B">
              <w:rPr>
                <w:rFonts w:cstheme="minorHAnsi"/>
                <w:szCs w:val="20"/>
              </w:rPr>
              <w:t>ICHOM</w:t>
            </w:r>
          </w:p>
        </w:tc>
        <w:tc>
          <w:tcPr>
            <w:tcW w:w="8017" w:type="dxa"/>
          </w:tcPr>
          <w:p w14:paraId="6022E47D"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E12059">
              <w:rPr>
                <w:rFonts w:cstheme="minorHAnsi"/>
                <w:szCs w:val="20"/>
              </w:rPr>
              <w:t>International Consortium for Health Outcomes Measurement</w:t>
            </w:r>
          </w:p>
        </w:tc>
      </w:tr>
      <w:tr w:rsidR="007C41CE" w:rsidRPr="00BA22DD" w14:paraId="008B0433"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9FBF45" w14:textId="39E7B555" w:rsidR="007C41CE" w:rsidRPr="00DC6D0B" w:rsidRDefault="007C41CE" w:rsidP="007C41CE">
            <w:pPr>
              <w:spacing w:before="40" w:after="40"/>
              <w:rPr>
                <w:rFonts w:cstheme="minorHAnsi"/>
                <w:szCs w:val="20"/>
              </w:rPr>
            </w:pPr>
            <w:r>
              <w:rPr>
                <w:rFonts w:cstheme="minorHAnsi"/>
                <w:szCs w:val="20"/>
              </w:rPr>
              <w:t>Indigenous</w:t>
            </w:r>
          </w:p>
        </w:tc>
        <w:tc>
          <w:tcPr>
            <w:tcW w:w="8017" w:type="dxa"/>
          </w:tcPr>
          <w:p w14:paraId="06798FB7" w14:textId="1BD3CF95" w:rsidR="007C41CE" w:rsidRDefault="007C41CE" w:rsidP="00896010">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This word is used </w:t>
            </w:r>
            <w:r w:rsidR="00896010">
              <w:rPr>
                <w:rFonts w:cstheme="minorHAnsi"/>
                <w:szCs w:val="20"/>
              </w:rPr>
              <w:t>in the analyses conducted by the AIHW</w:t>
            </w:r>
            <w:r>
              <w:rPr>
                <w:rFonts w:cstheme="minorHAnsi"/>
                <w:szCs w:val="20"/>
              </w:rPr>
              <w:t xml:space="preserve"> to refer to Aboriginal and Torres Strait Islander peoples</w:t>
            </w:r>
            <w:r w:rsidR="00896010">
              <w:rPr>
                <w:rFonts w:cstheme="minorHAnsi"/>
                <w:szCs w:val="20"/>
              </w:rPr>
              <w:t xml:space="preserve"> and we have replicated this language in some sections of this document for consistency in data presentation</w:t>
            </w:r>
            <w:r w:rsidR="00BC7EB1">
              <w:rPr>
                <w:rFonts w:cstheme="minorHAnsi"/>
                <w:szCs w:val="20"/>
              </w:rPr>
              <w:t>.</w:t>
            </w:r>
          </w:p>
        </w:tc>
      </w:tr>
      <w:tr w:rsidR="000E3134" w:rsidRPr="00BA22DD" w14:paraId="37D94B83"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143B875" w14:textId="77777777" w:rsidR="000E3134" w:rsidRPr="006D31B6" w:rsidRDefault="000E3134" w:rsidP="00750D05">
            <w:pPr>
              <w:spacing w:before="40" w:after="40"/>
              <w:rPr>
                <w:sz w:val="20"/>
                <w:szCs w:val="20"/>
              </w:rPr>
            </w:pPr>
            <w:r w:rsidRPr="00DC6D0B">
              <w:rPr>
                <w:rFonts w:cstheme="minorHAnsi"/>
                <w:szCs w:val="20"/>
              </w:rPr>
              <w:t>LGBTQIA</w:t>
            </w:r>
          </w:p>
        </w:tc>
        <w:tc>
          <w:tcPr>
            <w:tcW w:w="8017" w:type="dxa"/>
          </w:tcPr>
          <w:p w14:paraId="1E0819FA" w14:textId="650CEFD2" w:rsidR="000E3134" w:rsidRPr="006D31B6" w:rsidRDefault="00184498"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Cs w:val="20"/>
              </w:rPr>
              <w:t>Lesbian, gay, bisexual,</w:t>
            </w:r>
            <w:r w:rsidR="000E3134" w:rsidRPr="00DC6D0B">
              <w:rPr>
                <w:rFonts w:cstheme="minorHAnsi"/>
                <w:szCs w:val="20"/>
              </w:rPr>
              <w:t xml:space="preserve"> transgender</w:t>
            </w:r>
            <w:r>
              <w:rPr>
                <w:rFonts w:cstheme="minorHAnsi"/>
                <w:szCs w:val="20"/>
              </w:rPr>
              <w:t>, queer, intersex and asexual</w:t>
            </w:r>
          </w:p>
        </w:tc>
      </w:tr>
      <w:tr w:rsidR="000E3134" w:rsidRPr="00BA22DD" w14:paraId="1B53D74A"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632AEB4" w14:textId="77777777" w:rsidR="000E3134" w:rsidRPr="006D31B6" w:rsidRDefault="000E3134" w:rsidP="00750D05">
            <w:pPr>
              <w:spacing w:before="40" w:after="40"/>
              <w:rPr>
                <w:sz w:val="20"/>
                <w:szCs w:val="20"/>
              </w:rPr>
            </w:pPr>
            <w:r>
              <w:rPr>
                <w:rFonts w:cstheme="minorHAnsi"/>
                <w:szCs w:val="20"/>
              </w:rPr>
              <w:t>MaCCS</w:t>
            </w:r>
          </w:p>
        </w:tc>
        <w:tc>
          <w:tcPr>
            <w:tcW w:w="8017" w:type="dxa"/>
          </w:tcPr>
          <w:p w14:paraId="016503EA" w14:textId="77777777"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A22C85">
              <w:rPr>
                <w:rFonts w:cstheme="minorHAnsi"/>
                <w:szCs w:val="20"/>
              </w:rPr>
              <w:t>Maternity Care Classification System</w:t>
            </w:r>
          </w:p>
        </w:tc>
      </w:tr>
      <w:tr w:rsidR="000E3134" w:rsidRPr="00BA22DD" w14:paraId="628515ED"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7A76FCF5" w14:textId="77777777" w:rsidR="000E3134" w:rsidRPr="006D31B6" w:rsidRDefault="000E3134" w:rsidP="00750D05">
            <w:pPr>
              <w:spacing w:before="40" w:after="40"/>
              <w:rPr>
                <w:sz w:val="20"/>
                <w:szCs w:val="20"/>
              </w:rPr>
            </w:pPr>
            <w:r w:rsidRPr="00DC6D0B">
              <w:rPr>
                <w:rFonts w:cstheme="minorHAnsi"/>
                <w:szCs w:val="20"/>
              </w:rPr>
              <w:t>MADM</w:t>
            </w:r>
          </w:p>
        </w:tc>
        <w:tc>
          <w:tcPr>
            <w:tcW w:w="8017" w:type="dxa"/>
          </w:tcPr>
          <w:p w14:paraId="41D34EDC"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C6D0B">
              <w:rPr>
                <w:rFonts w:cstheme="minorHAnsi"/>
                <w:szCs w:val="20"/>
              </w:rPr>
              <w:t>Mother’s Autonomy in Decision Making scale</w:t>
            </w:r>
          </w:p>
        </w:tc>
      </w:tr>
      <w:tr w:rsidR="000E3134" w:rsidRPr="00BA22DD" w14:paraId="76B3894E"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A61003B" w14:textId="77777777" w:rsidR="000E3134" w:rsidRPr="006D31B6" w:rsidRDefault="000E3134" w:rsidP="00750D05">
            <w:pPr>
              <w:spacing w:before="40" w:after="40"/>
              <w:rPr>
                <w:sz w:val="20"/>
                <w:szCs w:val="20"/>
              </w:rPr>
            </w:pPr>
            <w:r w:rsidRPr="00DC6D0B">
              <w:rPr>
                <w:rFonts w:cstheme="minorHAnsi"/>
                <w:szCs w:val="20"/>
              </w:rPr>
              <w:t>MBS</w:t>
            </w:r>
          </w:p>
        </w:tc>
        <w:tc>
          <w:tcPr>
            <w:tcW w:w="8017" w:type="dxa"/>
          </w:tcPr>
          <w:p w14:paraId="1652848B" w14:textId="77777777"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C6D0B">
              <w:rPr>
                <w:rFonts w:cstheme="minorHAnsi"/>
                <w:szCs w:val="20"/>
              </w:rPr>
              <w:t>Medicare Benefits Schedule</w:t>
            </w:r>
          </w:p>
        </w:tc>
      </w:tr>
      <w:tr w:rsidR="000E3134" w:rsidRPr="00BA22DD" w14:paraId="00DF0F0F"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F3373AA" w14:textId="77777777" w:rsidR="000E3134" w:rsidRPr="006D31B6" w:rsidRDefault="000E3134" w:rsidP="00750D05">
            <w:pPr>
              <w:spacing w:before="40" w:after="40"/>
              <w:rPr>
                <w:sz w:val="20"/>
                <w:szCs w:val="20"/>
              </w:rPr>
            </w:pPr>
            <w:r w:rsidRPr="005B4C96">
              <w:rPr>
                <w:rFonts w:cstheme="minorHAnsi"/>
                <w:szCs w:val="20"/>
              </w:rPr>
              <w:t>MEF</w:t>
            </w:r>
          </w:p>
        </w:tc>
        <w:tc>
          <w:tcPr>
            <w:tcW w:w="8017" w:type="dxa"/>
          </w:tcPr>
          <w:p w14:paraId="63E91BDE"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5B4C96">
              <w:rPr>
                <w:rFonts w:cstheme="minorHAnsi"/>
                <w:szCs w:val="20"/>
              </w:rPr>
              <w:t>Monitoring and Evaluation Framework</w:t>
            </w:r>
          </w:p>
        </w:tc>
      </w:tr>
      <w:tr w:rsidR="000E3134" w:rsidRPr="00BA22DD" w14:paraId="63A4ED61"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8516C26" w14:textId="77777777" w:rsidR="000E3134" w:rsidRPr="006D31B6" w:rsidRDefault="000E3134" w:rsidP="00750D05">
            <w:pPr>
              <w:spacing w:before="40" w:after="40"/>
              <w:rPr>
                <w:sz w:val="20"/>
                <w:szCs w:val="20"/>
              </w:rPr>
            </w:pPr>
            <w:r w:rsidRPr="00DC6D0B">
              <w:rPr>
                <w:rFonts w:cstheme="minorHAnsi"/>
                <w:szCs w:val="20"/>
              </w:rPr>
              <w:t>MORi</w:t>
            </w:r>
          </w:p>
        </w:tc>
        <w:tc>
          <w:tcPr>
            <w:tcW w:w="8017" w:type="dxa"/>
          </w:tcPr>
          <w:p w14:paraId="36AE9C0A" w14:textId="77777777"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C6D0B">
              <w:rPr>
                <w:rFonts w:cstheme="minorHAnsi"/>
                <w:szCs w:val="20"/>
              </w:rPr>
              <w:t>Mothers on Respect Index</w:t>
            </w:r>
          </w:p>
        </w:tc>
      </w:tr>
      <w:tr w:rsidR="000E3134" w:rsidRPr="00BA22DD" w14:paraId="087D6DF4"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E3CD441" w14:textId="77777777" w:rsidR="000E3134" w:rsidRPr="006D31B6" w:rsidRDefault="000E3134" w:rsidP="00750D05">
            <w:pPr>
              <w:spacing w:before="40" w:after="40"/>
              <w:rPr>
                <w:sz w:val="20"/>
                <w:szCs w:val="20"/>
              </w:rPr>
            </w:pPr>
            <w:r w:rsidRPr="00DC6D0B">
              <w:rPr>
                <w:rFonts w:cstheme="minorHAnsi"/>
                <w:szCs w:val="20"/>
              </w:rPr>
              <w:t>NHMRC</w:t>
            </w:r>
          </w:p>
        </w:tc>
        <w:tc>
          <w:tcPr>
            <w:tcW w:w="8017" w:type="dxa"/>
          </w:tcPr>
          <w:p w14:paraId="4EA76FEB"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ED7A3C">
              <w:rPr>
                <w:rFonts w:cstheme="minorHAnsi"/>
                <w:szCs w:val="20"/>
              </w:rPr>
              <w:t>National Health and Medical Research Council</w:t>
            </w:r>
          </w:p>
        </w:tc>
      </w:tr>
      <w:tr w:rsidR="000E3134" w:rsidRPr="00BA22DD" w14:paraId="7A154598"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17236C2" w14:textId="77777777" w:rsidR="000E3134" w:rsidRPr="006D31B6" w:rsidRDefault="000E3134" w:rsidP="00750D05">
            <w:pPr>
              <w:spacing w:before="40" w:after="40"/>
              <w:rPr>
                <w:sz w:val="20"/>
                <w:szCs w:val="20"/>
              </w:rPr>
            </w:pPr>
            <w:r w:rsidRPr="00DC6D0B">
              <w:rPr>
                <w:rFonts w:cstheme="minorHAnsi"/>
                <w:szCs w:val="20"/>
              </w:rPr>
              <w:t>NPDC</w:t>
            </w:r>
          </w:p>
        </w:tc>
        <w:tc>
          <w:tcPr>
            <w:tcW w:w="8017" w:type="dxa"/>
          </w:tcPr>
          <w:p w14:paraId="65AB5CD5" w14:textId="00C4C194"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763F09">
              <w:rPr>
                <w:rFonts w:cstheme="minorHAnsi"/>
                <w:szCs w:val="20"/>
              </w:rPr>
              <w:t>National Perinatal Data Collection</w:t>
            </w:r>
          </w:p>
        </w:tc>
      </w:tr>
      <w:tr w:rsidR="000E3134" w:rsidRPr="00BA22DD" w14:paraId="794DE896"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D1BDFD7" w14:textId="77777777" w:rsidR="000E3134" w:rsidRPr="006D31B6" w:rsidRDefault="000E3134" w:rsidP="00750D05">
            <w:pPr>
              <w:spacing w:before="40" w:after="40"/>
              <w:rPr>
                <w:sz w:val="20"/>
                <w:szCs w:val="20"/>
              </w:rPr>
            </w:pPr>
            <w:r w:rsidRPr="00DC6D0B">
              <w:rPr>
                <w:rFonts w:cstheme="minorHAnsi"/>
                <w:szCs w:val="20"/>
              </w:rPr>
              <w:t>PANDA</w:t>
            </w:r>
          </w:p>
        </w:tc>
        <w:tc>
          <w:tcPr>
            <w:tcW w:w="8017" w:type="dxa"/>
          </w:tcPr>
          <w:p w14:paraId="51670C41"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ED7A3C">
              <w:rPr>
                <w:rFonts w:cstheme="minorHAnsi"/>
                <w:szCs w:val="20"/>
              </w:rPr>
              <w:t>Perinatal Anxiety &amp; Depression Australia</w:t>
            </w:r>
          </w:p>
        </w:tc>
      </w:tr>
      <w:tr w:rsidR="000E3134" w:rsidRPr="00BA22DD" w14:paraId="554B0F56"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CE0AD91" w14:textId="77777777" w:rsidR="000E3134" w:rsidRPr="006D31B6" w:rsidRDefault="000E3134" w:rsidP="00750D05">
            <w:pPr>
              <w:spacing w:before="40" w:after="40"/>
              <w:rPr>
                <w:sz w:val="20"/>
                <w:szCs w:val="20"/>
              </w:rPr>
            </w:pPr>
            <w:r>
              <w:rPr>
                <w:rFonts w:cstheme="minorHAnsi"/>
                <w:szCs w:val="20"/>
              </w:rPr>
              <w:t>PREMs</w:t>
            </w:r>
          </w:p>
        </w:tc>
        <w:tc>
          <w:tcPr>
            <w:tcW w:w="8017" w:type="dxa"/>
          </w:tcPr>
          <w:p w14:paraId="126F5CE2" w14:textId="77777777"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Cs w:val="22"/>
              </w:rPr>
              <w:t>patient-reported experience measures</w:t>
            </w:r>
          </w:p>
        </w:tc>
      </w:tr>
      <w:tr w:rsidR="000E3134" w:rsidRPr="00BA22DD" w14:paraId="15620F8D"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B9829CA" w14:textId="77777777" w:rsidR="000E3134" w:rsidRPr="006D31B6" w:rsidRDefault="000E3134" w:rsidP="00750D05">
            <w:pPr>
              <w:spacing w:before="40" w:after="40"/>
              <w:rPr>
                <w:sz w:val="20"/>
                <w:szCs w:val="20"/>
              </w:rPr>
            </w:pPr>
            <w:r>
              <w:rPr>
                <w:rFonts w:cstheme="minorHAnsi"/>
                <w:szCs w:val="20"/>
              </w:rPr>
              <w:t>PROMs</w:t>
            </w:r>
          </w:p>
        </w:tc>
        <w:tc>
          <w:tcPr>
            <w:tcW w:w="8017" w:type="dxa"/>
          </w:tcPr>
          <w:p w14:paraId="5787F22A"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0F5EB1">
              <w:rPr>
                <w:rFonts w:cstheme="minorHAnsi"/>
                <w:szCs w:val="20"/>
              </w:rPr>
              <w:t>patient-reported outcome measures</w:t>
            </w:r>
          </w:p>
        </w:tc>
      </w:tr>
      <w:tr w:rsidR="007C41CE" w:rsidRPr="00BA22DD" w14:paraId="395CEEEE"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D54D68" w14:textId="602F8EED" w:rsidR="007C41CE" w:rsidRDefault="007C41CE" w:rsidP="007C41CE">
            <w:pPr>
              <w:spacing w:before="40" w:after="40"/>
              <w:rPr>
                <w:rFonts w:cstheme="minorHAnsi"/>
                <w:szCs w:val="20"/>
              </w:rPr>
            </w:pPr>
            <w:r>
              <w:rPr>
                <w:rFonts w:cstheme="minorHAnsi"/>
                <w:szCs w:val="20"/>
              </w:rPr>
              <w:t>Selected women</w:t>
            </w:r>
          </w:p>
        </w:tc>
        <w:tc>
          <w:tcPr>
            <w:tcW w:w="8017" w:type="dxa"/>
          </w:tcPr>
          <w:p w14:paraId="49075537" w14:textId="0DC11C1F" w:rsidR="007C41CE" w:rsidRPr="00685356" w:rsidRDefault="007C41CE" w:rsidP="007C41CE">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2"/>
              </w:rPr>
            </w:pPr>
            <w:r w:rsidRPr="005112B1">
              <w:rPr>
                <w:szCs w:val="22"/>
              </w:rPr>
              <w:t xml:space="preserve">Selected women are defined </w:t>
            </w:r>
            <w:r w:rsidR="00896010">
              <w:rPr>
                <w:szCs w:val="22"/>
              </w:rPr>
              <w:t xml:space="preserve">by the AIHW </w:t>
            </w:r>
            <w:r w:rsidRPr="005112B1">
              <w:rPr>
                <w:szCs w:val="22"/>
              </w:rPr>
              <w:t>as ‘aged between 20 and 34 years, where gestational age at birth was between 37 and 41 completed weeks, with a singleton baby in the vertex presentation</w:t>
            </w:r>
            <w:r w:rsidRPr="005112B1">
              <w:rPr>
                <w:rStyle w:val="CommentReference"/>
                <w:sz w:val="22"/>
                <w:szCs w:val="22"/>
              </w:rPr>
              <w:t>’. They are reported on separately as it is expected that they will have fewer labour complications and more optimal birth outcomes due to their lower risk. This cohort represents about one quarter of all women who give birth in Australia</w:t>
            </w:r>
            <w:r w:rsidR="00BC7EB1">
              <w:rPr>
                <w:rStyle w:val="CommentReference"/>
                <w:sz w:val="22"/>
                <w:szCs w:val="22"/>
              </w:rPr>
              <w:t>.</w:t>
            </w:r>
          </w:p>
        </w:tc>
      </w:tr>
      <w:tr w:rsidR="000E3134" w:rsidRPr="00BA22DD" w14:paraId="478312DD"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48ECD16B" w14:textId="77777777" w:rsidR="000E3134" w:rsidRPr="005B4C96" w:rsidRDefault="000E3134" w:rsidP="00750D05">
            <w:pPr>
              <w:spacing w:before="40" w:after="40"/>
              <w:rPr>
                <w:rFonts w:cstheme="minorHAnsi"/>
                <w:szCs w:val="20"/>
              </w:rPr>
            </w:pPr>
            <w:r>
              <w:rPr>
                <w:rFonts w:cstheme="minorHAnsi"/>
                <w:szCs w:val="20"/>
              </w:rPr>
              <w:lastRenderedPageBreak/>
              <w:t>the Commission</w:t>
            </w:r>
          </w:p>
        </w:tc>
        <w:tc>
          <w:tcPr>
            <w:tcW w:w="8017" w:type="dxa"/>
          </w:tcPr>
          <w:p w14:paraId="402ADD92" w14:textId="77777777" w:rsidR="000E3134" w:rsidRPr="005B4C9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Australian Commission on Safety and Quality in Health Care</w:t>
            </w:r>
          </w:p>
        </w:tc>
      </w:tr>
      <w:tr w:rsidR="000E3134" w:rsidRPr="00BA22DD" w14:paraId="68D5BF8C" w14:textId="77777777" w:rsidTr="0075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A77868C" w14:textId="77777777" w:rsidR="000E3134" w:rsidRPr="006D31B6" w:rsidRDefault="000E3134" w:rsidP="00750D05">
            <w:pPr>
              <w:spacing w:before="40" w:after="40"/>
              <w:rPr>
                <w:sz w:val="20"/>
                <w:szCs w:val="20"/>
              </w:rPr>
            </w:pPr>
            <w:r w:rsidRPr="005B4C96">
              <w:rPr>
                <w:rFonts w:cstheme="minorHAnsi"/>
                <w:szCs w:val="20"/>
              </w:rPr>
              <w:t>the Department</w:t>
            </w:r>
          </w:p>
        </w:tc>
        <w:tc>
          <w:tcPr>
            <w:tcW w:w="8017" w:type="dxa"/>
          </w:tcPr>
          <w:p w14:paraId="26716FAB" w14:textId="77777777" w:rsidR="000E3134" w:rsidRPr="006D31B6" w:rsidRDefault="000E3134" w:rsidP="00750D0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5B4C96">
              <w:rPr>
                <w:rFonts w:cstheme="minorHAnsi"/>
                <w:szCs w:val="20"/>
              </w:rPr>
              <w:t>Department of Health and Aged Care</w:t>
            </w:r>
          </w:p>
        </w:tc>
      </w:tr>
      <w:tr w:rsidR="000E3134" w:rsidRPr="00BA22DD" w14:paraId="12E05843" w14:textId="77777777" w:rsidTr="00750D0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6B224230" w14:textId="77777777" w:rsidR="000E3134" w:rsidRPr="006D31B6" w:rsidRDefault="000E3134" w:rsidP="00750D05">
            <w:pPr>
              <w:spacing w:before="40" w:after="40"/>
              <w:rPr>
                <w:sz w:val="20"/>
                <w:szCs w:val="20"/>
              </w:rPr>
            </w:pPr>
            <w:r>
              <w:rPr>
                <w:rFonts w:cstheme="minorHAnsi"/>
                <w:szCs w:val="20"/>
              </w:rPr>
              <w:t>t</w:t>
            </w:r>
            <w:r w:rsidRPr="005B4C96">
              <w:rPr>
                <w:rFonts w:cstheme="minorHAnsi"/>
                <w:szCs w:val="20"/>
              </w:rPr>
              <w:t>he Strategy</w:t>
            </w:r>
          </w:p>
        </w:tc>
        <w:tc>
          <w:tcPr>
            <w:tcW w:w="8017" w:type="dxa"/>
          </w:tcPr>
          <w:p w14:paraId="1C520D99" w14:textId="77777777" w:rsidR="000E3134" w:rsidRPr="006D31B6" w:rsidRDefault="000E3134" w:rsidP="00750D0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5B4C96">
              <w:rPr>
                <w:rFonts w:cstheme="minorHAnsi"/>
                <w:szCs w:val="20"/>
              </w:rPr>
              <w:t>Woman-centred care: Strategic directions for Australian maternity services</w:t>
            </w:r>
          </w:p>
        </w:tc>
      </w:tr>
    </w:tbl>
    <w:p w14:paraId="681C16AC" w14:textId="7E6A8CA1" w:rsidR="00191B59" w:rsidRDefault="00191B59" w:rsidP="00B16036">
      <w:pPr>
        <w:rPr>
          <w:b/>
          <w:bCs/>
          <w:noProof/>
          <w:lang w:val="en-US"/>
        </w:rPr>
      </w:pPr>
    </w:p>
    <w:p w14:paraId="58A1F87E" w14:textId="77777777" w:rsidR="00191B59" w:rsidRDefault="00191B59" w:rsidP="00B16036">
      <w:pPr>
        <w:rPr>
          <w:b/>
          <w:bCs/>
          <w:noProof/>
          <w:lang w:val="en-US"/>
        </w:rPr>
        <w:sectPr w:rsidR="00191B59" w:rsidSect="00A32E67">
          <w:headerReference w:type="even" r:id="rId17"/>
          <w:headerReference w:type="default" r:id="rId18"/>
          <w:footerReference w:type="default" r:id="rId19"/>
          <w:headerReference w:type="first" r:id="rId20"/>
          <w:pgSz w:w="11906" w:h="16838"/>
          <w:pgMar w:top="1134" w:right="964" w:bottom="1021" w:left="1077" w:header="709" w:footer="709" w:gutter="0"/>
          <w:pgNumType w:fmt="lowerRoman" w:start="1"/>
          <w:cols w:space="708"/>
          <w:docGrid w:linePitch="360"/>
        </w:sectPr>
      </w:pPr>
    </w:p>
    <w:p w14:paraId="160FB460" w14:textId="50E3B7FD" w:rsidR="005D59E7" w:rsidRDefault="005D59E7" w:rsidP="0027565D">
      <w:pPr>
        <w:pStyle w:val="Heading1"/>
        <w:numPr>
          <w:ilvl w:val="0"/>
          <w:numId w:val="0"/>
        </w:numPr>
      </w:pPr>
      <w:bookmarkStart w:id="233" w:name="_Toc121415052"/>
      <w:r>
        <w:lastRenderedPageBreak/>
        <w:t>Executive summary</w:t>
      </w:r>
      <w:bookmarkEnd w:id="233"/>
    </w:p>
    <w:p w14:paraId="48AFAAC5" w14:textId="006F1456" w:rsidR="00A64FC5" w:rsidRDefault="00DE2380" w:rsidP="00DE2380">
      <w:pPr>
        <w:spacing w:after="120"/>
        <w:rPr>
          <w:lang w:eastAsia="zh-CN" w:bidi="th-TH"/>
        </w:rPr>
      </w:pPr>
      <w:r w:rsidRPr="00DE2380">
        <w:rPr>
          <w:i/>
          <w:lang w:eastAsia="zh-CN" w:bidi="th-TH"/>
        </w:rPr>
        <w:t>Woman-centred care: Strategic directions for Australian maternity services</w:t>
      </w:r>
      <w:r>
        <w:rPr>
          <w:lang w:eastAsia="zh-CN" w:bidi="th-TH"/>
        </w:rPr>
        <w:t xml:space="preserve"> (the Strategy) was released in 2019.</w:t>
      </w:r>
      <w:r w:rsidRPr="004764A2">
        <w:rPr>
          <w:lang w:eastAsia="zh-CN" w:bidi="th-TH"/>
        </w:rPr>
        <w:t xml:space="preserve"> </w:t>
      </w:r>
      <w:r>
        <w:rPr>
          <w:lang w:eastAsia="zh-CN" w:bidi="th-TH"/>
        </w:rPr>
        <w:t xml:space="preserve">The Department of Health and Aged Care engaged the Centre for Health Service Development to deliver a </w:t>
      </w:r>
      <w:r w:rsidRPr="004764A2">
        <w:rPr>
          <w:lang w:eastAsia="zh-CN" w:bidi="th-TH"/>
        </w:rPr>
        <w:t>Baseline Report</w:t>
      </w:r>
      <w:r w:rsidR="00A64FC5">
        <w:rPr>
          <w:lang w:eastAsia="zh-CN" w:bidi="th-TH"/>
        </w:rPr>
        <w:t xml:space="preserve"> for the Strategy</w:t>
      </w:r>
      <w:r w:rsidR="00BC4581">
        <w:rPr>
          <w:lang w:eastAsia="zh-CN" w:bidi="th-TH"/>
        </w:rPr>
        <w:t xml:space="preserve"> which</w:t>
      </w:r>
      <w:r w:rsidR="00A64FC5">
        <w:rPr>
          <w:lang w:eastAsia="zh-CN" w:bidi="th-TH"/>
        </w:rPr>
        <w:t xml:space="preserve"> has been developed in two parts. </w:t>
      </w:r>
      <w:r w:rsidR="00CD2277">
        <w:rPr>
          <w:lang w:eastAsia="zh-CN" w:bidi="th-TH"/>
        </w:rPr>
        <w:t>Part</w:t>
      </w:r>
      <w:r w:rsidR="00A64FC5">
        <w:rPr>
          <w:lang w:eastAsia="zh-CN" w:bidi="th-TH"/>
        </w:rPr>
        <w:t xml:space="preserve"> 1</w:t>
      </w:r>
      <w:r w:rsidRPr="004764A2">
        <w:rPr>
          <w:lang w:eastAsia="zh-CN" w:bidi="th-TH"/>
        </w:rPr>
        <w:t xml:space="preserve"> (this document) outlin</w:t>
      </w:r>
      <w:r w:rsidR="00A64FC5">
        <w:rPr>
          <w:lang w:eastAsia="zh-CN" w:bidi="th-TH"/>
        </w:rPr>
        <w:t>es</w:t>
      </w:r>
      <w:r w:rsidRPr="004764A2">
        <w:rPr>
          <w:lang w:eastAsia="zh-CN" w:bidi="th-TH"/>
        </w:rPr>
        <w:t xml:space="preserve"> existing activities and outcomes under the Strategy against which </w:t>
      </w:r>
      <w:r w:rsidR="00A64FC5">
        <w:rPr>
          <w:lang w:eastAsia="zh-CN" w:bidi="th-TH"/>
        </w:rPr>
        <w:t>later</w:t>
      </w:r>
      <w:r w:rsidRPr="004764A2">
        <w:rPr>
          <w:lang w:eastAsia="zh-CN" w:bidi="th-TH"/>
        </w:rPr>
        <w:t xml:space="preserve"> findings will be considered and assessed. </w:t>
      </w:r>
      <w:r w:rsidR="00CD2277">
        <w:rPr>
          <w:lang w:eastAsia="zh-CN" w:bidi="th-TH"/>
        </w:rPr>
        <w:t>Part</w:t>
      </w:r>
      <w:r w:rsidR="00A64FC5">
        <w:rPr>
          <w:lang w:eastAsia="zh-CN" w:bidi="th-TH"/>
        </w:rPr>
        <w:t xml:space="preserve"> 2 consists of an implementation plan for</w:t>
      </w:r>
      <w:r w:rsidR="004F695A">
        <w:rPr>
          <w:lang w:eastAsia="zh-CN" w:bidi="th-TH"/>
        </w:rPr>
        <w:t xml:space="preserve"> ongoing</w:t>
      </w:r>
      <w:r w:rsidR="00A64FC5">
        <w:rPr>
          <w:lang w:eastAsia="zh-CN" w:bidi="th-TH"/>
        </w:rPr>
        <w:t xml:space="preserve"> monitoring and evaluation of the Strategy.</w:t>
      </w:r>
    </w:p>
    <w:p w14:paraId="5C49DA58" w14:textId="65B48F32" w:rsidR="00453C5A" w:rsidRDefault="00453C5A" w:rsidP="00453C5A">
      <w:pPr>
        <w:spacing w:after="120"/>
        <w:rPr>
          <w:lang w:eastAsia="zh-CN" w:bidi="th-TH"/>
        </w:rPr>
      </w:pPr>
      <w:r>
        <w:rPr>
          <w:lang w:eastAsia="zh-CN" w:bidi="th-TH"/>
        </w:rPr>
        <w:t xml:space="preserve">Time constraints precluded deep engagement with some stakeholders, especially those representing the interests of </w:t>
      </w:r>
      <w:r w:rsidR="00896010">
        <w:rPr>
          <w:lang w:eastAsia="zh-CN" w:bidi="th-TH"/>
        </w:rPr>
        <w:t xml:space="preserve">Aboriginal and Torres Strait Islander </w:t>
      </w:r>
      <w:r>
        <w:rPr>
          <w:lang w:eastAsia="zh-CN" w:bidi="th-TH"/>
        </w:rPr>
        <w:t>and culturally and linguistically diverse health professionals, service providers, mothers and families. Further consultation by the Department, facilitated by those with appropriate community connections, is strongly recommended to ensure the perspectives of these groups are incorporated into later versions of the Baseline Report and Implementation Plan.</w:t>
      </w:r>
    </w:p>
    <w:p w14:paraId="1F9E3330" w14:textId="25E7E2CB" w:rsidR="00DE2380" w:rsidRDefault="00C67825" w:rsidP="00DE2380">
      <w:pPr>
        <w:spacing w:after="120"/>
        <w:rPr>
          <w:szCs w:val="22"/>
        </w:rPr>
      </w:pPr>
      <w:r>
        <w:rPr>
          <w:szCs w:val="22"/>
        </w:rPr>
        <w:t>D</w:t>
      </w:r>
      <w:r w:rsidR="00DE2380">
        <w:rPr>
          <w:szCs w:val="22"/>
        </w:rPr>
        <w:t xml:space="preserve">ata </w:t>
      </w:r>
      <w:r>
        <w:rPr>
          <w:szCs w:val="22"/>
        </w:rPr>
        <w:t>collection consisted of</w:t>
      </w:r>
      <w:r w:rsidR="00954BFB">
        <w:rPr>
          <w:szCs w:val="22"/>
        </w:rPr>
        <w:t xml:space="preserve"> </w:t>
      </w:r>
      <w:r w:rsidR="00DE2380">
        <w:rPr>
          <w:szCs w:val="22"/>
        </w:rPr>
        <w:t>a survey of jurisdictions, stakeholder interviews</w:t>
      </w:r>
      <w:r>
        <w:rPr>
          <w:szCs w:val="22"/>
        </w:rPr>
        <w:t>,</w:t>
      </w:r>
      <w:r w:rsidR="00DE2380">
        <w:rPr>
          <w:szCs w:val="22"/>
        </w:rPr>
        <w:t xml:space="preserve"> an environment scan</w:t>
      </w:r>
      <w:r w:rsidR="00954BFB">
        <w:rPr>
          <w:szCs w:val="22"/>
        </w:rPr>
        <w:t>,</w:t>
      </w:r>
      <w:r>
        <w:rPr>
          <w:szCs w:val="22"/>
        </w:rPr>
        <w:t xml:space="preserve"> and</w:t>
      </w:r>
      <w:r w:rsidR="00954BFB">
        <w:rPr>
          <w:szCs w:val="22"/>
        </w:rPr>
        <w:t xml:space="preserve"> </w:t>
      </w:r>
      <w:r w:rsidR="00DE2380">
        <w:rPr>
          <w:szCs w:val="22"/>
        </w:rPr>
        <w:t>d</w:t>
      </w:r>
      <w:r w:rsidR="00DE2380" w:rsidRPr="008C0F4C">
        <w:rPr>
          <w:szCs w:val="22"/>
        </w:rPr>
        <w:t xml:space="preserve">ata </w:t>
      </w:r>
      <w:r w:rsidR="00DE2380" w:rsidRPr="00F33055">
        <w:rPr>
          <w:szCs w:val="22"/>
        </w:rPr>
        <w:t xml:space="preserve">compiled and analysed by the Australian Institute of Health and Welfare (AIHW) and Services Australia </w:t>
      </w:r>
      <w:r w:rsidR="00954BFB">
        <w:rPr>
          <w:szCs w:val="22"/>
        </w:rPr>
        <w:t xml:space="preserve">on </w:t>
      </w:r>
      <w:r w:rsidR="00DE2380" w:rsidRPr="008C0F4C">
        <w:rPr>
          <w:szCs w:val="22"/>
        </w:rPr>
        <w:t>morbidity and mortality outcomes, clinical outcomes and access to maternity services</w:t>
      </w:r>
      <w:r w:rsidR="00DE2380">
        <w:rPr>
          <w:szCs w:val="22"/>
        </w:rPr>
        <w:t>.</w:t>
      </w:r>
      <w:r w:rsidR="00A64FC5">
        <w:rPr>
          <w:szCs w:val="22"/>
        </w:rPr>
        <w:t xml:space="preserve"> </w:t>
      </w:r>
      <w:r w:rsidR="00541FC7" w:rsidRPr="00C24842">
        <w:t xml:space="preserve">The qualitative data presented here is a snapshot of the baseline status at the time of </w:t>
      </w:r>
      <w:r w:rsidR="007E1583">
        <w:t>the stakeholder consultations in mid-2022.</w:t>
      </w:r>
      <w:r w:rsidR="00541FC7" w:rsidRPr="00240432">
        <w:t xml:space="preserve"> </w:t>
      </w:r>
      <w:r w:rsidR="007E1583">
        <w:t>T</w:t>
      </w:r>
      <w:r w:rsidR="00541FC7" w:rsidRPr="00240432">
        <w:t xml:space="preserve">he quantitative data describes trends in the key indicators of maternal and neonatal morbidity and mortality, along with maternity service use, </w:t>
      </w:r>
      <w:r w:rsidR="00541FC7" w:rsidRPr="00C24842">
        <w:t xml:space="preserve">in the years leading up to </w:t>
      </w:r>
      <w:r w:rsidR="007E1583">
        <w:t>the Strategy’s release (inclusive of 2019 where data were available).</w:t>
      </w:r>
    </w:p>
    <w:p w14:paraId="6C0A652B" w14:textId="0EDB7ADD" w:rsidR="0027565D" w:rsidRDefault="008C0F4C" w:rsidP="008C0F4C">
      <w:pPr>
        <w:pStyle w:val="Bullets"/>
        <w:numPr>
          <w:ilvl w:val="0"/>
          <w:numId w:val="0"/>
        </w:numPr>
        <w:rPr>
          <w:b/>
          <w:szCs w:val="22"/>
        </w:rPr>
      </w:pPr>
      <w:r w:rsidRPr="008C0F4C">
        <w:rPr>
          <w:b/>
          <w:szCs w:val="22"/>
        </w:rPr>
        <w:t xml:space="preserve">Implementation </w:t>
      </w:r>
      <w:r w:rsidR="004E39A4">
        <w:rPr>
          <w:b/>
          <w:szCs w:val="22"/>
        </w:rPr>
        <w:t xml:space="preserve">and evaluation </w:t>
      </w:r>
      <w:r w:rsidRPr="008C0F4C">
        <w:rPr>
          <w:b/>
          <w:szCs w:val="22"/>
        </w:rPr>
        <w:t>progress</w:t>
      </w:r>
    </w:p>
    <w:p w14:paraId="0C476A39" w14:textId="6E0664D6" w:rsidR="004F1CE0" w:rsidRPr="008C0F4C" w:rsidRDefault="005D54DD">
      <w:pPr>
        <w:spacing w:after="120"/>
        <w:rPr>
          <w:szCs w:val="22"/>
        </w:rPr>
      </w:pPr>
      <w:r>
        <w:t>There was general consensus among stakeholders regarding the appropriateness of the values and principles outlined in the Strategy. It was broadly accepted that the Strategy reflects the priorities and activities that need to be progressed to improve the delivery and experience of maternity care in Australia.</w:t>
      </w:r>
      <w:r w:rsidR="004F1CE0" w:rsidRPr="008C0F4C">
        <w:rPr>
          <w:szCs w:val="22"/>
        </w:rPr>
        <w:t xml:space="preserve"> </w:t>
      </w:r>
    </w:p>
    <w:p w14:paraId="5E3646E8" w14:textId="29540BF5" w:rsidR="006B17EB" w:rsidRDefault="006B17EB" w:rsidP="006B17EB">
      <w:pPr>
        <w:spacing w:after="120"/>
        <w:rPr>
          <w:lang w:eastAsia="zh-CN" w:bidi="th-TH"/>
        </w:rPr>
      </w:pPr>
      <w:r w:rsidRPr="1345BA90">
        <w:rPr>
          <w:lang w:eastAsia="zh-CN" w:bidi="th-TH"/>
        </w:rPr>
        <w:t xml:space="preserve">Major developments </w:t>
      </w:r>
      <w:r w:rsidR="007E1583">
        <w:rPr>
          <w:lang w:eastAsia="zh-CN" w:bidi="th-TH"/>
        </w:rPr>
        <w:t xml:space="preserve">driven by the Commonwealth </w:t>
      </w:r>
      <w:r w:rsidR="00954BFB" w:rsidRPr="1345BA90">
        <w:rPr>
          <w:lang w:eastAsia="zh-CN" w:bidi="th-TH"/>
        </w:rPr>
        <w:t>since 2019</w:t>
      </w:r>
      <w:r w:rsidRPr="1345BA90">
        <w:rPr>
          <w:lang w:eastAsia="zh-CN" w:bidi="th-TH"/>
        </w:rPr>
        <w:t xml:space="preserve"> have included the </w:t>
      </w:r>
      <w:r w:rsidRPr="1345BA90">
        <w:rPr>
          <w:i/>
          <w:iCs/>
          <w:lang w:eastAsia="zh-CN" w:bidi="th-TH"/>
        </w:rPr>
        <w:t>Australian National Breastfeeding Strategy</w:t>
      </w:r>
      <w:r w:rsidRPr="1345BA90">
        <w:rPr>
          <w:lang w:eastAsia="zh-CN" w:bidi="th-TH"/>
        </w:rPr>
        <w:t xml:space="preserve">, </w:t>
      </w:r>
      <w:r w:rsidR="00B53042">
        <w:rPr>
          <w:lang w:eastAsia="zh-CN" w:bidi="th-TH"/>
        </w:rPr>
        <w:t xml:space="preserve">updates to </w:t>
      </w:r>
      <w:r w:rsidRPr="1345BA90">
        <w:rPr>
          <w:lang w:eastAsia="zh-CN" w:bidi="th-TH"/>
        </w:rPr>
        <w:t xml:space="preserve">the national NHMRC-endorsed </w:t>
      </w:r>
      <w:r w:rsidRPr="1345BA90">
        <w:rPr>
          <w:i/>
          <w:iCs/>
          <w:lang w:eastAsia="zh-CN" w:bidi="th-TH"/>
        </w:rPr>
        <w:t>Clinical Practice Guidelines for Pregnancy Care</w:t>
      </w:r>
      <w:r w:rsidRPr="1345BA90">
        <w:rPr>
          <w:lang w:eastAsia="zh-CN" w:bidi="th-TH"/>
        </w:rPr>
        <w:t xml:space="preserve">, and the </w:t>
      </w:r>
      <w:r w:rsidRPr="1345BA90">
        <w:rPr>
          <w:i/>
          <w:iCs/>
          <w:lang w:eastAsia="zh-CN" w:bidi="th-TH"/>
        </w:rPr>
        <w:t>National Stillbirth Action and Implementation Plan</w:t>
      </w:r>
      <w:r w:rsidRPr="1345BA90">
        <w:rPr>
          <w:lang w:eastAsia="zh-CN" w:bidi="th-TH"/>
        </w:rPr>
        <w:t>. States and Territories have updated policies, produced frameworks for rural and remote maternity and newborn services planning, and released guidelines on postnatal care and access. Independent reviews of the safety, quality and management of some maternity services have also been released.</w:t>
      </w:r>
      <w:r w:rsidR="007E1583">
        <w:rPr>
          <w:lang w:eastAsia="zh-CN" w:bidi="th-TH"/>
        </w:rPr>
        <w:t xml:space="preserve"> In addition, current work includes the development of strong collaborations such as the National Preterm Birth Prevention Collaborative and implementation of the Safer Baby Bundle.</w:t>
      </w:r>
    </w:p>
    <w:p w14:paraId="04C5B749" w14:textId="06574ECC" w:rsidR="007E1583" w:rsidRDefault="007E1583" w:rsidP="007E1583">
      <w:pPr>
        <w:spacing w:after="120"/>
      </w:pPr>
      <w:r>
        <w:t>Nevertheless, most stakeholders expressed the view that overall, implementation and evaluation of the Strategy had not progressed well, due in part to its aspirational nature; lack of clearly defined expectations, roles, responsibilities and timeframes; and lack of coordination between state and commonwealth governments. Workforce capacity is considered a critical issue of relevance to all components of the Strategy.</w:t>
      </w:r>
    </w:p>
    <w:p w14:paraId="30150DFD" w14:textId="518999D2" w:rsidR="007E1583" w:rsidRPr="008C0F4C" w:rsidRDefault="007E1583" w:rsidP="007E1583">
      <w:pPr>
        <w:spacing w:after="120"/>
        <w:rPr>
          <w:szCs w:val="22"/>
        </w:rPr>
      </w:pPr>
      <w:r w:rsidRPr="008C0F4C">
        <w:rPr>
          <w:szCs w:val="22"/>
        </w:rPr>
        <w:t xml:space="preserve">Initiatives that may have already been underway and/or enhanced by the Strategy have not progressed </w:t>
      </w:r>
      <w:r>
        <w:rPr>
          <w:szCs w:val="22"/>
        </w:rPr>
        <w:t>as</w:t>
      </w:r>
      <w:r w:rsidRPr="008C0F4C">
        <w:rPr>
          <w:szCs w:val="22"/>
        </w:rPr>
        <w:t xml:space="preserve"> anticipated because of the impacts of COVID-19. </w:t>
      </w:r>
      <w:r w:rsidR="00F95ECF">
        <w:rPr>
          <w:szCs w:val="22"/>
        </w:rPr>
        <w:t>Across State and Territory health departments, r</w:t>
      </w:r>
      <w:r w:rsidRPr="008C0F4C">
        <w:rPr>
          <w:szCs w:val="22"/>
        </w:rPr>
        <w:t>esource</w:t>
      </w:r>
      <w:r>
        <w:rPr>
          <w:szCs w:val="22"/>
        </w:rPr>
        <w:t>s have been reprioritised to in</w:t>
      </w:r>
      <w:r w:rsidRPr="008C0F4C">
        <w:rPr>
          <w:szCs w:val="22"/>
        </w:rPr>
        <w:t>patient settings</w:t>
      </w:r>
      <w:r>
        <w:rPr>
          <w:szCs w:val="22"/>
        </w:rPr>
        <w:t xml:space="preserve"> and, i</w:t>
      </w:r>
      <w:r w:rsidRPr="008C0F4C">
        <w:rPr>
          <w:szCs w:val="22"/>
        </w:rPr>
        <w:t xml:space="preserve">n some cases, efforts to improve data </w:t>
      </w:r>
      <w:r>
        <w:rPr>
          <w:szCs w:val="22"/>
        </w:rPr>
        <w:t>assets</w:t>
      </w:r>
      <w:r w:rsidRPr="008C0F4C">
        <w:rPr>
          <w:szCs w:val="22"/>
        </w:rPr>
        <w:t xml:space="preserve"> for monitoring and evaluation have been deprioritised.</w:t>
      </w:r>
    </w:p>
    <w:p w14:paraId="12F043DC" w14:textId="445E2372" w:rsidR="008C0F4C" w:rsidRDefault="008C0F4C" w:rsidP="006B17EB">
      <w:pPr>
        <w:spacing w:after="120"/>
        <w:rPr>
          <w:szCs w:val="22"/>
        </w:rPr>
      </w:pPr>
      <w:r>
        <w:rPr>
          <w:szCs w:val="22"/>
        </w:rPr>
        <w:t>The stakeholder survey revealed</w:t>
      </w:r>
      <w:r w:rsidRPr="008F750F">
        <w:rPr>
          <w:szCs w:val="22"/>
        </w:rPr>
        <w:t xml:space="preserve"> a high level of variability in the extent of progress, both between jurisdictions and within strategic directions and enabling activities. </w:t>
      </w:r>
      <w:r w:rsidR="00954BFB">
        <w:rPr>
          <w:szCs w:val="22"/>
        </w:rPr>
        <w:t>T</w:t>
      </w:r>
      <w:r w:rsidRPr="008F750F">
        <w:rPr>
          <w:szCs w:val="22"/>
        </w:rPr>
        <w:t>he most promising progress appear</w:t>
      </w:r>
      <w:r>
        <w:rPr>
          <w:szCs w:val="22"/>
        </w:rPr>
        <w:t>ed</w:t>
      </w:r>
      <w:r w:rsidRPr="008F750F">
        <w:rPr>
          <w:szCs w:val="22"/>
        </w:rPr>
        <w:t xml:space="preserve"> to have occurred for the values of safety, choice and respect</w:t>
      </w:r>
      <w:r w:rsidR="00954BFB">
        <w:rPr>
          <w:szCs w:val="22"/>
        </w:rPr>
        <w:t>, with less</w:t>
      </w:r>
      <w:r w:rsidRPr="008F750F">
        <w:rPr>
          <w:szCs w:val="22"/>
        </w:rPr>
        <w:t xml:space="preserve"> progress relate</w:t>
      </w:r>
      <w:r>
        <w:rPr>
          <w:szCs w:val="22"/>
        </w:rPr>
        <w:t>d</w:t>
      </w:r>
      <w:r w:rsidRPr="008F750F">
        <w:rPr>
          <w:szCs w:val="22"/>
        </w:rPr>
        <w:t xml:space="preserve"> to access.</w:t>
      </w:r>
    </w:p>
    <w:p w14:paraId="3A72CDB1" w14:textId="48C57709" w:rsidR="00F95ECF" w:rsidRPr="008C0F4C" w:rsidRDefault="00C169F6" w:rsidP="00C459D0">
      <w:pPr>
        <w:spacing w:after="600"/>
        <w:rPr>
          <w:szCs w:val="22"/>
        </w:rPr>
      </w:pPr>
      <w:r>
        <w:rPr>
          <w:szCs w:val="22"/>
        </w:rPr>
        <w:t>Stakeholder i</w:t>
      </w:r>
      <w:r w:rsidR="008C0F4C" w:rsidRPr="008C0F4C">
        <w:rPr>
          <w:szCs w:val="22"/>
        </w:rPr>
        <w:t xml:space="preserve">nterviews </w:t>
      </w:r>
      <w:r w:rsidR="00B904B2">
        <w:rPr>
          <w:szCs w:val="22"/>
        </w:rPr>
        <w:t>identified</w:t>
      </w:r>
      <w:r>
        <w:rPr>
          <w:szCs w:val="22"/>
        </w:rPr>
        <w:t xml:space="preserve"> considerable variation across jurisdictions in </w:t>
      </w:r>
      <w:r w:rsidR="008C0F4C" w:rsidRPr="008C0F4C">
        <w:rPr>
          <w:szCs w:val="22"/>
        </w:rPr>
        <w:t xml:space="preserve">the extent to which the Strategy has provided a foundation </w:t>
      </w:r>
      <w:r>
        <w:rPr>
          <w:szCs w:val="22"/>
        </w:rPr>
        <w:t>for</w:t>
      </w:r>
      <w:r w:rsidR="008C0F4C" w:rsidRPr="008C0F4C">
        <w:rPr>
          <w:szCs w:val="22"/>
        </w:rPr>
        <w:t xml:space="preserve"> local initiatives. Some jurisdictions are progressing specific activities, but </w:t>
      </w:r>
      <w:r w:rsidR="00B904B2">
        <w:rPr>
          <w:szCs w:val="22"/>
        </w:rPr>
        <w:t>without</w:t>
      </w:r>
      <w:r w:rsidR="008C0F4C" w:rsidRPr="008C0F4C">
        <w:rPr>
          <w:szCs w:val="22"/>
        </w:rPr>
        <w:t xml:space="preserve"> a formalised response or </w:t>
      </w:r>
      <w:r w:rsidR="00B904B2">
        <w:rPr>
          <w:szCs w:val="22"/>
        </w:rPr>
        <w:t xml:space="preserve">implementation </w:t>
      </w:r>
      <w:r w:rsidR="008C0F4C" w:rsidRPr="008C0F4C">
        <w:rPr>
          <w:szCs w:val="22"/>
        </w:rPr>
        <w:t>plan. Other jurisdictions have released plans or strategies since 2019, although some of these documents were under development prior to this time.</w:t>
      </w:r>
    </w:p>
    <w:p w14:paraId="4081E56E" w14:textId="50E0D00C" w:rsidR="00387575" w:rsidRDefault="00387575" w:rsidP="006D55ED">
      <w:pPr>
        <w:pStyle w:val="Bullets"/>
        <w:numPr>
          <w:ilvl w:val="0"/>
          <w:numId w:val="0"/>
        </w:numPr>
        <w:rPr>
          <w:b/>
          <w:szCs w:val="22"/>
        </w:rPr>
      </w:pPr>
      <w:r>
        <w:rPr>
          <w:b/>
          <w:szCs w:val="22"/>
        </w:rPr>
        <w:lastRenderedPageBreak/>
        <w:t>Baseline status for key evaluation questions</w:t>
      </w:r>
      <w:r w:rsidR="0043298B">
        <w:rPr>
          <w:b/>
          <w:szCs w:val="22"/>
        </w:rPr>
        <w:t xml:space="preserve"> (KEQ)</w:t>
      </w:r>
    </w:p>
    <w:p w14:paraId="78E62655" w14:textId="2C5A8021" w:rsidR="00860C47" w:rsidRDefault="00A61649" w:rsidP="00525AAB">
      <w:pPr>
        <w:spacing w:after="120"/>
        <w:rPr>
          <w:i/>
          <w:szCs w:val="22"/>
        </w:rPr>
      </w:pPr>
      <w:r w:rsidRPr="00860C47">
        <w:rPr>
          <w:i/>
          <w:szCs w:val="22"/>
        </w:rPr>
        <w:t>KEQ1</w:t>
      </w:r>
      <w:r w:rsidR="00860C47" w:rsidRPr="00860C47">
        <w:rPr>
          <w:i/>
          <w:szCs w:val="22"/>
        </w:rPr>
        <w:t xml:space="preserve"> – Change in maternity outcomes over time</w:t>
      </w:r>
    </w:p>
    <w:p w14:paraId="7539AC7C" w14:textId="514FC368" w:rsidR="00EA3FA7" w:rsidRDefault="004F1CE0" w:rsidP="00E44C71">
      <w:pPr>
        <w:spacing w:after="120"/>
        <w:rPr>
          <w:szCs w:val="22"/>
        </w:rPr>
      </w:pPr>
      <w:r>
        <w:rPr>
          <w:szCs w:val="22"/>
        </w:rPr>
        <w:t>Stakeholder consultations and the environment scan identified s</w:t>
      </w:r>
      <w:r w:rsidR="00A61649">
        <w:rPr>
          <w:szCs w:val="22"/>
        </w:rPr>
        <w:t>trategies around preventing stillbirth, preterm and early term birth as examples of nationally coordinated efforts to improve clinical outcomes.</w:t>
      </w:r>
    </w:p>
    <w:p w14:paraId="626CE997" w14:textId="26DEEDA6" w:rsidR="00AC3F1E" w:rsidRDefault="00EA3FA7" w:rsidP="00525AAB">
      <w:pPr>
        <w:spacing w:after="120"/>
        <w:rPr>
          <w:szCs w:val="22"/>
        </w:rPr>
      </w:pPr>
      <w:r>
        <w:rPr>
          <w:szCs w:val="22"/>
        </w:rPr>
        <w:t xml:space="preserve">Stakeholders noted a concerning trend towards increasing intervention in birth with no corresponding increase in safety or quality. </w:t>
      </w:r>
      <w:r w:rsidR="00D1333B">
        <w:rPr>
          <w:szCs w:val="22"/>
        </w:rPr>
        <w:t>An increase in intervention including induction of labour and caesarean section was also observed</w:t>
      </w:r>
      <w:r w:rsidR="00AC3F1E">
        <w:rPr>
          <w:szCs w:val="22"/>
        </w:rPr>
        <w:t xml:space="preserve"> </w:t>
      </w:r>
      <w:r w:rsidR="00375DA4">
        <w:rPr>
          <w:szCs w:val="22"/>
        </w:rPr>
        <w:t xml:space="preserve">in </w:t>
      </w:r>
      <w:r w:rsidR="00AC3F1E">
        <w:rPr>
          <w:szCs w:val="22"/>
        </w:rPr>
        <w:t>data from the AIHW</w:t>
      </w:r>
      <w:r w:rsidR="00BF1EC3">
        <w:rPr>
          <w:rStyle w:val="FootnoteReference"/>
          <w:szCs w:val="22"/>
        </w:rPr>
        <w:footnoteReference w:id="2"/>
      </w:r>
      <w:r w:rsidR="00AC3F1E">
        <w:rPr>
          <w:szCs w:val="22"/>
        </w:rPr>
        <w:t>.</w:t>
      </w:r>
    </w:p>
    <w:p w14:paraId="1B81D28B" w14:textId="6DC5498B" w:rsidR="00EA3FA7" w:rsidRDefault="00860C47" w:rsidP="00525AAB">
      <w:pPr>
        <w:spacing w:after="120"/>
        <w:rPr>
          <w:szCs w:val="22"/>
        </w:rPr>
      </w:pPr>
      <w:r>
        <w:rPr>
          <w:szCs w:val="22"/>
        </w:rPr>
        <w:t>Stakeholders</w:t>
      </w:r>
      <w:r w:rsidR="00EA3FA7">
        <w:rPr>
          <w:szCs w:val="22"/>
        </w:rPr>
        <w:t xml:space="preserve"> also noted the tension between preventing stillbirth and reducing the negative sequelae of preterm birth, </w:t>
      </w:r>
      <w:r w:rsidR="009A2BB4">
        <w:rPr>
          <w:szCs w:val="22"/>
        </w:rPr>
        <w:t>as interventions to reduce risk of stillbirth may result in pre-term births. They</w:t>
      </w:r>
      <w:r w:rsidR="00EA3FA7">
        <w:rPr>
          <w:szCs w:val="22"/>
        </w:rPr>
        <w:t xml:space="preserve"> </w:t>
      </w:r>
      <w:r w:rsidR="009F4AEC">
        <w:rPr>
          <w:szCs w:val="22"/>
        </w:rPr>
        <w:t>believed that</w:t>
      </w:r>
      <w:r w:rsidR="00EA3FA7">
        <w:rPr>
          <w:szCs w:val="22"/>
        </w:rPr>
        <w:t xml:space="preserve"> strong collaboration between the Centre of Excellence in Stillbirth and the Preterm Birth Prevention Alliance </w:t>
      </w:r>
      <w:r w:rsidR="009F4AEC">
        <w:rPr>
          <w:szCs w:val="22"/>
        </w:rPr>
        <w:t xml:space="preserve">would be crucial </w:t>
      </w:r>
      <w:r w:rsidR="00EA3FA7">
        <w:rPr>
          <w:szCs w:val="22"/>
        </w:rPr>
        <w:t>in striking the necessary balance.</w:t>
      </w:r>
    </w:p>
    <w:p w14:paraId="562E4220" w14:textId="4B6BC001" w:rsidR="00EA3FA7" w:rsidRPr="00860C47" w:rsidRDefault="00EA3FA7" w:rsidP="001932AA">
      <w:pPr>
        <w:spacing w:before="120" w:after="120"/>
        <w:rPr>
          <w:i/>
          <w:szCs w:val="22"/>
        </w:rPr>
      </w:pPr>
      <w:r w:rsidRPr="00860C47">
        <w:rPr>
          <w:i/>
          <w:szCs w:val="22"/>
        </w:rPr>
        <w:t>KEQ2</w:t>
      </w:r>
      <w:r w:rsidR="00860C47" w:rsidRPr="00860C47">
        <w:rPr>
          <w:i/>
          <w:szCs w:val="22"/>
        </w:rPr>
        <w:t xml:space="preserve"> – Access to postnatal care</w:t>
      </w:r>
      <w:r w:rsidRPr="00860C47">
        <w:rPr>
          <w:i/>
          <w:szCs w:val="22"/>
        </w:rPr>
        <w:t xml:space="preserve"> </w:t>
      </w:r>
    </w:p>
    <w:p w14:paraId="1B6E20E8" w14:textId="0D08A453" w:rsidR="00860C47" w:rsidRDefault="00394B4E" w:rsidP="00525AAB">
      <w:pPr>
        <w:spacing w:after="120"/>
        <w:rPr>
          <w:szCs w:val="22"/>
        </w:rPr>
      </w:pPr>
      <w:r>
        <w:rPr>
          <w:szCs w:val="22"/>
        </w:rPr>
        <w:t>Stakeholders largely commended the Strategy for shifting the definition of the postnatal period from the first six weeks to 12 months following birth. However, they noted that current programs typically support women only up to six weeks following birth, and</w:t>
      </w:r>
      <w:r w:rsidR="006A7ADE">
        <w:rPr>
          <w:szCs w:val="22"/>
        </w:rPr>
        <w:t xml:space="preserve"> some</w:t>
      </w:r>
      <w:r>
        <w:rPr>
          <w:szCs w:val="22"/>
        </w:rPr>
        <w:t xml:space="preserve"> </w:t>
      </w:r>
      <w:r w:rsidR="006A7ADE">
        <w:rPr>
          <w:szCs w:val="22"/>
        </w:rPr>
        <w:t>programs that provide home visits have had to reduce the number of visits in recent years.</w:t>
      </w:r>
      <w:r w:rsidR="009A2BB4">
        <w:rPr>
          <w:szCs w:val="22"/>
        </w:rPr>
        <w:t xml:space="preserve"> </w:t>
      </w:r>
      <w:r w:rsidR="009A2BB4" w:rsidRPr="00650204">
        <w:rPr>
          <w:rFonts w:cstheme="minorHAnsi"/>
          <w:szCs w:val="22"/>
        </w:rPr>
        <w:t>The lack of reporting on health outcomes for women across the first postnatal year</w:t>
      </w:r>
      <w:r w:rsidR="009A2BB4">
        <w:rPr>
          <w:rFonts w:cstheme="minorHAnsi"/>
          <w:szCs w:val="22"/>
        </w:rPr>
        <w:t xml:space="preserve"> was emphasised, with postnatal outcomes considered to be largely ‘invisible’ in Australia.</w:t>
      </w:r>
    </w:p>
    <w:p w14:paraId="2114649B" w14:textId="5B9A4E40" w:rsidR="006A7ADE" w:rsidRDefault="00394B4E" w:rsidP="006A7ADE">
      <w:pPr>
        <w:spacing w:after="120"/>
        <w:rPr>
          <w:szCs w:val="22"/>
        </w:rPr>
      </w:pPr>
      <w:r>
        <w:rPr>
          <w:szCs w:val="22"/>
        </w:rPr>
        <w:t>No improvements in access to postnatal care since 2019 were identified in either the environment scan or the stakeholder interviews, and some stakeholders believed that access had actually decreased, due to the impacts of COVID-19, workforce and resource constraints, fragmentation of care, and the emphasis place</w:t>
      </w:r>
      <w:r w:rsidR="0043298B">
        <w:rPr>
          <w:szCs w:val="22"/>
        </w:rPr>
        <w:t>d</w:t>
      </w:r>
      <w:r>
        <w:rPr>
          <w:szCs w:val="22"/>
        </w:rPr>
        <w:t xml:space="preserve"> on pregnancy, labour and birth, and care of the baby during the early weeks and months.</w:t>
      </w:r>
      <w:r w:rsidR="006A7ADE">
        <w:rPr>
          <w:szCs w:val="22"/>
        </w:rPr>
        <w:t xml:space="preserve"> Exceptions included private midwifery care, which has increased since the Strategy’s release, and some well-established programs </w:t>
      </w:r>
      <w:r w:rsidR="009F4AEC">
        <w:rPr>
          <w:szCs w:val="22"/>
        </w:rPr>
        <w:t xml:space="preserve">(pre-dating the Strategy) </w:t>
      </w:r>
      <w:r w:rsidR="006A7ADE">
        <w:rPr>
          <w:szCs w:val="22"/>
        </w:rPr>
        <w:t>which support selected families from early pregnancy until the child is two years old.</w:t>
      </w:r>
    </w:p>
    <w:p w14:paraId="0F07D96E" w14:textId="593CEE39" w:rsidR="00394B4E" w:rsidRDefault="00E44C71" w:rsidP="00525AAB">
      <w:pPr>
        <w:spacing w:after="120"/>
        <w:rPr>
          <w:lang w:eastAsia="zh-CN" w:bidi="th-TH"/>
        </w:rPr>
      </w:pPr>
      <w:r>
        <w:rPr>
          <w:lang w:eastAsia="zh-CN" w:bidi="th-TH"/>
        </w:rPr>
        <w:t>T</w:t>
      </w:r>
      <w:r w:rsidR="006A7ADE">
        <w:rPr>
          <w:lang w:eastAsia="zh-CN" w:bidi="th-TH"/>
        </w:rPr>
        <w:t xml:space="preserve">he </w:t>
      </w:r>
      <w:r w:rsidR="006A7ADE" w:rsidRPr="006A7ADE">
        <w:rPr>
          <w:i/>
          <w:lang w:eastAsia="zh-CN" w:bidi="th-TH"/>
        </w:rPr>
        <w:t>National Breastfeeding Strategy,</w:t>
      </w:r>
      <w:r w:rsidR="006A7ADE">
        <w:rPr>
          <w:lang w:eastAsia="zh-CN" w:bidi="th-TH"/>
        </w:rPr>
        <w:t xml:space="preserve"> released in 2019, p</w:t>
      </w:r>
      <w:r w:rsidR="006A7ADE" w:rsidRPr="00F51CAE">
        <w:rPr>
          <w:lang w:eastAsia="zh-CN" w:bidi="th-TH"/>
        </w:rPr>
        <w:t>rovides a framework for integrated, coordinated action to shape and inform policies and programs that aim to support mothers, fathers/partners and their babies throughout their breastfeeding journeys</w:t>
      </w:r>
      <w:r w:rsidR="006A7ADE">
        <w:rPr>
          <w:lang w:eastAsia="zh-CN" w:bidi="th-TH"/>
        </w:rPr>
        <w:t>.</w:t>
      </w:r>
    </w:p>
    <w:p w14:paraId="1AD1BC85" w14:textId="7C085F45" w:rsidR="001932AA" w:rsidRDefault="001932AA" w:rsidP="00193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Cs w:val="22"/>
        </w:rPr>
      </w:pPr>
      <w:r w:rsidRPr="00650204">
        <w:t>Stakeholders pointed to the absence of national evidence-based guidelines for postnatal care</w:t>
      </w:r>
      <w:r w:rsidR="009A2BB4">
        <w:rPr>
          <w:rStyle w:val="FootnoteReference"/>
        </w:rPr>
        <w:footnoteReference w:id="3"/>
      </w:r>
      <w:r>
        <w:t xml:space="preserve"> and </w:t>
      </w:r>
      <w:r w:rsidRPr="00650204">
        <w:rPr>
          <w:rFonts w:cstheme="minorHAnsi"/>
          <w:szCs w:val="22"/>
        </w:rPr>
        <w:t>believed that such guidelines, combined with national standards and benchmarking for postnatal care, would be instrumental in reducing variation in care and improving outcomes for women and families.</w:t>
      </w:r>
    </w:p>
    <w:p w14:paraId="7F15DA3C" w14:textId="5E5AAFB0" w:rsidR="00860C47" w:rsidRPr="001932AA" w:rsidRDefault="006A7ADE" w:rsidP="00193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heme="minorHAnsi"/>
          <w:szCs w:val="22"/>
        </w:rPr>
      </w:pPr>
      <w:r w:rsidRPr="00F05216">
        <w:rPr>
          <w:i/>
          <w:szCs w:val="22"/>
        </w:rPr>
        <w:t>KEQ3 – Perinatal mental health morbidity and mortality</w:t>
      </w:r>
    </w:p>
    <w:p w14:paraId="0D5B37FD" w14:textId="4355FC88" w:rsidR="006A7ADE" w:rsidRDefault="00F05216" w:rsidP="001932AA">
      <w:pPr>
        <w:spacing w:before="120" w:after="120"/>
        <w:rPr>
          <w:szCs w:val="22"/>
        </w:rPr>
      </w:pPr>
      <w:r>
        <w:rPr>
          <w:szCs w:val="22"/>
        </w:rPr>
        <w:t xml:space="preserve">Recent studies have highlighted the impacts of the </w:t>
      </w:r>
      <w:r w:rsidR="008F1C67">
        <w:rPr>
          <w:szCs w:val="22"/>
        </w:rPr>
        <w:t xml:space="preserve">COVID-19 </w:t>
      </w:r>
      <w:r>
        <w:rPr>
          <w:szCs w:val="22"/>
        </w:rPr>
        <w:t>pandemic on perinatal mental health in Australia and internationally, and the increase in depression, anxiety and distress among perinatal women in the past few years was also noted by stakeholders. It is doubtful whether the Strategy could reasonably be expected to contribute to any improvement in perinatal mental health morbidity under these circumstances.</w:t>
      </w:r>
    </w:p>
    <w:p w14:paraId="7E24E7B5" w14:textId="1D015D01" w:rsidR="00F05216" w:rsidRDefault="00F05216" w:rsidP="001932AA">
      <w:pPr>
        <w:spacing w:before="120" w:after="120"/>
        <w:rPr>
          <w:szCs w:val="22"/>
        </w:rPr>
      </w:pPr>
      <w:r>
        <w:rPr>
          <w:szCs w:val="22"/>
        </w:rPr>
        <w:t xml:space="preserve">Nevertheless, the mental health impacts of COVID-19 may have helped raise the profile of the social and emotional needs of pregnant and postnatal women, which in turn contributed to an increase in funding for related initiatives, including allocations to various non-government organisations </w:t>
      </w:r>
      <w:r w:rsidR="001D3CE6">
        <w:rPr>
          <w:szCs w:val="22"/>
        </w:rPr>
        <w:t xml:space="preserve">(NGOs) </w:t>
      </w:r>
      <w:r>
        <w:rPr>
          <w:szCs w:val="22"/>
        </w:rPr>
        <w:t xml:space="preserve">that support perinatal mental health and an increase in sessions of care provided under the Medicare Benefits Scheme </w:t>
      </w:r>
      <w:r w:rsidR="001D3CE6">
        <w:rPr>
          <w:szCs w:val="22"/>
        </w:rPr>
        <w:lastRenderedPageBreak/>
        <w:t xml:space="preserve">(MBS) </w:t>
      </w:r>
      <w:r>
        <w:rPr>
          <w:szCs w:val="22"/>
        </w:rPr>
        <w:t>Better Access to Mental Health Care</w:t>
      </w:r>
      <w:r w:rsidR="001D3CE6">
        <w:rPr>
          <w:szCs w:val="22"/>
        </w:rPr>
        <w:t xml:space="preserve"> program. These are promising steps towards prioritising mental health alongside physical health needs during pregnancy and in the year following birth.</w:t>
      </w:r>
    </w:p>
    <w:p w14:paraId="2B8D6D82" w14:textId="5958951E" w:rsidR="001D3CE6" w:rsidRDefault="001D3CE6" w:rsidP="00525AAB">
      <w:pPr>
        <w:spacing w:after="120"/>
        <w:rPr>
          <w:szCs w:val="22"/>
        </w:rPr>
      </w:pPr>
      <w:r w:rsidRPr="009807E9">
        <w:rPr>
          <w:rFonts w:cstheme="minorHAnsi"/>
          <w:szCs w:val="22"/>
        </w:rPr>
        <w:t xml:space="preserve">It is anticipated that the updated </w:t>
      </w:r>
      <w:r w:rsidRPr="00B250F2">
        <w:rPr>
          <w:bCs/>
          <w:i/>
          <w:lang w:eastAsia="zh-CN" w:bidi="th-TH"/>
        </w:rPr>
        <w:t>Mental Health Care in the Perinatal Period: Australian Clinical Practice Guideline</w:t>
      </w:r>
      <w:r w:rsidRPr="009807E9">
        <w:rPr>
          <w:rFonts w:cstheme="minorHAnsi"/>
          <w:szCs w:val="22"/>
        </w:rPr>
        <w:t xml:space="preserve"> will be approv</w:t>
      </w:r>
      <w:r w:rsidR="00E44C71">
        <w:rPr>
          <w:rFonts w:cstheme="minorHAnsi"/>
          <w:szCs w:val="22"/>
        </w:rPr>
        <w:t>ed</w:t>
      </w:r>
      <w:r w:rsidRPr="009807E9">
        <w:rPr>
          <w:rFonts w:cstheme="minorHAnsi"/>
          <w:szCs w:val="22"/>
        </w:rPr>
        <w:t xml:space="preserve"> in 2023.</w:t>
      </w:r>
      <w:r>
        <w:rPr>
          <w:rFonts w:cstheme="minorHAnsi"/>
          <w:szCs w:val="22"/>
        </w:rPr>
        <w:t xml:space="preserve"> </w:t>
      </w:r>
      <w:r w:rsidR="008F1C67">
        <w:rPr>
          <w:rFonts w:cstheme="minorHAnsi"/>
          <w:szCs w:val="22"/>
        </w:rPr>
        <w:t xml:space="preserve">In addition to this national guideline, several states </w:t>
      </w:r>
      <w:r>
        <w:rPr>
          <w:rFonts w:cstheme="minorHAnsi"/>
          <w:szCs w:val="22"/>
        </w:rPr>
        <w:t xml:space="preserve">are in the process of reviewing or updating policies and strategies that include a focus on perinatal mental health. </w:t>
      </w:r>
      <w:r w:rsidR="008F1C67">
        <w:rPr>
          <w:rFonts w:cstheme="minorHAnsi"/>
          <w:szCs w:val="22"/>
        </w:rPr>
        <w:t>South Australia released a relevant guideline in 2019</w:t>
      </w:r>
      <w:r w:rsidR="004A03B0">
        <w:rPr>
          <w:rFonts w:cstheme="minorHAnsi"/>
          <w:szCs w:val="22"/>
        </w:rPr>
        <w:t xml:space="preserve"> and NSW is currently reviewing and updating the state-wide SAFE START policy and guideline</w:t>
      </w:r>
      <w:r w:rsidR="00375DA4">
        <w:rPr>
          <w:rFonts w:cstheme="minorHAnsi"/>
          <w:szCs w:val="22"/>
        </w:rPr>
        <w:t>.</w:t>
      </w:r>
    </w:p>
    <w:p w14:paraId="101B0A3B" w14:textId="06E489FE" w:rsidR="001D3CE6" w:rsidRDefault="001D3CE6" w:rsidP="00525AAB">
      <w:pPr>
        <w:spacing w:after="120"/>
        <w:rPr>
          <w:rFonts w:cstheme="minorHAnsi"/>
          <w:color w:val="000000"/>
          <w:szCs w:val="22"/>
        </w:rPr>
      </w:pPr>
      <w:r>
        <w:rPr>
          <w:rFonts w:cstheme="minorHAnsi"/>
          <w:color w:val="000000"/>
          <w:szCs w:val="22"/>
        </w:rPr>
        <w:t>T</w:t>
      </w:r>
      <w:r w:rsidRPr="001349D1">
        <w:rPr>
          <w:rFonts w:cstheme="minorHAnsi"/>
          <w:color w:val="000000"/>
          <w:szCs w:val="22"/>
        </w:rPr>
        <w:t xml:space="preserve">he </w:t>
      </w:r>
      <w:r w:rsidRPr="001349D1">
        <w:rPr>
          <w:rFonts w:cstheme="minorHAnsi"/>
          <w:bCs/>
          <w:color w:val="000000"/>
          <w:szCs w:val="22"/>
        </w:rPr>
        <w:t>iCOPE digital screening platform</w:t>
      </w:r>
      <w:r w:rsidRPr="001349D1">
        <w:rPr>
          <w:rFonts w:cstheme="minorHAnsi"/>
          <w:color w:val="000000"/>
          <w:szCs w:val="22"/>
        </w:rPr>
        <w:t xml:space="preserve"> (</w:t>
      </w:r>
      <w:r>
        <w:rPr>
          <w:rFonts w:cstheme="minorHAnsi"/>
          <w:color w:val="000000"/>
          <w:szCs w:val="22"/>
        </w:rPr>
        <w:t>developed prior to 2019) is being implemented in participating</w:t>
      </w:r>
      <w:r w:rsidRPr="00450163">
        <w:rPr>
          <w:rFonts w:cstheme="minorHAnsi"/>
          <w:color w:val="000000"/>
          <w:szCs w:val="22"/>
        </w:rPr>
        <w:t xml:space="preserve"> public maternity hospitals and maternal and child family health clinics</w:t>
      </w:r>
      <w:r w:rsidR="00E44C71">
        <w:rPr>
          <w:rFonts w:cstheme="minorHAnsi"/>
          <w:color w:val="000000"/>
          <w:szCs w:val="22"/>
        </w:rPr>
        <w:t xml:space="preserve">, </w:t>
      </w:r>
      <w:r w:rsidR="00182950">
        <w:rPr>
          <w:rFonts w:cstheme="minorHAnsi"/>
          <w:color w:val="000000"/>
          <w:szCs w:val="22"/>
        </w:rPr>
        <w:t xml:space="preserve">together with several other </w:t>
      </w:r>
      <w:r>
        <w:rPr>
          <w:rFonts w:cstheme="minorHAnsi"/>
          <w:color w:val="000000"/>
          <w:szCs w:val="22"/>
        </w:rPr>
        <w:t>data development activities. These programs were recognised by stakeholders as important, and their value could be enhanced by expanding them to include data on service utilisation and outcomes.</w:t>
      </w:r>
    </w:p>
    <w:p w14:paraId="3D2D56B2" w14:textId="683BC8E2" w:rsidR="00AC3F1E" w:rsidRDefault="001D3CE6" w:rsidP="00525AAB">
      <w:pPr>
        <w:spacing w:after="120"/>
        <w:rPr>
          <w:rFonts w:cstheme="minorHAnsi"/>
          <w:color w:val="000000"/>
          <w:szCs w:val="22"/>
        </w:rPr>
      </w:pPr>
      <w:r>
        <w:rPr>
          <w:rFonts w:cstheme="minorHAnsi"/>
          <w:color w:val="000000"/>
          <w:szCs w:val="22"/>
        </w:rPr>
        <w:t xml:space="preserve">The </w:t>
      </w:r>
      <w:r w:rsidR="009F4AEC">
        <w:rPr>
          <w:rFonts w:cstheme="minorHAnsi"/>
          <w:color w:val="000000"/>
          <w:szCs w:val="22"/>
        </w:rPr>
        <w:t>essential</w:t>
      </w:r>
      <w:r>
        <w:rPr>
          <w:rFonts w:cstheme="minorHAnsi"/>
          <w:color w:val="000000"/>
          <w:szCs w:val="22"/>
        </w:rPr>
        <w:t xml:space="preserve"> role of training for midwives and other health professionals to support perinatal mental health has been recognised in recent scoping reviews. In Australia, a number of formal training programs are available.</w:t>
      </w:r>
      <w:r w:rsidR="00300AA0">
        <w:rPr>
          <w:rFonts w:cstheme="minorHAnsi"/>
          <w:color w:val="000000"/>
          <w:szCs w:val="22"/>
        </w:rPr>
        <w:t xml:space="preserve"> Findings from a national workforce survey by Emerging Minds, as part of the National Workforce Centre for Child Mental Health, are expected to be released at the end of 2022 with new surveys every two years. This will include information on the self-reported competencies of health providers who support women with perinatal mental health needs.</w:t>
      </w:r>
    </w:p>
    <w:p w14:paraId="78C62726" w14:textId="30173F86" w:rsidR="00300AA0" w:rsidRDefault="004A03B0" w:rsidP="00525AAB">
      <w:pPr>
        <w:spacing w:after="120"/>
        <w:rPr>
          <w:rFonts w:cstheme="minorHAnsi"/>
          <w:color w:val="000000"/>
          <w:szCs w:val="22"/>
        </w:rPr>
      </w:pPr>
      <w:r>
        <w:rPr>
          <w:rFonts w:cstheme="minorHAnsi"/>
          <w:color w:val="000000"/>
          <w:szCs w:val="22"/>
        </w:rPr>
        <w:t>Recently developed r</w:t>
      </w:r>
      <w:r w:rsidR="00300AA0">
        <w:rPr>
          <w:rFonts w:cstheme="minorHAnsi"/>
          <w:color w:val="000000"/>
          <w:szCs w:val="22"/>
        </w:rPr>
        <w:t>esources for women who want to identify local support options include the</w:t>
      </w:r>
      <w:r w:rsidR="00300AA0" w:rsidRPr="00650204">
        <w:rPr>
          <w:rFonts w:cstheme="minorHAnsi"/>
          <w:color w:val="000000"/>
          <w:szCs w:val="22"/>
        </w:rPr>
        <w:t xml:space="preserve"> </w:t>
      </w:r>
      <w:r w:rsidR="00300AA0" w:rsidRPr="00300AA0">
        <w:rPr>
          <w:rFonts w:cstheme="minorHAnsi"/>
          <w:color w:val="000000"/>
          <w:szCs w:val="22"/>
        </w:rPr>
        <w:t xml:space="preserve">e-COPE Directory and </w:t>
      </w:r>
      <w:r>
        <w:rPr>
          <w:rFonts w:cstheme="minorHAnsi"/>
          <w:color w:val="000000"/>
          <w:szCs w:val="22"/>
        </w:rPr>
        <w:t xml:space="preserve">the </w:t>
      </w:r>
      <w:r w:rsidR="00300AA0" w:rsidRPr="00300AA0">
        <w:rPr>
          <w:rFonts w:cstheme="minorHAnsi"/>
          <w:color w:val="000000"/>
          <w:szCs w:val="22"/>
        </w:rPr>
        <w:t xml:space="preserve">For When </w:t>
      </w:r>
      <w:r w:rsidR="00FC1C18">
        <w:rPr>
          <w:rFonts w:cstheme="minorHAnsi"/>
          <w:color w:val="000000"/>
          <w:szCs w:val="22"/>
        </w:rPr>
        <w:t>national helpline</w:t>
      </w:r>
      <w:r>
        <w:rPr>
          <w:rFonts w:cstheme="minorHAnsi"/>
          <w:color w:val="000000"/>
          <w:szCs w:val="22"/>
        </w:rPr>
        <w:t xml:space="preserve">, as part of the </w:t>
      </w:r>
      <w:r w:rsidR="00B46455">
        <w:rPr>
          <w:rFonts w:cstheme="minorHAnsi"/>
          <w:color w:val="000000"/>
          <w:szCs w:val="22"/>
        </w:rPr>
        <w:t xml:space="preserve">Commonwealth-funded </w:t>
      </w:r>
      <w:r>
        <w:rPr>
          <w:rFonts w:cstheme="minorHAnsi"/>
          <w:color w:val="000000"/>
          <w:szCs w:val="22"/>
        </w:rPr>
        <w:t>Perinatal Mental Health and Wellbeing Program.</w:t>
      </w:r>
    </w:p>
    <w:p w14:paraId="7FABEA31" w14:textId="5F9639D2" w:rsidR="00300AA0" w:rsidRPr="00B93BDC" w:rsidRDefault="00300AA0" w:rsidP="00525AAB">
      <w:pPr>
        <w:spacing w:after="120"/>
        <w:rPr>
          <w:rFonts w:cstheme="minorHAnsi"/>
          <w:i/>
          <w:color w:val="000000"/>
          <w:szCs w:val="22"/>
        </w:rPr>
      </w:pPr>
      <w:r w:rsidRPr="00B93BDC">
        <w:rPr>
          <w:rFonts w:cstheme="minorHAnsi"/>
          <w:i/>
          <w:color w:val="000000"/>
          <w:szCs w:val="22"/>
        </w:rPr>
        <w:t>KEQ4 – Service provision based on evidence</w:t>
      </w:r>
    </w:p>
    <w:p w14:paraId="154FBA57" w14:textId="589678D1" w:rsidR="00300AA0" w:rsidRDefault="00300AA0" w:rsidP="00300AA0">
      <w:pPr>
        <w:pStyle w:val="Bullets"/>
        <w:numPr>
          <w:ilvl w:val="0"/>
          <w:numId w:val="0"/>
        </w:numPr>
        <w:rPr>
          <w:lang w:eastAsia="zh-CN" w:bidi="th-TH"/>
        </w:rPr>
      </w:pPr>
      <w:r>
        <w:rPr>
          <w:iCs/>
          <w:lang w:eastAsia="zh-CN" w:bidi="th-TH"/>
        </w:rPr>
        <w:t>There are many guidelines available internationally</w:t>
      </w:r>
      <w:r w:rsidR="00182950">
        <w:rPr>
          <w:iCs/>
          <w:lang w:eastAsia="zh-CN" w:bidi="th-TH"/>
        </w:rPr>
        <w:t xml:space="preserve"> and s</w:t>
      </w:r>
      <w:r>
        <w:rPr>
          <w:lang w:eastAsia="zh-CN" w:bidi="th-TH"/>
        </w:rPr>
        <w:t xml:space="preserve">everal jurisdictions produce their own clinical guidelines which are regularly updated. However, there is a relative paucity of national guidelines for maternity care, with notable exceptions being </w:t>
      </w:r>
      <w:r w:rsidRPr="00DA1EE7">
        <w:rPr>
          <w:lang w:eastAsia="zh-CN" w:bidi="th-TH"/>
        </w:rPr>
        <w:t xml:space="preserve">the </w:t>
      </w:r>
      <w:r w:rsidRPr="00DA1EE7">
        <w:rPr>
          <w:i/>
          <w:iCs/>
          <w:lang w:eastAsia="zh-CN" w:bidi="th-TH"/>
        </w:rPr>
        <w:t>Clinical Practice Guidelines for Pregnancy Care</w:t>
      </w:r>
      <w:r w:rsidRPr="00DA1EE7">
        <w:rPr>
          <w:lang w:eastAsia="zh-CN" w:bidi="th-TH"/>
        </w:rPr>
        <w:t xml:space="preserve"> and the</w:t>
      </w:r>
      <w:r w:rsidRPr="00DA1EE7">
        <w:rPr>
          <w:i/>
          <w:lang w:eastAsia="zh-CN" w:bidi="th-TH"/>
        </w:rPr>
        <w:t xml:space="preserve"> </w:t>
      </w:r>
      <w:r w:rsidRPr="00DA1EE7">
        <w:rPr>
          <w:bCs/>
          <w:i/>
          <w:lang w:eastAsia="zh-CN" w:bidi="th-TH"/>
        </w:rPr>
        <w:t>Mental Health Care in the Perinatal Period: Australian Clinical Practice Guideline</w:t>
      </w:r>
      <w:r w:rsidR="00293823">
        <w:rPr>
          <w:rStyle w:val="FootnoteReference"/>
          <w:bCs/>
          <w:i/>
          <w:lang w:eastAsia="zh-CN" w:bidi="th-TH"/>
        </w:rPr>
        <w:footnoteReference w:id="4"/>
      </w:r>
      <w:r w:rsidRPr="00DA1EE7">
        <w:rPr>
          <w:i/>
          <w:lang w:eastAsia="zh-CN" w:bidi="th-TH"/>
        </w:rPr>
        <w:t>.</w:t>
      </w:r>
    </w:p>
    <w:p w14:paraId="39D2B194" w14:textId="703AB7DE" w:rsidR="001932AA" w:rsidRDefault="00300AA0" w:rsidP="00300AA0">
      <w:pPr>
        <w:spacing w:after="120"/>
        <w:rPr>
          <w:iCs/>
          <w:lang w:eastAsia="zh-CN" w:bidi="th-TH"/>
        </w:rPr>
      </w:pPr>
      <w:r>
        <w:rPr>
          <w:iCs/>
          <w:lang w:eastAsia="zh-CN" w:bidi="th-TH"/>
        </w:rPr>
        <w:t>Stakeholders were strongly in favour of evidence-based, national guidelines to help bring service delivery up to date with best practice</w:t>
      </w:r>
      <w:r w:rsidR="001932AA">
        <w:rPr>
          <w:iCs/>
          <w:lang w:eastAsia="zh-CN" w:bidi="th-TH"/>
        </w:rPr>
        <w:t xml:space="preserve"> and reduce variations in care.</w:t>
      </w:r>
      <w:r>
        <w:rPr>
          <w:iCs/>
          <w:lang w:eastAsia="zh-CN" w:bidi="th-TH"/>
        </w:rPr>
        <w:t xml:space="preserve"> This suggests the need for a national, coordinated, approach to the development of a comprehensive set of guidelines to support evidence-based practice in the provision of w</w:t>
      </w:r>
      <w:r w:rsidRPr="007550ED">
        <w:rPr>
          <w:iCs/>
          <w:lang w:eastAsia="zh-CN" w:bidi="th-TH"/>
        </w:rPr>
        <w:t>oman-centred</w:t>
      </w:r>
      <w:r>
        <w:rPr>
          <w:iCs/>
          <w:lang w:eastAsia="zh-CN" w:bidi="th-TH"/>
        </w:rPr>
        <w:t xml:space="preserve"> maternity care.</w:t>
      </w:r>
    </w:p>
    <w:p w14:paraId="54174553" w14:textId="0908D975" w:rsidR="00300AA0" w:rsidRPr="008233D6" w:rsidRDefault="00300AA0" w:rsidP="00300AA0">
      <w:pPr>
        <w:spacing w:after="120"/>
        <w:rPr>
          <w:i/>
          <w:iCs/>
          <w:lang w:eastAsia="zh-CN" w:bidi="th-TH"/>
        </w:rPr>
      </w:pPr>
      <w:r w:rsidRPr="008233D6">
        <w:rPr>
          <w:i/>
          <w:iCs/>
          <w:lang w:eastAsia="zh-CN" w:bidi="th-TH"/>
        </w:rPr>
        <w:t>KEQ5 – Systems and processes to enable woman-centred care</w:t>
      </w:r>
    </w:p>
    <w:p w14:paraId="1ECC6126" w14:textId="1FA5C74A" w:rsidR="00F048D1" w:rsidRDefault="008233D6" w:rsidP="00F048D1">
      <w:pPr>
        <w:spacing w:after="120"/>
      </w:pPr>
      <w:r>
        <w:rPr>
          <w:lang w:eastAsia="zh-CN" w:bidi="th-TH"/>
        </w:rPr>
        <w:t>Routinely-collected data about maternity services in Australia are primarily focused on measures related to safety, rather than the values of respect, choice and access</w:t>
      </w:r>
      <w:r w:rsidR="00597634">
        <w:rPr>
          <w:lang w:eastAsia="zh-CN" w:bidi="th-TH"/>
        </w:rPr>
        <w:t>. A</w:t>
      </w:r>
      <w:r>
        <w:rPr>
          <w:lang w:eastAsia="zh-CN" w:bidi="th-TH"/>
        </w:rPr>
        <w:t>doption of patient-reported measures could provide a more holistic, woman-centred view. T</w:t>
      </w:r>
      <w:r w:rsidR="00F048D1">
        <w:t xml:space="preserve">he environment scan and stakeholder interviews found </w:t>
      </w:r>
      <w:r w:rsidR="00B250F2">
        <w:t xml:space="preserve">no evidence of routinely </w:t>
      </w:r>
      <w:r w:rsidR="00F048D1">
        <w:t xml:space="preserve">collected patient-reported pregnancy, childbirth or postnatal care outcome data at national or jurisdictional levels in Australia. However, there appears to be strong support for the use of </w:t>
      </w:r>
      <w:r>
        <w:t>such</w:t>
      </w:r>
      <w:r w:rsidR="00F048D1">
        <w:t xml:space="preserve"> measures in </w:t>
      </w:r>
      <w:r w:rsidR="00B250F2">
        <w:t>clinical</w:t>
      </w:r>
      <w:r w:rsidR="00F048D1">
        <w:t xml:space="preserve"> practice, along with dedicated research to build the evidence base.</w:t>
      </w:r>
    </w:p>
    <w:p w14:paraId="7E05FB00" w14:textId="35DB21CC" w:rsidR="008233D6" w:rsidRDefault="008233D6" w:rsidP="00F048D1">
      <w:pPr>
        <w:spacing w:after="120"/>
      </w:pPr>
      <w:r>
        <w:t>There are several current initiatives to collect patient-reported experience data through surveys, including the Maternity Patient Experience Surveys in Queensland and the NSW Bureau of Health Information’s biannual Maternity Care Survey, a Birth Dignity Survey conducted in 2020 by Maternal Health Matters. In 2021, the National Birth Experiences Study collected quantitative and qualitative data from more than 8,800 women.</w:t>
      </w:r>
    </w:p>
    <w:p w14:paraId="36DCAED3" w14:textId="334717B8" w:rsidR="008233D6" w:rsidRDefault="008233D6" w:rsidP="00F048D1">
      <w:pPr>
        <w:spacing w:after="120"/>
      </w:pPr>
      <w:r>
        <w:t>Access to woman-centred care is particularly limited for women in rural and remote regions</w:t>
      </w:r>
      <w:r w:rsidR="00182950">
        <w:t xml:space="preserve"> which</w:t>
      </w:r>
      <w:r>
        <w:t xml:space="preserve"> has led to several developments to address the</w:t>
      </w:r>
      <w:r w:rsidR="006A79EA">
        <w:t>ir n</w:t>
      </w:r>
      <w:r>
        <w:t>eeds</w:t>
      </w:r>
      <w:r w:rsidR="00CF7E4F">
        <w:t xml:space="preserve">. There has been considerable development of culturally safe models of care for </w:t>
      </w:r>
      <w:r w:rsidR="00896010">
        <w:t xml:space="preserve">Aboriginal and Torres Strait Islander </w:t>
      </w:r>
      <w:r w:rsidR="00CF7E4F">
        <w:t xml:space="preserve">women in recent years, although the funding for such services has tended to be short term or project based. </w:t>
      </w:r>
      <w:r w:rsidR="00182950">
        <w:t>T</w:t>
      </w:r>
      <w:r w:rsidR="00CF7E4F">
        <w:t xml:space="preserve">he environment scan and stakeholder interviews identified very few examples of models of care specifically devoted to the needs of women from culturally </w:t>
      </w:r>
      <w:r w:rsidR="00CF7E4F">
        <w:lastRenderedPageBreak/>
        <w:t>and linguistically diverse backgrounds. There are several good examples of consumer engagement and co-design in developing models of care, policy and service planning.</w:t>
      </w:r>
    </w:p>
    <w:p w14:paraId="4D320235" w14:textId="45C20794" w:rsidR="00CA1DBA" w:rsidRPr="00E10A44" w:rsidRDefault="00CA1DBA" w:rsidP="00F048D1">
      <w:pPr>
        <w:spacing w:after="120"/>
        <w:rPr>
          <w:b/>
          <w:szCs w:val="22"/>
        </w:rPr>
      </w:pPr>
      <w:r w:rsidRPr="00E10A44">
        <w:rPr>
          <w:b/>
          <w:szCs w:val="22"/>
        </w:rPr>
        <w:t>Trends in maternal and child outcomes</w:t>
      </w:r>
    </w:p>
    <w:p w14:paraId="01745D16" w14:textId="26670563" w:rsidR="006D55ED" w:rsidRDefault="00E10A44" w:rsidP="006D55ED">
      <w:pPr>
        <w:pStyle w:val="Bullets"/>
        <w:numPr>
          <w:ilvl w:val="0"/>
          <w:numId w:val="0"/>
        </w:numPr>
        <w:rPr>
          <w:szCs w:val="22"/>
        </w:rPr>
      </w:pPr>
      <w:r>
        <w:rPr>
          <w:szCs w:val="22"/>
        </w:rPr>
        <w:t>C</w:t>
      </w:r>
      <w:r w:rsidR="00DE3A5C">
        <w:rPr>
          <w:szCs w:val="22"/>
        </w:rPr>
        <w:t xml:space="preserve">ompared with </w:t>
      </w:r>
      <w:r w:rsidR="00821369">
        <w:rPr>
          <w:szCs w:val="22"/>
        </w:rPr>
        <w:t>2011</w:t>
      </w:r>
      <w:r w:rsidR="00DE3A5C">
        <w:rPr>
          <w:szCs w:val="22"/>
        </w:rPr>
        <w:t>,</w:t>
      </w:r>
      <w:r w:rsidR="00AE0A54">
        <w:rPr>
          <w:szCs w:val="22"/>
        </w:rPr>
        <w:t xml:space="preserve"> w</w:t>
      </w:r>
      <w:r w:rsidR="006D55ED">
        <w:rPr>
          <w:szCs w:val="22"/>
        </w:rPr>
        <w:t>omen who gave birth in 2019</w:t>
      </w:r>
      <w:r w:rsidR="00AE0A54">
        <w:rPr>
          <w:szCs w:val="22"/>
        </w:rPr>
        <w:t xml:space="preserve"> were</w:t>
      </w:r>
      <w:r w:rsidR="006D55ED">
        <w:rPr>
          <w:szCs w:val="22"/>
        </w:rPr>
        <w:t>:</w:t>
      </w:r>
    </w:p>
    <w:p w14:paraId="6823D0DC" w14:textId="5AE9D46B" w:rsidR="006D55ED" w:rsidRPr="006D55ED" w:rsidRDefault="00AE0A54" w:rsidP="006D55ED">
      <w:pPr>
        <w:pStyle w:val="Bullets"/>
        <w:rPr>
          <w:lang w:eastAsia="zh-CN" w:bidi="th-TH"/>
        </w:rPr>
      </w:pPr>
      <w:r>
        <w:rPr>
          <w:lang w:eastAsia="zh-CN" w:bidi="th-TH"/>
        </w:rPr>
        <w:t>less likely to smoke</w:t>
      </w:r>
      <w:r w:rsidR="00821369">
        <w:rPr>
          <w:lang w:eastAsia="zh-CN" w:bidi="th-TH"/>
        </w:rPr>
        <w:t xml:space="preserve"> in the first 20 weeks of pregnancy</w:t>
      </w:r>
      <w:r>
        <w:rPr>
          <w:lang w:eastAsia="zh-CN" w:bidi="th-TH"/>
        </w:rPr>
        <w:t xml:space="preserve"> (9%</w:t>
      </w:r>
      <w:r w:rsidR="006D55ED" w:rsidRPr="006D55ED">
        <w:rPr>
          <w:lang w:eastAsia="zh-CN" w:bidi="th-TH"/>
        </w:rPr>
        <w:t>, down from 13%</w:t>
      </w:r>
      <w:r w:rsidR="006F541B">
        <w:rPr>
          <w:lang w:eastAsia="zh-CN" w:bidi="th-TH"/>
        </w:rPr>
        <w:t>)</w:t>
      </w:r>
      <w:r>
        <w:rPr>
          <w:lang w:eastAsia="zh-CN" w:bidi="th-TH"/>
        </w:rPr>
        <w:t>;</w:t>
      </w:r>
    </w:p>
    <w:p w14:paraId="064A718F" w14:textId="4965B5A0" w:rsidR="00821369" w:rsidRDefault="00821369" w:rsidP="00105542">
      <w:pPr>
        <w:pStyle w:val="Bullets"/>
      </w:pPr>
      <w:r>
        <w:t>less</w:t>
      </w:r>
      <w:r w:rsidR="00AE0A54">
        <w:t xml:space="preserve"> likely to have</w:t>
      </w:r>
      <w:r>
        <w:t xml:space="preserve"> spontaneous labour (4</w:t>
      </w:r>
      <w:r w:rsidR="008073EC">
        <w:t>3</w:t>
      </w:r>
      <w:r>
        <w:t>%, down from 56%</w:t>
      </w:r>
      <w:r w:rsidR="006F541B">
        <w:t>)</w:t>
      </w:r>
      <w:r>
        <w:t>;</w:t>
      </w:r>
    </w:p>
    <w:p w14:paraId="04CD3BEA" w14:textId="5DF59569" w:rsidR="00105542" w:rsidRDefault="00821369" w:rsidP="00105542">
      <w:pPr>
        <w:pStyle w:val="Bullets"/>
      </w:pPr>
      <w:r>
        <w:t>more likely to have</w:t>
      </w:r>
      <w:r w:rsidR="00AE0A54">
        <w:t xml:space="preserve"> labour induced (</w:t>
      </w:r>
      <w:r w:rsidR="008073EC">
        <w:t>35</w:t>
      </w:r>
      <w:r w:rsidR="00105542">
        <w:t xml:space="preserve">%, up from </w:t>
      </w:r>
      <w:r>
        <w:t>25</w:t>
      </w:r>
      <w:r w:rsidR="00105542">
        <w:t>%</w:t>
      </w:r>
      <w:r w:rsidR="006F541B">
        <w:t>);</w:t>
      </w:r>
    </w:p>
    <w:p w14:paraId="093EF965" w14:textId="5271BD66" w:rsidR="006F541B" w:rsidRDefault="006F541B" w:rsidP="00105542">
      <w:pPr>
        <w:pStyle w:val="Bullets"/>
      </w:pPr>
      <w:r>
        <w:t>more likely to have a caesarean section (public sector 34%, private sector 48%, compared with 29% and 42% respectively);</w:t>
      </w:r>
    </w:p>
    <w:p w14:paraId="0A3D4720" w14:textId="0EE759B8" w:rsidR="00AE0A54" w:rsidRPr="00A01686" w:rsidRDefault="00AE0A54" w:rsidP="006D55ED">
      <w:pPr>
        <w:pStyle w:val="Bullets"/>
        <w:rPr>
          <w:lang w:eastAsia="zh-CN" w:bidi="th-TH"/>
        </w:rPr>
      </w:pPr>
      <w:r>
        <w:rPr>
          <w:szCs w:val="22"/>
        </w:rPr>
        <w:t>less likely to have</w:t>
      </w:r>
      <w:r w:rsidR="006B52B9">
        <w:rPr>
          <w:szCs w:val="22"/>
        </w:rPr>
        <w:t xml:space="preserve"> </w:t>
      </w:r>
      <w:r>
        <w:rPr>
          <w:szCs w:val="22"/>
        </w:rPr>
        <w:t>non-instrumental</w:t>
      </w:r>
      <w:r w:rsidR="008073EC">
        <w:rPr>
          <w:szCs w:val="22"/>
        </w:rPr>
        <w:t>, vaginal</w:t>
      </w:r>
      <w:r>
        <w:rPr>
          <w:szCs w:val="22"/>
        </w:rPr>
        <w:t xml:space="preserve"> births</w:t>
      </w:r>
      <w:r w:rsidR="006F541B">
        <w:rPr>
          <w:szCs w:val="22"/>
        </w:rPr>
        <w:t xml:space="preserve"> (public sector </w:t>
      </w:r>
      <w:r w:rsidR="008073EC">
        <w:rPr>
          <w:szCs w:val="22"/>
        </w:rPr>
        <w:t>54</w:t>
      </w:r>
      <w:r w:rsidR="006F541B">
        <w:rPr>
          <w:szCs w:val="22"/>
        </w:rPr>
        <w:t xml:space="preserve">%, private sector </w:t>
      </w:r>
      <w:r w:rsidR="008073EC">
        <w:rPr>
          <w:szCs w:val="22"/>
        </w:rPr>
        <w:t>37</w:t>
      </w:r>
      <w:r w:rsidR="006F541B">
        <w:rPr>
          <w:szCs w:val="22"/>
        </w:rPr>
        <w:t>%, compared with</w:t>
      </w:r>
      <w:r w:rsidR="00A01686">
        <w:rPr>
          <w:szCs w:val="22"/>
        </w:rPr>
        <w:t xml:space="preserve"> </w:t>
      </w:r>
      <w:r w:rsidR="008073EC">
        <w:rPr>
          <w:szCs w:val="22"/>
        </w:rPr>
        <w:t>60</w:t>
      </w:r>
      <w:r w:rsidR="00A01686">
        <w:rPr>
          <w:szCs w:val="22"/>
        </w:rPr>
        <w:t xml:space="preserve">% and </w:t>
      </w:r>
      <w:r w:rsidR="008073EC">
        <w:rPr>
          <w:szCs w:val="22"/>
        </w:rPr>
        <w:t>43</w:t>
      </w:r>
      <w:r w:rsidR="00A01686">
        <w:rPr>
          <w:szCs w:val="22"/>
        </w:rPr>
        <w:t xml:space="preserve">% respectively); </w:t>
      </w:r>
    </w:p>
    <w:p w14:paraId="168D1865" w14:textId="5C6992ED" w:rsidR="00A01686" w:rsidRPr="00A01686" w:rsidRDefault="00A01686" w:rsidP="006D55ED">
      <w:pPr>
        <w:pStyle w:val="Bullets"/>
        <w:rPr>
          <w:lang w:eastAsia="zh-CN" w:bidi="th-TH"/>
        </w:rPr>
      </w:pPr>
      <w:r>
        <w:rPr>
          <w:szCs w:val="22"/>
        </w:rPr>
        <w:t>more likely to have a baby born between 37 and 39 completed wee</w:t>
      </w:r>
      <w:r w:rsidRPr="00F97161">
        <w:rPr>
          <w:szCs w:val="22"/>
        </w:rPr>
        <w:t>ks’</w:t>
      </w:r>
      <w:r>
        <w:rPr>
          <w:szCs w:val="22"/>
        </w:rPr>
        <w:t xml:space="preserve"> gestation (62% of babies born in 2019 versus 52% in </w:t>
      </w:r>
      <w:r w:rsidR="008073EC">
        <w:rPr>
          <w:szCs w:val="22"/>
        </w:rPr>
        <w:t>2010</w:t>
      </w:r>
      <w:r>
        <w:rPr>
          <w:szCs w:val="22"/>
        </w:rPr>
        <w:t>);</w:t>
      </w:r>
    </w:p>
    <w:p w14:paraId="1D27DF6A" w14:textId="541BB7B2" w:rsidR="00A01686" w:rsidRPr="00AE0A54" w:rsidRDefault="00A01686" w:rsidP="006D55ED">
      <w:pPr>
        <w:pStyle w:val="Bullets"/>
        <w:rPr>
          <w:lang w:eastAsia="zh-CN" w:bidi="th-TH"/>
        </w:rPr>
      </w:pPr>
      <w:r>
        <w:rPr>
          <w:szCs w:val="22"/>
        </w:rPr>
        <w:t>less likely to have a baby born at 40 or 41 weeks’ gestation (29% of babies, down from 39%);</w:t>
      </w:r>
    </w:p>
    <w:p w14:paraId="21F43385" w14:textId="340C8B23" w:rsidR="00AE0A54" w:rsidRDefault="00DE3A5C" w:rsidP="006561C5">
      <w:pPr>
        <w:pStyle w:val="Bullets"/>
        <w:rPr>
          <w:lang w:eastAsia="zh-CN" w:bidi="th-TH"/>
        </w:rPr>
      </w:pPr>
      <w:r>
        <w:rPr>
          <w:szCs w:val="22"/>
        </w:rPr>
        <w:t>slightly more likely to have a baby with an Apgar score less than 7 at five minutes (</w:t>
      </w:r>
      <w:r w:rsidR="00F1071E">
        <w:t>1.3%, a fractional increase of 0.1% from 2011</w:t>
      </w:r>
      <w:r w:rsidR="006561C5">
        <w:t>).</w:t>
      </w:r>
    </w:p>
    <w:p w14:paraId="5C40FD43" w14:textId="593678F2" w:rsidR="00B93BDC" w:rsidRPr="008C0F4C" w:rsidRDefault="00B93BDC" w:rsidP="00B93BDC">
      <w:pPr>
        <w:pStyle w:val="Bullets"/>
        <w:numPr>
          <w:ilvl w:val="0"/>
          <w:numId w:val="0"/>
        </w:numPr>
      </w:pPr>
      <w:r w:rsidRPr="008C0F4C">
        <w:t xml:space="preserve">Over time there has been increased access to first trimester antenatal care, especially for those living in the most disadvantaged areas, </w:t>
      </w:r>
      <w:r w:rsidR="00105122">
        <w:t>Aboriginal and Torres Strait Islander</w:t>
      </w:r>
      <w:r w:rsidR="00105122" w:rsidRPr="008C0F4C">
        <w:t xml:space="preserve"> </w:t>
      </w:r>
      <w:r w:rsidRPr="008C0F4C">
        <w:t>women, and those using the public sector.</w:t>
      </w:r>
    </w:p>
    <w:p w14:paraId="4440E3F5" w14:textId="308875B7" w:rsidR="00B93BDC" w:rsidRDefault="00B93BDC" w:rsidP="00B93BDC">
      <w:pPr>
        <w:pStyle w:val="Bullets"/>
        <w:numPr>
          <w:ilvl w:val="0"/>
          <w:numId w:val="0"/>
        </w:numPr>
      </w:pPr>
      <w:r w:rsidRPr="008C0F4C">
        <w:t xml:space="preserve">Excluding annual fluctuations, there was no overall trend (either up or down) in the rate of stillbirths between 2010 and </w:t>
      </w:r>
      <w:r w:rsidRPr="00A01686">
        <w:t>2019</w:t>
      </w:r>
      <w:r w:rsidRPr="008C0F4C">
        <w:t xml:space="preserve">. There were slightly reduced perinatal and neonatal death rates overall. The burden of </w:t>
      </w:r>
      <w:r w:rsidR="00473435">
        <w:t>perinatal</w:t>
      </w:r>
      <w:r w:rsidR="00473435" w:rsidRPr="008C0F4C">
        <w:t xml:space="preserve"> </w:t>
      </w:r>
      <w:r w:rsidRPr="008C0F4C">
        <w:t xml:space="preserve">mortality remains disproportionately higher among women aged under 20 and over 40 years, </w:t>
      </w:r>
      <w:r w:rsidR="001F0EDF">
        <w:t>Aboriginal and Torres Strait Islander</w:t>
      </w:r>
      <w:r w:rsidRPr="008C0F4C">
        <w:t xml:space="preserve"> women, those living in </w:t>
      </w:r>
      <w:r w:rsidR="00473435">
        <w:t xml:space="preserve">very </w:t>
      </w:r>
      <w:r w:rsidRPr="008C0F4C">
        <w:t>remote areas, and those living in the most disadvantaged areas.</w:t>
      </w:r>
    </w:p>
    <w:p w14:paraId="60428498" w14:textId="3182AE25" w:rsidR="00B93BDC" w:rsidRDefault="00B93BDC" w:rsidP="00B93BDC">
      <w:pPr>
        <w:pStyle w:val="Bullets"/>
        <w:numPr>
          <w:ilvl w:val="0"/>
          <w:numId w:val="0"/>
        </w:numPr>
      </w:pPr>
      <w:r>
        <w:t xml:space="preserve">Maternal deaths (during pregnancy and up to 42 days following </w:t>
      </w:r>
      <w:r w:rsidR="00473435">
        <w:t>the end of pregnancy</w:t>
      </w:r>
      <w:r>
        <w:t xml:space="preserve">) remain very rare in Australia, but risks are elevated among </w:t>
      </w:r>
      <w:r w:rsidR="001F0EDF">
        <w:t>Aboriginal and Torres Strait Islander</w:t>
      </w:r>
      <w:r>
        <w:t xml:space="preserve"> women, women who smoke during the first 20 weeks of pregnancy, and women living in remote or very remote areas.</w:t>
      </w:r>
    </w:p>
    <w:p w14:paraId="303F6E94" w14:textId="04ABF887" w:rsidR="00CA1DBA" w:rsidRPr="00E10A44" w:rsidRDefault="00CA1DBA" w:rsidP="006D55ED">
      <w:pPr>
        <w:spacing w:after="120"/>
        <w:rPr>
          <w:b/>
        </w:rPr>
      </w:pPr>
      <w:r w:rsidRPr="00E10A44">
        <w:rPr>
          <w:b/>
        </w:rPr>
        <w:t>Trends in service use</w:t>
      </w:r>
    </w:p>
    <w:p w14:paraId="65449C3D" w14:textId="79B2517C" w:rsidR="00B816AD" w:rsidRDefault="00CA1DBA" w:rsidP="006D55ED">
      <w:pPr>
        <w:spacing w:after="120"/>
        <w:rPr>
          <w:rFonts w:cstheme="minorHAnsi"/>
          <w:color w:val="212529"/>
          <w:szCs w:val="22"/>
          <w:lang w:val="en-US"/>
        </w:rPr>
      </w:pPr>
      <w:r w:rsidRPr="001E1E7B">
        <w:rPr>
          <w:rFonts w:cstheme="minorHAnsi"/>
          <w:szCs w:val="22"/>
          <w:shd w:val="clear" w:color="auto" w:fill="FFFFFF"/>
        </w:rPr>
        <w:t>The Maternity Care Cla</w:t>
      </w:r>
      <w:r>
        <w:rPr>
          <w:rFonts w:cstheme="minorHAnsi"/>
          <w:szCs w:val="22"/>
          <w:shd w:val="clear" w:color="auto" w:fill="FFFFFF"/>
        </w:rPr>
        <w:t xml:space="preserve">ssification System (MaCCS) is a </w:t>
      </w:r>
      <w:r w:rsidRPr="00CA1DBA">
        <w:rPr>
          <w:rFonts w:cstheme="minorHAnsi"/>
          <w:szCs w:val="22"/>
          <w:shd w:val="clear" w:color="auto" w:fill="FFFFFF"/>
        </w:rPr>
        <w:t>service-level</w:t>
      </w:r>
      <w:r w:rsidRPr="00E90012">
        <w:rPr>
          <w:rFonts w:cstheme="minorHAnsi"/>
          <w:szCs w:val="22"/>
          <w:shd w:val="clear" w:color="auto" w:fill="FFFFFF"/>
        </w:rPr>
        <w:t xml:space="preserve"> </w:t>
      </w:r>
      <w:r w:rsidRPr="001E1E7B">
        <w:rPr>
          <w:rFonts w:cstheme="minorHAnsi"/>
          <w:szCs w:val="22"/>
          <w:shd w:val="clear" w:color="auto" w:fill="FFFFFF"/>
        </w:rPr>
        <w:t xml:space="preserve">data collection on the </w:t>
      </w:r>
      <w:r>
        <w:rPr>
          <w:rFonts w:cstheme="minorHAnsi"/>
          <w:szCs w:val="22"/>
          <w:shd w:val="clear" w:color="auto" w:fill="FFFFFF"/>
        </w:rPr>
        <w:t xml:space="preserve">active </w:t>
      </w:r>
      <w:r w:rsidRPr="001E1E7B">
        <w:rPr>
          <w:rFonts w:cstheme="minorHAnsi"/>
          <w:szCs w:val="22"/>
          <w:shd w:val="clear" w:color="auto" w:fill="FFFFFF"/>
        </w:rPr>
        <w:t xml:space="preserve">maternity models of care </w:t>
      </w:r>
      <w:r w:rsidRPr="00E90012">
        <w:rPr>
          <w:rFonts w:cstheme="minorHAnsi"/>
          <w:szCs w:val="22"/>
          <w:shd w:val="clear" w:color="auto" w:fill="FFFFFF"/>
        </w:rPr>
        <w:t>available in Australia.</w:t>
      </w:r>
      <w:r>
        <w:rPr>
          <w:rFonts w:cstheme="minorHAnsi"/>
          <w:szCs w:val="22"/>
          <w:shd w:val="clear" w:color="auto" w:fill="FFFFFF"/>
        </w:rPr>
        <w:t xml:space="preserve"> In 2022, p</w:t>
      </w:r>
      <w:r w:rsidR="00B816AD" w:rsidRPr="00254161">
        <w:rPr>
          <w:iCs/>
        </w:rPr>
        <w:t xml:space="preserve">ublic hospital maternity care was the most common active </w:t>
      </w:r>
      <w:r w:rsidR="00B816AD">
        <w:t>model</w:t>
      </w:r>
      <w:r w:rsidR="00B816AD" w:rsidRPr="00254161">
        <w:t xml:space="preserve"> of care </w:t>
      </w:r>
      <w:r w:rsidR="00473435">
        <w:t>available</w:t>
      </w:r>
      <w:r w:rsidR="00B816AD" w:rsidRPr="00254161">
        <w:t xml:space="preserve">, followed by </w:t>
      </w:r>
      <w:r w:rsidR="00B816AD">
        <w:t>general practitioner shared care</w:t>
      </w:r>
      <w:r w:rsidR="00B816AD" w:rsidRPr="00254161">
        <w:t xml:space="preserve">, midwifery group practice caseload care and private obstetrician care. </w:t>
      </w:r>
      <w:r w:rsidR="00B816AD">
        <w:t xml:space="preserve">Overall, 37% of the </w:t>
      </w:r>
      <w:r w:rsidR="00B816AD" w:rsidRPr="00254161">
        <w:rPr>
          <w:iCs/>
        </w:rPr>
        <w:t xml:space="preserve">active </w:t>
      </w:r>
      <w:r w:rsidR="00B816AD">
        <w:t>models</w:t>
      </w:r>
      <w:r w:rsidR="00B816AD" w:rsidRPr="00254161">
        <w:t xml:space="preserve"> of care reported in </w:t>
      </w:r>
      <w:r w:rsidR="00B816AD">
        <w:t xml:space="preserve">2022 had </w:t>
      </w:r>
      <w:r w:rsidR="00B816AD" w:rsidRPr="00B816AD">
        <w:t>no</w:t>
      </w:r>
      <w:r w:rsidR="00B816AD">
        <w:t xml:space="preserve"> continuity of care during the antenatal, intrapartum or postpartum periods. However, a</w:t>
      </w:r>
      <w:r w:rsidR="00B816AD" w:rsidRPr="00B816AD">
        <w:rPr>
          <w:rFonts w:cstheme="minorHAnsi"/>
          <w:color w:val="212529"/>
          <w:szCs w:val="22"/>
        </w:rPr>
        <w:t xml:space="preserve"> </w:t>
      </w:r>
      <w:r w:rsidR="00B816AD" w:rsidRPr="00B816AD">
        <w:rPr>
          <w:rFonts w:cstheme="minorHAnsi"/>
          <w:color w:val="000000"/>
          <w:szCs w:val="22"/>
          <w:shd w:val="clear" w:color="auto" w:fill="FFFFFF"/>
        </w:rPr>
        <w:t>national</w:t>
      </w:r>
      <w:r w:rsidR="00B816AD">
        <w:rPr>
          <w:rFonts w:cstheme="minorHAnsi"/>
          <w:color w:val="000000"/>
          <w:szCs w:val="22"/>
          <w:shd w:val="clear" w:color="auto" w:fill="FFFFFF"/>
        </w:rPr>
        <w:t xml:space="preserve"> </w:t>
      </w:r>
      <w:r w:rsidR="00B816AD" w:rsidRPr="00B816AD">
        <w:rPr>
          <w:rFonts w:cstheme="minorHAnsi"/>
          <w:color w:val="212529"/>
          <w:szCs w:val="22"/>
          <w:lang w:val="en-US"/>
        </w:rPr>
        <w:t>baseline for all maternity models of care is not yet available because reporting is not mandatory.</w:t>
      </w:r>
    </w:p>
    <w:p w14:paraId="40A0009D" w14:textId="50BE9DED" w:rsidR="00CA1DBA" w:rsidRDefault="00CA1DBA" w:rsidP="00CA1DBA">
      <w:pPr>
        <w:spacing w:after="120"/>
      </w:pPr>
      <w:r>
        <w:t>The Medicare Benefits Schedule (MBS) includes antenatal and postnatal items that can be claimed by participating midwives (i.e., midwives endorsed by the Nursing and Midwifery Board of Australia who work in a collaborative arrangement as defined in legislation). These items were introduced in 2010 and since then the volume of services provided has steadily increased each year, most rapidly during 2020. In contrast, MBS items relating to midwife management of labour and video consultations are claimed relatively infrequently.</w:t>
      </w:r>
    </w:p>
    <w:p w14:paraId="5408C7A6" w14:textId="43DBC3BD" w:rsidR="00375DA4" w:rsidRPr="00C459D0" w:rsidRDefault="00E10A44" w:rsidP="00C459D0">
      <w:pPr>
        <w:spacing w:after="600"/>
      </w:pPr>
      <w:r>
        <w:t>In response to the COVID-19 pandemic, new MBS items for short (up to 40 minutes) or long (at least 40 minutes) t</w:t>
      </w:r>
      <w:r w:rsidRPr="00A65023">
        <w:t xml:space="preserve">elehealth </w:t>
      </w:r>
      <w:r>
        <w:t>or</w:t>
      </w:r>
      <w:r w:rsidRPr="00A65023">
        <w:t xml:space="preserve"> phone attendances by participating midwifes</w:t>
      </w:r>
      <w:r>
        <w:t xml:space="preserve"> were introduced. The volume of services provided under these items has increased over time. However, total numbers remain relatively low compared to the number of women giving birth annually.</w:t>
      </w:r>
    </w:p>
    <w:p w14:paraId="4E034420" w14:textId="578FFCF2" w:rsidR="00D50B05" w:rsidRDefault="007477D6" w:rsidP="00370CFE">
      <w:pPr>
        <w:spacing w:after="120"/>
        <w:rPr>
          <w:b/>
        </w:rPr>
      </w:pPr>
      <w:r>
        <w:rPr>
          <w:b/>
        </w:rPr>
        <w:lastRenderedPageBreak/>
        <w:t xml:space="preserve">Issues </w:t>
      </w:r>
      <w:r w:rsidR="005F208F">
        <w:rPr>
          <w:b/>
        </w:rPr>
        <w:t xml:space="preserve">raised by stakeholders </w:t>
      </w:r>
      <w:r w:rsidR="00D50B05" w:rsidRPr="00370CFE">
        <w:rPr>
          <w:b/>
        </w:rPr>
        <w:t>for</w:t>
      </w:r>
      <w:r>
        <w:rPr>
          <w:b/>
        </w:rPr>
        <w:t xml:space="preserve"> consideration in</w:t>
      </w:r>
      <w:r w:rsidR="00D50B05" w:rsidRPr="00370CFE">
        <w:rPr>
          <w:b/>
        </w:rPr>
        <w:t xml:space="preserve"> ongoing monitoring and evaluation</w:t>
      </w:r>
    </w:p>
    <w:p w14:paraId="4FC2366D" w14:textId="3FE07364" w:rsidR="00AF256D" w:rsidRDefault="00AF256D" w:rsidP="00370CFE">
      <w:pPr>
        <w:spacing w:after="120"/>
        <w:rPr>
          <w:bCs/>
        </w:rPr>
      </w:pPr>
      <w:r>
        <w:rPr>
          <w:bCs/>
        </w:rPr>
        <w:t>Stakeholders identified a number of strategic and practical issues for consideration in the ongoing monitoring and evaluation of the Strategy, such as:</w:t>
      </w:r>
    </w:p>
    <w:p w14:paraId="11AE8A9E" w14:textId="6A13CC98" w:rsidR="00AF256D" w:rsidRDefault="00AF256D" w:rsidP="00C24842">
      <w:pPr>
        <w:pStyle w:val="Bullets"/>
      </w:pPr>
      <w:r>
        <w:t>A perceived need for better definition of the Strategy’s targets, responsibilities and timelines for implementation;</w:t>
      </w:r>
    </w:p>
    <w:p w14:paraId="6A1DDAE6" w14:textId="1E581AD1" w:rsidR="00AF256D" w:rsidRDefault="00AF256D" w:rsidP="00C24842">
      <w:pPr>
        <w:pStyle w:val="Bullets"/>
      </w:pPr>
      <w:r>
        <w:t>Challenges in obtaining timely, complete data across the range of the Strategy’s enabling activities and potential outcomes, from pregnancy and antenatal care to 12 months’ postnatal care, and the need to reach consensus on the transfer and use of data collected routinely by states and territories;</w:t>
      </w:r>
    </w:p>
    <w:p w14:paraId="35097634" w14:textId="291CBB30" w:rsidR="00AF256D" w:rsidRDefault="00AF256D" w:rsidP="00C24842">
      <w:pPr>
        <w:pStyle w:val="Bullets"/>
      </w:pPr>
      <w:r>
        <w:t>The importance of collecting patient-reported measures in routine care, to inform quality improvement;</w:t>
      </w:r>
    </w:p>
    <w:p w14:paraId="4E45D7E3" w14:textId="5EBB2313" w:rsidR="00AF256D" w:rsidRDefault="00846B86" w:rsidP="00C24842">
      <w:pPr>
        <w:pStyle w:val="Bullets"/>
      </w:pPr>
      <w:r>
        <w:t>T</w:t>
      </w:r>
      <w:r w:rsidR="00AF256D">
        <w:t>ransparent, timely reporting of outcomes as a driver for improvements in service delivery, ideally including private obstetrics and midwifery practice;</w:t>
      </w:r>
    </w:p>
    <w:p w14:paraId="44E89291" w14:textId="52BA3CFD" w:rsidR="00AF256D" w:rsidRDefault="00AF256D" w:rsidP="00C24842">
      <w:pPr>
        <w:pStyle w:val="Bullets"/>
      </w:pPr>
      <w:r>
        <w:t>Strategic investment in data linkage research;</w:t>
      </w:r>
    </w:p>
    <w:p w14:paraId="17D6CB7A" w14:textId="1A6D1BB1" w:rsidR="00D50B05" w:rsidRPr="00823BDC" w:rsidRDefault="00AF256D" w:rsidP="00C24842">
      <w:pPr>
        <w:pStyle w:val="Bullets"/>
      </w:pPr>
      <w:r>
        <w:t>Increased support for rigorous evaluation of initiatives and models of care focusing on discrete elements of the Strategy</w:t>
      </w:r>
      <w:r w:rsidR="00F92117">
        <w:t>.</w:t>
      </w:r>
    </w:p>
    <w:p w14:paraId="05275555" w14:textId="751F4A74" w:rsidR="00D54E8F" w:rsidRPr="00934AE3" w:rsidRDefault="00934AE3" w:rsidP="00453C5A">
      <w:pPr>
        <w:spacing w:after="120"/>
        <w:rPr>
          <w:b/>
          <w:lang w:eastAsia="zh-CN" w:bidi="th-TH"/>
        </w:rPr>
      </w:pPr>
      <w:r>
        <w:rPr>
          <w:b/>
          <w:lang w:eastAsia="zh-CN" w:bidi="th-TH"/>
        </w:rPr>
        <w:t>Discussion</w:t>
      </w:r>
    </w:p>
    <w:p w14:paraId="3CADFE57" w14:textId="029924F6" w:rsidR="00934AE3" w:rsidRDefault="00BC7EB1" w:rsidP="00453C5A">
      <w:pPr>
        <w:spacing w:after="120"/>
        <w:rPr>
          <w:lang w:eastAsia="zh-CN" w:bidi="th-TH"/>
        </w:rPr>
      </w:pPr>
      <w:r>
        <w:rPr>
          <w:lang w:eastAsia="zh-CN" w:bidi="th-TH"/>
        </w:rPr>
        <w:t>It was evident from the stakeholder consultations, conducted in preparation for this report, that all stakeholder groups are committed to designing and implementing maternity service systems that hold the woman at the centre and which deliver on the Strategy’s core values of safety, respect, choice and access. Nevertheless, stakeholders acknowledged the challenges of implementing the Strategy in a post-COVID, resource-constrained healthcare environment.</w:t>
      </w:r>
      <w:r w:rsidR="00934AE3">
        <w:rPr>
          <w:lang w:eastAsia="zh-CN" w:bidi="th-TH"/>
        </w:rPr>
        <w:t xml:space="preserve"> In particular, there were deep concerns about the impact of workforce shortages and a</w:t>
      </w:r>
      <w:r w:rsidR="00B90AB2">
        <w:rPr>
          <w:lang w:eastAsia="zh-CN" w:bidi="th-TH"/>
        </w:rPr>
        <w:t>n expressed</w:t>
      </w:r>
      <w:r w:rsidR="00934AE3">
        <w:rPr>
          <w:lang w:eastAsia="zh-CN" w:bidi="th-TH"/>
        </w:rPr>
        <w:t xml:space="preserve"> desire to open up discussion of several other issues which have been excluded from the scope of the Strategy, including private obstetric and midwifery care.</w:t>
      </w:r>
    </w:p>
    <w:p w14:paraId="238CB461" w14:textId="617428C8" w:rsidR="00BC7EB1" w:rsidRDefault="00934AE3" w:rsidP="00453C5A">
      <w:pPr>
        <w:spacing w:after="120"/>
        <w:rPr>
          <w:lang w:eastAsia="zh-CN" w:bidi="th-TH"/>
        </w:rPr>
      </w:pPr>
      <w:r>
        <w:rPr>
          <w:lang w:eastAsia="zh-CN" w:bidi="th-TH"/>
        </w:rPr>
        <w:t>Stakeholders drew attention to several barriers to monitoring and evaluation of the Strategy, particularly lack of clarity and agreement around targets and how progress will be measured, and the feasibility of collecting comprehensive data on outcomes of interest.</w:t>
      </w:r>
    </w:p>
    <w:p w14:paraId="404D5EB1" w14:textId="581E07E2" w:rsidR="00934AE3" w:rsidRDefault="00934AE3" w:rsidP="00453C5A">
      <w:pPr>
        <w:spacing w:after="120"/>
        <w:rPr>
          <w:rFonts w:ascii="Calibri" w:eastAsiaTheme="minorHAnsi" w:hAnsi="Calibri" w:cs="Calibri"/>
          <w:szCs w:val="22"/>
          <w:lang w:eastAsia="en-US"/>
        </w:rPr>
      </w:pPr>
      <w:r>
        <w:rPr>
          <w:rFonts w:ascii="Calibri" w:eastAsiaTheme="minorHAnsi" w:hAnsi="Calibri" w:cs="Calibri"/>
          <w:szCs w:val="22"/>
          <w:lang w:eastAsia="en-US"/>
        </w:rPr>
        <w:t>The operating environment for the Strategy is extraordinarily complex and a huge range of factors at various levels will contribute to the outcomes to be measured in the future. For these reasons, ongoing monitoring and evaluation should not take a simple accountability approach – pass or fail – but consider how measurement can be used to contribute to learning and development. It will not be possible to measure everything at once, and there is an important role for a governance body, representing all stakeholders, in setting priorities and helping to focus monitoring and evaluation efforts to maximise benefits and utilisation.</w:t>
      </w:r>
    </w:p>
    <w:p w14:paraId="29EAFB07" w14:textId="7596E874" w:rsidR="00934AE3" w:rsidRDefault="00934AE3" w:rsidP="00453C5A">
      <w:pPr>
        <w:spacing w:after="120"/>
        <w:rPr>
          <w:lang w:eastAsia="zh-CN" w:bidi="th-TH"/>
        </w:rPr>
      </w:pPr>
      <w:r>
        <w:rPr>
          <w:rFonts w:ascii="Calibri" w:eastAsiaTheme="minorHAnsi" w:hAnsi="Calibri" w:cs="Calibri"/>
          <w:szCs w:val="22"/>
          <w:lang w:eastAsia="en-US"/>
        </w:rPr>
        <w:t>Ensuring that findings are</w:t>
      </w:r>
      <w:r w:rsidRPr="00C16010">
        <w:rPr>
          <w:rFonts w:ascii="Calibri" w:eastAsiaTheme="minorHAnsi" w:hAnsi="Calibri" w:cs="Calibri"/>
          <w:szCs w:val="22"/>
          <w:lang w:eastAsia="en-US"/>
        </w:rPr>
        <w:t xml:space="preserve"> relevant for, and accessible to, multiple audiences will be integral to </w:t>
      </w:r>
      <w:r>
        <w:rPr>
          <w:rFonts w:ascii="Calibri" w:eastAsiaTheme="minorHAnsi" w:hAnsi="Calibri" w:cs="Calibri"/>
          <w:szCs w:val="22"/>
          <w:lang w:eastAsia="en-US"/>
        </w:rPr>
        <w:t>sustainability</w:t>
      </w:r>
      <w:r w:rsidRPr="00C16010">
        <w:rPr>
          <w:rFonts w:ascii="Calibri" w:eastAsiaTheme="minorHAnsi" w:hAnsi="Calibri" w:cs="Calibri"/>
          <w:szCs w:val="22"/>
          <w:lang w:eastAsia="en-US"/>
        </w:rPr>
        <w:t>.</w:t>
      </w:r>
      <w:r>
        <w:rPr>
          <w:rFonts w:ascii="Calibri" w:eastAsiaTheme="minorHAnsi" w:hAnsi="Calibri" w:cs="Calibri"/>
          <w:szCs w:val="22"/>
          <w:lang w:eastAsia="en-US"/>
        </w:rPr>
        <w:t xml:space="preserve"> S</w:t>
      </w:r>
      <w:r w:rsidRPr="00C16010">
        <w:rPr>
          <w:rFonts w:ascii="Calibri" w:eastAsiaTheme="minorHAnsi" w:hAnsi="Calibri" w:cs="Calibri"/>
          <w:szCs w:val="22"/>
          <w:lang w:eastAsia="en-US"/>
        </w:rPr>
        <w:t>takeholders agree</w:t>
      </w:r>
      <w:r>
        <w:rPr>
          <w:rFonts w:ascii="Calibri" w:eastAsiaTheme="minorHAnsi" w:hAnsi="Calibri" w:cs="Calibri"/>
          <w:szCs w:val="22"/>
          <w:lang w:eastAsia="en-US"/>
        </w:rPr>
        <w:t>d that the collection of patient-reported experiences and outcomes</w:t>
      </w:r>
      <w:r w:rsidRPr="00C16010">
        <w:rPr>
          <w:rFonts w:ascii="Calibri" w:eastAsiaTheme="minorHAnsi" w:hAnsi="Calibri" w:cs="Calibri"/>
          <w:szCs w:val="22"/>
          <w:lang w:eastAsia="en-US"/>
        </w:rPr>
        <w:t xml:space="preserve"> </w:t>
      </w:r>
      <w:r>
        <w:rPr>
          <w:rFonts w:ascii="Calibri" w:eastAsiaTheme="minorHAnsi" w:hAnsi="Calibri" w:cs="Calibri"/>
          <w:szCs w:val="22"/>
          <w:lang w:eastAsia="en-US"/>
        </w:rPr>
        <w:t xml:space="preserve">should </w:t>
      </w:r>
      <w:r w:rsidRPr="00C16010">
        <w:rPr>
          <w:rFonts w:ascii="Calibri" w:eastAsiaTheme="minorHAnsi" w:hAnsi="Calibri" w:cs="Calibri"/>
          <w:szCs w:val="22"/>
          <w:lang w:eastAsia="en-US"/>
        </w:rPr>
        <w:t>be central to future monitoring and evaluat</w:t>
      </w:r>
      <w:r>
        <w:rPr>
          <w:rFonts w:ascii="Calibri" w:eastAsiaTheme="minorHAnsi" w:hAnsi="Calibri" w:cs="Calibri"/>
          <w:szCs w:val="22"/>
          <w:lang w:eastAsia="en-US"/>
        </w:rPr>
        <w:t>ion</w:t>
      </w:r>
      <w:r w:rsidRPr="00C16010">
        <w:rPr>
          <w:rFonts w:ascii="Calibri" w:eastAsiaTheme="minorHAnsi" w:hAnsi="Calibri" w:cs="Calibri"/>
          <w:szCs w:val="22"/>
          <w:lang w:eastAsia="en-US"/>
        </w:rPr>
        <w:t xml:space="preserve"> of woman-centred care</w:t>
      </w:r>
      <w:r w:rsidR="0041659C">
        <w:rPr>
          <w:rFonts w:ascii="Calibri" w:eastAsiaTheme="minorHAnsi" w:hAnsi="Calibri" w:cs="Calibri"/>
          <w:szCs w:val="22"/>
          <w:lang w:eastAsia="en-US"/>
        </w:rPr>
        <w:t xml:space="preserve"> in Australian maternity services</w:t>
      </w:r>
      <w:r w:rsidRPr="00C16010">
        <w:rPr>
          <w:rFonts w:ascii="Calibri" w:eastAsiaTheme="minorHAnsi" w:hAnsi="Calibri" w:cs="Calibri"/>
          <w:szCs w:val="22"/>
          <w:lang w:eastAsia="en-US"/>
        </w:rPr>
        <w:t>.</w:t>
      </w:r>
    </w:p>
    <w:p w14:paraId="50157EED" w14:textId="77777777" w:rsidR="006D55ED" w:rsidRPr="006D55ED" w:rsidRDefault="006D55ED" w:rsidP="006D55ED">
      <w:pPr>
        <w:spacing w:after="120"/>
        <w:rPr>
          <w:lang w:eastAsia="zh-CN" w:bidi="th-TH"/>
        </w:rPr>
      </w:pPr>
    </w:p>
    <w:p w14:paraId="19729F66" w14:textId="77777777" w:rsidR="006D55ED" w:rsidRPr="006D55ED" w:rsidRDefault="006D55ED" w:rsidP="006D55ED">
      <w:pPr>
        <w:pStyle w:val="Bullets"/>
        <w:numPr>
          <w:ilvl w:val="0"/>
          <w:numId w:val="0"/>
        </w:numPr>
        <w:rPr>
          <w:szCs w:val="22"/>
        </w:rPr>
        <w:sectPr w:rsidR="006D55ED" w:rsidRPr="006D55ED" w:rsidSect="00ED561E">
          <w:headerReference w:type="even" r:id="rId21"/>
          <w:headerReference w:type="default" r:id="rId22"/>
          <w:footerReference w:type="default" r:id="rId23"/>
          <w:headerReference w:type="first" r:id="rId24"/>
          <w:pgSz w:w="11906" w:h="16838"/>
          <w:pgMar w:top="1134" w:right="964" w:bottom="1021" w:left="1077" w:header="709" w:footer="709" w:gutter="0"/>
          <w:pgNumType w:fmt="lowerRoman" w:start="1"/>
          <w:cols w:space="708"/>
          <w:docGrid w:linePitch="360"/>
        </w:sectPr>
      </w:pPr>
    </w:p>
    <w:p w14:paraId="15EFC55E" w14:textId="77777777" w:rsidR="006D55ED" w:rsidRDefault="006D55ED">
      <w:pPr>
        <w:rPr>
          <w:rFonts w:ascii="Calibri" w:eastAsiaTheme="majorEastAsia" w:hAnsi="Calibri" w:cstheme="majorBidi"/>
          <w:b/>
          <w:bCs/>
          <w:color w:val="0398D7"/>
          <w:sz w:val="28"/>
          <w:szCs w:val="28"/>
          <w:lang w:eastAsia="zh-CN" w:bidi="th-TH"/>
        </w:rPr>
      </w:pPr>
      <w:bookmarkStart w:id="234" w:name="_Toc115176163"/>
      <w:bookmarkStart w:id="235" w:name="_Toc115240276"/>
      <w:r>
        <w:rPr>
          <w:lang w:eastAsia="zh-CN" w:bidi="th-TH"/>
        </w:rPr>
        <w:br w:type="page"/>
      </w:r>
    </w:p>
    <w:p w14:paraId="5D9BC3A8" w14:textId="2F777C7E" w:rsidR="00821736" w:rsidRDefault="00821736" w:rsidP="00F66061">
      <w:pPr>
        <w:pStyle w:val="Heading1"/>
        <w:rPr>
          <w:lang w:eastAsia="zh-CN" w:bidi="th-TH"/>
        </w:rPr>
      </w:pPr>
      <w:bookmarkStart w:id="236" w:name="_Toc121415053"/>
      <w:r>
        <w:rPr>
          <w:lang w:eastAsia="zh-CN" w:bidi="th-TH"/>
        </w:rPr>
        <w:lastRenderedPageBreak/>
        <w:t>Introduction</w:t>
      </w:r>
      <w:bookmarkEnd w:id="236"/>
    </w:p>
    <w:p w14:paraId="03398880" w14:textId="73EC3E71" w:rsidR="008615D5" w:rsidRPr="004764A2" w:rsidRDefault="008615D5" w:rsidP="004764A2">
      <w:pPr>
        <w:spacing w:after="120"/>
        <w:rPr>
          <w:lang w:eastAsia="zh-CN" w:bidi="th-TH"/>
        </w:rPr>
      </w:pPr>
      <w:r w:rsidRPr="00C24842">
        <w:rPr>
          <w:i/>
          <w:lang w:eastAsia="zh-CN" w:bidi="th-TH"/>
        </w:rPr>
        <w:t>Woman-centred care: Strategic directions for Australian maternity services</w:t>
      </w:r>
      <w:r w:rsidRPr="004764A2">
        <w:rPr>
          <w:lang w:eastAsia="zh-CN" w:bidi="th-TH"/>
        </w:rPr>
        <w:t xml:space="preserve"> </w:t>
      </w:r>
      <w:r w:rsidRPr="008615D5">
        <w:rPr>
          <w:lang w:eastAsia="zh-CN" w:bidi="th-TH"/>
        </w:rPr>
        <w:t>(the Strategy)</w:t>
      </w:r>
      <w:r w:rsidR="004764A2" w:rsidRPr="004764A2">
        <w:rPr>
          <w:vertAlign w:val="superscript"/>
          <w:lang w:eastAsia="zh-CN" w:bidi="th-TH"/>
        </w:rPr>
        <w:fldChar w:fldCharType="begin"/>
      </w:r>
      <w:r w:rsidR="00F66EC6">
        <w:rPr>
          <w:vertAlign w:val="superscript"/>
          <w:lang w:eastAsia="zh-CN" w:bidi="th-TH"/>
        </w:rPr>
        <w:instrText xml:space="preserve"> ADDIN EN.CITE &lt;EndNote&gt;&lt;Cite&gt;&lt;Author&gt;COAG&lt;/Author&gt;&lt;Year&gt;2019&lt;/Year&gt;&lt;RecNum&gt;2&lt;/RecNum&gt;&lt;DisplayText&gt;&lt;style face="superscript"&gt;1&lt;/style&gt;&lt;/DisplayText&gt;&lt;record&gt;&lt;rec-number&gt;2&lt;/rec-number&gt;&lt;foreign-keys&gt;&lt;key app="EN" db-id="ewrsr2203a2a0veserrv55dezzwsepr5psw2" timestamp="1646088075"&gt;2&lt;/key&gt;&lt;/foreign-keys&gt;&lt;ref-type name="Report"&gt;27&lt;/ref-type&gt;&lt;contributors&gt;&lt;authors&gt;&lt;author&gt;COAG&lt;/author&gt;&lt;/authors&gt;&lt;/contributors&gt;&lt;titles&gt;&lt;title&gt;Woman-centred care: Strategic directions for Australian maternity services&lt;/title&gt;&lt;/titles&gt;&lt;dates&gt;&lt;year&gt;2019&lt;/year&gt;&lt;/dates&gt;&lt;pub-location&gt;Canberra&lt;/pub-location&gt;&lt;publisher&gt;COAG Health Council, Commonwealth Department of Health &lt;/publisher&gt;&lt;urls&gt;&lt;/urls&gt;&lt;/record&gt;&lt;/Cite&gt;&lt;/EndNote&gt;</w:instrText>
      </w:r>
      <w:r w:rsidR="004764A2" w:rsidRPr="004764A2">
        <w:rPr>
          <w:vertAlign w:val="superscript"/>
          <w:lang w:eastAsia="zh-CN" w:bidi="th-TH"/>
        </w:rPr>
        <w:fldChar w:fldCharType="separate"/>
      </w:r>
      <w:r w:rsidR="004764A2">
        <w:rPr>
          <w:noProof/>
          <w:vertAlign w:val="superscript"/>
          <w:lang w:eastAsia="zh-CN" w:bidi="th-TH"/>
        </w:rPr>
        <w:t>1</w:t>
      </w:r>
      <w:r w:rsidR="004764A2" w:rsidRPr="004764A2">
        <w:rPr>
          <w:vertAlign w:val="superscript"/>
          <w:lang w:eastAsia="zh-CN" w:bidi="th-TH"/>
        </w:rPr>
        <w:fldChar w:fldCharType="end"/>
      </w:r>
      <w:r w:rsidR="004764A2">
        <w:rPr>
          <w:vertAlign w:val="superscript"/>
          <w:lang w:eastAsia="zh-CN" w:bidi="th-TH"/>
        </w:rPr>
        <w:t xml:space="preserve"> </w:t>
      </w:r>
      <w:r w:rsidRPr="004764A2">
        <w:rPr>
          <w:lang w:eastAsia="zh-CN" w:bidi="th-TH"/>
        </w:rPr>
        <w:t>was released in 2019</w:t>
      </w:r>
      <w:r w:rsidR="004764A2">
        <w:rPr>
          <w:lang w:eastAsia="zh-CN" w:bidi="th-TH"/>
        </w:rPr>
        <w:t xml:space="preserve">, </w:t>
      </w:r>
      <w:r w:rsidR="005C6D4F">
        <w:rPr>
          <w:lang w:eastAsia="zh-CN" w:bidi="th-TH"/>
        </w:rPr>
        <w:t>superseding</w:t>
      </w:r>
      <w:r w:rsidRPr="004764A2">
        <w:rPr>
          <w:lang w:eastAsia="zh-CN" w:bidi="th-TH"/>
        </w:rPr>
        <w:t xml:space="preserve"> the earlier National Maternity Services Plan</w:t>
      </w:r>
      <w:r w:rsidRPr="004764A2">
        <w:rPr>
          <w:vertAlign w:val="superscript"/>
          <w:lang w:eastAsia="zh-CN" w:bidi="th-TH"/>
        </w:rPr>
        <w:fldChar w:fldCharType="begin"/>
      </w:r>
      <w:r w:rsidR="00F66EC6">
        <w:rPr>
          <w:vertAlign w:val="superscript"/>
          <w:lang w:eastAsia="zh-CN" w:bidi="th-TH"/>
        </w:rPr>
        <w:instrText xml:space="preserve"> ADDIN EN.CITE &lt;EndNote&gt;&lt;Cite&gt;&lt;Author&gt;COAG&lt;/Author&gt;&lt;Year&gt;2010&lt;/Year&gt;&lt;RecNum&gt;14&lt;/RecNum&gt;&lt;DisplayText&gt;&lt;style face="superscript"&gt;2&lt;/style&gt;&lt;/DisplayText&gt;&lt;record&gt;&lt;rec-number&gt;14&lt;/rec-number&gt;&lt;foreign-keys&gt;&lt;key app="EN" db-id="ewrsr2203a2a0veserrv55dezzwsepr5psw2" timestamp="1647226822"&gt;14&lt;/key&gt;&lt;/foreign-keys&gt;&lt;ref-type name="Report"&gt;27&lt;/ref-type&gt;&lt;contributors&gt;&lt;authors&gt;&lt;author&gt;COAG,&lt;/author&gt;&lt;/authors&gt;&lt;/contributors&gt;&lt;titles&gt;&lt;title&gt;National Maternity Services Plan&lt;/title&gt;&lt;/titles&gt;&lt;dates&gt;&lt;year&gt;2010&lt;/year&gt;&lt;/dates&gt;&lt;pub-location&gt;Canberra&lt;/pub-location&gt;&lt;publisher&gt;COAG Health Council, Commonwealth Department of Health &lt;/publisher&gt;&lt;urls&gt;&lt;/urls&gt;&lt;/record&gt;&lt;/Cite&gt;&lt;/EndNote&gt;</w:instrText>
      </w:r>
      <w:r w:rsidRPr="004764A2">
        <w:rPr>
          <w:vertAlign w:val="superscript"/>
          <w:lang w:eastAsia="zh-CN" w:bidi="th-TH"/>
        </w:rPr>
        <w:fldChar w:fldCharType="separate"/>
      </w:r>
      <w:r w:rsidR="004764A2">
        <w:rPr>
          <w:noProof/>
          <w:vertAlign w:val="superscript"/>
          <w:lang w:eastAsia="zh-CN" w:bidi="th-TH"/>
        </w:rPr>
        <w:t>2</w:t>
      </w:r>
      <w:r w:rsidRPr="004764A2">
        <w:rPr>
          <w:vertAlign w:val="superscript"/>
          <w:lang w:eastAsia="zh-CN" w:bidi="th-TH"/>
        </w:rPr>
        <w:fldChar w:fldCharType="end"/>
      </w:r>
      <w:r w:rsidR="004764A2">
        <w:rPr>
          <w:lang w:eastAsia="zh-CN" w:bidi="th-TH"/>
        </w:rPr>
        <w:t>. The Strategy</w:t>
      </w:r>
      <w:r w:rsidRPr="004764A2">
        <w:rPr>
          <w:lang w:eastAsia="zh-CN" w:bidi="th-TH"/>
        </w:rPr>
        <w:t xml:space="preserve"> </w:t>
      </w:r>
      <w:r w:rsidR="004764A2" w:rsidRPr="004764A2">
        <w:rPr>
          <w:lang w:eastAsia="zh-CN" w:bidi="th-TH"/>
        </w:rPr>
        <w:t>provides overarching national strategic direction to support Australia’s maternity care system</w:t>
      </w:r>
      <w:r w:rsidR="004764A2">
        <w:rPr>
          <w:lang w:eastAsia="zh-CN" w:bidi="th-TH"/>
        </w:rPr>
        <w:t xml:space="preserve"> and </w:t>
      </w:r>
      <w:r w:rsidRPr="004764A2">
        <w:rPr>
          <w:lang w:eastAsia="zh-CN" w:bidi="th-TH"/>
        </w:rPr>
        <w:t>recommends enabling activities to improve service delivery and outcomes in line with contemporary practice, evidence and international developments. The Strategy is underpinned by four equally weighted values: safety, access, choice and respect (</w:t>
      </w:r>
      <w:r w:rsidR="00445254" w:rsidRPr="00240432">
        <w:rPr>
          <w:szCs w:val="22"/>
          <w:lang w:eastAsia="zh-CN" w:bidi="th-TH"/>
        </w:rPr>
        <w:fldChar w:fldCharType="begin"/>
      </w:r>
      <w:r w:rsidR="00445254" w:rsidRPr="00C24842">
        <w:rPr>
          <w:szCs w:val="22"/>
          <w:lang w:eastAsia="zh-CN" w:bidi="th-TH"/>
        </w:rPr>
        <w:instrText xml:space="preserve"> REF _Ref106284007 </w:instrText>
      </w:r>
      <w:r w:rsidR="00743F8C">
        <w:rPr>
          <w:szCs w:val="22"/>
          <w:lang w:eastAsia="zh-CN" w:bidi="th-TH"/>
        </w:rPr>
        <w:instrText xml:space="preserve"> \* MERGEFORMAT </w:instrText>
      </w:r>
      <w:r w:rsidR="00445254" w:rsidRPr="00240432">
        <w:rPr>
          <w:szCs w:val="22"/>
          <w:lang w:eastAsia="zh-CN" w:bidi="th-TH"/>
        </w:rPr>
        <w:fldChar w:fldCharType="separate"/>
      </w:r>
      <w:r w:rsidR="00296988" w:rsidRPr="00296988">
        <w:rPr>
          <w:szCs w:val="22"/>
        </w:rPr>
        <w:t xml:space="preserve">Figure </w:t>
      </w:r>
      <w:r w:rsidR="00296988" w:rsidRPr="00296988">
        <w:rPr>
          <w:noProof/>
          <w:szCs w:val="22"/>
        </w:rPr>
        <w:t>1</w:t>
      </w:r>
      <w:r w:rsidR="00445254" w:rsidRPr="00240432">
        <w:rPr>
          <w:szCs w:val="22"/>
          <w:lang w:eastAsia="zh-CN" w:bidi="th-TH"/>
        </w:rPr>
        <w:fldChar w:fldCharType="end"/>
      </w:r>
      <w:r w:rsidRPr="004764A2">
        <w:rPr>
          <w:lang w:eastAsia="zh-CN" w:bidi="th-TH"/>
        </w:rPr>
        <w:t>).</w:t>
      </w:r>
    </w:p>
    <w:p w14:paraId="2D6A0ED9" w14:textId="5132FCD3" w:rsidR="008615D5" w:rsidRPr="00484694" w:rsidRDefault="008615D5" w:rsidP="008615D5">
      <w:pPr>
        <w:pStyle w:val="Caption"/>
        <w:rPr>
          <w:rFonts w:cstheme="minorHAnsi"/>
          <w:sz w:val="20"/>
          <w:szCs w:val="20"/>
          <w:shd w:val="clear" w:color="auto" w:fill="FFFFFF"/>
        </w:rPr>
      </w:pPr>
      <w:bookmarkStart w:id="237" w:name="_Ref106284007"/>
      <w:bookmarkStart w:id="238" w:name="_Toc104369212"/>
      <w:bookmarkStart w:id="239" w:name="_Toc115176209"/>
      <w:bookmarkStart w:id="240" w:name="_Toc121415167"/>
      <w:r w:rsidRPr="00484694">
        <w:rPr>
          <w:sz w:val="20"/>
          <w:szCs w:val="20"/>
        </w:rPr>
        <w:t xml:space="preserve">Figure </w:t>
      </w:r>
      <w:r w:rsidR="00A64FC5" w:rsidRPr="00484694">
        <w:rPr>
          <w:sz w:val="20"/>
          <w:szCs w:val="20"/>
        </w:rPr>
        <w:fldChar w:fldCharType="begin"/>
      </w:r>
      <w:r w:rsidR="00A64FC5" w:rsidRPr="00484694">
        <w:rPr>
          <w:sz w:val="20"/>
          <w:szCs w:val="20"/>
        </w:rPr>
        <w:instrText xml:space="preserve"> SEQ Figure \* ARABIC </w:instrText>
      </w:r>
      <w:r w:rsidR="00A64FC5" w:rsidRPr="00484694">
        <w:rPr>
          <w:sz w:val="20"/>
          <w:szCs w:val="20"/>
        </w:rPr>
        <w:fldChar w:fldCharType="separate"/>
      </w:r>
      <w:r w:rsidR="00296988">
        <w:rPr>
          <w:noProof/>
          <w:sz w:val="20"/>
          <w:szCs w:val="20"/>
        </w:rPr>
        <w:t>1</w:t>
      </w:r>
      <w:r w:rsidR="00A64FC5" w:rsidRPr="00484694">
        <w:rPr>
          <w:noProof/>
          <w:sz w:val="20"/>
          <w:szCs w:val="20"/>
        </w:rPr>
        <w:fldChar w:fldCharType="end"/>
      </w:r>
      <w:bookmarkEnd w:id="237"/>
      <w:r w:rsidRPr="00484694">
        <w:rPr>
          <w:sz w:val="20"/>
          <w:szCs w:val="20"/>
        </w:rPr>
        <w:tab/>
      </w:r>
      <w:r w:rsidRPr="00484694">
        <w:rPr>
          <w:rFonts w:cstheme="minorHAnsi"/>
          <w:sz w:val="20"/>
          <w:szCs w:val="20"/>
          <w:shd w:val="clear" w:color="auto" w:fill="FFFFFF"/>
        </w:rPr>
        <w:t>Woman-centred care - values and principles</w:t>
      </w:r>
      <w:bookmarkEnd w:id="238"/>
      <w:bookmarkEnd w:id="239"/>
      <w:bookmarkEnd w:id="240"/>
    </w:p>
    <w:p w14:paraId="630500B5" w14:textId="666C35D9" w:rsidR="00AA3CF3" w:rsidRDefault="00AA3CF3" w:rsidP="00AA3CF3">
      <w:pPr>
        <w:spacing w:before="120"/>
        <w:jc w:val="center"/>
        <w:rPr>
          <w:rFonts w:cstheme="minorHAnsi"/>
          <w:szCs w:val="22"/>
          <w:shd w:val="clear" w:color="auto" w:fill="FFFFFF"/>
        </w:rPr>
      </w:pPr>
      <w:r w:rsidRPr="002D1FFB">
        <w:rPr>
          <w:noProof/>
        </w:rPr>
        <w:drawing>
          <wp:inline distT="0" distB="0" distL="0" distR="0" wp14:anchorId="2DF3A98A" wp14:editId="22E1AFAA">
            <wp:extent cx="6116955" cy="6041515"/>
            <wp:effectExtent l="0" t="0" r="0" b="0"/>
            <wp:docPr id="14" name="Picture 14" descr="Figure 1 is a diagram representing the values (safety, respect, choice and access) that are the principles and strategic directions based on current evidence and feedback provided by women and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eelv6 6Aug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6955" cy="6041515"/>
                    </a:xfrm>
                    <a:prstGeom prst="rect">
                      <a:avLst/>
                    </a:prstGeom>
                  </pic:spPr>
                </pic:pic>
              </a:graphicData>
            </a:graphic>
          </wp:inline>
        </w:drawing>
      </w:r>
    </w:p>
    <w:p w14:paraId="51F9091A" w14:textId="77777777" w:rsidR="00AA3CF3" w:rsidRPr="007E21EF" w:rsidRDefault="00AA3CF3" w:rsidP="00AA3CF3">
      <w:pPr>
        <w:autoSpaceDE w:val="0"/>
        <w:autoSpaceDN w:val="0"/>
        <w:adjustRightInd w:val="0"/>
        <w:spacing w:before="240"/>
        <w:rPr>
          <w:rFonts w:cstheme="minorHAnsi"/>
          <w:sz w:val="18"/>
          <w:szCs w:val="18"/>
          <w:shd w:val="clear" w:color="auto" w:fill="FFFFFF"/>
        </w:rPr>
      </w:pPr>
      <w:r w:rsidRPr="007E21EF">
        <w:rPr>
          <w:rFonts w:cstheme="minorHAnsi"/>
          <w:sz w:val="18"/>
          <w:szCs w:val="18"/>
          <w:shd w:val="clear" w:color="auto" w:fill="FFFFFF"/>
        </w:rPr>
        <w:t xml:space="preserve">Reproduced from the </w:t>
      </w:r>
      <w:r w:rsidRPr="007E21EF">
        <w:rPr>
          <w:rFonts w:cstheme="minorHAnsi"/>
          <w:i/>
          <w:sz w:val="18"/>
          <w:szCs w:val="18"/>
          <w:lang w:eastAsia="zh-CN" w:bidi="th-TH"/>
        </w:rPr>
        <w:t>Woman-Centred Care: Strategic Directions for Australian Maternity Services</w:t>
      </w:r>
      <w:r w:rsidRPr="007E21EF">
        <w:rPr>
          <w:rFonts w:cstheme="minorHAnsi"/>
          <w:sz w:val="18"/>
          <w:szCs w:val="18"/>
          <w:shd w:val="clear" w:color="auto" w:fill="FFFFFF"/>
        </w:rPr>
        <w:t xml:space="preserve">, 2019.  </w:t>
      </w:r>
      <w:r w:rsidRPr="007E21EF">
        <w:rPr>
          <w:sz w:val="18"/>
          <w:szCs w:val="18"/>
        </w:rPr>
        <w:t xml:space="preserve">The diagram gives a visual representation of the purpose, values and principles outlined in the Strategy. The inner ring represents the purpose of the document and is surrounded by the values. The rays present the principles and the outer ring the </w:t>
      </w:r>
      <w:r w:rsidRPr="007E21EF">
        <w:rPr>
          <w:i/>
          <w:sz w:val="18"/>
          <w:szCs w:val="18"/>
        </w:rPr>
        <w:t>Respectful Maternity Charter: the Universal Rights of Childbearing Women.</w:t>
      </w:r>
    </w:p>
    <w:p w14:paraId="4AC1850B" w14:textId="639EC150" w:rsidR="001A1233" w:rsidRPr="00572D07" w:rsidRDefault="00CD2277" w:rsidP="001A1233">
      <w:pPr>
        <w:pStyle w:val="Heading2"/>
        <w:rPr>
          <w:lang w:eastAsia="zh-CN" w:bidi="th-TH"/>
        </w:rPr>
      </w:pPr>
      <w:bookmarkStart w:id="241" w:name="_Toc121415054"/>
      <w:r>
        <w:rPr>
          <w:lang w:eastAsia="zh-CN" w:bidi="th-TH"/>
        </w:rPr>
        <w:lastRenderedPageBreak/>
        <w:t>Background</w:t>
      </w:r>
      <w:bookmarkEnd w:id="241"/>
    </w:p>
    <w:p w14:paraId="51CEF40E" w14:textId="32AC66A0" w:rsidR="000F67EA" w:rsidRPr="004764A2" w:rsidRDefault="00473435" w:rsidP="004764A2">
      <w:pPr>
        <w:spacing w:after="120"/>
        <w:rPr>
          <w:lang w:eastAsia="zh-CN" w:bidi="th-TH"/>
        </w:rPr>
      </w:pPr>
      <w:r>
        <w:rPr>
          <w:lang w:eastAsia="zh-CN" w:bidi="th-TH"/>
        </w:rPr>
        <w:t>About</w:t>
      </w:r>
      <w:r w:rsidRPr="004764A2">
        <w:rPr>
          <w:lang w:eastAsia="zh-CN" w:bidi="th-TH"/>
        </w:rPr>
        <w:t xml:space="preserve"> </w:t>
      </w:r>
      <w:r w:rsidR="00D02859" w:rsidRPr="004764A2">
        <w:rPr>
          <w:lang w:eastAsia="zh-CN" w:bidi="th-TH"/>
        </w:rPr>
        <w:t xml:space="preserve">300,000 women give birth in Australia each year. </w:t>
      </w:r>
      <w:r w:rsidR="008837D0">
        <w:rPr>
          <w:lang w:eastAsia="zh-CN" w:bidi="th-TH"/>
        </w:rPr>
        <w:t>I</w:t>
      </w:r>
      <w:r>
        <w:rPr>
          <w:lang w:eastAsia="zh-CN" w:bidi="th-TH"/>
        </w:rPr>
        <w:t xml:space="preserve">n 2019, </w:t>
      </w:r>
      <w:r w:rsidR="00D02859" w:rsidRPr="004764A2">
        <w:rPr>
          <w:lang w:eastAsia="zh-CN" w:bidi="th-TH"/>
        </w:rPr>
        <w:t xml:space="preserve">approximately 75% </w:t>
      </w:r>
      <w:r>
        <w:rPr>
          <w:lang w:eastAsia="zh-CN" w:bidi="th-TH"/>
        </w:rPr>
        <w:t>of these women gave</w:t>
      </w:r>
      <w:r w:rsidR="00D02859" w:rsidRPr="004764A2">
        <w:rPr>
          <w:lang w:eastAsia="zh-CN" w:bidi="th-TH"/>
        </w:rPr>
        <w:t xml:space="preserve"> birth in public hospitals with a mixture of midwife/obstetric care, and 25% </w:t>
      </w:r>
      <w:r>
        <w:rPr>
          <w:lang w:eastAsia="zh-CN" w:bidi="th-TH"/>
        </w:rPr>
        <w:t>gave</w:t>
      </w:r>
      <w:r w:rsidRPr="004764A2">
        <w:rPr>
          <w:lang w:eastAsia="zh-CN" w:bidi="th-TH"/>
        </w:rPr>
        <w:t xml:space="preserve"> </w:t>
      </w:r>
      <w:r w:rsidR="00D02859" w:rsidRPr="004764A2">
        <w:rPr>
          <w:lang w:eastAsia="zh-CN" w:bidi="th-TH"/>
        </w:rPr>
        <w:t>birth in private hospitals under obstetric-led care. Maternity care is funded through a mix of federal, state and territory government and non-government contributions (including individual contributions)</w:t>
      </w:r>
      <w:r w:rsidR="00125BF4" w:rsidRPr="004764A2">
        <w:rPr>
          <w:lang w:eastAsia="zh-CN" w:bidi="th-TH"/>
        </w:rPr>
        <w:t>, with planning and delivery undertaken by the states and territories within centralised, decentralised or mixed governance model</w:t>
      </w:r>
      <w:r w:rsidR="000F67EA" w:rsidRPr="004764A2">
        <w:rPr>
          <w:lang w:eastAsia="zh-CN" w:bidi="th-TH"/>
        </w:rPr>
        <w:t>s</w:t>
      </w:r>
      <w:r w:rsidR="00106DD6" w:rsidRPr="004764A2">
        <w:rPr>
          <w:lang w:eastAsia="zh-CN" w:bidi="th-TH"/>
        </w:rPr>
        <w:fldChar w:fldCharType="begin">
          <w:fldData xml:space="preserve">PEVuZE5vdGU+PENpdGU+PEF1dGhvcj5EYWhsZW48L0F1dGhvcj48WWVhcj4yMDIyPC9ZZWFyPjxS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</w:fldData>
        </w:fldChar>
      </w:r>
      <w:r w:rsidR="004764A2">
        <w:rPr>
          <w:lang w:eastAsia="zh-CN" w:bidi="th-TH"/>
        </w:rPr>
        <w:instrText xml:space="preserve"> ADDIN EN.CITE </w:instrText>
      </w:r>
      <w:r w:rsidR="004764A2">
        <w:rPr>
          <w:lang w:eastAsia="zh-CN" w:bidi="th-TH"/>
        </w:rPr>
        <w:fldChar w:fldCharType="begin">
          <w:fldData xml:space="preserve">PEVuZE5vdGU+PENpdGU+PEF1dGhvcj5EYWhsZW48L0F1dGhvcj48WWVhcj4yMDIyPC9ZZWFyPjxS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</w:fldData>
        </w:fldChar>
      </w:r>
      <w:r w:rsidR="004764A2">
        <w:rPr>
          <w:lang w:eastAsia="zh-CN" w:bidi="th-TH"/>
        </w:rPr>
        <w:instrText xml:space="preserve"> ADDIN EN.CITE.DATA </w:instrText>
      </w:r>
      <w:r w:rsidR="004764A2">
        <w:rPr>
          <w:lang w:eastAsia="zh-CN" w:bidi="th-TH"/>
        </w:rPr>
      </w:r>
      <w:r w:rsidR="004764A2">
        <w:rPr>
          <w:lang w:eastAsia="zh-CN" w:bidi="th-TH"/>
        </w:rPr>
        <w:fldChar w:fldCharType="end"/>
      </w:r>
      <w:r w:rsidR="00106DD6" w:rsidRPr="004764A2">
        <w:rPr>
          <w:lang w:eastAsia="zh-CN" w:bidi="th-TH"/>
        </w:rPr>
      </w:r>
      <w:r w:rsidR="00106DD6" w:rsidRPr="004764A2">
        <w:rPr>
          <w:lang w:eastAsia="zh-CN" w:bidi="th-TH"/>
        </w:rPr>
        <w:fldChar w:fldCharType="separate"/>
      </w:r>
      <w:r w:rsidR="004764A2" w:rsidRPr="004764A2">
        <w:rPr>
          <w:noProof/>
          <w:vertAlign w:val="superscript"/>
          <w:lang w:eastAsia="zh-CN" w:bidi="th-TH"/>
        </w:rPr>
        <w:t>3,4</w:t>
      </w:r>
      <w:r w:rsidR="00106DD6" w:rsidRPr="004764A2">
        <w:rPr>
          <w:lang w:eastAsia="zh-CN" w:bidi="th-TH"/>
        </w:rPr>
        <w:fldChar w:fldCharType="end"/>
      </w:r>
      <w:r w:rsidR="00125BF4" w:rsidRPr="004764A2">
        <w:rPr>
          <w:lang w:eastAsia="zh-CN" w:bidi="th-TH"/>
        </w:rPr>
        <w:t>.</w:t>
      </w:r>
    </w:p>
    <w:p w14:paraId="46C4861D" w14:textId="18867EE6" w:rsidR="002A1294" w:rsidRPr="004764A2" w:rsidRDefault="008615D5" w:rsidP="004764A2">
      <w:pPr>
        <w:spacing w:after="120"/>
        <w:rPr>
          <w:lang w:eastAsia="zh-CN" w:bidi="th-TH"/>
        </w:rPr>
      </w:pPr>
      <w:r w:rsidRPr="004764A2">
        <w:rPr>
          <w:lang w:eastAsia="zh-CN" w:bidi="th-TH"/>
        </w:rPr>
        <w:t>The Strategy acknowledges th</w:t>
      </w:r>
      <w:r w:rsidR="00750D05" w:rsidRPr="004764A2">
        <w:rPr>
          <w:lang w:eastAsia="zh-CN" w:bidi="th-TH"/>
        </w:rPr>
        <w:t>e</w:t>
      </w:r>
      <w:r w:rsidRPr="004764A2">
        <w:rPr>
          <w:lang w:eastAsia="zh-CN" w:bidi="th-TH"/>
        </w:rPr>
        <w:t xml:space="preserve"> complexity of Australia’s maternity funding mechanisms and service systems, and recognises that woman-centred services are central to delivery of safe</w:t>
      </w:r>
      <w:r w:rsidR="00750D05" w:rsidRPr="004764A2">
        <w:rPr>
          <w:lang w:eastAsia="zh-CN" w:bidi="th-TH"/>
        </w:rPr>
        <w:t>,</w:t>
      </w:r>
      <w:r w:rsidRPr="004764A2">
        <w:rPr>
          <w:lang w:eastAsia="zh-CN" w:bidi="th-TH"/>
        </w:rPr>
        <w:t xml:space="preserve"> high quality maternity care. </w:t>
      </w:r>
      <w:r w:rsidR="007B1D61" w:rsidRPr="004764A2">
        <w:rPr>
          <w:lang w:eastAsia="zh-CN" w:bidi="th-TH"/>
        </w:rPr>
        <w:t>The values, principles and directions of the Strategy align with national and intern</w:t>
      </w:r>
      <w:r w:rsidR="002A1294" w:rsidRPr="004764A2">
        <w:rPr>
          <w:lang w:eastAsia="zh-CN" w:bidi="th-TH"/>
        </w:rPr>
        <w:t>ational policies and frameworks</w:t>
      </w:r>
      <w:r w:rsidR="000F67EA" w:rsidRPr="004764A2">
        <w:rPr>
          <w:lang w:eastAsia="zh-CN" w:bidi="th-TH"/>
        </w:rPr>
        <w:t xml:space="preserve"> (</w:t>
      </w:r>
      <w:r w:rsidR="002A1294" w:rsidRPr="004764A2">
        <w:rPr>
          <w:lang w:eastAsia="zh-CN" w:bidi="th-TH"/>
        </w:rPr>
        <w:fldChar w:fldCharType="begin"/>
      </w:r>
      <w:r w:rsidR="002A1294" w:rsidRPr="004764A2">
        <w:rPr>
          <w:lang w:eastAsia="zh-CN" w:bidi="th-TH"/>
        </w:rPr>
        <w:instrText xml:space="preserve"> REF _Ref117798648 \h </w:instrText>
      </w:r>
      <w:r w:rsidR="00106DD6" w:rsidRPr="004764A2">
        <w:rPr>
          <w:lang w:eastAsia="zh-CN" w:bidi="th-TH"/>
        </w:rPr>
        <w:instrText xml:space="preserve"> \* MERGEFORMAT </w:instrText>
      </w:r>
      <w:r w:rsidR="002A1294" w:rsidRPr="004764A2">
        <w:rPr>
          <w:lang w:eastAsia="zh-CN" w:bidi="th-TH"/>
        </w:rPr>
      </w:r>
      <w:r w:rsidR="002A1294" w:rsidRPr="004764A2">
        <w:rPr>
          <w:lang w:eastAsia="zh-CN" w:bidi="th-TH"/>
        </w:rPr>
        <w:fldChar w:fldCharType="separate"/>
      </w:r>
      <w:r w:rsidR="00296988" w:rsidRPr="00296988">
        <w:rPr>
          <w:lang w:eastAsia="zh-CN" w:bidi="th-TH"/>
        </w:rPr>
        <w:t>Figure 2</w:t>
      </w:r>
      <w:r w:rsidR="002A1294" w:rsidRPr="004764A2">
        <w:rPr>
          <w:lang w:eastAsia="zh-CN" w:bidi="th-TH"/>
        </w:rPr>
        <w:fldChar w:fldCharType="end"/>
      </w:r>
      <w:r w:rsidR="000F67EA" w:rsidRPr="004764A2">
        <w:rPr>
          <w:lang w:eastAsia="zh-CN" w:bidi="th-TH"/>
        </w:rPr>
        <w:t>)</w:t>
      </w:r>
      <w:r w:rsidR="002A1294" w:rsidRPr="004764A2">
        <w:rPr>
          <w:lang w:eastAsia="zh-CN" w:bidi="th-TH"/>
        </w:rPr>
        <w:t>.</w:t>
      </w:r>
    </w:p>
    <w:p w14:paraId="6D9E06C5" w14:textId="18CB84E3" w:rsidR="002A1294" w:rsidRDefault="002A1294" w:rsidP="002A1294">
      <w:pPr>
        <w:rPr>
          <w:lang w:eastAsia="zh-CN"/>
        </w:rPr>
      </w:pPr>
    </w:p>
    <w:p w14:paraId="59767F9E" w14:textId="0CB3BDFC" w:rsidR="002A1294" w:rsidRPr="00484694" w:rsidRDefault="002A1294" w:rsidP="002A1294">
      <w:pPr>
        <w:pStyle w:val="Caption"/>
        <w:rPr>
          <w:rFonts w:cstheme="minorHAnsi"/>
          <w:sz w:val="20"/>
          <w:szCs w:val="20"/>
          <w:shd w:val="clear" w:color="auto" w:fill="FFFFFF"/>
        </w:rPr>
      </w:pPr>
      <w:bookmarkStart w:id="242" w:name="_Ref117798648"/>
      <w:bookmarkStart w:id="243" w:name="_Toc121415168"/>
      <w:r w:rsidRPr="00484694">
        <w:rPr>
          <w:sz w:val="20"/>
          <w:szCs w:val="20"/>
        </w:rPr>
        <w:t xml:space="preserve">Figure </w:t>
      </w:r>
      <w:r w:rsidR="00A64FC5" w:rsidRPr="00484694">
        <w:rPr>
          <w:sz w:val="20"/>
          <w:szCs w:val="20"/>
        </w:rPr>
        <w:fldChar w:fldCharType="begin"/>
      </w:r>
      <w:r w:rsidR="00A64FC5" w:rsidRPr="00484694">
        <w:rPr>
          <w:sz w:val="20"/>
          <w:szCs w:val="20"/>
        </w:rPr>
        <w:instrText xml:space="preserve"> SEQ Figure \* ARABIC </w:instrText>
      </w:r>
      <w:r w:rsidR="00A64FC5" w:rsidRPr="00484694">
        <w:rPr>
          <w:sz w:val="20"/>
          <w:szCs w:val="20"/>
        </w:rPr>
        <w:fldChar w:fldCharType="separate"/>
      </w:r>
      <w:r w:rsidR="00296988">
        <w:rPr>
          <w:noProof/>
          <w:sz w:val="20"/>
          <w:szCs w:val="20"/>
        </w:rPr>
        <w:t>2</w:t>
      </w:r>
      <w:r w:rsidR="00A64FC5" w:rsidRPr="00484694">
        <w:rPr>
          <w:noProof/>
          <w:sz w:val="20"/>
          <w:szCs w:val="20"/>
        </w:rPr>
        <w:fldChar w:fldCharType="end"/>
      </w:r>
      <w:bookmarkEnd w:id="242"/>
      <w:r w:rsidRPr="00484694">
        <w:rPr>
          <w:sz w:val="20"/>
          <w:szCs w:val="20"/>
        </w:rPr>
        <w:tab/>
      </w:r>
      <w:r w:rsidRPr="00484694">
        <w:rPr>
          <w:rFonts w:cstheme="minorHAnsi"/>
          <w:sz w:val="20"/>
          <w:szCs w:val="20"/>
          <w:shd w:val="clear" w:color="auto" w:fill="FFFFFF"/>
        </w:rPr>
        <w:t xml:space="preserve">Examples of </w:t>
      </w:r>
      <w:r w:rsidRPr="00484694">
        <w:rPr>
          <w:sz w:val="20"/>
          <w:szCs w:val="20"/>
          <w:lang w:eastAsia="zh-CN"/>
        </w:rPr>
        <w:t>national and international policies and frameworks that align with the Strategy</w:t>
      </w:r>
      <w:bookmarkEnd w:id="243"/>
    </w:p>
    <w:p w14:paraId="07F06310" w14:textId="77BA01EB" w:rsidR="00BE7642" w:rsidRDefault="008837D0" w:rsidP="003632C2">
      <w:pPr>
        <w:jc w:val="center"/>
        <w:rPr>
          <w:lang w:eastAsia="zh-CN"/>
        </w:rPr>
      </w:pPr>
      <w:r w:rsidRPr="00BE7642">
        <w:rPr>
          <w:noProof/>
        </w:rPr>
        <w:drawing>
          <wp:inline distT="0" distB="0" distL="0" distR="0" wp14:anchorId="35E87B79" wp14:editId="724D1E3F">
            <wp:extent cx="5067300" cy="3582757"/>
            <wp:effectExtent l="0" t="0" r="0" b="0"/>
            <wp:docPr id="4" name="Picture 4" descr="Examples of policies and frameworks that align with the strategy are&quot; National Health Reform Agreement 2020-2025; National Agreement on Closing the Gap 2020; National Aboriginal and Torres Strait Islander Health Workforce strategic Framework and Implementation Plan 2021-2031; National Women's Health Strategy 2020-2030; Fifth National Mental Health and Suicide Prevention Plan 2017-2022; National Mental Health Workforce Strategy (under development); National Stillbirth Action and Implementation Plan 2020; National Breastfeeding Strategy: 2019 and beyond; Cultural Safety in Healthcare for Indigenous Australia: Monitoring Framework; WHO recommendations on maternal and newborn care for a positive postnatal experience 2022; WHO Guide for integration of perinatal mental health in maternal and child health services 2022; Related State and Territory strategies, policies and guid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s of policies and frameworks that align with the strategy are&quot; National Health Reform Agreement 2020-2025; National Agreement on Closing the Gap 2020; National Aboriginal and Torres Strait Islander Health Workforce strategic Framework and Implementation Plan 2021-2031; National Women's Health Strategy 2020-2030; Fifth National Mental Health and Suicide Prevention Plan 2017-2022; National Mental Health Workforce Strategy (under development); National Stillbirth Action and Implementation Plan 2020; National Breastfeeding Strategy: 2019 and beyond; Cultural Safety in Healthcare for Indigenous Australia: Monitoring Framework; WHO recommendations on maternal and newborn care for a positive postnatal experience 2022; WHO Guide for integration of perinatal mental health in maternal and child health services 2022; Related State and Territory strategies, policies and guidelin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4283" cy="3587694"/>
                    </a:xfrm>
                    <a:prstGeom prst="rect">
                      <a:avLst/>
                    </a:prstGeom>
                    <a:noFill/>
                    <a:ln>
                      <a:noFill/>
                    </a:ln>
                  </pic:spPr>
                </pic:pic>
              </a:graphicData>
            </a:graphic>
          </wp:inline>
        </w:drawing>
      </w:r>
    </w:p>
    <w:p w14:paraId="44A009A4" w14:textId="1AC4B8C0" w:rsidR="002A1294" w:rsidRDefault="002A1294" w:rsidP="003632C2">
      <w:pPr>
        <w:jc w:val="center"/>
        <w:rPr>
          <w:lang w:eastAsia="zh-CN"/>
        </w:rPr>
      </w:pPr>
    </w:p>
    <w:p w14:paraId="79FF14C6" w14:textId="1139AFC8" w:rsidR="00BE7642" w:rsidRDefault="00BE7642" w:rsidP="003632C2">
      <w:pPr>
        <w:jc w:val="center"/>
        <w:rPr>
          <w:lang w:eastAsia="zh-CN"/>
        </w:rPr>
      </w:pPr>
    </w:p>
    <w:p w14:paraId="19C49CF8" w14:textId="5D76C0F4" w:rsidR="001A1233" w:rsidRDefault="00F155B5" w:rsidP="00F155B5">
      <w:pPr>
        <w:pStyle w:val="Heading2"/>
      </w:pPr>
      <w:bookmarkStart w:id="244" w:name="_Toc121415055"/>
      <w:r>
        <w:t>The purpose and structure of this report</w:t>
      </w:r>
      <w:bookmarkEnd w:id="244"/>
    </w:p>
    <w:p w14:paraId="759935EA" w14:textId="1AE9E7F6" w:rsidR="00CD2277" w:rsidRDefault="00CD2277" w:rsidP="00CD2277">
      <w:pPr>
        <w:spacing w:after="120"/>
        <w:rPr>
          <w:lang w:eastAsia="zh-CN" w:bidi="th-TH"/>
        </w:rPr>
      </w:pPr>
      <w:r>
        <w:rPr>
          <w:lang w:eastAsia="zh-CN" w:bidi="th-TH"/>
        </w:rPr>
        <w:t>The Department of Health and Aged Care engaged the Centre for Health Service Development, Australian Health Services Research Institute, University of Wollongong, to deliver a Baseline Report for the Strategy. The Baseline Report has been delivered in two parts.</w:t>
      </w:r>
    </w:p>
    <w:p w14:paraId="11B635BE" w14:textId="388A5182" w:rsidR="00CD2277" w:rsidRDefault="00CD2277" w:rsidP="00CD2277">
      <w:pPr>
        <w:spacing w:after="120"/>
        <w:rPr>
          <w:lang w:eastAsia="zh-CN" w:bidi="th-TH"/>
        </w:rPr>
      </w:pPr>
      <w:r>
        <w:rPr>
          <w:lang w:eastAsia="zh-CN" w:bidi="th-TH"/>
        </w:rPr>
        <w:t xml:space="preserve">This report, </w:t>
      </w:r>
      <w:r w:rsidRPr="00CD2277">
        <w:rPr>
          <w:b/>
          <w:lang w:eastAsia="zh-CN" w:bidi="th-TH"/>
        </w:rPr>
        <w:t>Part 1</w:t>
      </w:r>
      <w:r>
        <w:rPr>
          <w:lang w:eastAsia="zh-CN" w:bidi="th-TH"/>
        </w:rPr>
        <w:t>, outlines existing activities and outcomes under the Strategy against which future findings will be considered.  Specifically, it:</w:t>
      </w:r>
    </w:p>
    <w:p w14:paraId="16386483" w14:textId="77777777" w:rsidR="00CD2277" w:rsidRDefault="00CD2277" w:rsidP="00CD2277">
      <w:pPr>
        <w:pStyle w:val="Bullets"/>
        <w:rPr>
          <w:lang w:eastAsia="zh-CN" w:bidi="th-TH"/>
        </w:rPr>
      </w:pPr>
      <w:r>
        <w:rPr>
          <w:lang w:eastAsia="zh-CN" w:bidi="th-TH"/>
        </w:rPr>
        <w:t>provides an update on progress against implementing and evaluating the strategic directions and enabling activities of the Strategy since its endorsement in 2019;</w:t>
      </w:r>
    </w:p>
    <w:p w14:paraId="0C74A8B2" w14:textId="77777777" w:rsidR="00CD2277" w:rsidRDefault="00CD2277" w:rsidP="00CD2277">
      <w:pPr>
        <w:pStyle w:val="Bullets"/>
        <w:rPr>
          <w:lang w:eastAsia="zh-CN" w:bidi="th-TH"/>
        </w:rPr>
      </w:pPr>
      <w:r>
        <w:rPr>
          <w:lang w:eastAsia="zh-CN" w:bidi="th-TH"/>
        </w:rPr>
        <w:t>identifies barriers and enablers to implementation and evaluation;</w:t>
      </w:r>
    </w:p>
    <w:p w14:paraId="24F5CB0A" w14:textId="6CAC7CB2" w:rsidR="00670CC7" w:rsidRDefault="00CD2277" w:rsidP="00670CC7">
      <w:pPr>
        <w:pStyle w:val="Bullets"/>
        <w:rPr>
          <w:lang w:eastAsia="zh-CN" w:bidi="th-TH"/>
        </w:rPr>
      </w:pPr>
      <w:r>
        <w:rPr>
          <w:lang w:eastAsia="zh-CN" w:bidi="th-TH"/>
        </w:rPr>
        <w:t>uses existing data sets to report on trends, including adverse outcome indicators.</w:t>
      </w:r>
    </w:p>
    <w:p w14:paraId="3C93951E" w14:textId="254BB884" w:rsidR="00530329" w:rsidRDefault="00E6441A" w:rsidP="00C24842">
      <w:pPr>
        <w:pStyle w:val="Bullets"/>
        <w:numPr>
          <w:ilvl w:val="0"/>
          <w:numId w:val="0"/>
        </w:numPr>
        <w:rPr>
          <w:lang w:eastAsia="zh-CN" w:bidi="th-TH"/>
        </w:rPr>
      </w:pPr>
      <w:r>
        <w:rPr>
          <w:lang w:eastAsia="zh-CN" w:bidi="th-TH"/>
        </w:rPr>
        <w:lastRenderedPageBreak/>
        <w:t>This report</w:t>
      </w:r>
      <w:r w:rsidR="00530329">
        <w:rPr>
          <w:lang w:eastAsia="zh-CN" w:bidi="th-TH"/>
        </w:rPr>
        <w:t xml:space="preserve"> is designed to be used as reference point for comparison in future monitoring and evaluation of the Strategy. Baseline information was compiled from qualitative and quantitative sources, drawing on a stakeholder consultation process and public reporting on the National Core Maternity Indicators.</w:t>
      </w:r>
    </w:p>
    <w:p w14:paraId="0F8DC6C5" w14:textId="1A74880F" w:rsidR="00CD2277" w:rsidRDefault="00CD2277" w:rsidP="00CD2277">
      <w:pPr>
        <w:spacing w:after="120"/>
        <w:rPr>
          <w:lang w:eastAsia="zh-CN" w:bidi="th-TH"/>
        </w:rPr>
      </w:pPr>
      <w:r w:rsidRPr="00CD2277">
        <w:rPr>
          <w:b/>
          <w:lang w:eastAsia="zh-CN" w:bidi="th-TH"/>
        </w:rPr>
        <w:t>Part 2</w:t>
      </w:r>
      <w:r>
        <w:rPr>
          <w:lang w:eastAsia="zh-CN" w:bidi="th-TH"/>
        </w:rPr>
        <w:t xml:space="preserve"> consists of the implementation plan for ongoing monitoring and evaluation of the Strategy. It was developed to provide a transparent mechanism to track and assess progress of enabling activities and to clarify the extent to which the Strategy is delivering on its objectives and continues to reflect contemporaneous evidence-based practice. It is hoped that the implementation plan will also highlight opportunities for refinement and improvement.</w:t>
      </w:r>
    </w:p>
    <w:p w14:paraId="0E27F321" w14:textId="77777777" w:rsidR="00CD2277" w:rsidRDefault="00CD2277" w:rsidP="00CD2277">
      <w:pPr>
        <w:spacing w:after="120"/>
        <w:rPr>
          <w:lang w:eastAsia="zh-CN" w:bidi="th-TH"/>
        </w:rPr>
      </w:pPr>
      <w:r>
        <w:rPr>
          <w:lang w:eastAsia="zh-CN" w:bidi="th-TH"/>
        </w:rPr>
        <w:t>Together, the two volumes of the Baseline Report are designed to underpin future monitoring and evaluation of the Strategy’s impact on maternity service provision in Australia and guide quality improvement efforts for the benefit of women and their families.</w:t>
      </w:r>
    </w:p>
    <w:p w14:paraId="17E5782F" w14:textId="251FF448" w:rsidR="00F155B5" w:rsidRDefault="00F155B5" w:rsidP="004764A2">
      <w:pPr>
        <w:spacing w:after="120"/>
        <w:rPr>
          <w:lang w:eastAsia="zh-CN" w:bidi="th-TH"/>
        </w:rPr>
      </w:pPr>
      <w:r>
        <w:rPr>
          <w:lang w:eastAsia="zh-CN" w:bidi="th-TH"/>
        </w:rPr>
        <w:t>Methods are outlined briefly in the following sections of the introduction</w:t>
      </w:r>
      <w:r w:rsidR="00065D64">
        <w:rPr>
          <w:lang w:eastAsia="zh-CN" w:bidi="th-TH"/>
        </w:rPr>
        <w:t xml:space="preserve">, </w:t>
      </w:r>
      <w:r w:rsidR="00065D64" w:rsidRPr="00A52466">
        <w:rPr>
          <w:lang w:eastAsia="zh-CN" w:bidi="th-TH"/>
        </w:rPr>
        <w:t>with more</w:t>
      </w:r>
      <w:r w:rsidRPr="00A52466">
        <w:rPr>
          <w:lang w:eastAsia="zh-CN" w:bidi="th-TH"/>
        </w:rPr>
        <w:t xml:space="preserve"> details in</w:t>
      </w:r>
      <w:r w:rsidR="00E16BC2">
        <w:rPr>
          <w:lang w:eastAsia="zh-CN" w:bidi="th-TH"/>
        </w:rPr>
        <w:t xml:space="preserve"> </w:t>
      </w:r>
      <w:r w:rsidR="00E16BC2">
        <w:rPr>
          <w:lang w:eastAsia="zh-CN" w:bidi="th-TH"/>
        </w:rPr>
        <w:fldChar w:fldCharType="begin"/>
      </w:r>
      <w:r w:rsidR="00E16BC2">
        <w:rPr>
          <w:lang w:eastAsia="zh-CN" w:bidi="th-TH"/>
        </w:rPr>
        <w:instrText xml:space="preserve"> REF _Ref117791703 \h </w:instrText>
      </w:r>
      <w:r w:rsidR="00E16BC2">
        <w:rPr>
          <w:lang w:eastAsia="zh-CN" w:bidi="th-TH"/>
        </w:rPr>
      </w:r>
      <w:r w:rsidR="00E16BC2">
        <w:rPr>
          <w:lang w:eastAsia="zh-CN" w:bidi="th-TH"/>
        </w:rPr>
        <w:fldChar w:fldCharType="separate"/>
      </w:r>
      <w:r w:rsidR="00296988">
        <w:t xml:space="preserve">Appendix </w:t>
      </w:r>
      <w:r w:rsidR="00296988">
        <w:rPr>
          <w:noProof/>
        </w:rPr>
        <w:t>1</w:t>
      </w:r>
      <w:r w:rsidR="00E16BC2">
        <w:rPr>
          <w:lang w:eastAsia="zh-CN" w:bidi="th-TH"/>
        </w:rPr>
        <w:fldChar w:fldCharType="end"/>
      </w:r>
      <w:r w:rsidRPr="00A52466">
        <w:rPr>
          <w:lang w:eastAsia="zh-CN" w:bidi="th-TH"/>
        </w:rPr>
        <w:t>.</w:t>
      </w:r>
      <w:r>
        <w:rPr>
          <w:lang w:eastAsia="zh-CN" w:bidi="th-TH"/>
        </w:rPr>
        <w:t xml:space="preserve"> The introduction is followed by two chapters of findings. The first, which is primarily qualitative, is based on stakeholder consultations and an environment scan conducted </w:t>
      </w:r>
      <w:r>
        <w:t>between May and September 2022</w:t>
      </w:r>
      <w:r w:rsidR="00065D64">
        <w:t>, and addresses the five key evaluation questions</w:t>
      </w:r>
      <w:r>
        <w:t>. The second, which is primarily quantitative, is based on publicly available datasets which contain items relevant to maternity service provision in Australia.</w:t>
      </w:r>
      <w:r w:rsidR="00065D64">
        <w:t xml:space="preserve"> The report concludes with a discussion of implications for future monitoring and evaluation.</w:t>
      </w:r>
    </w:p>
    <w:p w14:paraId="33D5A67A" w14:textId="74B76368" w:rsidR="00F155B5" w:rsidRDefault="00F155B5" w:rsidP="00F155B5">
      <w:pPr>
        <w:pStyle w:val="Heading2"/>
        <w:rPr>
          <w:lang w:eastAsia="zh-CN" w:bidi="th-TH"/>
        </w:rPr>
      </w:pPr>
      <w:bookmarkStart w:id="245" w:name="_Toc121415056"/>
      <w:r>
        <w:rPr>
          <w:lang w:eastAsia="zh-CN" w:bidi="th-TH"/>
        </w:rPr>
        <w:t>Evaluation questions</w:t>
      </w:r>
      <w:bookmarkEnd w:id="245"/>
    </w:p>
    <w:p w14:paraId="6EBB0B3F" w14:textId="069BB909" w:rsidR="002160A8" w:rsidRDefault="00F155B5" w:rsidP="00F155B5">
      <w:pPr>
        <w:rPr>
          <w:lang w:eastAsia="zh-CN" w:bidi="th-TH"/>
        </w:rPr>
      </w:pPr>
      <w:r w:rsidRPr="00B731C9">
        <w:rPr>
          <w:lang w:eastAsia="zh-CN" w:bidi="th-TH"/>
        </w:rPr>
        <w:t xml:space="preserve">The </w:t>
      </w:r>
      <w:r>
        <w:rPr>
          <w:lang w:eastAsia="zh-CN" w:bidi="th-TH"/>
        </w:rPr>
        <w:t>Strategy’s Monitoring and Evaluation Framework (</w:t>
      </w:r>
      <w:r w:rsidRPr="00B731C9">
        <w:rPr>
          <w:lang w:eastAsia="zh-CN" w:bidi="th-TH"/>
        </w:rPr>
        <w:t>MEF</w:t>
      </w:r>
      <w:r>
        <w:rPr>
          <w:lang w:eastAsia="zh-CN" w:bidi="th-TH"/>
        </w:rPr>
        <w:t>)</w:t>
      </w:r>
      <w:r w:rsidRPr="00B731C9">
        <w:rPr>
          <w:lang w:eastAsia="zh-CN" w:bidi="th-TH"/>
        </w:rPr>
        <w:t xml:space="preserve"> includes </w:t>
      </w:r>
      <w:r>
        <w:rPr>
          <w:lang w:eastAsia="zh-CN" w:bidi="th-TH"/>
        </w:rPr>
        <w:t>12</w:t>
      </w:r>
      <w:r w:rsidRPr="00B731C9">
        <w:rPr>
          <w:lang w:eastAsia="zh-CN" w:bidi="th-TH"/>
        </w:rPr>
        <w:t xml:space="preserve"> primary and approximately </w:t>
      </w:r>
      <w:r>
        <w:rPr>
          <w:lang w:eastAsia="zh-CN" w:bidi="th-TH"/>
        </w:rPr>
        <w:t>50</w:t>
      </w:r>
      <w:r w:rsidRPr="00B731C9">
        <w:rPr>
          <w:lang w:eastAsia="zh-CN" w:bidi="th-TH"/>
        </w:rPr>
        <w:t xml:space="preserve"> secondary questions to guide the monitoring and evaluation process</w:t>
      </w:r>
      <w:r w:rsidRPr="006324A2">
        <w:rPr>
          <w:lang w:eastAsia="zh-CN" w:bidi="th-TH"/>
        </w:rPr>
        <w:t xml:space="preserve">. </w:t>
      </w:r>
      <w:r>
        <w:rPr>
          <w:lang w:eastAsia="zh-CN" w:bidi="th-TH"/>
        </w:rPr>
        <w:t xml:space="preserve">As </w:t>
      </w:r>
      <w:r w:rsidR="00240432">
        <w:rPr>
          <w:lang w:eastAsia="zh-CN" w:bidi="th-TH"/>
        </w:rPr>
        <w:t>agreed with</w:t>
      </w:r>
      <w:r>
        <w:rPr>
          <w:lang w:eastAsia="zh-CN" w:bidi="th-TH"/>
        </w:rPr>
        <w:t xml:space="preserve"> the Department, </w:t>
      </w:r>
      <w:r w:rsidR="00240432">
        <w:rPr>
          <w:lang w:eastAsia="zh-CN" w:bidi="th-TH"/>
        </w:rPr>
        <w:t>the essential elements of the MEF could be captured in</w:t>
      </w:r>
      <w:r>
        <w:rPr>
          <w:lang w:eastAsia="zh-CN" w:bidi="th-TH"/>
        </w:rPr>
        <w:t xml:space="preserve"> </w:t>
      </w:r>
      <w:r w:rsidRPr="00B731C9">
        <w:rPr>
          <w:lang w:eastAsia="zh-CN" w:bidi="th-TH"/>
        </w:rPr>
        <w:t xml:space="preserve">five </w:t>
      </w:r>
      <w:r>
        <w:rPr>
          <w:lang w:eastAsia="zh-CN" w:bidi="th-TH"/>
        </w:rPr>
        <w:t xml:space="preserve">key evaluation </w:t>
      </w:r>
      <w:r w:rsidRPr="00B731C9">
        <w:rPr>
          <w:lang w:eastAsia="zh-CN" w:bidi="th-TH"/>
        </w:rPr>
        <w:t>questions</w:t>
      </w:r>
      <w:r w:rsidR="00240432">
        <w:rPr>
          <w:lang w:eastAsia="zh-CN" w:bidi="th-TH"/>
        </w:rPr>
        <w:t xml:space="preserve">, which </w:t>
      </w:r>
      <w:r>
        <w:rPr>
          <w:lang w:eastAsia="zh-CN" w:bidi="th-TH"/>
        </w:rPr>
        <w:t>were</w:t>
      </w:r>
      <w:r w:rsidRPr="00B731C9">
        <w:rPr>
          <w:lang w:eastAsia="zh-CN" w:bidi="th-TH"/>
        </w:rPr>
        <w:t xml:space="preserve"> addressed as a priority in the </w:t>
      </w:r>
      <w:r>
        <w:rPr>
          <w:lang w:eastAsia="zh-CN" w:bidi="th-TH"/>
        </w:rPr>
        <w:t xml:space="preserve">project and are therefore central to this </w:t>
      </w:r>
      <w:r w:rsidR="00FC3684" w:rsidRPr="00EA717F">
        <w:rPr>
          <w:lang w:eastAsia="zh-CN" w:bidi="th-TH"/>
        </w:rPr>
        <w:t>Baseline Report (</w:t>
      </w:r>
      <w:r w:rsidR="00184998" w:rsidRPr="00EA717F">
        <w:rPr>
          <w:lang w:eastAsia="zh-CN" w:bidi="th-TH"/>
        </w:rPr>
        <w:fldChar w:fldCharType="begin"/>
      </w:r>
      <w:r w:rsidR="00184998" w:rsidRPr="00EA717F">
        <w:rPr>
          <w:lang w:eastAsia="zh-CN" w:bidi="th-TH"/>
        </w:rPr>
        <w:instrText xml:space="preserve"> REF _Ref102487926 \h </w:instrText>
      </w:r>
      <w:r w:rsidR="00EA717F">
        <w:rPr>
          <w:lang w:eastAsia="zh-CN" w:bidi="th-TH"/>
        </w:rPr>
        <w:instrText xml:space="preserve"> \* MERGEFORMAT </w:instrText>
      </w:r>
      <w:r w:rsidR="00184998" w:rsidRPr="00EA717F">
        <w:rPr>
          <w:lang w:eastAsia="zh-CN" w:bidi="th-TH"/>
        </w:rPr>
      </w:r>
      <w:r w:rsidR="00184998" w:rsidRPr="00EA717F">
        <w:rPr>
          <w:lang w:eastAsia="zh-CN" w:bidi="th-TH"/>
        </w:rPr>
        <w:fldChar w:fldCharType="separate"/>
      </w:r>
      <w:r w:rsidR="00296988" w:rsidRPr="00296988">
        <w:rPr>
          <w:lang w:eastAsia="zh-CN" w:bidi="th-TH"/>
        </w:rPr>
        <w:t>Table 1</w:t>
      </w:r>
      <w:r w:rsidR="00184998" w:rsidRPr="00EA717F">
        <w:rPr>
          <w:lang w:eastAsia="zh-CN" w:bidi="th-TH"/>
        </w:rPr>
        <w:fldChar w:fldCharType="end"/>
      </w:r>
      <w:r w:rsidR="00FC3684" w:rsidRPr="00EA717F">
        <w:rPr>
          <w:lang w:eastAsia="zh-CN" w:bidi="th-TH"/>
        </w:rPr>
        <w:t>).</w:t>
      </w:r>
    </w:p>
    <w:p w14:paraId="5AA776A3" w14:textId="46509EC5" w:rsidR="002160A8" w:rsidRPr="00484694" w:rsidRDefault="002160A8" w:rsidP="002160A8">
      <w:pPr>
        <w:pStyle w:val="Caption"/>
        <w:rPr>
          <w:sz w:val="20"/>
          <w:szCs w:val="20"/>
        </w:rPr>
      </w:pPr>
      <w:bookmarkStart w:id="246" w:name="_Ref102487926"/>
      <w:bookmarkStart w:id="247" w:name="_Toc104369258"/>
      <w:bookmarkStart w:id="248" w:name="_Toc115251620"/>
      <w:bookmarkStart w:id="249" w:name="_Ref117791443"/>
      <w:bookmarkStart w:id="250" w:name="_Toc121429177"/>
      <w:r w:rsidRPr="00484694">
        <w:rPr>
          <w:sz w:val="20"/>
          <w:szCs w:val="20"/>
        </w:rPr>
        <w:t xml:space="preserve">Table </w:t>
      </w:r>
      <w:r w:rsidR="00A64FC5" w:rsidRPr="00484694">
        <w:rPr>
          <w:sz w:val="20"/>
          <w:szCs w:val="20"/>
        </w:rPr>
        <w:fldChar w:fldCharType="begin"/>
      </w:r>
      <w:r w:rsidR="00A64FC5" w:rsidRPr="00484694">
        <w:rPr>
          <w:sz w:val="20"/>
          <w:szCs w:val="20"/>
        </w:rPr>
        <w:instrText xml:space="preserve"> SEQ Table \* ARABIC </w:instrText>
      </w:r>
      <w:r w:rsidR="00A64FC5" w:rsidRPr="00484694">
        <w:rPr>
          <w:sz w:val="20"/>
          <w:szCs w:val="20"/>
        </w:rPr>
        <w:fldChar w:fldCharType="separate"/>
      </w:r>
      <w:r w:rsidR="00296988">
        <w:rPr>
          <w:noProof/>
          <w:sz w:val="20"/>
          <w:szCs w:val="20"/>
        </w:rPr>
        <w:t>1</w:t>
      </w:r>
      <w:r w:rsidR="00A64FC5" w:rsidRPr="00484694">
        <w:rPr>
          <w:noProof/>
          <w:sz w:val="20"/>
          <w:szCs w:val="20"/>
        </w:rPr>
        <w:fldChar w:fldCharType="end"/>
      </w:r>
      <w:bookmarkEnd w:id="246"/>
      <w:r w:rsidRPr="00484694">
        <w:rPr>
          <w:sz w:val="20"/>
          <w:szCs w:val="20"/>
        </w:rPr>
        <w:tab/>
      </w:r>
      <w:bookmarkEnd w:id="247"/>
      <w:bookmarkEnd w:id="248"/>
      <w:bookmarkEnd w:id="249"/>
      <w:r w:rsidR="00A85CAF">
        <w:rPr>
          <w:sz w:val="20"/>
          <w:szCs w:val="20"/>
        </w:rPr>
        <w:t xml:space="preserve">MEF </w:t>
      </w:r>
      <w:r w:rsidR="003555F9" w:rsidRPr="00484694">
        <w:rPr>
          <w:sz w:val="20"/>
          <w:szCs w:val="20"/>
        </w:rPr>
        <w:t>Evaluation questions addressed by this Baseline Report</w:t>
      </w:r>
      <w:bookmarkEnd w:id="250"/>
    </w:p>
    <w:tbl>
      <w:tblPr>
        <w:tblStyle w:val="TableGrid"/>
        <w:tblW w:w="5000" w:type="pct"/>
        <w:tblBorders>
          <w:top w:val="single" w:sz="4" w:space="0" w:color="0398D7"/>
          <w:left w:val="single" w:sz="4" w:space="0" w:color="0398D7"/>
          <w:bottom w:val="single" w:sz="4" w:space="0" w:color="0398D7"/>
          <w:right w:val="single" w:sz="4" w:space="0" w:color="0398D7"/>
          <w:insideH w:val="single" w:sz="4" w:space="0" w:color="0398D7"/>
          <w:insideV w:val="single" w:sz="4" w:space="0" w:color="0398D7"/>
        </w:tblBorders>
        <w:tblCellMar>
          <w:top w:w="28" w:type="dxa"/>
          <w:bottom w:w="28" w:type="dxa"/>
        </w:tblCellMar>
        <w:tblLook w:val="04A0" w:firstRow="1" w:lastRow="0" w:firstColumn="1" w:lastColumn="0" w:noHBand="0" w:noVBand="1"/>
      </w:tblPr>
      <w:tblGrid>
        <w:gridCol w:w="846"/>
        <w:gridCol w:w="9009"/>
      </w:tblGrid>
      <w:tr w:rsidR="002160A8" w:rsidRPr="006C1E52" w14:paraId="5C3CAA92" w14:textId="77777777" w:rsidTr="003555F9">
        <w:trPr>
          <w:tblHeader/>
        </w:trPr>
        <w:tc>
          <w:tcPr>
            <w:tcW w:w="429" w:type="pct"/>
            <w:shd w:val="clear" w:color="auto" w:fill="0398D7"/>
          </w:tcPr>
          <w:p w14:paraId="657F26A0" w14:textId="1D407CBD" w:rsidR="002160A8" w:rsidRPr="006C1E52" w:rsidRDefault="002160A8" w:rsidP="003555F9">
            <w:pPr>
              <w:rPr>
                <w:rFonts w:cstheme="minorHAnsi"/>
                <w:b/>
                <w:color w:val="FFFFFF" w:themeColor="background1"/>
                <w:sz w:val="20"/>
                <w:szCs w:val="20"/>
                <w:lang w:eastAsia="zh-CN" w:bidi="th-TH"/>
              </w:rPr>
            </w:pPr>
          </w:p>
        </w:tc>
        <w:tc>
          <w:tcPr>
            <w:tcW w:w="4571" w:type="pct"/>
            <w:shd w:val="clear" w:color="auto" w:fill="0398D7"/>
          </w:tcPr>
          <w:p w14:paraId="59F9B90A" w14:textId="624CFFC0" w:rsidR="002160A8" w:rsidRPr="006C1E52" w:rsidRDefault="003555F9" w:rsidP="003555F9">
            <w:pPr>
              <w:rPr>
                <w:rFonts w:cstheme="minorHAnsi"/>
                <w:b/>
                <w:color w:val="FFFFFF" w:themeColor="background1"/>
                <w:sz w:val="20"/>
                <w:szCs w:val="20"/>
                <w:lang w:eastAsia="zh-CN" w:bidi="th-TH"/>
              </w:rPr>
            </w:pPr>
            <w:r>
              <w:rPr>
                <w:rFonts w:cstheme="minorHAnsi"/>
                <w:b/>
                <w:color w:val="FFFFFF" w:themeColor="background1"/>
                <w:sz w:val="20"/>
                <w:szCs w:val="20"/>
                <w:lang w:eastAsia="zh-CN" w:bidi="th-TH"/>
              </w:rPr>
              <w:t>Key evaluation questions</w:t>
            </w:r>
          </w:p>
        </w:tc>
      </w:tr>
      <w:tr w:rsidR="002160A8" w:rsidRPr="00B84C04" w14:paraId="612F0800" w14:textId="77777777" w:rsidTr="003555F9">
        <w:tc>
          <w:tcPr>
            <w:tcW w:w="429" w:type="pct"/>
          </w:tcPr>
          <w:p w14:paraId="1E687922" w14:textId="77777777" w:rsidR="002160A8" w:rsidRPr="00EA41BD" w:rsidRDefault="002160A8" w:rsidP="003555F9">
            <w:pPr>
              <w:rPr>
                <w:rFonts w:cstheme="minorHAnsi"/>
                <w:sz w:val="20"/>
                <w:szCs w:val="20"/>
                <w:lang w:eastAsia="zh-CN" w:bidi="th-TH"/>
              </w:rPr>
            </w:pPr>
            <w:r w:rsidRPr="00EA41BD">
              <w:rPr>
                <w:rFonts w:cstheme="minorHAnsi"/>
                <w:sz w:val="20"/>
                <w:szCs w:val="20"/>
                <w:lang w:eastAsia="zh-CN" w:bidi="th-TH"/>
              </w:rPr>
              <w:t>KEQ 1</w:t>
            </w:r>
          </w:p>
        </w:tc>
        <w:tc>
          <w:tcPr>
            <w:tcW w:w="4571" w:type="pct"/>
          </w:tcPr>
          <w:p w14:paraId="28FBDBE1" w14:textId="77777777" w:rsidR="002160A8" w:rsidRPr="00EA41BD" w:rsidRDefault="002160A8" w:rsidP="003555F9">
            <w:pPr>
              <w:rPr>
                <w:rFonts w:cstheme="minorHAnsi"/>
                <w:sz w:val="20"/>
                <w:szCs w:val="20"/>
                <w:lang w:eastAsia="zh-CN" w:bidi="th-TH"/>
              </w:rPr>
            </w:pPr>
            <w:r w:rsidRPr="00EA41BD">
              <w:rPr>
                <w:rFonts w:cstheme="minorHAnsi"/>
                <w:sz w:val="20"/>
                <w:szCs w:val="20"/>
                <w:lang w:eastAsia="zh-CN" w:bidi="th-TH"/>
              </w:rPr>
              <w:t xml:space="preserve">Have key maternity outcome measures, including morbidity and mortality measures, clinical outcomes and access to maternity services, changed over time? </w:t>
            </w:r>
          </w:p>
        </w:tc>
      </w:tr>
      <w:tr w:rsidR="002160A8" w:rsidRPr="00B84C04" w14:paraId="1DC1BBFC" w14:textId="77777777" w:rsidTr="003555F9">
        <w:tc>
          <w:tcPr>
            <w:tcW w:w="429" w:type="pct"/>
          </w:tcPr>
          <w:p w14:paraId="6452C9DB" w14:textId="77777777" w:rsidR="002160A8" w:rsidRPr="00EA41BD" w:rsidRDefault="002160A8" w:rsidP="003555F9">
            <w:pPr>
              <w:rPr>
                <w:rFonts w:cstheme="minorHAnsi"/>
                <w:sz w:val="20"/>
                <w:szCs w:val="20"/>
                <w:lang w:eastAsia="zh-CN" w:bidi="th-TH"/>
              </w:rPr>
            </w:pPr>
            <w:r w:rsidRPr="00EA41BD">
              <w:rPr>
                <w:rFonts w:cstheme="minorHAnsi"/>
                <w:sz w:val="20"/>
                <w:szCs w:val="20"/>
                <w:lang w:eastAsia="zh-CN" w:bidi="th-TH"/>
              </w:rPr>
              <w:t>KEQ 2</w:t>
            </w:r>
          </w:p>
        </w:tc>
        <w:tc>
          <w:tcPr>
            <w:tcW w:w="4571" w:type="pct"/>
          </w:tcPr>
          <w:p w14:paraId="5716B8F0" w14:textId="77777777" w:rsidR="002160A8" w:rsidRPr="00EA41BD" w:rsidRDefault="002160A8" w:rsidP="003555F9">
            <w:pPr>
              <w:rPr>
                <w:rFonts w:cstheme="minorHAnsi"/>
                <w:sz w:val="20"/>
                <w:szCs w:val="20"/>
                <w:lang w:eastAsia="zh-CN" w:bidi="th-TH"/>
              </w:rPr>
            </w:pPr>
            <w:r w:rsidRPr="00EA41BD">
              <w:rPr>
                <w:rFonts w:cstheme="minorHAnsi"/>
                <w:sz w:val="20"/>
                <w:szCs w:val="20"/>
                <w:lang w:eastAsia="zh-CN" w:bidi="th-TH"/>
              </w:rPr>
              <w:t xml:space="preserve">To what extent has access to care in the postnatal period improved? </w:t>
            </w:r>
          </w:p>
        </w:tc>
      </w:tr>
      <w:tr w:rsidR="002160A8" w:rsidRPr="00B84C04" w14:paraId="1E33440A" w14:textId="77777777" w:rsidTr="003555F9">
        <w:tc>
          <w:tcPr>
            <w:tcW w:w="429" w:type="pct"/>
          </w:tcPr>
          <w:p w14:paraId="2C55827F" w14:textId="77777777" w:rsidR="002160A8" w:rsidRPr="00EA41BD" w:rsidRDefault="002160A8" w:rsidP="003555F9">
            <w:pPr>
              <w:rPr>
                <w:rFonts w:cstheme="minorHAnsi"/>
                <w:sz w:val="20"/>
                <w:szCs w:val="20"/>
                <w:lang w:eastAsia="zh-CN" w:bidi="th-TH"/>
              </w:rPr>
            </w:pPr>
            <w:r w:rsidRPr="00EA41BD">
              <w:rPr>
                <w:rFonts w:cstheme="minorHAnsi"/>
                <w:sz w:val="20"/>
                <w:szCs w:val="20"/>
                <w:lang w:eastAsia="zh-CN" w:bidi="th-TH"/>
              </w:rPr>
              <w:t>KEQ 3</w:t>
            </w:r>
          </w:p>
        </w:tc>
        <w:tc>
          <w:tcPr>
            <w:tcW w:w="4571" w:type="pct"/>
          </w:tcPr>
          <w:p w14:paraId="677C14B5" w14:textId="77777777" w:rsidR="002160A8" w:rsidRPr="00EA41BD" w:rsidRDefault="002160A8" w:rsidP="003555F9">
            <w:pPr>
              <w:rPr>
                <w:rFonts w:cstheme="minorHAnsi"/>
                <w:sz w:val="20"/>
                <w:szCs w:val="20"/>
                <w:lang w:eastAsia="zh-CN" w:bidi="th-TH"/>
              </w:rPr>
            </w:pPr>
            <w:r w:rsidRPr="00EA41BD">
              <w:rPr>
                <w:rFonts w:cstheme="minorHAnsi"/>
                <w:color w:val="000000"/>
                <w:sz w:val="20"/>
                <w:szCs w:val="20"/>
              </w:rPr>
              <w:t>Has the morbidity and mortality associated with poor perinatal mental health improved over time?</w:t>
            </w:r>
          </w:p>
        </w:tc>
      </w:tr>
      <w:tr w:rsidR="002160A8" w:rsidRPr="00B84C04" w14:paraId="75372101" w14:textId="77777777" w:rsidTr="003555F9">
        <w:tc>
          <w:tcPr>
            <w:tcW w:w="429" w:type="pct"/>
          </w:tcPr>
          <w:p w14:paraId="2FC5F6C5" w14:textId="77777777" w:rsidR="002160A8" w:rsidRPr="00EA41BD" w:rsidRDefault="002160A8" w:rsidP="003555F9">
            <w:pPr>
              <w:rPr>
                <w:rFonts w:cstheme="minorHAnsi"/>
                <w:sz w:val="20"/>
                <w:szCs w:val="20"/>
                <w:lang w:eastAsia="zh-CN" w:bidi="th-TH"/>
              </w:rPr>
            </w:pPr>
            <w:r w:rsidRPr="00EA41BD">
              <w:rPr>
                <w:rFonts w:cstheme="minorHAnsi"/>
                <w:sz w:val="20"/>
                <w:szCs w:val="20"/>
                <w:lang w:eastAsia="zh-CN" w:bidi="th-TH"/>
              </w:rPr>
              <w:t>KEQ 4</w:t>
            </w:r>
          </w:p>
        </w:tc>
        <w:tc>
          <w:tcPr>
            <w:tcW w:w="4571" w:type="pct"/>
          </w:tcPr>
          <w:p w14:paraId="5898B3D0" w14:textId="77777777" w:rsidR="002160A8" w:rsidRPr="00EA41BD" w:rsidRDefault="002160A8" w:rsidP="003555F9">
            <w:pPr>
              <w:rPr>
                <w:rFonts w:cstheme="minorHAnsi"/>
                <w:sz w:val="20"/>
                <w:szCs w:val="20"/>
                <w:lang w:eastAsia="zh-CN" w:bidi="th-TH"/>
              </w:rPr>
            </w:pPr>
            <w:r w:rsidRPr="00EA41BD">
              <w:rPr>
                <w:rFonts w:cstheme="minorHAnsi"/>
                <w:color w:val="000000"/>
                <w:sz w:val="20"/>
                <w:szCs w:val="20"/>
              </w:rPr>
              <w:t>Are maternity care services based on current evidence-based practice, research and international developments?</w:t>
            </w:r>
          </w:p>
        </w:tc>
      </w:tr>
      <w:tr w:rsidR="002160A8" w:rsidRPr="00B84C04" w14:paraId="39D2F93E" w14:textId="77777777" w:rsidTr="003555F9">
        <w:tc>
          <w:tcPr>
            <w:tcW w:w="429" w:type="pct"/>
          </w:tcPr>
          <w:p w14:paraId="5EFA1986" w14:textId="77777777" w:rsidR="002160A8" w:rsidRPr="00EA41BD" w:rsidRDefault="002160A8" w:rsidP="003555F9">
            <w:pPr>
              <w:rPr>
                <w:rFonts w:cstheme="minorHAnsi"/>
                <w:sz w:val="20"/>
                <w:szCs w:val="20"/>
                <w:lang w:eastAsia="zh-CN" w:bidi="th-TH"/>
              </w:rPr>
            </w:pPr>
            <w:r w:rsidRPr="00EA41BD">
              <w:rPr>
                <w:rFonts w:cstheme="minorHAnsi"/>
                <w:sz w:val="20"/>
                <w:szCs w:val="20"/>
                <w:lang w:eastAsia="zh-CN" w:bidi="th-TH"/>
              </w:rPr>
              <w:t>KEQ 5</w:t>
            </w:r>
          </w:p>
        </w:tc>
        <w:tc>
          <w:tcPr>
            <w:tcW w:w="4571" w:type="pct"/>
          </w:tcPr>
          <w:p w14:paraId="3BB214C1" w14:textId="77777777" w:rsidR="002160A8" w:rsidRPr="00EA41BD" w:rsidRDefault="002160A8" w:rsidP="003555F9">
            <w:pPr>
              <w:rPr>
                <w:rFonts w:cstheme="minorHAnsi"/>
                <w:sz w:val="20"/>
                <w:szCs w:val="20"/>
                <w:lang w:eastAsia="zh-CN" w:bidi="th-TH"/>
              </w:rPr>
            </w:pPr>
            <w:r w:rsidRPr="00EA41BD">
              <w:rPr>
                <w:rFonts w:cstheme="minorHAnsi"/>
                <w:color w:val="000000"/>
                <w:sz w:val="20"/>
                <w:szCs w:val="20"/>
              </w:rPr>
              <w:t>Are there maternity systems and processes in place (or planned) to support and enable woman centred care, in particular to respect the preferences of women?</w:t>
            </w:r>
          </w:p>
        </w:tc>
      </w:tr>
    </w:tbl>
    <w:p w14:paraId="3F6881C1" w14:textId="755E469B" w:rsidR="00F155B5" w:rsidRDefault="00F155B5" w:rsidP="00F155B5">
      <w:pPr>
        <w:pStyle w:val="Heading2"/>
      </w:pPr>
      <w:bookmarkStart w:id="251" w:name="_Toc121415057"/>
      <w:r>
        <w:t>Sources of baseline data</w:t>
      </w:r>
      <w:bookmarkEnd w:id="251"/>
    </w:p>
    <w:p w14:paraId="14D82D4E" w14:textId="6FB5ADA5" w:rsidR="00FC3684" w:rsidRDefault="00F155B5" w:rsidP="00F155B5">
      <w:pPr>
        <w:spacing w:after="120"/>
        <w:rPr>
          <w:lang w:eastAsia="zh-CN" w:bidi="th-TH"/>
        </w:rPr>
      </w:pPr>
      <w:r>
        <w:rPr>
          <w:lang w:eastAsia="zh-CN" w:bidi="th-TH"/>
        </w:rPr>
        <w:t>A combination of qualitative and quantitative data has been used to construct the baseline for the ongoing monitoring and evaluation of the Strategy.</w:t>
      </w:r>
    </w:p>
    <w:p w14:paraId="01AB9864" w14:textId="6405F7AB" w:rsidR="00FA4FAD" w:rsidRDefault="00FC3684" w:rsidP="00F155B5">
      <w:pPr>
        <w:spacing w:after="120"/>
        <w:rPr>
          <w:lang w:eastAsia="zh-CN" w:bidi="th-TH"/>
        </w:rPr>
      </w:pPr>
      <w:r w:rsidRPr="00FA4FAD">
        <w:rPr>
          <w:b/>
          <w:lang w:eastAsia="zh-CN" w:bidi="th-TH"/>
        </w:rPr>
        <w:t>Stakeholder consultations</w:t>
      </w:r>
      <w:r w:rsidRPr="00F155B5">
        <w:rPr>
          <w:lang w:eastAsia="zh-CN" w:bidi="th-TH"/>
        </w:rPr>
        <w:t xml:space="preserve"> </w:t>
      </w:r>
      <w:r w:rsidR="00FA4FAD">
        <w:rPr>
          <w:lang w:eastAsia="zh-CN" w:bidi="th-TH"/>
        </w:rPr>
        <w:t xml:space="preserve">were conducted </w:t>
      </w:r>
      <w:r w:rsidRPr="00F155B5">
        <w:rPr>
          <w:lang w:eastAsia="zh-CN" w:bidi="th-TH"/>
        </w:rPr>
        <w:t xml:space="preserve">with Commonwealth, state and territory health department representatives, professional colleges, peak organisations, NGOs, consumer advocacy groups </w:t>
      </w:r>
      <w:r w:rsidR="00114CDA">
        <w:rPr>
          <w:lang w:eastAsia="zh-CN" w:bidi="th-TH"/>
        </w:rPr>
        <w:t xml:space="preserve">and a select number of experts. </w:t>
      </w:r>
      <w:r w:rsidR="00114CDA" w:rsidRPr="00EA41BD">
        <w:rPr>
          <w:lang w:eastAsia="zh-CN" w:bidi="th-TH"/>
        </w:rPr>
        <w:t>The</w:t>
      </w:r>
      <w:r w:rsidR="00114CDA">
        <w:rPr>
          <w:lang w:eastAsia="zh-CN" w:bidi="th-TH"/>
        </w:rPr>
        <w:t xml:space="preserve">se consultations were conducted to gather information about </w:t>
      </w:r>
      <w:r w:rsidR="00114CDA" w:rsidRPr="00EA41BD">
        <w:rPr>
          <w:lang w:eastAsia="zh-CN" w:bidi="th-TH"/>
        </w:rPr>
        <w:t xml:space="preserve">major changes to the context within which maternity services are provided in Australia </w:t>
      </w:r>
      <w:r w:rsidR="00114CDA">
        <w:rPr>
          <w:lang w:eastAsia="zh-CN" w:bidi="th-TH"/>
        </w:rPr>
        <w:t xml:space="preserve">since the release of the Strategy in 2019, and to identify evidence to address </w:t>
      </w:r>
      <w:r w:rsidR="00114CDA" w:rsidRPr="00EA41BD">
        <w:rPr>
          <w:lang w:eastAsia="zh-CN" w:bidi="th-TH"/>
        </w:rPr>
        <w:t xml:space="preserve">the key evaluation questions. </w:t>
      </w:r>
      <w:r w:rsidR="00114CDA">
        <w:rPr>
          <w:lang w:eastAsia="zh-CN" w:bidi="th-TH"/>
        </w:rPr>
        <w:t>Also of interest were: s</w:t>
      </w:r>
      <w:r w:rsidR="00114CDA" w:rsidRPr="00EA41BD">
        <w:rPr>
          <w:lang w:eastAsia="zh-CN" w:bidi="th-TH"/>
        </w:rPr>
        <w:t>ervices, activities and programs identified as enablers within the Strategy; established evaluation activities and</w:t>
      </w:r>
      <w:r w:rsidR="00114CDA">
        <w:rPr>
          <w:lang w:eastAsia="zh-CN" w:bidi="th-TH"/>
        </w:rPr>
        <w:t xml:space="preserve"> data collections; and identification of stakeholders’ </w:t>
      </w:r>
      <w:r w:rsidR="00114CDA" w:rsidRPr="00EA41BD">
        <w:rPr>
          <w:lang w:eastAsia="zh-CN" w:bidi="th-TH"/>
        </w:rPr>
        <w:t xml:space="preserve">priority areas for ongoing monitoring, including existing and aspirational state and territory data source/s. </w:t>
      </w:r>
      <w:r w:rsidR="00114CDA">
        <w:rPr>
          <w:lang w:eastAsia="zh-CN" w:bidi="th-TH"/>
        </w:rPr>
        <w:t>This phase of the project was designed to guide and inform the implementation plan for ongoing monitoring and evaluation, as well as providing a snapshot of the ‘baseline’ state at this time.</w:t>
      </w:r>
    </w:p>
    <w:p w14:paraId="1514A2D6" w14:textId="27D377DF" w:rsidR="00FA4FAD" w:rsidRDefault="00FA4FAD" w:rsidP="00F155B5">
      <w:pPr>
        <w:spacing w:after="120"/>
        <w:rPr>
          <w:lang w:eastAsia="zh-CN" w:bidi="th-TH"/>
        </w:rPr>
      </w:pPr>
      <w:r>
        <w:rPr>
          <w:lang w:eastAsia="zh-CN" w:bidi="th-TH"/>
        </w:rPr>
        <w:lastRenderedPageBreak/>
        <w:t>First, a</w:t>
      </w:r>
      <w:r w:rsidRPr="00F155B5">
        <w:rPr>
          <w:lang w:eastAsia="zh-CN" w:bidi="th-TH"/>
        </w:rPr>
        <w:t xml:space="preserve"> survey was completed by </w:t>
      </w:r>
      <w:r w:rsidR="00240432">
        <w:rPr>
          <w:lang w:eastAsia="zh-CN" w:bidi="th-TH"/>
        </w:rPr>
        <w:t xml:space="preserve">representatives of six state and territory departments of health and </w:t>
      </w:r>
      <w:r w:rsidRPr="00F155B5">
        <w:rPr>
          <w:lang w:eastAsia="zh-CN" w:bidi="th-TH"/>
        </w:rPr>
        <w:t xml:space="preserve">one </w:t>
      </w:r>
      <w:r w:rsidR="00240432">
        <w:rPr>
          <w:lang w:eastAsia="zh-CN" w:bidi="th-TH"/>
        </w:rPr>
        <w:t xml:space="preserve">representative </w:t>
      </w:r>
      <w:r w:rsidRPr="00F155B5">
        <w:rPr>
          <w:lang w:eastAsia="zh-CN" w:bidi="th-TH"/>
        </w:rPr>
        <w:t>from the Australian Government Department of Health and Aged Care</w:t>
      </w:r>
      <w:r w:rsidR="00240432">
        <w:rPr>
          <w:lang w:eastAsia="zh-CN" w:bidi="th-TH"/>
        </w:rPr>
        <w:t xml:space="preserve"> (in consultation with others from the Department)</w:t>
      </w:r>
      <w:r w:rsidRPr="00F155B5">
        <w:rPr>
          <w:lang w:eastAsia="zh-CN" w:bidi="th-TH"/>
        </w:rPr>
        <w:t>. Two jurisdictions did not complete the survey.</w:t>
      </w:r>
      <w:r>
        <w:rPr>
          <w:lang w:eastAsia="zh-CN" w:bidi="th-TH"/>
        </w:rPr>
        <w:t xml:space="preserve"> The questionnaire was designed to gather information about progress with implementation of the Strategy’s enabling activities.</w:t>
      </w:r>
    </w:p>
    <w:p w14:paraId="63F75BDF" w14:textId="50E77183" w:rsidR="007B1D61" w:rsidRPr="00F155B5" w:rsidRDefault="00FA4FAD" w:rsidP="00F155B5">
      <w:pPr>
        <w:spacing w:after="120"/>
        <w:rPr>
          <w:lang w:eastAsia="zh-CN" w:bidi="th-TH"/>
        </w:rPr>
      </w:pPr>
      <w:r>
        <w:rPr>
          <w:lang w:eastAsia="zh-CN" w:bidi="th-TH"/>
        </w:rPr>
        <w:t>Second, s</w:t>
      </w:r>
      <w:r w:rsidR="00FC3684" w:rsidRPr="00F155B5">
        <w:rPr>
          <w:lang w:eastAsia="zh-CN" w:bidi="th-TH"/>
        </w:rPr>
        <w:t>emi-structured interviews</w:t>
      </w:r>
      <w:r w:rsidR="007B1D61" w:rsidRPr="00F155B5">
        <w:rPr>
          <w:lang w:eastAsia="zh-CN" w:bidi="th-TH"/>
        </w:rPr>
        <w:t xml:space="preserve"> were conducted</w:t>
      </w:r>
      <w:r w:rsidR="00FC3684" w:rsidRPr="00F155B5">
        <w:rPr>
          <w:lang w:eastAsia="zh-CN" w:bidi="th-TH"/>
        </w:rPr>
        <w:t xml:space="preserve"> with 37 individuals from 33 organisations (</w:t>
      </w:r>
      <w:r w:rsidR="00806EB6">
        <w:rPr>
          <w:lang w:eastAsia="zh-CN" w:bidi="th-TH"/>
        </w:rPr>
        <w:t>listed in</w:t>
      </w:r>
      <w:r w:rsidR="00F66EC6">
        <w:rPr>
          <w:lang w:eastAsia="zh-CN" w:bidi="th-TH"/>
        </w:rPr>
        <w:t xml:space="preserve"> </w:t>
      </w:r>
      <w:r w:rsidR="00F66EC6">
        <w:rPr>
          <w:lang w:eastAsia="zh-CN" w:bidi="th-TH"/>
        </w:rPr>
        <w:fldChar w:fldCharType="begin"/>
      </w:r>
      <w:r w:rsidR="00F66EC6">
        <w:rPr>
          <w:lang w:eastAsia="zh-CN" w:bidi="th-TH"/>
        </w:rPr>
        <w:instrText xml:space="preserve"> REF _Ref121414840 \h </w:instrText>
      </w:r>
      <w:r w:rsidR="00F66EC6">
        <w:rPr>
          <w:lang w:eastAsia="zh-CN" w:bidi="th-TH"/>
        </w:rPr>
      </w:r>
      <w:r w:rsidR="00F66EC6">
        <w:rPr>
          <w:lang w:eastAsia="zh-CN" w:bidi="th-TH"/>
        </w:rPr>
        <w:fldChar w:fldCharType="separate"/>
      </w:r>
      <w:r w:rsidR="00296988">
        <w:t xml:space="preserve">Appendix </w:t>
      </w:r>
      <w:r w:rsidR="00296988">
        <w:rPr>
          <w:noProof/>
        </w:rPr>
        <w:t>2</w:t>
      </w:r>
      <w:r w:rsidR="00F66EC6">
        <w:rPr>
          <w:lang w:eastAsia="zh-CN" w:bidi="th-TH"/>
        </w:rPr>
        <w:fldChar w:fldCharType="end"/>
      </w:r>
      <w:r w:rsidR="00FC3684" w:rsidRPr="00F155B5">
        <w:rPr>
          <w:lang w:eastAsia="zh-CN" w:bidi="th-TH"/>
        </w:rPr>
        <w:t>). Discussions were held with the National Aboriginal Community Controlled Health Organisation, the Australian Institute of Health and Welfare, the Australian Bureau of Statistics, Australasian Health Infrastructure Alliance and Emerging Minds.</w:t>
      </w:r>
    </w:p>
    <w:p w14:paraId="6B4D3F4B" w14:textId="0414B599" w:rsidR="00FC3684" w:rsidRPr="00F155B5" w:rsidRDefault="00FA4FAD" w:rsidP="00FA4FAD">
      <w:pPr>
        <w:spacing w:after="120"/>
        <w:rPr>
          <w:lang w:eastAsia="zh-CN" w:bidi="th-TH"/>
        </w:rPr>
      </w:pPr>
      <w:r>
        <w:rPr>
          <w:lang w:eastAsia="zh-CN" w:bidi="th-TH"/>
        </w:rPr>
        <w:t>The stakeholder consultation</w:t>
      </w:r>
      <w:r w:rsidR="00720781">
        <w:rPr>
          <w:lang w:eastAsia="zh-CN" w:bidi="th-TH"/>
        </w:rPr>
        <w:t>s were</w:t>
      </w:r>
      <w:r>
        <w:rPr>
          <w:lang w:eastAsia="zh-CN" w:bidi="th-TH"/>
        </w:rPr>
        <w:t xml:space="preserve"> supplemented by a</w:t>
      </w:r>
      <w:r w:rsidR="00FC3684" w:rsidRPr="00F155B5">
        <w:rPr>
          <w:lang w:eastAsia="zh-CN" w:bidi="th-TH"/>
        </w:rPr>
        <w:t xml:space="preserve">n </w:t>
      </w:r>
      <w:r w:rsidR="00FC3684" w:rsidRPr="00FA4FAD">
        <w:rPr>
          <w:b/>
          <w:lang w:eastAsia="zh-CN" w:bidi="th-TH"/>
        </w:rPr>
        <w:t>environment scan</w:t>
      </w:r>
      <w:r w:rsidR="00FC3684" w:rsidRPr="00F155B5">
        <w:rPr>
          <w:lang w:eastAsia="zh-CN" w:bidi="th-TH"/>
        </w:rPr>
        <w:t xml:space="preserve"> of the academic and practice literature. The scan focused on the Australian literature, supplemented with information from selected countries with comparable healthcare systems.</w:t>
      </w:r>
      <w:r>
        <w:rPr>
          <w:lang w:eastAsia="zh-CN" w:bidi="th-TH"/>
        </w:rPr>
        <w:t xml:space="preserve"> Important</w:t>
      </w:r>
      <w:r w:rsidRPr="00E16315">
        <w:rPr>
          <w:lang w:eastAsia="zh-CN" w:bidi="th-TH"/>
        </w:rPr>
        <w:t xml:space="preserve"> sources of information include</w:t>
      </w:r>
      <w:r>
        <w:rPr>
          <w:lang w:eastAsia="zh-CN" w:bidi="th-TH"/>
        </w:rPr>
        <w:t xml:space="preserve">d </w:t>
      </w:r>
      <w:r w:rsidRPr="00E16315">
        <w:rPr>
          <w:lang w:eastAsia="zh-CN" w:bidi="th-TH"/>
        </w:rPr>
        <w:t>expert advice relating to the development of related monitoring and evaluation frameworks; data development activities; and seminal academic and practice documents associated with the Strategy and maternity services more generally, including woman-reported experiences and outcomes of maternity care.</w:t>
      </w:r>
    </w:p>
    <w:p w14:paraId="69792BB5" w14:textId="2987638F" w:rsidR="0081534A" w:rsidRDefault="00340BF6" w:rsidP="003632C2">
      <w:pPr>
        <w:spacing w:after="120"/>
        <w:rPr>
          <w:lang w:eastAsia="zh-CN" w:bidi="th-TH"/>
        </w:rPr>
      </w:pPr>
      <w:r w:rsidRPr="00FA4FAD">
        <w:rPr>
          <w:b/>
          <w:lang w:eastAsia="zh-CN" w:bidi="th-TH"/>
        </w:rPr>
        <w:t>Publicly</w:t>
      </w:r>
      <w:r w:rsidR="00FC3684" w:rsidRPr="00FA4FAD">
        <w:rPr>
          <w:b/>
          <w:lang w:eastAsia="zh-CN" w:bidi="th-TH"/>
        </w:rPr>
        <w:t xml:space="preserve"> available national data sources</w:t>
      </w:r>
      <w:r w:rsidR="00FC3684" w:rsidRPr="00F155B5">
        <w:rPr>
          <w:lang w:eastAsia="zh-CN" w:bidi="th-TH"/>
        </w:rPr>
        <w:t xml:space="preserve"> held and analysed by the Australian Institute of Health and Welfare (AIHW) and Services Australia were also drawn upon to examine trends over time, as a component of K</w:t>
      </w:r>
      <w:r w:rsidR="003555F9" w:rsidRPr="00F155B5">
        <w:rPr>
          <w:lang w:eastAsia="zh-CN" w:bidi="th-TH"/>
        </w:rPr>
        <w:t xml:space="preserve">EQ </w:t>
      </w:r>
      <w:r w:rsidR="00FC3684" w:rsidRPr="00F155B5">
        <w:rPr>
          <w:lang w:eastAsia="zh-CN" w:bidi="th-TH"/>
        </w:rPr>
        <w:t xml:space="preserve">1. </w:t>
      </w:r>
      <w:r w:rsidR="00530329">
        <w:rPr>
          <w:lang w:eastAsia="zh-CN" w:bidi="th-TH"/>
        </w:rPr>
        <w:t xml:space="preserve">To facilitate later comparisons and avoid duplication of data collection, baseline items were drawn from the National Core Maternity Indicators, other labour and birth outcomes, and models of maternity care. All these datasets are produced by the AIHW to a high quality standard. </w:t>
      </w:r>
      <w:r w:rsidR="00A52466">
        <w:rPr>
          <w:rFonts w:cstheme="minorHAnsi"/>
          <w:szCs w:val="22"/>
        </w:rPr>
        <w:t>The baseline period chosen for this quantitative analysis was 2019, the year the Strategy was released.</w:t>
      </w:r>
      <w:r w:rsidR="0081534A">
        <w:rPr>
          <w:lang w:eastAsia="zh-CN" w:bidi="th-TH"/>
        </w:rPr>
        <w:br w:type="page"/>
      </w:r>
    </w:p>
    <w:p w14:paraId="604D90FD" w14:textId="7A851AAC" w:rsidR="00443C64" w:rsidRDefault="00114CDA" w:rsidP="00443C64">
      <w:pPr>
        <w:pStyle w:val="Heading1"/>
      </w:pPr>
      <w:bookmarkStart w:id="252" w:name="_Toc121415058"/>
      <w:bookmarkStart w:id="253" w:name="_Toc115176167"/>
      <w:bookmarkStart w:id="254" w:name="_Toc115240280"/>
      <w:bookmarkEnd w:id="234"/>
      <w:bookmarkEnd w:id="235"/>
      <w:r>
        <w:lastRenderedPageBreak/>
        <w:t>Progress with implementation of the Strategy</w:t>
      </w:r>
      <w:bookmarkEnd w:id="252"/>
    </w:p>
    <w:p w14:paraId="5F5D3756" w14:textId="0C99B2B0" w:rsidR="00114CDA" w:rsidRPr="00114CDA" w:rsidRDefault="00114CDA" w:rsidP="00114CDA">
      <w:r>
        <w:t>This chapter is based on the findings of the stakeholder survey, interviews and environment scan.</w:t>
      </w:r>
      <w:r w:rsidR="00530329">
        <w:t xml:space="preserve"> It reflects stakeholders’ views on the progress made towards implementing the enabling activities of the Strategy</w:t>
      </w:r>
      <w:r w:rsidR="00622682">
        <w:t>, as well as publicly available information including policy and guidance documents and research reports.</w:t>
      </w:r>
    </w:p>
    <w:p w14:paraId="64D18FE6" w14:textId="77777777" w:rsidR="00FC3684" w:rsidRDefault="00FC3684" w:rsidP="003632C2">
      <w:pPr>
        <w:pStyle w:val="Heading2"/>
        <w:spacing w:before="160"/>
        <w:ind w:left="578" w:hanging="578"/>
        <w:rPr>
          <w:lang w:eastAsia="zh-CN"/>
        </w:rPr>
      </w:pPr>
      <w:bookmarkStart w:id="255" w:name="_Toc117350612"/>
      <w:bookmarkStart w:id="256" w:name="_Toc121415059"/>
      <w:r>
        <w:rPr>
          <w:lang w:eastAsia="zh-CN"/>
        </w:rPr>
        <w:t xml:space="preserve">Significant developments in the delivery of </w:t>
      </w:r>
      <w:r w:rsidRPr="003144A2">
        <w:rPr>
          <w:lang w:eastAsia="zh-CN"/>
        </w:rPr>
        <w:t>maternity service</w:t>
      </w:r>
      <w:r>
        <w:rPr>
          <w:lang w:eastAsia="zh-CN"/>
        </w:rPr>
        <w:t>s</w:t>
      </w:r>
      <w:bookmarkEnd w:id="255"/>
      <w:bookmarkEnd w:id="256"/>
    </w:p>
    <w:p w14:paraId="62FD34B0" w14:textId="4A032889" w:rsidR="007B1D61" w:rsidRDefault="00FC3684" w:rsidP="003632C2">
      <w:pPr>
        <w:spacing w:after="100"/>
        <w:rPr>
          <w:lang w:eastAsia="zh-CN" w:bidi="th-TH"/>
        </w:rPr>
      </w:pPr>
      <w:r>
        <w:rPr>
          <w:lang w:eastAsia="zh-CN" w:bidi="th-TH"/>
        </w:rPr>
        <w:t xml:space="preserve">Major developments in the provision of maternity services since the Strategy was released </w:t>
      </w:r>
      <w:r w:rsidR="00200FBE">
        <w:rPr>
          <w:lang w:eastAsia="zh-CN" w:bidi="th-TH"/>
        </w:rPr>
        <w:t xml:space="preserve">have </w:t>
      </w:r>
      <w:r>
        <w:rPr>
          <w:lang w:eastAsia="zh-CN" w:bidi="th-TH"/>
        </w:rPr>
        <w:t>include</w:t>
      </w:r>
      <w:r w:rsidR="00200FBE">
        <w:rPr>
          <w:lang w:eastAsia="zh-CN" w:bidi="th-TH"/>
        </w:rPr>
        <w:t>d</w:t>
      </w:r>
      <w:r>
        <w:rPr>
          <w:lang w:eastAsia="zh-CN" w:bidi="th-TH"/>
        </w:rPr>
        <w:t xml:space="preserve"> the </w:t>
      </w:r>
      <w:r w:rsidRPr="003555F9">
        <w:rPr>
          <w:lang w:eastAsia="zh-CN" w:bidi="th-TH"/>
        </w:rPr>
        <w:t>Australian National Breastfeeding Strategy</w:t>
      </w:r>
      <w:r>
        <w:rPr>
          <w:lang w:eastAsia="zh-CN" w:bidi="th-TH"/>
        </w:rPr>
        <w:t xml:space="preserve">, the national </w:t>
      </w:r>
      <w:r w:rsidRPr="0020594D">
        <w:rPr>
          <w:lang w:eastAsia="zh-CN" w:bidi="th-TH"/>
        </w:rPr>
        <w:t>NHMRC-endorsed</w:t>
      </w:r>
      <w:r>
        <w:rPr>
          <w:lang w:eastAsia="zh-CN" w:bidi="th-TH"/>
        </w:rPr>
        <w:t xml:space="preserve"> </w:t>
      </w:r>
      <w:r w:rsidRPr="003555F9">
        <w:rPr>
          <w:lang w:eastAsia="zh-CN" w:bidi="th-TH"/>
        </w:rPr>
        <w:t xml:space="preserve">Clinical Practice Guidelines for Pregnancy Care, </w:t>
      </w:r>
      <w:r>
        <w:rPr>
          <w:lang w:eastAsia="zh-CN" w:bidi="th-TH"/>
        </w:rPr>
        <w:t xml:space="preserve">the </w:t>
      </w:r>
      <w:r w:rsidRPr="003555F9">
        <w:rPr>
          <w:lang w:eastAsia="zh-CN" w:bidi="th-TH"/>
        </w:rPr>
        <w:t>National Stillbirth Action and Implementation Plan</w:t>
      </w:r>
      <w:r w:rsidR="00200FBE">
        <w:rPr>
          <w:lang w:eastAsia="zh-CN" w:bidi="th-TH"/>
        </w:rPr>
        <w:t>. Development of a</w:t>
      </w:r>
      <w:r>
        <w:rPr>
          <w:lang w:eastAsia="zh-CN" w:bidi="th-TH"/>
        </w:rPr>
        <w:t xml:space="preserve"> Monitoring and Evaluation Framework for the stillbirth plan</w:t>
      </w:r>
      <w:r w:rsidR="00200FBE">
        <w:rPr>
          <w:lang w:eastAsia="zh-CN" w:bidi="th-TH"/>
        </w:rPr>
        <w:t xml:space="preserve"> is under way</w:t>
      </w:r>
      <w:r>
        <w:rPr>
          <w:lang w:eastAsia="zh-CN" w:bidi="th-TH"/>
        </w:rPr>
        <w:t>.</w:t>
      </w:r>
    </w:p>
    <w:p w14:paraId="06F806A8" w14:textId="2EAE47EB" w:rsidR="00FC3684" w:rsidRDefault="00FC3684" w:rsidP="00AA3CF3">
      <w:pPr>
        <w:spacing w:after="240"/>
      </w:pPr>
      <w:r w:rsidRPr="003555F9">
        <w:rPr>
          <w:lang w:eastAsia="zh-CN" w:bidi="th-TH"/>
        </w:rPr>
        <w:t>Significant jurisdictional strategic developments</w:t>
      </w:r>
      <w:r>
        <w:rPr>
          <w:lang w:eastAsia="zh-CN" w:bidi="th-TH"/>
        </w:rPr>
        <w:t xml:space="preserve"> have included state-wide policy updates, frameworks for rural and remote maternity and newborn services planning, and guidelines with a focus on postnatal care and access. Independent </w:t>
      </w:r>
      <w:r w:rsidRPr="004D1951">
        <w:rPr>
          <w:lang w:eastAsia="zh-CN" w:bidi="th-TH"/>
        </w:rPr>
        <w:t xml:space="preserve">reviews of the safety, quality and management of select maternity services have also been released. </w:t>
      </w:r>
      <w:r w:rsidR="004D1951">
        <w:rPr>
          <w:lang w:eastAsia="zh-CN" w:bidi="th-TH"/>
        </w:rPr>
        <w:t>Examples of these developments are</w:t>
      </w:r>
      <w:r w:rsidRPr="004D1951">
        <w:rPr>
          <w:lang w:eastAsia="zh-CN" w:bidi="th-TH"/>
        </w:rPr>
        <w:t xml:space="preserve"> provided in</w:t>
      </w:r>
      <w:r w:rsidR="00AA3CF3">
        <w:rPr>
          <w:lang w:eastAsia="zh-CN" w:bidi="th-TH"/>
        </w:rPr>
        <w:t xml:space="preserve"> </w:t>
      </w:r>
      <w:r w:rsidR="00AA3CF3">
        <w:rPr>
          <w:lang w:eastAsia="zh-CN" w:bidi="th-TH"/>
        </w:rPr>
        <w:fldChar w:fldCharType="begin"/>
      </w:r>
      <w:r w:rsidR="00AA3CF3">
        <w:rPr>
          <w:lang w:eastAsia="zh-CN" w:bidi="th-TH"/>
        </w:rPr>
        <w:instrText xml:space="preserve"> REF _Ref121414454 \h </w:instrText>
      </w:r>
      <w:r w:rsidR="00AA3CF3">
        <w:rPr>
          <w:lang w:eastAsia="zh-CN" w:bidi="th-TH"/>
        </w:rPr>
      </w:r>
      <w:r w:rsidR="00AA3CF3">
        <w:rPr>
          <w:lang w:eastAsia="zh-CN" w:bidi="th-TH"/>
        </w:rPr>
        <w:fldChar w:fldCharType="separate"/>
      </w:r>
      <w:r w:rsidR="00296988">
        <w:t xml:space="preserve">Table </w:t>
      </w:r>
      <w:r w:rsidR="00296988">
        <w:rPr>
          <w:noProof/>
        </w:rPr>
        <w:t>2</w:t>
      </w:r>
      <w:r w:rsidR="00AA3CF3">
        <w:rPr>
          <w:lang w:eastAsia="zh-CN" w:bidi="th-TH"/>
        </w:rPr>
        <w:fldChar w:fldCharType="end"/>
      </w:r>
      <w:r w:rsidR="004347F9">
        <w:rPr>
          <w:lang w:eastAsia="zh-CN" w:bidi="th-TH"/>
        </w:rPr>
        <w:t>; this is not an exhaustive list</w:t>
      </w:r>
      <w:r w:rsidR="00B247F1">
        <w:rPr>
          <w:lang w:eastAsia="zh-CN" w:bidi="th-TH"/>
        </w:rPr>
        <w:t>.</w:t>
      </w:r>
      <w:r w:rsidRPr="004D1951">
        <w:rPr>
          <w:lang w:eastAsia="zh-CN" w:bidi="th-TH"/>
        </w:rPr>
        <w:t xml:space="preserve"> </w:t>
      </w:r>
      <w:r w:rsidR="00473435">
        <w:t>Jurisdictions are also making progress to digitise health records which may assist with future collating and reporting of data to delivery and outcomes of maternity care.</w:t>
      </w:r>
    </w:p>
    <w:p w14:paraId="06000A2F" w14:textId="34A04A78" w:rsidR="00AA3CF3" w:rsidRPr="00CB0078" w:rsidRDefault="00AA3CF3" w:rsidP="00AA3CF3">
      <w:pPr>
        <w:pStyle w:val="Caption"/>
      </w:pPr>
      <w:bookmarkStart w:id="257" w:name="_Ref121414454"/>
      <w:bookmarkStart w:id="258" w:name="_Toc121429178"/>
      <w:r>
        <w:t xml:space="preserve">Table </w:t>
      </w:r>
      <w:r w:rsidR="00B24361">
        <w:fldChar w:fldCharType="begin"/>
      </w:r>
      <w:r w:rsidR="00B24361">
        <w:instrText xml:space="preserve"> SEQ Table \* ARABIC </w:instrText>
      </w:r>
      <w:r w:rsidR="00B24361">
        <w:fldChar w:fldCharType="separate"/>
      </w:r>
      <w:r w:rsidR="00296988">
        <w:rPr>
          <w:noProof/>
        </w:rPr>
        <w:t>2</w:t>
      </w:r>
      <w:r w:rsidR="00B24361">
        <w:rPr>
          <w:noProof/>
        </w:rPr>
        <w:fldChar w:fldCharType="end"/>
      </w:r>
      <w:bookmarkEnd w:id="257"/>
      <w:r>
        <w:tab/>
      </w:r>
      <w:r w:rsidRPr="00A46847">
        <w:t>Examples of national or jurisdictional policies, strategies or guidance</w:t>
      </w:r>
      <w:bookmarkEnd w:id="258"/>
      <w:r w:rsidRPr="00A46847">
        <w:t xml:space="preserve"> </w:t>
      </w:r>
    </w:p>
    <w:tbl>
      <w:tblPr>
        <w:tblStyle w:val="TableGrid"/>
        <w:tblW w:w="0" w:type="auto"/>
        <w:tblBorders>
          <w:top w:val="single" w:sz="4" w:space="0" w:color="0398D7"/>
          <w:left w:val="single" w:sz="4" w:space="0" w:color="0398D7"/>
          <w:bottom w:val="single" w:sz="4" w:space="0" w:color="0398D7"/>
          <w:right w:val="single" w:sz="4" w:space="0" w:color="0398D7"/>
          <w:insideH w:val="single" w:sz="4" w:space="0" w:color="0398D7"/>
          <w:insideV w:val="single" w:sz="4" w:space="0" w:color="0398D7"/>
        </w:tblBorders>
        <w:tblLook w:val="04A0" w:firstRow="1" w:lastRow="0" w:firstColumn="1" w:lastColumn="0" w:noHBand="0" w:noVBand="1"/>
      </w:tblPr>
      <w:tblGrid>
        <w:gridCol w:w="1920"/>
        <w:gridCol w:w="1803"/>
        <w:gridCol w:w="3280"/>
        <w:gridCol w:w="2852"/>
      </w:tblGrid>
      <w:tr w:rsidR="00AA3CF3" w:rsidRPr="00627652" w14:paraId="1358C162" w14:textId="77777777" w:rsidTr="00AA3CF3">
        <w:trPr>
          <w:tblHeader/>
        </w:trPr>
        <w:tc>
          <w:tcPr>
            <w:tcW w:w="0" w:type="auto"/>
            <w:shd w:val="clear" w:color="auto" w:fill="0398D7"/>
            <w:vAlign w:val="center"/>
          </w:tcPr>
          <w:p w14:paraId="4A9373F5" w14:textId="77777777" w:rsidR="00AA3CF3" w:rsidRPr="00627652" w:rsidRDefault="00AA3CF3" w:rsidP="00AA3CF3">
            <w:pPr>
              <w:rPr>
                <w:rFonts w:cstheme="minorHAnsi"/>
                <w:b/>
                <w:color w:val="FFFFFF" w:themeColor="background1"/>
                <w:sz w:val="20"/>
                <w:szCs w:val="20"/>
              </w:rPr>
            </w:pPr>
            <w:r w:rsidRPr="00627652">
              <w:rPr>
                <w:rFonts w:cstheme="minorHAnsi"/>
                <w:b/>
                <w:color w:val="FFFFFF" w:themeColor="background1"/>
                <w:sz w:val="20"/>
                <w:szCs w:val="20"/>
              </w:rPr>
              <w:t>Organisation</w:t>
            </w:r>
          </w:p>
        </w:tc>
        <w:tc>
          <w:tcPr>
            <w:tcW w:w="1803" w:type="dxa"/>
            <w:shd w:val="clear" w:color="auto" w:fill="0398D7"/>
            <w:vAlign w:val="center"/>
          </w:tcPr>
          <w:p w14:paraId="15D45167" w14:textId="77777777" w:rsidR="00AA3CF3" w:rsidRPr="00627652" w:rsidRDefault="00AA3CF3" w:rsidP="00AA3CF3">
            <w:pPr>
              <w:rPr>
                <w:rFonts w:cstheme="minorHAnsi"/>
                <w:b/>
                <w:color w:val="FFFFFF" w:themeColor="background1"/>
                <w:sz w:val="20"/>
                <w:szCs w:val="20"/>
              </w:rPr>
            </w:pPr>
            <w:r>
              <w:rPr>
                <w:rFonts w:cstheme="minorHAnsi"/>
                <w:b/>
                <w:color w:val="FFFFFF" w:themeColor="background1"/>
                <w:sz w:val="20"/>
                <w:szCs w:val="20"/>
              </w:rPr>
              <w:t xml:space="preserve">Document </w:t>
            </w:r>
          </w:p>
        </w:tc>
        <w:tc>
          <w:tcPr>
            <w:tcW w:w="3280" w:type="dxa"/>
            <w:shd w:val="clear" w:color="auto" w:fill="0398D7"/>
            <w:vAlign w:val="center"/>
          </w:tcPr>
          <w:p w14:paraId="0D439644" w14:textId="77777777" w:rsidR="00AA3CF3" w:rsidRPr="00627652" w:rsidRDefault="00AA3CF3" w:rsidP="00AA3CF3">
            <w:pPr>
              <w:rPr>
                <w:rFonts w:cstheme="minorHAnsi"/>
                <w:b/>
                <w:color w:val="FFFFFF" w:themeColor="background1"/>
                <w:sz w:val="20"/>
                <w:szCs w:val="20"/>
              </w:rPr>
            </w:pPr>
            <w:r w:rsidRPr="00627652">
              <w:rPr>
                <w:rFonts w:cstheme="minorHAnsi"/>
                <w:b/>
                <w:color w:val="FFFFFF" w:themeColor="background1"/>
                <w:sz w:val="20"/>
                <w:szCs w:val="20"/>
              </w:rPr>
              <w:t>Brief description</w:t>
            </w:r>
            <w:r>
              <w:rPr>
                <w:rFonts w:cstheme="minorHAnsi"/>
                <w:b/>
                <w:color w:val="FFFFFF" w:themeColor="background1"/>
                <w:sz w:val="20"/>
                <w:szCs w:val="20"/>
              </w:rPr>
              <w:t xml:space="preserve"> </w:t>
            </w:r>
          </w:p>
        </w:tc>
        <w:tc>
          <w:tcPr>
            <w:tcW w:w="0" w:type="auto"/>
            <w:shd w:val="clear" w:color="auto" w:fill="0398D7"/>
            <w:vAlign w:val="center"/>
          </w:tcPr>
          <w:p w14:paraId="74E86ADE" w14:textId="77777777" w:rsidR="00AA3CF3" w:rsidRPr="00627652" w:rsidRDefault="00AA3CF3" w:rsidP="00AA3CF3">
            <w:pPr>
              <w:rPr>
                <w:rFonts w:cstheme="minorHAnsi"/>
                <w:b/>
                <w:color w:val="FFFFFF" w:themeColor="background1"/>
                <w:sz w:val="20"/>
                <w:szCs w:val="20"/>
              </w:rPr>
            </w:pPr>
            <w:r w:rsidRPr="00627652">
              <w:rPr>
                <w:rFonts w:cstheme="minorHAnsi"/>
                <w:b/>
                <w:color w:val="FFFFFF" w:themeColor="background1"/>
                <w:sz w:val="20"/>
                <w:szCs w:val="20"/>
              </w:rPr>
              <w:t>Monitoring or evaluation (in progress or planned)</w:t>
            </w:r>
          </w:p>
        </w:tc>
      </w:tr>
      <w:tr w:rsidR="00AA3CF3" w:rsidRPr="00627652" w14:paraId="62D8BF64" w14:textId="77777777" w:rsidTr="00AA3CF3">
        <w:tc>
          <w:tcPr>
            <w:tcW w:w="0" w:type="auto"/>
          </w:tcPr>
          <w:p w14:paraId="4EFF9475" w14:textId="77777777" w:rsidR="00AA3CF3" w:rsidRPr="00627652" w:rsidRDefault="00AA3CF3" w:rsidP="00AA3CF3">
            <w:pPr>
              <w:rPr>
                <w:rFonts w:cstheme="minorHAnsi"/>
                <w:sz w:val="20"/>
                <w:szCs w:val="20"/>
              </w:rPr>
            </w:pPr>
            <w:r w:rsidRPr="00853720">
              <w:rPr>
                <w:rFonts w:cstheme="minorHAnsi"/>
                <w:sz w:val="20"/>
                <w:szCs w:val="20"/>
              </w:rPr>
              <w:t>Australian Capit</w:t>
            </w:r>
            <w:r>
              <w:rPr>
                <w:rFonts w:cstheme="minorHAnsi"/>
                <w:sz w:val="20"/>
                <w:szCs w:val="20"/>
              </w:rPr>
              <w:t>al Territory Health Directorate</w:t>
            </w:r>
          </w:p>
        </w:tc>
        <w:tc>
          <w:tcPr>
            <w:tcW w:w="1803" w:type="dxa"/>
          </w:tcPr>
          <w:p w14:paraId="3DEF2DC3" w14:textId="77777777" w:rsidR="00AA3CF3" w:rsidRPr="00627652" w:rsidRDefault="00B24361" w:rsidP="00AA3CF3">
            <w:pPr>
              <w:rPr>
                <w:rFonts w:cstheme="minorHAnsi"/>
                <w:sz w:val="20"/>
                <w:szCs w:val="20"/>
              </w:rPr>
            </w:pPr>
            <w:hyperlink r:id="rId27" w:anchor=":~:text=Maternity%20in%20Focus%3A%20The%20ACT%20Public%20Maternity%20System,strategies%2C%20in%20addition%20to%20recommendations%20from%20the%20Inquiry." w:history="1">
              <w:r w:rsidR="00AA3CF3" w:rsidRPr="00852374">
                <w:rPr>
                  <w:rStyle w:val="Hyperlink"/>
                  <w:rFonts w:cstheme="minorHAnsi"/>
                  <w:bCs/>
                  <w:sz w:val="20"/>
                  <w:szCs w:val="20"/>
                </w:rPr>
                <w:t>Maternity in Focus: The ACT Public Maternity System Plan 2022-2032</w:t>
              </w:r>
            </w:hyperlink>
          </w:p>
        </w:tc>
        <w:tc>
          <w:tcPr>
            <w:tcW w:w="3280" w:type="dxa"/>
          </w:tcPr>
          <w:p w14:paraId="1BBB62D7" w14:textId="34923E8A" w:rsidR="00AA3CF3" w:rsidRPr="00627652" w:rsidRDefault="00AA3CF3" w:rsidP="00AA3CF3">
            <w:pPr>
              <w:rPr>
                <w:rFonts w:cstheme="minorHAnsi"/>
                <w:color w:val="3A3D47"/>
                <w:sz w:val="20"/>
                <w:szCs w:val="20"/>
              </w:rPr>
            </w:pPr>
            <w:r w:rsidRPr="00627652">
              <w:rPr>
                <w:rFonts w:cstheme="minorHAnsi"/>
                <w:sz w:val="20"/>
                <w:szCs w:val="20"/>
              </w:rPr>
              <w:t xml:space="preserve">The Plan incorporates a variety of national maternity related strategies and the ACT Government’s Response to the </w:t>
            </w:r>
            <w:hyperlink r:id="rId28" w:history="1">
              <w:r w:rsidRPr="00627652">
                <w:rPr>
                  <w:rStyle w:val="Hyperlink"/>
                  <w:rFonts w:cstheme="minorHAnsi"/>
                  <w:sz w:val="20"/>
                  <w:szCs w:val="20"/>
                </w:rPr>
                <w:t>ACT Legislative Assembly’s Inquiry into Maternity Services</w:t>
              </w:r>
            </w:hyperlink>
            <w:r w:rsidRPr="00627652">
              <w:rPr>
                <w:rFonts w:cstheme="minorHAnsi"/>
                <w:sz w:val="20"/>
                <w:szCs w:val="20"/>
              </w:rPr>
              <w:t xml:space="preserve">. The Plan </w:t>
            </w:r>
            <w:r>
              <w:rPr>
                <w:rFonts w:cstheme="minorHAnsi"/>
                <w:sz w:val="20"/>
                <w:szCs w:val="20"/>
              </w:rPr>
              <w:t xml:space="preserve">is based on a co-design collaborative approach. It </w:t>
            </w:r>
            <w:r w:rsidRPr="00627652">
              <w:rPr>
                <w:rFonts w:cstheme="minorHAnsi"/>
                <w:sz w:val="20"/>
                <w:szCs w:val="20"/>
              </w:rPr>
              <w:t>outlines priority actions to create sustainable and meaningful change across ACT maternity services, across four key themes: consumers, best practice maternity care, clinical governance and data, and workforce</w:t>
            </w:r>
            <w:r w:rsidRPr="009F3A4A">
              <w:rPr>
                <w:rFonts w:cstheme="minorHAnsi"/>
                <w:sz w:val="20"/>
                <w:szCs w:val="20"/>
              </w:rPr>
              <w:t xml:space="preserve">. The Plan recognises the current significant improvement work that is being undertaken locally to expand services and implement the priorities of national strategies including the Woman-Centred Care Strategy, </w:t>
            </w:r>
            <w:r w:rsidRPr="009F3A4A">
              <w:rPr>
                <w:rFonts w:cstheme="minorHAnsi"/>
                <w:iCs/>
                <w:sz w:val="20"/>
                <w:szCs w:val="20"/>
                <w:lang w:eastAsia="zh-CN"/>
              </w:rPr>
              <w:t>Australian National Breastfeeding Strategy</w:t>
            </w:r>
            <w:r w:rsidRPr="009F3A4A">
              <w:rPr>
                <w:rFonts w:cstheme="minorHAnsi"/>
                <w:sz w:val="20"/>
                <w:szCs w:val="20"/>
                <w:lang w:eastAsia="zh-CN"/>
              </w:rPr>
              <w:t xml:space="preserve"> and</w:t>
            </w:r>
            <w:r w:rsidRPr="009F3A4A">
              <w:rPr>
                <w:rFonts w:cstheme="minorHAnsi"/>
                <w:iCs/>
                <w:sz w:val="20"/>
                <w:szCs w:val="20"/>
                <w:lang w:eastAsia="zh-CN"/>
              </w:rPr>
              <w:t xml:space="preserve"> the National Stillbirth Action and Implementation Plan. </w:t>
            </w:r>
            <w:r w:rsidRPr="009F3A4A">
              <w:rPr>
                <w:rFonts w:cstheme="minorHAnsi"/>
                <w:sz w:val="20"/>
                <w:szCs w:val="20"/>
              </w:rPr>
              <w:t>The 10-year plan includes a commitment to over 50% of women and pregnant people having access continuity of care by 2028 and will be supported by three Action Plans. The First Action Plan 2022-2025 consider</w:t>
            </w:r>
            <w:r>
              <w:rPr>
                <w:rFonts w:cstheme="minorHAnsi"/>
                <w:sz w:val="20"/>
                <w:szCs w:val="20"/>
              </w:rPr>
              <w:t xml:space="preserve">s </w:t>
            </w:r>
            <w:r w:rsidRPr="009F3A4A">
              <w:rPr>
                <w:rFonts w:cstheme="minorHAnsi"/>
                <w:sz w:val="20"/>
                <w:szCs w:val="20"/>
              </w:rPr>
              <w:t>and incorporate</w:t>
            </w:r>
            <w:r>
              <w:rPr>
                <w:rFonts w:cstheme="minorHAnsi"/>
                <w:sz w:val="20"/>
                <w:szCs w:val="20"/>
              </w:rPr>
              <w:t xml:space="preserve">s points, where necessary, from </w:t>
            </w:r>
            <w:r w:rsidRPr="009F3A4A">
              <w:rPr>
                <w:rFonts w:cstheme="minorHAnsi"/>
                <w:sz w:val="20"/>
                <w:szCs w:val="20"/>
              </w:rPr>
              <w:t>the national Strategy and are reflected in many of the themes, recommendations and actions of the Plan</w:t>
            </w:r>
          </w:p>
        </w:tc>
        <w:tc>
          <w:tcPr>
            <w:tcW w:w="0" w:type="auto"/>
          </w:tcPr>
          <w:p w14:paraId="7ECB9324" w14:textId="77777777" w:rsidR="00AA3CF3" w:rsidRPr="00627652" w:rsidRDefault="00AA3CF3" w:rsidP="00AA3CF3">
            <w:pPr>
              <w:rPr>
                <w:rFonts w:cstheme="minorHAnsi"/>
                <w:sz w:val="20"/>
                <w:szCs w:val="20"/>
              </w:rPr>
            </w:pPr>
            <w:r w:rsidRPr="00627652">
              <w:rPr>
                <w:rFonts w:cstheme="minorHAnsi"/>
                <w:sz w:val="20"/>
                <w:szCs w:val="20"/>
              </w:rPr>
              <w:t>A performance and evaluation framework expected to be developed and finalised in 2023; progress reports on implementation activities expected to be released annually from 2024.</w:t>
            </w:r>
          </w:p>
        </w:tc>
      </w:tr>
      <w:tr w:rsidR="00AA3CF3" w:rsidRPr="00627652" w14:paraId="18F1D720" w14:textId="77777777" w:rsidTr="00AA3CF3">
        <w:tc>
          <w:tcPr>
            <w:tcW w:w="0" w:type="auto"/>
          </w:tcPr>
          <w:p w14:paraId="30334E26" w14:textId="77777777" w:rsidR="00AA3CF3" w:rsidRPr="00627652" w:rsidRDefault="00AA3CF3" w:rsidP="00AA3CF3">
            <w:pPr>
              <w:rPr>
                <w:rFonts w:cstheme="minorHAnsi"/>
                <w:sz w:val="20"/>
                <w:szCs w:val="20"/>
              </w:rPr>
            </w:pPr>
            <w:r w:rsidRPr="00627652">
              <w:rPr>
                <w:rFonts w:cstheme="minorHAnsi"/>
                <w:bCs/>
                <w:sz w:val="20"/>
                <w:szCs w:val="20"/>
              </w:rPr>
              <w:lastRenderedPageBreak/>
              <w:t>Australian Government Department of Health</w:t>
            </w:r>
          </w:p>
        </w:tc>
        <w:tc>
          <w:tcPr>
            <w:tcW w:w="1803" w:type="dxa"/>
          </w:tcPr>
          <w:p w14:paraId="3B49D415" w14:textId="77777777" w:rsidR="00AA3CF3" w:rsidRPr="00627652" w:rsidRDefault="00B24361" w:rsidP="00AA3CF3">
            <w:pPr>
              <w:rPr>
                <w:rFonts w:cstheme="minorHAnsi"/>
                <w:sz w:val="20"/>
                <w:szCs w:val="20"/>
              </w:rPr>
            </w:pPr>
            <w:hyperlink r:id="rId29" w:history="1">
              <w:r w:rsidR="00AA3CF3" w:rsidRPr="00627652">
                <w:rPr>
                  <w:rStyle w:val="Hyperlink"/>
                  <w:rFonts w:cstheme="minorHAnsi"/>
                  <w:sz w:val="20"/>
                  <w:szCs w:val="20"/>
                </w:rPr>
                <w:t>The National Stillbirth Action and Implementation Plan</w:t>
              </w:r>
            </w:hyperlink>
          </w:p>
        </w:tc>
        <w:tc>
          <w:tcPr>
            <w:tcW w:w="3280" w:type="dxa"/>
          </w:tcPr>
          <w:p w14:paraId="1A5A0006" w14:textId="77777777" w:rsidR="00AA3CF3" w:rsidRPr="00627652" w:rsidRDefault="00AA3CF3" w:rsidP="00AA3CF3">
            <w:pPr>
              <w:pStyle w:val="Default"/>
              <w:rPr>
                <w:rFonts w:asciiTheme="minorHAnsi" w:hAnsiTheme="minorHAnsi" w:cstheme="minorHAnsi"/>
                <w:sz w:val="20"/>
                <w:szCs w:val="20"/>
              </w:rPr>
            </w:pPr>
            <w:r w:rsidRPr="00627652">
              <w:rPr>
                <w:rFonts w:asciiTheme="minorHAnsi" w:hAnsiTheme="minorHAnsi" w:cstheme="minorHAnsi"/>
                <w:sz w:val="20"/>
                <w:szCs w:val="20"/>
              </w:rPr>
              <w:t xml:space="preserve">This is the first national plan to strategically address the issue of stillbirth in Australia. It was developed to support a reduction in the number of stillbirths in Australia, a reduction in disparities in stillbirth rates between population groups, to increase community awareness and understanding of stillbirth, and to ensure high quality bereavement care and support is available to families who experience stillbirth. </w:t>
            </w:r>
            <w:r w:rsidRPr="00627652">
              <w:rPr>
                <w:rFonts w:asciiTheme="minorHAnsi" w:hAnsiTheme="minorHAnsi" w:cstheme="minorHAnsi"/>
                <w:color w:val="313131"/>
                <w:sz w:val="20"/>
                <w:szCs w:val="20"/>
                <w:shd w:val="clear" w:color="auto" w:fill="FFFFFF"/>
              </w:rPr>
              <w:t>The plan was developed in response to the 2018 </w:t>
            </w:r>
            <w:hyperlink r:id="rId30" w:history="1">
              <w:r w:rsidRPr="00627652">
                <w:rPr>
                  <w:rStyle w:val="Hyperlink"/>
                  <w:rFonts w:asciiTheme="minorHAnsi" w:eastAsiaTheme="majorEastAsia" w:hAnsiTheme="minorHAnsi" w:cstheme="minorHAnsi"/>
                  <w:color w:val="006FB0"/>
                  <w:sz w:val="20"/>
                  <w:szCs w:val="20"/>
                  <w:shd w:val="clear" w:color="auto" w:fill="FFFFFF"/>
                </w:rPr>
                <w:t>Senate Select Committee on Stillbirth Research and Education Report</w:t>
              </w:r>
            </w:hyperlink>
            <w:r w:rsidRPr="00627652">
              <w:rPr>
                <w:rFonts w:asciiTheme="minorHAnsi" w:hAnsiTheme="minorHAnsi" w:cstheme="minorHAnsi"/>
                <w:color w:val="313131"/>
                <w:sz w:val="20"/>
                <w:szCs w:val="20"/>
                <w:shd w:val="clear" w:color="auto" w:fill="FFFFFF"/>
              </w:rPr>
              <w:t>.</w:t>
            </w:r>
          </w:p>
        </w:tc>
        <w:tc>
          <w:tcPr>
            <w:tcW w:w="0" w:type="auto"/>
          </w:tcPr>
          <w:p w14:paraId="09BFAA38" w14:textId="77777777" w:rsidR="00AA3CF3" w:rsidRPr="00627652" w:rsidRDefault="00AA3CF3" w:rsidP="00AA3CF3">
            <w:pPr>
              <w:rPr>
                <w:rFonts w:cstheme="minorHAnsi"/>
                <w:sz w:val="20"/>
                <w:szCs w:val="20"/>
              </w:rPr>
            </w:pPr>
            <w:r w:rsidRPr="00627652">
              <w:rPr>
                <w:rFonts w:cstheme="minorHAnsi"/>
                <w:sz w:val="20"/>
                <w:szCs w:val="20"/>
              </w:rPr>
              <w:t>A Monitoring and Evaluation Framework has been developed; includes annual monitoring from 2022 and scheduled evaluation reports in 2023 (preliminary), 2026 (mid-term) and 2029-30 (final).</w:t>
            </w:r>
            <w:r>
              <w:rPr>
                <w:rFonts w:cstheme="minorHAnsi"/>
                <w:sz w:val="20"/>
                <w:szCs w:val="20"/>
              </w:rPr>
              <w:t xml:space="preserve"> </w:t>
            </w:r>
          </w:p>
        </w:tc>
      </w:tr>
      <w:tr w:rsidR="00AA3CF3" w:rsidRPr="00627652" w14:paraId="04CA8868" w14:textId="77777777" w:rsidTr="00AA3CF3">
        <w:tc>
          <w:tcPr>
            <w:tcW w:w="0" w:type="auto"/>
          </w:tcPr>
          <w:p w14:paraId="10D6A39F" w14:textId="77777777" w:rsidR="00AA3CF3" w:rsidRPr="00627652" w:rsidRDefault="00AA3CF3" w:rsidP="00AA3CF3">
            <w:pPr>
              <w:rPr>
                <w:rFonts w:cstheme="minorHAnsi"/>
                <w:sz w:val="20"/>
                <w:szCs w:val="20"/>
              </w:rPr>
            </w:pPr>
            <w:r w:rsidRPr="00627652">
              <w:rPr>
                <w:rFonts w:cstheme="minorHAnsi"/>
                <w:bCs/>
                <w:sz w:val="20"/>
                <w:szCs w:val="20"/>
              </w:rPr>
              <w:t>Australian Government Department of Health</w:t>
            </w:r>
          </w:p>
        </w:tc>
        <w:tc>
          <w:tcPr>
            <w:tcW w:w="1803" w:type="dxa"/>
          </w:tcPr>
          <w:p w14:paraId="154FB8B2" w14:textId="77777777" w:rsidR="00AA3CF3" w:rsidRDefault="00B24361" w:rsidP="00AA3CF3">
            <w:pPr>
              <w:rPr>
                <w:rStyle w:val="Hyperlink"/>
                <w:rFonts w:cstheme="minorHAnsi"/>
                <w:bCs/>
                <w:sz w:val="20"/>
                <w:szCs w:val="20"/>
              </w:rPr>
            </w:pPr>
            <w:hyperlink r:id="rId31" w:history="1">
              <w:r w:rsidR="00AA3CF3" w:rsidRPr="00627652">
                <w:rPr>
                  <w:rStyle w:val="Hyperlink"/>
                  <w:rFonts w:cstheme="minorHAnsi"/>
                  <w:bCs/>
                  <w:sz w:val="20"/>
                  <w:szCs w:val="20"/>
                </w:rPr>
                <w:t>Pregnancy Care Guidelines</w:t>
              </w:r>
            </w:hyperlink>
            <w:r w:rsidR="00AA3CF3">
              <w:rPr>
                <w:rStyle w:val="Hyperlink"/>
                <w:rFonts w:cstheme="minorHAnsi"/>
                <w:bCs/>
                <w:sz w:val="20"/>
                <w:szCs w:val="20"/>
              </w:rPr>
              <w:t xml:space="preserve"> </w:t>
            </w:r>
          </w:p>
          <w:p w14:paraId="2E6D4567" w14:textId="77777777" w:rsidR="00AA3CF3" w:rsidRDefault="00AA3CF3" w:rsidP="00AA3CF3">
            <w:pPr>
              <w:rPr>
                <w:rStyle w:val="Hyperlink"/>
                <w:rFonts w:cstheme="minorHAnsi"/>
                <w:bCs/>
                <w:sz w:val="20"/>
                <w:szCs w:val="20"/>
              </w:rPr>
            </w:pPr>
          </w:p>
          <w:p w14:paraId="310C57DC" w14:textId="77777777" w:rsidR="00AA3CF3" w:rsidRPr="00627652" w:rsidRDefault="00AA3CF3" w:rsidP="00AA3CF3">
            <w:pPr>
              <w:rPr>
                <w:rFonts w:cstheme="minorHAnsi"/>
                <w:sz w:val="20"/>
                <w:szCs w:val="20"/>
              </w:rPr>
            </w:pPr>
          </w:p>
        </w:tc>
        <w:tc>
          <w:tcPr>
            <w:tcW w:w="3280" w:type="dxa"/>
          </w:tcPr>
          <w:p w14:paraId="41936BC9" w14:textId="77777777" w:rsidR="00AA3CF3" w:rsidRPr="00627652" w:rsidRDefault="00AA3CF3" w:rsidP="00AA3CF3">
            <w:pPr>
              <w:rPr>
                <w:rFonts w:cstheme="minorHAnsi"/>
                <w:bCs/>
                <w:sz w:val="20"/>
                <w:szCs w:val="20"/>
              </w:rPr>
            </w:pPr>
            <w:r w:rsidRPr="00627652">
              <w:rPr>
                <w:rFonts w:cstheme="minorHAnsi"/>
                <w:bCs/>
                <w:sz w:val="20"/>
                <w:szCs w:val="20"/>
              </w:rPr>
              <w:t>Endorsed by the NHMRC, the Guidelines provide national evidence-based recommendations to support high quality, safe antenatal care in all settings. Editions of the guidelines have been released in 2018-</w:t>
            </w:r>
            <w:hyperlink r:id="rId32" w:history="1">
              <w:r w:rsidRPr="00627652">
                <w:rPr>
                  <w:rStyle w:val="Hyperlink"/>
                  <w:rFonts w:cstheme="minorHAnsi"/>
                  <w:bCs/>
                  <w:sz w:val="20"/>
                  <w:szCs w:val="20"/>
                </w:rPr>
                <w:t>2019</w:t>
              </w:r>
            </w:hyperlink>
            <w:r w:rsidRPr="00627652">
              <w:rPr>
                <w:rFonts w:cstheme="minorHAnsi"/>
                <w:bCs/>
                <w:sz w:val="20"/>
                <w:szCs w:val="20"/>
              </w:rPr>
              <w:t xml:space="preserve"> and </w:t>
            </w:r>
            <w:hyperlink r:id="rId33" w:history="1">
              <w:r w:rsidRPr="00627652">
                <w:rPr>
                  <w:rStyle w:val="Hyperlink"/>
                  <w:rFonts w:cstheme="minorHAnsi"/>
                  <w:bCs/>
                  <w:sz w:val="20"/>
                  <w:szCs w:val="20"/>
                </w:rPr>
                <w:t>2020</w:t>
              </w:r>
            </w:hyperlink>
            <w:r w:rsidRPr="00627652">
              <w:rPr>
                <w:rFonts w:cstheme="minorHAnsi"/>
                <w:bCs/>
                <w:sz w:val="20"/>
                <w:szCs w:val="20"/>
              </w:rPr>
              <w:t xml:space="preserve">. The guidelines outline specific approaches to pregnancy care for a range of groups, including for Aboriginal and Torres Strait Islander women, migrant and refugee women and women with severe mental illness. </w:t>
            </w:r>
            <w:hyperlink r:id="rId34" w:history="1">
              <w:r w:rsidRPr="00627652">
                <w:rPr>
                  <w:rStyle w:val="Hyperlink"/>
                  <w:rFonts w:cstheme="minorHAnsi"/>
                  <w:bCs/>
                  <w:sz w:val="20"/>
                  <w:szCs w:val="20"/>
                </w:rPr>
                <w:t>Summary sheets</w:t>
              </w:r>
            </w:hyperlink>
            <w:r w:rsidRPr="00627652">
              <w:rPr>
                <w:rFonts w:cstheme="minorHAnsi"/>
                <w:bCs/>
                <w:sz w:val="20"/>
                <w:szCs w:val="20"/>
              </w:rPr>
              <w:t xml:space="preserve"> for health professionals are available. </w:t>
            </w:r>
          </w:p>
        </w:tc>
        <w:tc>
          <w:tcPr>
            <w:tcW w:w="0" w:type="auto"/>
          </w:tcPr>
          <w:p w14:paraId="4F9AE831" w14:textId="77777777" w:rsidR="00AA3CF3" w:rsidRPr="00627652" w:rsidRDefault="00AA3CF3" w:rsidP="00AA3CF3">
            <w:pPr>
              <w:rPr>
                <w:rFonts w:cstheme="minorHAnsi"/>
                <w:sz w:val="20"/>
                <w:szCs w:val="20"/>
              </w:rPr>
            </w:pPr>
            <w:r w:rsidRPr="00627652">
              <w:rPr>
                <w:rFonts w:cstheme="minorHAnsi"/>
                <w:sz w:val="20"/>
                <w:szCs w:val="20"/>
              </w:rPr>
              <w:t>Details not available</w:t>
            </w:r>
          </w:p>
        </w:tc>
      </w:tr>
      <w:tr w:rsidR="00AA3CF3" w:rsidRPr="00627652" w14:paraId="3F9A07B1" w14:textId="77777777" w:rsidTr="00AA3CF3">
        <w:tc>
          <w:tcPr>
            <w:tcW w:w="0" w:type="auto"/>
            <w:shd w:val="clear" w:color="auto" w:fill="auto"/>
          </w:tcPr>
          <w:p w14:paraId="68DFA0C5" w14:textId="77777777" w:rsidR="00AA3CF3" w:rsidRPr="00627652" w:rsidRDefault="00AA3CF3" w:rsidP="00AA3CF3">
            <w:pPr>
              <w:rPr>
                <w:rFonts w:cstheme="minorHAnsi"/>
                <w:b/>
                <w:sz w:val="20"/>
                <w:szCs w:val="20"/>
              </w:rPr>
            </w:pPr>
            <w:r w:rsidRPr="00627652">
              <w:rPr>
                <w:rFonts w:cstheme="minorHAnsi"/>
                <w:sz w:val="20"/>
                <w:szCs w:val="20"/>
              </w:rPr>
              <w:t>Australian Government: Department of Health</w:t>
            </w:r>
          </w:p>
        </w:tc>
        <w:tc>
          <w:tcPr>
            <w:tcW w:w="1803" w:type="dxa"/>
            <w:shd w:val="clear" w:color="auto" w:fill="auto"/>
          </w:tcPr>
          <w:p w14:paraId="66279F19" w14:textId="77777777" w:rsidR="00AA3CF3" w:rsidRPr="00627652" w:rsidRDefault="00B24361" w:rsidP="00AA3CF3">
            <w:pPr>
              <w:rPr>
                <w:rFonts w:cstheme="minorHAnsi"/>
                <w:b/>
                <w:sz w:val="20"/>
                <w:szCs w:val="20"/>
              </w:rPr>
            </w:pPr>
            <w:hyperlink r:id="rId35" w:history="1">
              <w:r w:rsidR="00AA3CF3" w:rsidRPr="00627652">
                <w:rPr>
                  <w:rStyle w:val="Hyperlink"/>
                  <w:rFonts w:cstheme="minorHAnsi"/>
                  <w:sz w:val="20"/>
                  <w:szCs w:val="20"/>
                </w:rPr>
                <w:t>National Aboriginal and Torres Strait Islander Health Workforce Strategic Framework and Implementation Plan 2021–2031</w:t>
              </w:r>
            </w:hyperlink>
          </w:p>
        </w:tc>
        <w:tc>
          <w:tcPr>
            <w:tcW w:w="3280" w:type="dxa"/>
            <w:shd w:val="clear" w:color="auto" w:fill="auto"/>
          </w:tcPr>
          <w:p w14:paraId="190F73C0" w14:textId="77777777" w:rsidR="00AA3CF3" w:rsidRPr="00627652" w:rsidRDefault="00AA3CF3" w:rsidP="00AA3CF3">
            <w:pPr>
              <w:pStyle w:val="Default"/>
              <w:rPr>
                <w:rFonts w:asciiTheme="minorHAnsi" w:eastAsiaTheme="minorHAnsi" w:hAnsiTheme="minorHAnsi" w:cstheme="minorHAnsi"/>
                <w:sz w:val="20"/>
                <w:szCs w:val="20"/>
                <w:lang w:eastAsia="en-US"/>
              </w:rPr>
            </w:pPr>
            <w:r w:rsidRPr="00627652">
              <w:rPr>
                <w:rFonts w:asciiTheme="minorHAnsi" w:hAnsiTheme="minorHAnsi" w:cstheme="minorHAnsi"/>
                <w:sz w:val="20"/>
                <w:szCs w:val="20"/>
              </w:rPr>
              <w:t xml:space="preserve">The framework and implementation plan is a </w:t>
            </w:r>
            <w:r w:rsidRPr="00627652">
              <w:rPr>
                <w:rFonts w:asciiTheme="minorHAnsi" w:eastAsiaTheme="minorHAnsi" w:hAnsiTheme="minorHAnsi" w:cstheme="minorHAnsi"/>
                <w:color w:val="211D1E"/>
                <w:sz w:val="20"/>
                <w:szCs w:val="20"/>
                <w:lang w:eastAsia="en-US"/>
              </w:rPr>
              <w:t>co-designed plan that addresses six key strategic directions, which together will address the Plan’s aim for Aboriginal and Torres Strait Islander people to represent 3.43% of the national health workforce by 2031; designed to align with the 2020 National Agreement on Closing the Gap and the National Aboriginal and Torres Strait Islander Health Plan.</w:t>
            </w:r>
          </w:p>
        </w:tc>
        <w:tc>
          <w:tcPr>
            <w:tcW w:w="0" w:type="auto"/>
            <w:shd w:val="clear" w:color="auto" w:fill="auto"/>
          </w:tcPr>
          <w:p w14:paraId="00D85549" w14:textId="77777777" w:rsidR="00AA3CF3" w:rsidRPr="00627652" w:rsidRDefault="00AA3CF3" w:rsidP="00AA3CF3">
            <w:pPr>
              <w:rPr>
                <w:rFonts w:cstheme="minorHAnsi"/>
                <w:sz w:val="20"/>
                <w:szCs w:val="20"/>
              </w:rPr>
            </w:pPr>
            <w:r w:rsidRPr="00627652">
              <w:rPr>
                <w:rFonts w:cstheme="minorHAnsi"/>
                <w:sz w:val="20"/>
                <w:szCs w:val="20"/>
              </w:rPr>
              <w:t>The Plan is scheduled for a mid-term review in 2026 and a final review in 2031. Both reviews will be independent and undertaken in partnership with Aboriginal and Torres Strait Islander</w:t>
            </w:r>
            <w:r>
              <w:rPr>
                <w:rFonts w:cstheme="minorHAnsi"/>
                <w:sz w:val="20"/>
                <w:szCs w:val="20"/>
              </w:rPr>
              <w:t xml:space="preserve"> </w:t>
            </w:r>
            <w:r w:rsidRPr="00627652">
              <w:rPr>
                <w:rFonts w:cstheme="minorHAnsi"/>
                <w:sz w:val="20"/>
                <w:szCs w:val="20"/>
              </w:rPr>
              <w:t>stakeholders to evaluate progress towards achieving the outcomes of the National Workforce Plan.</w:t>
            </w:r>
          </w:p>
          <w:p w14:paraId="064C7E68" w14:textId="77777777" w:rsidR="00AA3CF3" w:rsidRPr="00627652" w:rsidRDefault="00AA3CF3" w:rsidP="00AA3CF3">
            <w:pPr>
              <w:rPr>
                <w:rFonts w:cstheme="minorHAnsi"/>
                <w:sz w:val="20"/>
                <w:szCs w:val="20"/>
              </w:rPr>
            </w:pPr>
            <w:r w:rsidRPr="00627652">
              <w:rPr>
                <w:rFonts w:cstheme="minorHAnsi"/>
                <w:sz w:val="20"/>
                <w:szCs w:val="20"/>
              </w:rPr>
              <w:t>In support of this a detailed Monitoring and Evaluation Framework will be</w:t>
            </w:r>
            <w:r>
              <w:rPr>
                <w:rFonts w:cstheme="minorHAnsi"/>
                <w:sz w:val="20"/>
                <w:szCs w:val="20"/>
              </w:rPr>
              <w:t xml:space="preserve"> </w:t>
            </w:r>
            <w:r w:rsidRPr="00627652">
              <w:rPr>
                <w:rFonts w:cstheme="minorHAnsi"/>
                <w:sz w:val="20"/>
                <w:szCs w:val="20"/>
              </w:rPr>
              <w:t>developed to track the implementation and impact of the National Workforce Plan in meeting its objectives.</w:t>
            </w:r>
          </w:p>
        </w:tc>
      </w:tr>
      <w:tr w:rsidR="00AA3CF3" w:rsidRPr="00627652" w14:paraId="7DF97331" w14:textId="77777777" w:rsidTr="00AA3CF3">
        <w:tc>
          <w:tcPr>
            <w:tcW w:w="0" w:type="auto"/>
          </w:tcPr>
          <w:p w14:paraId="1325E136" w14:textId="77777777" w:rsidR="00AA3CF3" w:rsidRPr="00627652" w:rsidRDefault="00AA3CF3" w:rsidP="00AA3CF3">
            <w:pPr>
              <w:rPr>
                <w:rFonts w:cstheme="minorHAnsi"/>
                <w:sz w:val="20"/>
                <w:szCs w:val="20"/>
              </w:rPr>
            </w:pPr>
            <w:r w:rsidRPr="00627652">
              <w:rPr>
                <w:rFonts w:cstheme="minorHAnsi"/>
                <w:sz w:val="20"/>
                <w:szCs w:val="20"/>
              </w:rPr>
              <w:t>Centre for Perinatal Excellence (COPE)</w:t>
            </w:r>
          </w:p>
        </w:tc>
        <w:tc>
          <w:tcPr>
            <w:tcW w:w="1803" w:type="dxa"/>
          </w:tcPr>
          <w:p w14:paraId="2F3D88EB" w14:textId="77777777" w:rsidR="00AA3CF3" w:rsidRDefault="00B24361" w:rsidP="00AA3CF3">
            <w:pPr>
              <w:rPr>
                <w:rStyle w:val="Hyperlink"/>
                <w:rFonts w:cstheme="minorHAnsi"/>
                <w:sz w:val="20"/>
                <w:szCs w:val="20"/>
              </w:rPr>
            </w:pPr>
            <w:hyperlink r:id="rId36" w:history="1">
              <w:r w:rsidR="00AA3CF3" w:rsidRPr="00627652">
                <w:rPr>
                  <w:rStyle w:val="Hyperlink"/>
                  <w:rFonts w:cstheme="minorHAnsi"/>
                  <w:sz w:val="20"/>
                  <w:szCs w:val="20"/>
                </w:rPr>
                <w:t>Mental Health Care in the Perinatal Period: Australian Clinical Practice Guideline</w:t>
              </w:r>
            </w:hyperlink>
            <w:r w:rsidR="00AA3CF3">
              <w:rPr>
                <w:rStyle w:val="Hyperlink"/>
                <w:rFonts w:cstheme="minorHAnsi"/>
                <w:sz w:val="20"/>
                <w:szCs w:val="20"/>
              </w:rPr>
              <w:t>.</w:t>
            </w:r>
          </w:p>
          <w:p w14:paraId="66BA70F7" w14:textId="77777777" w:rsidR="00AA3CF3" w:rsidRDefault="00AA3CF3" w:rsidP="00AA3CF3">
            <w:pPr>
              <w:rPr>
                <w:rStyle w:val="Hyperlink"/>
                <w:rFonts w:cstheme="minorHAnsi"/>
                <w:sz w:val="20"/>
                <w:szCs w:val="20"/>
              </w:rPr>
            </w:pPr>
          </w:p>
          <w:p w14:paraId="198CAC84" w14:textId="77777777" w:rsidR="00AA3CF3" w:rsidRPr="00627652" w:rsidRDefault="00AA3CF3" w:rsidP="00AA3CF3">
            <w:pPr>
              <w:rPr>
                <w:rFonts w:cstheme="minorHAnsi"/>
                <w:sz w:val="20"/>
                <w:szCs w:val="20"/>
              </w:rPr>
            </w:pPr>
          </w:p>
        </w:tc>
        <w:tc>
          <w:tcPr>
            <w:tcW w:w="3280" w:type="dxa"/>
          </w:tcPr>
          <w:p w14:paraId="44C3164D" w14:textId="77777777" w:rsidR="00AA3CF3" w:rsidRPr="00627652" w:rsidRDefault="00AA3CF3" w:rsidP="00AA3CF3">
            <w:pPr>
              <w:pStyle w:val="Default"/>
              <w:rPr>
                <w:rFonts w:asciiTheme="minorHAnsi" w:hAnsiTheme="minorHAnsi" w:cstheme="minorHAnsi"/>
                <w:sz w:val="20"/>
                <w:szCs w:val="20"/>
                <w:highlight w:val="green"/>
              </w:rPr>
            </w:pPr>
            <w:r w:rsidRPr="00627652">
              <w:rPr>
                <w:rFonts w:asciiTheme="minorHAnsi" w:hAnsiTheme="minorHAnsi" w:cstheme="minorHAnsi"/>
                <w:sz w:val="20"/>
                <w:szCs w:val="20"/>
              </w:rPr>
              <w:t xml:space="preserve">The NHMRC-endorsed Guideline aims to support health professionals in providing evidence-based care for all women in the perinatal period. </w:t>
            </w:r>
            <w:r>
              <w:rPr>
                <w:rFonts w:asciiTheme="minorHAnsi" w:hAnsiTheme="minorHAnsi" w:cstheme="minorHAnsi"/>
                <w:sz w:val="20"/>
                <w:szCs w:val="20"/>
              </w:rPr>
              <w:t>T</w:t>
            </w:r>
            <w:r w:rsidRPr="00627652">
              <w:rPr>
                <w:rFonts w:asciiTheme="minorHAnsi" w:hAnsiTheme="minorHAnsi" w:cstheme="minorHAnsi"/>
                <w:sz w:val="20"/>
                <w:szCs w:val="20"/>
              </w:rPr>
              <w:t xml:space="preserve">he Guideline provides guidance on mental health screening and psychosocial assessment, and care </w:t>
            </w:r>
            <w:r w:rsidRPr="00627652">
              <w:rPr>
                <w:rFonts w:asciiTheme="minorHAnsi" w:hAnsiTheme="minorHAnsi" w:cstheme="minorHAnsi"/>
                <w:sz w:val="20"/>
                <w:szCs w:val="20"/>
              </w:rPr>
              <w:lastRenderedPageBreak/>
              <w:t xml:space="preserve">for women </w:t>
            </w:r>
            <w:r w:rsidRPr="00627652">
              <w:rPr>
                <w:rFonts w:asciiTheme="minorHAnsi" w:hAnsiTheme="minorHAnsi" w:cstheme="minorHAnsi"/>
                <w:color w:val="auto"/>
                <w:sz w:val="20"/>
                <w:szCs w:val="20"/>
              </w:rPr>
              <w:t>with depressive and anxiety disorders, severe mental illnesses (schizophrenia, bipolar disorder and postpartum psychosis) and borderline personality disorder.</w:t>
            </w:r>
            <w:r w:rsidRPr="00627652">
              <w:rPr>
                <w:rFonts w:asciiTheme="minorHAnsi" w:hAnsiTheme="minorHAnsi" w:cstheme="minorHAnsi"/>
                <w:color w:val="auto"/>
                <w:sz w:val="20"/>
                <w:szCs w:val="20"/>
                <w:shd w:val="clear" w:color="auto" w:fill="FFFFFF"/>
              </w:rPr>
              <w:t xml:space="preserve"> </w:t>
            </w:r>
            <w:hyperlink r:id="rId37" w:history="1">
              <w:r w:rsidRPr="00627652">
                <w:rPr>
                  <w:rStyle w:val="Hyperlink"/>
                  <w:rFonts w:asciiTheme="minorHAnsi" w:hAnsiTheme="minorHAnsi" w:cstheme="minorHAnsi"/>
                  <w:sz w:val="20"/>
                  <w:szCs w:val="20"/>
                  <w:shd w:val="clear" w:color="auto" w:fill="FFFFFF"/>
                </w:rPr>
                <w:t>Companion documents and fact sheets</w:t>
              </w:r>
            </w:hyperlink>
            <w:r w:rsidRPr="00627652">
              <w:rPr>
                <w:rFonts w:asciiTheme="minorHAnsi" w:hAnsiTheme="minorHAnsi" w:cstheme="minorHAnsi"/>
                <w:color w:val="auto"/>
                <w:sz w:val="20"/>
                <w:szCs w:val="20"/>
                <w:shd w:val="clear" w:color="auto" w:fill="FFFFFF"/>
              </w:rPr>
              <w:t xml:space="preserve"> developed for health professionals, consumers and family members are also available. </w:t>
            </w:r>
          </w:p>
        </w:tc>
        <w:tc>
          <w:tcPr>
            <w:tcW w:w="0" w:type="auto"/>
          </w:tcPr>
          <w:p w14:paraId="0B3B535B" w14:textId="77777777" w:rsidR="00AA3CF3" w:rsidRPr="00627652" w:rsidRDefault="00AA3CF3" w:rsidP="00AA3CF3">
            <w:pPr>
              <w:rPr>
                <w:rFonts w:cstheme="minorHAnsi"/>
                <w:sz w:val="20"/>
                <w:szCs w:val="20"/>
                <w:highlight w:val="green"/>
              </w:rPr>
            </w:pPr>
            <w:r w:rsidRPr="00627652">
              <w:rPr>
                <w:rFonts w:cstheme="minorHAnsi"/>
                <w:sz w:val="20"/>
                <w:szCs w:val="20"/>
              </w:rPr>
              <w:lastRenderedPageBreak/>
              <w:t>Details not available</w:t>
            </w:r>
          </w:p>
        </w:tc>
      </w:tr>
      <w:tr w:rsidR="00AA3CF3" w:rsidRPr="00627652" w14:paraId="3A2D054F" w14:textId="77777777" w:rsidTr="00AA3CF3">
        <w:tc>
          <w:tcPr>
            <w:tcW w:w="0" w:type="auto"/>
            <w:shd w:val="clear" w:color="auto" w:fill="auto"/>
          </w:tcPr>
          <w:p w14:paraId="65C51449" w14:textId="77777777" w:rsidR="00AA3CF3" w:rsidRPr="00627652" w:rsidRDefault="00AA3CF3" w:rsidP="00AA3CF3">
            <w:pPr>
              <w:rPr>
                <w:rFonts w:cstheme="minorHAnsi"/>
                <w:b/>
                <w:sz w:val="20"/>
                <w:szCs w:val="20"/>
              </w:rPr>
            </w:pPr>
            <w:r w:rsidRPr="00627652">
              <w:rPr>
                <w:rFonts w:cstheme="minorHAnsi"/>
                <w:sz w:val="20"/>
                <w:szCs w:val="20"/>
              </w:rPr>
              <w:t>Coalition of Aboriginal and Torres Strait Islander Peak Organisations and all Australian Governments</w:t>
            </w:r>
          </w:p>
        </w:tc>
        <w:tc>
          <w:tcPr>
            <w:tcW w:w="1803" w:type="dxa"/>
            <w:shd w:val="clear" w:color="auto" w:fill="auto"/>
          </w:tcPr>
          <w:p w14:paraId="54A82D87" w14:textId="77777777" w:rsidR="00AA3CF3" w:rsidRPr="00627652" w:rsidRDefault="00B24361" w:rsidP="00AA3CF3">
            <w:pPr>
              <w:rPr>
                <w:rFonts w:cstheme="minorHAnsi"/>
                <w:b/>
                <w:sz w:val="20"/>
                <w:szCs w:val="20"/>
              </w:rPr>
            </w:pPr>
            <w:hyperlink r:id="rId38" w:history="1">
              <w:r w:rsidR="00AA3CF3" w:rsidRPr="00627652">
                <w:rPr>
                  <w:rStyle w:val="Hyperlink"/>
                  <w:rFonts w:cstheme="minorHAnsi"/>
                  <w:sz w:val="20"/>
                  <w:szCs w:val="20"/>
                </w:rPr>
                <w:t>National Agreement on Closing the Gap, 2020</w:t>
              </w:r>
            </w:hyperlink>
          </w:p>
        </w:tc>
        <w:tc>
          <w:tcPr>
            <w:tcW w:w="3280" w:type="dxa"/>
            <w:shd w:val="clear" w:color="auto" w:fill="auto"/>
          </w:tcPr>
          <w:p w14:paraId="52E77B4B" w14:textId="77777777" w:rsidR="00AA3CF3" w:rsidRPr="00627652" w:rsidRDefault="00AA3CF3" w:rsidP="00AA3CF3">
            <w:pPr>
              <w:rPr>
                <w:rFonts w:cstheme="minorHAnsi"/>
                <w:b/>
                <w:sz w:val="20"/>
                <w:szCs w:val="20"/>
              </w:rPr>
            </w:pPr>
            <w:r w:rsidRPr="00627652">
              <w:rPr>
                <w:rFonts w:cstheme="minorHAnsi"/>
                <w:sz w:val="20"/>
                <w:szCs w:val="20"/>
              </w:rPr>
              <w:t xml:space="preserve">The Agreement developed measures to improve outcomes for Aboriginal and Torres Strait Islander people, families, and communities. It has four overarching priority reforms and 17 socioeconomic outcome areas, with specific targets and indicators to enable monitoring of progress made against each of the outcome areas. Implementation Plans have been developed by each party to the National Agreement. </w:t>
            </w:r>
          </w:p>
        </w:tc>
        <w:tc>
          <w:tcPr>
            <w:tcW w:w="0" w:type="auto"/>
            <w:shd w:val="clear" w:color="auto" w:fill="auto"/>
          </w:tcPr>
          <w:p w14:paraId="1571D1A1" w14:textId="6F14CD23" w:rsidR="00AA3CF3" w:rsidRPr="00627652" w:rsidRDefault="00AA3CF3" w:rsidP="00AA3CF3">
            <w:pPr>
              <w:textAlignment w:val="baseline"/>
              <w:rPr>
                <w:rFonts w:cstheme="minorHAnsi"/>
                <w:sz w:val="20"/>
                <w:szCs w:val="20"/>
              </w:rPr>
            </w:pPr>
            <w:r w:rsidRPr="00627652">
              <w:rPr>
                <w:rFonts w:cstheme="minorHAnsi"/>
                <w:sz w:val="20"/>
                <w:szCs w:val="20"/>
              </w:rPr>
              <w:t xml:space="preserve">Annual reports on progress against Implementation Plans; three-yearly independent reports on progress against the National Agreement undertaken by the Productivity Commission followed by an </w:t>
            </w:r>
            <w:r w:rsidR="001F0EDF">
              <w:rPr>
                <w:rFonts w:cstheme="minorHAnsi"/>
                <w:sz w:val="20"/>
                <w:szCs w:val="20"/>
              </w:rPr>
              <w:t>Aboriginal and Torres Strait Islander</w:t>
            </w:r>
            <w:r w:rsidRPr="00627652">
              <w:rPr>
                <w:rFonts w:cstheme="minorHAnsi"/>
                <w:sz w:val="20"/>
                <w:szCs w:val="20"/>
              </w:rPr>
              <w:t xml:space="preserve">-led review of progress every three years. </w:t>
            </w:r>
          </w:p>
          <w:p w14:paraId="4A83B7BF" w14:textId="77777777" w:rsidR="00AA3CF3" w:rsidRPr="00627652" w:rsidRDefault="00AA3CF3" w:rsidP="00AA3CF3">
            <w:pPr>
              <w:rPr>
                <w:rFonts w:cstheme="minorHAnsi"/>
                <w:b/>
                <w:sz w:val="20"/>
                <w:szCs w:val="20"/>
              </w:rPr>
            </w:pPr>
          </w:p>
        </w:tc>
      </w:tr>
      <w:tr w:rsidR="00AA3CF3" w:rsidRPr="00627652" w14:paraId="5F1AA742" w14:textId="77777777" w:rsidTr="00AA3CF3">
        <w:tc>
          <w:tcPr>
            <w:tcW w:w="0" w:type="auto"/>
          </w:tcPr>
          <w:p w14:paraId="6C318941" w14:textId="77777777" w:rsidR="00AA3CF3" w:rsidRPr="00627652" w:rsidRDefault="00AA3CF3" w:rsidP="00AA3CF3">
            <w:pPr>
              <w:rPr>
                <w:rFonts w:cstheme="minorHAnsi"/>
                <w:sz w:val="20"/>
                <w:szCs w:val="20"/>
              </w:rPr>
            </w:pPr>
            <w:r w:rsidRPr="00627652">
              <w:rPr>
                <w:rFonts w:cstheme="minorHAnsi"/>
                <w:sz w:val="20"/>
                <w:szCs w:val="20"/>
              </w:rPr>
              <w:t>Council of Australian Governments</w:t>
            </w:r>
          </w:p>
        </w:tc>
        <w:tc>
          <w:tcPr>
            <w:tcW w:w="1803" w:type="dxa"/>
          </w:tcPr>
          <w:p w14:paraId="436B6F7C" w14:textId="77777777" w:rsidR="00AA3CF3" w:rsidRPr="00627652" w:rsidRDefault="00B24361" w:rsidP="00AA3CF3">
            <w:pPr>
              <w:rPr>
                <w:rFonts w:cstheme="minorHAnsi"/>
                <w:sz w:val="20"/>
                <w:szCs w:val="20"/>
              </w:rPr>
            </w:pPr>
            <w:hyperlink r:id="rId39" w:history="1">
              <w:r w:rsidR="00AA3CF3" w:rsidRPr="00627652">
                <w:rPr>
                  <w:rStyle w:val="Hyperlink"/>
                  <w:rFonts w:cstheme="minorHAnsi"/>
                  <w:iCs/>
                  <w:sz w:val="20"/>
                  <w:szCs w:val="20"/>
                </w:rPr>
                <w:t>Australian National Breastfeeding Strategy: 2019 and Beyond</w:t>
              </w:r>
            </w:hyperlink>
          </w:p>
        </w:tc>
        <w:tc>
          <w:tcPr>
            <w:tcW w:w="3280" w:type="dxa"/>
          </w:tcPr>
          <w:p w14:paraId="0BA0BF0B" w14:textId="77777777" w:rsidR="00AA3CF3" w:rsidRPr="00627652" w:rsidRDefault="00AA3CF3" w:rsidP="00AA3CF3">
            <w:pPr>
              <w:pStyle w:val="Default"/>
              <w:rPr>
                <w:rStyle w:val="A2"/>
                <w:rFonts w:asciiTheme="minorHAnsi" w:hAnsiTheme="minorHAnsi" w:cstheme="minorHAnsi"/>
                <w:color w:val="auto"/>
              </w:rPr>
            </w:pPr>
            <w:r w:rsidRPr="00627652">
              <w:rPr>
                <w:rFonts w:asciiTheme="minorHAnsi" w:hAnsiTheme="minorHAnsi" w:cstheme="minorHAnsi"/>
                <w:sz w:val="20"/>
                <w:szCs w:val="20"/>
              </w:rPr>
              <w:t>The strategy provides a framework for integrated, coordinated action to shape and inform policies and programs that aim to support mothers, fathers/partners and their babies throughout their breastfeeding journeys; details three priority areas and ten action areas to provide a supportive and enabling environment for breastfeeding.</w:t>
            </w:r>
          </w:p>
        </w:tc>
        <w:tc>
          <w:tcPr>
            <w:tcW w:w="0" w:type="auto"/>
          </w:tcPr>
          <w:p w14:paraId="30CDB80D" w14:textId="77777777" w:rsidR="00AA3CF3" w:rsidRPr="00627652" w:rsidRDefault="00AA3CF3" w:rsidP="00AA3CF3">
            <w:pPr>
              <w:rPr>
                <w:rFonts w:cstheme="minorHAnsi"/>
                <w:sz w:val="20"/>
                <w:szCs w:val="20"/>
              </w:rPr>
            </w:pPr>
            <w:r w:rsidRPr="00627652">
              <w:rPr>
                <w:rFonts w:cstheme="minorHAnsi"/>
                <w:sz w:val="20"/>
                <w:szCs w:val="20"/>
              </w:rPr>
              <w:t>Baseline evaluation scheduled 2020 (baseline report was not available at the time of writing); annual report cards from 2020; mid-term evaluation scheduled 2024-25, final evaluation scheduled 2029-30.</w:t>
            </w:r>
          </w:p>
        </w:tc>
      </w:tr>
      <w:tr w:rsidR="00AA3CF3" w:rsidRPr="00627652" w14:paraId="122176F4" w14:textId="77777777" w:rsidTr="00AA3CF3">
        <w:tc>
          <w:tcPr>
            <w:tcW w:w="0" w:type="auto"/>
            <w:shd w:val="clear" w:color="auto" w:fill="auto"/>
          </w:tcPr>
          <w:p w14:paraId="1C8F7555" w14:textId="77777777" w:rsidR="00AA3CF3" w:rsidRPr="00627652" w:rsidRDefault="00AA3CF3" w:rsidP="00AA3CF3">
            <w:pPr>
              <w:rPr>
                <w:rFonts w:cstheme="minorHAnsi"/>
                <w:bCs/>
                <w:sz w:val="20"/>
                <w:szCs w:val="20"/>
              </w:rPr>
            </w:pPr>
            <w:r w:rsidRPr="00627652">
              <w:rPr>
                <w:rFonts w:cstheme="minorHAnsi"/>
                <w:sz w:val="20"/>
                <w:szCs w:val="20"/>
              </w:rPr>
              <w:t>Department of Health, National Framework for Health Services for Aboriginal and Torres Strait Islander Children and Families, Australian Government</w:t>
            </w:r>
          </w:p>
        </w:tc>
        <w:tc>
          <w:tcPr>
            <w:tcW w:w="1803" w:type="dxa"/>
            <w:shd w:val="clear" w:color="auto" w:fill="auto"/>
          </w:tcPr>
          <w:p w14:paraId="4694F600" w14:textId="77777777" w:rsidR="00AA3CF3" w:rsidRPr="00627652" w:rsidRDefault="00B24361" w:rsidP="00AA3CF3">
            <w:pPr>
              <w:rPr>
                <w:rFonts w:cstheme="minorHAnsi"/>
                <w:bCs/>
                <w:sz w:val="20"/>
                <w:szCs w:val="20"/>
              </w:rPr>
            </w:pPr>
            <w:hyperlink r:id="rId40" w:history="1">
              <w:r w:rsidR="00AA3CF3" w:rsidRPr="00627652">
                <w:rPr>
                  <w:rStyle w:val="Hyperlink"/>
                  <w:rFonts w:cstheme="minorHAnsi"/>
                  <w:sz w:val="20"/>
                  <w:szCs w:val="20"/>
                </w:rPr>
                <w:t>National Framework for Health Services for Aboriginal and Torres Strait Islander Children and Families (the Framework)</w:t>
              </w:r>
            </w:hyperlink>
          </w:p>
        </w:tc>
        <w:tc>
          <w:tcPr>
            <w:tcW w:w="3280" w:type="dxa"/>
            <w:shd w:val="clear" w:color="auto" w:fill="auto"/>
          </w:tcPr>
          <w:p w14:paraId="5BAE39B6" w14:textId="77777777" w:rsidR="00AA3CF3" w:rsidRPr="00627652" w:rsidRDefault="00AA3CF3" w:rsidP="00AA3CF3">
            <w:pPr>
              <w:rPr>
                <w:rFonts w:cstheme="minorHAnsi"/>
                <w:sz w:val="20"/>
                <w:szCs w:val="20"/>
              </w:rPr>
            </w:pPr>
            <w:r w:rsidRPr="00627652">
              <w:rPr>
                <w:rFonts w:cstheme="minorHAnsi"/>
                <w:sz w:val="20"/>
                <w:szCs w:val="20"/>
              </w:rPr>
              <w:t>The Framework was developed to complement the National Framework for Universal Child and Family Health Services (the Universal Services Framework), the National Framework for Child and Family Health Services – secondary and tertiary services and the National Aboriginal and Torres Strait Islander Health Plan 2013 – 2023 (the Health Plan). The core elements of health services for Aboriginal and Torres Strait Islander children and families are: health and developmental surveillance; health promotion; early identification of family need and risk; and responding to identified need.</w:t>
            </w:r>
          </w:p>
        </w:tc>
        <w:tc>
          <w:tcPr>
            <w:tcW w:w="0" w:type="auto"/>
            <w:shd w:val="clear" w:color="auto" w:fill="auto"/>
          </w:tcPr>
          <w:p w14:paraId="45E8E18B" w14:textId="77777777" w:rsidR="00AA3CF3" w:rsidRPr="00627652" w:rsidRDefault="00AA3CF3" w:rsidP="00AA3CF3">
            <w:pPr>
              <w:rPr>
                <w:rFonts w:cstheme="minorHAnsi"/>
                <w:sz w:val="20"/>
                <w:szCs w:val="20"/>
              </w:rPr>
            </w:pPr>
            <w:r w:rsidRPr="00627652">
              <w:rPr>
                <w:rFonts w:cstheme="minorHAnsi"/>
                <w:sz w:val="20"/>
                <w:szCs w:val="20"/>
              </w:rPr>
              <w:t>Details not available</w:t>
            </w:r>
          </w:p>
        </w:tc>
      </w:tr>
      <w:tr w:rsidR="00AA3CF3" w:rsidRPr="00627652" w14:paraId="698ABB95" w14:textId="77777777" w:rsidTr="00AA3CF3">
        <w:tc>
          <w:tcPr>
            <w:tcW w:w="0" w:type="auto"/>
          </w:tcPr>
          <w:p w14:paraId="28DD1FDF" w14:textId="77777777" w:rsidR="00AA3CF3" w:rsidRPr="00627652" w:rsidRDefault="00AA3CF3" w:rsidP="00AA3CF3">
            <w:pPr>
              <w:rPr>
                <w:rFonts w:cstheme="minorHAnsi"/>
                <w:sz w:val="20"/>
                <w:szCs w:val="20"/>
              </w:rPr>
            </w:pPr>
            <w:r w:rsidRPr="00627652">
              <w:rPr>
                <w:rFonts w:cstheme="minorHAnsi"/>
                <w:sz w:val="20"/>
                <w:szCs w:val="20"/>
              </w:rPr>
              <w:t>Government of Western Australia</w:t>
            </w:r>
          </w:p>
          <w:p w14:paraId="461C6E73" w14:textId="77777777" w:rsidR="00AA3CF3" w:rsidRPr="00627652" w:rsidRDefault="00AA3CF3" w:rsidP="00AA3CF3">
            <w:pPr>
              <w:rPr>
                <w:rFonts w:cstheme="minorHAnsi"/>
                <w:sz w:val="20"/>
                <w:szCs w:val="20"/>
              </w:rPr>
            </w:pPr>
          </w:p>
        </w:tc>
        <w:tc>
          <w:tcPr>
            <w:tcW w:w="1803" w:type="dxa"/>
          </w:tcPr>
          <w:p w14:paraId="4BC613B5" w14:textId="77777777" w:rsidR="00AA3CF3" w:rsidRPr="00627652" w:rsidRDefault="00B24361" w:rsidP="00AA3CF3">
            <w:pPr>
              <w:rPr>
                <w:rFonts w:cstheme="minorHAnsi"/>
                <w:sz w:val="20"/>
                <w:szCs w:val="20"/>
              </w:rPr>
            </w:pPr>
            <w:hyperlink r:id="rId41" w:history="1">
              <w:r w:rsidR="00AA3CF3" w:rsidRPr="00627652">
                <w:rPr>
                  <w:rStyle w:val="Hyperlink"/>
                  <w:rFonts w:cstheme="minorHAnsi"/>
                  <w:sz w:val="20"/>
                  <w:szCs w:val="20"/>
                </w:rPr>
                <w:t>Statewide Maternity Shared Care Guidelines</w:t>
              </w:r>
            </w:hyperlink>
          </w:p>
        </w:tc>
        <w:tc>
          <w:tcPr>
            <w:tcW w:w="3280" w:type="dxa"/>
          </w:tcPr>
          <w:p w14:paraId="08EEF01B" w14:textId="77777777" w:rsidR="00AA3CF3" w:rsidRPr="00627652" w:rsidRDefault="00AA3CF3" w:rsidP="00AA3CF3">
            <w:pPr>
              <w:rPr>
                <w:rFonts w:cstheme="minorHAnsi"/>
                <w:sz w:val="20"/>
                <w:szCs w:val="20"/>
              </w:rPr>
            </w:pPr>
            <w:r w:rsidRPr="00627652">
              <w:rPr>
                <w:rFonts w:cstheme="minorHAnsi"/>
                <w:sz w:val="20"/>
                <w:szCs w:val="20"/>
              </w:rPr>
              <w:t xml:space="preserve">These guidelines are underpinned by the national Clinical Practice Guidelines for Pregnancy Care, the WA aim is to support maternity care providers develop and implement shared care models and processes, effective communication and clear </w:t>
            </w:r>
            <w:r w:rsidRPr="00627652">
              <w:rPr>
                <w:rFonts w:cstheme="minorHAnsi"/>
                <w:sz w:val="20"/>
                <w:szCs w:val="20"/>
              </w:rPr>
              <w:lastRenderedPageBreak/>
              <w:t xml:space="preserve">understanding of the roles and responsibilities of maternity care providers in maternity shared care. </w:t>
            </w:r>
          </w:p>
        </w:tc>
        <w:tc>
          <w:tcPr>
            <w:tcW w:w="0" w:type="auto"/>
          </w:tcPr>
          <w:p w14:paraId="517DFE1F" w14:textId="77777777" w:rsidR="00AA3CF3" w:rsidRPr="00627652" w:rsidRDefault="00AA3CF3" w:rsidP="00AA3CF3">
            <w:pPr>
              <w:rPr>
                <w:rFonts w:cstheme="minorHAnsi"/>
                <w:sz w:val="20"/>
                <w:szCs w:val="20"/>
              </w:rPr>
            </w:pPr>
            <w:r w:rsidRPr="00627652">
              <w:rPr>
                <w:rFonts w:cstheme="minorHAnsi"/>
                <w:sz w:val="20"/>
                <w:szCs w:val="20"/>
              </w:rPr>
              <w:lastRenderedPageBreak/>
              <w:t xml:space="preserve">Recommends setting up a governance committee with representation from the birthing hospital and shared care providers to maintain the coordination, standards and </w:t>
            </w:r>
            <w:r w:rsidRPr="00627652">
              <w:rPr>
                <w:rFonts w:cstheme="minorHAnsi"/>
                <w:sz w:val="20"/>
                <w:szCs w:val="20"/>
              </w:rPr>
              <w:lastRenderedPageBreak/>
              <w:t>evaluation of the shared care program</w:t>
            </w:r>
          </w:p>
        </w:tc>
      </w:tr>
      <w:tr w:rsidR="00AA3CF3" w:rsidRPr="00627652" w14:paraId="4D2E8C9D" w14:textId="77777777" w:rsidTr="00AA3CF3">
        <w:tc>
          <w:tcPr>
            <w:tcW w:w="0" w:type="auto"/>
          </w:tcPr>
          <w:p w14:paraId="0A4B388C" w14:textId="77777777" w:rsidR="00AA3CF3" w:rsidRPr="00627652" w:rsidRDefault="00AA3CF3" w:rsidP="00AA3CF3">
            <w:pPr>
              <w:rPr>
                <w:rFonts w:cstheme="minorHAnsi"/>
                <w:sz w:val="20"/>
                <w:szCs w:val="20"/>
              </w:rPr>
            </w:pPr>
            <w:r w:rsidRPr="00627652">
              <w:rPr>
                <w:rFonts w:cstheme="minorHAnsi"/>
                <w:sz w:val="20"/>
                <w:szCs w:val="20"/>
              </w:rPr>
              <w:lastRenderedPageBreak/>
              <w:t>Government of Western Australia</w:t>
            </w:r>
          </w:p>
          <w:p w14:paraId="02C4F82D" w14:textId="77777777" w:rsidR="00AA3CF3" w:rsidRPr="00627652" w:rsidRDefault="00AA3CF3" w:rsidP="00AA3CF3">
            <w:pPr>
              <w:rPr>
                <w:rFonts w:cstheme="minorHAnsi"/>
                <w:sz w:val="20"/>
                <w:szCs w:val="20"/>
              </w:rPr>
            </w:pPr>
          </w:p>
        </w:tc>
        <w:tc>
          <w:tcPr>
            <w:tcW w:w="1803" w:type="dxa"/>
          </w:tcPr>
          <w:p w14:paraId="59719B5B" w14:textId="77777777" w:rsidR="00AA3CF3" w:rsidRPr="00627652" w:rsidRDefault="00B24361" w:rsidP="00AA3CF3">
            <w:pPr>
              <w:rPr>
                <w:rFonts w:cstheme="minorHAnsi"/>
                <w:sz w:val="20"/>
                <w:szCs w:val="20"/>
              </w:rPr>
            </w:pPr>
            <w:hyperlink r:id="rId42" w:history="1">
              <w:r w:rsidR="00AA3CF3" w:rsidRPr="00627652">
                <w:rPr>
                  <w:rStyle w:val="Hyperlink"/>
                  <w:rFonts w:cstheme="minorHAnsi"/>
                  <w:sz w:val="20"/>
                  <w:szCs w:val="20"/>
                </w:rPr>
                <w:t xml:space="preserve">WA Country Health Service Maternal and Newborn Care Strategy </w:t>
              </w:r>
              <w:r w:rsidR="00AA3CF3" w:rsidRPr="00627652">
                <w:rPr>
                  <w:rStyle w:val="Hyperlink"/>
                  <w:rFonts w:cstheme="minorHAnsi"/>
                  <w:iCs/>
                  <w:sz w:val="20"/>
                  <w:szCs w:val="20"/>
                </w:rPr>
                <w:t>2019–24</w:t>
              </w:r>
            </w:hyperlink>
          </w:p>
        </w:tc>
        <w:tc>
          <w:tcPr>
            <w:tcW w:w="3280" w:type="dxa"/>
          </w:tcPr>
          <w:p w14:paraId="7661D710" w14:textId="77777777" w:rsidR="00AA3CF3" w:rsidRPr="00627652" w:rsidRDefault="00AA3CF3" w:rsidP="00AA3CF3">
            <w:pPr>
              <w:rPr>
                <w:rFonts w:cstheme="minorHAnsi"/>
                <w:iCs/>
                <w:color w:val="0000FF"/>
                <w:sz w:val="20"/>
                <w:szCs w:val="20"/>
                <w:u w:val="single"/>
              </w:rPr>
            </w:pPr>
            <w:r w:rsidRPr="00627652">
              <w:rPr>
                <w:rFonts w:cstheme="minorHAnsi"/>
                <w:sz w:val="20"/>
                <w:szCs w:val="20"/>
              </w:rPr>
              <w:t>This is a five year plan to strengthen the delivery of, and access, to high quality maternal and newborn care services closer to home and on country. The Strategy focuses on four key directions: sustainable, quality maternal and newborn care services; partnerships, collaboration and support; skilled and stable workforce; and innovative use of technology. The Strategy will be supported by the development of regional service and implementation plans that consider local context, workforce planning, available resources and community needs.</w:t>
            </w:r>
          </w:p>
        </w:tc>
        <w:tc>
          <w:tcPr>
            <w:tcW w:w="0" w:type="auto"/>
          </w:tcPr>
          <w:p w14:paraId="22846BF6" w14:textId="77777777" w:rsidR="00AA3CF3" w:rsidRPr="00627652" w:rsidRDefault="00AA3CF3" w:rsidP="00AA3CF3">
            <w:pPr>
              <w:rPr>
                <w:rFonts w:cstheme="minorHAnsi"/>
                <w:sz w:val="20"/>
                <w:szCs w:val="20"/>
              </w:rPr>
            </w:pPr>
            <w:r w:rsidRPr="00627652">
              <w:rPr>
                <w:rFonts w:cstheme="minorHAnsi"/>
                <w:sz w:val="20"/>
                <w:szCs w:val="20"/>
              </w:rPr>
              <w:t xml:space="preserve">Guidance for monitoring progress is provided in the Strategy, including an overview of key performance indicators, targets and timeframes. </w:t>
            </w:r>
          </w:p>
        </w:tc>
      </w:tr>
      <w:tr w:rsidR="00AA3CF3" w:rsidRPr="00627652" w14:paraId="4A93AFA7" w14:textId="77777777" w:rsidTr="00AA3CF3">
        <w:trPr>
          <w:trHeight w:val="70"/>
        </w:trPr>
        <w:tc>
          <w:tcPr>
            <w:tcW w:w="0" w:type="auto"/>
          </w:tcPr>
          <w:p w14:paraId="0DD5517C" w14:textId="77777777" w:rsidR="00AA3CF3" w:rsidRPr="00627652" w:rsidRDefault="00AA3CF3" w:rsidP="00AA3CF3">
            <w:pPr>
              <w:rPr>
                <w:rFonts w:cstheme="minorHAnsi"/>
                <w:sz w:val="20"/>
                <w:szCs w:val="20"/>
              </w:rPr>
            </w:pPr>
            <w:r w:rsidRPr="00627652">
              <w:rPr>
                <w:rFonts w:cstheme="minorHAnsi"/>
                <w:sz w:val="20"/>
                <w:szCs w:val="20"/>
              </w:rPr>
              <w:t>Government of Western Australia</w:t>
            </w:r>
          </w:p>
          <w:p w14:paraId="4BA3AB7B" w14:textId="77777777" w:rsidR="00AA3CF3" w:rsidRPr="00627652" w:rsidRDefault="00AA3CF3" w:rsidP="00AA3CF3">
            <w:pPr>
              <w:rPr>
                <w:rFonts w:cstheme="minorHAnsi"/>
                <w:sz w:val="20"/>
                <w:szCs w:val="20"/>
              </w:rPr>
            </w:pPr>
          </w:p>
        </w:tc>
        <w:tc>
          <w:tcPr>
            <w:tcW w:w="1803" w:type="dxa"/>
          </w:tcPr>
          <w:p w14:paraId="60F678AE" w14:textId="77777777" w:rsidR="00AA3CF3" w:rsidRPr="00627652" w:rsidRDefault="00B24361" w:rsidP="00AA3CF3">
            <w:pPr>
              <w:rPr>
                <w:rFonts w:cstheme="minorHAnsi"/>
                <w:sz w:val="20"/>
                <w:szCs w:val="20"/>
              </w:rPr>
            </w:pPr>
            <w:hyperlink r:id="rId43" w:history="1">
              <w:r w:rsidR="00AA3CF3" w:rsidRPr="00627652">
                <w:rPr>
                  <w:rStyle w:val="Hyperlink"/>
                  <w:rFonts w:cstheme="minorHAnsi"/>
                  <w:sz w:val="20"/>
                  <w:szCs w:val="20"/>
                </w:rPr>
                <w:t>COVID-19 Guidelines for Maternity Services</w:t>
              </w:r>
            </w:hyperlink>
          </w:p>
        </w:tc>
        <w:tc>
          <w:tcPr>
            <w:tcW w:w="3280" w:type="dxa"/>
          </w:tcPr>
          <w:p w14:paraId="6A8093BC" w14:textId="77777777" w:rsidR="00AA3CF3" w:rsidRPr="00627652" w:rsidRDefault="00AA3CF3" w:rsidP="00AA3CF3">
            <w:pPr>
              <w:rPr>
                <w:rFonts w:cstheme="minorHAnsi"/>
                <w:sz w:val="20"/>
                <w:szCs w:val="20"/>
              </w:rPr>
            </w:pPr>
            <w:r w:rsidRPr="00627652">
              <w:rPr>
                <w:rFonts w:cstheme="minorHAnsi"/>
                <w:sz w:val="20"/>
                <w:szCs w:val="20"/>
              </w:rPr>
              <w:t>Developed to provide high-level guidance for maternity care facilities in developing their own procedures and policies around maternity care during the COVID-19 pandemic.</w:t>
            </w:r>
          </w:p>
        </w:tc>
        <w:tc>
          <w:tcPr>
            <w:tcW w:w="0" w:type="auto"/>
          </w:tcPr>
          <w:p w14:paraId="61B07C0B" w14:textId="77777777" w:rsidR="00AA3CF3" w:rsidRPr="00627652" w:rsidRDefault="00AA3CF3" w:rsidP="00AA3CF3">
            <w:pPr>
              <w:rPr>
                <w:rFonts w:cstheme="minorHAnsi"/>
                <w:sz w:val="20"/>
                <w:szCs w:val="20"/>
              </w:rPr>
            </w:pPr>
            <w:r w:rsidRPr="00627652">
              <w:rPr>
                <w:rFonts w:cstheme="minorHAnsi"/>
                <w:sz w:val="20"/>
                <w:szCs w:val="20"/>
              </w:rPr>
              <w:t>Details not available</w:t>
            </w:r>
          </w:p>
        </w:tc>
      </w:tr>
      <w:tr w:rsidR="00AA3CF3" w:rsidRPr="00627652" w14:paraId="54C670FA" w14:textId="77777777" w:rsidTr="00AA3CF3">
        <w:trPr>
          <w:trHeight w:val="70"/>
        </w:trPr>
        <w:tc>
          <w:tcPr>
            <w:tcW w:w="0" w:type="auto"/>
          </w:tcPr>
          <w:p w14:paraId="1EC66499" w14:textId="77777777" w:rsidR="00AA3CF3" w:rsidRPr="00627652" w:rsidRDefault="00AA3CF3" w:rsidP="00AA3CF3">
            <w:pPr>
              <w:rPr>
                <w:rFonts w:cstheme="minorHAnsi"/>
                <w:sz w:val="20"/>
                <w:szCs w:val="20"/>
              </w:rPr>
            </w:pPr>
            <w:r w:rsidRPr="00627652">
              <w:rPr>
                <w:rFonts w:cstheme="minorHAnsi"/>
                <w:sz w:val="20"/>
                <w:szCs w:val="20"/>
              </w:rPr>
              <w:t>Government of Western Australia</w:t>
            </w:r>
          </w:p>
          <w:p w14:paraId="3C0E0DA3" w14:textId="77777777" w:rsidR="00AA3CF3" w:rsidRPr="00627652" w:rsidRDefault="00AA3CF3" w:rsidP="00AA3CF3">
            <w:pPr>
              <w:rPr>
                <w:rFonts w:cstheme="minorHAnsi"/>
                <w:sz w:val="20"/>
                <w:szCs w:val="20"/>
              </w:rPr>
            </w:pPr>
          </w:p>
        </w:tc>
        <w:tc>
          <w:tcPr>
            <w:tcW w:w="1803" w:type="dxa"/>
          </w:tcPr>
          <w:p w14:paraId="022DE7B5" w14:textId="77777777" w:rsidR="00AA3CF3" w:rsidRPr="00627652" w:rsidRDefault="00B24361" w:rsidP="00AA3CF3">
            <w:pPr>
              <w:rPr>
                <w:rFonts w:cstheme="minorHAnsi"/>
                <w:sz w:val="20"/>
                <w:szCs w:val="20"/>
              </w:rPr>
            </w:pPr>
            <w:hyperlink r:id="rId44" w:history="1">
              <w:r w:rsidR="00AA3CF3" w:rsidRPr="00627652">
                <w:rPr>
                  <w:rStyle w:val="Hyperlink"/>
                  <w:rFonts w:cstheme="minorHAnsi"/>
                  <w:sz w:val="20"/>
                  <w:szCs w:val="20"/>
                </w:rPr>
                <w:t>Maternal and Newborn Care Capability Framework Policy</w:t>
              </w:r>
            </w:hyperlink>
            <w:r w:rsidR="00AA3CF3" w:rsidRPr="00627652">
              <w:rPr>
                <w:rStyle w:val="Hyperlink"/>
                <w:rFonts w:cstheme="minorHAnsi"/>
                <w:sz w:val="20"/>
                <w:szCs w:val="20"/>
              </w:rPr>
              <w:t xml:space="preserve"> (2020)</w:t>
            </w:r>
          </w:p>
        </w:tc>
        <w:tc>
          <w:tcPr>
            <w:tcW w:w="3280" w:type="dxa"/>
          </w:tcPr>
          <w:p w14:paraId="361EB4CA" w14:textId="77777777" w:rsidR="00AA3CF3" w:rsidRPr="00627652" w:rsidRDefault="00AA3CF3" w:rsidP="00AA3CF3">
            <w:pPr>
              <w:rPr>
                <w:rFonts w:cstheme="minorHAnsi"/>
                <w:sz w:val="20"/>
                <w:szCs w:val="20"/>
              </w:rPr>
            </w:pPr>
            <w:r w:rsidRPr="00627652">
              <w:rPr>
                <w:rFonts w:cstheme="minorHAnsi"/>
                <w:sz w:val="20"/>
                <w:szCs w:val="20"/>
              </w:rPr>
              <w:t xml:space="preserve">This WACHS policy framework provides information about where maternity and newborn care services can be delivered and the standards that apply to provision of these services. The delineation of service levels is based on the </w:t>
            </w:r>
            <w:hyperlink r:id="rId45" w:history="1">
              <w:r w:rsidRPr="00627652">
                <w:rPr>
                  <w:rStyle w:val="Hyperlink"/>
                  <w:rFonts w:cstheme="minorHAnsi"/>
                  <w:sz w:val="20"/>
                  <w:szCs w:val="20"/>
                </w:rPr>
                <w:t>WA Health Clinical Services Framework, 2014–2024</w:t>
              </w:r>
            </w:hyperlink>
            <w:r w:rsidRPr="00627652">
              <w:rPr>
                <w:rFonts w:cstheme="minorHAnsi"/>
                <w:sz w:val="20"/>
                <w:szCs w:val="20"/>
              </w:rPr>
              <w:t xml:space="preserve"> and the 2009 WA Framework for the Care of Neonates in Western Australia.</w:t>
            </w:r>
          </w:p>
        </w:tc>
        <w:tc>
          <w:tcPr>
            <w:tcW w:w="0" w:type="auto"/>
          </w:tcPr>
          <w:p w14:paraId="530A7F67" w14:textId="77777777" w:rsidR="00AA3CF3" w:rsidRPr="00627652" w:rsidRDefault="00AA3CF3" w:rsidP="00AA3CF3">
            <w:pPr>
              <w:rPr>
                <w:rFonts w:cstheme="minorHAnsi"/>
                <w:sz w:val="20"/>
                <w:szCs w:val="20"/>
              </w:rPr>
            </w:pPr>
            <w:r w:rsidRPr="00627652">
              <w:rPr>
                <w:rFonts w:cstheme="minorHAnsi"/>
                <w:sz w:val="20"/>
                <w:szCs w:val="20"/>
              </w:rPr>
              <w:t>Details not available</w:t>
            </w:r>
          </w:p>
        </w:tc>
      </w:tr>
      <w:tr w:rsidR="00AA3CF3" w:rsidRPr="00627652" w14:paraId="38951D36" w14:textId="77777777" w:rsidTr="00AA3CF3">
        <w:tc>
          <w:tcPr>
            <w:tcW w:w="0" w:type="auto"/>
          </w:tcPr>
          <w:p w14:paraId="5BE90980" w14:textId="77777777" w:rsidR="00AA3CF3" w:rsidRPr="00627652" w:rsidRDefault="00AA3CF3" w:rsidP="00AA3CF3">
            <w:pPr>
              <w:rPr>
                <w:rFonts w:cstheme="minorHAnsi"/>
                <w:sz w:val="20"/>
                <w:szCs w:val="20"/>
              </w:rPr>
            </w:pPr>
            <w:r w:rsidRPr="00627652">
              <w:rPr>
                <w:rFonts w:cstheme="minorHAnsi"/>
                <w:sz w:val="20"/>
                <w:szCs w:val="20"/>
              </w:rPr>
              <w:t>Northern Territory Government</w:t>
            </w:r>
          </w:p>
        </w:tc>
        <w:tc>
          <w:tcPr>
            <w:tcW w:w="1803" w:type="dxa"/>
          </w:tcPr>
          <w:p w14:paraId="161E55CF" w14:textId="77777777" w:rsidR="00AA3CF3" w:rsidRPr="00627652" w:rsidRDefault="00B24361" w:rsidP="00AA3CF3">
            <w:pPr>
              <w:rPr>
                <w:rFonts w:cstheme="minorHAnsi"/>
                <w:sz w:val="20"/>
                <w:szCs w:val="20"/>
              </w:rPr>
            </w:pPr>
            <w:hyperlink r:id="rId46" w:history="1">
              <w:r w:rsidR="00AA3CF3" w:rsidRPr="00627652">
                <w:rPr>
                  <w:rStyle w:val="Hyperlink"/>
                  <w:rFonts w:cstheme="minorHAnsi"/>
                  <w:sz w:val="20"/>
                  <w:szCs w:val="20"/>
                </w:rPr>
                <w:t>Strategic Plan for Nursing and Midwifery in the Northern Territory 2019 - 2022</w:t>
              </w:r>
            </w:hyperlink>
          </w:p>
        </w:tc>
        <w:tc>
          <w:tcPr>
            <w:tcW w:w="3280" w:type="dxa"/>
          </w:tcPr>
          <w:p w14:paraId="24CEA5AA" w14:textId="77777777" w:rsidR="00AA3CF3" w:rsidRPr="00627652" w:rsidRDefault="00AA3CF3" w:rsidP="00AA3CF3">
            <w:pPr>
              <w:pStyle w:val="Default"/>
              <w:rPr>
                <w:rFonts w:asciiTheme="minorHAnsi" w:hAnsiTheme="minorHAnsi" w:cstheme="minorHAnsi"/>
                <w:sz w:val="20"/>
                <w:szCs w:val="20"/>
              </w:rPr>
            </w:pPr>
            <w:r w:rsidRPr="00627652">
              <w:rPr>
                <w:rFonts w:asciiTheme="minorHAnsi" w:hAnsiTheme="minorHAnsi" w:cstheme="minorHAnsi"/>
                <w:sz w:val="20"/>
                <w:szCs w:val="20"/>
              </w:rPr>
              <w:t>The Strategy promotes the collaboration of nursing and midwifery staff to deliver better health for all Territorians. The focus is on collaboration, excellence and innovation.</w:t>
            </w:r>
          </w:p>
        </w:tc>
        <w:tc>
          <w:tcPr>
            <w:tcW w:w="0" w:type="auto"/>
          </w:tcPr>
          <w:p w14:paraId="26B63ED4" w14:textId="77777777" w:rsidR="00AA3CF3" w:rsidRPr="00627652" w:rsidRDefault="00AA3CF3" w:rsidP="00AA3CF3">
            <w:pPr>
              <w:rPr>
                <w:rFonts w:cstheme="minorHAnsi"/>
                <w:sz w:val="20"/>
                <w:szCs w:val="20"/>
              </w:rPr>
            </w:pPr>
            <w:r w:rsidRPr="00627652">
              <w:rPr>
                <w:rFonts w:cstheme="minorHAnsi"/>
                <w:sz w:val="20"/>
                <w:szCs w:val="20"/>
              </w:rPr>
              <w:t>A NT Nursing and Midwifery Performance Framework is to be developed in support of the Strategy.</w:t>
            </w:r>
          </w:p>
        </w:tc>
      </w:tr>
      <w:tr w:rsidR="00AA3CF3" w:rsidRPr="00627652" w14:paraId="7FD801E0" w14:textId="77777777" w:rsidTr="00AA3CF3">
        <w:tc>
          <w:tcPr>
            <w:tcW w:w="0" w:type="auto"/>
          </w:tcPr>
          <w:p w14:paraId="4B8E846C" w14:textId="77777777" w:rsidR="00AA3CF3" w:rsidRPr="00627652" w:rsidRDefault="00AA3CF3" w:rsidP="00AA3CF3">
            <w:pPr>
              <w:rPr>
                <w:rFonts w:cstheme="minorHAnsi"/>
                <w:sz w:val="20"/>
                <w:szCs w:val="20"/>
              </w:rPr>
            </w:pPr>
            <w:r w:rsidRPr="00627652">
              <w:rPr>
                <w:rFonts w:cstheme="minorHAnsi"/>
                <w:sz w:val="20"/>
                <w:szCs w:val="20"/>
              </w:rPr>
              <w:t xml:space="preserve">NSW Health </w:t>
            </w:r>
          </w:p>
        </w:tc>
        <w:tc>
          <w:tcPr>
            <w:tcW w:w="1803" w:type="dxa"/>
          </w:tcPr>
          <w:p w14:paraId="357AFAFA" w14:textId="77777777" w:rsidR="00AA3CF3" w:rsidRPr="00627652" w:rsidRDefault="00B24361" w:rsidP="00AA3CF3">
            <w:pPr>
              <w:rPr>
                <w:rFonts w:cstheme="minorHAnsi"/>
                <w:sz w:val="20"/>
                <w:szCs w:val="20"/>
              </w:rPr>
            </w:pPr>
            <w:hyperlink r:id="rId47" w:history="1">
              <w:r w:rsidR="00AA3CF3" w:rsidRPr="00627652">
                <w:rPr>
                  <w:rStyle w:val="Hyperlink"/>
                  <w:rFonts w:cstheme="minorHAnsi"/>
                  <w:sz w:val="20"/>
                  <w:szCs w:val="20"/>
                </w:rPr>
                <w:t>Connecting, listening and responding: Maternity care in NSW (Consultation Draft), 2020</w:t>
              </w:r>
            </w:hyperlink>
          </w:p>
        </w:tc>
        <w:tc>
          <w:tcPr>
            <w:tcW w:w="3280" w:type="dxa"/>
          </w:tcPr>
          <w:p w14:paraId="49FB1732" w14:textId="7636E376" w:rsidR="00AA3CF3" w:rsidRPr="00627652" w:rsidRDefault="00AA3CF3" w:rsidP="00AA3CF3">
            <w:pPr>
              <w:pStyle w:val="Default"/>
              <w:rPr>
                <w:rFonts w:asciiTheme="minorHAnsi" w:hAnsiTheme="minorHAnsi" w:cstheme="minorHAnsi"/>
                <w:color w:val="auto"/>
                <w:sz w:val="20"/>
                <w:szCs w:val="20"/>
              </w:rPr>
            </w:pPr>
            <w:r w:rsidRPr="00627652">
              <w:rPr>
                <w:rFonts w:asciiTheme="minorHAnsi" w:hAnsiTheme="minorHAnsi" w:cstheme="minorHAnsi"/>
                <w:sz w:val="20"/>
                <w:szCs w:val="20"/>
              </w:rPr>
              <w:t xml:space="preserve">The draft policy aligns with </w:t>
            </w:r>
            <w:r w:rsidRPr="00627652">
              <w:rPr>
                <w:rFonts w:asciiTheme="minorHAnsi" w:hAnsiTheme="minorHAnsi" w:cstheme="minorHAnsi"/>
                <w:iCs/>
                <w:sz w:val="20"/>
                <w:szCs w:val="20"/>
              </w:rPr>
              <w:t xml:space="preserve">the </w:t>
            </w:r>
            <w:r>
              <w:rPr>
                <w:rFonts w:asciiTheme="minorHAnsi" w:hAnsiTheme="minorHAnsi" w:cstheme="minorHAnsi"/>
                <w:iCs/>
                <w:sz w:val="20"/>
                <w:szCs w:val="20"/>
              </w:rPr>
              <w:t xml:space="preserve">national </w:t>
            </w:r>
            <w:r w:rsidRPr="00627652">
              <w:rPr>
                <w:rFonts w:asciiTheme="minorHAnsi" w:hAnsiTheme="minorHAnsi" w:cstheme="minorHAnsi"/>
                <w:iCs/>
                <w:sz w:val="20"/>
                <w:szCs w:val="20"/>
              </w:rPr>
              <w:t>Strategy, and was informed by evidence and broad consultation</w:t>
            </w:r>
            <w:r w:rsidRPr="00627652">
              <w:rPr>
                <w:rFonts w:asciiTheme="minorHAnsi" w:hAnsiTheme="minorHAnsi" w:cstheme="minorHAnsi"/>
                <w:sz w:val="20"/>
                <w:szCs w:val="20"/>
                <w:lang w:eastAsia="zh-CN" w:bidi="th-TH"/>
              </w:rPr>
              <w:t>, including a consumer survey conducted in 2018; a series of engagement workshops in 2019 involving health professionals and consumers; and the establishment of a reference group to support the development of the revised policy</w:t>
            </w:r>
            <w:r w:rsidRPr="00627652">
              <w:rPr>
                <w:rFonts w:asciiTheme="minorHAnsi" w:hAnsiTheme="minorHAnsi" w:cstheme="minorHAnsi"/>
                <w:iCs/>
                <w:sz w:val="20"/>
                <w:szCs w:val="20"/>
              </w:rPr>
              <w:t xml:space="preserve">; describes ten </w:t>
            </w:r>
            <w:r w:rsidRPr="00627652">
              <w:rPr>
                <w:rFonts w:asciiTheme="minorHAnsi" w:hAnsiTheme="minorHAnsi" w:cstheme="minorHAnsi"/>
                <w:sz w:val="20"/>
                <w:szCs w:val="20"/>
              </w:rPr>
              <w:t xml:space="preserve">key goals, with specific objectives, actions and lead agencies identified to support each goal; </w:t>
            </w:r>
            <w:r w:rsidRPr="00627652">
              <w:rPr>
                <w:rFonts w:asciiTheme="minorHAnsi" w:hAnsiTheme="minorHAnsi" w:cstheme="minorHAnsi"/>
                <w:color w:val="auto"/>
                <w:sz w:val="20"/>
                <w:szCs w:val="20"/>
              </w:rPr>
              <w:t xml:space="preserve">will </w:t>
            </w:r>
            <w:r w:rsidRPr="00627652">
              <w:rPr>
                <w:rFonts w:asciiTheme="minorHAnsi" w:hAnsiTheme="minorHAnsi" w:cstheme="minorHAnsi"/>
                <w:color w:val="auto"/>
                <w:sz w:val="20"/>
                <w:szCs w:val="20"/>
              </w:rPr>
              <w:lastRenderedPageBreak/>
              <w:t>be supported by an Implementation Plan (to be developed).</w:t>
            </w:r>
          </w:p>
          <w:p w14:paraId="40B5B2DA" w14:textId="77777777" w:rsidR="00AA3CF3" w:rsidRPr="00627652" w:rsidRDefault="00AA3CF3" w:rsidP="00AA3CF3">
            <w:pPr>
              <w:pStyle w:val="Default"/>
              <w:rPr>
                <w:rFonts w:asciiTheme="minorHAnsi" w:hAnsiTheme="minorHAnsi" w:cstheme="minorHAnsi"/>
                <w:sz w:val="20"/>
                <w:szCs w:val="20"/>
              </w:rPr>
            </w:pPr>
          </w:p>
        </w:tc>
        <w:tc>
          <w:tcPr>
            <w:tcW w:w="0" w:type="auto"/>
          </w:tcPr>
          <w:p w14:paraId="159B3F4C" w14:textId="77777777" w:rsidR="00AA3CF3" w:rsidRPr="00627652" w:rsidRDefault="00AA3CF3" w:rsidP="00AA3CF3">
            <w:pPr>
              <w:rPr>
                <w:rFonts w:cstheme="minorHAnsi"/>
                <w:sz w:val="20"/>
                <w:szCs w:val="20"/>
              </w:rPr>
            </w:pPr>
            <w:r w:rsidRPr="00627652">
              <w:rPr>
                <w:rFonts w:cstheme="minorHAnsi"/>
                <w:sz w:val="20"/>
                <w:szCs w:val="20"/>
              </w:rPr>
              <w:lastRenderedPageBreak/>
              <w:t>A monitoring and evaluation plan will be developed for the policy; this plan is expected to use progress reports from Districts and existing data sources, including but not limited to the Bureau of Health Information Maternity Care Survey and the NSW Perinatal Data Collection.</w:t>
            </w:r>
          </w:p>
        </w:tc>
      </w:tr>
      <w:tr w:rsidR="00AA3CF3" w:rsidRPr="00627652" w14:paraId="551431CA" w14:textId="77777777" w:rsidTr="00AA3CF3">
        <w:tc>
          <w:tcPr>
            <w:tcW w:w="0" w:type="auto"/>
          </w:tcPr>
          <w:p w14:paraId="1CCCE237" w14:textId="77777777" w:rsidR="00AA3CF3" w:rsidRPr="00627652" w:rsidRDefault="00AA3CF3" w:rsidP="00AA3CF3">
            <w:pPr>
              <w:rPr>
                <w:rFonts w:cstheme="minorHAnsi"/>
                <w:sz w:val="20"/>
                <w:szCs w:val="20"/>
              </w:rPr>
            </w:pPr>
            <w:r w:rsidRPr="00627652">
              <w:rPr>
                <w:rFonts w:cstheme="minorHAnsi"/>
                <w:sz w:val="20"/>
                <w:szCs w:val="20"/>
              </w:rPr>
              <w:t xml:space="preserve">NSW Health </w:t>
            </w:r>
          </w:p>
        </w:tc>
        <w:tc>
          <w:tcPr>
            <w:tcW w:w="1803" w:type="dxa"/>
          </w:tcPr>
          <w:p w14:paraId="7B0F2AEC" w14:textId="77777777" w:rsidR="00AA3CF3" w:rsidRPr="00627652" w:rsidRDefault="00B24361" w:rsidP="00AA3CF3">
            <w:pPr>
              <w:rPr>
                <w:rFonts w:cstheme="minorHAnsi"/>
                <w:sz w:val="20"/>
                <w:szCs w:val="20"/>
              </w:rPr>
            </w:pPr>
            <w:hyperlink r:id="rId48" w:history="1">
              <w:r w:rsidR="00AA3CF3" w:rsidRPr="00627652">
                <w:rPr>
                  <w:rStyle w:val="Hyperlink"/>
                  <w:rFonts w:cstheme="minorHAnsi"/>
                  <w:sz w:val="20"/>
                  <w:szCs w:val="20"/>
                </w:rPr>
                <w:t>First 2000 Days Framework</w:t>
              </w:r>
            </w:hyperlink>
            <w:r w:rsidR="00AA3CF3" w:rsidRPr="00627652">
              <w:rPr>
                <w:rFonts w:cstheme="minorHAnsi"/>
                <w:sz w:val="20"/>
                <w:szCs w:val="20"/>
              </w:rPr>
              <w:t xml:space="preserve"> and </w:t>
            </w:r>
            <w:hyperlink r:id="rId49" w:history="1">
              <w:r w:rsidR="00AA3CF3" w:rsidRPr="00627652">
                <w:rPr>
                  <w:rStyle w:val="Hyperlink"/>
                  <w:rFonts w:cstheme="minorHAnsi"/>
                  <w:sz w:val="20"/>
                  <w:szCs w:val="20"/>
                </w:rPr>
                <w:t>First 2000 Days Implementation Strategy 2020-2025</w:t>
              </w:r>
            </w:hyperlink>
          </w:p>
        </w:tc>
        <w:tc>
          <w:tcPr>
            <w:tcW w:w="3280" w:type="dxa"/>
          </w:tcPr>
          <w:p w14:paraId="0FEEA2DD" w14:textId="77777777" w:rsidR="00AA3CF3" w:rsidRPr="00627652" w:rsidRDefault="00AA3CF3" w:rsidP="00AA3CF3">
            <w:pPr>
              <w:rPr>
                <w:rFonts w:cstheme="minorHAnsi"/>
                <w:sz w:val="20"/>
                <w:szCs w:val="20"/>
              </w:rPr>
            </w:pPr>
            <w:r w:rsidRPr="00627652">
              <w:rPr>
                <w:rFonts w:cstheme="minorHAnsi"/>
                <w:sz w:val="20"/>
                <w:szCs w:val="20"/>
              </w:rPr>
              <w:t>The First 2000 Days Framework is a strategic policy document that is underpinned by three strategic objectives – understanding the importance of first 2000 days of a child’s life (conception to 5 years), care and support for all, and specialised care for those who need it; these objectives are central to the three goals and ten strategies outlined in the Framework’s Implementation Strategy; a summary of current and emerging projects is provided.</w:t>
            </w:r>
          </w:p>
        </w:tc>
        <w:tc>
          <w:tcPr>
            <w:tcW w:w="0" w:type="auto"/>
          </w:tcPr>
          <w:p w14:paraId="50EAA6F7" w14:textId="77777777" w:rsidR="00AA3CF3" w:rsidRPr="00627652" w:rsidRDefault="00AA3CF3" w:rsidP="00AA3CF3">
            <w:pPr>
              <w:rPr>
                <w:rFonts w:cstheme="minorHAnsi"/>
                <w:sz w:val="20"/>
                <w:szCs w:val="20"/>
              </w:rPr>
            </w:pPr>
            <w:r w:rsidRPr="00627652">
              <w:rPr>
                <w:rFonts w:cstheme="minorHAnsi"/>
                <w:sz w:val="20"/>
                <w:szCs w:val="20"/>
              </w:rPr>
              <w:t>The Implementation Strategy outlines 1 year, 3-year and 5-year milestones, and lists existing data and potential metrics for reporting on progress against these milestones.</w:t>
            </w:r>
          </w:p>
        </w:tc>
      </w:tr>
      <w:tr w:rsidR="00AA3CF3" w:rsidRPr="00627652" w14:paraId="1CDDACB4" w14:textId="77777777" w:rsidTr="00AA3CF3">
        <w:tc>
          <w:tcPr>
            <w:tcW w:w="0" w:type="auto"/>
          </w:tcPr>
          <w:p w14:paraId="02C6E6FB" w14:textId="77777777" w:rsidR="00AA3CF3" w:rsidRPr="00627652" w:rsidRDefault="00AA3CF3" w:rsidP="00AA3CF3">
            <w:pPr>
              <w:rPr>
                <w:rFonts w:cstheme="minorHAnsi"/>
                <w:sz w:val="20"/>
                <w:szCs w:val="20"/>
              </w:rPr>
            </w:pPr>
            <w:r w:rsidRPr="00627652">
              <w:rPr>
                <w:rFonts w:cstheme="minorHAnsi"/>
                <w:sz w:val="20"/>
                <w:szCs w:val="20"/>
              </w:rPr>
              <w:t xml:space="preserve">NSW Health </w:t>
            </w:r>
          </w:p>
        </w:tc>
        <w:tc>
          <w:tcPr>
            <w:tcW w:w="1803" w:type="dxa"/>
          </w:tcPr>
          <w:p w14:paraId="2397E16F" w14:textId="77777777" w:rsidR="00AA3CF3" w:rsidRPr="00627652" w:rsidRDefault="00B24361" w:rsidP="00AA3CF3">
            <w:pPr>
              <w:rPr>
                <w:rFonts w:cstheme="minorHAnsi"/>
                <w:sz w:val="20"/>
                <w:szCs w:val="20"/>
              </w:rPr>
            </w:pPr>
            <w:hyperlink r:id="rId50" w:history="1">
              <w:r w:rsidR="00AA3CF3" w:rsidRPr="00627652">
                <w:rPr>
                  <w:rStyle w:val="Hyperlink"/>
                  <w:rFonts w:cstheme="minorHAnsi"/>
                  <w:sz w:val="20"/>
                  <w:szCs w:val="20"/>
                </w:rPr>
                <w:t>Resilience Assessment in Maternity Services - a Facilitation Guide, 2022</w:t>
              </w:r>
            </w:hyperlink>
          </w:p>
        </w:tc>
        <w:tc>
          <w:tcPr>
            <w:tcW w:w="3280" w:type="dxa"/>
          </w:tcPr>
          <w:p w14:paraId="14B02649" w14:textId="32C121F3" w:rsidR="00AA3CF3" w:rsidRPr="00627652" w:rsidRDefault="00AA3CF3" w:rsidP="00AA3CF3">
            <w:pPr>
              <w:autoSpaceDE w:val="0"/>
              <w:autoSpaceDN w:val="0"/>
              <w:adjustRightInd w:val="0"/>
              <w:rPr>
                <w:rFonts w:cstheme="minorHAnsi"/>
                <w:sz w:val="20"/>
                <w:szCs w:val="20"/>
              </w:rPr>
            </w:pPr>
            <w:r w:rsidRPr="00627652">
              <w:rPr>
                <w:rFonts w:cstheme="minorHAnsi"/>
                <w:sz w:val="20"/>
                <w:szCs w:val="20"/>
              </w:rPr>
              <w:t>The Guide was developed by the NSW Clinical Excellence Commission and supports a top-down, strengths-based approach to the assessment of people, culture, structures, and processes of maternity systems, which can be used to inform strategic, infrastructure, capital and workforce planning.</w:t>
            </w:r>
          </w:p>
        </w:tc>
        <w:tc>
          <w:tcPr>
            <w:tcW w:w="0" w:type="auto"/>
          </w:tcPr>
          <w:p w14:paraId="44B98986" w14:textId="77777777" w:rsidR="00AA3CF3" w:rsidRPr="00627652" w:rsidRDefault="00AA3CF3" w:rsidP="00AA3CF3">
            <w:pPr>
              <w:rPr>
                <w:rFonts w:cstheme="minorHAnsi"/>
                <w:sz w:val="20"/>
                <w:szCs w:val="20"/>
              </w:rPr>
            </w:pPr>
            <w:r w:rsidRPr="00627652">
              <w:rPr>
                <w:rFonts w:cstheme="minorHAnsi"/>
                <w:sz w:val="20"/>
                <w:szCs w:val="20"/>
              </w:rPr>
              <w:t>The accompanying Resilience Framework can be synthesised to formulate a report and recommendations for further action. The Framework includes four domains of interest: Physical, Information, Cognitive and Social.</w:t>
            </w:r>
          </w:p>
        </w:tc>
      </w:tr>
      <w:tr w:rsidR="00AA3CF3" w:rsidRPr="00627652" w14:paraId="5009DE6E" w14:textId="77777777" w:rsidTr="00AA3CF3">
        <w:tc>
          <w:tcPr>
            <w:tcW w:w="0" w:type="auto"/>
          </w:tcPr>
          <w:p w14:paraId="7F3732C1" w14:textId="77777777" w:rsidR="00AA3CF3" w:rsidRPr="00627652" w:rsidRDefault="00AA3CF3" w:rsidP="00AA3CF3">
            <w:pPr>
              <w:rPr>
                <w:rFonts w:cstheme="minorHAnsi"/>
                <w:sz w:val="20"/>
                <w:szCs w:val="20"/>
              </w:rPr>
            </w:pPr>
            <w:r w:rsidRPr="00627652">
              <w:rPr>
                <w:rFonts w:cstheme="minorHAnsi"/>
                <w:sz w:val="20"/>
                <w:szCs w:val="20"/>
              </w:rPr>
              <w:t>NSW Health</w:t>
            </w:r>
          </w:p>
        </w:tc>
        <w:tc>
          <w:tcPr>
            <w:tcW w:w="1803" w:type="dxa"/>
          </w:tcPr>
          <w:p w14:paraId="03A30D41" w14:textId="77777777" w:rsidR="00AA3CF3" w:rsidRPr="00627652" w:rsidRDefault="00B24361" w:rsidP="00AA3CF3">
            <w:pPr>
              <w:rPr>
                <w:rFonts w:cstheme="minorHAnsi"/>
                <w:sz w:val="20"/>
                <w:szCs w:val="20"/>
              </w:rPr>
            </w:pPr>
            <w:hyperlink r:id="rId51" w:history="1">
              <w:r w:rsidR="00AA3CF3" w:rsidRPr="00627652">
                <w:rPr>
                  <w:rStyle w:val="Hyperlink"/>
                  <w:rFonts w:cstheme="minorHAnsi"/>
                  <w:sz w:val="20"/>
                  <w:szCs w:val="20"/>
                </w:rPr>
                <w:t>Guidance for maternity services</w:t>
              </w:r>
            </w:hyperlink>
          </w:p>
        </w:tc>
        <w:tc>
          <w:tcPr>
            <w:tcW w:w="3280" w:type="dxa"/>
          </w:tcPr>
          <w:p w14:paraId="214022E6" w14:textId="77777777" w:rsidR="00AA3CF3" w:rsidRPr="00627652" w:rsidRDefault="00AA3CF3" w:rsidP="00AA3CF3">
            <w:pPr>
              <w:autoSpaceDE w:val="0"/>
              <w:autoSpaceDN w:val="0"/>
              <w:adjustRightInd w:val="0"/>
              <w:rPr>
                <w:rFonts w:eastAsiaTheme="minorHAnsi" w:cstheme="minorHAnsi"/>
                <w:sz w:val="20"/>
                <w:szCs w:val="20"/>
                <w:lang w:eastAsia="en-US"/>
              </w:rPr>
            </w:pPr>
            <w:r w:rsidRPr="00627652">
              <w:rPr>
                <w:rFonts w:eastAsiaTheme="minorHAnsi" w:cstheme="minorHAnsi"/>
                <w:sz w:val="20"/>
                <w:szCs w:val="20"/>
                <w:lang w:eastAsia="en-US"/>
              </w:rPr>
              <w:t>The Guide provides guidance for the care of pregnant women by maternity care providers, this includes midwives, obstetricians and general practitioners. The guide has been written with specific reference to COVID-19.</w:t>
            </w:r>
          </w:p>
        </w:tc>
        <w:tc>
          <w:tcPr>
            <w:tcW w:w="0" w:type="auto"/>
          </w:tcPr>
          <w:p w14:paraId="34879272" w14:textId="77777777" w:rsidR="00AA3CF3" w:rsidRPr="00627652" w:rsidRDefault="00AA3CF3" w:rsidP="00AA3CF3">
            <w:pPr>
              <w:rPr>
                <w:rFonts w:cstheme="minorHAnsi"/>
                <w:sz w:val="20"/>
                <w:szCs w:val="20"/>
              </w:rPr>
            </w:pPr>
            <w:r w:rsidRPr="00627652">
              <w:rPr>
                <w:rFonts w:cstheme="minorHAnsi"/>
                <w:sz w:val="20"/>
                <w:szCs w:val="20"/>
              </w:rPr>
              <w:t>Details not available</w:t>
            </w:r>
          </w:p>
        </w:tc>
      </w:tr>
      <w:tr w:rsidR="00AA3CF3" w:rsidRPr="00627652" w14:paraId="75CFE1AC" w14:textId="77777777" w:rsidTr="00AA3CF3">
        <w:tc>
          <w:tcPr>
            <w:tcW w:w="0" w:type="auto"/>
          </w:tcPr>
          <w:p w14:paraId="25A6F296" w14:textId="77777777" w:rsidR="00AA3CF3" w:rsidRPr="00627652" w:rsidRDefault="00AA3CF3" w:rsidP="00AA3CF3">
            <w:pPr>
              <w:rPr>
                <w:rFonts w:cstheme="minorHAnsi"/>
                <w:sz w:val="20"/>
                <w:szCs w:val="20"/>
              </w:rPr>
            </w:pPr>
            <w:r w:rsidRPr="00627652">
              <w:rPr>
                <w:rFonts w:cstheme="minorHAnsi"/>
                <w:sz w:val="20"/>
                <w:szCs w:val="20"/>
              </w:rPr>
              <w:t>Qld Health</w:t>
            </w:r>
          </w:p>
        </w:tc>
        <w:tc>
          <w:tcPr>
            <w:tcW w:w="1803" w:type="dxa"/>
          </w:tcPr>
          <w:p w14:paraId="10B5290E" w14:textId="77777777" w:rsidR="00AA3CF3" w:rsidRPr="00627652" w:rsidRDefault="00B24361" w:rsidP="00AA3CF3">
            <w:pPr>
              <w:rPr>
                <w:rFonts w:cstheme="minorHAnsi"/>
                <w:sz w:val="20"/>
                <w:szCs w:val="20"/>
              </w:rPr>
            </w:pPr>
            <w:hyperlink r:id="rId52" w:history="1">
              <w:r w:rsidR="00AA3CF3" w:rsidRPr="00627652">
                <w:rPr>
                  <w:rStyle w:val="Hyperlink"/>
                  <w:rFonts w:cstheme="minorHAnsi"/>
                  <w:sz w:val="20"/>
                  <w:szCs w:val="20"/>
                </w:rPr>
                <w:t>Growing Deadly Families Aboriginal and Torres Strait Islander Maternity Services Strategy 2019 - 2025</w:t>
              </w:r>
            </w:hyperlink>
          </w:p>
        </w:tc>
        <w:tc>
          <w:tcPr>
            <w:tcW w:w="3280" w:type="dxa"/>
          </w:tcPr>
          <w:p w14:paraId="10F4B948" w14:textId="36403953" w:rsidR="00AA3CF3" w:rsidRPr="00627652" w:rsidRDefault="00AA3CF3" w:rsidP="00AA3CF3">
            <w:pPr>
              <w:autoSpaceDE w:val="0"/>
              <w:autoSpaceDN w:val="0"/>
              <w:adjustRightInd w:val="0"/>
              <w:rPr>
                <w:rFonts w:cstheme="minorHAnsi"/>
                <w:sz w:val="20"/>
                <w:szCs w:val="20"/>
              </w:rPr>
            </w:pPr>
            <w:r w:rsidRPr="00627652">
              <w:rPr>
                <w:rFonts w:eastAsiaTheme="minorHAnsi" w:cstheme="minorHAnsi"/>
                <w:sz w:val="20"/>
                <w:szCs w:val="20"/>
                <w:lang w:eastAsia="en-US"/>
              </w:rPr>
              <w:t xml:space="preserve">The Strategy </w:t>
            </w:r>
            <w:r w:rsidRPr="00627652">
              <w:rPr>
                <w:rFonts w:cstheme="minorHAnsi"/>
                <w:sz w:val="20"/>
                <w:szCs w:val="20"/>
              </w:rPr>
              <w:t xml:space="preserve">details three </w:t>
            </w:r>
            <w:r w:rsidRPr="00627652">
              <w:rPr>
                <w:rFonts w:cstheme="minorHAnsi"/>
                <w:color w:val="000000"/>
                <w:sz w:val="20"/>
                <w:szCs w:val="20"/>
              </w:rPr>
              <w:t xml:space="preserve">priority areas to ensure access to high quality, clinical and culturally capable maternity services: co-design and co-delivery of services; access to woman-centred, comprehensive and culturally capable maternity care; and a culturally capable workforce, across all disciplines </w:t>
            </w:r>
            <w:r w:rsidRPr="00627652">
              <w:rPr>
                <w:rFonts w:cstheme="minorHAnsi"/>
                <w:sz w:val="20"/>
                <w:szCs w:val="20"/>
              </w:rPr>
              <w:t>of maternity care.</w:t>
            </w:r>
          </w:p>
        </w:tc>
        <w:tc>
          <w:tcPr>
            <w:tcW w:w="0" w:type="auto"/>
          </w:tcPr>
          <w:p w14:paraId="1774C5AB" w14:textId="77777777" w:rsidR="00AA3CF3" w:rsidRPr="00627652" w:rsidRDefault="00AA3CF3" w:rsidP="00AA3CF3">
            <w:pPr>
              <w:rPr>
                <w:rFonts w:cstheme="minorHAnsi"/>
                <w:sz w:val="20"/>
                <w:szCs w:val="20"/>
              </w:rPr>
            </w:pPr>
            <w:r w:rsidRPr="00627652">
              <w:rPr>
                <w:rFonts w:cstheme="minorHAnsi"/>
                <w:sz w:val="20"/>
                <w:szCs w:val="20"/>
              </w:rPr>
              <w:t>Details not available</w:t>
            </w:r>
          </w:p>
        </w:tc>
      </w:tr>
      <w:tr w:rsidR="00AA3CF3" w:rsidRPr="00627652" w14:paraId="4F691180" w14:textId="77777777" w:rsidTr="00AA3CF3">
        <w:tc>
          <w:tcPr>
            <w:tcW w:w="0" w:type="auto"/>
          </w:tcPr>
          <w:p w14:paraId="4311784C" w14:textId="77777777" w:rsidR="00AA3CF3" w:rsidRPr="00627652" w:rsidRDefault="00AA3CF3" w:rsidP="00AA3CF3">
            <w:pPr>
              <w:rPr>
                <w:rFonts w:cstheme="minorHAnsi"/>
                <w:sz w:val="20"/>
                <w:szCs w:val="20"/>
              </w:rPr>
            </w:pPr>
            <w:r w:rsidRPr="00627652">
              <w:rPr>
                <w:rFonts w:cstheme="minorHAnsi"/>
                <w:sz w:val="20"/>
                <w:szCs w:val="20"/>
              </w:rPr>
              <w:t>Qld Health</w:t>
            </w:r>
          </w:p>
        </w:tc>
        <w:tc>
          <w:tcPr>
            <w:tcW w:w="1803" w:type="dxa"/>
          </w:tcPr>
          <w:p w14:paraId="1040DC58" w14:textId="77777777" w:rsidR="00AA3CF3" w:rsidRPr="00627652" w:rsidRDefault="00B24361" w:rsidP="00AA3CF3">
            <w:pPr>
              <w:rPr>
                <w:rFonts w:cstheme="minorHAnsi"/>
                <w:sz w:val="20"/>
                <w:szCs w:val="20"/>
              </w:rPr>
            </w:pPr>
            <w:hyperlink r:id="rId53" w:history="1">
              <w:r w:rsidR="00AA3CF3" w:rsidRPr="00627652">
                <w:rPr>
                  <w:rStyle w:val="Hyperlink"/>
                  <w:rFonts w:cstheme="minorHAnsi"/>
                  <w:sz w:val="20"/>
                  <w:szCs w:val="20"/>
                </w:rPr>
                <w:t>Queensland Rural and Remote Maternity Services Planning Framework: a toolkit for collaboration, consultation and co-design, 2021</w:t>
              </w:r>
            </w:hyperlink>
          </w:p>
        </w:tc>
        <w:tc>
          <w:tcPr>
            <w:tcW w:w="3280" w:type="dxa"/>
          </w:tcPr>
          <w:p w14:paraId="2351E28E" w14:textId="77777777" w:rsidR="00AA3CF3" w:rsidRPr="00627652" w:rsidRDefault="00AA3CF3" w:rsidP="00AA3CF3">
            <w:pPr>
              <w:rPr>
                <w:rFonts w:cstheme="minorHAnsi"/>
                <w:color w:val="000000"/>
                <w:sz w:val="20"/>
                <w:szCs w:val="20"/>
              </w:rPr>
            </w:pPr>
            <w:r w:rsidRPr="00627652">
              <w:rPr>
                <w:rFonts w:cstheme="minorHAnsi"/>
                <w:sz w:val="20"/>
                <w:szCs w:val="20"/>
              </w:rPr>
              <w:t xml:space="preserve">The Framework </w:t>
            </w:r>
            <w:r w:rsidRPr="00627652">
              <w:rPr>
                <w:rFonts w:cstheme="minorHAnsi"/>
                <w:color w:val="000000"/>
                <w:sz w:val="20"/>
                <w:szCs w:val="20"/>
              </w:rPr>
              <w:t xml:space="preserve">aims to support Hospital and Health Services to the review, assess and co-design maternity services; available resources include guidance for prioritising sites for review; complement existing policies, guidelines and planning tools including </w:t>
            </w:r>
            <w:hyperlink r:id="rId54" w:history="1">
              <w:r w:rsidRPr="00627652">
                <w:rPr>
                  <w:rStyle w:val="Hyperlink"/>
                  <w:rFonts w:cstheme="minorHAnsi"/>
                  <w:sz w:val="20"/>
                  <w:szCs w:val="20"/>
                </w:rPr>
                <w:t>Maternity Services Decision Making Framework</w:t>
              </w:r>
            </w:hyperlink>
            <w:r w:rsidRPr="00627652">
              <w:rPr>
                <w:rFonts w:cstheme="minorHAnsi"/>
                <w:color w:val="000000"/>
                <w:sz w:val="20"/>
                <w:szCs w:val="20"/>
              </w:rPr>
              <w:t xml:space="preserve"> (DMF) and the </w:t>
            </w:r>
            <w:hyperlink r:id="rId55" w:history="1">
              <w:r w:rsidRPr="00627652">
                <w:rPr>
                  <w:rStyle w:val="Hyperlink"/>
                  <w:rFonts w:cstheme="minorHAnsi"/>
                  <w:sz w:val="20"/>
                  <w:szCs w:val="20"/>
                </w:rPr>
                <w:t>Growing Deadly Families Strategy</w:t>
              </w:r>
            </w:hyperlink>
            <w:r w:rsidRPr="00627652">
              <w:rPr>
                <w:rStyle w:val="Hyperlink"/>
                <w:rFonts w:cstheme="minorHAnsi"/>
                <w:sz w:val="20"/>
                <w:szCs w:val="20"/>
              </w:rPr>
              <w:t>.</w:t>
            </w:r>
          </w:p>
        </w:tc>
        <w:tc>
          <w:tcPr>
            <w:tcW w:w="0" w:type="auto"/>
          </w:tcPr>
          <w:p w14:paraId="176D191C" w14:textId="77777777" w:rsidR="00AA3CF3" w:rsidRPr="00627652" w:rsidRDefault="00AA3CF3" w:rsidP="00AA3CF3">
            <w:pPr>
              <w:rPr>
                <w:rFonts w:cstheme="minorHAnsi"/>
                <w:sz w:val="20"/>
                <w:szCs w:val="20"/>
              </w:rPr>
            </w:pPr>
            <w:r w:rsidRPr="00627652">
              <w:rPr>
                <w:rFonts w:cstheme="minorHAnsi"/>
                <w:sz w:val="20"/>
                <w:szCs w:val="20"/>
              </w:rPr>
              <w:t>After service implementation evaluation, monitoring and review are recommended. Ongoing co-design with women and communities is encouraged in all planning and evaluation activities.</w:t>
            </w:r>
          </w:p>
        </w:tc>
      </w:tr>
      <w:tr w:rsidR="00AA3CF3" w:rsidRPr="00627652" w14:paraId="3E479F26" w14:textId="77777777" w:rsidTr="00AA3CF3">
        <w:tc>
          <w:tcPr>
            <w:tcW w:w="0" w:type="auto"/>
          </w:tcPr>
          <w:p w14:paraId="0CD13C89" w14:textId="77777777" w:rsidR="00AA3CF3" w:rsidRPr="00627652" w:rsidRDefault="00AA3CF3" w:rsidP="00AA3CF3">
            <w:pPr>
              <w:rPr>
                <w:rFonts w:cstheme="minorBidi"/>
                <w:sz w:val="20"/>
                <w:szCs w:val="20"/>
              </w:rPr>
            </w:pPr>
            <w:r w:rsidRPr="4DCD7EE5">
              <w:rPr>
                <w:rFonts w:cstheme="minorBidi"/>
                <w:sz w:val="20"/>
                <w:szCs w:val="20"/>
              </w:rPr>
              <w:lastRenderedPageBreak/>
              <w:t>SA Health</w:t>
            </w:r>
          </w:p>
        </w:tc>
        <w:tc>
          <w:tcPr>
            <w:tcW w:w="1803" w:type="dxa"/>
          </w:tcPr>
          <w:p w14:paraId="520C0FDC" w14:textId="77777777" w:rsidR="00AA3CF3" w:rsidRPr="00627652" w:rsidRDefault="00B24361" w:rsidP="00AA3CF3">
            <w:pPr>
              <w:rPr>
                <w:rFonts w:cstheme="minorHAnsi"/>
                <w:sz w:val="20"/>
                <w:szCs w:val="20"/>
              </w:rPr>
            </w:pPr>
            <w:hyperlink r:id="rId56" w:history="1">
              <w:r w:rsidR="00AA3CF3" w:rsidRPr="00627652">
                <w:rPr>
                  <w:rStyle w:val="Hyperlink"/>
                  <w:rFonts w:cstheme="minorHAnsi"/>
                  <w:sz w:val="20"/>
                  <w:szCs w:val="20"/>
                </w:rPr>
                <w:t>South Australian Perinatal Practice Guideline. Postnatal Care Routine care of the well woman and neonate, 2021</w:t>
              </w:r>
            </w:hyperlink>
          </w:p>
        </w:tc>
        <w:tc>
          <w:tcPr>
            <w:tcW w:w="3280" w:type="dxa"/>
          </w:tcPr>
          <w:p w14:paraId="33C95EB0" w14:textId="58E3FB05" w:rsidR="00AA3CF3" w:rsidRPr="00627652" w:rsidRDefault="00AA3CF3" w:rsidP="00AA3CF3">
            <w:pPr>
              <w:rPr>
                <w:rFonts w:cstheme="minorHAnsi"/>
                <w:sz w:val="20"/>
                <w:szCs w:val="20"/>
              </w:rPr>
            </w:pPr>
            <w:r w:rsidRPr="00627652">
              <w:rPr>
                <w:rFonts w:cstheme="minorHAnsi"/>
                <w:sz w:val="20"/>
                <w:szCs w:val="20"/>
              </w:rPr>
              <w:t>The guidelines provide direction relating to routine care for well women following birth and neonates born from 37 weeks gestation.</w:t>
            </w:r>
          </w:p>
        </w:tc>
        <w:tc>
          <w:tcPr>
            <w:tcW w:w="0" w:type="auto"/>
          </w:tcPr>
          <w:p w14:paraId="4F4251C4" w14:textId="77777777" w:rsidR="00AA3CF3" w:rsidRPr="00627652" w:rsidRDefault="00AA3CF3" w:rsidP="00AA3CF3">
            <w:pPr>
              <w:rPr>
                <w:rFonts w:cstheme="minorHAnsi"/>
                <w:sz w:val="20"/>
                <w:szCs w:val="20"/>
              </w:rPr>
            </w:pPr>
            <w:r w:rsidRPr="00627652">
              <w:rPr>
                <w:rFonts w:cstheme="minorHAnsi"/>
                <w:sz w:val="20"/>
                <w:szCs w:val="20"/>
              </w:rPr>
              <w:t>Details not available</w:t>
            </w:r>
          </w:p>
        </w:tc>
      </w:tr>
      <w:tr w:rsidR="00AA3CF3" w:rsidRPr="00627652" w14:paraId="43FD211C" w14:textId="77777777" w:rsidTr="00AA3CF3">
        <w:tc>
          <w:tcPr>
            <w:tcW w:w="0" w:type="auto"/>
          </w:tcPr>
          <w:p w14:paraId="5CB15191" w14:textId="77777777" w:rsidR="00AA3CF3" w:rsidRPr="00627652" w:rsidRDefault="00AA3CF3" w:rsidP="00AA3CF3">
            <w:pPr>
              <w:rPr>
                <w:rFonts w:cstheme="minorHAnsi"/>
                <w:sz w:val="20"/>
                <w:szCs w:val="20"/>
              </w:rPr>
            </w:pPr>
            <w:r w:rsidRPr="00627652">
              <w:rPr>
                <w:rFonts w:cstheme="minorHAnsi"/>
                <w:sz w:val="20"/>
                <w:szCs w:val="20"/>
              </w:rPr>
              <w:t>SA Health</w:t>
            </w:r>
          </w:p>
          <w:p w14:paraId="1992FC92" w14:textId="77777777" w:rsidR="00AA3CF3" w:rsidRPr="00627652" w:rsidRDefault="00AA3CF3" w:rsidP="00AA3CF3">
            <w:pPr>
              <w:rPr>
                <w:rFonts w:cstheme="minorHAnsi"/>
                <w:sz w:val="20"/>
                <w:szCs w:val="20"/>
              </w:rPr>
            </w:pPr>
          </w:p>
        </w:tc>
        <w:tc>
          <w:tcPr>
            <w:tcW w:w="1803" w:type="dxa"/>
          </w:tcPr>
          <w:p w14:paraId="36F03F29" w14:textId="77777777" w:rsidR="00AA3CF3" w:rsidRPr="00627652" w:rsidRDefault="00B24361" w:rsidP="00AA3CF3">
            <w:pPr>
              <w:rPr>
                <w:rFonts w:cstheme="minorHAnsi"/>
                <w:sz w:val="20"/>
                <w:szCs w:val="20"/>
              </w:rPr>
            </w:pPr>
            <w:hyperlink r:id="rId57" w:history="1">
              <w:r w:rsidR="00AA3CF3" w:rsidRPr="00627652">
                <w:rPr>
                  <w:rStyle w:val="Hyperlink"/>
                  <w:rFonts w:cstheme="minorHAnsi"/>
                  <w:sz w:val="20"/>
                  <w:szCs w:val="20"/>
                </w:rPr>
                <w:t>South Australian Perinatal Practice Guideline Anxiety and Depression in the Perinatal Period, 2019</w:t>
              </w:r>
            </w:hyperlink>
          </w:p>
        </w:tc>
        <w:tc>
          <w:tcPr>
            <w:tcW w:w="3280" w:type="dxa"/>
          </w:tcPr>
          <w:p w14:paraId="39B3E4BB" w14:textId="77777777" w:rsidR="00AA3CF3" w:rsidRPr="00627652" w:rsidRDefault="00AA3CF3" w:rsidP="00AA3CF3">
            <w:pPr>
              <w:rPr>
                <w:rFonts w:cstheme="minorHAnsi"/>
                <w:sz w:val="20"/>
                <w:szCs w:val="20"/>
              </w:rPr>
            </w:pPr>
            <w:r w:rsidRPr="00627652">
              <w:rPr>
                <w:rFonts w:cstheme="minorHAnsi"/>
                <w:sz w:val="20"/>
                <w:szCs w:val="20"/>
              </w:rPr>
              <w:t xml:space="preserve">This guideline is underpinned by the national </w:t>
            </w:r>
            <w:hyperlink r:id="rId58" w:history="1">
              <w:r w:rsidRPr="00627652">
                <w:rPr>
                  <w:rStyle w:val="Hyperlink"/>
                  <w:rFonts w:cstheme="minorHAnsi"/>
                  <w:i/>
                  <w:color w:val="auto"/>
                  <w:sz w:val="20"/>
                  <w:szCs w:val="20"/>
                  <w:u w:val="none"/>
                </w:rPr>
                <w:t>Mental Health Care in the Perinatal Period: Australian Clinical Practice Guideline</w:t>
              </w:r>
            </w:hyperlink>
            <w:r w:rsidRPr="00627652">
              <w:rPr>
                <w:rFonts w:cstheme="minorHAnsi"/>
                <w:sz w:val="20"/>
                <w:szCs w:val="20"/>
              </w:rPr>
              <w:t xml:space="preserve"> (2018). It provides information for clinicians relating to depressive and anxiety disorders in the perinatal period, screening tools, referral pathways and resources, including information that is specific information to the SA context.</w:t>
            </w:r>
          </w:p>
        </w:tc>
        <w:tc>
          <w:tcPr>
            <w:tcW w:w="0" w:type="auto"/>
          </w:tcPr>
          <w:p w14:paraId="455AB5CC" w14:textId="77777777" w:rsidR="00AA3CF3" w:rsidRPr="00627652" w:rsidRDefault="00AA3CF3" w:rsidP="00AA3CF3">
            <w:pPr>
              <w:rPr>
                <w:rFonts w:cstheme="minorHAnsi"/>
                <w:sz w:val="20"/>
                <w:szCs w:val="20"/>
              </w:rPr>
            </w:pPr>
            <w:r w:rsidRPr="00627652">
              <w:rPr>
                <w:rFonts w:cstheme="minorHAnsi"/>
                <w:sz w:val="20"/>
                <w:szCs w:val="20"/>
              </w:rPr>
              <w:t>Details not available</w:t>
            </w:r>
          </w:p>
        </w:tc>
      </w:tr>
      <w:tr w:rsidR="00AA3CF3" w:rsidRPr="00627652" w14:paraId="4CCDBAC0" w14:textId="77777777" w:rsidTr="00AA3CF3">
        <w:tc>
          <w:tcPr>
            <w:tcW w:w="0" w:type="auto"/>
          </w:tcPr>
          <w:p w14:paraId="60EC0C62" w14:textId="77777777" w:rsidR="00AA3CF3" w:rsidRPr="00627652" w:rsidRDefault="00AA3CF3" w:rsidP="00AA3CF3">
            <w:pPr>
              <w:rPr>
                <w:rFonts w:cstheme="minorHAnsi"/>
                <w:sz w:val="20"/>
                <w:szCs w:val="20"/>
              </w:rPr>
            </w:pPr>
            <w:r w:rsidRPr="00627652">
              <w:rPr>
                <w:rFonts w:cstheme="minorHAnsi"/>
                <w:sz w:val="20"/>
                <w:szCs w:val="20"/>
              </w:rPr>
              <w:t>SA Health</w:t>
            </w:r>
          </w:p>
        </w:tc>
        <w:tc>
          <w:tcPr>
            <w:tcW w:w="1803" w:type="dxa"/>
          </w:tcPr>
          <w:p w14:paraId="5AA3E3F1" w14:textId="77777777" w:rsidR="00AA3CF3" w:rsidRPr="00627652" w:rsidRDefault="00B24361" w:rsidP="00AA3CF3">
            <w:pPr>
              <w:rPr>
                <w:rFonts w:cstheme="minorHAnsi"/>
                <w:sz w:val="20"/>
                <w:szCs w:val="20"/>
              </w:rPr>
            </w:pPr>
            <w:hyperlink r:id="rId59" w:history="1">
              <w:r w:rsidR="00AA3CF3" w:rsidRPr="00627652">
                <w:rPr>
                  <w:rStyle w:val="Hyperlink"/>
                  <w:rFonts w:cstheme="minorHAnsi"/>
                  <w:sz w:val="20"/>
                  <w:szCs w:val="20"/>
                </w:rPr>
                <w:t>Standards for Maternal and Neonatal Services in South Australia 2020 Clinical Directive</w:t>
              </w:r>
            </w:hyperlink>
          </w:p>
        </w:tc>
        <w:tc>
          <w:tcPr>
            <w:tcW w:w="3280" w:type="dxa"/>
          </w:tcPr>
          <w:p w14:paraId="5C6C744F" w14:textId="77777777" w:rsidR="00AA3CF3" w:rsidRPr="00627652" w:rsidRDefault="00AA3CF3" w:rsidP="00AA3CF3">
            <w:pPr>
              <w:rPr>
                <w:rFonts w:cstheme="minorHAnsi"/>
                <w:sz w:val="20"/>
                <w:szCs w:val="20"/>
              </w:rPr>
            </w:pPr>
            <w:r w:rsidRPr="00627652">
              <w:rPr>
                <w:rFonts w:cstheme="minorHAnsi"/>
                <w:color w:val="000000"/>
                <w:sz w:val="20"/>
                <w:szCs w:val="20"/>
              </w:rPr>
              <w:t xml:space="preserve">This Directive outlines quality and safety standards for the provision of maternity and neonatal services in South Australia, which are aligned with the </w:t>
            </w:r>
            <w:r w:rsidRPr="00627652">
              <w:rPr>
                <w:rFonts w:cstheme="minorHAnsi"/>
                <w:sz w:val="20"/>
                <w:szCs w:val="20"/>
              </w:rPr>
              <w:t>National Maternity Capability Framework, and the South Australia Health Maternal and Neonatal Clinical Services Capability Framework.</w:t>
            </w:r>
          </w:p>
        </w:tc>
        <w:tc>
          <w:tcPr>
            <w:tcW w:w="0" w:type="auto"/>
          </w:tcPr>
          <w:p w14:paraId="47B6D9C8" w14:textId="77777777" w:rsidR="00AA3CF3" w:rsidRPr="00627652" w:rsidRDefault="00AA3CF3" w:rsidP="00AA3CF3">
            <w:pPr>
              <w:rPr>
                <w:rFonts w:cstheme="minorHAnsi"/>
                <w:sz w:val="20"/>
                <w:szCs w:val="20"/>
              </w:rPr>
            </w:pPr>
            <w:r w:rsidRPr="00627652">
              <w:rPr>
                <w:rFonts w:cstheme="minorHAnsi"/>
                <w:sz w:val="20"/>
                <w:szCs w:val="20"/>
              </w:rPr>
              <w:t>Peer review (evaluation / audit) is recommended to ensure services provide safe, quality care which complies with the organisation’s accreditation and SA Health’s Health Service Agreement requirements.</w:t>
            </w:r>
          </w:p>
        </w:tc>
      </w:tr>
      <w:tr w:rsidR="00AA3CF3" w:rsidRPr="00627652" w14:paraId="0CCF7B59" w14:textId="77777777" w:rsidTr="00AA3CF3">
        <w:tc>
          <w:tcPr>
            <w:tcW w:w="0" w:type="auto"/>
          </w:tcPr>
          <w:p w14:paraId="0B824393" w14:textId="77777777" w:rsidR="00AA3CF3" w:rsidRPr="00627652" w:rsidRDefault="00AA3CF3" w:rsidP="00AA3CF3">
            <w:pPr>
              <w:rPr>
                <w:rFonts w:cstheme="minorHAnsi"/>
                <w:sz w:val="20"/>
                <w:szCs w:val="20"/>
              </w:rPr>
            </w:pPr>
            <w:r w:rsidRPr="00627652">
              <w:rPr>
                <w:rFonts w:cstheme="minorHAnsi"/>
                <w:sz w:val="20"/>
                <w:szCs w:val="20"/>
              </w:rPr>
              <w:t>Victoria State Government</w:t>
            </w:r>
          </w:p>
        </w:tc>
        <w:tc>
          <w:tcPr>
            <w:tcW w:w="1803" w:type="dxa"/>
          </w:tcPr>
          <w:p w14:paraId="1F67207E" w14:textId="77777777" w:rsidR="00AA3CF3" w:rsidRPr="00627652" w:rsidRDefault="00B24361" w:rsidP="00AA3CF3">
            <w:pPr>
              <w:rPr>
                <w:rFonts w:cstheme="minorHAnsi"/>
                <w:sz w:val="20"/>
                <w:szCs w:val="20"/>
              </w:rPr>
            </w:pPr>
            <w:hyperlink r:id="rId60" w:history="1">
              <w:r w:rsidR="00AA3CF3" w:rsidRPr="00627652">
                <w:rPr>
                  <w:rStyle w:val="Hyperlink"/>
                  <w:rFonts w:cstheme="minorHAnsi"/>
                  <w:sz w:val="20"/>
                  <w:szCs w:val="20"/>
                </w:rPr>
                <w:t>Maternity and newborn services user guide</w:t>
              </w:r>
            </w:hyperlink>
          </w:p>
        </w:tc>
        <w:tc>
          <w:tcPr>
            <w:tcW w:w="3280" w:type="dxa"/>
          </w:tcPr>
          <w:p w14:paraId="52563D31" w14:textId="77777777" w:rsidR="00AA3CF3" w:rsidRPr="00627652" w:rsidRDefault="00AA3CF3" w:rsidP="00AA3CF3">
            <w:pPr>
              <w:rPr>
                <w:rFonts w:cstheme="minorHAnsi"/>
                <w:sz w:val="20"/>
                <w:szCs w:val="20"/>
              </w:rPr>
            </w:pPr>
            <w:r w:rsidRPr="00627652">
              <w:rPr>
                <w:rFonts w:cstheme="minorHAnsi"/>
                <w:sz w:val="20"/>
                <w:szCs w:val="20"/>
              </w:rPr>
              <w:t>Developed to help Victorian maternity and newborn services understand</w:t>
            </w:r>
          </w:p>
          <w:p w14:paraId="51765C36" w14:textId="77777777" w:rsidR="00AA3CF3" w:rsidRPr="00627652" w:rsidRDefault="00AA3CF3" w:rsidP="00AA3CF3">
            <w:pPr>
              <w:rPr>
                <w:rFonts w:cstheme="minorHAnsi"/>
                <w:sz w:val="20"/>
                <w:szCs w:val="20"/>
              </w:rPr>
            </w:pPr>
            <w:r w:rsidRPr="00627652">
              <w:rPr>
                <w:rFonts w:cstheme="minorHAnsi"/>
                <w:sz w:val="20"/>
                <w:szCs w:val="20"/>
              </w:rPr>
              <w:t>their unique role and requirements in providing safe, high-quality healthcare. It can be used by anyone who provides care or services for Victorian women and babies – including health service board members, executives, clinicians, and administration and support service staff.</w:t>
            </w:r>
          </w:p>
        </w:tc>
        <w:tc>
          <w:tcPr>
            <w:tcW w:w="0" w:type="auto"/>
          </w:tcPr>
          <w:p w14:paraId="44BC7489" w14:textId="77777777" w:rsidR="00AA3CF3" w:rsidRPr="00627652" w:rsidRDefault="00AA3CF3" w:rsidP="00AA3CF3">
            <w:pPr>
              <w:rPr>
                <w:rFonts w:cstheme="minorHAnsi"/>
                <w:sz w:val="20"/>
                <w:szCs w:val="20"/>
              </w:rPr>
            </w:pPr>
            <w:r w:rsidRPr="00627652">
              <w:rPr>
                <w:rFonts w:cstheme="minorHAnsi"/>
                <w:sz w:val="20"/>
                <w:szCs w:val="20"/>
              </w:rPr>
              <w:t>Health services are encouraged to use the Victorian clinical governance framework as best practice guidance to continuously monitor and evaluate compliance across five domains: leadership and culture, consumer partnerships, clinical practice, workforce and risk management.</w:t>
            </w:r>
          </w:p>
        </w:tc>
      </w:tr>
      <w:tr w:rsidR="00AA3CF3" w:rsidRPr="00627652" w14:paraId="4CE7683E" w14:textId="77777777" w:rsidTr="00AA3CF3">
        <w:tc>
          <w:tcPr>
            <w:tcW w:w="0" w:type="auto"/>
          </w:tcPr>
          <w:p w14:paraId="0EBBB511" w14:textId="77777777" w:rsidR="00AA3CF3" w:rsidRPr="00627652" w:rsidRDefault="00AA3CF3" w:rsidP="00AA3CF3">
            <w:pPr>
              <w:rPr>
                <w:rFonts w:cstheme="minorHAnsi"/>
                <w:sz w:val="20"/>
                <w:szCs w:val="20"/>
              </w:rPr>
            </w:pPr>
            <w:r w:rsidRPr="00627652">
              <w:rPr>
                <w:rFonts w:cstheme="minorHAnsi"/>
                <w:sz w:val="20"/>
                <w:szCs w:val="20"/>
              </w:rPr>
              <w:t>Victoria State Government</w:t>
            </w:r>
          </w:p>
        </w:tc>
        <w:tc>
          <w:tcPr>
            <w:tcW w:w="1803" w:type="dxa"/>
          </w:tcPr>
          <w:p w14:paraId="521DF556" w14:textId="77777777" w:rsidR="00AA3CF3" w:rsidRPr="00627652" w:rsidRDefault="00B24361" w:rsidP="00AA3CF3">
            <w:pPr>
              <w:rPr>
                <w:rFonts w:cstheme="minorHAnsi"/>
                <w:sz w:val="20"/>
                <w:szCs w:val="20"/>
              </w:rPr>
            </w:pPr>
            <w:hyperlink r:id="rId61" w:history="1">
              <w:r w:rsidR="00AA3CF3" w:rsidRPr="00627652">
                <w:rPr>
                  <w:rStyle w:val="Hyperlink"/>
                  <w:rFonts w:cstheme="minorHAnsi"/>
                  <w:sz w:val="20"/>
                  <w:szCs w:val="20"/>
                </w:rPr>
                <w:t>Capability frameworks for Victorian maternity and newborn services</w:t>
              </w:r>
            </w:hyperlink>
          </w:p>
        </w:tc>
        <w:tc>
          <w:tcPr>
            <w:tcW w:w="3280" w:type="dxa"/>
          </w:tcPr>
          <w:p w14:paraId="6259CBDE" w14:textId="77777777" w:rsidR="00AA3CF3" w:rsidRPr="00627652" w:rsidRDefault="00AA3CF3" w:rsidP="00AA3CF3">
            <w:pPr>
              <w:rPr>
                <w:rFonts w:cstheme="minorHAnsi"/>
                <w:sz w:val="20"/>
                <w:szCs w:val="20"/>
              </w:rPr>
            </w:pPr>
            <w:r w:rsidRPr="00627652">
              <w:rPr>
                <w:rFonts w:cstheme="minorHAnsi"/>
                <w:sz w:val="20"/>
                <w:szCs w:val="20"/>
              </w:rPr>
              <w:t>Describe the requirements for providing safe and high-quality maternity and newborn care for Victorian public and private hospitals, including the required workforce, infrastructure, equipment and clinical support services.</w:t>
            </w:r>
          </w:p>
        </w:tc>
        <w:tc>
          <w:tcPr>
            <w:tcW w:w="0" w:type="auto"/>
          </w:tcPr>
          <w:p w14:paraId="29EEE582" w14:textId="77777777" w:rsidR="00AA3CF3" w:rsidRPr="00627652" w:rsidRDefault="00AA3CF3" w:rsidP="00AA3CF3">
            <w:pPr>
              <w:rPr>
                <w:rFonts w:cstheme="minorHAnsi"/>
                <w:sz w:val="20"/>
                <w:szCs w:val="20"/>
              </w:rPr>
            </w:pPr>
            <w:r w:rsidRPr="00627652">
              <w:rPr>
                <w:rFonts w:cstheme="minorHAnsi"/>
                <w:sz w:val="20"/>
                <w:szCs w:val="20"/>
              </w:rPr>
              <w:t xml:space="preserve">Refers to the </w:t>
            </w:r>
            <w:hyperlink r:id="rId62" w:history="1">
              <w:r w:rsidRPr="00627652">
                <w:rPr>
                  <w:rStyle w:val="Hyperlink"/>
                  <w:rFonts w:cstheme="minorHAnsi"/>
                  <w:sz w:val="20"/>
                  <w:szCs w:val="20"/>
                </w:rPr>
                <w:t>Victorian health services performance monitoring framework</w:t>
              </w:r>
            </w:hyperlink>
            <w:r w:rsidRPr="00627652">
              <w:rPr>
                <w:rFonts w:cstheme="minorHAnsi"/>
                <w:sz w:val="20"/>
                <w:szCs w:val="20"/>
              </w:rPr>
              <w:t xml:space="preserve"> to provide managers with regular reports on selected health service performance indicators.</w:t>
            </w:r>
          </w:p>
        </w:tc>
      </w:tr>
    </w:tbl>
    <w:p w14:paraId="0446D555" w14:textId="6496FF51" w:rsidR="00AA3CF3" w:rsidRDefault="00AA3CF3" w:rsidP="003632C2">
      <w:pPr>
        <w:spacing w:after="100"/>
        <w:rPr>
          <w:lang w:eastAsia="zh-CN" w:bidi="th-TH"/>
        </w:rPr>
      </w:pPr>
      <w:r>
        <w:br w:type="page"/>
      </w:r>
    </w:p>
    <w:p w14:paraId="3ECC2EFF" w14:textId="2EDA3F9F" w:rsidR="00443C64" w:rsidRDefault="008C0F4C" w:rsidP="003632C2">
      <w:pPr>
        <w:pStyle w:val="Heading2"/>
        <w:spacing w:before="160"/>
        <w:ind w:left="578" w:hanging="578"/>
        <w:rPr>
          <w:lang w:eastAsia="zh-CN"/>
        </w:rPr>
      </w:pPr>
      <w:bookmarkStart w:id="259" w:name="_Toc121415060"/>
      <w:r>
        <w:rPr>
          <w:lang w:eastAsia="zh-CN"/>
        </w:rPr>
        <w:lastRenderedPageBreak/>
        <w:t>P</w:t>
      </w:r>
      <w:r w:rsidR="001057B4">
        <w:rPr>
          <w:lang w:eastAsia="zh-CN"/>
        </w:rPr>
        <w:t>rogress on enabling activities</w:t>
      </w:r>
      <w:bookmarkEnd w:id="259"/>
    </w:p>
    <w:p w14:paraId="3A33BD1D" w14:textId="3D21CECD" w:rsidR="00443C64" w:rsidRDefault="00443C64" w:rsidP="003632C2">
      <w:pPr>
        <w:spacing w:after="100"/>
        <w:rPr>
          <w:szCs w:val="22"/>
        </w:rPr>
      </w:pPr>
      <w:r w:rsidRPr="008F750F">
        <w:rPr>
          <w:szCs w:val="22"/>
        </w:rPr>
        <w:t xml:space="preserve">Results from </w:t>
      </w:r>
      <w:r>
        <w:rPr>
          <w:szCs w:val="22"/>
        </w:rPr>
        <w:t xml:space="preserve">the survey </w:t>
      </w:r>
      <w:r w:rsidRPr="008F750F">
        <w:rPr>
          <w:szCs w:val="22"/>
        </w:rPr>
        <w:t>demonstrate</w:t>
      </w:r>
      <w:r w:rsidR="00200FBE">
        <w:rPr>
          <w:szCs w:val="22"/>
        </w:rPr>
        <w:t>d</w:t>
      </w:r>
      <w:r w:rsidRPr="008F750F">
        <w:rPr>
          <w:szCs w:val="22"/>
        </w:rPr>
        <w:t xml:space="preserve"> that some progress ha</w:t>
      </w:r>
      <w:r w:rsidR="00200FBE">
        <w:rPr>
          <w:szCs w:val="22"/>
        </w:rPr>
        <w:t>d</w:t>
      </w:r>
      <w:r w:rsidRPr="008F750F">
        <w:rPr>
          <w:szCs w:val="22"/>
        </w:rPr>
        <w:t xml:space="preserve"> been achieved in implementing aspects of the</w:t>
      </w:r>
      <w:r w:rsidR="00200FBE">
        <w:rPr>
          <w:szCs w:val="22"/>
        </w:rPr>
        <w:t xml:space="preserve"> Strategy since its </w:t>
      </w:r>
      <w:r w:rsidRPr="008F750F">
        <w:rPr>
          <w:szCs w:val="22"/>
        </w:rPr>
        <w:t xml:space="preserve">release in 2019. However, there </w:t>
      </w:r>
      <w:r w:rsidR="00200FBE">
        <w:rPr>
          <w:szCs w:val="22"/>
        </w:rPr>
        <w:t>wa</w:t>
      </w:r>
      <w:r w:rsidRPr="008F750F">
        <w:rPr>
          <w:szCs w:val="22"/>
        </w:rPr>
        <w:t>s a high level of variability in the extent of progress, both between different jurisdictions and within strategic directions and enabling activities. Overall, the most promising progress appear</w:t>
      </w:r>
      <w:r w:rsidR="00200FBE">
        <w:rPr>
          <w:szCs w:val="22"/>
        </w:rPr>
        <w:t>ed</w:t>
      </w:r>
      <w:r w:rsidRPr="008F750F">
        <w:rPr>
          <w:szCs w:val="22"/>
        </w:rPr>
        <w:t xml:space="preserve"> to have occurred for work structured around the values of safety, choice and respect. The area for which least progress ha</w:t>
      </w:r>
      <w:r w:rsidR="00200FBE">
        <w:rPr>
          <w:szCs w:val="22"/>
        </w:rPr>
        <w:t>d</w:t>
      </w:r>
      <w:r w:rsidRPr="008F750F">
        <w:rPr>
          <w:szCs w:val="22"/>
        </w:rPr>
        <w:t xml:space="preserve"> been made relate</w:t>
      </w:r>
      <w:r w:rsidR="00200FBE">
        <w:rPr>
          <w:szCs w:val="22"/>
        </w:rPr>
        <w:t>d</w:t>
      </w:r>
      <w:r w:rsidRPr="008F750F">
        <w:rPr>
          <w:szCs w:val="22"/>
        </w:rPr>
        <w:t xml:space="preserve"> to the value of access.</w:t>
      </w:r>
    </w:p>
    <w:p w14:paraId="01318855" w14:textId="55075C19" w:rsidR="00945863" w:rsidRDefault="00443C64" w:rsidP="003632C2">
      <w:pPr>
        <w:pStyle w:val="Bullets"/>
        <w:numPr>
          <w:ilvl w:val="0"/>
          <w:numId w:val="0"/>
        </w:numPr>
        <w:spacing w:before="0" w:after="100"/>
        <w:rPr>
          <w:lang w:val="en-US"/>
        </w:rPr>
      </w:pPr>
      <w:r>
        <w:rPr>
          <w:lang w:val="en-US"/>
        </w:rPr>
        <w:t>During interviews,</w:t>
      </w:r>
      <w:r w:rsidRPr="00AC3AAB">
        <w:rPr>
          <w:lang w:val="en-US"/>
        </w:rPr>
        <w:t xml:space="preserve"> </w:t>
      </w:r>
      <w:r>
        <w:rPr>
          <w:rFonts w:eastAsiaTheme="majorEastAsia"/>
          <w:lang w:val="en-US"/>
        </w:rPr>
        <w:t xml:space="preserve">stakeholders expressed the view that overall, implementation </w:t>
      </w:r>
      <w:r w:rsidRPr="003D36AD">
        <w:rPr>
          <w:rFonts w:eastAsiaTheme="majorEastAsia"/>
          <w:lang w:val="en-US"/>
        </w:rPr>
        <w:t xml:space="preserve">and evaluation of the </w:t>
      </w:r>
      <w:r w:rsidRPr="003D36AD">
        <w:rPr>
          <w:rFonts w:eastAsiaTheme="majorEastAsia"/>
        </w:rPr>
        <w:t>Strategy</w:t>
      </w:r>
      <w:r w:rsidRPr="003D36AD">
        <w:rPr>
          <w:rFonts w:eastAsiaTheme="majorEastAsia"/>
          <w:lang w:val="en-US"/>
        </w:rPr>
        <w:t xml:space="preserve"> had not progressed well since its release, due in pa</w:t>
      </w:r>
      <w:r>
        <w:rPr>
          <w:rFonts w:eastAsiaTheme="majorEastAsia"/>
          <w:lang w:val="en-US"/>
        </w:rPr>
        <w:t xml:space="preserve">rt to its aspirational nature </w:t>
      </w:r>
      <w:r w:rsidRPr="003D36AD">
        <w:rPr>
          <w:rFonts w:eastAsiaTheme="majorEastAsia"/>
          <w:lang w:val="en-US"/>
        </w:rPr>
        <w:t xml:space="preserve">and lack of clearly defined expectations, roles, </w:t>
      </w:r>
      <w:r w:rsidRPr="003D36AD">
        <w:rPr>
          <w:rFonts w:eastAsiaTheme="majorEastAsia"/>
        </w:rPr>
        <w:t>responsibilities and timeframes.</w:t>
      </w:r>
      <w:r w:rsidRPr="003D36AD">
        <w:rPr>
          <w:rFonts w:ascii="Calibri" w:hAnsi="Calibri" w:cs="Calibri"/>
          <w:color w:val="000000"/>
          <w:szCs w:val="22"/>
        </w:rPr>
        <w:t xml:space="preserve"> </w:t>
      </w:r>
      <w:r w:rsidR="005C6D4F">
        <w:rPr>
          <w:rFonts w:ascii="Calibri" w:hAnsi="Calibri" w:cs="Calibri"/>
          <w:color w:val="000000"/>
          <w:szCs w:val="22"/>
        </w:rPr>
        <w:t xml:space="preserve">Although it is outside the scope of the Strategy itself, </w:t>
      </w:r>
      <w:r w:rsidR="00E6441A" w:rsidRPr="00AC3AAB">
        <w:rPr>
          <w:lang w:val="en-US"/>
        </w:rPr>
        <w:t>workforce</w:t>
      </w:r>
      <w:r w:rsidRPr="00AC3AAB">
        <w:rPr>
          <w:lang w:val="en-US"/>
        </w:rPr>
        <w:t xml:space="preserve"> capacity </w:t>
      </w:r>
      <w:r>
        <w:rPr>
          <w:lang w:val="en-US"/>
        </w:rPr>
        <w:t>is considered a critical</w:t>
      </w:r>
      <w:r w:rsidRPr="00AC3AAB">
        <w:rPr>
          <w:lang w:val="en-US"/>
        </w:rPr>
        <w:t xml:space="preserve"> issue</w:t>
      </w:r>
      <w:r>
        <w:rPr>
          <w:lang w:val="en-US"/>
        </w:rPr>
        <w:t xml:space="preserve"> of relevance to all components of the Strategy.</w:t>
      </w:r>
    </w:p>
    <w:p w14:paraId="6DEAC68B" w14:textId="3B68E013" w:rsidR="00443C64" w:rsidRPr="0083078D" w:rsidRDefault="00443C64" w:rsidP="003632C2">
      <w:pPr>
        <w:pStyle w:val="Bullets"/>
        <w:numPr>
          <w:ilvl w:val="0"/>
          <w:numId w:val="0"/>
        </w:numPr>
        <w:spacing w:before="0" w:after="100"/>
        <w:rPr>
          <w:bCs/>
          <w:lang w:val="en-US"/>
        </w:rPr>
      </w:pPr>
      <w:r>
        <w:rPr>
          <w:rFonts w:ascii="Calibri" w:hAnsi="Calibri" w:cs="Calibri"/>
          <w:color w:val="000000"/>
          <w:szCs w:val="22"/>
        </w:rPr>
        <w:t xml:space="preserve">The well-documented impact that the </w:t>
      </w:r>
      <w:r w:rsidR="008F1C67">
        <w:rPr>
          <w:rFonts w:ascii="Calibri" w:hAnsi="Calibri" w:cs="Calibri"/>
          <w:color w:val="000000"/>
          <w:szCs w:val="22"/>
        </w:rPr>
        <w:t xml:space="preserve">COVID-19 </w:t>
      </w:r>
      <w:r>
        <w:rPr>
          <w:rFonts w:ascii="Calibri" w:hAnsi="Calibri" w:cs="Calibri"/>
          <w:color w:val="000000"/>
          <w:szCs w:val="22"/>
        </w:rPr>
        <w:t xml:space="preserve">pandemic had, and </w:t>
      </w:r>
      <w:r w:rsidRPr="00F35D7E">
        <w:rPr>
          <w:lang w:val="en-US"/>
        </w:rPr>
        <w:t xml:space="preserve">continues to have, on resource allocation </w:t>
      </w:r>
      <w:r>
        <w:rPr>
          <w:lang w:val="en-US"/>
        </w:rPr>
        <w:t xml:space="preserve">and health </w:t>
      </w:r>
      <w:r w:rsidRPr="00AC3AAB">
        <w:rPr>
          <w:lang w:val="en-US"/>
        </w:rPr>
        <w:t xml:space="preserve">service delivery </w:t>
      </w:r>
      <w:r>
        <w:rPr>
          <w:lang w:val="en-US"/>
        </w:rPr>
        <w:t xml:space="preserve">was reinforced throughout </w:t>
      </w:r>
      <w:r w:rsidR="005C6D4F">
        <w:rPr>
          <w:lang w:val="en-US"/>
        </w:rPr>
        <w:t xml:space="preserve">the </w:t>
      </w:r>
      <w:r>
        <w:rPr>
          <w:lang w:val="en-US"/>
        </w:rPr>
        <w:t xml:space="preserve">stakeholder consultations. The Strategy’s values of </w:t>
      </w:r>
      <w:r w:rsidRPr="0083078D">
        <w:rPr>
          <w:bCs/>
          <w:lang w:val="en-US"/>
        </w:rPr>
        <w:t>access, choice and respect were thought to have been particularly affected by COVID-related disruptions; the value of safety, less so.</w:t>
      </w:r>
    </w:p>
    <w:p w14:paraId="62CFA77F" w14:textId="188419D6" w:rsidR="00443C64" w:rsidRDefault="00443C64" w:rsidP="1345B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rPr>
          <w:rFonts w:ascii="Calibri" w:hAnsi="Calibri" w:cs="Calibri"/>
          <w:color w:val="000000"/>
        </w:rPr>
      </w:pPr>
      <w:r>
        <w:rPr>
          <w:szCs w:val="22"/>
        </w:rPr>
        <w:t>T</w:t>
      </w:r>
      <w:r w:rsidRPr="00236F81">
        <w:rPr>
          <w:szCs w:val="22"/>
        </w:rPr>
        <w:t xml:space="preserve">here was general consensus </w:t>
      </w:r>
      <w:r>
        <w:rPr>
          <w:szCs w:val="22"/>
        </w:rPr>
        <w:t xml:space="preserve">among stakeholders </w:t>
      </w:r>
      <w:r w:rsidRPr="00236F81">
        <w:rPr>
          <w:szCs w:val="22"/>
          <w:lang w:val="en-US"/>
        </w:rPr>
        <w:t xml:space="preserve">regarding the appropriateness of the values and principles outlined in the Strategy across stakeholder groups. It was broadly accepted that the </w:t>
      </w:r>
      <w:r>
        <w:rPr>
          <w:szCs w:val="22"/>
          <w:lang w:val="en-US"/>
        </w:rPr>
        <w:t>Strategy</w:t>
      </w:r>
      <w:r w:rsidRPr="00236F81">
        <w:rPr>
          <w:szCs w:val="22"/>
          <w:lang w:val="en-US"/>
        </w:rPr>
        <w:t xml:space="preserve"> reflects the priorities and activities that need to be progressed to continue to improve the delivery and experience of maternity care in Australia. </w:t>
      </w:r>
      <w:r w:rsidRPr="1345BA90">
        <w:rPr>
          <w:lang w:val="en-US"/>
        </w:rPr>
        <w:t>However, stakeholders noted additional issues that have emerged or gained prominence since 2019 that are not reflected in Strategy, including women with disabilities and LGBTQIA communities as additional priority population groups.</w:t>
      </w:r>
    </w:p>
    <w:p w14:paraId="1FCB5393" w14:textId="16650BD1" w:rsidR="00945863" w:rsidRDefault="00443C64" w:rsidP="003632C2">
      <w:pPr>
        <w:spacing w:after="100"/>
      </w:pPr>
      <w:r w:rsidRPr="0008229B">
        <w:rPr>
          <w:szCs w:val="22"/>
          <w:lang w:val="en-US"/>
        </w:rPr>
        <w:t xml:space="preserve">The extent to which the Strategy </w:t>
      </w:r>
      <w:r>
        <w:rPr>
          <w:szCs w:val="22"/>
          <w:lang w:val="en-US"/>
        </w:rPr>
        <w:t xml:space="preserve">has </w:t>
      </w:r>
      <w:r w:rsidRPr="0008229B">
        <w:rPr>
          <w:szCs w:val="22"/>
          <w:lang w:val="en-US"/>
        </w:rPr>
        <w:t xml:space="preserve">provided a foundation from which local initiatives </w:t>
      </w:r>
      <w:r>
        <w:rPr>
          <w:szCs w:val="22"/>
          <w:lang w:val="en-US"/>
        </w:rPr>
        <w:t>have been</w:t>
      </w:r>
      <w:r w:rsidRPr="0008229B">
        <w:rPr>
          <w:szCs w:val="22"/>
          <w:lang w:val="en-US"/>
        </w:rPr>
        <w:t xml:space="preserve"> bu</w:t>
      </w:r>
      <w:r>
        <w:rPr>
          <w:szCs w:val="22"/>
          <w:lang w:val="en-US"/>
        </w:rPr>
        <w:t xml:space="preserve">ilt varied across jurisdictions. Some jurisdictions are progressing specific activities, but have not </w:t>
      </w:r>
      <w:r>
        <w:rPr>
          <w:rFonts w:ascii="Calibri" w:hAnsi="Calibri" w:cs="Calibri"/>
          <w:color w:val="000000"/>
          <w:szCs w:val="22"/>
        </w:rPr>
        <w:t>developed a</w:t>
      </w:r>
      <w:r w:rsidRPr="00986FB6">
        <w:rPr>
          <w:rFonts w:ascii="Calibri" w:hAnsi="Calibri" w:cs="Calibri"/>
          <w:color w:val="000000"/>
          <w:szCs w:val="22"/>
        </w:rPr>
        <w:t xml:space="preserve"> formali</w:t>
      </w:r>
      <w:r>
        <w:rPr>
          <w:rFonts w:ascii="Calibri" w:hAnsi="Calibri" w:cs="Calibri"/>
          <w:color w:val="000000"/>
          <w:szCs w:val="22"/>
        </w:rPr>
        <w:t>s</w:t>
      </w:r>
      <w:r w:rsidRPr="00986FB6">
        <w:rPr>
          <w:rFonts w:ascii="Calibri" w:hAnsi="Calibri" w:cs="Calibri"/>
          <w:color w:val="000000"/>
          <w:szCs w:val="22"/>
        </w:rPr>
        <w:t>ed response or plan for implementation of the</w:t>
      </w:r>
      <w:r>
        <w:rPr>
          <w:rFonts w:ascii="Calibri" w:hAnsi="Calibri" w:cs="Calibri"/>
          <w:color w:val="000000"/>
          <w:szCs w:val="22"/>
        </w:rPr>
        <w:t xml:space="preserve"> Strategy more broadly. </w:t>
      </w:r>
      <w:r>
        <w:rPr>
          <w:szCs w:val="22"/>
          <w:lang w:val="en-US"/>
        </w:rPr>
        <w:t>Other jurisdictions have released plans or strategies since 2019, although some of these documents were under d</w:t>
      </w:r>
      <w:r w:rsidR="00945863">
        <w:rPr>
          <w:szCs w:val="22"/>
          <w:lang w:val="en-US"/>
        </w:rPr>
        <w:t>evelopment prior to this time.</w:t>
      </w:r>
    </w:p>
    <w:p w14:paraId="32676C1B" w14:textId="7E07DBE3" w:rsidR="00443C64" w:rsidRPr="00945863" w:rsidRDefault="00443C64" w:rsidP="003632C2">
      <w:pPr>
        <w:spacing w:after="100"/>
      </w:pPr>
      <w:r>
        <w:rPr>
          <w:szCs w:val="22"/>
          <w:lang w:val="en-US"/>
        </w:rPr>
        <w:t>S</w:t>
      </w:r>
      <w:r>
        <w:rPr>
          <w:rFonts w:eastAsiaTheme="majorEastAsia"/>
        </w:rPr>
        <w:t xml:space="preserve">ome specific enabling activities were well developed or progressed prior to the release of the Strategy, with implementation of the Safer Baby Bundle and increased focus on Birthing on Country programs for </w:t>
      </w:r>
      <w:r w:rsidR="00105122">
        <w:rPr>
          <w:rFonts w:eastAsiaTheme="majorEastAsia"/>
        </w:rPr>
        <w:t>Aboriginal and Torres Strait Islander</w:t>
      </w:r>
      <w:r w:rsidR="00240432">
        <w:rPr>
          <w:rFonts w:eastAsiaTheme="majorEastAsia"/>
        </w:rPr>
        <w:t xml:space="preserve"> </w:t>
      </w:r>
      <w:r>
        <w:rPr>
          <w:rFonts w:eastAsiaTheme="majorEastAsia"/>
        </w:rPr>
        <w:t xml:space="preserve">women and families frequently cited as examples. Some stakeholders felt that the priority given to these initiatives within the Strategy </w:t>
      </w:r>
      <w:r w:rsidR="004E2B2E">
        <w:rPr>
          <w:rFonts w:eastAsiaTheme="majorEastAsia"/>
        </w:rPr>
        <w:t>was</w:t>
      </w:r>
      <w:r>
        <w:rPr>
          <w:rFonts w:eastAsiaTheme="majorEastAsia"/>
        </w:rPr>
        <w:t xml:space="preserve"> an important lever for elevating the profile and importance of the </w:t>
      </w:r>
      <w:r w:rsidRPr="004A61B1">
        <w:rPr>
          <w:szCs w:val="22"/>
          <w:lang w:val="en-US"/>
        </w:rPr>
        <w:t>work. Others were of the view that progress would have occurred irrespective of the release of the Strategy.</w:t>
      </w:r>
    </w:p>
    <w:p w14:paraId="44AB277E" w14:textId="3D831782" w:rsidR="00114CDA" w:rsidRDefault="00443C64" w:rsidP="00363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rPr>
          <w:szCs w:val="22"/>
          <w:lang w:val="en-US"/>
        </w:rPr>
      </w:pPr>
      <w:r w:rsidRPr="004A61B1">
        <w:rPr>
          <w:szCs w:val="22"/>
          <w:lang w:val="en-US"/>
        </w:rPr>
        <w:t>Just as the initiatives captured within the Strategy predominantly reflect the pre-existing priorities, activities and directions already underway within the sector, so too do the evaluation activities. And while there is consensus among stakeholders regarding the need for evaluation of strategic initiatives, the capacity to do so has been affected by workforce, funding and cultural issues, and the compounding impacts of COVID-19 following t</w:t>
      </w:r>
      <w:r w:rsidR="00267BD0">
        <w:rPr>
          <w:szCs w:val="22"/>
          <w:lang w:val="en-US"/>
        </w:rPr>
        <w:t>he Strategy’s release in 2019.</w:t>
      </w:r>
    </w:p>
    <w:p w14:paraId="1FCA09C1" w14:textId="77777777" w:rsidR="00267BD0" w:rsidRDefault="00267BD0" w:rsidP="00267BD0">
      <w:pPr>
        <w:pStyle w:val="Heading2"/>
      </w:pPr>
      <w:bookmarkStart w:id="260" w:name="_Toc117764997"/>
      <w:bookmarkStart w:id="261" w:name="_Toc121415061"/>
      <w:r>
        <w:t>Challenges and complexities of implementation</w:t>
      </w:r>
      <w:bookmarkEnd w:id="260"/>
      <w:bookmarkEnd w:id="261"/>
    </w:p>
    <w:p w14:paraId="24E4E587" w14:textId="77777777" w:rsidR="00267BD0" w:rsidRPr="001C4A05" w:rsidRDefault="00267BD0" w:rsidP="00267BD0">
      <w:pPr>
        <w:pStyle w:val="Heading3"/>
        <w:ind w:left="709" w:hanging="709"/>
      </w:pPr>
      <w:bookmarkStart w:id="262" w:name="_Toc117764998"/>
      <w:r>
        <w:t>Evidence from implementation science</w:t>
      </w:r>
      <w:bookmarkEnd w:id="262"/>
    </w:p>
    <w:p w14:paraId="7C4634E8" w14:textId="77777777" w:rsidR="00267BD0" w:rsidRDefault="00267BD0" w:rsidP="00267BD0">
      <w:r>
        <w:t xml:space="preserve">Research from the field of implementation science </w:t>
      </w:r>
      <w:r w:rsidRPr="000F557F">
        <w:t>can shed light on some of the reasons why implementation of the Strategy may not have progressed as hoped</w:t>
      </w:r>
      <w:r>
        <w:t xml:space="preserve"> or may not progress in the future as intended</w:t>
      </w:r>
      <w:r w:rsidRPr="000F557F">
        <w:t>.</w:t>
      </w:r>
      <w:r>
        <w:t xml:space="preserve"> </w:t>
      </w:r>
      <w:r w:rsidRPr="000F557F">
        <w:t>A recent review</w:t>
      </w:r>
      <w:r>
        <w:t>, published in 2021,</w:t>
      </w:r>
      <w:r w:rsidRPr="000F557F">
        <w:t xml:space="preserve"> examined methods that have been used to promote the uptake of evidence-based interventions in maternity care</w:t>
      </w:r>
      <w:r>
        <w:t xml:space="preserve"> and found various contextual, organisational and personal factors that influenced implementation:</w:t>
      </w:r>
    </w:p>
    <w:p w14:paraId="2C68AE11" w14:textId="77777777" w:rsidR="00267BD0" w:rsidRDefault="00267BD0" w:rsidP="00267BD0">
      <w:pPr>
        <w:pStyle w:val="Bullets"/>
        <w:numPr>
          <w:ilvl w:val="0"/>
          <w:numId w:val="10"/>
        </w:numPr>
      </w:pPr>
      <w:r w:rsidRPr="008B3D6B">
        <w:rPr>
          <w:b/>
          <w:bCs/>
        </w:rPr>
        <w:t>Contextual</w:t>
      </w:r>
      <w:r>
        <w:rPr>
          <w:b/>
          <w:bCs/>
        </w:rPr>
        <w:t xml:space="preserve"> factors</w:t>
      </w:r>
      <w:r>
        <w:t xml:space="preserve"> such as adaptation of the intervention and/or its implementation; and organisational capacity to accommodate change.</w:t>
      </w:r>
    </w:p>
    <w:p w14:paraId="46EA951F" w14:textId="77777777" w:rsidR="00267BD0" w:rsidRDefault="00267BD0" w:rsidP="00267BD0">
      <w:pPr>
        <w:pStyle w:val="Bullets"/>
        <w:numPr>
          <w:ilvl w:val="0"/>
          <w:numId w:val="10"/>
        </w:numPr>
      </w:pPr>
      <w:r w:rsidRPr="008B3D6B">
        <w:rPr>
          <w:b/>
          <w:bCs/>
        </w:rPr>
        <w:t>Organisational</w:t>
      </w:r>
      <w:r>
        <w:rPr>
          <w:b/>
          <w:bCs/>
        </w:rPr>
        <w:t xml:space="preserve"> factors</w:t>
      </w:r>
      <w:r>
        <w:t xml:space="preserve"> such as a healthy organisational culture; effective communication; stakeholder engagement; and planning for implementation.</w:t>
      </w:r>
    </w:p>
    <w:p w14:paraId="3067A306" w14:textId="58DBF23A" w:rsidR="00267BD0" w:rsidRDefault="00267BD0" w:rsidP="00267BD0">
      <w:pPr>
        <w:pStyle w:val="Bullets"/>
        <w:numPr>
          <w:ilvl w:val="0"/>
          <w:numId w:val="10"/>
        </w:numPr>
      </w:pPr>
      <w:r w:rsidRPr="008B3D6B">
        <w:rPr>
          <w:b/>
          <w:bCs/>
        </w:rPr>
        <w:lastRenderedPageBreak/>
        <w:t>Personal</w:t>
      </w:r>
      <w:r>
        <w:rPr>
          <w:b/>
          <w:bCs/>
        </w:rPr>
        <w:t xml:space="preserve"> factors</w:t>
      </w:r>
      <w:r>
        <w:t xml:space="preserve"> such as motivation to change; the perceived value of the intervention; and the knowledge, training, education, and/or feedback to or from service providers or service users.</w:t>
      </w:r>
      <w:r>
        <w:fldChar w:fldCharType="begin"/>
      </w:r>
      <w:r>
        <w:instrText xml:space="preserve"> ADDIN EN.CITE &lt;EndNote&gt;&lt;Cite&gt;&lt;Author&gt;Dadich&lt;/Author&gt;&lt;Year&gt;2021&lt;/Year&gt;&lt;RecNum&gt;11&lt;/RecNum&gt;&lt;DisplayText&gt;&lt;style face="superscript"&gt;5&lt;/style&gt;&lt;/DisplayText&gt;&lt;record&gt;&lt;rec-number&gt;11&lt;/rec-number&gt;&lt;foreign-keys&gt;&lt;key app="EN" db-id="wpvfpf90szpzwse02epvd9rkrfpvwtrszrv0" timestamp="1665720154"&gt;11&lt;/key&gt;&lt;/foreign-keys&gt;&lt;ref-type name="Journal Article"&gt;17&lt;/ref-type&gt;&lt;contributors&gt;&lt;authors&gt;&lt;author&gt;Dadich, Ann&lt;/author&gt;&lt;author&gt;Piper, Annika&lt;/author&gt;&lt;author&gt;Coates, Dominiek&lt;/author&gt;&lt;/authors&gt;&lt;/contributors&gt;&lt;titles&gt;&lt;title&gt;Implementation science in maternity care: a scoping review&lt;/title&gt;&lt;secondary-title&gt;Implementation Science&lt;/secondary-title&gt;&lt;/titles&gt;&lt;periodical&gt;&lt;full-title&gt;Implementation Science&lt;/full-title&gt;&lt;/periodical&gt;&lt;pages&gt;16&lt;/pages&gt;&lt;volume&gt;16&lt;/volume&gt;&lt;number&gt;1&lt;/number&gt;&lt;dates&gt;&lt;year&gt;2021&lt;/year&gt;&lt;pub-dates&gt;&lt;date&gt;2021/02/04&lt;/date&gt;&lt;/pub-dates&gt;&lt;/dates&gt;&lt;isbn&gt;1748-5908&lt;/isbn&gt;&lt;urls&gt;&lt;related-urls&gt;&lt;url&gt;https://doi.org/10.1186/s13012-021-01083-6&lt;/url&gt;&lt;/related-urls&gt;&lt;/urls&gt;&lt;electronic-resource-num&gt;10.1186/s13012-021-01083-6&lt;/electronic-resource-num&gt;&lt;/record&gt;&lt;/Cite&gt;&lt;/EndNote&gt;</w:instrText>
      </w:r>
      <w:r>
        <w:fldChar w:fldCharType="separate"/>
      </w:r>
      <w:r w:rsidRPr="00267BD0">
        <w:rPr>
          <w:noProof/>
          <w:vertAlign w:val="superscript"/>
        </w:rPr>
        <w:t>5</w:t>
      </w:r>
      <w:r>
        <w:fldChar w:fldCharType="end"/>
      </w:r>
    </w:p>
    <w:p w14:paraId="12E5F214" w14:textId="6929B41C" w:rsidR="00267BD0" w:rsidRDefault="00267BD0" w:rsidP="00267BD0">
      <w:pPr>
        <w:spacing w:after="120"/>
      </w:pPr>
      <w:r>
        <w:t xml:space="preserve">Another review examining the </w:t>
      </w:r>
      <w:r w:rsidRPr="000F557F">
        <w:t>facilitators and barriers to the implementation of a physiological approach during labour and birth came up with a similar range of factors</w:t>
      </w:r>
      <w:r>
        <w:t>.</w:t>
      </w:r>
      <w:r>
        <w:fldChar w:fldCharType="begin"/>
      </w:r>
      <w:r>
        <w:instrText xml:space="preserve"> ADDIN EN.CITE &lt;EndNote&gt;&lt;Cite&gt;&lt;Author&gt;Darling&lt;/Author&gt;&lt;Year&gt;2021&lt;/Year&gt;&lt;RecNum&gt;231&lt;/RecNum&gt;&lt;DisplayText&gt;&lt;style face="superscript"&gt;6&lt;/style&gt;&lt;/DisplayText&gt;&lt;record&gt;&lt;rec-number&gt;231&lt;/rec-number&gt;&lt;foreign-keys&gt;&lt;key app="EN" db-id="ewrsr2203a2a0veserrv55dezzwsepr5psw2" timestamp="1663656155"&gt;231&lt;/key&gt;&lt;/foreign-keys&gt;&lt;ref-type name="Journal Article"&gt;17&lt;/ref-type&gt;&lt;contributors&gt;&lt;authors&gt;&lt;author&gt;Darling, Florence&lt;/author&gt;&lt;author&gt;McCourt, Prof Christine&lt;/author&gt;&lt;author&gt;Cartwright, Dr Martin&lt;/author&gt;&lt;/authors&gt;&lt;/contributors&gt;&lt;titles&gt;&lt;title&gt;Facilitators and barriers to the implementation of a physiological approach during labour and birth: A systematic review and thematic synthesis&lt;/title&gt;&lt;secondary-title&gt;Midwifery&lt;/secondary-title&gt;&lt;/titles&gt;&lt;periodical&gt;&lt;full-title&gt;Midwifery&lt;/full-title&gt;&lt;/periodical&gt;&lt;pages&gt;102861&lt;/pages&gt;&lt;volume&gt;92&lt;/volume&gt;&lt;keywords&gt;&lt;keyword&gt;midwife&lt;/keyword&gt;&lt;keyword&gt;physiological birth&lt;/keyword&gt;&lt;keyword&gt;obstetric unit&lt;/keyword&gt;&lt;keyword&gt;interventions&lt;/keyword&gt;&lt;keyword&gt;metasynthesis&lt;/keyword&gt;&lt;keyword&gt;systematic review&lt;/keyword&gt;&lt;/keywords&gt;&lt;dates&gt;&lt;year&gt;2021&lt;/year&gt;&lt;pub-dates&gt;&lt;date&gt;2021/01/01/&lt;/date&gt;&lt;/pub-dates&gt;&lt;/dates&gt;&lt;isbn&gt;0266-6138&lt;/isbn&gt;&lt;urls&gt;&lt;related-urls&gt;&lt;url&gt;https://www.sciencedirect.com/science/article/pii/S0266613820302333&lt;/url&gt;&lt;/related-urls&gt;&lt;/urls&gt;&lt;electronic-resource-num&gt;https://doi.org/10.1016/j.midw.2020.102861&lt;/electronic-resource-num&gt;&lt;/record&gt;&lt;/Cite&gt;&lt;/EndNote&gt;</w:instrText>
      </w:r>
      <w:r>
        <w:fldChar w:fldCharType="separate"/>
      </w:r>
      <w:r w:rsidRPr="00267BD0">
        <w:rPr>
          <w:noProof/>
          <w:vertAlign w:val="superscript"/>
        </w:rPr>
        <w:t>6</w:t>
      </w:r>
      <w:r>
        <w:fldChar w:fldCharType="end"/>
      </w:r>
      <w:r>
        <w:t xml:space="preserve"> </w:t>
      </w:r>
      <w:r w:rsidR="00E6441A">
        <w:t>However, t</w:t>
      </w:r>
      <w:r>
        <w:t xml:space="preserve">here </w:t>
      </w:r>
      <w:r w:rsidRPr="000F557F">
        <w:t>has been little use of theories, models and frameworks to help explain how those factors work and interact with each other.</w:t>
      </w:r>
      <w:r>
        <w:fldChar w:fldCharType="begin"/>
      </w:r>
      <w:r>
        <w:instrText xml:space="preserve"> ADDIN EN.CITE &lt;EndNote&gt;&lt;Cite&gt;&lt;Author&gt;Dadich&lt;/Author&gt;&lt;Year&gt;2021&lt;/Year&gt;&lt;RecNum&gt;11&lt;/RecNum&gt;&lt;DisplayText&gt;&lt;style face="superscript"&gt;5&lt;/style&gt;&lt;/DisplayText&gt;&lt;record&gt;&lt;rec-number&gt;11&lt;/rec-number&gt;&lt;foreign-keys&gt;&lt;key app="EN" db-id="wpvfpf90szpzwse02epvd9rkrfpvwtrszrv0" timestamp="1665720154"&gt;11&lt;/key&gt;&lt;/foreign-keys&gt;&lt;ref-type name="Journal Article"&gt;17&lt;/ref-type&gt;&lt;contributors&gt;&lt;authors&gt;&lt;author&gt;Dadich, Ann&lt;/author&gt;&lt;author&gt;Piper, Annika&lt;/author&gt;&lt;author&gt;Coates, Dominiek&lt;/author&gt;&lt;/authors&gt;&lt;/contributors&gt;&lt;titles&gt;&lt;title&gt;Implementation science in maternity care: a scoping review&lt;/title&gt;&lt;secondary-title&gt;Implementation Science&lt;/secondary-title&gt;&lt;/titles&gt;&lt;periodical&gt;&lt;full-title&gt;Implementation Science&lt;/full-title&gt;&lt;/periodical&gt;&lt;pages&gt;16&lt;/pages&gt;&lt;volume&gt;16&lt;/volume&gt;&lt;number&gt;1&lt;/number&gt;&lt;dates&gt;&lt;year&gt;2021&lt;/year&gt;&lt;pub-dates&gt;&lt;date&gt;2021/02/04&lt;/date&gt;&lt;/pub-dates&gt;&lt;/dates&gt;&lt;isbn&gt;1748-5908&lt;/isbn&gt;&lt;urls&gt;&lt;related-urls&gt;&lt;url&gt;https://doi.org/10.1186/s13012-021-01083-6&lt;/url&gt;&lt;/related-urls&gt;&lt;/urls&gt;&lt;electronic-resource-num&gt;10.1186/s13012-021-01083-6&lt;/electronic-resource-num&gt;&lt;/record&gt;&lt;/Cite&gt;&lt;/EndNote&gt;</w:instrText>
      </w:r>
      <w:r>
        <w:fldChar w:fldCharType="separate"/>
      </w:r>
      <w:r w:rsidRPr="00267BD0">
        <w:rPr>
          <w:noProof/>
          <w:vertAlign w:val="superscript"/>
        </w:rPr>
        <w:t>5</w:t>
      </w:r>
      <w:r>
        <w:fldChar w:fldCharType="end"/>
      </w:r>
    </w:p>
    <w:p w14:paraId="6B55E403" w14:textId="72470B4C" w:rsidR="00267BD0" w:rsidRDefault="00267BD0" w:rsidP="00267BD0">
      <w:pPr>
        <w:spacing w:after="120"/>
        <w:rPr>
          <w:lang w:eastAsia="zh-CN" w:bidi="th-TH"/>
        </w:rPr>
      </w:pPr>
      <w:r>
        <w:rPr>
          <w:lang w:eastAsia="zh-CN" w:bidi="th-TH"/>
        </w:rPr>
        <w:t xml:space="preserve">These findings are consistent with a framework which was developed over a decade ago and has since been very influential in the field of implementation science. </w:t>
      </w:r>
      <w:r w:rsidRPr="000C20E5">
        <w:rPr>
          <w:lang w:eastAsia="zh-CN" w:bidi="th-TH"/>
        </w:rPr>
        <w:t>The Consolidated Framework for Implementation Research (CFIR) was developed by reviewing theories related to dissemination, innovation, organisational change, implementation, knowledge translation and research uptak</w:t>
      </w:r>
      <w:r>
        <w:rPr>
          <w:lang w:eastAsia="zh-CN" w:bidi="th-TH"/>
        </w:rPr>
        <w:t>e</w:t>
      </w:r>
      <w:r w:rsidRPr="000C20E5">
        <w:rPr>
          <w:lang w:eastAsia="zh-CN" w:bidi="th-TH"/>
        </w:rPr>
        <w:t xml:space="preserve">. </w:t>
      </w:r>
      <w:r>
        <w:rPr>
          <w:lang w:eastAsia="zh-CN" w:bidi="th-TH"/>
        </w:rPr>
        <w:t xml:space="preserve">The CFIR indicates that implementation is influenced by the setting within which implementation takes place, the intervention characteristics, the individuals involved and the process by which implementation takes place, all of which </w:t>
      </w:r>
      <w:r w:rsidRPr="000C20E5">
        <w:rPr>
          <w:lang w:eastAsia="zh-CN" w:bidi="th-TH"/>
        </w:rPr>
        <w:t>‘interact in rich and complex ways to influence implementation effectiveness’</w:t>
      </w:r>
      <w:r>
        <w:rPr>
          <w:lang w:eastAsia="zh-CN" w:bidi="th-TH"/>
        </w:rPr>
        <w:t>.</w:t>
      </w:r>
      <w:r>
        <w:rPr>
          <w:lang w:eastAsia="zh-CN" w:bidi="th-TH"/>
        </w:rPr>
        <w:fldChar w:fldCharType="begin"/>
      </w:r>
      <w:r>
        <w:rPr>
          <w:lang w:eastAsia="zh-CN" w:bidi="th-TH"/>
        </w:rPr>
        <w:instrText xml:space="preserve"> ADDIN EN.CITE &lt;EndNote&gt;&lt;Cite&gt;&lt;Author&gt;Damschroder&lt;/Author&gt;&lt;Year&gt;2009&lt;/Year&gt;&lt;RecNum&gt;232&lt;/RecNum&gt;&lt;Suffix&gt;`, p 5&lt;/Suffix&gt;&lt;DisplayText&gt;&lt;style face="superscript"&gt;7, p 5&lt;/style&gt;&lt;/DisplayText&gt;&lt;record&gt;&lt;rec-number&gt;232&lt;/rec-number&gt;&lt;foreign-keys&gt;&lt;key app="EN" db-id="ewrsr2203a2a0veserrv55dezzwsepr5psw2" timestamp="1663656155"&gt;232&lt;/key&gt;&lt;/foreign-keys&gt;&lt;ref-type name="Journal Article"&gt;17&lt;/ref-type&gt;&lt;contributors&gt;&lt;authors&gt;&lt;author&gt;Damschroder, Laura J.&lt;/author&gt;&lt;author&gt;Aron, David C.&lt;/author&gt;&lt;author&gt;Keith, Rosalind E.&lt;/author&gt;&lt;author&gt;Kirsh, Susan R.&lt;/author&gt;&lt;author&gt;Alexander, Jeffery A.&lt;/author&gt;&lt;author&gt;Lowery, Julie C.&lt;/author&gt;&lt;/authors&gt;&lt;/contributors&gt;&lt;titles&gt;&lt;title&gt;Fostering implementation of health services research findings into practice: a consolidated framework for advancing implementation science&lt;/title&gt;&lt;secondary-title&gt;Implementation Science&lt;/secondary-title&gt;&lt;/titles&gt;&lt;periodical&gt;&lt;full-title&gt;Implementation Science&lt;/full-title&gt;&lt;/periodical&gt;&lt;pages&gt;50-50&lt;/pages&gt;&lt;volume&gt;4&lt;/volume&gt;&lt;number&gt;1&lt;/number&gt;&lt;keywords&gt;&lt;keyword&gt;Clinical medicine&lt;/keyword&gt;&lt;keyword&gt;Clinical trials&lt;/keyword&gt;&lt;keyword&gt;Health services&lt;/keyword&gt;&lt;keyword&gt;Medical research&lt;/keyword&gt;&lt;keyword&gt;Medicine&lt;/keyword&gt;&lt;keyword&gt;Medicine, Experimental&lt;/keyword&gt;&lt;keyword&gt;Methods&lt;/keyword&gt;&lt;keyword&gt;Organizational change&lt;/keyword&gt;&lt;keyword&gt;Practice&lt;/keyword&gt;&lt;keyword&gt;Science&lt;/keyword&gt;&lt;keyword&gt;Studies&lt;/keyword&gt;&lt;keyword&gt;Technology application&lt;/keyword&gt;&lt;keyword&gt;Theory&lt;/keyword&gt;&lt;/keywords&gt;&lt;dates&gt;&lt;year&gt;2009&lt;/year&gt;&lt;/dates&gt;&lt;pub-location&gt;England&lt;/pub-location&gt;&lt;publisher&gt;BioMed Central Ltd&lt;/publisher&gt;&lt;isbn&gt;1748-5908&lt;/isbn&gt;&lt;urls&gt;&lt;/urls&gt;&lt;electronic-resource-num&gt;10.1186/1748-5908-4-50&lt;/electronic-resource-num&gt;&lt;/record&gt;&lt;/Cite&gt;&lt;/EndNote&gt;</w:instrText>
      </w:r>
      <w:r>
        <w:rPr>
          <w:lang w:eastAsia="zh-CN" w:bidi="th-TH"/>
        </w:rPr>
        <w:fldChar w:fldCharType="separate"/>
      </w:r>
      <w:r w:rsidRPr="00267BD0">
        <w:rPr>
          <w:noProof/>
          <w:vertAlign w:val="superscript"/>
          <w:lang w:eastAsia="zh-CN" w:bidi="th-TH"/>
        </w:rPr>
        <w:t>7, p 5</w:t>
      </w:r>
      <w:r>
        <w:rPr>
          <w:lang w:eastAsia="zh-CN" w:bidi="th-TH"/>
        </w:rPr>
        <w:fldChar w:fldCharType="end"/>
      </w:r>
      <w:r w:rsidR="00E6441A">
        <w:rPr>
          <w:lang w:eastAsia="zh-CN" w:bidi="th-TH"/>
        </w:rPr>
        <w:t xml:space="preserve"> </w:t>
      </w:r>
      <w:r>
        <w:rPr>
          <w:lang w:eastAsia="zh-CN" w:bidi="th-TH"/>
        </w:rPr>
        <w:t xml:space="preserve">Research in Queensland investigating the recent implementation and upscaling of a midwifery model of care found that implementation was facilitated by </w:t>
      </w:r>
      <w:r w:rsidRPr="00812E1F">
        <w:rPr>
          <w:lang w:eastAsia="zh-CN" w:bidi="th-TH"/>
        </w:rPr>
        <w:t>supportive midwifery and obstetric leadership</w:t>
      </w:r>
      <w:r>
        <w:rPr>
          <w:lang w:eastAsia="zh-CN" w:bidi="th-TH"/>
        </w:rPr>
        <w:t xml:space="preserve">, good </w:t>
      </w:r>
      <w:r w:rsidRPr="00812E1F">
        <w:rPr>
          <w:lang w:eastAsia="zh-CN" w:bidi="th-TH"/>
        </w:rPr>
        <w:t>communication</w:t>
      </w:r>
      <w:r>
        <w:rPr>
          <w:lang w:eastAsia="zh-CN" w:bidi="th-TH"/>
        </w:rPr>
        <w:t xml:space="preserve">, </w:t>
      </w:r>
      <w:r w:rsidRPr="00812E1F">
        <w:rPr>
          <w:lang w:eastAsia="zh-CN" w:bidi="th-TH"/>
        </w:rPr>
        <w:t>inter-disciplinary collaboration</w:t>
      </w:r>
      <w:r>
        <w:rPr>
          <w:lang w:eastAsia="zh-CN" w:bidi="th-TH"/>
        </w:rPr>
        <w:t>, and flexibility with rostering of staff.</w:t>
      </w:r>
      <w:r>
        <w:rPr>
          <w:lang w:eastAsia="zh-CN" w:bidi="th-TH"/>
        </w:rPr>
        <w:fldChar w:fldCharType="begin"/>
      </w:r>
      <w:r w:rsidR="00F66EC6">
        <w:rPr>
          <w:lang w:eastAsia="zh-CN" w:bidi="th-TH"/>
        </w:rPr>
        <w:instrText xml:space="preserve"> ADDIN EN.CITE &lt;EndNote&gt;&lt;Cite&gt;&lt;Author&gt;Styles&lt;/Author&gt;&lt;Year&gt;2020&lt;/Year&gt;&lt;RecNum&gt;121&lt;/RecNum&gt;&lt;DisplayText&gt;&lt;style face="superscript"&gt;8&lt;/style&gt;&lt;/DisplayText&gt;&lt;record&gt;&lt;rec-number&gt;121&lt;/rec-number&gt;&lt;foreign-keys&gt;&lt;key app="EN" db-id="ewrsr2203a2a0veserrv55dezzwsepr5psw2" timestamp="1660802415"&gt;121&lt;/key&gt;&lt;/foreign-keys&gt;&lt;ref-type name="Journal Article"&gt;17&lt;/ref-type&gt;&lt;contributors&gt;&lt;authors&gt;&lt;author&gt;Styles, Cathy&lt;/author&gt;&lt;author&gt;Kearney, Lauren&lt;/author&gt;&lt;author&gt;George, Kendall&lt;/author&gt;&lt;/authors&gt;&lt;/contributors&gt;&lt;titles&gt;&lt;title&gt;Implementation and upscaling of midwifery continuity of care: The experience of midwives and obstetricians&lt;/title&gt;&lt;secondary-title&gt;Women and Birth&lt;/secondary-title&gt;&lt;/titles&gt;&lt;periodical&gt;&lt;full-title&gt;Women and Birth&lt;/full-title&gt;&lt;/periodical&gt;&lt;pages&gt;343-351&lt;/pages&gt;&lt;volume&gt;33&lt;/volume&gt;&lt;number&gt;4&lt;/number&gt;&lt;keywords&gt;&lt;keyword&gt;Midwife&lt;/keyword&gt;&lt;keyword&gt;Continuity of care&lt;/keyword&gt;&lt;keyword&gt;Models of care&lt;/keyword&gt;&lt;keyword&gt;Organizational change&lt;/keyword&gt;&lt;keyword&gt;Qualitative research&lt;/keyword&gt;&lt;/keywords&gt;&lt;dates&gt;&lt;year&gt;2020&lt;/year&gt;&lt;pub-dates&gt;&lt;date&gt;2020/07/01/&lt;/date&gt;&lt;/pub-dates&gt;&lt;/dates&gt;&lt;isbn&gt;1871-5192&lt;/isbn&gt;&lt;urls&gt;&lt;related-urls&gt;&lt;url&gt;https://www.sciencedirect.com/science/article/pii/S1871519218317256&lt;/url&gt;&lt;/related-urls&gt;&lt;/urls&gt;&lt;electronic-resource-num&gt;https://doi.org/10.1016/j.wombi.2019.08.008&lt;/electronic-resource-num&gt;&lt;/record&gt;&lt;/Cite&gt;&lt;/EndNote&gt;</w:instrText>
      </w:r>
      <w:r>
        <w:rPr>
          <w:lang w:eastAsia="zh-CN" w:bidi="th-TH"/>
        </w:rPr>
        <w:fldChar w:fldCharType="separate"/>
      </w:r>
      <w:r w:rsidR="00F66EC6" w:rsidRPr="00F66EC6">
        <w:rPr>
          <w:noProof/>
          <w:vertAlign w:val="superscript"/>
          <w:lang w:eastAsia="zh-CN" w:bidi="th-TH"/>
        </w:rPr>
        <w:t>8</w:t>
      </w:r>
      <w:r>
        <w:rPr>
          <w:lang w:eastAsia="zh-CN" w:bidi="th-TH"/>
        </w:rPr>
        <w:fldChar w:fldCharType="end"/>
      </w:r>
    </w:p>
    <w:p w14:paraId="59194950" w14:textId="75440BB9" w:rsidR="00267BD0" w:rsidRDefault="00267BD0" w:rsidP="00267BD0">
      <w:pPr>
        <w:spacing w:after="120"/>
        <w:rPr>
          <w:lang w:eastAsia="zh-CN" w:bidi="th-TH"/>
        </w:rPr>
      </w:pPr>
      <w:r w:rsidRPr="00206780">
        <w:rPr>
          <w:lang w:eastAsia="zh-CN" w:bidi="th-TH"/>
        </w:rPr>
        <w:t xml:space="preserve">The </w:t>
      </w:r>
      <w:r w:rsidR="004347F9">
        <w:rPr>
          <w:lang w:eastAsia="zh-CN" w:bidi="th-TH"/>
        </w:rPr>
        <w:t xml:space="preserve">following sections detail the </w:t>
      </w:r>
      <w:r w:rsidRPr="00206780">
        <w:rPr>
          <w:lang w:eastAsia="zh-CN" w:bidi="th-TH"/>
        </w:rPr>
        <w:t xml:space="preserve">influence of </w:t>
      </w:r>
      <w:r w:rsidR="004347F9">
        <w:rPr>
          <w:lang w:eastAsia="zh-CN" w:bidi="th-TH"/>
        </w:rPr>
        <w:t xml:space="preserve">two important contextual factors </w:t>
      </w:r>
      <w:r w:rsidRPr="00206780">
        <w:rPr>
          <w:lang w:eastAsia="zh-CN" w:bidi="th-TH"/>
        </w:rPr>
        <w:t xml:space="preserve">on implementation </w:t>
      </w:r>
      <w:r w:rsidR="004347F9">
        <w:rPr>
          <w:lang w:eastAsia="zh-CN" w:bidi="th-TH"/>
        </w:rPr>
        <w:t>to date</w:t>
      </w:r>
      <w:r w:rsidRPr="00206780">
        <w:rPr>
          <w:lang w:eastAsia="zh-CN" w:bidi="th-TH"/>
        </w:rPr>
        <w:t>.</w:t>
      </w:r>
    </w:p>
    <w:p w14:paraId="3A1E7694" w14:textId="77777777" w:rsidR="00267BD0" w:rsidRDefault="00267BD0" w:rsidP="00267BD0">
      <w:pPr>
        <w:pStyle w:val="Heading3"/>
        <w:ind w:left="709" w:hanging="709"/>
      </w:pPr>
      <w:bookmarkStart w:id="263" w:name="_Toc117764999"/>
      <w:r>
        <w:t>Workforce and resource constraints</w:t>
      </w:r>
      <w:bookmarkEnd w:id="263"/>
    </w:p>
    <w:p w14:paraId="3DB7D08D" w14:textId="7FEF86DC" w:rsidR="00267BD0" w:rsidRDefault="00267BD0" w:rsidP="00267BD0">
      <w:pPr>
        <w:spacing w:after="120"/>
        <w:rPr>
          <w:lang w:val="en-US"/>
        </w:rPr>
      </w:pPr>
      <w:r>
        <w:rPr>
          <w:lang w:val="en-US"/>
        </w:rPr>
        <w:t>A</w:t>
      </w:r>
      <w:r w:rsidRPr="00AC3AAB">
        <w:rPr>
          <w:lang w:val="en-US"/>
        </w:rPr>
        <w:t>lthough</w:t>
      </w:r>
      <w:r>
        <w:rPr>
          <w:lang w:val="en-US"/>
        </w:rPr>
        <w:t xml:space="preserve"> the Strategy states that</w:t>
      </w:r>
      <w:r w:rsidRPr="00AC3AAB">
        <w:rPr>
          <w:lang w:val="en-US"/>
        </w:rPr>
        <w:t xml:space="preserve"> broader workforce issues </w:t>
      </w:r>
      <w:r>
        <w:rPr>
          <w:lang w:val="en-US"/>
        </w:rPr>
        <w:t xml:space="preserve">are </w:t>
      </w:r>
      <w:r w:rsidRPr="00AC3AAB">
        <w:rPr>
          <w:lang w:val="en-US"/>
        </w:rPr>
        <w:t xml:space="preserve">outside the scope of the </w:t>
      </w:r>
      <w:r>
        <w:rPr>
          <w:lang w:val="en-US"/>
        </w:rPr>
        <w:t>document</w:t>
      </w:r>
      <w:r w:rsidRPr="00AC3AAB">
        <w:rPr>
          <w:lang w:val="en-US"/>
        </w:rPr>
        <w:t xml:space="preserve"> itself, </w:t>
      </w:r>
      <w:r>
        <w:rPr>
          <w:lang w:val="en-US"/>
        </w:rPr>
        <w:t xml:space="preserve">many stakeholders were firm in their view </w:t>
      </w:r>
      <w:r w:rsidRPr="00AC3AAB">
        <w:rPr>
          <w:lang w:val="en-US"/>
        </w:rPr>
        <w:t xml:space="preserve">that workforce capacity </w:t>
      </w:r>
      <w:r>
        <w:rPr>
          <w:lang w:val="en-US"/>
        </w:rPr>
        <w:t>is a critical</w:t>
      </w:r>
      <w:r w:rsidRPr="00AC3AAB">
        <w:rPr>
          <w:lang w:val="en-US"/>
        </w:rPr>
        <w:t xml:space="preserve"> issue</w:t>
      </w:r>
      <w:r>
        <w:rPr>
          <w:lang w:val="en-US"/>
        </w:rPr>
        <w:t xml:space="preserve"> of relevance to all components of the Strategy.</w:t>
      </w:r>
    </w:p>
    <w:p w14:paraId="4FC88152" w14:textId="2315AD52" w:rsidR="00267BD0" w:rsidRDefault="00267BD0" w:rsidP="00267BD0">
      <w:pPr>
        <w:spacing w:after="120"/>
        <w:rPr>
          <w:lang w:val="en-US"/>
        </w:rPr>
      </w:pPr>
      <w:r>
        <w:rPr>
          <w:lang w:val="en-US"/>
        </w:rPr>
        <w:t>Stakeholders spoke of a workforce under strain and ‘stretched to the limit’ across professions, including nursing, midwifery, obstetrics and mental health, and expressed particular concern for those livin</w:t>
      </w:r>
      <w:r w:rsidRPr="00F918ED">
        <w:rPr>
          <w:lang w:val="en-US"/>
        </w:rPr>
        <w:t>g and working in rural and remote areas.</w:t>
      </w:r>
    </w:p>
    <w:p w14:paraId="5A16074C" w14:textId="1446DB20" w:rsidR="00267BD0" w:rsidRPr="00F918ED" w:rsidRDefault="009F3A4A" w:rsidP="00267BD0">
      <w:pPr>
        <w:spacing w:after="120"/>
        <w:rPr>
          <w:rFonts w:cstheme="minorHAnsi"/>
          <w:szCs w:val="22"/>
        </w:rPr>
      </w:pPr>
      <w:r w:rsidRPr="009F3A4A">
        <w:rPr>
          <w:rFonts w:cstheme="minorHAnsi"/>
          <w:szCs w:val="22"/>
        </w:rPr>
        <w:t>There was a view that a national workforce strategy for maternity services is required to enable the implementation of the goals of the Strategy and should be prioritised.</w:t>
      </w:r>
      <w:r w:rsidRPr="00DB4030">
        <w:rPr>
          <w:rFonts w:cstheme="minorHAnsi"/>
          <w:sz w:val="20"/>
          <w:szCs w:val="20"/>
        </w:rPr>
        <w:t xml:space="preserve"> </w:t>
      </w:r>
      <w:r w:rsidR="00267BD0" w:rsidRPr="00F918ED">
        <w:rPr>
          <w:rFonts w:cstheme="minorHAnsi"/>
          <w:szCs w:val="22"/>
        </w:rPr>
        <w:t xml:space="preserve">The need to invest in the maternity care workforce has also been identified as </w:t>
      </w:r>
      <w:r w:rsidR="00267BD0">
        <w:rPr>
          <w:rFonts w:cstheme="minorHAnsi"/>
          <w:szCs w:val="22"/>
        </w:rPr>
        <w:t>a key</w:t>
      </w:r>
      <w:r w:rsidR="00267BD0" w:rsidRPr="00F918ED">
        <w:rPr>
          <w:rFonts w:cstheme="minorHAnsi"/>
          <w:szCs w:val="22"/>
        </w:rPr>
        <w:t xml:space="preserve"> recommendation of the Final Report of the Ockenden Review</w:t>
      </w:r>
      <w:r w:rsidR="00267BD0" w:rsidRPr="00F918ED">
        <w:rPr>
          <w:rFonts w:cstheme="minorHAnsi"/>
          <w:szCs w:val="22"/>
        </w:rPr>
        <w:fldChar w:fldCharType="begin">
          <w:fldData xml:space="preserve">PEVuZE5vdGU+PENpdGU+PEF1dGhvcj5SZW5mcmV3PC9BdXRob3I+PFllYXI+MjAyMjwvWWVhcj48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</w:fldData>
        </w:fldChar>
      </w:r>
      <w:r w:rsidR="00F66EC6">
        <w:rPr>
          <w:rFonts w:cstheme="minorHAnsi"/>
          <w:szCs w:val="22"/>
        </w:rPr>
        <w:instrText xml:space="preserve"> ADDIN EN.CITE </w:instrText>
      </w:r>
      <w:r w:rsidR="00F66EC6">
        <w:rPr>
          <w:rFonts w:cstheme="minorHAnsi"/>
          <w:szCs w:val="22"/>
        </w:rPr>
        <w:fldChar w:fldCharType="begin">
          <w:fldData xml:space="preserve">PEVuZE5vdGU+PENpdGU+PEF1dGhvcj5SZW5mcmV3PC9BdXRob3I+PFllYXI+MjAyMjwvWWVhcj48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</w:fldData>
        </w:fldChar>
      </w:r>
      <w:r w:rsidR="00F66EC6">
        <w:rPr>
          <w:rFonts w:cstheme="minorHAnsi"/>
          <w:szCs w:val="22"/>
        </w:rPr>
        <w:instrText xml:space="preserve"> ADDIN EN.CITE.DATA </w:instrText>
      </w:r>
      <w:r w:rsidR="00F66EC6">
        <w:rPr>
          <w:rFonts w:cstheme="minorHAnsi"/>
          <w:szCs w:val="22"/>
        </w:rPr>
      </w:r>
      <w:r w:rsidR="00F66EC6">
        <w:rPr>
          <w:rFonts w:cstheme="minorHAnsi"/>
          <w:szCs w:val="22"/>
        </w:rPr>
        <w:fldChar w:fldCharType="end"/>
      </w:r>
      <w:r w:rsidR="00267BD0" w:rsidRPr="00F918ED">
        <w:rPr>
          <w:rFonts w:cstheme="minorHAnsi"/>
          <w:szCs w:val="22"/>
        </w:rPr>
      </w:r>
      <w:r w:rsidR="00267BD0" w:rsidRPr="00F918ED">
        <w:rPr>
          <w:rFonts w:cstheme="minorHAnsi"/>
          <w:szCs w:val="22"/>
        </w:rPr>
        <w:fldChar w:fldCharType="separate"/>
      </w:r>
      <w:r w:rsidR="00F66EC6" w:rsidRPr="00F66EC6">
        <w:rPr>
          <w:rFonts w:cstheme="minorHAnsi"/>
          <w:noProof/>
          <w:szCs w:val="22"/>
          <w:vertAlign w:val="superscript"/>
        </w:rPr>
        <w:t>9,10</w:t>
      </w:r>
      <w:r w:rsidR="00267BD0" w:rsidRPr="00F918ED">
        <w:rPr>
          <w:rFonts w:cstheme="minorHAnsi"/>
          <w:szCs w:val="22"/>
        </w:rPr>
        <w:fldChar w:fldCharType="end"/>
      </w:r>
      <w:r w:rsidR="00267BD0" w:rsidRPr="00F918ED">
        <w:rPr>
          <w:rFonts w:cstheme="minorHAnsi"/>
          <w:szCs w:val="22"/>
        </w:rPr>
        <w:t xml:space="preserve"> which examined the care of nearly 1500 families who experienced adverse outcomes in one hospital Trust in England over a twenty</w:t>
      </w:r>
      <w:r w:rsidR="00267BD0">
        <w:rPr>
          <w:rFonts w:cstheme="minorHAnsi"/>
          <w:szCs w:val="22"/>
        </w:rPr>
        <w:t>-</w:t>
      </w:r>
      <w:r w:rsidR="00267BD0" w:rsidRPr="00F918ED">
        <w:rPr>
          <w:rFonts w:cstheme="minorHAnsi"/>
          <w:szCs w:val="22"/>
        </w:rPr>
        <w:t>year period</w:t>
      </w:r>
      <w:r w:rsidR="00267BD0">
        <w:rPr>
          <w:rFonts w:cstheme="minorHAnsi"/>
          <w:szCs w:val="22"/>
        </w:rPr>
        <w:t>.</w:t>
      </w:r>
      <w:r w:rsidR="00267BD0" w:rsidRPr="00F918ED">
        <w:rPr>
          <w:rFonts w:cstheme="minorHAnsi"/>
          <w:szCs w:val="22"/>
        </w:rPr>
        <w:fldChar w:fldCharType="begin"/>
      </w:r>
      <w:r w:rsidR="00F66EC6">
        <w:rPr>
          <w:rFonts w:cstheme="minorHAnsi"/>
          <w:szCs w:val="22"/>
        </w:rPr>
        <w:instrText xml:space="preserve"> ADDIN EN.CITE &lt;EndNote&gt;&lt;Cite&gt;&lt;Author&gt;Ockenden&lt;/Author&gt;&lt;Year&gt;2022&lt;/Year&gt;&lt;RecNum&gt;85&lt;/RecNum&gt;&lt;DisplayText&gt;&lt;style face="superscript"&gt;11&lt;/style&gt;&lt;/DisplayText&gt;&lt;record&gt;&lt;rec-number&gt;85&lt;/rec-number&gt;&lt;foreign-keys&gt;&lt;key app="EN" db-id="wpvfpf90szpzwse02epvd9rkrfpvwtrszrv0" timestamp="1665720159"&gt;85&lt;/key&gt;&lt;/foreign-keys&gt;&lt;ref-type name="Journal Article"&gt;17&lt;/ref-type&gt;&lt;contributors&gt;&lt;authors&gt;&lt;author&gt;Ockenden, DC&lt;/author&gt;&lt;/authors&gt;&lt;/contributors&gt;&lt;titles&gt;&lt;title&gt;Final findings, conclusions and essential actions from the Ockenden review of maternity services at Shrewsbury and Telford Hospital NHS Trust&lt;/title&gt;&lt;secondary-title&gt;London: Department of Health and Social Care&lt;/secondary-title&gt;&lt;/titles&gt;&lt;periodical&gt;&lt;full-title&gt;London: Department of Health and Social Care&lt;/full-title&gt;&lt;/periodical&gt;&lt;dates&gt;&lt;year&gt;2022&lt;/year&gt;&lt;/dates&gt;&lt;urls&gt;&lt;/urls&gt;&lt;/record&gt;&lt;/Cite&gt;&lt;/EndNote&gt;</w:instrText>
      </w:r>
      <w:r w:rsidR="00267BD0" w:rsidRPr="00F918ED">
        <w:rPr>
          <w:rFonts w:cstheme="minorHAnsi"/>
          <w:szCs w:val="22"/>
        </w:rPr>
        <w:fldChar w:fldCharType="separate"/>
      </w:r>
      <w:r w:rsidR="00F66EC6" w:rsidRPr="00F66EC6">
        <w:rPr>
          <w:rFonts w:cstheme="minorHAnsi"/>
          <w:noProof/>
          <w:szCs w:val="22"/>
          <w:vertAlign w:val="superscript"/>
        </w:rPr>
        <w:t>11</w:t>
      </w:r>
      <w:r w:rsidR="00267BD0" w:rsidRPr="00F918ED">
        <w:rPr>
          <w:rFonts w:cstheme="minorHAnsi"/>
          <w:szCs w:val="22"/>
        </w:rPr>
        <w:fldChar w:fldCharType="end"/>
      </w:r>
    </w:p>
    <w:p w14:paraId="1A22C6A7" w14:textId="77777777" w:rsidR="00267BD0" w:rsidRPr="003D36AD" w:rsidRDefault="00267BD0" w:rsidP="00267B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3D36AD">
        <w:rPr>
          <w:rFonts w:ascii="Calibri" w:hAnsi="Calibri" w:cs="Calibri"/>
          <w:color w:val="000000"/>
          <w:szCs w:val="22"/>
        </w:rPr>
        <w:t xml:space="preserve">Stakeholders were concerned that there was very little incentive or financial support for implementation. </w:t>
      </w:r>
      <w:r>
        <w:rPr>
          <w:rFonts w:ascii="Calibri" w:hAnsi="Calibri" w:cs="Calibri"/>
          <w:color w:val="000000"/>
          <w:szCs w:val="22"/>
        </w:rPr>
        <w:t>E</w:t>
      </w:r>
      <w:r>
        <w:t>xceptions to this included the implementation of activities that aim to reduce stillbirth and preterm birth, which were cited as examples where national leadership, partnership and dedicated funding had come together to foster progress towards agreed goals.</w:t>
      </w:r>
    </w:p>
    <w:p w14:paraId="432BB88E" w14:textId="11A6DEF6" w:rsidR="00267BD0" w:rsidRDefault="00267BD0" w:rsidP="00267B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t>C</w:t>
      </w:r>
      <w:r w:rsidRPr="00C34880">
        <w:t>omparisons</w:t>
      </w:r>
      <w:r>
        <w:t xml:space="preserve"> were made</w:t>
      </w:r>
      <w:r w:rsidRPr="00C34880">
        <w:t xml:space="preserve"> between the current Strategy and the previous National Maternity Services Plan</w:t>
      </w:r>
      <w:r>
        <w:t>.</w:t>
      </w:r>
      <w:r w:rsidRPr="00C34880">
        <w:t xml:space="preserve"> In particular, those consulted reflected that the previous Plan had funding tied to action areas and structures for reporting, and that these features were lacking in the current Strategy.</w:t>
      </w:r>
    </w:p>
    <w:p w14:paraId="7F53E8CA" w14:textId="49C4315F" w:rsidR="00267BD0" w:rsidRDefault="00267BD0" w:rsidP="00267B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color w:val="000000"/>
          <w:szCs w:val="22"/>
        </w:rPr>
      </w:pPr>
      <w:r>
        <w:rPr>
          <w:rFonts w:ascii="Calibri" w:hAnsi="Calibri" w:cs="Calibri"/>
          <w:color w:val="000000"/>
          <w:szCs w:val="22"/>
        </w:rPr>
        <w:t>S</w:t>
      </w:r>
      <w:r w:rsidRPr="00613DFA">
        <w:rPr>
          <w:rFonts w:ascii="Calibri" w:hAnsi="Calibri" w:cs="Calibri"/>
          <w:color w:val="000000"/>
          <w:szCs w:val="22"/>
        </w:rPr>
        <w:t>takeholders expressed frustration that</w:t>
      </w:r>
      <w:r>
        <w:rPr>
          <w:rFonts w:ascii="Calibri" w:hAnsi="Calibri" w:cs="Calibri"/>
          <w:color w:val="000000"/>
          <w:szCs w:val="22"/>
        </w:rPr>
        <w:t xml:space="preserve"> some enabling activities were reliant on research funding or time-constrained program funding,</w:t>
      </w:r>
      <w:r w:rsidRPr="002833B2">
        <w:rPr>
          <w:rFonts w:ascii="Calibri" w:hAnsi="Calibri" w:cs="Calibri"/>
          <w:color w:val="000000"/>
          <w:szCs w:val="22"/>
        </w:rPr>
        <w:t xml:space="preserve"> </w:t>
      </w:r>
      <w:r>
        <w:rPr>
          <w:rFonts w:ascii="Calibri" w:hAnsi="Calibri" w:cs="Calibri"/>
          <w:color w:val="000000"/>
          <w:szCs w:val="22"/>
        </w:rPr>
        <w:t>despite the priority given to these activities in the Strategy, and expressed uncertainty about program longevity and sustainability. Stakeholders felt this was of particular concern given the Strategy is considered an enduring document, with nominated priority activities to remain on the maternity agenda for the foreseeable future.</w:t>
      </w:r>
    </w:p>
    <w:p w14:paraId="511678FB" w14:textId="77777777" w:rsidR="00267BD0" w:rsidRDefault="00267BD0" w:rsidP="00267B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szCs w:val="22"/>
        </w:rPr>
      </w:pPr>
      <w:r w:rsidRPr="00C34880">
        <w:t xml:space="preserve">Consultations revealed a lack of coordination between state and commonwealth governments in relation to the Strategy, with stakeholders suggesting that a clear mechanism to </w:t>
      </w:r>
      <w:r w:rsidRPr="003D36AD">
        <w:rPr>
          <w:rFonts w:ascii="Calibri" w:hAnsi="Calibri" w:cs="Calibri"/>
          <w:szCs w:val="22"/>
        </w:rPr>
        <w:t>bring maternity services across the country together was required. Recommended st</w:t>
      </w:r>
      <w:r>
        <w:rPr>
          <w:rFonts w:ascii="Calibri" w:hAnsi="Calibri" w:cs="Calibri"/>
          <w:szCs w:val="22"/>
        </w:rPr>
        <w:t>rategies included appointing a N</w:t>
      </w:r>
      <w:r w:rsidRPr="003D36AD">
        <w:rPr>
          <w:rFonts w:ascii="Calibri" w:hAnsi="Calibri" w:cs="Calibri"/>
          <w:szCs w:val="22"/>
        </w:rPr>
        <w:t xml:space="preserve">ational Chief Midwifery Officer and Chief Midwives in all jurisdictions, and the convening of a broad and representative advisory group to oversee, guide and report on implementation activities. Some stakeholders expressed disappointment that structural support and leadership that supported activities under the </w:t>
      </w:r>
      <w:r w:rsidRPr="00C34880">
        <w:t>previous National Maternity Services Plan</w:t>
      </w:r>
      <w:r w:rsidRPr="003D36AD">
        <w:rPr>
          <w:rFonts w:ascii="Calibri" w:hAnsi="Calibri" w:cs="Calibri"/>
          <w:szCs w:val="22"/>
        </w:rPr>
        <w:t xml:space="preserve"> had been disbanded.</w:t>
      </w:r>
    </w:p>
    <w:p w14:paraId="662C08BA" w14:textId="06A6F796" w:rsidR="00267BD0" w:rsidRDefault="00267BD0" w:rsidP="00267BD0">
      <w:pPr>
        <w:spacing w:after="120"/>
      </w:pPr>
      <w:r>
        <w:rPr>
          <w:bCs/>
          <w:lang w:val="en-US"/>
        </w:rPr>
        <w:lastRenderedPageBreak/>
        <w:t xml:space="preserve">There was </w:t>
      </w:r>
      <w:r>
        <w:rPr>
          <w:lang w:val="en-US"/>
        </w:rPr>
        <w:t>concern</w:t>
      </w:r>
      <w:r w:rsidRPr="00912C39">
        <w:rPr>
          <w:lang w:val="en-US"/>
        </w:rPr>
        <w:t xml:space="preserve"> that input into the development of the Strategy was limited for some groups, or that input provided was</w:t>
      </w:r>
      <w:r>
        <w:rPr>
          <w:lang w:val="en-US"/>
        </w:rPr>
        <w:t xml:space="preserve"> not </w:t>
      </w:r>
      <w:r w:rsidRPr="00912C39">
        <w:rPr>
          <w:lang w:val="en-US"/>
        </w:rPr>
        <w:t xml:space="preserve">reflected in the final document. For </w:t>
      </w:r>
      <w:r>
        <w:rPr>
          <w:lang w:val="en-US"/>
        </w:rPr>
        <w:t>instance</w:t>
      </w:r>
      <w:r w:rsidRPr="00912C39">
        <w:rPr>
          <w:lang w:val="en-US"/>
        </w:rPr>
        <w:t xml:space="preserve">, we heard </w:t>
      </w:r>
      <w:r>
        <w:t xml:space="preserve">that the Strategy did not adequately reflect the </w:t>
      </w:r>
      <w:r w:rsidRPr="00912C39">
        <w:t xml:space="preserve">evidence </w:t>
      </w:r>
      <w:r>
        <w:t xml:space="preserve">supporting </w:t>
      </w:r>
      <w:r w:rsidRPr="00912C39">
        <w:t>midwife</w:t>
      </w:r>
      <w:r>
        <w:t>ry-led</w:t>
      </w:r>
      <w:r w:rsidRPr="00912C39">
        <w:t xml:space="preserve"> continuity of care</w:t>
      </w:r>
      <w:r>
        <w:t xml:space="preserve">, </w:t>
      </w:r>
      <w:r w:rsidRPr="00912C39">
        <w:t xml:space="preserve">that </w:t>
      </w:r>
      <w:r>
        <w:t xml:space="preserve">the </w:t>
      </w:r>
      <w:r w:rsidRPr="00912C39">
        <w:t>consumer</w:t>
      </w:r>
      <w:r>
        <w:t xml:space="preserve"> voice was underrepresented, and that there was </w:t>
      </w:r>
      <w:r>
        <w:rPr>
          <w:lang w:val="en-US"/>
        </w:rPr>
        <w:t xml:space="preserve">a </w:t>
      </w:r>
      <w:r>
        <w:t>lack of focus on specialist obstetrics within the document.</w:t>
      </w:r>
    </w:p>
    <w:p w14:paraId="4257B5B7" w14:textId="4E74E273" w:rsidR="00267BD0" w:rsidRDefault="00267BD0" w:rsidP="00267B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szCs w:val="22"/>
          <w:lang w:val="en-US"/>
        </w:rPr>
      </w:pPr>
      <w:r>
        <w:rPr>
          <w:szCs w:val="22"/>
          <w:lang w:val="en-US"/>
        </w:rPr>
        <w:t>In addition, stakeholders commented that there had been little promotion of the Strategy since its release and felt there was a low level of awareness of its scope and purpose. Some of those consulted, including a small number of stakeholders who sat on the Advisory Committee during the Strategy’s development, reported that this was the first time they had revisited the Strategy since 2019 and noted an overall lack of publicly available information relating to it.</w:t>
      </w:r>
    </w:p>
    <w:p w14:paraId="39E307C5" w14:textId="6A1CD882" w:rsidR="00267BD0" w:rsidRDefault="00267BD0" w:rsidP="00267BD0">
      <w:pPr>
        <w:pStyle w:val="Heading3"/>
        <w:ind w:left="709" w:hanging="709"/>
        <w:rPr>
          <w:lang w:val="en-US"/>
        </w:rPr>
      </w:pPr>
      <w:bookmarkStart w:id="264" w:name="_Toc117765000"/>
      <w:r>
        <w:rPr>
          <w:lang w:val="en-US"/>
        </w:rPr>
        <w:t xml:space="preserve">Impact of the </w:t>
      </w:r>
      <w:r w:rsidR="008F1C67">
        <w:rPr>
          <w:lang w:val="en-US"/>
        </w:rPr>
        <w:t xml:space="preserve">COVID-19 </w:t>
      </w:r>
      <w:r>
        <w:rPr>
          <w:lang w:val="en-US"/>
        </w:rPr>
        <w:t>pandemic</w:t>
      </w:r>
      <w:bookmarkEnd w:id="264"/>
    </w:p>
    <w:p w14:paraId="55ADE5AF" w14:textId="75202F04" w:rsidR="00267BD0" w:rsidRDefault="00267BD0" w:rsidP="00267B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Calibri" w:hAnsi="Calibri" w:cs="Calibri"/>
          <w:szCs w:val="22"/>
        </w:rPr>
      </w:pPr>
      <w:r>
        <w:rPr>
          <w:lang w:val="en-US"/>
        </w:rPr>
        <w:t>The Strategy’s values of access, choice and respect were thought to have been particularly affected</w:t>
      </w:r>
      <w:r w:rsidRPr="00912C39">
        <w:rPr>
          <w:lang w:val="en-US"/>
        </w:rPr>
        <w:t xml:space="preserve"> </w:t>
      </w:r>
      <w:r>
        <w:rPr>
          <w:lang w:val="en-US"/>
        </w:rPr>
        <w:t xml:space="preserve">by </w:t>
      </w:r>
      <w:r w:rsidRPr="005844F3">
        <w:rPr>
          <w:lang w:val="en-US"/>
        </w:rPr>
        <w:t>COVID-related disruptions</w:t>
      </w:r>
      <w:r>
        <w:rPr>
          <w:lang w:val="en-US"/>
        </w:rPr>
        <w:t xml:space="preserve">. Examples given included a reduction in face-face antenatal visits, closure of services due to staffing issues, and a reduction or cessation of postnatal care visits in some jurisdictions. </w:t>
      </w:r>
      <w:r w:rsidRPr="005844F3">
        <w:rPr>
          <w:lang w:val="en-US"/>
        </w:rPr>
        <w:t xml:space="preserve">Some </w:t>
      </w:r>
      <w:r>
        <w:rPr>
          <w:lang w:val="en-US"/>
        </w:rPr>
        <w:t xml:space="preserve">believed </w:t>
      </w:r>
      <w:r w:rsidRPr="005844F3">
        <w:rPr>
          <w:rFonts w:ascii="Calibri" w:hAnsi="Calibri" w:cs="Calibri"/>
          <w:szCs w:val="22"/>
        </w:rPr>
        <w:t>that the maternity and postnatal care services were still in a ‘holding pattern’ due to COVID</w:t>
      </w:r>
      <w:r>
        <w:rPr>
          <w:rFonts w:ascii="Calibri" w:hAnsi="Calibri" w:cs="Calibri"/>
          <w:szCs w:val="22"/>
        </w:rPr>
        <w:t>-19.</w:t>
      </w:r>
    </w:p>
    <w:p w14:paraId="0B51519B" w14:textId="6EB8931A" w:rsidR="00267BD0" w:rsidRPr="00C20538" w:rsidRDefault="00267BD0" w:rsidP="00267BD0">
      <w:pPr>
        <w:spacing w:after="120"/>
      </w:pPr>
      <w:r w:rsidRPr="00C20538">
        <w:t>The impact of COVID-19 resulted in a redirection of resources away from community</w:t>
      </w:r>
      <w:r>
        <w:t>-</w:t>
      </w:r>
      <w:r w:rsidRPr="00C20538">
        <w:t>based models of care to in-patient settings, effectively putting a halt to or slowing down the implementation of models of care which are known to improve outcomes for women and babies. Associated with this has been a relative decline in efforts to improve data collection, analysis and feedback loops that had been in train and/or planned when the Strategy was first released.</w:t>
      </w:r>
    </w:p>
    <w:p w14:paraId="49B4516B" w14:textId="39F046F4" w:rsidR="00267BD0" w:rsidRDefault="00267BD0" w:rsidP="00267B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color w:val="000000"/>
          <w:szCs w:val="22"/>
        </w:rPr>
      </w:pPr>
      <w:r>
        <w:rPr>
          <w:rFonts w:ascii="Calibri" w:hAnsi="Calibri" w:cs="Calibri"/>
          <w:color w:val="000000"/>
          <w:szCs w:val="22"/>
        </w:rPr>
        <w:t xml:space="preserve">The well-documented impact that the </w:t>
      </w:r>
      <w:r w:rsidR="008F1C67">
        <w:rPr>
          <w:rFonts w:ascii="Calibri" w:hAnsi="Calibri" w:cs="Calibri"/>
          <w:color w:val="000000"/>
          <w:szCs w:val="22"/>
        </w:rPr>
        <w:t xml:space="preserve">COVID-19 </w:t>
      </w:r>
      <w:r>
        <w:rPr>
          <w:rFonts w:ascii="Calibri" w:hAnsi="Calibri" w:cs="Calibri"/>
          <w:color w:val="000000"/>
          <w:szCs w:val="22"/>
        </w:rPr>
        <w:t xml:space="preserve">pandemic had, and continues to have, on resource allocation </w:t>
      </w:r>
      <w:r>
        <w:rPr>
          <w:lang w:val="en-US"/>
        </w:rPr>
        <w:t xml:space="preserve">and health </w:t>
      </w:r>
      <w:r w:rsidRPr="00AC3AAB">
        <w:rPr>
          <w:lang w:val="en-US"/>
        </w:rPr>
        <w:t xml:space="preserve">service delivery </w:t>
      </w:r>
      <w:r>
        <w:rPr>
          <w:lang w:val="en-US"/>
        </w:rPr>
        <w:t>was reinforced throughout stakeholder consultations. T</w:t>
      </w:r>
      <w:r>
        <w:rPr>
          <w:rFonts w:cstheme="minorHAnsi"/>
          <w:color w:val="000000"/>
          <w:szCs w:val="22"/>
        </w:rPr>
        <w:t xml:space="preserve">he </w:t>
      </w:r>
      <w:r w:rsidR="008F1C67">
        <w:rPr>
          <w:rFonts w:cstheme="minorHAnsi"/>
          <w:color w:val="000000"/>
          <w:szCs w:val="22"/>
        </w:rPr>
        <w:t xml:space="preserve">COVID-19 </w:t>
      </w:r>
      <w:r>
        <w:rPr>
          <w:rFonts w:cstheme="minorHAnsi"/>
          <w:color w:val="000000"/>
          <w:szCs w:val="22"/>
        </w:rPr>
        <w:t xml:space="preserve">pandemic </w:t>
      </w:r>
      <w:r w:rsidRPr="001C34A9">
        <w:rPr>
          <w:rFonts w:cstheme="minorHAnsi"/>
          <w:color w:val="000000"/>
          <w:szCs w:val="22"/>
        </w:rPr>
        <w:t xml:space="preserve">had </w:t>
      </w:r>
      <w:r w:rsidRPr="001C34A9">
        <w:rPr>
          <w:rFonts w:ascii="Calibri" w:hAnsi="Calibri" w:cs="Calibri"/>
          <w:color w:val="000000"/>
          <w:szCs w:val="22"/>
        </w:rPr>
        <w:t>highlighted how precarious the healthcare system was in terms of its medical, nursing and midwifery workforce</w:t>
      </w:r>
      <w:r>
        <w:rPr>
          <w:rFonts w:ascii="Calibri" w:hAnsi="Calibri" w:cs="Calibri"/>
          <w:color w:val="000000"/>
          <w:szCs w:val="22"/>
        </w:rPr>
        <w:t>.</w:t>
      </w:r>
      <w:r w:rsidRPr="00A11F21">
        <w:rPr>
          <w:rFonts w:cstheme="minorHAnsi"/>
          <w:color w:val="000000"/>
          <w:szCs w:val="22"/>
        </w:rPr>
        <w:t xml:space="preserve"> Given this backdrop, some felt there was a need to review the Strategy in terms of its relevance and priorities to reflect the changed circumstances in which maternal health services </w:t>
      </w:r>
      <w:r w:rsidR="00E6441A">
        <w:rPr>
          <w:rFonts w:cstheme="minorHAnsi"/>
          <w:color w:val="000000"/>
          <w:szCs w:val="22"/>
        </w:rPr>
        <w:t>are</w:t>
      </w:r>
      <w:r w:rsidRPr="00A11F21">
        <w:rPr>
          <w:rFonts w:cstheme="minorHAnsi"/>
          <w:color w:val="000000"/>
          <w:szCs w:val="22"/>
        </w:rPr>
        <w:t xml:space="preserve"> being delivered.</w:t>
      </w:r>
    </w:p>
    <w:p w14:paraId="7046A1A2" w14:textId="77777777" w:rsidR="00114CDA" w:rsidRDefault="00114CDA">
      <w:pPr>
        <w:rPr>
          <w:szCs w:val="22"/>
          <w:lang w:val="en-US"/>
        </w:rPr>
      </w:pPr>
      <w:r>
        <w:rPr>
          <w:szCs w:val="22"/>
          <w:lang w:val="en-US"/>
        </w:rPr>
        <w:br w:type="page"/>
      </w:r>
    </w:p>
    <w:p w14:paraId="44B17D1C" w14:textId="43CF5DC6" w:rsidR="00114CDA" w:rsidRDefault="00267BD0" w:rsidP="00114CDA">
      <w:pPr>
        <w:pStyle w:val="Heading1"/>
      </w:pPr>
      <w:bookmarkStart w:id="265" w:name="_Toc121415062"/>
      <w:bookmarkStart w:id="266" w:name="_Toc117764982"/>
      <w:r>
        <w:lastRenderedPageBreak/>
        <w:t>Qualitative f</w:t>
      </w:r>
      <w:r w:rsidR="00114CDA">
        <w:t>indings</w:t>
      </w:r>
      <w:r w:rsidR="00131A2F">
        <w:t>:</w:t>
      </w:r>
      <w:r w:rsidR="00114CDA">
        <w:t xml:space="preserve"> key evaluation questions</w:t>
      </w:r>
      <w:bookmarkEnd w:id="265"/>
    </w:p>
    <w:p w14:paraId="3302083D" w14:textId="222B3831" w:rsidR="00114CDA" w:rsidRPr="00114CDA" w:rsidRDefault="00114CDA" w:rsidP="00114CDA">
      <w:r>
        <w:t>This chapter summarises evidence gathered through the stakeholder interviews and environment scan in relation to the five key evaluation questions (KEQ).</w:t>
      </w:r>
    </w:p>
    <w:p w14:paraId="0A57C9AF" w14:textId="5886C146" w:rsidR="00443C64" w:rsidRDefault="00443C64" w:rsidP="00443C64">
      <w:pPr>
        <w:pStyle w:val="Heading2"/>
      </w:pPr>
      <w:bookmarkStart w:id="267" w:name="_Toc121415063"/>
      <w:r>
        <w:t>K</w:t>
      </w:r>
      <w:r w:rsidR="000935C6">
        <w:t>EQ</w:t>
      </w:r>
      <w:r>
        <w:t xml:space="preserve"> 1: </w:t>
      </w:r>
      <w:r w:rsidRPr="006B6EFE">
        <w:t>Change in maternity outcomes over time</w:t>
      </w:r>
      <w:bookmarkEnd w:id="266"/>
      <w:bookmarkEnd w:id="267"/>
    </w:p>
    <w:p w14:paraId="64E103BB" w14:textId="17A9E2C1" w:rsidR="00443C64" w:rsidRDefault="00080981" w:rsidP="00443C64">
      <w:pPr>
        <w:pStyle w:val="Heading3"/>
        <w:ind w:left="709" w:hanging="709"/>
      </w:pPr>
      <w:r>
        <w:t>Baseline status</w:t>
      </w:r>
    </w:p>
    <w:p w14:paraId="27590FE0" w14:textId="608D3814" w:rsidR="00443C64" w:rsidRDefault="00443C64" w:rsidP="00163BF1">
      <w:pPr>
        <w:spacing w:after="120"/>
      </w:pPr>
      <w:bookmarkStart w:id="268" w:name="_Hlk117002462"/>
      <w:r>
        <w:t>Among stakeholders, the most frequently cited examples of nationally coordinated strategies to improve clinical outcomes were those related to reducing stillbirth, preterm birth and early term birth. The environment scan highlighted some significant Australian strategic documents released since 2019 which aim to improve key maternity outcomes, particularly stillbirth.</w:t>
      </w:r>
    </w:p>
    <w:bookmarkEnd w:id="268"/>
    <w:p w14:paraId="1EC2D048" w14:textId="3943EA1A" w:rsidR="00443C64" w:rsidRDefault="00443C64" w:rsidP="00163BF1">
      <w:pPr>
        <w:spacing w:after="120"/>
      </w:pPr>
      <w:r w:rsidRPr="00CA08CB">
        <w:rPr>
          <w:lang w:eastAsia="zh-CN" w:bidi="th-TH"/>
        </w:rPr>
        <w:t xml:space="preserve">The </w:t>
      </w:r>
      <w:r w:rsidRPr="002462ED">
        <w:rPr>
          <w:b/>
          <w:i/>
          <w:iCs/>
          <w:lang w:eastAsia="zh-CN" w:bidi="th-TH"/>
        </w:rPr>
        <w:t>National Stillbirth Action and Implementation Plan</w:t>
      </w:r>
      <w:r>
        <w:rPr>
          <w:lang w:eastAsia="zh-CN" w:bidi="th-TH"/>
        </w:rPr>
        <w:t xml:space="preserve"> was released in 2020, </w:t>
      </w:r>
      <w:r w:rsidRPr="009F341C">
        <w:rPr>
          <w:lang w:eastAsia="zh-CN" w:bidi="th-TH"/>
        </w:rPr>
        <w:t xml:space="preserve">the first national plan to strategically address the issue of stillbirth. It was developed to </w:t>
      </w:r>
      <w:r>
        <w:rPr>
          <w:lang w:eastAsia="zh-CN" w:bidi="th-TH"/>
        </w:rPr>
        <w:t xml:space="preserve">reduce </w:t>
      </w:r>
      <w:r w:rsidRPr="009F341C">
        <w:rPr>
          <w:lang w:eastAsia="zh-CN" w:bidi="th-TH"/>
        </w:rPr>
        <w:t xml:space="preserve">stillbirths, </w:t>
      </w:r>
      <w:r>
        <w:rPr>
          <w:lang w:eastAsia="zh-CN" w:bidi="th-TH"/>
        </w:rPr>
        <w:t xml:space="preserve">reduce </w:t>
      </w:r>
      <w:r w:rsidRPr="009F341C">
        <w:rPr>
          <w:lang w:eastAsia="zh-CN" w:bidi="th-TH"/>
        </w:rPr>
        <w:t>disparities in stillbirth rates between population groups, increase community awareness and understanding of stillbirth, and ensure high quality bereavement care and support is available to families who experience stillbirth</w:t>
      </w:r>
      <w:r>
        <w:rPr>
          <w:lang w:eastAsia="zh-CN" w:bidi="th-TH"/>
        </w:rPr>
        <w:t>.</w:t>
      </w:r>
      <w:r>
        <w:rPr>
          <w:lang w:eastAsia="zh-CN" w:bidi="th-TH"/>
        </w:rPr>
        <w:fldChar w:fldCharType="begin"/>
      </w:r>
      <w:r w:rsidR="00F66EC6">
        <w:rPr>
          <w:lang w:eastAsia="zh-CN" w:bidi="th-TH"/>
        </w:rPr>
        <w:instrText xml:space="preserve"> ADDIN EN.CITE &lt;EndNote&gt;&lt;Cite&gt;&lt;Author&gt;Department of Health&lt;/Author&gt;&lt;Year&gt;2020a&lt;/Year&gt;&lt;RecNum&gt;162&lt;/RecNum&gt;&lt;DisplayText&gt;&lt;style face="superscript"&gt;12&lt;/style&gt;&lt;/DisplayText&gt;&lt;record&gt;&lt;rec-number&gt;162&lt;/rec-number&gt;&lt;foreign-keys&gt;&lt;key app="EN" db-id="ewrsr2203a2a0veserrv55dezzwsepr5psw2" timestamp="1663656152"&gt;162&lt;/key&gt;&lt;/foreign-keys&gt;&lt;ref-type name="Report"&gt;27&lt;/ref-type&gt;&lt;contributors&gt;&lt;authors&gt;&lt;author&gt;Department of Health,&lt;/author&gt;&lt;/authors&gt;&lt;/contributors&gt;&lt;titles&gt;&lt;title&gt;National Stillbirth Action and Implementation Plan&lt;/title&gt;&lt;/titles&gt;&lt;dates&gt;&lt;year&gt;2020a&lt;/year&gt;&lt;/dates&gt;&lt;pub-location&gt;Canberra&lt;/pub-location&gt;&lt;publisher&gt;Australian Government Department of Health&lt;/publisher&gt;&lt;urls&gt;&lt;/urls&gt;&lt;/record&gt;&lt;/Cite&gt;&lt;/EndNote&gt;</w:instrText>
      </w:r>
      <w:r>
        <w:rPr>
          <w:lang w:eastAsia="zh-CN" w:bidi="th-TH"/>
        </w:rPr>
        <w:fldChar w:fldCharType="separate"/>
      </w:r>
      <w:r w:rsidR="00F66EC6" w:rsidRPr="00F66EC6">
        <w:rPr>
          <w:noProof/>
          <w:vertAlign w:val="superscript"/>
          <w:lang w:eastAsia="zh-CN" w:bidi="th-TH"/>
        </w:rPr>
        <w:t>12</w:t>
      </w:r>
      <w:r>
        <w:rPr>
          <w:lang w:eastAsia="zh-CN" w:bidi="th-TH"/>
        </w:rPr>
        <w:fldChar w:fldCharType="end"/>
      </w:r>
      <w:r>
        <w:t xml:space="preserve"> The plan is supported by major initiatives of the Centre of Research Excellence in Stillbirth</w:t>
      </w:r>
      <w:r w:rsidR="00945863">
        <w:t xml:space="preserve"> including</w:t>
      </w:r>
      <w:r>
        <w:t>:</w:t>
      </w:r>
    </w:p>
    <w:p w14:paraId="32BD0DB5" w14:textId="08199A42" w:rsidR="00443C64" w:rsidRDefault="00443C64" w:rsidP="003A4C93">
      <w:pPr>
        <w:pStyle w:val="Bullets"/>
        <w:numPr>
          <w:ilvl w:val="0"/>
          <w:numId w:val="10"/>
        </w:numPr>
        <w:rPr>
          <w:lang w:eastAsia="zh-CN"/>
        </w:rPr>
      </w:pPr>
      <w:r>
        <w:rPr>
          <w:lang w:eastAsia="zh-CN"/>
        </w:rPr>
        <w:t xml:space="preserve">Updated </w:t>
      </w:r>
      <w:r w:rsidRPr="00315CEA">
        <w:rPr>
          <w:i/>
          <w:iCs/>
          <w:lang w:eastAsia="zh-CN"/>
        </w:rPr>
        <w:t>Clinical practice guideline for care around stillbirth and neonatal death</w:t>
      </w:r>
      <w:r>
        <w:rPr>
          <w:i/>
          <w:iCs/>
          <w:lang w:eastAsia="zh-CN"/>
        </w:rPr>
        <w:t>.</w:t>
      </w:r>
      <w:r>
        <w:rPr>
          <w:lang w:eastAsia="zh-CN"/>
        </w:rPr>
        <w:fldChar w:fldCharType="begin"/>
      </w:r>
      <w:r w:rsidR="00F66EC6">
        <w:rPr>
          <w:lang w:eastAsia="zh-CN"/>
        </w:rPr>
        <w:instrText xml:space="preserve"> ADDIN EN.CITE &lt;EndNote&gt;&lt;Cite&gt;&lt;Author&gt;Flenady&lt;/Author&gt;&lt;Year&gt;2020&lt;/Year&gt;&lt;RecNum&gt;183&lt;/RecNum&gt;&lt;DisplayText&gt;&lt;style face="superscript"&gt;13&lt;/style&gt;&lt;/DisplayText&gt;&lt;record&gt;&lt;rec-number&gt;183&lt;/rec-number&gt;&lt;foreign-keys&gt;&lt;key app="EN" db-id="ewrsr2203a2a0veserrv55dezzwsepr5psw2" timestamp="1663656153"&gt;183&lt;/key&gt;&lt;/foreign-keys&gt;&lt;ref-type name="Report"&gt;27&lt;/ref-type&gt;&lt;contributors&gt;&lt;authors&gt;&lt;author&gt;Flenady, V.&lt;/author&gt;&lt;author&gt;Oats, J.&lt;/author&gt;&lt;author&gt;Gardener, G.&lt;/author&gt;&lt;author&gt;Masson, Vicki&lt;/author&gt;&lt;author&gt;McCowan, Lesley&lt;/author&gt;&lt;author&gt;Kent, A. &lt;/author&gt;&lt;author&gt;Tudehope, David&lt;/author&gt;&lt;author&gt;Middleton, P.&lt;/author&gt;&lt;author&gt;Donnolley, N.&lt;/author&gt;&lt;author&gt;Boyle, F.&lt;/author&gt;&lt;author&gt;Horey, D.&lt;/author&gt;&lt;author&gt;Ellwood, D.&lt;/author&gt;&lt;author&gt;Gordon, A.&lt;/author&gt;&lt;author&gt;Sinclair, L.&lt;/author&gt;&lt;author&gt;Humphrey, M.&lt;/author&gt;&lt;author&gt;Zuccollo, J.&lt;/author&gt;&lt;author&gt;Dahlstrom, J.&lt;/author&gt;&lt;author&gt;Mahomed, K.&lt;/author&gt;&lt;author&gt;Henry, S.&lt;/author&gt;&lt;author&gt;Khong, Y.&lt;/author&gt;&lt;author&gt;for the PSANZ Care around the time of stillbirth and neonatal death guidelines group&lt;/author&gt;&lt;/authors&gt;&lt;/contributors&gt;&lt;titles&gt;&lt;title&gt;Clinical practice guideline for care around stillbirth and neonatal death. Version 3.4&lt;/title&gt;&lt;/titles&gt;&lt;dates&gt;&lt;year&gt;2020&lt;/year&gt;&lt;/dates&gt;&lt;pub-location&gt;Brisbane&lt;/pub-location&gt;&lt;publisher&gt;NHMRC Centre of Research Excellence in Stillbirth&lt;/publisher&gt;&lt;urls&gt;&lt;/urls&gt;&lt;/record&gt;&lt;/Cite&gt;&lt;/EndNote&gt;</w:instrText>
      </w:r>
      <w:r>
        <w:rPr>
          <w:lang w:eastAsia="zh-CN"/>
        </w:rPr>
        <w:fldChar w:fldCharType="separate"/>
      </w:r>
      <w:r w:rsidR="00F66EC6" w:rsidRPr="00F66EC6">
        <w:rPr>
          <w:noProof/>
          <w:vertAlign w:val="superscript"/>
          <w:lang w:eastAsia="zh-CN"/>
        </w:rPr>
        <w:t>13</w:t>
      </w:r>
      <w:r>
        <w:rPr>
          <w:lang w:eastAsia="zh-CN"/>
        </w:rPr>
        <w:fldChar w:fldCharType="end"/>
      </w:r>
    </w:p>
    <w:p w14:paraId="19C3B166" w14:textId="77777777" w:rsidR="00443C64" w:rsidRDefault="00443C64" w:rsidP="003A4C93">
      <w:pPr>
        <w:pStyle w:val="Bullets"/>
        <w:numPr>
          <w:ilvl w:val="0"/>
          <w:numId w:val="10"/>
        </w:numPr>
      </w:pPr>
      <w:r>
        <w:rPr>
          <w:lang w:eastAsia="zh-CN"/>
        </w:rPr>
        <w:t xml:space="preserve">Implementation of the national </w:t>
      </w:r>
      <w:bookmarkStart w:id="269" w:name="_Hlk114043179"/>
      <w:r w:rsidRPr="002462ED">
        <w:rPr>
          <w:b/>
          <w:lang w:eastAsia="zh-CN"/>
        </w:rPr>
        <w:t>Safer Baby Bundle</w:t>
      </w:r>
      <w:bookmarkEnd w:id="269"/>
      <w:r>
        <w:rPr>
          <w:bCs/>
          <w:lang w:eastAsia="zh-CN"/>
        </w:rPr>
        <w:t xml:space="preserve">, </w:t>
      </w:r>
      <w:r w:rsidRPr="00A6582C">
        <w:rPr>
          <w:bCs/>
          <w:lang w:eastAsia="zh-CN"/>
        </w:rPr>
        <w:t>developed in collaboration with three state health departments</w:t>
      </w:r>
      <w:r>
        <w:rPr>
          <w:bCs/>
          <w:lang w:eastAsia="zh-CN"/>
        </w:rPr>
        <w:t xml:space="preserve">, </w:t>
      </w:r>
      <w:r w:rsidRPr="00A47D9F">
        <w:rPr>
          <w:bCs/>
          <w:lang w:eastAsia="zh-CN"/>
        </w:rPr>
        <w:t>consist</w:t>
      </w:r>
      <w:r>
        <w:rPr>
          <w:bCs/>
          <w:lang w:eastAsia="zh-CN"/>
        </w:rPr>
        <w:t>ing</w:t>
      </w:r>
      <w:r>
        <w:rPr>
          <w:b/>
          <w:lang w:eastAsia="zh-CN"/>
        </w:rPr>
        <w:t xml:space="preserve"> </w:t>
      </w:r>
      <w:r>
        <w:rPr>
          <w:lang w:eastAsia="zh-CN"/>
        </w:rPr>
        <w:t>of five interventions brought together into one ‘bundle’. The aim is that implementing all five together will lead to better outcomes than if implemented separately. Implementation is the responsibility of each state health department.</w:t>
      </w:r>
    </w:p>
    <w:p w14:paraId="037944F7" w14:textId="7D1EC957" w:rsidR="00443C64" w:rsidRDefault="00443C64" w:rsidP="00443C64">
      <w:r>
        <w:t xml:space="preserve">Stakeholders referred to the broad implementation of the Safer Baby Bundle across jurisdictions, the importance of Commonwealth funding to support quality improvement workshops and </w:t>
      </w:r>
      <w:r>
        <w:rPr>
          <w:rFonts w:ascii="Calibri" w:hAnsi="Calibri" w:cs="Calibri"/>
          <w:color w:val="000000"/>
          <w:szCs w:val="22"/>
        </w:rPr>
        <w:t xml:space="preserve">stillbirth autopsy and investigations, and the </w:t>
      </w:r>
      <w:r>
        <w:t>value of the educational and consumer resources developed by the Centre of Research Excellence in Stillbirth.</w:t>
      </w:r>
    </w:p>
    <w:p w14:paraId="211F0C6A" w14:textId="77777777" w:rsidR="00F9084E" w:rsidRDefault="00F9084E" w:rsidP="00443C64"/>
    <w:p w14:paraId="5E575FF7" w14:textId="77777777" w:rsidR="00443C64" w:rsidRDefault="00443C64" w:rsidP="00443C64">
      <w:pPr>
        <w:rPr>
          <w:lang w:eastAsia="zh-CN"/>
        </w:rPr>
      </w:pPr>
      <w:r w:rsidRPr="00A6582C">
        <w:t>Numerous interventions to reduce maternal and neonatal morbidity and mortality</w:t>
      </w:r>
      <w:r>
        <w:t xml:space="preserve"> were identified, including:</w:t>
      </w:r>
      <w:r>
        <w:rPr>
          <w:lang w:eastAsia="zh-CN"/>
        </w:rPr>
        <w:t xml:space="preserve"> </w:t>
      </w:r>
    </w:p>
    <w:p w14:paraId="59097553" w14:textId="77777777" w:rsidR="00443C64" w:rsidRDefault="00443C64" w:rsidP="003A4C93">
      <w:pPr>
        <w:pStyle w:val="Bullets"/>
        <w:numPr>
          <w:ilvl w:val="0"/>
          <w:numId w:val="10"/>
        </w:numPr>
        <w:rPr>
          <w:lang w:eastAsia="zh-CN"/>
        </w:rPr>
      </w:pPr>
      <w:r>
        <w:rPr>
          <w:lang w:eastAsia="zh-CN"/>
        </w:rPr>
        <w:t xml:space="preserve">The </w:t>
      </w:r>
      <w:r w:rsidRPr="0024110C">
        <w:rPr>
          <w:b/>
          <w:bCs/>
          <w:lang w:eastAsia="zh-CN"/>
        </w:rPr>
        <w:t>Women’s Healthcare Australasia Benchmarking Program</w:t>
      </w:r>
      <w:r>
        <w:rPr>
          <w:lang w:eastAsia="zh-CN"/>
        </w:rPr>
        <w:t xml:space="preserve"> involving over 150 maternity services, including all tertiary maternity hospitals, most regional services and some rural services covering 75% of births in Australia.</w:t>
      </w:r>
    </w:p>
    <w:p w14:paraId="06EDDF4A" w14:textId="019E0DEA" w:rsidR="004D1951" w:rsidRDefault="00443C64" w:rsidP="003A4C93">
      <w:pPr>
        <w:pStyle w:val="Bullets"/>
        <w:numPr>
          <w:ilvl w:val="0"/>
          <w:numId w:val="10"/>
        </w:numPr>
      </w:pPr>
      <w:r>
        <w:rPr>
          <w:lang w:eastAsia="zh-CN"/>
        </w:rPr>
        <w:t>T</w:t>
      </w:r>
      <w:r w:rsidRPr="005046EF">
        <w:rPr>
          <w:lang w:eastAsia="zh-CN"/>
        </w:rPr>
        <w:t xml:space="preserve">he work of the </w:t>
      </w:r>
      <w:r w:rsidRPr="004D1951">
        <w:rPr>
          <w:b/>
          <w:bCs/>
          <w:lang w:eastAsia="zh-CN"/>
        </w:rPr>
        <w:t xml:space="preserve">Australian Preterm Birth Prevention Alliance </w:t>
      </w:r>
      <w:r w:rsidRPr="00000E20">
        <w:rPr>
          <w:lang w:eastAsia="zh-CN"/>
        </w:rPr>
        <w:t>t</w:t>
      </w:r>
      <w:r w:rsidRPr="005046EF">
        <w:rPr>
          <w:lang w:eastAsia="zh-CN"/>
        </w:rPr>
        <w:t>o support the Every Week Counts: National Preterm Birth Prevention Collaborative</w:t>
      </w:r>
      <w:r>
        <w:rPr>
          <w:lang w:eastAsia="zh-CN"/>
        </w:rPr>
        <w:t xml:space="preserve"> </w:t>
      </w:r>
      <w:r w:rsidRPr="005046EF">
        <w:rPr>
          <w:lang w:eastAsia="zh-CN"/>
        </w:rPr>
        <w:t xml:space="preserve">in 32 hospitals, in partnership with </w:t>
      </w:r>
      <w:r w:rsidRPr="00F6733A">
        <w:rPr>
          <w:lang w:eastAsia="zh-CN"/>
        </w:rPr>
        <w:t xml:space="preserve">Women’s Healthcare Australasia </w:t>
      </w:r>
      <w:r w:rsidRPr="005046EF">
        <w:rPr>
          <w:lang w:eastAsia="zh-CN"/>
        </w:rPr>
        <w:t>and the Institute for Healthcare Improvement.</w:t>
      </w:r>
      <w:r>
        <w:rPr>
          <w:lang w:eastAsia="zh-CN"/>
        </w:rPr>
        <w:fldChar w:fldCharType="begin"/>
      </w:r>
      <w:r w:rsidR="00F66EC6">
        <w:rPr>
          <w:lang w:eastAsia="zh-CN"/>
        </w:rPr>
        <w:instrText xml:space="preserve"> ADDIN EN.CITE &lt;EndNote&gt;&lt;Cite&gt;&lt;Author&gt;Women’s Healthcare Australasia&lt;/Author&gt;&lt;Year&gt;2022&lt;/Year&gt;&lt;RecNum&gt;137&lt;/RecNum&gt;&lt;DisplayText&gt;&lt;style face="superscript"&gt;14&lt;/style&gt;&lt;/DisplayText&gt;&lt;record&gt;&lt;rec-number&gt;137&lt;/rec-number&gt;&lt;foreign-keys&gt;&lt;key app="EN" db-id="wpvfpf90szpzwse02epvd9rkrfpvwtrszrv0" timestamp="1666074878"&gt;137&lt;/key&gt;&lt;/foreign-keys&gt;&lt;ref-type name="Web Page"&gt;12&lt;/ref-type&gt;&lt;contributors&gt;&lt;authors&gt;&lt;author&gt;Women’s Healthcare Australasia,&lt;/author&gt;&lt;/authors&gt;&lt;/contributors&gt;&lt;titles&gt;&lt;title&gt;Every Week Counts – National Preterm Birth Prevention Collaborative&lt;/title&gt;&lt;/titles&gt;&lt;dates&gt;&lt;year&gt;2022&lt;/year&gt;&lt;/dates&gt;&lt;urls&gt;&lt;related-urls&gt;&lt;url&gt;https://women.wcha.asn.au/collaborate/breakthrough-collaboratives/the-national-preterm-birth-prevention-collaborative/&lt;/url&gt;&lt;/related-urls&gt;&lt;/urls&gt;&lt;/record&gt;&lt;/Cite&gt;&lt;/EndNote&gt;</w:instrText>
      </w:r>
      <w:r>
        <w:rPr>
          <w:lang w:eastAsia="zh-CN"/>
        </w:rPr>
        <w:fldChar w:fldCharType="separate"/>
      </w:r>
      <w:r w:rsidR="00F66EC6" w:rsidRPr="00F66EC6">
        <w:rPr>
          <w:noProof/>
          <w:vertAlign w:val="superscript"/>
          <w:lang w:eastAsia="zh-CN"/>
        </w:rPr>
        <w:t>14</w:t>
      </w:r>
      <w:r>
        <w:rPr>
          <w:lang w:eastAsia="zh-CN"/>
        </w:rPr>
        <w:fldChar w:fldCharType="end"/>
      </w:r>
      <w:r w:rsidRPr="005046EF">
        <w:rPr>
          <w:lang w:eastAsia="zh-CN"/>
        </w:rPr>
        <w:t xml:space="preserve"> Safer Care Victoria have independently funded implementation of the program in a further 20 Victorian hospitals. The National Collaborative </w:t>
      </w:r>
      <w:r w:rsidRPr="004D1951">
        <w:rPr>
          <w:lang w:eastAsia="zh-CN"/>
        </w:rPr>
        <w:t>aims to</w:t>
      </w:r>
      <w:r w:rsidR="00C03C12" w:rsidRPr="004D1951">
        <w:rPr>
          <w:lang w:eastAsia="zh-CN"/>
        </w:rPr>
        <w:t xml:space="preserve"> safely</w:t>
      </w:r>
      <w:r w:rsidRPr="004D1951">
        <w:rPr>
          <w:lang w:eastAsia="zh-CN"/>
        </w:rPr>
        <w:t xml:space="preserve"> reduce preterm and early term birth within parti</w:t>
      </w:r>
      <w:r w:rsidR="00C03C12" w:rsidRPr="004D1951">
        <w:rPr>
          <w:lang w:eastAsia="zh-CN"/>
        </w:rPr>
        <w:t xml:space="preserve">cipating maternity units by 20%. A summary of participating hospitals is </w:t>
      </w:r>
      <w:r w:rsidR="00C03C12" w:rsidRPr="0026020D">
        <w:rPr>
          <w:szCs w:val="22"/>
          <w:lang w:eastAsia="zh-CN"/>
        </w:rPr>
        <w:t>shown in</w:t>
      </w:r>
      <w:r w:rsidR="0026020D" w:rsidRPr="0026020D">
        <w:rPr>
          <w:szCs w:val="22"/>
          <w:lang w:eastAsia="zh-CN"/>
        </w:rPr>
        <w:t xml:space="preserve"> </w:t>
      </w:r>
      <w:r w:rsidR="0026020D" w:rsidRPr="0026020D">
        <w:rPr>
          <w:szCs w:val="22"/>
          <w:lang w:eastAsia="zh-CN"/>
        </w:rPr>
        <w:fldChar w:fldCharType="begin"/>
      </w:r>
      <w:r w:rsidR="0026020D" w:rsidRPr="0026020D">
        <w:rPr>
          <w:szCs w:val="22"/>
          <w:lang w:eastAsia="zh-CN"/>
        </w:rPr>
        <w:instrText xml:space="preserve"> REF _Ref119270477 \h </w:instrText>
      </w:r>
      <w:r w:rsidR="0026020D">
        <w:rPr>
          <w:szCs w:val="22"/>
          <w:lang w:eastAsia="zh-CN"/>
        </w:rPr>
        <w:instrText xml:space="preserve"> \* MERGEFORMAT </w:instrText>
      </w:r>
      <w:r w:rsidR="0026020D" w:rsidRPr="0026020D">
        <w:rPr>
          <w:szCs w:val="22"/>
          <w:lang w:eastAsia="zh-CN"/>
        </w:rPr>
      </w:r>
      <w:r w:rsidR="0026020D" w:rsidRPr="0026020D">
        <w:rPr>
          <w:szCs w:val="22"/>
          <w:lang w:eastAsia="zh-CN"/>
        </w:rPr>
        <w:fldChar w:fldCharType="separate"/>
      </w:r>
      <w:r w:rsidR="00296988" w:rsidRPr="00296988">
        <w:rPr>
          <w:szCs w:val="22"/>
        </w:rPr>
        <w:t xml:space="preserve">Figure </w:t>
      </w:r>
      <w:r w:rsidR="00296988" w:rsidRPr="00296988">
        <w:rPr>
          <w:noProof/>
          <w:szCs w:val="22"/>
        </w:rPr>
        <w:t>3</w:t>
      </w:r>
      <w:r w:rsidR="0026020D" w:rsidRPr="0026020D">
        <w:rPr>
          <w:szCs w:val="22"/>
          <w:lang w:eastAsia="zh-CN"/>
        </w:rPr>
        <w:fldChar w:fldCharType="end"/>
      </w:r>
      <w:r w:rsidR="0026020D" w:rsidRPr="0026020D">
        <w:rPr>
          <w:szCs w:val="22"/>
          <w:lang w:eastAsia="zh-CN"/>
        </w:rPr>
        <w:t>.</w:t>
      </w:r>
    </w:p>
    <w:p w14:paraId="7CD65E73" w14:textId="51DED7E1" w:rsidR="004D1951" w:rsidRDefault="004D1951" w:rsidP="003A4C93">
      <w:pPr>
        <w:pStyle w:val="Bullets"/>
        <w:numPr>
          <w:ilvl w:val="0"/>
          <w:numId w:val="10"/>
        </w:numPr>
        <w:rPr>
          <w:lang w:eastAsia="zh-CN"/>
        </w:rPr>
      </w:pPr>
      <w:r w:rsidRPr="00A6582C">
        <w:rPr>
          <w:lang w:eastAsia="zh-CN"/>
        </w:rPr>
        <w:t xml:space="preserve">The </w:t>
      </w:r>
      <w:r w:rsidRPr="00EE5F30">
        <w:rPr>
          <w:b/>
          <w:bCs/>
          <w:lang w:eastAsia="zh-CN"/>
        </w:rPr>
        <w:t>Baby Friendly Health Initiative</w:t>
      </w:r>
      <w:r>
        <w:rPr>
          <w:lang w:eastAsia="zh-CN"/>
        </w:rPr>
        <w:t xml:space="preserve">, previously known as the </w:t>
      </w:r>
      <w:r w:rsidRPr="00243E84">
        <w:rPr>
          <w:lang w:eastAsia="zh-CN"/>
        </w:rPr>
        <w:t>Baby Friendly Hospital Initiative</w:t>
      </w:r>
      <w:r>
        <w:rPr>
          <w:lang w:eastAsia="zh-CN"/>
        </w:rPr>
        <w:t xml:space="preserve">, launched in </w:t>
      </w:r>
      <w:r w:rsidRPr="00243E84">
        <w:rPr>
          <w:lang w:eastAsia="zh-CN"/>
        </w:rPr>
        <w:t>1991</w:t>
      </w:r>
      <w:r>
        <w:rPr>
          <w:lang w:eastAsia="zh-CN"/>
        </w:rPr>
        <w:t xml:space="preserve"> with Australia being one of the early adopters. The </w:t>
      </w:r>
      <w:r w:rsidRPr="00EE5F30">
        <w:rPr>
          <w:lang w:eastAsia="zh-CN"/>
        </w:rPr>
        <w:t xml:space="preserve">Baby Friendly Health Initiative </w:t>
      </w:r>
      <w:r>
        <w:rPr>
          <w:lang w:eastAsia="zh-CN"/>
        </w:rPr>
        <w:t>has been given fresh impetus as one of the action areas in the National Breastfeeding Strategy.</w:t>
      </w:r>
      <w:r>
        <w:rPr>
          <w:lang w:eastAsia="zh-CN"/>
        </w:rPr>
        <w:fldChar w:fldCharType="begin"/>
      </w:r>
      <w:r w:rsidR="00F66EC6">
        <w:rPr>
          <w:lang w:eastAsia="zh-CN"/>
        </w:rPr>
        <w:instrText xml:space="preserve"> ADDIN EN.CITE &lt;EndNote&gt;&lt;Cite&gt;&lt;Author&gt;COAG Health Council&lt;/Author&gt;&lt;Year&gt;2019&lt;/Year&gt;&lt;RecNum&gt;196&lt;/RecNum&gt;&lt;DisplayText&gt;&lt;style face="superscript"&gt;15&lt;/style&gt;&lt;/DisplayText&gt;&lt;record&gt;&lt;rec-number&gt;196&lt;/rec-number&gt;&lt;foreign-keys&gt;&lt;key app="EN" db-id="ewrsr2203a2a0veserrv55dezzwsepr5psw2" timestamp="1663656154"&gt;196&lt;/key&gt;&lt;/foreign-keys&gt;&lt;ref-type name="Report"&gt;27&lt;/ref-type&gt;&lt;contributors&gt;&lt;authors&gt;&lt;author&gt;COAG Health Council,&lt;/author&gt;&lt;/authors&gt;&lt;/contributors&gt;&lt;titles&gt;&lt;title&gt;The Australian National Breastfeeding Strategy: 2019 and Beyond&lt;/title&gt;&lt;/titles&gt;&lt;dates&gt;&lt;year&gt;2019&lt;/year&gt;&lt;/dates&gt;&lt;pub-location&gt;Canberra&lt;/pub-location&gt;&lt;publisher&gt;Department of Health&lt;/publisher&gt;&lt;urls&gt;&lt;/urls&gt;&lt;/record&gt;&lt;/Cite&gt;&lt;/EndNote&gt;</w:instrText>
      </w:r>
      <w:r>
        <w:rPr>
          <w:lang w:eastAsia="zh-CN"/>
        </w:rPr>
        <w:fldChar w:fldCharType="separate"/>
      </w:r>
      <w:r w:rsidR="00F66EC6" w:rsidRPr="00F66EC6">
        <w:rPr>
          <w:noProof/>
          <w:vertAlign w:val="superscript"/>
          <w:lang w:eastAsia="zh-CN"/>
        </w:rPr>
        <w:t>15</w:t>
      </w:r>
      <w:r>
        <w:rPr>
          <w:lang w:eastAsia="zh-CN"/>
        </w:rPr>
        <w:fldChar w:fldCharType="end"/>
      </w:r>
    </w:p>
    <w:p w14:paraId="46F26C3F" w14:textId="026E3680" w:rsidR="004D1951" w:rsidRDefault="004D1951" w:rsidP="003A4C93">
      <w:pPr>
        <w:pStyle w:val="Bullets"/>
        <w:numPr>
          <w:ilvl w:val="0"/>
          <w:numId w:val="10"/>
        </w:numPr>
        <w:rPr>
          <w:lang w:eastAsia="zh-CN"/>
        </w:rPr>
      </w:pPr>
      <w:r>
        <w:rPr>
          <w:lang w:eastAsia="zh-CN"/>
        </w:rPr>
        <w:t xml:space="preserve">Implementation of caseload midwifery models, including across </w:t>
      </w:r>
      <w:r w:rsidRPr="00661824">
        <w:rPr>
          <w:lang w:eastAsia="zh-CN"/>
        </w:rPr>
        <w:t xml:space="preserve">five birthing sites </w:t>
      </w:r>
      <w:r>
        <w:rPr>
          <w:lang w:eastAsia="zh-CN"/>
        </w:rPr>
        <w:t>i</w:t>
      </w:r>
      <w:r w:rsidRPr="00661824">
        <w:rPr>
          <w:lang w:eastAsia="zh-CN"/>
        </w:rPr>
        <w:t xml:space="preserve">n </w:t>
      </w:r>
      <w:r>
        <w:rPr>
          <w:lang w:eastAsia="zh-CN"/>
        </w:rPr>
        <w:t xml:space="preserve">a rural district </w:t>
      </w:r>
      <w:r w:rsidRPr="00661824">
        <w:rPr>
          <w:lang w:eastAsia="zh-CN"/>
        </w:rPr>
        <w:t>of South Australia</w:t>
      </w:r>
      <w:r>
        <w:rPr>
          <w:lang w:eastAsia="zh-CN"/>
        </w:rPr>
        <w:t>.</w:t>
      </w:r>
      <w:r>
        <w:rPr>
          <w:lang w:eastAsia="zh-CN"/>
        </w:rPr>
        <w:fldChar w:fldCharType="begin"/>
      </w:r>
      <w:r w:rsidR="00F66EC6">
        <w:rPr>
          <w:lang w:eastAsia="zh-CN"/>
        </w:rPr>
        <w:instrText xml:space="preserve"> ADDIN EN.CITE &lt;EndNote&gt;&lt;Cite&gt;&lt;Author&gt;Adelson&lt;/Author&gt;&lt;Year&gt;2021&lt;/Year&gt;&lt;RecNum&gt;213&lt;/RecNum&gt;&lt;DisplayText&gt;&lt;style face="superscript"&gt;16&lt;/style&gt;&lt;/DisplayText&gt;&lt;record&gt;&lt;rec-number&gt;213&lt;/rec-number&gt;&lt;foreign-keys&gt;&lt;key app="EN" db-id="ewrsr2203a2a0veserrv55dezzwsepr5psw2" timestamp="1663656155"&gt;213&lt;/key&gt;&lt;/foreign-keys&gt;&lt;ref-type name="Report"&gt;27&lt;/ref-type&gt;&lt;contributors&gt;&lt;authors&gt;&lt;author&gt;Adelson, P.&lt;/author&gt;&lt;author&gt;Fleet, J.&lt;/author&gt;&lt;author&gt;McKellar, L.&lt;/author&gt;&lt;/authors&gt;&lt;/contributors&gt;&lt;titles&gt;&lt;title&gt;Evaluation of the Midwifery Caseload Model of Care Pilot in the Yorke and Northern Local Health Network&lt;/title&gt;&lt;/titles&gt;&lt;dates&gt;&lt;year&gt;2021&lt;/year&gt;&lt;/dates&gt;&lt;pub-location&gt;Adelaide&lt;/pub-location&gt;&lt;publisher&gt;University of South Australia&lt;/publisher&gt;&lt;urls&gt;&lt;/urls&gt;&lt;/record&gt;&lt;/Cite&gt;&lt;/EndNote&gt;</w:instrText>
      </w:r>
      <w:r>
        <w:rPr>
          <w:lang w:eastAsia="zh-CN"/>
        </w:rPr>
        <w:fldChar w:fldCharType="separate"/>
      </w:r>
      <w:r w:rsidR="00F66EC6" w:rsidRPr="00F66EC6">
        <w:rPr>
          <w:noProof/>
          <w:vertAlign w:val="superscript"/>
          <w:lang w:eastAsia="zh-CN"/>
        </w:rPr>
        <w:t>16</w:t>
      </w:r>
      <w:r>
        <w:rPr>
          <w:lang w:eastAsia="zh-CN"/>
        </w:rPr>
        <w:fldChar w:fldCharType="end"/>
      </w:r>
    </w:p>
    <w:p w14:paraId="5D2F7A23" w14:textId="1DB72AF8" w:rsidR="004D1951" w:rsidRDefault="004D1951" w:rsidP="003A4C93">
      <w:pPr>
        <w:pStyle w:val="Bullets"/>
        <w:numPr>
          <w:ilvl w:val="0"/>
          <w:numId w:val="10"/>
        </w:numPr>
        <w:rPr>
          <w:lang w:eastAsia="zh-CN"/>
        </w:rPr>
      </w:pPr>
      <w:r>
        <w:rPr>
          <w:lang w:eastAsia="zh-CN"/>
        </w:rPr>
        <w:t>Culturally safe models</w:t>
      </w:r>
      <w:r w:rsidRPr="00C912C8">
        <w:rPr>
          <w:lang w:eastAsia="zh-CN"/>
        </w:rPr>
        <w:t xml:space="preserve"> of maternity care for Aboriginal and/or Torres Strait Islander women</w:t>
      </w:r>
      <w:r>
        <w:rPr>
          <w:lang w:eastAsia="zh-CN"/>
        </w:rPr>
        <w:t>.</w:t>
      </w:r>
    </w:p>
    <w:p w14:paraId="016D74F9" w14:textId="2D79C15C" w:rsidR="004D1951" w:rsidRDefault="004D1951" w:rsidP="004D1951">
      <w:pPr>
        <w:pStyle w:val="Bullets"/>
        <w:rPr>
          <w:lang w:eastAsia="zh-CN"/>
        </w:rPr>
      </w:pPr>
      <w:r>
        <w:rPr>
          <w:lang w:eastAsia="zh-CN"/>
        </w:rPr>
        <w:t>T</w:t>
      </w:r>
      <w:r w:rsidRPr="00A6582C">
        <w:rPr>
          <w:lang w:eastAsia="zh-CN"/>
        </w:rPr>
        <w:t>rials of interventions to reduce alcohol consumption</w:t>
      </w:r>
      <w:r>
        <w:rPr>
          <w:lang w:eastAsia="zh-CN"/>
        </w:rPr>
        <w:t xml:space="preserve"> during pregnancy,</w:t>
      </w:r>
      <w:r>
        <w:rPr>
          <w:lang w:eastAsia="zh-CN"/>
        </w:rPr>
        <w:fldChar w:fldCharType="begin">
          <w:fldData xml:space="preserve">PEVuZE5vdGU+PENpdGU+PEF1dGhvcj5Uc2FuZzwvQXV0aG9yPjxZZWFyPjIwMjI8L1llYXI+PFJl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</w:fldData>
        </w:fldChar>
      </w:r>
      <w:r w:rsidR="00F66EC6">
        <w:rPr>
          <w:lang w:eastAsia="zh-CN"/>
        </w:rPr>
        <w:instrText xml:space="preserve"> ADDIN EN.CITE </w:instrText>
      </w:r>
      <w:r w:rsidR="00F66EC6">
        <w:rPr>
          <w:lang w:eastAsia="zh-CN"/>
        </w:rPr>
        <w:fldChar w:fldCharType="begin">
          <w:fldData xml:space="preserve">PEVuZE5vdGU+PENpdGU+PEF1dGhvcj5Uc2FuZzwvQXV0aG9yPjxZZWFyPjIwMjI8L1llYXI+PFJl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</w:fldData>
        </w:fldChar>
      </w:r>
      <w:r w:rsidR="00F66EC6">
        <w:rPr>
          <w:lang w:eastAsia="zh-CN"/>
        </w:rPr>
        <w:instrText xml:space="preserve"> ADDIN EN.CITE.DATA </w:instrText>
      </w:r>
      <w:r w:rsidR="00F66EC6">
        <w:rPr>
          <w:lang w:eastAsia="zh-CN"/>
        </w:rPr>
      </w:r>
      <w:r w:rsidR="00F66EC6">
        <w:rPr>
          <w:lang w:eastAsia="zh-CN"/>
        </w:rPr>
        <w:fldChar w:fldCharType="end"/>
      </w:r>
      <w:r>
        <w:rPr>
          <w:lang w:eastAsia="zh-CN"/>
        </w:rPr>
      </w:r>
      <w:r>
        <w:rPr>
          <w:lang w:eastAsia="zh-CN"/>
        </w:rPr>
        <w:fldChar w:fldCharType="separate"/>
      </w:r>
      <w:r w:rsidR="00F66EC6" w:rsidRPr="00F66EC6">
        <w:rPr>
          <w:noProof/>
          <w:vertAlign w:val="superscript"/>
          <w:lang w:eastAsia="zh-CN"/>
        </w:rPr>
        <w:t>17</w:t>
      </w:r>
      <w:r>
        <w:rPr>
          <w:lang w:eastAsia="zh-CN"/>
        </w:rPr>
        <w:fldChar w:fldCharType="end"/>
      </w:r>
      <w:r>
        <w:rPr>
          <w:lang w:eastAsia="zh-CN"/>
        </w:rPr>
        <w:t xml:space="preserve"> help pregnant women quit smoking,</w:t>
      </w:r>
      <w:r>
        <w:rPr>
          <w:lang w:eastAsia="zh-CN"/>
        </w:rPr>
        <w:fldChar w:fldCharType="begin"/>
      </w:r>
      <w:r w:rsidR="00F66EC6">
        <w:rPr>
          <w:lang w:eastAsia="zh-CN"/>
        </w:rPr>
        <w:instrText xml:space="preserve"> ADDIN EN.CITE &lt;EndNote&gt;&lt;Cite&gt;&lt;Author&gt;Passey&lt;/Author&gt;&lt;Year&gt;2021&lt;/Year&gt;&lt;RecNum&gt;187&lt;/RecNum&gt;&lt;DisplayText&gt;&lt;style face="superscript"&gt;18&lt;/style&gt;&lt;/DisplayText&gt;&lt;record&gt;&lt;rec-number&gt;187&lt;/rec-number&gt;&lt;foreign-keys&gt;&lt;key app="EN" db-id="ewrsr2203a2a0veserrv55dezzwsepr5psw2" timestamp="1663656153"&gt;187&lt;/key&gt;&lt;/foreign-keys&gt;&lt;ref-type name="Journal Article"&gt;17&lt;/ref-type&gt;&lt;contributors&gt;&lt;authors&gt;&lt;author&gt;Passey, Megan E.&lt;/author&gt;&lt;author&gt;Adams, Catherine&lt;/author&gt;&lt;author&gt;Paul, Christine&lt;/author&gt;&lt;author&gt;Atkins, Lou&lt;/author&gt;&lt;author&gt;Longman, Jo M.&lt;/author&gt;&lt;/authors&gt;&lt;/contributors&gt;&lt;titles&gt;&lt;title&gt;Improving implementation of smoking cessation guidelines in pregnancy care: development of an intervention to address system, maternity service leader and clinician factors&lt;/title&gt;&lt;secondary-title&gt;Implementation Science Communications&lt;/secondary-title&gt;&lt;/titles&gt;&lt;periodical&gt;&lt;full-title&gt;Implementation Science Communications&lt;/full-title&gt;&lt;/periodical&gt;&lt;pages&gt;128&lt;/pages&gt;&lt;volume&gt;2&lt;/volume&gt;&lt;number&gt;1&lt;/number&gt;&lt;dates&gt;&lt;year&gt;2021&lt;/year&gt;&lt;pub-dates&gt;&lt;date&gt;2021/11/17&lt;/date&gt;&lt;/pub-dates&gt;&lt;/dates&gt;&lt;isbn&gt;2662-2211&lt;/isbn&gt;&lt;urls&gt;&lt;related-urls&gt;&lt;url&gt;https://doi.org/10.1186/s43058-021-00235-5&lt;/url&gt;&lt;/related-urls&gt;&lt;/urls&gt;&lt;electronic-resource-num&gt;10.1186/s43058-021-00235-5&lt;/electronic-resource-num&gt;&lt;/record&gt;&lt;/Cite&gt;&lt;/EndNote&gt;</w:instrText>
      </w:r>
      <w:r>
        <w:rPr>
          <w:lang w:eastAsia="zh-CN"/>
        </w:rPr>
        <w:fldChar w:fldCharType="separate"/>
      </w:r>
      <w:r w:rsidR="00F66EC6" w:rsidRPr="00F66EC6">
        <w:rPr>
          <w:noProof/>
          <w:vertAlign w:val="superscript"/>
          <w:lang w:eastAsia="zh-CN"/>
        </w:rPr>
        <w:t>18</w:t>
      </w:r>
      <w:r>
        <w:rPr>
          <w:lang w:eastAsia="zh-CN"/>
        </w:rPr>
        <w:fldChar w:fldCharType="end"/>
      </w:r>
      <w:r>
        <w:rPr>
          <w:lang w:eastAsia="zh-CN"/>
        </w:rPr>
        <w:t xml:space="preserve"> and </w:t>
      </w:r>
      <w:r w:rsidRPr="00A6582C">
        <w:rPr>
          <w:lang w:eastAsia="zh-CN"/>
        </w:rPr>
        <w:t>provide postpartum support via a phone app</w:t>
      </w:r>
      <w:r>
        <w:rPr>
          <w:lang w:eastAsia="zh-CN"/>
        </w:rPr>
        <w:t>.</w:t>
      </w:r>
      <w:r>
        <w:rPr>
          <w:lang w:eastAsia="zh-CN"/>
        </w:rPr>
        <w:fldChar w:fldCharType="begin">
          <w:fldData xml:space="preserve">PEVuZE5vdGU+PENpdGU+PEF1dGhvcj5TYXd5ZXI8L0F1dGhvcj48WWVhcj4yMDE5PC9ZZWFyPjxS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</w:fldData>
        </w:fldChar>
      </w:r>
      <w:r w:rsidR="00F66EC6">
        <w:rPr>
          <w:lang w:eastAsia="zh-CN"/>
        </w:rPr>
        <w:instrText xml:space="preserve"> ADDIN EN.CITE </w:instrText>
      </w:r>
      <w:r w:rsidR="00F66EC6">
        <w:rPr>
          <w:lang w:eastAsia="zh-CN"/>
        </w:rPr>
        <w:fldChar w:fldCharType="begin">
          <w:fldData xml:space="preserve">PEVuZE5vdGU+PENpdGU+PEF1dGhvcj5TYXd5ZXI8L0F1dGhvcj48WWVhcj4yMDE5PC9ZZWFyPjxS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</w:fldData>
        </w:fldChar>
      </w:r>
      <w:r w:rsidR="00F66EC6">
        <w:rPr>
          <w:lang w:eastAsia="zh-CN"/>
        </w:rPr>
        <w:instrText xml:space="preserve"> ADDIN EN.CITE.DATA </w:instrText>
      </w:r>
      <w:r w:rsidR="00F66EC6">
        <w:rPr>
          <w:lang w:eastAsia="zh-CN"/>
        </w:rPr>
      </w:r>
      <w:r w:rsidR="00F66EC6">
        <w:rPr>
          <w:lang w:eastAsia="zh-CN"/>
        </w:rPr>
        <w:fldChar w:fldCharType="end"/>
      </w:r>
      <w:r>
        <w:rPr>
          <w:lang w:eastAsia="zh-CN"/>
        </w:rPr>
      </w:r>
      <w:r>
        <w:rPr>
          <w:lang w:eastAsia="zh-CN"/>
        </w:rPr>
        <w:fldChar w:fldCharType="separate"/>
      </w:r>
      <w:r w:rsidR="00F66EC6" w:rsidRPr="00F66EC6">
        <w:rPr>
          <w:noProof/>
          <w:vertAlign w:val="superscript"/>
          <w:lang w:eastAsia="zh-CN"/>
        </w:rPr>
        <w:t>19</w:t>
      </w:r>
      <w:r>
        <w:rPr>
          <w:lang w:eastAsia="zh-CN"/>
        </w:rPr>
        <w:fldChar w:fldCharType="end"/>
      </w:r>
    </w:p>
    <w:p w14:paraId="205F74AB" w14:textId="242B4ED0" w:rsidR="004D1951" w:rsidRPr="00484694" w:rsidRDefault="00484694" w:rsidP="00484694">
      <w:pPr>
        <w:pStyle w:val="Caption"/>
        <w:rPr>
          <w:b w:val="0"/>
          <w:sz w:val="20"/>
          <w:szCs w:val="20"/>
        </w:rPr>
      </w:pPr>
      <w:bookmarkStart w:id="270" w:name="_Ref119270477"/>
      <w:bookmarkStart w:id="271" w:name="_Toc89070830"/>
      <w:bookmarkStart w:id="272" w:name="_Toc121415169"/>
      <w:r w:rsidRPr="00484694">
        <w:rPr>
          <w:sz w:val="20"/>
          <w:szCs w:val="20"/>
        </w:rPr>
        <w:lastRenderedPageBreak/>
        <w:t xml:space="preserve">Figure </w:t>
      </w:r>
      <w:r w:rsidRPr="00484694">
        <w:rPr>
          <w:sz w:val="20"/>
          <w:szCs w:val="20"/>
        </w:rPr>
        <w:fldChar w:fldCharType="begin"/>
      </w:r>
      <w:r w:rsidRPr="00484694">
        <w:rPr>
          <w:sz w:val="20"/>
          <w:szCs w:val="20"/>
        </w:rPr>
        <w:instrText xml:space="preserve"> SEQ Figure \* ARABIC </w:instrText>
      </w:r>
      <w:r w:rsidRPr="00484694">
        <w:rPr>
          <w:sz w:val="20"/>
          <w:szCs w:val="20"/>
        </w:rPr>
        <w:fldChar w:fldCharType="separate"/>
      </w:r>
      <w:r w:rsidR="00296988">
        <w:rPr>
          <w:noProof/>
          <w:sz w:val="20"/>
          <w:szCs w:val="20"/>
        </w:rPr>
        <w:t>3</w:t>
      </w:r>
      <w:r w:rsidRPr="00484694">
        <w:rPr>
          <w:sz w:val="20"/>
          <w:szCs w:val="20"/>
        </w:rPr>
        <w:fldChar w:fldCharType="end"/>
      </w:r>
      <w:bookmarkEnd w:id="270"/>
      <w:r w:rsidRPr="00484694">
        <w:rPr>
          <w:sz w:val="20"/>
          <w:szCs w:val="20"/>
        </w:rPr>
        <w:tab/>
        <w:t>Sites participating in the National Preterm Birth Prevention Collaborative</w:t>
      </w:r>
      <w:bookmarkEnd w:id="271"/>
      <w:r w:rsidR="00BE7642">
        <w:rPr>
          <w:b w:val="0"/>
          <w:sz w:val="20"/>
          <w:szCs w:val="20"/>
        </w:rPr>
        <w:t>, as at September 2022</w:t>
      </w:r>
      <w:bookmarkEnd w:id="272"/>
    </w:p>
    <w:p w14:paraId="6C7DB8EF" w14:textId="77777777" w:rsidR="004D1951" w:rsidRDefault="004D1951" w:rsidP="004D1951">
      <w:pPr>
        <w:pStyle w:val="ListParagraph"/>
        <w:ind w:left="360"/>
      </w:pPr>
      <w:r>
        <w:rPr>
          <w:noProof/>
        </w:rPr>
        <w:drawing>
          <wp:inline distT="0" distB="0" distL="0" distR="0" wp14:anchorId="069A862C" wp14:editId="54BDD4E8">
            <wp:extent cx="5804452" cy="3518563"/>
            <wp:effectExtent l="0" t="0" r="6350" b="5715"/>
            <wp:docPr id="12" name="Picture 12" descr="Graphic is map of Australia and list of 52 maternity hospitals participating in the Every Week Counts preterm birth collab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is map of Australia and list of 52 maternity hospitals participating in the Every Week Counts preterm birth collaborativ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6041" cy="3525588"/>
                    </a:xfrm>
                    <a:prstGeom prst="rect">
                      <a:avLst/>
                    </a:prstGeom>
                    <a:noFill/>
                    <a:ln>
                      <a:noFill/>
                    </a:ln>
                  </pic:spPr>
                </pic:pic>
              </a:graphicData>
            </a:graphic>
          </wp:inline>
        </w:drawing>
      </w:r>
    </w:p>
    <w:p w14:paraId="7F15E90D" w14:textId="7C30F820" w:rsidR="004D1951" w:rsidRPr="004D1951" w:rsidRDefault="004D1951" w:rsidP="004D1951">
      <w:pPr>
        <w:pStyle w:val="ListParagraph"/>
        <w:ind w:left="360"/>
        <w:rPr>
          <w:sz w:val="18"/>
          <w:szCs w:val="18"/>
        </w:rPr>
      </w:pPr>
      <w:r w:rsidRPr="004D1951">
        <w:rPr>
          <w:sz w:val="18"/>
          <w:szCs w:val="18"/>
        </w:rPr>
        <w:t>Reproduced with permission from the National Preterm Birth Prevention Collaborative</w:t>
      </w:r>
      <w:r w:rsidR="00BE7642">
        <w:rPr>
          <w:sz w:val="18"/>
          <w:szCs w:val="18"/>
        </w:rPr>
        <w:t>, September 2022</w:t>
      </w:r>
    </w:p>
    <w:p w14:paraId="5477916D" w14:textId="77777777" w:rsidR="004D1951" w:rsidRDefault="004D1951" w:rsidP="004D1951">
      <w:pPr>
        <w:pStyle w:val="Bullets"/>
        <w:numPr>
          <w:ilvl w:val="0"/>
          <w:numId w:val="0"/>
        </w:numPr>
        <w:ind w:left="360"/>
      </w:pPr>
    </w:p>
    <w:p w14:paraId="6F784314" w14:textId="3F35756C" w:rsidR="00443C64" w:rsidRDefault="00ED5805" w:rsidP="00C03C12">
      <w:pPr>
        <w:spacing w:after="120"/>
      </w:pPr>
      <w:r>
        <w:rPr>
          <w:lang w:eastAsia="zh-CN"/>
        </w:rPr>
        <w:t>The</w:t>
      </w:r>
      <w:r w:rsidR="00443C64">
        <w:rPr>
          <w:lang w:eastAsia="zh-CN"/>
        </w:rPr>
        <w:t xml:space="preserve"> </w:t>
      </w:r>
      <w:r w:rsidR="00443C64" w:rsidRPr="00FE18DF">
        <w:rPr>
          <w:lang w:eastAsia="zh-CN"/>
        </w:rPr>
        <w:t xml:space="preserve">Safer Baby Bundle </w:t>
      </w:r>
      <w:r w:rsidR="00443C64">
        <w:rPr>
          <w:lang w:eastAsia="zh-CN"/>
        </w:rPr>
        <w:t xml:space="preserve">initiative </w:t>
      </w:r>
      <w:r w:rsidR="00443C64" w:rsidRPr="00FE18DF">
        <w:rPr>
          <w:lang w:eastAsia="zh-CN"/>
        </w:rPr>
        <w:t>and the Australian Preterm Birth Prevention Alliance</w:t>
      </w:r>
      <w:r w:rsidR="00443C64">
        <w:rPr>
          <w:lang w:eastAsia="zh-CN"/>
        </w:rPr>
        <w:t xml:space="preserve"> </w:t>
      </w:r>
      <w:r w:rsidR="00FE0E5F">
        <w:rPr>
          <w:lang w:eastAsia="zh-CN"/>
        </w:rPr>
        <w:t xml:space="preserve">were cited </w:t>
      </w:r>
      <w:r w:rsidR="00443C64">
        <w:rPr>
          <w:lang w:eastAsia="zh-CN"/>
        </w:rPr>
        <w:t xml:space="preserve">as good examples of the type of </w:t>
      </w:r>
      <w:r w:rsidR="00C03C12">
        <w:rPr>
          <w:lang w:eastAsia="zh-CN"/>
        </w:rPr>
        <w:t xml:space="preserve">interdisciplinary and </w:t>
      </w:r>
      <w:r w:rsidR="00443C64">
        <w:rPr>
          <w:lang w:eastAsia="zh-CN"/>
        </w:rPr>
        <w:t>cross-jurisdictional collaboration required to improve maternity outcomes.</w:t>
      </w:r>
      <w:r w:rsidR="002B3AA4">
        <w:rPr>
          <w:lang w:eastAsia="zh-CN"/>
        </w:rPr>
        <w:t xml:space="preserve"> </w:t>
      </w:r>
      <w:r w:rsidR="004D1951">
        <w:t>S</w:t>
      </w:r>
      <w:r w:rsidR="00443C64">
        <w:t xml:space="preserve">takeholders were cautious about attributing any change in outcomes over time to the Strategy and questioned whether current </w:t>
      </w:r>
      <w:r w:rsidR="00C03C12">
        <w:t xml:space="preserve">national </w:t>
      </w:r>
      <w:r w:rsidR="00443C64">
        <w:t>data collection, analysis and reporting mechanisms would be able to detect meaningful and nuanced chan</w:t>
      </w:r>
      <w:r w:rsidR="00C03C12">
        <w:t>ges in the outcomes of interest in a timely way.</w:t>
      </w:r>
    </w:p>
    <w:p w14:paraId="73B2563E" w14:textId="4482E42A" w:rsidR="00443C64" w:rsidRDefault="00FE0E5F" w:rsidP="00443C64">
      <w:pPr>
        <w:pStyle w:val="Heading3"/>
        <w:ind w:left="709" w:hanging="709"/>
      </w:pPr>
      <w:r>
        <w:t>Next steps</w:t>
      </w:r>
    </w:p>
    <w:p w14:paraId="02E9A6AF" w14:textId="6C60289C" w:rsidR="00ED5805" w:rsidRDefault="00210A14" w:rsidP="00C03C12">
      <w:pPr>
        <w:spacing w:after="120"/>
      </w:pPr>
      <w:r>
        <w:t>According to stakeholders, t</w:t>
      </w:r>
      <w:r w:rsidR="00ED5805">
        <w:t xml:space="preserve">here is a concerning trend towards increasing intervention in birth, with no corresponding increase in safety or quality. A steep rise in </w:t>
      </w:r>
      <w:r w:rsidR="00ED5805" w:rsidRPr="00A26868">
        <w:t xml:space="preserve">reported </w:t>
      </w:r>
      <w:r w:rsidR="005F64DD">
        <w:t xml:space="preserve">physical and psychological </w:t>
      </w:r>
      <w:r w:rsidR="00ED5805" w:rsidRPr="00A26868">
        <w:t xml:space="preserve">birth trauma </w:t>
      </w:r>
      <w:r>
        <w:t xml:space="preserve">in recent years </w:t>
      </w:r>
      <w:r w:rsidR="00ED5805" w:rsidRPr="00A26868">
        <w:t>was also noted</w:t>
      </w:r>
      <w:r w:rsidR="004B141D">
        <w:t xml:space="preserve"> during the interviews.</w:t>
      </w:r>
      <w:r w:rsidR="00ED5805">
        <w:t xml:space="preserve"> </w:t>
      </w:r>
      <w:r w:rsidR="00C87333" w:rsidRPr="00C87333">
        <w:rPr>
          <w:rFonts w:cstheme="minorHAnsi"/>
          <w:szCs w:val="22"/>
        </w:rPr>
        <w:t>Intervention rates are influenced by many variables</w:t>
      </w:r>
      <w:r w:rsidR="00F66EC6">
        <w:rPr>
          <w:rFonts w:cstheme="minorHAnsi"/>
          <w:szCs w:val="22"/>
        </w:rPr>
        <w:fldChar w:fldCharType="begin"/>
      </w:r>
      <w:r w:rsidR="00F66EC6">
        <w:rPr>
          <w:rFonts w:cstheme="minorHAnsi"/>
          <w:szCs w:val="22"/>
        </w:rPr>
        <w:instrText xml:space="preserve"> ADDIN EN.CITE &lt;EndNote&gt;&lt;Cite&gt;&lt;Author&gt;AIHW&lt;/Author&gt;&lt;Year&gt;2022&lt;/Year&gt;&lt;RecNum&gt;260&lt;/RecNum&gt;&lt;DisplayText&gt;&lt;style face="superscript"&gt;20&lt;/style&gt;&lt;/DisplayText&gt;&lt;record&gt;&lt;rec-number&gt;260&lt;/rec-number&gt;&lt;foreign-keys&gt;&lt;key app="EN" db-id="ewrsr2203a2a0veserrv55dezzwsepr5psw2" timestamp="1668232269"&gt;260&lt;/key&gt;&lt;/foreign-keys&gt;&lt;ref-type name="Report"&gt;27&lt;/ref-type&gt;&lt;contributors&gt;&lt;authors&gt;&lt;author&gt;AIHW,&lt;/author&gt;&lt;/authors&gt;&lt;/contributors&gt;&lt;titles&gt;&lt;title&gt;National Core Maternity Indicators&lt;/title&gt;&lt;/titles&gt;&lt;dates&gt;&lt;year&gt;2022&lt;/year&gt;&lt;/dates&gt;&lt;pub-location&gt;Canberra&lt;/pub-location&gt;&lt;publisher&gt;Australian Institute of Health and Welfare&amp;#xD;&lt;/publisher&gt;&lt;urls&gt;&lt;related-urls&gt;&lt;url&gt;https://www.aihw.gov.au/reports/mothers-babies/national-core-maternity-indicators&lt;/url&gt;&lt;/related-urls&gt;&lt;/urls&gt;&lt;/record&gt;&lt;/Cite&gt;&lt;/EndNote&gt;</w:instrText>
      </w:r>
      <w:r w:rsidR="00F66EC6">
        <w:rPr>
          <w:rFonts w:cstheme="minorHAnsi"/>
          <w:szCs w:val="22"/>
        </w:rPr>
        <w:fldChar w:fldCharType="separate"/>
      </w:r>
      <w:r w:rsidR="00F66EC6" w:rsidRPr="00F66EC6">
        <w:rPr>
          <w:rFonts w:cstheme="minorHAnsi"/>
          <w:noProof/>
          <w:szCs w:val="22"/>
          <w:vertAlign w:val="superscript"/>
        </w:rPr>
        <w:t>20</w:t>
      </w:r>
      <w:r w:rsidR="00F66EC6">
        <w:rPr>
          <w:rFonts w:cstheme="minorHAnsi"/>
          <w:szCs w:val="22"/>
        </w:rPr>
        <w:fldChar w:fldCharType="end"/>
      </w:r>
      <w:r w:rsidR="00C87333" w:rsidRPr="00C87333">
        <w:rPr>
          <w:rFonts w:cstheme="minorHAnsi"/>
          <w:szCs w:val="22"/>
        </w:rPr>
        <w:t xml:space="preserve"> and </w:t>
      </w:r>
      <w:r w:rsidR="00224883">
        <w:rPr>
          <w:rFonts w:cstheme="minorHAnsi"/>
          <w:szCs w:val="22"/>
        </w:rPr>
        <w:t xml:space="preserve">stakeholders felt that </w:t>
      </w:r>
      <w:r w:rsidR="00C87333" w:rsidRPr="00C87333">
        <w:rPr>
          <w:rFonts w:cstheme="minorHAnsi"/>
          <w:szCs w:val="22"/>
        </w:rPr>
        <w:t>developing a greater understanding of factors leading to these outcomes should be a focus of ongoing monitoring and evaluation</w:t>
      </w:r>
      <w:r w:rsidR="00C87333">
        <w:rPr>
          <w:rFonts w:cstheme="minorHAnsi"/>
          <w:szCs w:val="22"/>
        </w:rPr>
        <w:t>.</w:t>
      </w:r>
    </w:p>
    <w:p w14:paraId="1BA36BA8" w14:textId="348C3C14" w:rsidR="00443C64" w:rsidRDefault="00443C64" w:rsidP="00C03C12">
      <w:pPr>
        <w:spacing w:after="120"/>
        <w:rPr>
          <w:rFonts w:ascii="Calibri" w:hAnsi="Calibri" w:cs="Calibri"/>
          <w:szCs w:val="22"/>
        </w:rPr>
      </w:pPr>
      <w:r>
        <w:t>S</w:t>
      </w:r>
      <w:r w:rsidRPr="00CB7B10">
        <w:t>takeholders spoke of the c</w:t>
      </w:r>
      <w:r w:rsidRPr="00CB7B10">
        <w:rPr>
          <w:rFonts w:ascii="Calibri" w:hAnsi="Calibri" w:cs="Calibri"/>
          <w:szCs w:val="22"/>
        </w:rPr>
        <w:t xml:space="preserve">hallenges of balancing prevention of </w:t>
      </w:r>
      <w:r w:rsidRPr="00650204">
        <w:rPr>
          <w:rFonts w:ascii="Calibri" w:hAnsi="Calibri" w:cs="Calibri"/>
          <w:szCs w:val="22"/>
        </w:rPr>
        <w:t>stillbirth (</w:t>
      </w:r>
      <w:r w:rsidR="00163BF1">
        <w:rPr>
          <w:rFonts w:ascii="Calibri" w:hAnsi="Calibri" w:cs="Calibri"/>
          <w:szCs w:val="22"/>
        </w:rPr>
        <w:t>for example,</w:t>
      </w:r>
      <w:r>
        <w:rPr>
          <w:rFonts w:ascii="Calibri" w:hAnsi="Calibri" w:cs="Calibri"/>
          <w:szCs w:val="22"/>
        </w:rPr>
        <w:t xml:space="preserve"> </w:t>
      </w:r>
      <w:r w:rsidRPr="00650204">
        <w:rPr>
          <w:rFonts w:ascii="Calibri" w:hAnsi="Calibri" w:cs="Calibri"/>
          <w:szCs w:val="22"/>
        </w:rPr>
        <w:t>by inducing labour early</w:t>
      </w:r>
      <w:r>
        <w:rPr>
          <w:rFonts w:ascii="Calibri" w:hAnsi="Calibri" w:cs="Calibri"/>
          <w:szCs w:val="22"/>
        </w:rPr>
        <w:t xml:space="preserve">) </w:t>
      </w:r>
      <w:r w:rsidRPr="00650204">
        <w:rPr>
          <w:rFonts w:ascii="Calibri" w:hAnsi="Calibri" w:cs="Calibri"/>
          <w:szCs w:val="22"/>
        </w:rPr>
        <w:t xml:space="preserve">with reducing the negative sequelae associated with preterm and early term birth, and the anxiety this can cause among both women and health professionals, particularly junior doctors. The importance of a strong collaboration between the </w:t>
      </w:r>
      <w:r>
        <w:t>Centre of Research Excellence in Stillbirth</w:t>
      </w:r>
      <w:r w:rsidRPr="00650204">
        <w:rPr>
          <w:rFonts w:ascii="Calibri" w:hAnsi="Calibri" w:cs="Calibri"/>
          <w:szCs w:val="22"/>
        </w:rPr>
        <w:t xml:space="preserve"> and the Preterm Birth Prevention Alliance was considered to be pivotal in striking the necessary balance with respect to these issues.</w:t>
      </w:r>
    </w:p>
    <w:p w14:paraId="6765CB7E" w14:textId="4182BDCD" w:rsidR="00443C64" w:rsidRDefault="00443C64" w:rsidP="00C03C12">
      <w:pPr>
        <w:spacing w:after="120"/>
        <w:rPr>
          <w:lang w:eastAsia="zh-CN" w:bidi="th-TH"/>
        </w:rPr>
      </w:pPr>
      <w:r>
        <w:rPr>
          <w:lang w:eastAsia="zh-CN" w:bidi="th-TH"/>
        </w:rPr>
        <w:t xml:space="preserve">The </w:t>
      </w:r>
      <w:r w:rsidRPr="00CA08CB">
        <w:rPr>
          <w:lang w:eastAsia="zh-CN" w:bidi="th-TH"/>
        </w:rPr>
        <w:t xml:space="preserve">Monitoring and Evaluation Framework </w:t>
      </w:r>
      <w:r>
        <w:rPr>
          <w:lang w:eastAsia="zh-CN" w:bidi="th-TH"/>
        </w:rPr>
        <w:t xml:space="preserve">for the </w:t>
      </w:r>
      <w:r w:rsidRPr="00FE0E5F">
        <w:rPr>
          <w:i/>
          <w:iCs/>
          <w:lang w:eastAsia="zh-CN" w:bidi="th-TH"/>
        </w:rPr>
        <w:t>National Stillbirth Action and Implementation Plan</w:t>
      </w:r>
      <w:r>
        <w:rPr>
          <w:bCs/>
          <w:lang w:eastAsia="zh-CN" w:bidi="th-TH"/>
        </w:rPr>
        <w:t xml:space="preserve"> </w:t>
      </w:r>
      <w:r w:rsidR="00163BF1">
        <w:rPr>
          <w:bCs/>
          <w:lang w:eastAsia="zh-CN" w:bidi="th-TH"/>
        </w:rPr>
        <w:t>i</w:t>
      </w:r>
      <w:r w:rsidRPr="00CA08CB">
        <w:rPr>
          <w:lang w:eastAsia="zh-CN" w:bidi="th-TH"/>
        </w:rPr>
        <w:t xml:space="preserve">ncludes annual monitoring from 2022 and scheduled evaluation reports in 2023 (preliminary), 2026 (mid-term) and 2029-30 (final). </w:t>
      </w:r>
      <w:r>
        <w:rPr>
          <w:lang w:eastAsia="zh-CN" w:bidi="th-TH"/>
        </w:rPr>
        <w:t>In-depth review of initiatives to reduce the rate of stillbirth in Australia will be undertaken as part of the monitoring and evaluation.</w:t>
      </w:r>
    </w:p>
    <w:p w14:paraId="473C9B35" w14:textId="70A16DC2" w:rsidR="00443C64" w:rsidRDefault="00443C64" w:rsidP="00C03C12">
      <w:pPr>
        <w:spacing w:after="120"/>
        <w:rPr>
          <w:lang w:eastAsia="zh-CN" w:bidi="th-TH"/>
        </w:rPr>
      </w:pPr>
      <w:r>
        <w:rPr>
          <w:lang w:eastAsia="zh-CN" w:bidi="th-TH"/>
        </w:rPr>
        <w:t xml:space="preserve">Implementation of the </w:t>
      </w:r>
      <w:r w:rsidRPr="00FE0E5F">
        <w:rPr>
          <w:lang w:eastAsia="zh-CN"/>
        </w:rPr>
        <w:t>Safer Baby Bundle</w:t>
      </w:r>
      <w:r>
        <w:rPr>
          <w:b/>
          <w:lang w:eastAsia="zh-CN"/>
        </w:rPr>
        <w:t xml:space="preserve"> </w:t>
      </w:r>
      <w:r>
        <w:rPr>
          <w:bCs/>
          <w:lang w:eastAsia="zh-CN"/>
        </w:rPr>
        <w:t xml:space="preserve">will be </w:t>
      </w:r>
      <w:r>
        <w:rPr>
          <w:lang w:eastAsia="zh-CN" w:bidi="th-TH"/>
        </w:rPr>
        <w:t>monitored by a suite of process measures covering all five interventions and selected outcome measures. The program will be subject to an economic evaluation, for which data will be collected up until December 2023.</w:t>
      </w:r>
      <w:r>
        <w:rPr>
          <w:lang w:eastAsia="zh-CN" w:bidi="th-TH"/>
        </w:rPr>
        <w:fldChar w:fldCharType="begin"/>
      </w:r>
      <w:r w:rsidR="00267BD0">
        <w:rPr>
          <w:lang w:eastAsia="zh-CN" w:bidi="th-TH"/>
        </w:rPr>
        <w:instrText xml:space="preserve"> ADDIN EN.CITE &lt;EndNote&gt;&lt;Cite&gt;&lt;Author&gt;Callander&lt;/Author&gt;&lt;Year&gt;2022&lt;/Year&gt;&lt;RecNum&gt;24&lt;/RecNum&gt;&lt;DisplayText&gt;&lt;style face="superscript"&gt;21&lt;/style&gt;&lt;/DisplayText&gt;&lt;record&gt;&lt;rec-number&gt;24&lt;/rec-number&gt;&lt;foreign-keys&gt;&lt;key app="EN" db-id="wpvfpf90szpzwse02epvd9rkrfpvwtrszrv0" timestamp="1665720155"&gt;24&lt;/key&gt;&lt;/foreign-keys&gt;&lt;ref-type name="Journal Article"&gt;17&lt;/ref-type&gt;&lt;contributors&gt;&lt;authors&gt;&lt;author&gt;Callander, Emily Joy&lt;/author&gt;&lt;author&gt;Andrews, Christine&lt;/author&gt;&lt;author&gt;Sketcher-Baker, Kirstine&lt;/author&gt;&lt;author&gt;Nicholl, Michael Christopher&lt;/author&gt;&lt;author&gt;Farrell, Tanya&lt;/author&gt;&lt;author&gt;Karger, Shae&lt;/author&gt;&lt;author&gt;Flenady, Vicki&lt;/author&gt;&lt;/authors&gt;&lt;/contributors&gt;&lt;titles&gt;&lt;title&gt;Safer Baby Bundle: study protocol for the economic evaluation of a quality improvement initiative to reduce stillbirths&lt;/title&gt;&lt;secondary-title&gt;BMJ Open&lt;/secondary-title&gt;&lt;/titles&gt;&lt;periodical&gt;&lt;full-title&gt;BMJ Open&lt;/full-title&gt;&lt;/periodical&gt;&lt;pages&gt;e058988&lt;/pages&gt;&lt;volume&gt;12&lt;/volume&gt;&lt;number&gt;8&lt;/number&gt;&lt;dates&gt;&lt;year&gt;2022&lt;/year&gt;&lt;/dates&gt;&lt;urls&gt;&lt;related-urls&gt;&lt;url&gt;https://bmjopen.bmj.com/content/bmjopen/12/8/e058988.full.pdf&lt;/url&gt;&lt;/related-urls&gt;&lt;/urls&gt;&lt;electronic-resource-num&gt;10.1136/bmjopen-2021-058988&lt;/electronic-resource-num&gt;&lt;/record&gt;&lt;/Cite&gt;&lt;/EndNote&gt;</w:instrText>
      </w:r>
      <w:r>
        <w:rPr>
          <w:lang w:eastAsia="zh-CN" w:bidi="th-TH"/>
        </w:rPr>
        <w:fldChar w:fldCharType="separate"/>
      </w:r>
      <w:r w:rsidR="00267BD0" w:rsidRPr="00267BD0">
        <w:rPr>
          <w:noProof/>
          <w:vertAlign w:val="superscript"/>
          <w:lang w:eastAsia="zh-CN" w:bidi="th-TH"/>
        </w:rPr>
        <w:t>21</w:t>
      </w:r>
      <w:r>
        <w:rPr>
          <w:lang w:eastAsia="zh-CN" w:bidi="th-TH"/>
        </w:rPr>
        <w:fldChar w:fldCharType="end"/>
      </w:r>
    </w:p>
    <w:p w14:paraId="382E2327" w14:textId="34714E5F" w:rsidR="00443C64" w:rsidRDefault="00443C64" w:rsidP="00443C64">
      <w:pPr>
        <w:pStyle w:val="Heading2"/>
      </w:pPr>
      <w:bookmarkStart w:id="273" w:name="_Toc117764985"/>
      <w:bookmarkStart w:id="274" w:name="_Toc121415064"/>
      <w:r>
        <w:lastRenderedPageBreak/>
        <w:t>K</w:t>
      </w:r>
      <w:r w:rsidR="000935C6">
        <w:t>EQ</w:t>
      </w:r>
      <w:r>
        <w:t xml:space="preserve"> 2: </w:t>
      </w:r>
      <w:r w:rsidRPr="006B6EFE">
        <w:t>Access to postnatal care</w:t>
      </w:r>
      <w:bookmarkEnd w:id="273"/>
      <w:bookmarkEnd w:id="274"/>
    </w:p>
    <w:p w14:paraId="5D076C01" w14:textId="414974F9" w:rsidR="00443C64" w:rsidRDefault="00080981" w:rsidP="00443C64">
      <w:pPr>
        <w:pStyle w:val="Heading3"/>
        <w:ind w:left="709" w:hanging="709"/>
      </w:pPr>
      <w:r>
        <w:t>Baseline status</w:t>
      </w:r>
    </w:p>
    <w:p w14:paraId="00C73E3B" w14:textId="6D0CB963" w:rsidR="00443C64" w:rsidRDefault="00443C64" w:rsidP="00163B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szCs w:val="22"/>
        </w:rPr>
      </w:pPr>
      <w:r>
        <w:t>T</w:t>
      </w:r>
      <w:r w:rsidRPr="005D522C">
        <w:t>he environment scan did not identify any improvements in access</w:t>
      </w:r>
      <w:r>
        <w:t xml:space="preserve"> to </w:t>
      </w:r>
      <w:r w:rsidRPr="005D522C">
        <w:t>postnatal care since 2019</w:t>
      </w:r>
      <w:r>
        <w:t xml:space="preserve">, a finding </w:t>
      </w:r>
      <w:r w:rsidRPr="005D522C">
        <w:t xml:space="preserve">consistent with views expressed </w:t>
      </w:r>
      <w:r>
        <w:t xml:space="preserve">by </w:t>
      </w:r>
      <w:r w:rsidRPr="005D522C">
        <w:t>stakeholder</w:t>
      </w:r>
      <w:r>
        <w:t>s</w:t>
      </w:r>
      <w:r w:rsidRPr="005D522C">
        <w:t>.</w:t>
      </w:r>
      <w:r>
        <w:t xml:space="preserve"> Some stakeholders believed that access to postnatal care had deteriorated. </w:t>
      </w:r>
      <w:r w:rsidRPr="00650204">
        <w:rPr>
          <w:rFonts w:cstheme="minorHAnsi"/>
          <w:szCs w:val="22"/>
        </w:rPr>
        <w:t xml:space="preserve">Reasons given for lack of progress </w:t>
      </w:r>
      <w:r>
        <w:rPr>
          <w:rFonts w:cstheme="minorHAnsi"/>
          <w:szCs w:val="22"/>
        </w:rPr>
        <w:t xml:space="preserve">in improving access to postnatal care </w:t>
      </w:r>
      <w:r w:rsidRPr="00650204">
        <w:rPr>
          <w:rFonts w:cstheme="minorHAnsi"/>
          <w:szCs w:val="22"/>
        </w:rPr>
        <w:t>included the impact of COVID-19, workforce and resource constraints, fragmentation of care, and the emphasis placed on pregnancy, labour, birth and a focus on the baby in the early weeks and months following birth.</w:t>
      </w:r>
    </w:p>
    <w:p w14:paraId="76AB0511" w14:textId="1C310553" w:rsidR="00443C64" w:rsidRDefault="00443C64" w:rsidP="00163BF1">
      <w:pPr>
        <w:spacing w:after="120"/>
        <w:rPr>
          <w:lang w:eastAsia="zh-CN" w:bidi="th-TH"/>
        </w:rPr>
      </w:pPr>
      <w:r w:rsidRPr="1345BA90">
        <w:rPr>
          <w:lang w:eastAsia="zh-CN" w:bidi="th-TH"/>
        </w:rPr>
        <w:t>Postnatal care is acknowledged to be complex and multifaceted, with care delivery requiring attention to a huge variety of clinical issues, particularly given the extension of the postnatal period to encompass care of women in the 12 months after giving birth: breastfeeding and other infant feeding; nipple and breast issues postpartum; maternal illnesses; substance use; mental health; pain and weight management; maternal nutrition; sexuality, contraception and birth spacing; pelvic floor muscle training and abdominal rehabilitation; infants and newborn care.</w:t>
      </w:r>
      <w:r w:rsidRPr="1345BA90">
        <w:rPr>
          <w:lang w:eastAsia="zh-CN" w:bidi="th-TH"/>
        </w:rPr>
        <w:fldChar w:fldCharType="begin"/>
      </w:r>
      <w:r w:rsidRPr="1345BA90">
        <w:rPr>
          <w:lang w:eastAsia="zh-CN" w:bidi="th-TH"/>
        </w:rPr>
        <w:instrText xml:space="preserve"> ADDIN EN.CITE &lt;EndNote&gt;&lt;Cite&gt;&lt;Author&gt;Yang&lt;/Author&gt;&lt;Year&gt;2022&lt;/Year&gt;&lt;RecNum&gt;193&lt;/RecNum&gt;&lt;DisplayText&gt;&lt;style face="superscript"&gt;22&lt;/style&gt;&lt;/DisplayText&gt;&lt;record&gt;&lt;rec-number&gt;193&lt;/rec-number&gt;&lt;foreign-keys&gt;&lt;key app="EN" db-id="ewrsr2203a2a0veserrv55dezzwsepr5psw2" timestamp="1663656154"&gt;193&lt;/key&gt;&lt;/foreign-keys&gt;&lt;ref-type name="Journal Article"&gt;17&lt;/ref-type&gt;&lt;contributors&gt;&lt;authors&gt;&lt;author&gt;Yang, Ming&lt;/author&gt;&lt;author&gt;Yue, Wei&lt;/author&gt;&lt;author&gt;Han, Xinrui&lt;/author&gt;&lt;author&gt;Hu, Chunhong&lt;/author&gt;&lt;author&gt;Sun, Xiaoning&lt;/author&gt;&lt;author&gt;Luo, Jianghe&lt;/author&gt;&lt;/authors&gt;&lt;/contributors&gt;&lt;titles&gt;&lt;title&gt;Postpartum care indications and methodological quality:a systematic review of guidelines&lt;/title&gt;&lt;secondary-title&gt;Journal of Public Health&lt;/secondary-title&gt;&lt;/titles&gt;&lt;periodical&gt;&lt;full-title&gt;Journal of Public Health&lt;/full-title&gt;&lt;/periodical&gt;&lt;pages&gt;2261-2275&lt;/pages&gt;&lt;volume&gt;30&lt;/volume&gt;&lt;number&gt;9&lt;/number&gt;&lt;dates&gt;&lt;year&gt;2022&lt;/year&gt;&lt;pub-dates&gt;&lt;date&gt;2022/09/01&lt;/date&gt;&lt;/pub-dates&gt;&lt;/dates&gt;&lt;isbn&gt;1613-2238&lt;/isbn&gt;&lt;urls&gt;&lt;related-urls&gt;&lt;url&gt;https://doi.org/10.1007/s10389-021-01629-4&lt;/url&gt;&lt;/related-urls&gt;&lt;/urls&gt;&lt;electronic-resource-num&gt;10.1007/s10389-021-01629-4&lt;/electronic-resource-num&gt;&lt;/record&gt;&lt;/Cite&gt;&lt;/EndNote&gt;</w:instrText>
      </w:r>
      <w:r w:rsidRPr="1345BA90">
        <w:rPr>
          <w:lang w:eastAsia="zh-CN" w:bidi="th-TH"/>
        </w:rPr>
        <w:fldChar w:fldCharType="separate"/>
      </w:r>
      <w:r w:rsidR="00267BD0" w:rsidRPr="1345BA90">
        <w:rPr>
          <w:noProof/>
          <w:vertAlign w:val="superscript"/>
          <w:lang w:eastAsia="zh-CN" w:bidi="th-TH"/>
        </w:rPr>
        <w:t>22</w:t>
      </w:r>
      <w:r w:rsidRPr="1345BA90">
        <w:rPr>
          <w:lang w:eastAsia="zh-CN" w:bidi="th-TH"/>
        </w:rPr>
        <w:fldChar w:fldCharType="end"/>
      </w:r>
      <w:r w:rsidRPr="1345BA90">
        <w:rPr>
          <w:lang w:eastAsia="zh-CN" w:bidi="th-TH"/>
        </w:rPr>
        <w:t xml:space="preserve"> Postnatal care also requires attention to the individual needs, perceptions and experiences of women and families.</w:t>
      </w:r>
    </w:p>
    <w:p w14:paraId="19EE60C1" w14:textId="2E9E9561" w:rsidR="00443C64" w:rsidRDefault="00443C64" w:rsidP="00163BF1">
      <w:pPr>
        <w:spacing w:after="120"/>
        <w:rPr>
          <w:lang w:eastAsia="zh-CN" w:bidi="th-TH"/>
        </w:rPr>
      </w:pPr>
      <w:r w:rsidRPr="000A4F27">
        <w:rPr>
          <w:lang w:eastAsia="zh-CN" w:bidi="th-TH"/>
        </w:rPr>
        <w:t>Two important overseas developments are the updated guideline on postnatal care published by the National Institute for Health and Care Excellence in the UK</w:t>
      </w:r>
      <w:r>
        <w:rPr>
          <w:lang w:eastAsia="zh-CN" w:bidi="th-TH"/>
        </w:rPr>
        <w:t>,</w:t>
      </w:r>
      <w:r>
        <w:rPr>
          <w:lang w:eastAsia="zh-CN" w:bidi="th-TH"/>
        </w:rPr>
        <w:fldChar w:fldCharType="begin"/>
      </w:r>
      <w:r w:rsidR="00267BD0">
        <w:rPr>
          <w:lang w:eastAsia="zh-CN" w:bidi="th-TH"/>
        </w:rPr>
        <w:instrText xml:space="preserve"> ADDIN EN.CITE &lt;EndNote&gt;&lt;Cite&gt;&lt;Author&gt;NICE&lt;/Author&gt;&lt;Year&gt;2021&lt;/Year&gt;&lt;RecNum&gt;195&lt;/RecNum&gt;&lt;DisplayText&gt;&lt;style face="superscript"&gt;23&lt;/style&gt;&lt;/DisplayText&gt;&lt;record&gt;&lt;rec-number&gt;195&lt;/rec-number&gt;&lt;foreign-keys&gt;&lt;key app="EN" db-id="ewrsr2203a2a0veserrv55dezzwsepr5psw2" timestamp="1663656154"&gt;195&lt;/key&gt;&lt;/foreign-keys&gt;&lt;ref-type name="Report"&gt;27&lt;/ref-type&gt;&lt;contributors&gt;&lt;authors&gt;&lt;author&gt;NICE,&lt;/author&gt;&lt;/authors&gt;&lt;/contributors&gt;&lt;titles&gt;&lt;title&gt;Postnatal care &lt;/title&gt;&lt;/titles&gt;&lt;dates&gt;&lt;year&gt;2021&lt;/year&gt;&lt;/dates&gt;&lt;publisher&gt;National Institute for Health and Care Excellence&lt;/publisher&gt;&lt;urls&gt;&lt;/urls&gt;&lt;/record&gt;&lt;/Cite&gt;&lt;/EndNote&gt;</w:instrText>
      </w:r>
      <w:r>
        <w:rPr>
          <w:lang w:eastAsia="zh-CN" w:bidi="th-TH"/>
        </w:rPr>
        <w:fldChar w:fldCharType="separate"/>
      </w:r>
      <w:r w:rsidR="00267BD0" w:rsidRPr="00267BD0">
        <w:rPr>
          <w:noProof/>
          <w:vertAlign w:val="superscript"/>
          <w:lang w:eastAsia="zh-CN" w:bidi="th-TH"/>
        </w:rPr>
        <w:t>23</w:t>
      </w:r>
      <w:r>
        <w:rPr>
          <w:lang w:eastAsia="zh-CN" w:bidi="th-TH"/>
        </w:rPr>
        <w:fldChar w:fldCharType="end"/>
      </w:r>
      <w:r>
        <w:rPr>
          <w:lang w:eastAsia="zh-CN" w:bidi="th-TH"/>
        </w:rPr>
        <w:t xml:space="preserve"> and the r</w:t>
      </w:r>
      <w:r w:rsidRPr="003C1EC9">
        <w:rPr>
          <w:lang w:eastAsia="zh-CN" w:bidi="th-TH"/>
        </w:rPr>
        <w:t>ecommendations on maternal and newborn care for a positive postnatal experience</w:t>
      </w:r>
      <w:r>
        <w:rPr>
          <w:lang w:eastAsia="zh-CN" w:bidi="th-TH"/>
        </w:rPr>
        <w:t xml:space="preserve"> published by the World Health Organization.</w:t>
      </w:r>
      <w:r>
        <w:rPr>
          <w:lang w:eastAsia="zh-CN" w:bidi="th-TH"/>
        </w:rPr>
        <w:fldChar w:fldCharType="begin"/>
      </w:r>
      <w:r w:rsidR="00267BD0">
        <w:rPr>
          <w:lang w:eastAsia="zh-CN" w:bidi="th-TH"/>
        </w:rPr>
        <w:instrText xml:space="preserve"> ADDIN EN.CITE &lt;EndNote&gt;&lt;Cite&gt;&lt;Author&gt;WHO&lt;/Author&gt;&lt;Year&gt;2022&lt;/Year&gt;&lt;RecNum&gt;36&lt;/RecNum&gt;&lt;DisplayText&gt;&lt;style face="superscript"&gt;24&lt;/style&gt;&lt;/DisplayText&gt;&lt;record&gt;&lt;rec-number&gt;36&lt;/rec-number&gt;&lt;foreign-keys&gt;&lt;key app="EN" db-id="wpvfpf90szpzwse02epvd9rkrfpvwtrszrv0" timestamp="1665720156"&gt;36&lt;/key&gt;&lt;/foreign-keys&gt;&lt;ref-type name="Report"&gt;27&lt;/ref-type&gt;&lt;contributors&gt;&lt;authors&gt;&lt;author&gt;WHO,&lt;/author&gt;&lt;/authors&gt;&lt;/contributors&gt;&lt;titles&gt;&lt;title&gt;WHO recommendations on maternal and newborn care for a positive postnatal experience&lt;/title&gt;&lt;/titles&gt;&lt;dates&gt;&lt;year&gt;2022&lt;/year&gt;&lt;/dates&gt;&lt;pub-location&gt;Geneva&lt;/pub-location&gt;&lt;publisher&gt;World Health Organization&lt;/publisher&gt;&lt;urls&gt;&lt;/urls&gt;&lt;/record&gt;&lt;/Cite&gt;&lt;/EndNote&gt;</w:instrText>
      </w:r>
      <w:r>
        <w:rPr>
          <w:lang w:eastAsia="zh-CN" w:bidi="th-TH"/>
        </w:rPr>
        <w:fldChar w:fldCharType="separate"/>
      </w:r>
      <w:r w:rsidR="00267BD0" w:rsidRPr="00267BD0">
        <w:rPr>
          <w:noProof/>
          <w:vertAlign w:val="superscript"/>
          <w:lang w:eastAsia="zh-CN" w:bidi="th-TH"/>
        </w:rPr>
        <w:t>24</w:t>
      </w:r>
      <w:r>
        <w:rPr>
          <w:lang w:eastAsia="zh-CN" w:bidi="th-TH"/>
        </w:rPr>
        <w:fldChar w:fldCharType="end"/>
      </w:r>
    </w:p>
    <w:p w14:paraId="690289A1" w14:textId="77777777" w:rsidR="00443C64" w:rsidRDefault="00443C64" w:rsidP="00163BF1">
      <w:pPr>
        <w:spacing w:after="120"/>
        <w:rPr>
          <w:lang w:eastAsia="zh-CN" w:bidi="th-TH"/>
        </w:rPr>
      </w:pPr>
      <w:r>
        <w:rPr>
          <w:lang w:eastAsia="zh-CN" w:bidi="th-TH"/>
        </w:rPr>
        <w:t xml:space="preserve">In Australia, the </w:t>
      </w:r>
      <w:r w:rsidRPr="00CB4A11">
        <w:rPr>
          <w:b/>
          <w:lang w:eastAsia="zh-CN" w:bidi="th-TH"/>
        </w:rPr>
        <w:t>National Breastfeeding Strategy</w:t>
      </w:r>
      <w:r>
        <w:rPr>
          <w:b/>
          <w:lang w:eastAsia="zh-CN" w:bidi="th-TH"/>
        </w:rPr>
        <w:t>,</w:t>
      </w:r>
      <w:r>
        <w:rPr>
          <w:lang w:eastAsia="zh-CN" w:bidi="th-TH"/>
        </w:rPr>
        <w:t xml:space="preserve"> released in 2019, p</w:t>
      </w:r>
      <w:r w:rsidRPr="00F51CAE">
        <w:rPr>
          <w:lang w:eastAsia="zh-CN" w:bidi="th-TH"/>
        </w:rPr>
        <w:t>rovides a framework for integrated, coordinated action to shape and inform policies and programs that aim to support mothers, fathers/partners and their babies throughout their breastfeeding journeys</w:t>
      </w:r>
      <w:r>
        <w:rPr>
          <w:lang w:eastAsia="zh-CN" w:bidi="th-TH"/>
        </w:rPr>
        <w:t>. The objectives include:</w:t>
      </w:r>
    </w:p>
    <w:p w14:paraId="2166C433" w14:textId="77777777" w:rsidR="00443C64" w:rsidRDefault="00443C64" w:rsidP="00443C64">
      <w:pPr>
        <w:pStyle w:val="Bullets"/>
        <w:rPr>
          <w:lang w:eastAsia="zh-CN"/>
        </w:rPr>
      </w:pPr>
      <w:r>
        <w:rPr>
          <w:lang w:eastAsia="zh-CN"/>
        </w:rPr>
        <w:t>Increasing the proportion of babies who are breastfed.</w:t>
      </w:r>
    </w:p>
    <w:p w14:paraId="7E81A2C7" w14:textId="77777777" w:rsidR="00443C64" w:rsidRDefault="00443C64" w:rsidP="00443C64">
      <w:pPr>
        <w:pStyle w:val="Bullets"/>
        <w:rPr>
          <w:lang w:eastAsia="zh-CN"/>
        </w:rPr>
      </w:pPr>
      <w:r>
        <w:rPr>
          <w:lang w:eastAsia="zh-CN"/>
        </w:rPr>
        <w:t>Enabling mothers, fathers/partners and other caregivers to access evidence-based, culturally safe breastfeeding education, support and clinical services.</w:t>
      </w:r>
    </w:p>
    <w:p w14:paraId="4E4EACB8" w14:textId="77777777" w:rsidR="00443C64" w:rsidRDefault="00443C64" w:rsidP="00443C64">
      <w:pPr>
        <w:pStyle w:val="Bullets"/>
        <w:rPr>
          <w:lang w:eastAsia="zh-CN"/>
        </w:rPr>
      </w:pPr>
      <w:r>
        <w:rPr>
          <w:lang w:eastAsia="zh-CN"/>
        </w:rPr>
        <w:t>Increasing the number of breastfeeding-friendly settings.</w:t>
      </w:r>
    </w:p>
    <w:p w14:paraId="3B44F592" w14:textId="77777777" w:rsidR="00443C64" w:rsidRDefault="00443C64" w:rsidP="00443C64">
      <w:pPr>
        <w:pStyle w:val="Bullets"/>
        <w:rPr>
          <w:lang w:eastAsia="zh-CN"/>
        </w:rPr>
      </w:pPr>
      <w:r>
        <w:rPr>
          <w:lang w:eastAsia="zh-CN"/>
        </w:rPr>
        <w:t>Strengthening regulations covering marketing of infant formula and breastmilk substitutes.</w:t>
      </w:r>
    </w:p>
    <w:p w14:paraId="5F8DBD00" w14:textId="77777777" w:rsidR="00443C64" w:rsidRDefault="00443C64" w:rsidP="00443C64">
      <w:pPr>
        <w:pStyle w:val="Bullets"/>
        <w:rPr>
          <w:lang w:eastAsia="zh-CN"/>
        </w:rPr>
      </w:pPr>
      <w:r>
        <w:rPr>
          <w:lang w:eastAsia="zh-CN"/>
        </w:rPr>
        <w:t>Increasing the proportion of health professional who received breastfeeding education and training.</w:t>
      </w:r>
    </w:p>
    <w:p w14:paraId="5B989678" w14:textId="6E87834B" w:rsidR="00443C64" w:rsidRDefault="00443C64" w:rsidP="00443C64">
      <w:pPr>
        <w:pStyle w:val="Bullets"/>
        <w:rPr>
          <w:lang w:eastAsia="zh-CN"/>
        </w:rPr>
      </w:pPr>
      <w:r>
        <w:rPr>
          <w:lang w:eastAsia="zh-CN"/>
        </w:rPr>
        <w:t>Raising awareness in the broader community of the significance of breastfeeding.</w:t>
      </w:r>
      <w:r>
        <w:rPr>
          <w:lang w:eastAsia="zh-CN"/>
        </w:rPr>
        <w:fldChar w:fldCharType="begin"/>
      </w:r>
      <w:r w:rsidR="00F66EC6">
        <w:rPr>
          <w:lang w:eastAsia="zh-CN"/>
        </w:rPr>
        <w:instrText xml:space="preserve"> ADDIN EN.CITE &lt;EndNote&gt;&lt;Cite&gt;&lt;Author&gt;COAG Health Council&lt;/Author&gt;&lt;Year&gt;2019&lt;/Year&gt;&lt;RecNum&gt;196&lt;/RecNum&gt;&lt;DisplayText&gt;&lt;style face="superscript"&gt;15&lt;/style&gt;&lt;/DisplayText&gt;&lt;record&gt;&lt;rec-number&gt;196&lt;/rec-number&gt;&lt;foreign-keys&gt;&lt;key app="EN" db-id="ewrsr2203a2a0veserrv55dezzwsepr5psw2" timestamp="1663656154"&gt;196&lt;/key&gt;&lt;/foreign-keys&gt;&lt;ref-type name="Report"&gt;27&lt;/ref-type&gt;&lt;contributors&gt;&lt;authors&gt;&lt;author&gt;COAG Health Council,&lt;/author&gt;&lt;/authors&gt;&lt;/contributors&gt;&lt;titles&gt;&lt;title&gt;The Australian National Breastfeeding Strategy: 2019 and Beyond&lt;/title&gt;&lt;/titles&gt;&lt;dates&gt;&lt;year&gt;2019&lt;/year&gt;&lt;/dates&gt;&lt;pub-location&gt;Canberra&lt;/pub-location&gt;&lt;publisher&gt;Department of Health&lt;/publisher&gt;&lt;urls&gt;&lt;/urls&gt;&lt;/record&gt;&lt;/Cite&gt;&lt;/EndNote&gt;</w:instrText>
      </w:r>
      <w:r>
        <w:rPr>
          <w:lang w:eastAsia="zh-CN"/>
        </w:rPr>
        <w:fldChar w:fldCharType="separate"/>
      </w:r>
      <w:r w:rsidR="00F66EC6" w:rsidRPr="00F66EC6">
        <w:rPr>
          <w:noProof/>
          <w:vertAlign w:val="superscript"/>
          <w:lang w:eastAsia="zh-CN"/>
        </w:rPr>
        <w:t>15</w:t>
      </w:r>
      <w:r>
        <w:rPr>
          <w:lang w:eastAsia="zh-CN"/>
        </w:rPr>
        <w:fldChar w:fldCharType="end"/>
      </w:r>
    </w:p>
    <w:p w14:paraId="07D161E6" w14:textId="0411A9C9" w:rsidR="00443C64" w:rsidRDefault="00443C64" w:rsidP="00163BF1">
      <w:pPr>
        <w:spacing w:after="120"/>
        <w:rPr>
          <w:lang w:eastAsia="zh-CN" w:bidi="th-TH"/>
        </w:rPr>
      </w:pPr>
      <w:bookmarkStart w:id="275" w:name="_Hlk117007367"/>
      <w:r>
        <w:rPr>
          <w:lang w:eastAsia="zh-CN" w:bidi="th-TH"/>
        </w:rPr>
        <w:t xml:space="preserve">The objective to strengthen </w:t>
      </w:r>
      <w:r w:rsidRPr="00072735">
        <w:rPr>
          <w:lang w:eastAsia="zh-CN" w:bidi="th-TH"/>
        </w:rPr>
        <w:t xml:space="preserve">regulations covering </w:t>
      </w:r>
      <w:r>
        <w:rPr>
          <w:lang w:eastAsia="zh-CN" w:bidi="th-TH"/>
        </w:rPr>
        <w:t xml:space="preserve">the </w:t>
      </w:r>
      <w:r w:rsidRPr="00072735">
        <w:rPr>
          <w:lang w:eastAsia="zh-CN" w:bidi="th-TH"/>
        </w:rPr>
        <w:t xml:space="preserve">marketing of infant formula </w:t>
      </w:r>
      <w:r>
        <w:rPr>
          <w:lang w:eastAsia="zh-CN" w:bidi="th-TH"/>
        </w:rPr>
        <w:t xml:space="preserve">will support implementation of the </w:t>
      </w:r>
      <w:r w:rsidRPr="00E16A9D">
        <w:rPr>
          <w:lang w:eastAsia="zh-CN" w:bidi="th-TH"/>
        </w:rPr>
        <w:t>Baby Friendly Health Initiative</w:t>
      </w:r>
      <w:r>
        <w:rPr>
          <w:lang w:eastAsia="zh-CN" w:bidi="th-TH"/>
        </w:rPr>
        <w:t>.</w:t>
      </w:r>
      <w:r>
        <w:rPr>
          <w:lang w:eastAsia="zh-CN" w:bidi="th-TH"/>
        </w:rPr>
        <w:fldChar w:fldCharType="begin"/>
      </w:r>
      <w:r w:rsidR="00267BD0">
        <w:rPr>
          <w:lang w:eastAsia="zh-CN" w:bidi="th-TH"/>
        </w:rPr>
        <w:instrText xml:space="preserve"> ADDIN EN.CITE &lt;EndNote&gt;&lt;Cite&gt;&lt;Author&gt;Esbati&lt;/Author&gt;&lt;Year&gt;2019&lt;/Year&gt;&lt;RecNum&gt;197&lt;/RecNum&gt;&lt;DisplayText&gt;&lt;style face="superscript"&gt;25&lt;/style&gt;&lt;/DisplayText&gt;&lt;record&gt;&lt;rec-number&gt;197&lt;/rec-number&gt;&lt;foreign-keys&gt;&lt;key app="EN" db-id="ewrsr2203a2a0veserrv55dezzwsepr5psw2" timestamp="1663656154"&gt;197&lt;/key&gt;&lt;/foreign-keys&gt;&lt;ref-type name="Journal Article"&gt;17&lt;/ref-type&gt;&lt;contributors&gt;&lt;authors&gt;&lt;author&gt;Esbati, Anahita&lt;/author&gt;&lt;author&gt;Henderson, Amanda&lt;/author&gt;&lt;author&gt;Taylor, Jane&lt;/author&gt;&lt;author&gt;Barnes, Margaret&lt;/author&gt;&lt;/authors&gt;&lt;/contributors&gt;&lt;titles&gt;&lt;title&gt;The uptake and implementation of the Baby Friendly Health Initiative in Australia&lt;/title&gt;&lt;secondary-title&gt;Women and Birth&lt;/secondary-title&gt;&lt;/titles&gt;&lt;periodical&gt;&lt;full-title&gt;Women and Birth&lt;/full-title&gt;&lt;/periodical&gt;&lt;pages&gt;e323-e333&lt;/pages&gt;&lt;volume&gt;32&lt;/volume&gt;&lt;number&gt;3&lt;/number&gt;&lt;keywords&gt;&lt;keyword&gt;BFHI&lt;/keyword&gt;&lt;keyword&gt;Breastfeeding&lt;/keyword&gt;&lt;keyword&gt;Health practitioners&lt;/keyword&gt;&lt;keyword&gt;Maternity facilities&lt;/keyword&gt;&lt;keyword&gt;Organisational change&lt;/keyword&gt;&lt;/keywords&gt;&lt;dates&gt;&lt;year&gt;2019&lt;/year&gt;&lt;pub-dates&gt;&lt;date&gt;2019/06/01/&lt;/date&gt;&lt;/pub-dates&gt;&lt;/dates&gt;&lt;isbn&gt;1871-5192&lt;/isbn&gt;&lt;urls&gt;&lt;related-urls&gt;&lt;url&gt;https://www.sciencedirect.com/science/article/pii/S1871519218301239&lt;/url&gt;&lt;/related-urls&gt;&lt;/urls&gt;&lt;electronic-resource-num&gt;https://doi.org/10.1016/j.wombi.2018.07.023&lt;/electronic-resource-num&gt;&lt;/record&gt;&lt;/Cite&gt;&lt;/EndNote&gt;</w:instrText>
      </w:r>
      <w:r>
        <w:rPr>
          <w:lang w:eastAsia="zh-CN" w:bidi="th-TH"/>
        </w:rPr>
        <w:fldChar w:fldCharType="separate"/>
      </w:r>
      <w:r w:rsidR="00267BD0" w:rsidRPr="00267BD0">
        <w:rPr>
          <w:noProof/>
          <w:vertAlign w:val="superscript"/>
          <w:lang w:eastAsia="zh-CN" w:bidi="th-TH"/>
        </w:rPr>
        <w:t>25</w:t>
      </w:r>
      <w:r>
        <w:rPr>
          <w:lang w:eastAsia="zh-CN" w:bidi="th-TH"/>
        </w:rPr>
        <w:fldChar w:fldCharType="end"/>
      </w:r>
    </w:p>
    <w:p w14:paraId="77D596FB" w14:textId="1FA60C75" w:rsidR="00F9084E" w:rsidRDefault="00443C64" w:rsidP="00163BF1">
      <w:pPr>
        <w:spacing w:after="120"/>
        <w:rPr>
          <w:lang w:eastAsia="zh-CN" w:bidi="th-TH"/>
        </w:rPr>
      </w:pPr>
      <w:r>
        <w:rPr>
          <w:lang w:eastAsia="zh-CN" w:bidi="th-TH"/>
        </w:rPr>
        <w:t xml:space="preserve">Stakeholders largely commended the </w:t>
      </w:r>
      <w:r w:rsidRPr="0055146A">
        <w:rPr>
          <w:lang w:eastAsia="zh-CN" w:bidi="th-TH"/>
        </w:rPr>
        <w:t xml:space="preserve">shift </w:t>
      </w:r>
      <w:r>
        <w:rPr>
          <w:lang w:eastAsia="zh-CN" w:bidi="th-TH"/>
        </w:rPr>
        <w:t xml:space="preserve">in defining the postnatal period </w:t>
      </w:r>
      <w:r w:rsidRPr="0055146A">
        <w:rPr>
          <w:lang w:eastAsia="zh-CN" w:bidi="th-TH"/>
        </w:rPr>
        <w:t>from the first six weeks following pregnancy in the previous National Maternity Services Plan, to 12 months following birth in the current Strategy</w:t>
      </w:r>
      <w:r>
        <w:rPr>
          <w:lang w:eastAsia="zh-CN" w:bidi="th-TH"/>
        </w:rPr>
        <w:t>. However, stakeholders noted that c</w:t>
      </w:r>
      <w:r w:rsidRPr="0055146A">
        <w:rPr>
          <w:lang w:eastAsia="zh-CN" w:bidi="th-TH"/>
        </w:rPr>
        <w:t xml:space="preserve">urrent programs typically support women </w:t>
      </w:r>
      <w:r>
        <w:rPr>
          <w:lang w:eastAsia="zh-CN" w:bidi="th-TH"/>
        </w:rPr>
        <w:t xml:space="preserve">only </w:t>
      </w:r>
      <w:r w:rsidRPr="0055146A">
        <w:rPr>
          <w:lang w:eastAsia="zh-CN" w:bidi="th-TH"/>
        </w:rPr>
        <w:t xml:space="preserve">up to six weeks post-birth </w:t>
      </w:r>
      <w:r w:rsidRPr="00C24842">
        <w:rPr>
          <w:lang w:eastAsia="zh-CN" w:bidi="th-TH"/>
        </w:rPr>
        <w:t>and that in some cases resource constraints have resulted in a decrease in the number of home visits even within models that include home visits up to six weeks.</w:t>
      </w:r>
    </w:p>
    <w:p w14:paraId="724F54BD" w14:textId="6971D79F" w:rsidR="00163BF1" w:rsidRPr="00650204" w:rsidRDefault="00163BF1" w:rsidP="00163B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szCs w:val="22"/>
        </w:rPr>
      </w:pPr>
      <w:r w:rsidRPr="00650204">
        <w:rPr>
          <w:rFonts w:cstheme="minorHAnsi"/>
          <w:szCs w:val="22"/>
        </w:rPr>
        <w:t xml:space="preserve">An exception to this was continuity of carer across pregnancy and the early postnatal period provided by private midwives, which several </w:t>
      </w:r>
      <w:r>
        <w:rPr>
          <w:rFonts w:cstheme="minorHAnsi"/>
          <w:szCs w:val="22"/>
        </w:rPr>
        <w:t xml:space="preserve">stakeholders </w:t>
      </w:r>
      <w:r w:rsidRPr="00650204">
        <w:rPr>
          <w:rFonts w:cstheme="minorHAnsi"/>
          <w:szCs w:val="22"/>
        </w:rPr>
        <w:t xml:space="preserve">noted had increased since the Strategy was released. Private midwifery care was viewed by some as particularly well-aligned to the Strategy’s values and principles of choice, access and </w:t>
      </w:r>
      <w:r w:rsidRPr="00650204">
        <w:rPr>
          <w:rFonts w:ascii="Calibri" w:hAnsi="Calibri" w:cs="Calibri"/>
          <w:color w:val="000000"/>
          <w:szCs w:val="22"/>
        </w:rPr>
        <w:t>respectful communication with women, and because interdisciplinary connections underpin the collaborative arrangements required at an operational level.</w:t>
      </w:r>
    </w:p>
    <w:p w14:paraId="11AED6ED" w14:textId="01EA49CF" w:rsidR="00443C64" w:rsidRDefault="00163BF1" w:rsidP="00163BF1">
      <w:pPr>
        <w:spacing w:after="120"/>
        <w:rPr>
          <w:rFonts w:cstheme="minorHAnsi"/>
          <w:szCs w:val="22"/>
        </w:rPr>
      </w:pPr>
      <w:r>
        <w:rPr>
          <w:lang w:eastAsia="zh-CN" w:bidi="th-TH"/>
        </w:rPr>
        <w:t>P</w:t>
      </w:r>
      <w:r w:rsidR="00443C64">
        <w:rPr>
          <w:lang w:eastAsia="zh-CN" w:bidi="th-TH"/>
        </w:rPr>
        <w:t>rograms that support women from early in their pregnancy up until their child is two years of age</w:t>
      </w:r>
      <w:r>
        <w:rPr>
          <w:lang w:eastAsia="zh-CN" w:bidi="th-TH"/>
        </w:rPr>
        <w:t xml:space="preserve"> were also identified. These included the </w:t>
      </w:r>
      <w:r w:rsidR="00443C64" w:rsidRPr="00650204">
        <w:rPr>
          <w:rFonts w:cstheme="minorHAnsi"/>
          <w:b/>
          <w:szCs w:val="22"/>
        </w:rPr>
        <w:t>Sustaining NSW Families program</w:t>
      </w:r>
      <w:r w:rsidR="00443C64" w:rsidRPr="00650204">
        <w:rPr>
          <w:rFonts w:cstheme="minorHAnsi"/>
          <w:szCs w:val="22"/>
        </w:rPr>
        <w:t xml:space="preserve"> in NSW,</w:t>
      </w:r>
      <w:r w:rsidR="00443C64">
        <w:rPr>
          <w:rFonts w:cstheme="minorHAnsi"/>
          <w:szCs w:val="22"/>
        </w:rPr>
        <w:fldChar w:fldCharType="begin"/>
      </w:r>
      <w:r w:rsidR="00267BD0">
        <w:rPr>
          <w:rFonts w:cstheme="minorHAnsi"/>
          <w:szCs w:val="22"/>
        </w:rPr>
        <w:instrText xml:space="preserve"> ADDIN EN.CITE &lt;EndNote&gt;&lt;Cite&gt;&lt;Author&gt;NSW Health&lt;/Author&gt;&lt;Year&gt;2019&lt;/Year&gt;&lt;RecNum&gt;138&lt;/RecNum&gt;&lt;DisplayText&gt;&lt;style face="superscript"&gt;26&lt;/style&gt;&lt;/DisplayText&gt;&lt;record&gt;&lt;rec-number&gt;138&lt;/rec-number&gt;&lt;foreign-keys&gt;&lt;key app="EN" db-id="wpvfpf90szpzwse02epvd9rkrfpvwtrszrv0" timestamp="1666158530"&gt;138&lt;/key&gt;&lt;/foreign-keys&gt;&lt;ref-type name="Web Page"&gt;12&lt;/ref-type&gt;&lt;contributors&gt;&lt;authors&gt;&lt;author&gt;NSW Health,&lt;/author&gt;&lt;/authors&gt;&lt;/contributors&gt;&lt;titles&gt;&lt;title&gt;Sustaining NSW Families program&lt;/title&gt;&lt;/titles&gt;&lt;dates&gt;&lt;year&gt;2019&lt;/year&gt;&lt;/dates&gt;&lt;urls&gt;&lt;related-urls&gt;&lt;url&gt;https://www.health.nsw.gov.au/kidsfamilies/MCFhealth/Pages/snf-program.aspx&lt;/url&gt;&lt;/related-urls&gt;&lt;/urls&gt;&lt;/record&gt;&lt;/Cite&gt;&lt;/EndNote&gt;</w:instrText>
      </w:r>
      <w:r w:rsidR="00443C64">
        <w:rPr>
          <w:rFonts w:cstheme="minorHAnsi"/>
          <w:szCs w:val="22"/>
        </w:rPr>
        <w:fldChar w:fldCharType="separate"/>
      </w:r>
      <w:r w:rsidR="00267BD0" w:rsidRPr="00267BD0">
        <w:rPr>
          <w:rFonts w:cstheme="minorHAnsi"/>
          <w:noProof/>
          <w:szCs w:val="22"/>
          <w:vertAlign w:val="superscript"/>
        </w:rPr>
        <w:t>26</w:t>
      </w:r>
      <w:r w:rsidR="00443C64">
        <w:rPr>
          <w:rFonts w:cstheme="minorHAnsi"/>
          <w:szCs w:val="22"/>
        </w:rPr>
        <w:fldChar w:fldCharType="end"/>
      </w:r>
      <w:r w:rsidR="00443C64" w:rsidRPr="00650204">
        <w:rPr>
          <w:rFonts w:cstheme="minorHAnsi"/>
          <w:szCs w:val="22"/>
        </w:rPr>
        <w:t xml:space="preserve"> and the </w:t>
      </w:r>
      <w:r w:rsidR="00443C64" w:rsidRPr="00650204">
        <w:rPr>
          <w:rFonts w:cstheme="minorHAnsi"/>
          <w:b/>
          <w:szCs w:val="22"/>
          <w:shd w:val="clear" w:color="auto" w:fill="FFFFFF"/>
        </w:rPr>
        <w:t>Australian Nurse-Family Partnership Program</w:t>
      </w:r>
      <w:r w:rsidR="00443C64">
        <w:rPr>
          <w:rFonts w:cstheme="minorHAnsi"/>
          <w:bCs/>
          <w:szCs w:val="22"/>
          <w:shd w:val="clear" w:color="auto" w:fill="FFFFFF"/>
        </w:rPr>
        <w:t xml:space="preserve">, a </w:t>
      </w:r>
      <w:r w:rsidR="00443C64" w:rsidRPr="008410B6">
        <w:rPr>
          <w:rFonts w:cstheme="minorHAnsi"/>
          <w:szCs w:val="22"/>
        </w:rPr>
        <w:t>nurse-led home visiting program that supports women pregnant with an Aboriginal and/or Torres Strait Islander child.</w:t>
      </w:r>
      <w:r w:rsidR="00443C64">
        <w:rPr>
          <w:rFonts w:cstheme="minorHAnsi"/>
          <w:szCs w:val="22"/>
        </w:rPr>
        <w:fldChar w:fldCharType="begin"/>
      </w:r>
      <w:r w:rsidR="00267BD0">
        <w:rPr>
          <w:rFonts w:cstheme="minorHAnsi"/>
          <w:szCs w:val="22"/>
        </w:rPr>
        <w:instrText xml:space="preserve"> ADDIN EN.CITE &lt;EndNote&gt;&lt;Cite&gt;&lt;Author&gt;Australian Nurse-Family Partnership Program National Support Service&lt;/Author&gt;&lt;Year&gt;2022&lt;/Year&gt;&lt;RecNum&gt;139&lt;/RecNum&gt;&lt;DisplayText&gt;&lt;style face="superscript"&gt;27&lt;/style&gt;&lt;/DisplayText&gt;&lt;record&gt;&lt;rec-number&gt;139&lt;/rec-number&gt;&lt;foreign-keys&gt;&lt;key app="EN" db-id="wpvfpf90szpzwse02epvd9rkrfpvwtrszrv0" timestamp="1666159091"&gt;139&lt;/key&gt;&lt;/foreign-keys&gt;&lt;ref-type name="Web Page"&gt;12&lt;/ref-type&gt;&lt;contributors&gt;&lt;authors&gt;&lt;author&gt;Australian Nurse-Family Partnership Program National Support Service,&lt;/author&gt;&lt;/authors&gt;&lt;/contributors&gt;&lt;titles&gt;&lt;title&gt;Australian Nurse-Family Partnership Program&lt;/title&gt;&lt;/titles&gt;&lt;dates&gt;&lt;year&gt;2022&lt;/year&gt;&lt;/dates&gt;&lt;urls&gt;&lt;related-urls&gt;&lt;url&gt;https://www.anfpp.com.au/&lt;/url&gt;&lt;/related-urls&gt;&lt;/urls&gt;&lt;/record&gt;&lt;/Cite&gt;&lt;/EndNote&gt;</w:instrText>
      </w:r>
      <w:r w:rsidR="00443C64">
        <w:rPr>
          <w:rFonts w:cstheme="minorHAnsi"/>
          <w:szCs w:val="22"/>
        </w:rPr>
        <w:fldChar w:fldCharType="separate"/>
      </w:r>
      <w:r w:rsidR="00267BD0" w:rsidRPr="00267BD0">
        <w:rPr>
          <w:rFonts w:cstheme="minorHAnsi"/>
          <w:noProof/>
          <w:szCs w:val="22"/>
          <w:vertAlign w:val="superscript"/>
        </w:rPr>
        <w:t>27</w:t>
      </w:r>
      <w:r w:rsidR="00443C64">
        <w:rPr>
          <w:rFonts w:cstheme="minorHAnsi"/>
          <w:szCs w:val="22"/>
        </w:rPr>
        <w:fldChar w:fldCharType="end"/>
      </w:r>
      <w:r w:rsidR="00443C64">
        <w:rPr>
          <w:rFonts w:cstheme="minorHAnsi"/>
          <w:szCs w:val="22"/>
        </w:rPr>
        <w:t xml:space="preserve"> Both these programs were well-established before the Strategy was released.</w:t>
      </w:r>
    </w:p>
    <w:bookmarkEnd w:id="275"/>
    <w:p w14:paraId="7B780BE6" w14:textId="6A60A5B9" w:rsidR="00443C64" w:rsidRDefault="00FE0E5F" w:rsidP="00443C64">
      <w:pPr>
        <w:pStyle w:val="Heading3"/>
        <w:ind w:left="709" w:hanging="709"/>
      </w:pPr>
      <w:r>
        <w:lastRenderedPageBreak/>
        <w:t>Next steps</w:t>
      </w:r>
    </w:p>
    <w:p w14:paraId="3BDE7B4F" w14:textId="77777777" w:rsidR="00853C7E" w:rsidRDefault="00853C7E" w:rsidP="00853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Cs w:val="22"/>
        </w:rPr>
      </w:pPr>
      <w:r>
        <w:rPr>
          <w:rFonts w:cstheme="minorHAnsi"/>
          <w:szCs w:val="22"/>
        </w:rPr>
        <w:t>Stakeholders identified various issues that require attention if access to postnatal care is to be improved:</w:t>
      </w:r>
    </w:p>
    <w:p w14:paraId="612D575F" w14:textId="358BF27C" w:rsidR="00853C7E" w:rsidRDefault="00853C7E" w:rsidP="003A4C93">
      <w:pPr>
        <w:pStyle w:val="Bullets"/>
        <w:numPr>
          <w:ilvl w:val="0"/>
          <w:numId w:val="10"/>
        </w:numPr>
        <w:rPr>
          <w:lang w:eastAsia="zh-CN"/>
        </w:rPr>
      </w:pPr>
      <w:r w:rsidRPr="004E4137">
        <w:rPr>
          <w:lang w:eastAsia="zh-CN"/>
        </w:rPr>
        <w:t xml:space="preserve">Workforce constraints, exacerbated by the </w:t>
      </w:r>
      <w:r w:rsidR="008F1C67">
        <w:rPr>
          <w:lang w:eastAsia="zh-CN"/>
        </w:rPr>
        <w:t xml:space="preserve">COVID-19 </w:t>
      </w:r>
      <w:r w:rsidRPr="004E4137">
        <w:rPr>
          <w:lang w:eastAsia="zh-CN"/>
        </w:rPr>
        <w:t>pandemic, were seen as the major limiting factor for improving access to postnatal care</w:t>
      </w:r>
      <w:r>
        <w:rPr>
          <w:lang w:eastAsia="zh-CN"/>
        </w:rPr>
        <w:t>.</w:t>
      </w:r>
    </w:p>
    <w:p w14:paraId="237DB0E7" w14:textId="77777777" w:rsidR="00853C7E" w:rsidRPr="00034B0D" w:rsidRDefault="00853C7E" w:rsidP="003A4C93">
      <w:pPr>
        <w:pStyle w:val="Bullets"/>
        <w:numPr>
          <w:ilvl w:val="0"/>
          <w:numId w:val="10"/>
        </w:numPr>
      </w:pPr>
      <w:r w:rsidRPr="00034B0D">
        <w:t>Inadequate resourcing of postnatal care</w:t>
      </w:r>
      <w:r>
        <w:t>.</w:t>
      </w:r>
    </w:p>
    <w:p w14:paraId="27F85C25" w14:textId="4038AD09" w:rsidR="00853C7E" w:rsidRPr="00034B0D" w:rsidRDefault="00853C7E" w:rsidP="003A4C93">
      <w:pPr>
        <w:pStyle w:val="Bullets"/>
        <w:numPr>
          <w:ilvl w:val="0"/>
          <w:numId w:val="10"/>
        </w:numPr>
      </w:pPr>
      <w:r w:rsidRPr="00034B0D">
        <w:t>The current definition of ‘unqualified neonates’ and the implications of this for funding arrangements and staffing on maternity wards. It was noted that the Independent Hospital Pricing Authority is intending to investigate the appropriateness of the current funding model in accounting for unqualified newborns.</w:t>
      </w:r>
    </w:p>
    <w:p w14:paraId="7DF3C331" w14:textId="1720260C" w:rsidR="00853C7E" w:rsidRDefault="00853C7E" w:rsidP="003A4C93">
      <w:pPr>
        <w:pStyle w:val="Bullets"/>
        <w:numPr>
          <w:ilvl w:val="0"/>
          <w:numId w:val="10"/>
        </w:numPr>
        <w:rPr>
          <w:lang w:eastAsia="zh-CN"/>
        </w:rPr>
      </w:pPr>
      <w:r w:rsidRPr="00650204">
        <w:t>The paucity of reporting on health outcomes for women across the first postnatal year</w:t>
      </w:r>
      <w:r>
        <w:t>.</w:t>
      </w:r>
      <w:r w:rsidR="00473435">
        <w:t xml:space="preserve"> </w:t>
      </w:r>
      <w:r w:rsidR="00C765BE">
        <w:t>Postnatal care is fragmented, in terms of funding models, information systems, stakeholders and data collection activities. This fragmentation was seen to present particular challenges for clinical information to be made available for data collating and reporting purposes.</w:t>
      </w:r>
    </w:p>
    <w:p w14:paraId="6670F28D" w14:textId="77777777" w:rsidR="001349D1" w:rsidRDefault="001349D1" w:rsidP="001349D1">
      <w:pPr>
        <w:pStyle w:val="Bullets"/>
        <w:numPr>
          <w:ilvl w:val="0"/>
          <w:numId w:val="10"/>
        </w:numPr>
        <w:rPr>
          <w:lang w:eastAsia="zh-CN"/>
        </w:rPr>
      </w:pPr>
      <w:r>
        <w:rPr>
          <w:lang w:eastAsia="zh-CN"/>
        </w:rPr>
        <w:t>T</w:t>
      </w:r>
      <w:r w:rsidRPr="00D16245">
        <w:rPr>
          <w:lang w:eastAsia="zh-CN"/>
        </w:rPr>
        <w:t xml:space="preserve">he </w:t>
      </w:r>
      <w:r>
        <w:rPr>
          <w:lang w:eastAsia="zh-CN"/>
        </w:rPr>
        <w:t xml:space="preserve">absence of </w:t>
      </w:r>
      <w:r w:rsidRPr="00D16245">
        <w:rPr>
          <w:lang w:eastAsia="zh-CN"/>
        </w:rPr>
        <w:t xml:space="preserve">national evidence-based guidelines for postnatal care. </w:t>
      </w:r>
      <w:r>
        <w:rPr>
          <w:lang w:eastAsia="zh-CN"/>
        </w:rPr>
        <w:t xml:space="preserve">Some stakeholders </w:t>
      </w:r>
      <w:r w:rsidRPr="00D16245">
        <w:rPr>
          <w:lang w:eastAsia="zh-CN"/>
        </w:rPr>
        <w:t xml:space="preserve">were aware that the government had committed to developing </w:t>
      </w:r>
      <w:r>
        <w:rPr>
          <w:lang w:eastAsia="zh-CN"/>
        </w:rPr>
        <w:t xml:space="preserve">such </w:t>
      </w:r>
      <w:r w:rsidRPr="00D16245">
        <w:rPr>
          <w:lang w:eastAsia="zh-CN"/>
        </w:rPr>
        <w:t xml:space="preserve">guidelines </w:t>
      </w:r>
      <w:r>
        <w:rPr>
          <w:lang w:eastAsia="zh-CN"/>
        </w:rPr>
        <w:t xml:space="preserve">but </w:t>
      </w:r>
      <w:r w:rsidRPr="00D16245">
        <w:rPr>
          <w:lang w:eastAsia="zh-CN"/>
        </w:rPr>
        <w:t xml:space="preserve">were not aware of any progress towards </w:t>
      </w:r>
      <w:r>
        <w:rPr>
          <w:lang w:eastAsia="zh-CN"/>
        </w:rPr>
        <w:t xml:space="preserve">achieving </w:t>
      </w:r>
      <w:r w:rsidRPr="00D16245">
        <w:rPr>
          <w:lang w:eastAsia="zh-CN"/>
        </w:rPr>
        <w:t>this goal.</w:t>
      </w:r>
    </w:p>
    <w:p w14:paraId="4CC8431C" w14:textId="5507267D" w:rsidR="00853C7E" w:rsidRDefault="00853C7E" w:rsidP="003A4C93">
      <w:pPr>
        <w:pStyle w:val="Bullets"/>
        <w:numPr>
          <w:ilvl w:val="0"/>
          <w:numId w:val="10"/>
        </w:numPr>
        <w:rPr>
          <w:lang w:eastAsia="zh-CN"/>
        </w:rPr>
      </w:pPr>
      <w:r>
        <w:rPr>
          <w:lang w:eastAsia="zh-CN"/>
        </w:rPr>
        <w:t xml:space="preserve">The need for greater focus on ensuring the </w:t>
      </w:r>
      <w:r w:rsidRPr="00D41C4E">
        <w:rPr>
          <w:lang w:eastAsia="zh-CN"/>
        </w:rPr>
        <w:t>National Breastfeeding Strategy</w:t>
      </w:r>
      <w:r>
        <w:rPr>
          <w:lang w:eastAsia="zh-CN"/>
        </w:rPr>
        <w:t xml:space="preserve"> is fully implemented.</w:t>
      </w:r>
      <w:r w:rsidRPr="00163BF1">
        <w:rPr>
          <w:lang w:eastAsia="zh-CN" w:bidi="th-TH"/>
        </w:rPr>
        <w:t xml:space="preserve"> </w:t>
      </w:r>
      <w:r>
        <w:rPr>
          <w:lang w:eastAsia="zh-CN" w:bidi="th-TH"/>
        </w:rPr>
        <w:t>A b</w:t>
      </w:r>
      <w:r w:rsidRPr="00F51CAE">
        <w:rPr>
          <w:lang w:eastAsia="zh-CN" w:bidi="th-TH"/>
        </w:rPr>
        <w:t xml:space="preserve">aseline evaluation </w:t>
      </w:r>
      <w:r>
        <w:rPr>
          <w:lang w:eastAsia="zh-CN" w:bidi="th-TH"/>
        </w:rPr>
        <w:t xml:space="preserve">of the </w:t>
      </w:r>
      <w:r w:rsidRPr="00CA26E2">
        <w:rPr>
          <w:lang w:eastAsia="zh-CN" w:bidi="th-TH"/>
        </w:rPr>
        <w:t xml:space="preserve">National Breastfeeding Strategy </w:t>
      </w:r>
      <w:r>
        <w:rPr>
          <w:lang w:eastAsia="zh-CN" w:bidi="th-TH"/>
        </w:rPr>
        <w:t>was s</w:t>
      </w:r>
      <w:r w:rsidRPr="00F51CAE">
        <w:rPr>
          <w:lang w:eastAsia="zh-CN" w:bidi="th-TH"/>
        </w:rPr>
        <w:t xml:space="preserve">cheduled </w:t>
      </w:r>
      <w:r>
        <w:rPr>
          <w:lang w:eastAsia="zh-CN" w:bidi="th-TH"/>
        </w:rPr>
        <w:t xml:space="preserve">for </w:t>
      </w:r>
      <w:r w:rsidRPr="00F51CAE">
        <w:rPr>
          <w:lang w:eastAsia="zh-CN" w:bidi="th-TH"/>
        </w:rPr>
        <w:t xml:space="preserve">2020 </w:t>
      </w:r>
      <w:r>
        <w:rPr>
          <w:lang w:eastAsia="zh-CN" w:bidi="th-TH"/>
        </w:rPr>
        <w:t xml:space="preserve">but </w:t>
      </w:r>
      <w:r w:rsidR="00AF2349">
        <w:rPr>
          <w:lang w:eastAsia="zh-CN" w:bidi="th-TH"/>
        </w:rPr>
        <w:t>wa</w:t>
      </w:r>
      <w:r>
        <w:rPr>
          <w:lang w:eastAsia="zh-CN" w:bidi="th-TH"/>
        </w:rPr>
        <w:t xml:space="preserve">s </w:t>
      </w:r>
      <w:r w:rsidRPr="00F51CAE">
        <w:rPr>
          <w:lang w:eastAsia="zh-CN" w:bidi="th-TH"/>
        </w:rPr>
        <w:t>not available at the time of writing</w:t>
      </w:r>
      <w:r>
        <w:rPr>
          <w:lang w:eastAsia="zh-CN" w:bidi="th-TH"/>
        </w:rPr>
        <w:t xml:space="preserve">. Ongoing evaluation </w:t>
      </w:r>
      <w:r w:rsidR="00AF2349">
        <w:rPr>
          <w:lang w:eastAsia="zh-CN" w:bidi="th-TH"/>
        </w:rPr>
        <w:t>will include</w:t>
      </w:r>
      <w:r>
        <w:rPr>
          <w:lang w:eastAsia="zh-CN" w:bidi="th-TH"/>
        </w:rPr>
        <w:t xml:space="preserve"> </w:t>
      </w:r>
      <w:r w:rsidRPr="00F51CAE">
        <w:rPr>
          <w:lang w:eastAsia="zh-CN" w:bidi="th-TH"/>
        </w:rPr>
        <w:t>annual report cards</w:t>
      </w:r>
      <w:r>
        <w:rPr>
          <w:lang w:eastAsia="zh-CN" w:bidi="th-TH"/>
        </w:rPr>
        <w:t xml:space="preserve">, a </w:t>
      </w:r>
      <w:r w:rsidRPr="00F51CAE">
        <w:rPr>
          <w:lang w:eastAsia="zh-CN" w:bidi="th-TH"/>
        </w:rPr>
        <w:t xml:space="preserve">mid-term evaluation scheduled </w:t>
      </w:r>
      <w:r>
        <w:rPr>
          <w:lang w:eastAsia="zh-CN" w:bidi="th-TH"/>
        </w:rPr>
        <w:t xml:space="preserve">for </w:t>
      </w:r>
      <w:r w:rsidRPr="00F51CAE">
        <w:rPr>
          <w:lang w:eastAsia="zh-CN" w:bidi="th-TH"/>
        </w:rPr>
        <w:t>2024-25</w:t>
      </w:r>
      <w:r>
        <w:rPr>
          <w:lang w:eastAsia="zh-CN" w:bidi="th-TH"/>
        </w:rPr>
        <w:t xml:space="preserve"> and a </w:t>
      </w:r>
      <w:r w:rsidRPr="00F51CAE">
        <w:rPr>
          <w:lang w:eastAsia="zh-CN" w:bidi="th-TH"/>
        </w:rPr>
        <w:t xml:space="preserve">final evaluation scheduled </w:t>
      </w:r>
      <w:r>
        <w:rPr>
          <w:lang w:eastAsia="zh-CN" w:bidi="th-TH"/>
        </w:rPr>
        <w:t xml:space="preserve">for </w:t>
      </w:r>
      <w:r w:rsidRPr="00F51CAE">
        <w:rPr>
          <w:lang w:eastAsia="zh-CN" w:bidi="th-TH"/>
        </w:rPr>
        <w:t>2029-30</w:t>
      </w:r>
      <w:r>
        <w:rPr>
          <w:lang w:eastAsia="zh-CN" w:bidi="th-TH"/>
        </w:rPr>
        <w:t>.</w:t>
      </w:r>
      <w:r>
        <w:rPr>
          <w:lang w:eastAsia="zh-CN" w:bidi="th-TH"/>
        </w:rPr>
        <w:fldChar w:fldCharType="begin"/>
      </w:r>
      <w:r w:rsidR="00F66EC6">
        <w:rPr>
          <w:lang w:eastAsia="zh-CN" w:bidi="th-TH"/>
        </w:rPr>
        <w:instrText xml:space="preserve"> ADDIN EN.CITE &lt;EndNote&gt;&lt;Cite&gt;&lt;Author&gt;COAG Health Council&lt;/Author&gt;&lt;Year&gt;2019&lt;/Year&gt;&lt;RecNum&gt;196&lt;/RecNum&gt;&lt;DisplayText&gt;&lt;style face="superscript"&gt;15&lt;/style&gt;&lt;/DisplayText&gt;&lt;record&gt;&lt;rec-number&gt;196&lt;/rec-number&gt;&lt;foreign-keys&gt;&lt;key app="EN" db-id="ewrsr2203a2a0veserrv55dezzwsepr5psw2" timestamp="1663656154"&gt;196&lt;/key&gt;&lt;/foreign-keys&gt;&lt;ref-type name="Report"&gt;27&lt;/ref-type&gt;&lt;contributors&gt;&lt;authors&gt;&lt;author&gt;COAG Health Council,&lt;/author&gt;&lt;/authors&gt;&lt;/contributors&gt;&lt;titles&gt;&lt;title&gt;The Australian National Breastfeeding Strategy: 2019 and Beyond&lt;/title&gt;&lt;/titles&gt;&lt;dates&gt;&lt;year&gt;2019&lt;/year&gt;&lt;/dates&gt;&lt;pub-location&gt;Canberra&lt;/pub-location&gt;&lt;publisher&gt;Department of Health&lt;/publisher&gt;&lt;urls&gt;&lt;/urls&gt;&lt;/record&gt;&lt;/Cite&gt;&lt;/EndNote&gt;</w:instrText>
      </w:r>
      <w:r>
        <w:rPr>
          <w:lang w:eastAsia="zh-CN" w:bidi="th-TH"/>
        </w:rPr>
        <w:fldChar w:fldCharType="separate"/>
      </w:r>
      <w:r w:rsidR="00F66EC6" w:rsidRPr="00F66EC6">
        <w:rPr>
          <w:noProof/>
          <w:vertAlign w:val="superscript"/>
          <w:lang w:eastAsia="zh-CN" w:bidi="th-TH"/>
        </w:rPr>
        <w:t>15</w:t>
      </w:r>
      <w:r>
        <w:rPr>
          <w:lang w:eastAsia="zh-CN" w:bidi="th-TH"/>
        </w:rPr>
        <w:fldChar w:fldCharType="end"/>
      </w:r>
    </w:p>
    <w:p w14:paraId="39C36BA1" w14:textId="77777777" w:rsidR="00853C7E" w:rsidRDefault="00853C7E" w:rsidP="003A4C93">
      <w:pPr>
        <w:pStyle w:val="Bullets"/>
        <w:numPr>
          <w:ilvl w:val="0"/>
          <w:numId w:val="10"/>
        </w:numPr>
        <w:rPr>
          <w:lang w:eastAsia="zh-CN"/>
        </w:rPr>
      </w:pPr>
      <w:r>
        <w:rPr>
          <w:lang w:eastAsia="zh-CN"/>
        </w:rPr>
        <w:t>There needs to be n</w:t>
      </w:r>
      <w:r w:rsidRPr="004E4137">
        <w:rPr>
          <w:lang w:eastAsia="zh-CN"/>
        </w:rPr>
        <w:t xml:space="preserve">ational agreement on </w:t>
      </w:r>
      <w:r>
        <w:rPr>
          <w:lang w:eastAsia="zh-CN"/>
        </w:rPr>
        <w:t xml:space="preserve">the </w:t>
      </w:r>
      <w:r w:rsidRPr="004E4137">
        <w:rPr>
          <w:lang w:eastAsia="zh-CN"/>
        </w:rPr>
        <w:t>qualifications required for practitioners in the maternal, child and family health space as these currently vary across jurisdictions. Stakeholders felt that changes to training and qualification requirements were needed to prepare the workforce for the complexities of delivering postpartum care.</w:t>
      </w:r>
    </w:p>
    <w:p w14:paraId="1904CCE4" w14:textId="24DEEDC6" w:rsidR="00853C7E" w:rsidRPr="00C87333" w:rsidRDefault="00C87333" w:rsidP="003A4C93">
      <w:pPr>
        <w:pStyle w:val="Bullets"/>
        <w:numPr>
          <w:ilvl w:val="0"/>
          <w:numId w:val="10"/>
        </w:numPr>
        <w:rPr>
          <w:szCs w:val="22"/>
          <w:lang w:eastAsia="zh-CN"/>
        </w:rPr>
      </w:pPr>
      <w:r>
        <w:rPr>
          <w:lang w:eastAsia="zh-CN"/>
        </w:rPr>
        <w:t>Stakeholders felt that c</w:t>
      </w:r>
      <w:r w:rsidR="00853C7E">
        <w:rPr>
          <w:lang w:eastAsia="zh-CN"/>
        </w:rPr>
        <w:t xml:space="preserve">hanging the definition of the postnatal period from 6 </w:t>
      </w:r>
      <w:r w:rsidR="00853C7E" w:rsidRPr="00D41C4E">
        <w:rPr>
          <w:lang w:eastAsia="zh-CN"/>
        </w:rPr>
        <w:t xml:space="preserve">weeks to </w:t>
      </w:r>
      <w:r w:rsidR="00853C7E">
        <w:rPr>
          <w:lang w:eastAsia="zh-CN"/>
        </w:rPr>
        <w:t xml:space="preserve">12 </w:t>
      </w:r>
      <w:r w:rsidR="00853C7E" w:rsidRPr="00D41C4E">
        <w:rPr>
          <w:lang w:eastAsia="zh-CN"/>
        </w:rPr>
        <w:t xml:space="preserve">months will require changes </w:t>
      </w:r>
      <w:r w:rsidR="00853C7E">
        <w:rPr>
          <w:lang w:eastAsia="zh-CN"/>
        </w:rPr>
        <w:t xml:space="preserve">to </w:t>
      </w:r>
      <w:r w:rsidR="00853C7E" w:rsidRPr="00D41C4E">
        <w:rPr>
          <w:lang w:eastAsia="zh-CN"/>
        </w:rPr>
        <w:t>the training of midwives and maternal and child health nurses and an ex</w:t>
      </w:r>
      <w:r w:rsidR="00853C7E">
        <w:rPr>
          <w:lang w:eastAsia="zh-CN"/>
        </w:rPr>
        <w:t xml:space="preserve">tension </w:t>
      </w:r>
      <w:r w:rsidR="00853C7E" w:rsidRPr="00D41C4E">
        <w:rPr>
          <w:lang w:eastAsia="zh-CN"/>
        </w:rPr>
        <w:t xml:space="preserve">of </w:t>
      </w:r>
      <w:r w:rsidR="00853C7E">
        <w:rPr>
          <w:lang w:eastAsia="zh-CN"/>
        </w:rPr>
        <w:t>midwifery practice to 12 months</w:t>
      </w:r>
      <w:r>
        <w:rPr>
          <w:lang w:eastAsia="zh-CN"/>
        </w:rPr>
        <w:t xml:space="preserve">. </w:t>
      </w:r>
      <w:r w:rsidRPr="00C87333">
        <w:rPr>
          <w:rFonts w:cstheme="minorHAnsi"/>
          <w:szCs w:val="22"/>
        </w:rPr>
        <w:t>In some jurisdictions, postnatal care over this extended period is already provided by midwives through a combination of hospital and Mat</w:t>
      </w:r>
      <w:r>
        <w:rPr>
          <w:rFonts w:cstheme="minorHAnsi"/>
          <w:szCs w:val="22"/>
        </w:rPr>
        <w:t>ernal and Child Health services. The</w:t>
      </w:r>
      <w:r w:rsidRPr="00C87333">
        <w:rPr>
          <w:rFonts w:cstheme="minorHAnsi"/>
          <w:szCs w:val="22"/>
        </w:rPr>
        <w:t xml:space="preserve"> need for improved continuity of care and better integration of systems in this context was also noted</w:t>
      </w:r>
      <w:r>
        <w:rPr>
          <w:szCs w:val="22"/>
          <w:lang w:eastAsia="zh-CN"/>
        </w:rPr>
        <w:t>.</w:t>
      </w:r>
    </w:p>
    <w:p w14:paraId="683512A7" w14:textId="77777777" w:rsidR="00853C7E" w:rsidRDefault="00853C7E" w:rsidP="003A4C93">
      <w:pPr>
        <w:pStyle w:val="Bullets"/>
        <w:numPr>
          <w:ilvl w:val="0"/>
          <w:numId w:val="10"/>
        </w:numPr>
        <w:rPr>
          <w:lang w:eastAsia="zh-CN"/>
        </w:rPr>
      </w:pPr>
      <w:r>
        <w:rPr>
          <w:lang w:eastAsia="zh-CN"/>
        </w:rPr>
        <w:t>T</w:t>
      </w:r>
      <w:r w:rsidRPr="00D41C4E">
        <w:rPr>
          <w:lang w:eastAsia="zh-CN"/>
        </w:rPr>
        <w:t xml:space="preserve">he capacity </w:t>
      </w:r>
      <w:r>
        <w:rPr>
          <w:lang w:eastAsia="zh-CN"/>
        </w:rPr>
        <w:t xml:space="preserve">of current </w:t>
      </w:r>
      <w:r w:rsidRPr="00D41C4E">
        <w:rPr>
          <w:lang w:eastAsia="zh-CN"/>
        </w:rPr>
        <w:t xml:space="preserve">services to meet the needs of women in a streamlined way across </w:t>
      </w:r>
      <w:r>
        <w:rPr>
          <w:lang w:eastAsia="zh-CN"/>
        </w:rPr>
        <w:t>a postnatal period extended to 12 months</w:t>
      </w:r>
      <w:r w:rsidRPr="00D41C4E">
        <w:rPr>
          <w:lang w:eastAsia="zh-CN"/>
        </w:rPr>
        <w:t>.</w:t>
      </w:r>
    </w:p>
    <w:p w14:paraId="476D7389" w14:textId="77426028" w:rsidR="00443C64" w:rsidRDefault="00443C64" w:rsidP="00443C64">
      <w:pPr>
        <w:rPr>
          <w:lang w:eastAsia="zh-CN" w:bidi="th-TH"/>
        </w:rPr>
      </w:pPr>
      <w:r>
        <w:t xml:space="preserve">For access to postnatal care to be monitored and evaluated there needs to be a good understanding </w:t>
      </w:r>
      <w:r w:rsidR="00BE4E4A">
        <w:t xml:space="preserve">of </w:t>
      </w:r>
      <w:r>
        <w:t xml:space="preserve">what is meant by ‘access’. </w:t>
      </w:r>
      <w:r>
        <w:rPr>
          <w:lang w:eastAsia="zh-CN" w:bidi="th-TH"/>
        </w:rPr>
        <w:t xml:space="preserve">Arguably the most influential conceptualisation </w:t>
      </w:r>
      <w:r w:rsidR="00AF2349">
        <w:rPr>
          <w:lang w:eastAsia="zh-CN" w:bidi="th-TH"/>
        </w:rPr>
        <w:t xml:space="preserve">or model </w:t>
      </w:r>
      <w:r>
        <w:rPr>
          <w:lang w:eastAsia="zh-CN" w:bidi="th-TH"/>
        </w:rPr>
        <w:t>of access, including access to maternity services,</w:t>
      </w:r>
      <w:r>
        <w:rPr>
          <w:lang w:eastAsia="zh-CN" w:bidi="th-TH"/>
        </w:rPr>
        <w:fldChar w:fldCharType="begin">
          <w:fldData xml:space="preserve">PEVuZE5vdGU+PENpdGU+PEF1dGhvcj5CbGFpcjwvQXV0aG9yPjxZZWFyPjIwMjI8L1llYXI+PFJl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=
</w:fldData>
        </w:fldChar>
      </w:r>
      <w:r w:rsidR="00267BD0">
        <w:rPr>
          <w:lang w:eastAsia="zh-CN" w:bidi="th-TH"/>
        </w:rPr>
        <w:instrText xml:space="preserve"> ADDIN EN.CITE </w:instrText>
      </w:r>
      <w:r w:rsidR="00267BD0">
        <w:rPr>
          <w:lang w:eastAsia="zh-CN" w:bidi="th-TH"/>
        </w:rPr>
        <w:fldChar w:fldCharType="begin">
          <w:fldData xml:space="preserve">PEVuZE5vdGU+PENpdGU+PEF1dGhvcj5CbGFpcjwvQXV0aG9yPjxZZWFyPjIwMjI8L1llYXI+PFJl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=
</w:fldData>
        </w:fldChar>
      </w:r>
      <w:r w:rsidR="00267BD0">
        <w:rPr>
          <w:lang w:eastAsia="zh-CN" w:bidi="th-TH"/>
        </w:rPr>
        <w:instrText xml:space="preserve"> ADDIN EN.CITE.DATA </w:instrText>
      </w:r>
      <w:r w:rsidR="00267BD0">
        <w:rPr>
          <w:lang w:eastAsia="zh-CN" w:bidi="th-TH"/>
        </w:rPr>
      </w:r>
      <w:r w:rsidR="00267BD0">
        <w:rPr>
          <w:lang w:eastAsia="zh-CN" w:bidi="th-TH"/>
        </w:rPr>
        <w:fldChar w:fldCharType="end"/>
      </w:r>
      <w:r>
        <w:rPr>
          <w:lang w:eastAsia="zh-CN" w:bidi="th-TH"/>
        </w:rPr>
      </w:r>
      <w:r>
        <w:rPr>
          <w:lang w:eastAsia="zh-CN" w:bidi="th-TH"/>
        </w:rPr>
        <w:fldChar w:fldCharType="separate"/>
      </w:r>
      <w:r w:rsidR="00267BD0" w:rsidRPr="00267BD0">
        <w:rPr>
          <w:noProof/>
          <w:vertAlign w:val="superscript"/>
          <w:lang w:eastAsia="zh-CN" w:bidi="th-TH"/>
        </w:rPr>
        <w:t>28-30</w:t>
      </w:r>
      <w:r>
        <w:rPr>
          <w:lang w:eastAsia="zh-CN" w:bidi="th-TH"/>
        </w:rPr>
        <w:fldChar w:fldCharType="end"/>
      </w:r>
      <w:r>
        <w:rPr>
          <w:lang w:eastAsia="zh-CN" w:bidi="th-TH"/>
        </w:rPr>
        <w:t xml:space="preserve"> </w:t>
      </w:r>
      <w:r w:rsidR="00AF2349">
        <w:rPr>
          <w:lang w:eastAsia="zh-CN" w:bidi="th-TH"/>
        </w:rPr>
        <w:t>defines access as</w:t>
      </w:r>
      <w:r w:rsidRPr="00CC190D">
        <w:rPr>
          <w:lang w:eastAsia="zh-CN" w:bidi="th-TH"/>
        </w:rPr>
        <w:t xml:space="preserve"> the degree of fit between patient need and the ability of health services to respond to and meet those needs</w:t>
      </w:r>
      <w:r w:rsidR="00AF2349">
        <w:rPr>
          <w:lang w:eastAsia="zh-CN" w:bidi="th-TH"/>
        </w:rPr>
        <w:t>, along five dimensions:</w:t>
      </w:r>
    </w:p>
    <w:p w14:paraId="4CF627B5" w14:textId="263626C2" w:rsidR="00443C64" w:rsidRDefault="00443C64" w:rsidP="003A4C93">
      <w:pPr>
        <w:pStyle w:val="Bullets"/>
        <w:numPr>
          <w:ilvl w:val="0"/>
          <w:numId w:val="10"/>
        </w:numPr>
        <w:rPr>
          <w:lang w:eastAsia="zh-CN"/>
        </w:rPr>
      </w:pPr>
      <w:r>
        <w:rPr>
          <w:lang w:eastAsia="zh-CN"/>
        </w:rPr>
        <w:t>Availability –</w:t>
      </w:r>
      <w:r w:rsidR="00AF2349">
        <w:rPr>
          <w:lang w:eastAsia="zh-CN"/>
        </w:rPr>
        <w:t xml:space="preserve"> </w:t>
      </w:r>
      <w:r w:rsidRPr="00F16D54">
        <w:rPr>
          <w:lang w:eastAsia="zh-CN"/>
        </w:rPr>
        <w:t>adequacy of supply of health professionals, facilities and specialised programs or services.</w:t>
      </w:r>
    </w:p>
    <w:p w14:paraId="1A5E3BE6" w14:textId="681B9750" w:rsidR="00443C64" w:rsidRDefault="00443C64" w:rsidP="003A4C93">
      <w:pPr>
        <w:pStyle w:val="Bullets"/>
        <w:numPr>
          <w:ilvl w:val="0"/>
          <w:numId w:val="10"/>
        </w:numPr>
        <w:rPr>
          <w:lang w:eastAsia="zh-CN"/>
        </w:rPr>
      </w:pPr>
      <w:r>
        <w:rPr>
          <w:lang w:eastAsia="zh-CN"/>
        </w:rPr>
        <w:t>Accessibility –</w:t>
      </w:r>
      <w:r w:rsidR="00AF2349">
        <w:rPr>
          <w:lang w:eastAsia="zh-CN"/>
        </w:rPr>
        <w:t xml:space="preserve"> </w:t>
      </w:r>
      <w:r w:rsidRPr="00F16D54">
        <w:rPr>
          <w:lang w:eastAsia="zh-CN"/>
        </w:rPr>
        <w:t xml:space="preserve">relationship between the location of health services and the location of </w:t>
      </w:r>
      <w:r>
        <w:rPr>
          <w:lang w:eastAsia="zh-CN"/>
        </w:rPr>
        <w:t>service users.</w:t>
      </w:r>
    </w:p>
    <w:p w14:paraId="2C2CA4AC" w14:textId="5EE12643" w:rsidR="00443C64" w:rsidRDefault="00443C64" w:rsidP="003A4C93">
      <w:pPr>
        <w:pStyle w:val="Bullets"/>
        <w:numPr>
          <w:ilvl w:val="0"/>
          <w:numId w:val="10"/>
        </w:numPr>
        <w:rPr>
          <w:lang w:eastAsia="zh-CN"/>
        </w:rPr>
      </w:pPr>
      <w:r>
        <w:rPr>
          <w:lang w:eastAsia="zh-CN"/>
        </w:rPr>
        <w:t>Accommodation –</w:t>
      </w:r>
      <w:r w:rsidR="00AF2349">
        <w:rPr>
          <w:lang w:eastAsia="zh-CN"/>
        </w:rPr>
        <w:t xml:space="preserve"> </w:t>
      </w:r>
      <w:r w:rsidR="00BE4E4A">
        <w:rPr>
          <w:lang w:eastAsia="zh-CN"/>
        </w:rPr>
        <w:t>extent to which the way services are organised meets users’ needs.</w:t>
      </w:r>
      <w:r>
        <w:rPr>
          <w:lang w:eastAsia="zh-CN"/>
        </w:rPr>
        <w:t xml:space="preserve"> </w:t>
      </w:r>
    </w:p>
    <w:p w14:paraId="47B62437" w14:textId="469F995D" w:rsidR="00443C64" w:rsidRDefault="00443C64" w:rsidP="003A4C93">
      <w:pPr>
        <w:pStyle w:val="Bullets"/>
        <w:numPr>
          <w:ilvl w:val="0"/>
          <w:numId w:val="10"/>
        </w:numPr>
        <w:rPr>
          <w:lang w:eastAsia="zh-CN"/>
        </w:rPr>
      </w:pPr>
      <w:r>
        <w:rPr>
          <w:lang w:eastAsia="zh-CN"/>
        </w:rPr>
        <w:t>Affordability –</w:t>
      </w:r>
      <w:r w:rsidR="00AF2349">
        <w:rPr>
          <w:lang w:eastAsia="zh-CN"/>
        </w:rPr>
        <w:t xml:space="preserve"> </w:t>
      </w:r>
      <w:r w:rsidRPr="00F16D54">
        <w:rPr>
          <w:lang w:eastAsia="zh-CN"/>
        </w:rPr>
        <w:t xml:space="preserve">relationship between </w:t>
      </w:r>
      <w:r>
        <w:rPr>
          <w:lang w:eastAsia="zh-CN"/>
        </w:rPr>
        <w:t xml:space="preserve">the cost of </w:t>
      </w:r>
      <w:r w:rsidRPr="00F16D54">
        <w:rPr>
          <w:lang w:eastAsia="zh-CN"/>
        </w:rPr>
        <w:t xml:space="preserve">services and </w:t>
      </w:r>
      <w:r>
        <w:rPr>
          <w:lang w:eastAsia="zh-CN"/>
        </w:rPr>
        <w:t xml:space="preserve">users’ </w:t>
      </w:r>
      <w:r w:rsidRPr="00F16D54">
        <w:rPr>
          <w:lang w:eastAsia="zh-CN"/>
        </w:rPr>
        <w:t>ability and willingness to pay</w:t>
      </w:r>
      <w:r>
        <w:rPr>
          <w:lang w:eastAsia="zh-CN"/>
        </w:rPr>
        <w:t>.</w:t>
      </w:r>
    </w:p>
    <w:p w14:paraId="319821A1" w14:textId="38CBEB86" w:rsidR="00443C64" w:rsidRDefault="00443C64" w:rsidP="003A4C93">
      <w:pPr>
        <w:pStyle w:val="Bullets"/>
        <w:numPr>
          <w:ilvl w:val="0"/>
          <w:numId w:val="10"/>
        </w:numPr>
        <w:rPr>
          <w:lang w:eastAsia="zh-CN"/>
        </w:rPr>
      </w:pPr>
      <w:r>
        <w:rPr>
          <w:lang w:eastAsia="zh-CN"/>
        </w:rPr>
        <w:t>Acceptability –</w:t>
      </w:r>
      <w:r w:rsidR="00AF2349">
        <w:rPr>
          <w:lang w:eastAsia="zh-CN"/>
        </w:rPr>
        <w:t xml:space="preserve"> </w:t>
      </w:r>
      <w:r w:rsidRPr="00F16D54">
        <w:rPr>
          <w:lang w:eastAsia="zh-CN"/>
        </w:rPr>
        <w:t xml:space="preserve">relationship between </w:t>
      </w:r>
      <w:r>
        <w:rPr>
          <w:lang w:eastAsia="zh-CN"/>
        </w:rPr>
        <w:t>users</w:t>
      </w:r>
      <w:r w:rsidRPr="00F16D54">
        <w:rPr>
          <w:lang w:eastAsia="zh-CN"/>
        </w:rPr>
        <w:t xml:space="preserve">’ attitudes about characteristics of providers </w:t>
      </w:r>
      <w:r w:rsidR="00AF2349">
        <w:rPr>
          <w:lang w:eastAsia="zh-CN"/>
        </w:rPr>
        <w:t>and</w:t>
      </w:r>
      <w:r w:rsidRPr="00F16D54">
        <w:rPr>
          <w:lang w:eastAsia="zh-CN"/>
        </w:rPr>
        <w:t xml:space="preserve"> actual characteristics of providers, </w:t>
      </w:r>
      <w:r w:rsidR="00AF2349">
        <w:rPr>
          <w:lang w:eastAsia="zh-CN"/>
        </w:rPr>
        <w:t>plus</w:t>
      </w:r>
      <w:r w:rsidRPr="00F16D54">
        <w:rPr>
          <w:lang w:eastAsia="zh-CN"/>
        </w:rPr>
        <w:t xml:space="preserve"> provider</w:t>
      </w:r>
      <w:r w:rsidR="00AF2349">
        <w:rPr>
          <w:lang w:eastAsia="zh-CN"/>
        </w:rPr>
        <w:t>s’</w:t>
      </w:r>
      <w:r w:rsidRPr="00F16D54">
        <w:rPr>
          <w:lang w:eastAsia="zh-CN"/>
        </w:rPr>
        <w:t xml:space="preserve"> attitudes about acceptable characteristics of </w:t>
      </w:r>
      <w:r>
        <w:rPr>
          <w:lang w:eastAsia="zh-CN"/>
        </w:rPr>
        <w:t>service users</w:t>
      </w:r>
      <w:r w:rsidRPr="00F16D54">
        <w:rPr>
          <w:lang w:eastAsia="zh-CN"/>
        </w:rPr>
        <w:t>.</w:t>
      </w:r>
      <w:r>
        <w:rPr>
          <w:lang w:eastAsia="zh-CN"/>
        </w:rPr>
        <w:fldChar w:fldCharType="begin"/>
      </w:r>
      <w:r w:rsidR="00267BD0">
        <w:rPr>
          <w:lang w:eastAsia="zh-CN"/>
        </w:rPr>
        <w:instrText xml:space="preserve"> ADDIN EN.CITE &lt;EndNote&gt;&lt;Cite&gt;&lt;Author&gt;Penchansky&lt;/Author&gt;&lt;Year&gt;1981&lt;/Year&gt;&lt;RecNum&gt;189&lt;/RecNum&gt;&lt;DisplayText&gt;&lt;style face="superscript"&gt;31&lt;/style&gt;&lt;/DisplayText&gt;&lt;record&gt;&lt;rec-number&gt;189&lt;/rec-number&gt;&lt;foreign-keys&gt;&lt;key app="EN" db-id="ewrsr2203a2a0veserrv55dezzwsepr5psw2" timestamp="1663656153"&gt;189&lt;/key&gt;&lt;/foreign-keys&gt;&lt;ref-type name="Journal Article"&gt;17&lt;/ref-type&gt;&lt;contributors&gt;&lt;authors&gt;&lt;author&gt;Penchansky, Roy&lt;/author&gt;&lt;author&gt;Thomas, J. William&lt;/author&gt;&lt;/authors&gt;&lt;/contributors&gt;&lt;titles&gt;&lt;title&gt;The concept of access: Definition and relationship to consumer satisfaction&lt;/title&gt;&lt;secondary-title&gt;Medical Care&lt;/secondary-title&gt;&lt;/titles&gt;&lt;periodical&gt;&lt;full-title&gt;Medical Care&lt;/full-title&gt;&lt;/periodical&gt;&lt;pages&gt;127-140&lt;/pages&gt;&lt;volume&gt;19&lt;/volume&gt;&lt;number&gt;2&lt;/number&gt;&lt;keywords&gt;&lt;keyword&gt;Adolescent&lt;/keyword&gt;&lt;keyword&gt;Adult&lt;/keyword&gt;&lt;keyword&gt;Child&lt;/keyword&gt;&lt;keyword&gt;Child, Preschool&lt;/keyword&gt;&lt;keyword&gt;Consumer Behavior&lt;/keyword&gt;&lt;keyword&gt;Discriminants&lt;/keyword&gt;&lt;keyword&gt;Factor analysis&lt;/keyword&gt;&lt;keyword&gt;Female&lt;/keyword&gt;&lt;keyword&gt;Health Services Accessibility&lt;/keyword&gt;&lt;keyword&gt;Health status&lt;/keyword&gt;&lt;keyword&gt;Humans&lt;/keyword&gt;&lt;keyword&gt;Infant&lt;/keyword&gt;&lt;keyword&gt;Infant, Newborn&lt;/keyword&gt;&lt;keyword&gt;Male&lt;/keyword&gt;&lt;keyword&gt;Mathematical independent variables&lt;/keyword&gt;&lt;keyword&gt;Mathematical validity&lt;/keyword&gt;&lt;keyword&gt;Middle Aged&lt;/keyword&gt;&lt;keyword&gt;New York&lt;/keyword&gt;&lt;keyword&gt;Patient care&lt;/keyword&gt;&lt;keyword&gt;Patient satisfaction&lt;/keyword&gt;&lt;keyword&gt;Physicians&lt;/keyword&gt;&lt;keyword&gt;Public health&lt;/keyword&gt;&lt;keyword&gt;Regression Analysis&lt;/keyword&gt;&lt;keyword&gt;Travel time&lt;/keyword&gt;&lt;/keywords&gt;&lt;dates&gt;&lt;year&gt;1981&lt;/year&gt;&lt;/dates&gt;&lt;pub-location&gt;United States&lt;/pub-location&gt;&lt;publisher&gt;J. B. Lippincott Co&lt;/publisher&gt;&lt;isbn&gt;0025-7079&lt;/isbn&gt;&lt;urls&gt;&lt;/urls&gt;&lt;electronic-resource-num&gt;10.1097/00005650-198102000-00001&lt;/electronic-resource-num&gt;&lt;/record&gt;&lt;/Cite&gt;&lt;/EndNote&gt;</w:instrText>
      </w:r>
      <w:r>
        <w:rPr>
          <w:lang w:eastAsia="zh-CN"/>
        </w:rPr>
        <w:fldChar w:fldCharType="separate"/>
      </w:r>
      <w:r w:rsidR="00267BD0" w:rsidRPr="00267BD0">
        <w:rPr>
          <w:noProof/>
          <w:vertAlign w:val="superscript"/>
          <w:lang w:eastAsia="zh-CN"/>
        </w:rPr>
        <w:t>31</w:t>
      </w:r>
      <w:r>
        <w:rPr>
          <w:lang w:eastAsia="zh-CN"/>
        </w:rPr>
        <w:fldChar w:fldCharType="end"/>
      </w:r>
      <w:r w:rsidRPr="00CC190D">
        <w:rPr>
          <w:lang w:eastAsia="zh-CN"/>
        </w:rPr>
        <w:t xml:space="preserve"> </w:t>
      </w:r>
    </w:p>
    <w:p w14:paraId="344EFA8D" w14:textId="77C644FF" w:rsidR="00443C64" w:rsidRDefault="005F6551" w:rsidP="00443C64">
      <w:pPr>
        <w:rPr>
          <w:lang w:eastAsia="zh-CN" w:bidi="th-TH"/>
        </w:rPr>
      </w:pPr>
      <w:r>
        <w:rPr>
          <w:lang w:eastAsia="zh-CN" w:bidi="th-TH"/>
        </w:rPr>
        <w:t>Each dimension accounts for the needs of the patient; hence t</w:t>
      </w:r>
      <w:r w:rsidR="00443C64" w:rsidRPr="00656420">
        <w:rPr>
          <w:lang w:eastAsia="zh-CN" w:bidi="th-TH"/>
        </w:rPr>
        <w:t>he model</w:t>
      </w:r>
      <w:r w:rsidR="00443C64">
        <w:rPr>
          <w:lang w:eastAsia="zh-CN" w:bidi="th-TH"/>
        </w:rPr>
        <w:t xml:space="preserve"> is consistent with the Strategy</w:t>
      </w:r>
      <w:r>
        <w:rPr>
          <w:lang w:eastAsia="zh-CN" w:bidi="th-TH"/>
        </w:rPr>
        <w:t xml:space="preserve">’s </w:t>
      </w:r>
      <w:r w:rsidR="00443C64">
        <w:rPr>
          <w:lang w:eastAsia="zh-CN" w:bidi="th-TH"/>
        </w:rPr>
        <w:t>emphasis on ‘woman</w:t>
      </w:r>
      <w:r w:rsidR="00FE0E5F">
        <w:rPr>
          <w:lang w:eastAsia="zh-CN" w:bidi="th-TH"/>
        </w:rPr>
        <w:t>-</w:t>
      </w:r>
      <w:r w:rsidR="00443C64">
        <w:rPr>
          <w:lang w:eastAsia="zh-CN" w:bidi="th-TH"/>
        </w:rPr>
        <w:t>centredness’</w:t>
      </w:r>
      <w:r>
        <w:rPr>
          <w:lang w:eastAsia="zh-CN" w:bidi="th-TH"/>
        </w:rPr>
        <w:t xml:space="preserve">. The </w:t>
      </w:r>
      <w:r w:rsidR="00AF2349">
        <w:rPr>
          <w:lang w:eastAsia="zh-CN" w:bidi="th-TH"/>
        </w:rPr>
        <w:t>model</w:t>
      </w:r>
      <w:r w:rsidR="00443C64">
        <w:rPr>
          <w:lang w:eastAsia="zh-CN" w:bidi="th-TH"/>
        </w:rPr>
        <w:t xml:space="preserve"> </w:t>
      </w:r>
      <w:r>
        <w:rPr>
          <w:lang w:eastAsia="zh-CN" w:bidi="th-TH"/>
        </w:rPr>
        <w:t>shows that access can be conceptualised in multiple, equally valid ways, which complicates the task of measuring changes</w:t>
      </w:r>
      <w:r w:rsidR="00443C64">
        <w:rPr>
          <w:lang w:eastAsia="zh-CN" w:bidi="th-TH"/>
        </w:rPr>
        <w:t xml:space="preserve"> in access to postnatal care. </w:t>
      </w:r>
      <w:r w:rsidR="00BE4E4A">
        <w:rPr>
          <w:lang w:eastAsia="zh-CN" w:bidi="th-TH"/>
        </w:rPr>
        <w:t>This model may be useful to ensure that all aspects of access are captured in ongoing monitoring and evaluation of the Strategy.</w:t>
      </w:r>
    </w:p>
    <w:p w14:paraId="4D3AB74E" w14:textId="56900341" w:rsidR="00443C64" w:rsidRDefault="00443C64" w:rsidP="00443C64">
      <w:pPr>
        <w:pStyle w:val="Heading2"/>
      </w:pPr>
      <w:bookmarkStart w:id="276" w:name="_Toc117764988"/>
      <w:bookmarkStart w:id="277" w:name="_Toc121415065"/>
      <w:r>
        <w:lastRenderedPageBreak/>
        <w:t>K</w:t>
      </w:r>
      <w:r w:rsidR="000935C6">
        <w:t>EQ</w:t>
      </w:r>
      <w:r>
        <w:t xml:space="preserve"> 3: </w:t>
      </w:r>
      <w:r w:rsidRPr="006B6EFE">
        <w:t>Perinatal mental health morbidity and mortality</w:t>
      </w:r>
      <w:bookmarkEnd w:id="276"/>
      <w:bookmarkEnd w:id="277"/>
    </w:p>
    <w:p w14:paraId="60971103" w14:textId="52C28F1E" w:rsidR="00443C64" w:rsidRDefault="00080981" w:rsidP="00443C64">
      <w:pPr>
        <w:pStyle w:val="Heading3"/>
        <w:ind w:left="709" w:hanging="709"/>
      </w:pPr>
      <w:r>
        <w:t>Baseline status</w:t>
      </w:r>
    </w:p>
    <w:p w14:paraId="1E748C97" w14:textId="620BA0BD" w:rsidR="00443C64" w:rsidRDefault="00443C64" w:rsidP="009807E9">
      <w:pPr>
        <w:spacing w:after="120"/>
      </w:pPr>
      <w:r w:rsidRPr="005D21F5">
        <w:t>The e</w:t>
      </w:r>
      <w:r>
        <w:t xml:space="preserve">nvironment </w:t>
      </w:r>
      <w:r w:rsidRPr="005D21F5">
        <w:t xml:space="preserve">scan identified </w:t>
      </w:r>
      <w:r>
        <w:t xml:space="preserve">many </w:t>
      </w:r>
      <w:r w:rsidRPr="005D21F5">
        <w:t xml:space="preserve">studies that examined COVID-related impacts on perinatal mental health outcomes. </w:t>
      </w:r>
      <w:r>
        <w:t xml:space="preserve">The </w:t>
      </w:r>
      <w:r w:rsidRPr="005D21F5">
        <w:t xml:space="preserve">findings highlight the emotional challenges experienced by pregnant and postnatal women during the </w:t>
      </w:r>
      <w:r w:rsidR="008F1C67">
        <w:t xml:space="preserve">COVID-19 </w:t>
      </w:r>
      <w:r w:rsidRPr="005D21F5">
        <w:t>pandemic</w:t>
      </w:r>
      <w:r>
        <w:t>, both in Australia</w:t>
      </w:r>
      <w:r>
        <w:fldChar w:fldCharType="begin">
          <w:fldData xml:space="preserve">PEVuZE5vdGU+PENpdGU+PEF1dGhvcj5MZXF1ZXJ0aWVyPC9BdXRob3I+PFllYXI+MjAyMjwvWWVh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bD48dm9sdW1lPjE5PC92b2x1bWU+PG51bWJlcj45PC9udW1iZXI+PGVkaXRpb24+MjAyMi8wNS8x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</w:fldData>
        </w:fldChar>
      </w:r>
      <w:r w:rsidR="00267BD0">
        <w:instrText xml:space="preserve"> ADDIN EN.CITE </w:instrText>
      </w:r>
      <w:r w:rsidR="00267BD0">
        <w:fldChar w:fldCharType="begin">
          <w:fldData xml:space="preserve">PEVuZE5vdGU+PENpdGU+PEF1dGhvcj5MZXF1ZXJ0aWVyPC9BdXRob3I+PFllYXI+MjAyMjwvWWVh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bD48dm9sdW1lPjE5PC92b2x1bWU+PG51bWJlcj45PC9udW1iZXI+PGVkaXRpb24+MjAyMi8wNS8x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</w:fldData>
        </w:fldChar>
      </w:r>
      <w:r w:rsidR="00267BD0">
        <w:instrText xml:space="preserve"> ADDIN EN.CITE.DATA </w:instrText>
      </w:r>
      <w:r w:rsidR="00267BD0">
        <w:fldChar w:fldCharType="end"/>
      </w:r>
      <w:r>
        <w:fldChar w:fldCharType="separate"/>
      </w:r>
      <w:r w:rsidR="00267BD0" w:rsidRPr="00267BD0">
        <w:rPr>
          <w:noProof/>
          <w:vertAlign w:val="superscript"/>
        </w:rPr>
        <w:t>32</w:t>
      </w:r>
      <w:r>
        <w:fldChar w:fldCharType="end"/>
      </w:r>
      <w:r>
        <w:t xml:space="preserve"> and internationally</w:t>
      </w:r>
      <w:r w:rsidRPr="005D21F5">
        <w:t>.</w:t>
      </w:r>
      <w:r>
        <w:fldChar w:fldCharType="begin"/>
      </w:r>
      <w:r w:rsidR="00267BD0">
        <w:instrText xml:space="preserve"> ADDIN EN.CITE &lt;EndNote&gt;&lt;Cite&gt;&lt;Author&gt;Iyengar&lt;/Author&gt;&lt;Year&gt;2021&lt;/Year&gt;&lt;RecNum&gt;114&lt;/RecNum&gt;&lt;DisplayText&gt;&lt;style face="superscript"&gt;33&lt;/style&gt;&lt;/DisplayText&gt;&lt;record&gt;&lt;rec-number&gt;114&lt;/rec-number&gt;&lt;foreign-keys&gt;&lt;key app="EN" db-id="ewrsr2203a2a0veserrv55dezzwsepr5psw2" timestamp="1660795415"&gt;114&lt;/key&gt;&lt;/foreign-keys&gt;&lt;ref-type name="Journal Article"&gt;17&lt;/ref-type&gt;&lt;contributors&gt;&lt;authors&gt;&lt;author&gt;Iyengar,Udita&lt;/author&gt;&lt;author&gt;Jaiprakash,Bhavisha&lt;/author&gt;&lt;author&gt;Haitsuka,Hanako&lt;/author&gt;&lt;author&gt;Kim,Sohye&lt;/author&gt;&lt;/authors&gt;&lt;/contributors&gt;&lt;titles&gt;&lt;title&gt;One Year Into the Pandemic: A Systematic Review of Perinatal Mental Health Outcomes During COVID-19&lt;/title&gt;&lt;secondary-title&gt;Frontiers in Psychiatry&lt;/secondary-title&gt;&lt;short-title&gt;Perinatal Mental Health During COVID-19&lt;/short-title&gt;&lt;/titles&gt;&lt;periodical&gt;&lt;full-title&gt;Frontiers in Psychiatry&lt;/full-title&gt;&lt;/periodical&gt;&lt;volume&gt;12&lt;/volume&gt;&lt;keywords&gt;&lt;keyword&gt;Pregnancy,Postpartum,Mental Health,COVID- 19,maternal,perinatal&lt;/keyword&gt;&lt;/keywords&gt;&lt;dates&gt;&lt;year&gt;2021&lt;/year&gt;&lt;pub-dates&gt;&lt;date&gt;2021-June-24&lt;/date&gt;&lt;/pub-dates&gt;&lt;/dates&gt;&lt;isbn&gt;1664-0640&lt;/isbn&gt;&lt;work-type&gt;Systematic Review&lt;/work-type&gt;&lt;urls&gt;&lt;related-urls&gt;&lt;url&gt;https://www.frontiersin.org/articles/10.3389/fpsyt.2021.674194&lt;/url&gt;&lt;/related-urls&gt;&lt;/urls&gt;&lt;electronic-resource-num&gt;10.3389/fpsyt.2021.674194&lt;/electronic-resource-num&gt;&lt;language&gt;English&lt;/language&gt;&lt;/record&gt;&lt;/Cite&gt;&lt;/EndNote&gt;</w:instrText>
      </w:r>
      <w:r>
        <w:fldChar w:fldCharType="separate"/>
      </w:r>
      <w:r w:rsidR="00267BD0" w:rsidRPr="00267BD0">
        <w:rPr>
          <w:noProof/>
          <w:vertAlign w:val="superscript"/>
        </w:rPr>
        <w:t>33</w:t>
      </w:r>
      <w:r>
        <w:fldChar w:fldCharType="end"/>
      </w:r>
      <w:r w:rsidRPr="005D21F5">
        <w:t xml:space="preserve"> </w:t>
      </w:r>
    </w:p>
    <w:p w14:paraId="7AF22536" w14:textId="59530583" w:rsidR="00163BF1" w:rsidRDefault="00443C64" w:rsidP="009807E9">
      <w:pPr>
        <w:spacing w:after="120"/>
      </w:pPr>
      <w:r w:rsidRPr="00CB0788">
        <w:t xml:space="preserve">Many stakeholders referenced the increase in depression, anxiety and distress among perinatal women throughout the </w:t>
      </w:r>
      <w:r w:rsidR="008F1C67">
        <w:t xml:space="preserve">COVID-19 </w:t>
      </w:r>
      <w:r w:rsidRPr="00CB0788">
        <w:t>pandemic, and questioned whether it was reasonable to expect perinatal mental health morbidity to have improved in the time since the Strategy was released.</w:t>
      </w:r>
    </w:p>
    <w:p w14:paraId="784230ED" w14:textId="042E2FF3" w:rsidR="00443C64" w:rsidRDefault="00443C64" w:rsidP="009807E9">
      <w:pPr>
        <w:spacing w:after="120"/>
      </w:pPr>
      <w:r w:rsidRPr="00CB0788">
        <w:t xml:space="preserve">Others were of the view that the mental health impacts of COVID helped raise the profile of the social and emotional needs of pregnant and postnatal women, which in turn contributed to an increase in funding for perinatal mental health initiatives, both at a Commonwealth and jurisdictional level. </w:t>
      </w:r>
      <w:r w:rsidRPr="0041498F">
        <w:t xml:space="preserve">Examples </w:t>
      </w:r>
      <w:r>
        <w:t>include:</w:t>
      </w:r>
    </w:p>
    <w:p w14:paraId="7D1185B8" w14:textId="61076B39" w:rsidR="00853C7E" w:rsidRPr="009807E9" w:rsidRDefault="00853C7E" w:rsidP="003A4C93">
      <w:pPr>
        <w:pStyle w:val="Bullets"/>
        <w:numPr>
          <w:ilvl w:val="0"/>
          <w:numId w:val="10"/>
        </w:numPr>
      </w:pPr>
      <w:r w:rsidRPr="009807E9">
        <w:rPr>
          <w:rFonts w:cstheme="minorHAnsi"/>
          <w:szCs w:val="22"/>
        </w:rPr>
        <w:t xml:space="preserve">funding allocated to </w:t>
      </w:r>
      <w:r w:rsidRPr="009807E9">
        <w:rPr>
          <w:rFonts w:cstheme="minorHAnsi"/>
          <w:b/>
          <w:szCs w:val="22"/>
        </w:rPr>
        <w:t>COPE, PANDA, Gidget Foundation, SANDS Australia, Red Nose, Tresillian and Karitane</w:t>
      </w:r>
      <w:r w:rsidRPr="009807E9">
        <w:rPr>
          <w:rFonts w:cstheme="minorHAnsi"/>
          <w:szCs w:val="22"/>
        </w:rPr>
        <w:t>, for activities encompassing screening, service provision, training and education and community awareness.</w:t>
      </w:r>
    </w:p>
    <w:p w14:paraId="51B1D69F" w14:textId="0C14CB09" w:rsidR="00443C64" w:rsidRPr="009807E9" w:rsidRDefault="00443C64" w:rsidP="003A4C93">
      <w:pPr>
        <w:pStyle w:val="Bullets"/>
        <w:numPr>
          <w:ilvl w:val="0"/>
          <w:numId w:val="10"/>
        </w:numPr>
      </w:pPr>
      <w:r w:rsidRPr="009807E9">
        <w:t>the increase in sessions of care provided under the general population MBS Better Access to Mental Health Care scheme</w:t>
      </w:r>
      <w:r w:rsidR="00FC1C18">
        <w:t>, including telehealth for mental health care</w:t>
      </w:r>
      <w:r w:rsidRPr="009807E9">
        <w:t>.</w:t>
      </w:r>
    </w:p>
    <w:p w14:paraId="2E8385D4" w14:textId="74A9547A" w:rsidR="00443C64" w:rsidRPr="009807E9" w:rsidRDefault="00443C64" w:rsidP="009807E9">
      <w:pPr>
        <w:spacing w:after="120"/>
      </w:pPr>
      <w:r w:rsidRPr="009807E9">
        <w:t>These and other significant investments were seen as necessary to ensuring that perinatal mental health needs are prioritised alongside physical health needs during pregnancy and in the year after birth.</w:t>
      </w:r>
    </w:p>
    <w:p w14:paraId="06B1D75B" w14:textId="64BC5A67" w:rsidR="00443C64" w:rsidRPr="009807E9" w:rsidRDefault="00443C64" w:rsidP="009807E9">
      <w:pPr>
        <w:spacing w:after="120"/>
        <w:rPr>
          <w:rFonts w:cstheme="minorHAnsi"/>
          <w:szCs w:val="22"/>
        </w:rPr>
      </w:pPr>
      <w:r w:rsidRPr="009807E9">
        <w:rPr>
          <w:rFonts w:cstheme="minorHAnsi"/>
          <w:szCs w:val="22"/>
        </w:rPr>
        <w:t xml:space="preserve">The NHMRC-endorsed </w:t>
      </w:r>
      <w:r w:rsidRPr="009807E9">
        <w:rPr>
          <w:b/>
          <w:bCs/>
          <w:lang w:eastAsia="zh-CN" w:bidi="th-TH"/>
        </w:rPr>
        <w:t xml:space="preserve">Mental Health Care in the Perinatal Period: Australian Clinical Practice Guideline </w:t>
      </w:r>
      <w:r w:rsidRPr="009807E9">
        <w:rPr>
          <w:lang w:eastAsia="zh-CN" w:bidi="th-TH"/>
        </w:rPr>
        <w:t>published in 2017 is currently under review.</w:t>
      </w:r>
      <w:r w:rsidRPr="009807E9">
        <w:rPr>
          <w:lang w:eastAsia="zh-CN" w:bidi="th-TH"/>
        </w:rPr>
        <w:fldChar w:fldCharType="begin"/>
      </w:r>
      <w:r w:rsidR="00267BD0">
        <w:rPr>
          <w:lang w:eastAsia="zh-CN" w:bidi="th-TH"/>
        </w:rPr>
        <w:instrText xml:space="preserve"> ADDIN EN.CITE &lt;EndNote&gt;&lt;Cite&gt;&lt;Author&gt;Austin&lt;/Author&gt;&lt;Year&gt;2017&lt;/Year&gt;&lt;RecNum&gt;17&lt;/RecNum&gt;&lt;DisplayText&gt;&lt;style face="superscript"&gt;34&lt;/style&gt;&lt;/DisplayText&gt;&lt;record&gt;&lt;rec-number&gt;17&lt;/rec-number&gt;&lt;foreign-keys&gt;&lt;key app="EN" db-id="ewrsr2203a2a0veserrv55dezzwsepr5psw2" timestamp="1647227719"&gt;17&lt;/key&gt;&lt;/foreign-keys&gt;&lt;ref-type name="Report"&gt;27&lt;/ref-type&gt;&lt;contributors&gt;&lt;authors&gt;&lt;author&gt;Austin, M-P.&lt;/author&gt;&lt;author&gt;Highet, N.&lt;/author&gt;&lt;author&gt;and the Expert Working Group,&lt;/author&gt;&lt;/authors&gt;&lt;/contributors&gt;&lt;titles&gt;&lt;title&gt;Mental Health Care in the Perinatal Period: Australian Clinical Practice Guideline&lt;/title&gt;&lt;/titles&gt;&lt;dates&gt;&lt;year&gt;2017&lt;/year&gt;&lt;/dates&gt;&lt;pub-location&gt;Melbourne&lt;/pub-location&gt;&lt;publisher&gt;COPE: Centre of Perinatal Excellence&lt;/publisher&gt;&lt;urls&gt;&lt;/urls&gt;&lt;/record&gt;&lt;/Cite&gt;&lt;/EndNote&gt;</w:instrText>
      </w:r>
      <w:r w:rsidRPr="009807E9">
        <w:rPr>
          <w:lang w:eastAsia="zh-CN" w:bidi="th-TH"/>
        </w:rPr>
        <w:fldChar w:fldCharType="separate"/>
      </w:r>
      <w:r w:rsidR="00267BD0" w:rsidRPr="00267BD0">
        <w:rPr>
          <w:noProof/>
          <w:vertAlign w:val="superscript"/>
          <w:lang w:eastAsia="zh-CN" w:bidi="th-TH"/>
        </w:rPr>
        <w:t>34</w:t>
      </w:r>
      <w:r w:rsidRPr="009807E9">
        <w:rPr>
          <w:lang w:eastAsia="zh-CN" w:bidi="th-TH"/>
        </w:rPr>
        <w:fldChar w:fldCharType="end"/>
      </w:r>
      <w:r w:rsidRPr="009807E9">
        <w:rPr>
          <w:lang w:eastAsia="zh-CN" w:bidi="th-TH"/>
        </w:rPr>
        <w:t xml:space="preserve"> </w:t>
      </w:r>
      <w:r w:rsidRPr="009807E9">
        <w:rPr>
          <w:rFonts w:cstheme="minorHAnsi"/>
          <w:szCs w:val="22"/>
        </w:rPr>
        <w:t xml:space="preserve">The updated Guideline will include guidance related to </w:t>
      </w:r>
      <w:r w:rsidRPr="00FE0E5F">
        <w:rPr>
          <w:rFonts w:cstheme="minorHAnsi"/>
          <w:szCs w:val="22"/>
        </w:rPr>
        <w:t>birth trauma as a new topic</w:t>
      </w:r>
      <w:r w:rsidRPr="009807E9">
        <w:rPr>
          <w:rFonts w:cstheme="minorHAnsi"/>
          <w:szCs w:val="22"/>
        </w:rPr>
        <w:t xml:space="preserve">, as well as new guidance relating to mental health screening and psychosocial assessment for </w:t>
      </w:r>
      <w:r w:rsidRPr="00FE0E5F">
        <w:rPr>
          <w:rFonts w:cstheme="minorHAnsi"/>
          <w:szCs w:val="22"/>
        </w:rPr>
        <w:t>fathers and other non-birthing partners</w:t>
      </w:r>
      <w:r w:rsidRPr="009807E9">
        <w:rPr>
          <w:rFonts w:cstheme="minorHAnsi"/>
          <w:szCs w:val="22"/>
        </w:rPr>
        <w:t>. It is anticipated that the updated Guideline will be released for public consultation in November 2022, with submission for NHMRC approval in 2023.</w:t>
      </w:r>
      <w:r w:rsidR="00FB0C38">
        <w:rPr>
          <w:rFonts w:cstheme="minorHAnsi"/>
          <w:szCs w:val="22"/>
        </w:rPr>
        <w:t xml:space="preserve"> </w:t>
      </w:r>
    </w:p>
    <w:p w14:paraId="6F9F8084" w14:textId="44BE89AD" w:rsidR="00443C64" w:rsidRPr="009807E9" w:rsidRDefault="00443C64" w:rsidP="009807E9">
      <w:pPr>
        <w:spacing w:after="120"/>
        <w:rPr>
          <w:rFonts w:cstheme="minorHAnsi"/>
          <w:color w:val="000000"/>
          <w:szCs w:val="22"/>
        </w:rPr>
      </w:pPr>
      <w:r w:rsidRPr="009807E9">
        <w:rPr>
          <w:lang w:eastAsia="zh-CN" w:bidi="th-TH"/>
        </w:rPr>
        <w:t xml:space="preserve">In South Australia, the guideline </w:t>
      </w:r>
      <w:r w:rsidRPr="00FE0E5F">
        <w:rPr>
          <w:b/>
          <w:i/>
          <w:iCs/>
          <w:lang w:eastAsia="zh-CN" w:bidi="th-TH"/>
        </w:rPr>
        <w:t>Anxiety and depression in the perinatal period</w:t>
      </w:r>
      <w:r w:rsidRPr="009807E9">
        <w:rPr>
          <w:lang w:eastAsia="zh-CN" w:bidi="th-TH"/>
        </w:rPr>
        <w:t xml:space="preserve"> was released in 2019.</w:t>
      </w:r>
      <w:r w:rsidRPr="009807E9">
        <w:rPr>
          <w:lang w:eastAsia="zh-CN" w:bidi="th-TH"/>
        </w:rPr>
        <w:fldChar w:fldCharType="begin"/>
      </w:r>
      <w:r w:rsidR="00267BD0">
        <w:rPr>
          <w:lang w:eastAsia="zh-CN" w:bidi="th-TH"/>
        </w:rPr>
        <w:instrText xml:space="preserve"> ADDIN EN.CITE &lt;EndNote&gt;&lt;Cite&gt;&lt;Author&gt;Department for Health and Ageing&lt;/Author&gt;&lt;Year&gt;2019&lt;/Year&gt;&lt;RecNum&gt;201&lt;/RecNum&gt;&lt;DisplayText&gt;&lt;style face="superscript"&gt;35&lt;/style&gt;&lt;/DisplayText&gt;&lt;record&gt;&lt;rec-number&gt;201&lt;/rec-number&gt;&lt;foreign-keys&gt;&lt;key app="EN" db-id="ewrsr2203a2a0veserrv55dezzwsepr5psw2" timestamp="1663656154"&gt;201&lt;/key&gt;&lt;/foreign-keys&gt;&lt;ref-type name="Report"&gt;27&lt;/ref-type&gt;&lt;contributors&gt;&lt;authors&gt;&lt;author&gt;Department for Health and Ageing,&lt;/author&gt;&lt;/authors&gt;&lt;/contributors&gt;&lt;titles&gt;&lt;title&gt;South Australian Perinatal Practice Guideline Anxiety and Depression in the Perinatal Period&lt;/title&gt;&lt;/titles&gt;&lt;dates&gt;&lt;year&gt;2019&lt;/year&gt;&lt;/dates&gt;&lt;pub-location&gt;Adelaide&lt;/pub-location&gt;&lt;publisher&gt;Department for Health and Ageing, Government of South Australia&lt;/publisher&gt;&lt;urls&gt;&lt;/urls&gt;&lt;/record&gt;&lt;/Cite&gt;&lt;/EndNote&gt;</w:instrText>
      </w:r>
      <w:r w:rsidRPr="009807E9">
        <w:rPr>
          <w:lang w:eastAsia="zh-CN" w:bidi="th-TH"/>
        </w:rPr>
        <w:fldChar w:fldCharType="separate"/>
      </w:r>
      <w:r w:rsidR="00267BD0" w:rsidRPr="00267BD0">
        <w:rPr>
          <w:noProof/>
          <w:vertAlign w:val="superscript"/>
          <w:lang w:eastAsia="zh-CN" w:bidi="th-TH"/>
        </w:rPr>
        <w:t>35</w:t>
      </w:r>
      <w:r w:rsidRPr="009807E9">
        <w:rPr>
          <w:lang w:eastAsia="zh-CN" w:bidi="th-TH"/>
        </w:rPr>
        <w:fldChar w:fldCharType="end"/>
      </w:r>
      <w:r w:rsidRPr="009807E9">
        <w:rPr>
          <w:lang w:eastAsia="zh-CN" w:bidi="th-TH"/>
        </w:rPr>
        <w:t xml:space="preserve"> Other </w:t>
      </w:r>
      <w:r w:rsidRPr="009807E9">
        <w:rPr>
          <w:rFonts w:cstheme="minorHAnsi"/>
          <w:color w:val="000000"/>
          <w:szCs w:val="22"/>
        </w:rPr>
        <w:t>jurisdictions are in the process of reviewing or updating policies and strategies that include a focus on perinatal mental health, including:</w:t>
      </w:r>
    </w:p>
    <w:p w14:paraId="55124C93" w14:textId="77777777" w:rsidR="00443C64" w:rsidRPr="009807E9" w:rsidRDefault="00443C64" w:rsidP="003A4C93">
      <w:pPr>
        <w:pStyle w:val="Bullets"/>
        <w:numPr>
          <w:ilvl w:val="0"/>
          <w:numId w:val="10"/>
        </w:numPr>
      </w:pPr>
      <w:r w:rsidRPr="009807E9">
        <w:t>a review and update of the SAFE START policy and training package in NSW</w:t>
      </w:r>
    </w:p>
    <w:p w14:paraId="3A1090B9" w14:textId="28C98B23" w:rsidR="00443C64" w:rsidRPr="009807E9" w:rsidRDefault="00443C64" w:rsidP="003A4C93">
      <w:pPr>
        <w:pStyle w:val="Bullets"/>
        <w:numPr>
          <w:ilvl w:val="0"/>
          <w:numId w:val="10"/>
        </w:numPr>
      </w:pPr>
      <w:r w:rsidRPr="009807E9">
        <w:t>a review of perinatal mental health screening in Victoria</w:t>
      </w:r>
      <w:r w:rsidR="007A6EAC" w:rsidRPr="009807E9">
        <w:t xml:space="preserve"> and expanded community-based perinatal mental health services in response to the mental health commission reform recommendations</w:t>
      </w:r>
    </w:p>
    <w:p w14:paraId="288CE393" w14:textId="1F1AC64E" w:rsidR="00443C64" w:rsidRPr="009807E9" w:rsidRDefault="00443C64" w:rsidP="003A4C93">
      <w:pPr>
        <w:pStyle w:val="Bullets"/>
        <w:numPr>
          <w:ilvl w:val="0"/>
          <w:numId w:val="10"/>
        </w:numPr>
      </w:pPr>
      <w:r w:rsidRPr="009807E9">
        <w:t>an internal review of mental health reform in Tasmania to ensure it adequately addresses perinatal mental health needs.</w:t>
      </w:r>
    </w:p>
    <w:p w14:paraId="6A2E0EAA" w14:textId="000599A5" w:rsidR="00853C7E" w:rsidRDefault="00443C64" w:rsidP="007A6EAC">
      <w:pPr>
        <w:spacing w:after="120"/>
        <w:rPr>
          <w:rFonts w:cstheme="minorHAnsi"/>
          <w:color w:val="000000"/>
          <w:szCs w:val="22"/>
        </w:rPr>
      </w:pPr>
      <w:r>
        <w:rPr>
          <w:rFonts w:cstheme="minorHAnsi"/>
          <w:color w:val="000000"/>
          <w:szCs w:val="22"/>
        </w:rPr>
        <w:t>T</w:t>
      </w:r>
      <w:r w:rsidRPr="001349D1">
        <w:rPr>
          <w:rFonts w:cstheme="minorHAnsi"/>
          <w:color w:val="000000"/>
          <w:szCs w:val="22"/>
        </w:rPr>
        <w:t xml:space="preserve">he </w:t>
      </w:r>
      <w:r w:rsidRPr="001349D1">
        <w:rPr>
          <w:rFonts w:cstheme="minorHAnsi"/>
          <w:bCs/>
          <w:color w:val="000000"/>
          <w:szCs w:val="22"/>
        </w:rPr>
        <w:t>iCOPE digital screening platform</w:t>
      </w:r>
      <w:r w:rsidRPr="001349D1">
        <w:rPr>
          <w:rFonts w:cstheme="minorHAnsi"/>
          <w:color w:val="000000"/>
          <w:szCs w:val="22"/>
        </w:rPr>
        <w:t xml:space="preserve"> (</w:t>
      </w:r>
      <w:r>
        <w:rPr>
          <w:rFonts w:cstheme="minorHAnsi"/>
          <w:color w:val="000000"/>
          <w:szCs w:val="22"/>
        </w:rPr>
        <w:t xml:space="preserve">developed prior to 2019) is in the process of being implemented in </w:t>
      </w:r>
      <w:r w:rsidR="00853C7E">
        <w:rPr>
          <w:rFonts w:cstheme="minorHAnsi"/>
          <w:color w:val="000000"/>
          <w:szCs w:val="22"/>
        </w:rPr>
        <w:t>participating</w:t>
      </w:r>
      <w:r w:rsidRPr="00450163">
        <w:rPr>
          <w:rFonts w:cstheme="minorHAnsi"/>
          <w:color w:val="000000"/>
          <w:szCs w:val="22"/>
        </w:rPr>
        <w:t xml:space="preserve"> public maternity hospitals and maternal and child family health clinics in Australia as part of the </w:t>
      </w:r>
      <w:r>
        <w:rPr>
          <w:rFonts w:cstheme="minorHAnsi"/>
          <w:color w:val="000000"/>
          <w:szCs w:val="22"/>
        </w:rPr>
        <w:t>Commonwealth-</w:t>
      </w:r>
      <w:r w:rsidRPr="00450163">
        <w:rPr>
          <w:rFonts w:cstheme="minorHAnsi"/>
          <w:color w:val="000000"/>
          <w:szCs w:val="22"/>
        </w:rPr>
        <w:t xml:space="preserve">funded </w:t>
      </w:r>
      <w:r w:rsidRPr="009807E9">
        <w:rPr>
          <w:rFonts w:cstheme="minorHAnsi"/>
          <w:b/>
          <w:color w:val="000000"/>
          <w:szCs w:val="22"/>
        </w:rPr>
        <w:t xml:space="preserve">Perinatal Mental Health </w:t>
      </w:r>
      <w:r w:rsidR="00B46455">
        <w:rPr>
          <w:rFonts w:cstheme="minorHAnsi"/>
          <w:b/>
          <w:color w:val="000000"/>
          <w:szCs w:val="22"/>
        </w:rPr>
        <w:t>Check Initiative</w:t>
      </w:r>
      <w:r>
        <w:rPr>
          <w:rFonts w:cstheme="minorHAnsi"/>
          <w:color w:val="000000"/>
          <w:szCs w:val="22"/>
        </w:rPr>
        <w:t xml:space="preserve">. </w:t>
      </w:r>
      <w:r w:rsidR="00BC3786">
        <w:t xml:space="preserve">iCOPE is underpinned by the </w:t>
      </w:r>
      <w:r w:rsidR="00975B32">
        <w:t xml:space="preserve">validated </w:t>
      </w:r>
      <w:r w:rsidR="00BC3786">
        <w:t>Edinburgh Postnatal Depression Scale (EPDS) and Antenatal Risk Questionnaire</w:t>
      </w:r>
      <w:r w:rsidR="00975B32">
        <w:t>,</w:t>
      </w:r>
      <w:r w:rsidR="00BC3786">
        <w:t xml:space="preserve"> and is available in 12 languages, with plans to be available in 32 languages by late-2022. NSW Health has also undertaken 23 validated translations of the EPDS which are available from the </w:t>
      </w:r>
      <w:hyperlink r:id="rId64" w:history="1">
        <w:r w:rsidR="00BC3786" w:rsidRPr="00F66EC6">
          <w:rPr>
            <w:rStyle w:val="Hyperlink"/>
            <w:color w:val="auto"/>
            <w:u w:val="none"/>
          </w:rPr>
          <w:t>Multicultural Communications Health Service</w:t>
        </w:r>
      </w:hyperlink>
      <w:r w:rsidR="00BC3786" w:rsidRPr="00F66EC6">
        <w:t xml:space="preserve">. </w:t>
      </w:r>
      <w:r w:rsidR="00F66EC6">
        <w:rPr>
          <w:rFonts w:cstheme="minorHAnsi"/>
          <w:color w:val="000000"/>
          <w:szCs w:val="22"/>
        </w:rPr>
        <w:t>Some stakeholders felt that</w:t>
      </w:r>
      <w:r w:rsidR="00F66EC6" w:rsidRPr="00DE57CB">
        <w:t xml:space="preserve"> </w:t>
      </w:r>
      <w:r w:rsidR="00BC3786" w:rsidRPr="00DE57CB">
        <w:t>delays in finalising bilateral mental health agreements which have deferred jurisdictional decision-making have been a contributing factor to the</w:t>
      </w:r>
      <w:r w:rsidR="00DE57CB" w:rsidRPr="00DE57CB">
        <w:t xml:space="preserve"> limited jurisdictional uptake of</w:t>
      </w:r>
      <w:r w:rsidR="00BC3786" w:rsidRPr="00DE57CB">
        <w:t xml:space="preserve"> </w:t>
      </w:r>
      <w:r w:rsidR="00DE57CB" w:rsidRPr="00DE57CB">
        <w:t>iCOPE</w:t>
      </w:r>
      <w:r w:rsidR="00BC3786" w:rsidRPr="00DE57CB">
        <w:t>; however several services are self-funding implementation</w:t>
      </w:r>
      <w:r w:rsidR="00DE57CB" w:rsidRPr="00DE57CB">
        <w:t>.</w:t>
      </w:r>
    </w:p>
    <w:p w14:paraId="1C19BCFF" w14:textId="61366D15" w:rsidR="00DA1EE7" w:rsidRDefault="009807E9" w:rsidP="007A6EAC">
      <w:pPr>
        <w:spacing w:after="120"/>
        <w:rPr>
          <w:rFonts w:cstheme="minorHAnsi"/>
          <w:szCs w:val="22"/>
        </w:rPr>
      </w:pPr>
      <w:r>
        <w:rPr>
          <w:rFonts w:cstheme="minorHAnsi"/>
          <w:szCs w:val="22"/>
        </w:rPr>
        <w:t>F</w:t>
      </w:r>
      <w:r w:rsidRPr="007E65C5">
        <w:rPr>
          <w:rFonts w:cstheme="minorHAnsi"/>
          <w:szCs w:val="22"/>
        </w:rPr>
        <w:t xml:space="preserve">our jurisdictions had supplied 2020 data to AIHW for at least one of </w:t>
      </w:r>
      <w:r w:rsidRPr="009807E9">
        <w:rPr>
          <w:rFonts w:cstheme="minorHAnsi"/>
          <w:b/>
          <w:szCs w:val="22"/>
        </w:rPr>
        <w:t>three antenatal mental health data items</w:t>
      </w:r>
      <w:r w:rsidRPr="007E65C5">
        <w:rPr>
          <w:rFonts w:cstheme="minorHAnsi"/>
          <w:szCs w:val="22"/>
        </w:rPr>
        <w:t xml:space="preserve"> </w:t>
      </w:r>
      <w:r w:rsidR="00C765BE">
        <w:rPr>
          <w:szCs w:val="22"/>
        </w:rPr>
        <w:t xml:space="preserve">and </w:t>
      </w:r>
      <w:r w:rsidR="00C765BE" w:rsidRPr="00BC3786">
        <w:rPr>
          <w:b/>
          <w:szCs w:val="22"/>
        </w:rPr>
        <w:t>one family violence screening item</w:t>
      </w:r>
      <w:r w:rsidR="00C765BE">
        <w:rPr>
          <w:szCs w:val="22"/>
        </w:rPr>
        <w:t xml:space="preserve"> </w:t>
      </w:r>
      <w:r w:rsidRPr="007E65C5">
        <w:rPr>
          <w:rFonts w:cstheme="minorHAnsi"/>
          <w:szCs w:val="22"/>
        </w:rPr>
        <w:t>included in the Perinatal National Best Endeavours Dataset for reporting in the N</w:t>
      </w:r>
      <w:r>
        <w:rPr>
          <w:rFonts w:cstheme="minorHAnsi"/>
          <w:szCs w:val="22"/>
        </w:rPr>
        <w:t>ational Perinatal Data Collection. A</w:t>
      </w:r>
      <w:r w:rsidR="00443C64">
        <w:rPr>
          <w:rFonts w:cstheme="minorHAnsi"/>
          <w:color w:val="000000"/>
          <w:szCs w:val="22"/>
        </w:rPr>
        <w:t xml:space="preserve"> </w:t>
      </w:r>
      <w:r w:rsidR="00443C64" w:rsidRPr="00DA1EE7">
        <w:rPr>
          <w:rFonts w:cstheme="minorHAnsi"/>
          <w:b/>
          <w:bCs/>
          <w:szCs w:val="22"/>
        </w:rPr>
        <w:t xml:space="preserve">Perinatal Mental Health pilot program </w:t>
      </w:r>
      <w:r w:rsidRPr="00DA1EE7">
        <w:rPr>
          <w:rFonts w:cstheme="minorHAnsi"/>
          <w:b/>
          <w:bCs/>
          <w:szCs w:val="22"/>
        </w:rPr>
        <w:t>(PMHp)</w:t>
      </w:r>
      <w:r>
        <w:rPr>
          <w:rFonts w:cstheme="minorHAnsi"/>
          <w:bCs/>
          <w:szCs w:val="22"/>
        </w:rPr>
        <w:t xml:space="preserve"> </w:t>
      </w:r>
      <w:r w:rsidR="00443C64">
        <w:rPr>
          <w:rFonts w:cstheme="minorHAnsi"/>
          <w:bCs/>
          <w:szCs w:val="22"/>
        </w:rPr>
        <w:t xml:space="preserve">is </w:t>
      </w:r>
      <w:r>
        <w:rPr>
          <w:rFonts w:cstheme="minorHAnsi"/>
          <w:bCs/>
          <w:szCs w:val="22"/>
        </w:rPr>
        <w:t xml:space="preserve">also </w:t>
      </w:r>
      <w:r w:rsidR="00443C64">
        <w:rPr>
          <w:rFonts w:cstheme="minorHAnsi"/>
          <w:bCs/>
          <w:szCs w:val="22"/>
        </w:rPr>
        <w:t xml:space="preserve">currently </w:t>
      </w:r>
      <w:r w:rsidR="00443C64" w:rsidRPr="007E65C5">
        <w:rPr>
          <w:rFonts w:cstheme="minorHAnsi"/>
          <w:bCs/>
          <w:szCs w:val="22"/>
        </w:rPr>
        <w:t>being undertaken by the AIHW</w:t>
      </w:r>
      <w:r w:rsidR="00443C64">
        <w:rPr>
          <w:rFonts w:cstheme="minorHAnsi"/>
          <w:bCs/>
          <w:szCs w:val="22"/>
        </w:rPr>
        <w:t xml:space="preserve">, in consultation with </w:t>
      </w:r>
      <w:r w:rsidR="00443C64" w:rsidRPr="007E65C5">
        <w:rPr>
          <w:rFonts w:cstheme="minorHAnsi"/>
          <w:szCs w:val="22"/>
        </w:rPr>
        <w:t>jurisdictions and the Commonwealth</w:t>
      </w:r>
      <w:r w:rsidR="00443C64">
        <w:rPr>
          <w:rFonts w:cstheme="minorHAnsi"/>
          <w:szCs w:val="22"/>
        </w:rPr>
        <w:t xml:space="preserve">, </w:t>
      </w:r>
      <w:r w:rsidR="00443C64" w:rsidRPr="007E65C5">
        <w:rPr>
          <w:rFonts w:cstheme="minorHAnsi"/>
          <w:szCs w:val="22"/>
        </w:rPr>
        <w:t xml:space="preserve">to source </w:t>
      </w:r>
      <w:r w:rsidR="00443C64" w:rsidRPr="007E65C5">
        <w:rPr>
          <w:rFonts w:cstheme="minorHAnsi"/>
          <w:szCs w:val="22"/>
        </w:rPr>
        <w:lastRenderedPageBreak/>
        <w:t>de-identified perinatal mental health screening data from jurisdictions, as well as from the iCOPE digital screening platform.</w:t>
      </w:r>
    </w:p>
    <w:p w14:paraId="40033420" w14:textId="097A541E" w:rsidR="00443C64" w:rsidRDefault="00443C64" w:rsidP="007A6EAC">
      <w:pPr>
        <w:spacing w:after="120"/>
        <w:rPr>
          <w:rFonts w:cstheme="minorHAnsi"/>
          <w:szCs w:val="22"/>
        </w:rPr>
      </w:pPr>
      <w:r>
        <w:rPr>
          <w:rFonts w:cstheme="minorHAnsi"/>
          <w:szCs w:val="22"/>
        </w:rPr>
        <w:t>T</w:t>
      </w:r>
      <w:r w:rsidRPr="00264115">
        <w:rPr>
          <w:rFonts w:cstheme="minorHAnsi"/>
          <w:szCs w:val="22"/>
        </w:rPr>
        <w:t>h</w:t>
      </w:r>
      <w:r w:rsidR="009807E9">
        <w:rPr>
          <w:rFonts w:cstheme="minorHAnsi"/>
          <w:szCs w:val="22"/>
        </w:rPr>
        <w:t xml:space="preserve">ese programs </w:t>
      </w:r>
      <w:r w:rsidRPr="00264115">
        <w:rPr>
          <w:rFonts w:cstheme="minorHAnsi"/>
          <w:szCs w:val="22"/>
        </w:rPr>
        <w:t xml:space="preserve">of data development </w:t>
      </w:r>
      <w:r w:rsidR="00BE4E4A">
        <w:rPr>
          <w:rFonts w:cstheme="minorHAnsi"/>
          <w:szCs w:val="22"/>
        </w:rPr>
        <w:t xml:space="preserve">were </w:t>
      </w:r>
      <w:r>
        <w:rPr>
          <w:rFonts w:cstheme="minorHAnsi"/>
          <w:szCs w:val="22"/>
        </w:rPr>
        <w:t xml:space="preserve">recognised by stakeholders as </w:t>
      </w:r>
      <w:r w:rsidRPr="00264115">
        <w:rPr>
          <w:rFonts w:cstheme="minorHAnsi"/>
          <w:szCs w:val="22"/>
        </w:rPr>
        <w:t>a significant step forward</w:t>
      </w:r>
      <w:r>
        <w:rPr>
          <w:rFonts w:cstheme="minorHAnsi"/>
          <w:szCs w:val="22"/>
        </w:rPr>
        <w:t xml:space="preserve">, while noting </w:t>
      </w:r>
      <w:r w:rsidR="009807E9">
        <w:rPr>
          <w:rFonts w:cstheme="minorHAnsi"/>
          <w:szCs w:val="22"/>
        </w:rPr>
        <w:t xml:space="preserve">that </w:t>
      </w:r>
      <w:r w:rsidR="00FE0E5F">
        <w:rPr>
          <w:rFonts w:cstheme="minorHAnsi"/>
          <w:szCs w:val="22"/>
        </w:rPr>
        <w:t>they are</w:t>
      </w:r>
      <w:r w:rsidR="009807E9">
        <w:rPr>
          <w:rFonts w:cstheme="minorHAnsi"/>
          <w:szCs w:val="22"/>
        </w:rPr>
        <w:t xml:space="preserve"> largely</w:t>
      </w:r>
      <w:r w:rsidR="00FB0C38">
        <w:rPr>
          <w:rFonts w:cstheme="minorHAnsi"/>
          <w:szCs w:val="22"/>
        </w:rPr>
        <w:t xml:space="preserve"> </w:t>
      </w:r>
      <w:r w:rsidRPr="00264115">
        <w:rPr>
          <w:rFonts w:cstheme="minorHAnsi"/>
          <w:szCs w:val="22"/>
        </w:rPr>
        <w:t>limited to information about screening</w:t>
      </w:r>
      <w:r>
        <w:rPr>
          <w:rFonts w:cstheme="minorHAnsi"/>
          <w:szCs w:val="22"/>
        </w:rPr>
        <w:t xml:space="preserve"> and need to be expanded to include data on service utilisation and outcomes.</w:t>
      </w:r>
      <w:r w:rsidR="009807E9">
        <w:rPr>
          <w:rFonts w:cstheme="minorHAnsi"/>
          <w:szCs w:val="22"/>
        </w:rPr>
        <w:t xml:space="preserve"> </w:t>
      </w:r>
      <w:r w:rsidR="00DA1EE7">
        <w:rPr>
          <w:rFonts w:cstheme="minorHAnsi"/>
          <w:szCs w:val="22"/>
        </w:rPr>
        <w:t xml:space="preserve">Stakeholders also </w:t>
      </w:r>
      <w:r w:rsidR="009807E9" w:rsidRPr="00650204">
        <w:rPr>
          <w:rFonts w:cstheme="minorHAnsi"/>
          <w:color w:val="000000"/>
          <w:szCs w:val="22"/>
        </w:rPr>
        <w:t xml:space="preserve">cautioned that service use data often only mirrors what services are funded to deliver </w:t>
      </w:r>
      <w:r w:rsidR="00FE0E5F">
        <w:rPr>
          <w:rFonts w:cstheme="minorHAnsi"/>
          <w:color w:val="000000"/>
          <w:szCs w:val="22"/>
        </w:rPr>
        <w:t>and may not</w:t>
      </w:r>
      <w:r w:rsidR="009807E9" w:rsidRPr="00650204">
        <w:rPr>
          <w:rFonts w:cstheme="minorHAnsi"/>
          <w:color w:val="000000"/>
          <w:szCs w:val="22"/>
        </w:rPr>
        <w:t xml:space="preserve"> </w:t>
      </w:r>
      <w:r w:rsidR="00FE0E5F">
        <w:rPr>
          <w:rFonts w:cstheme="minorHAnsi"/>
          <w:color w:val="000000"/>
          <w:szCs w:val="22"/>
        </w:rPr>
        <w:t xml:space="preserve">reflect </w:t>
      </w:r>
      <w:r w:rsidR="006B1F8B">
        <w:rPr>
          <w:rFonts w:cstheme="minorHAnsi"/>
          <w:color w:val="000000"/>
          <w:szCs w:val="22"/>
        </w:rPr>
        <w:t xml:space="preserve">service user needs </w:t>
      </w:r>
      <w:r w:rsidR="00FE0E5F">
        <w:rPr>
          <w:rFonts w:cstheme="minorHAnsi"/>
          <w:color w:val="000000"/>
          <w:szCs w:val="22"/>
        </w:rPr>
        <w:t>accurately</w:t>
      </w:r>
      <w:r w:rsidR="006B1F8B">
        <w:rPr>
          <w:rFonts w:cstheme="minorHAnsi"/>
          <w:color w:val="000000"/>
          <w:szCs w:val="22"/>
        </w:rPr>
        <w:t>.</w:t>
      </w:r>
    </w:p>
    <w:p w14:paraId="55F39288" w14:textId="43B21282" w:rsidR="00443C64" w:rsidRDefault="00443C64" w:rsidP="007A6EAC">
      <w:pPr>
        <w:spacing w:after="120"/>
        <w:rPr>
          <w:lang w:eastAsia="zh-CN" w:bidi="th-TH"/>
        </w:rPr>
      </w:pPr>
      <w:r>
        <w:rPr>
          <w:lang w:eastAsia="zh-CN" w:bidi="th-TH"/>
        </w:rPr>
        <w:t xml:space="preserve">Two scoping reviews published in 2019 found that </w:t>
      </w:r>
      <w:r w:rsidRPr="00D928E9">
        <w:rPr>
          <w:lang w:eastAsia="zh-CN" w:bidi="th-TH"/>
        </w:rPr>
        <w:t>midwives lack confidence, skills and knowledge in providing mental health support</w:t>
      </w:r>
      <w:r>
        <w:rPr>
          <w:lang w:eastAsia="zh-CN" w:bidi="th-TH"/>
        </w:rPr>
        <w:t>,</w:t>
      </w:r>
      <w:r>
        <w:rPr>
          <w:lang w:eastAsia="zh-CN" w:bidi="th-TH"/>
        </w:rPr>
        <w:fldChar w:fldCharType="begin">
          <w:fldData xml:space="preserve">PEVuZE5vdGU+PENpdGU+PEF1dGhvcj5Db2F0ZXM8L0F1dGhvcj48WWVhcj4yMDE5PC9ZZWFyPjxS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</w:fldData>
        </w:fldChar>
      </w:r>
      <w:r w:rsidR="00267BD0">
        <w:rPr>
          <w:lang w:eastAsia="zh-CN" w:bidi="th-TH"/>
        </w:rPr>
        <w:instrText xml:space="preserve"> ADDIN EN.CITE </w:instrText>
      </w:r>
      <w:r w:rsidR="00267BD0">
        <w:rPr>
          <w:lang w:eastAsia="zh-CN" w:bidi="th-TH"/>
        </w:rPr>
        <w:fldChar w:fldCharType="begin">
          <w:fldData xml:space="preserve">PEVuZE5vdGU+PENpdGU+PEF1dGhvcj5Db2F0ZXM8L0F1dGhvcj48WWVhcj4yMDE5PC9ZZWFyPjxS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</w:fldData>
        </w:fldChar>
      </w:r>
      <w:r w:rsidR="00267BD0">
        <w:rPr>
          <w:lang w:eastAsia="zh-CN" w:bidi="th-TH"/>
        </w:rPr>
        <w:instrText xml:space="preserve"> ADDIN EN.CITE.DATA </w:instrText>
      </w:r>
      <w:r w:rsidR="00267BD0">
        <w:rPr>
          <w:lang w:eastAsia="zh-CN" w:bidi="th-TH"/>
        </w:rPr>
      </w:r>
      <w:r w:rsidR="00267BD0">
        <w:rPr>
          <w:lang w:eastAsia="zh-CN" w:bidi="th-TH"/>
        </w:rPr>
        <w:fldChar w:fldCharType="end"/>
      </w:r>
      <w:r>
        <w:rPr>
          <w:lang w:eastAsia="zh-CN" w:bidi="th-TH"/>
        </w:rPr>
      </w:r>
      <w:r>
        <w:rPr>
          <w:lang w:eastAsia="zh-CN" w:bidi="th-TH"/>
        </w:rPr>
        <w:fldChar w:fldCharType="separate"/>
      </w:r>
      <w:r w:rsidR="00267BD0" w:rsidRPr="00267BD0">
        <w:rPr>
          <w:noProof/>
          <w:vertAlign w:val="superscript"/>
          <w:lang w:eastAsia="zh-CN" w:bidi="th-TH"/>
        </w:rPr>
        <w:t>36,37</w:t>
      </w:r>
      <w:r>
        <w:rPr>
          <w:lang w:eastAsia="zh-CN" w:bidi="th-TH"/>
        </w:rPr>
        <w:fldChar w:fldCharType="end"/>
      </w:r>
      <w:r w:rsidRPr="00D928E9">
        <w:rPr>
          <w:lang w:eastAsia="zh-CN" w:bidi="th-TH"/>
        </w:rPr>
        <w:t xml:space="preserve"> </w:t>
      </w:r>
      <w:r w:rsidR="004347F9">
        <w:rPr>
          <w:lang w:eastAsia="zh-CN" w:bidi="th-TH"/>
        </w:rPr>
        <w:t>and</w:t>
      </w:r>
      <w:r w:rsidRPr="00D928E9">
        <w:rPr>
          <w:lang w:eastAsia="zh-CN" w:bidi="th-TH"/>
        </w:rPr>
        <w:t xml:space="preserve"> that this is not due to a lack of willingness but rather limited access to training and information.</w:t>
      </w:r>
      <w:r>
        <w:rPr>
          <w:lang w:eastAsia="zh-CN" w:bidi="th-TH"/>
        </w:rPr>
        <w:fldChar w:fldCharType="begin"/>
      </w:r>
      <w:r w:rsidR="00267BD0">
        <w:rPr>
          <w:lang w:eastAsia="zh-CN" w:bidi="th-TH"/>
        </w:rPr>
        <w:instrText xml:space="preserve"> ADDIN EN.CITE &lt;EndNote&gt;&lt;Cite&gt;&lt;Author&gt;Coates&lt;/Author&gt;&lt;Year&gt;2019&lt;/Year&gt;&lt;RecNum&gt;202&lt;/RecNum&gt;&lt;DisplayText&gt;&lt;style face="superscript"&gt;36&lt;/style&gt;&lt;/DisplayText&gt;&lt;record&gt;&lt;rec-number&gt;202&lt;/rec-number&gt;&lt;foreign-keys&gt;&lt;key app="EN" db-id="ewrsr2203a2a0veserrv55dezzwsepr5psw2" timestamp="1663656154"&gt;202&lt;/key&gt;&lt;/foreign-keys&gt;&lt;ref-type name="Journal Article"&gt;17&lt;/ref-type&gt;&lt;contributors&gt;&lt;authors&gt;&lt;author&gt;Coates, Dominiek&lt;/author&gt;&lt;author&gt;Foureur, Maralyn&lt;/author&gt;&lt;/authors&gt;&lt;/contributors&gt;&lt;titles&gt;&lt;title&gt;The role and competence of midwives in supporting women with mental health concerns during the perinatal period: A scoping review&lt;/title&gt;&lt;secondary-title&gt;Health &amp;amp; Social Care in the Community&lt;/secondary-title&gt;&lt;/titles&gt;&lt;periodical&gt;&lt;full-title&gt;Health &amp;amp; Social Care in the Community&lt;/full-title&gt;&lt;/periodical&gt;&lt;pages&gt;e389-e405&lt;/pages&gt;&lt;volume&gt;27&lt;/volume&gt;&lt;number&gt;4&lt;/number&gt;&lt;dates&gt;&lt;year&gt;2019&lt;/year&gt;&lt;/dates&gt;&lt;isbn&gt;0966-0410&lt;/isbn&gt;&lt;urls&gt;&lt;related-urls&gt;&lt;url&gt;https://onlinelibrary.wiley.com/doi/abs/10.1111/hsc.12740&lt;/url&gt;&lt;/related-urls&gt;&lt;/urls&gt;&lt;electronic-resource-num&gt;https://doi.org/10.1111/hsc.12740&lt;/electronic-resource-num&gt;&lt;/record&gt;&lt;/Cite&gt;&lt;/EndNote&gt;</w:instrText>
      </w:r>
      <w:r>
        <w:rPr>
          <w:lang w:eastAsia="zh-CN" w:bidi="th-TH"/>
        </w:rPr>
        <w:fldChar w:fldCharType="separate"/>
      </w:r>
      <w:r w:rsidR="00267BD0" w:rsidRPr="00267BD0">
        <w:rPr>
          <w:noProof/>
          <w:vertAlign w:val="superscript"/>
          <w:lang w:eastAsia="zh-CN" w:bidi="th-TH"/>
        </w:rPr>
        <w:t>36</w:t>
      </w:r>
      <w:r>
        <w:rPr>
          <w:lang w:eastAsia="zh-CN" w:bidi="th-TH"/>
        </w:rPr>
        <w:fldChar w:fldCharType="end"/>
      </w:r>
      <w:r>
        <w:rPr>
          <w:lang w:eastAsia="zh-CN" w:bidi="th-TH"/>
        </w:rPr>
        <w:t xml:space="preserve"> In addition to training packages developed and delivered by jurisdictions, opportunities for midwives and other health professionals working in maternity services to enhance their knowledge and skills in perinatal mental health generally appear to involve formal training programs, often targeting health professionals whose primary clinical focus is perinatal mental health. Examples include:</w:t>
      </w:r>
    </w:p>
    <w:p w14:paraId="7C493C40" w14:textId="77777777" w:rsidR="00443C64" w:rsidRDefault="00443C64" w:rsidP="003A4C93">
      <w:pPr>
        <w:pStyle w:val="Bullets"/>
        <w:numPr>
          <w:ilvl w:val="0"/>
          <w:numId w:val="10"/>
        </w:numPr>
        <w:rPr>
          <w:lang w:eastAsia="zh-CN"/>
        </w:rPr>
      </w:pPr>
      <w:r>
        <w:rPr>
          <w:lang w:eastAsia="zh-CN"/>
        </w:rPr>
        <w:t xml:space="preserve">Courses run by the Centre of Perinatal Excellence (COPE), </w:t>
      </w:r>
      <w:r w:rsidRPr="00650204">
        <w:rPr>
          <w:lang w:eastAsia="zh-CN"/>
        </w:rPr>
        <w:t>Perinatal Anxiety &amp; Depression Australia (PANDA)</w:t>
      </w:r>
      <w:r>
        <w:rPr>
          <w:lang w:eastAsia="zh-CN"/>
        </w:rPr>
        <w:t xml:space="preserve">, the </w:t>
      </w:r>
      <w:r w:rsidRPr="00650204">
        <w:rPr>
          <w:lang w:eastAsia="zh-CN"/>
        </w:rPr>
        <w:t>Gidget Foundation Australia</w:t>
      </w:r>
      <w:r>
        <w:rPr>
          <w:lang w:eastAsia="zh-CN"/>
        </w:rPr>
        <w:t xml:space="preserve"> and t</w:t>
      </w:r>
      <w:r w:rsidRPr="00650204">
        <w:rPr>
          <w:lang w:eastAsia="zh-CN"/>
        </w:rPr>
        <w:t>he Centre for Perinatal Psychology</w:t>
      </w:r>
      <w:r>
        <w:rPr>
          <w:lang w:eastAsia="zh-CN"/>
        </w:rPr>
        <w:t>.</w:t>
      </w:r>
    </w:p>
    <w:p w14:paraId="20996314" w14:textId="77777777" w:rsidR="00443C64" w:rsidRPr="00650204" w:rsidRDefault="00443C64" w:rsidP="00443C64">
      <w:pPr>
        <w:pStyle w:val="Bullets"/>
        <w:rPr>
          <w:lang w:eastAsia="zh-CN"/>
        </w:rPr>
      </w:pPr>
      <w:r w:rsidRPr="00650204">
        <w:rPr>
          <w:lang w:eastAsia="zh-CN"/>
        </w:rPr>
        <w:t>Courses such as the Graduate Certificate in Perinatal Mental Health offered by the University of South Australia which is open to nurses and midwives.</w:t>
      </w:r>
    </w:p>
    <w:p w14:paraId="377ACB9C" w14:textId="77777777" w:rsidR="00443C64" w:rsidRDefault="00443C64" w:rsidP="003A4C93">
      <w:pPr>
        <w:pStyle w:val="Bullets"/>
        <w:numPr>
          <w:ilvl w:val="0"/>
          <w:numId w:val="10"/>
        </w:numPr>
      </w:pPr>
      <w:r>
        <w:t>New perinatal mental health scholarships and training opportunities for the maternity workforce in Western Australia</w:t>
      </w:r>
    </w:p>
    <w:p w14:paraId="7CE1F53D" w14:textId="77777777" w:rsidR="00443C64" w:rsidRDefault="00443C64" w:rsidP="003A4C93">
      <w:pPr>
        <w:pStyle w:val="Bullets"/>
        <w:numPr>
          <w:ilvl w:val="0"/>
          <w:numId w:val="10"/>
        </w:numPr>
      </w:pPr>
      <w:r>
        <w:t>The Perinatal Interprofessional Psychosocial Education Program for Maternity Clinicians (PIPE-MC), which has seven consortium partners including the Royal Australian and New Zealand College of Obstetricians and Gynaecologists and the Australian College of Midwives.</w:t>
      </w:r>
    </w:p>
    <w:p w14:paraId="038A0FA3" w14:textId="77777777" w:rsidR="00443C64" w:rsidRDefault="00443C64" w:rsidP="00443C64">
      <w:r w:rsidRPr="00D8501C">
        <w:t>Stakeholders commented on the important role of non-government organisations in providing training, guidance, health promotion and advocacy in this area, as well as delivering clinical services. They expressed concern about instability and inconsistency in government funding which affect</w:t>
      </w:r>
      <w:r>
        <w:t xml:space="preserve">s </w:t>
      </w:r>
      <w:r w:rsidRPr="00D8501C">
        <w:t>the sustainability of service delivery. Several jurisdictions are reviewing policies relating to perinatal mental health.</w:t>
      </w:r>
    </w:p>
    <w:p w14:paraId="62869809" w14:textId="1C4A4167" w:rsidR="00443C64" w:rsidRDefault="00FE0E5F" w:rsidP="00443C64">
      <w:pPr>
        <w:pStyle w:val="Heading3"/>
        <w:ind w:left="709" w:hanging="709"/>
      </w:pPr>
      <w:r>
        <w:t>Next steps</w:t>
      </w:r>
    </w:p>
    <w:p w14:paraId="2E8B2D82" w14:textId="77777777" w:rsidR="00443C64" w:rsidRDefault="00443C64" w:rsidP="00DA1EE7">
      <w:pPr>
        <w:spacing w:after="120"/>
        <w:rPr>
          <w:rFonts w:cstheme="minorHAnsi"/>
          <w:szCs w:val="22"/>
        </w:rPr>
      </w:pPr>
      <w:r>
        <w:rPr>
          <w:rFonts w:cstheme="minorHAnsi"/>
          <w:szCs w:val="22"/>
        </w:rPr>
        <w:t>The environment scan and stakeholder interviews identified various issues that require attention to ensure that perinatal mental health screening is conducted appropriately:</w:t>
      </w:r>
    </w:p>
    <w:p w14:paraId="33767E24" w14:textId="264857C0" w:rsidR="00C765BE" w:rsidRPr="00975B32" w:rsidRDefault="00DA1EE7" w:rsidP="00975B32">
      <w:pPr>
        <w:pStyle w:val="Bullets"/>
      </w:pPr>
      <w:r w:rsidRPr="00975B32">
        <w:t>Not all settings have</w:t>
      </w:r>
      <w:r w:rsidR="009807E9" w:rsidRPr="00975B32">
        <w:rPr>
          <w:rFonts w:cstheme="minorHAnsi"/>
          <w:szCs w:val="22"/>
        </w:rPr>
        <w:t xml:space="preserve"> processes in place to ensure that screening is conducted using evidence-based tools.</w:t>
      </w:r>
      <w:r w:rsidR="00C765BE" w:rsidRPr="00975B32">
        <w:rPr>
          <w:rFonts w:cstheme="minorHAnsi"/>
          <w:szCs w:val="22"/>
        </w:rPr>
        <w:t xml:space="preserve"> </w:t>
      </w:r>
      <w:r w:rsidR="00975B32" w:rsidRPr="00975B32">
        <w:t>For example, psychosocial risk factors are assessed using a variety of tools including the Antenatal Risk Questionnaire / Postnatal Risk Questionnaire</w:t>
      </w:r>
      <w:r w:rsidR="00975B32" w:rsidRPr="00975B32">
        <w:rPr>
          <w:b/>
          <w:bCs/>
        </w:rPr>
        <w:t xml:space="preserve">, </w:t>
      </w:r>
      <w:r w:rsidR="00975B32" w:rsidRPr="00975B32">
        <w:t>Antenatal Risk Questionnaire-Revised, SAFE START psychosocial questions, Part 2 of the Kimberley Mum’s Mood Scale, Canberra Health Service’s Perinatal Psychosocial Screening Assessment and Tasmania’s psychosoci</w:t>
      </w:r>
      <w:r w:rsidR="00975B32">
        <w:t>al questions. There</w:t>
      </w:r>
      <w:r w:rsidR="00C765BE" w:rsidRPr="00975B32">
        <w:t xml:space="preserve"> are differences in wording, questions, and timing of psychosocial screening, and differences in the extent to which these individual tools have been validated.</w:t>
      </w:r>
    </w:p>
    <w:p w14:paraId="2C5D91D2" w14:textId="3D87323E" w:rsidR="00443C64" w:rsidRDefault="00443C64" w:rsidP="003A4C93">
      <w:pPr>
        <w:pStyle w:val="Bullets"/>
        <w:numPr>
          <w:ilvl w:val="0"/>
          <w:numId w:val="10"/>
        </w:numPr>
      </w:pPr>
      <w:r>
        <w:t>There are barriers to the implementation of iCOPE, including v</w:t>
      </w:r>
      <w:r w:rsidRPr="00C66A26">
        <w:t>ariation</w:t>
      </w:r>
      <w:r>
        <w:t>s within and between jurisdictions</w:t>
      </w:r>
      <w:r w:rsidRPr="00C261E4">
        <w:t xml:space="preserve"> in priorities, policies and models of service delivery</w:t>
      </w:r>
      <w:r>
        <w:t>,</w:t>
      </w:r>
      <w:r w:rsidRPr="00C261E4">
        <w:t xml:space="preserve"> </w:t>
      </w:r>
      <w:r>
        <w:t>and difficulties integrating</w:t>
      </w:r>
      <w:r w:rsidRPr="00C261E4">
        <w:t xml:space="preserve"> </w:t>
      </w:r>
      <w:r>
        <w:t xml:space="preserve">iCOPE with existing </w:t>
      </w:r>
      <w:r w:rsidR="00C765BE">
        <w:t xml:space="preserve">and/or in-development </w:t>
      </w:r>
      <w:r>
        <w:t>information systems.</w:t>
      </w:r>
    </w:p>
    <w:p w14:paraId="22E1D472" w14:textId="3D3ECDFC" w:rsidR="00443C64" w:rsidRPr="0041498F" w:rsidRDefault="00443C64" w:rsidP="003A4C93">
      <w:pPr>
        <w:pStyle w:val="Bullets"/>
        <w:numPr>
          <w:ilvl w:val="0"/>
          <w:numId w:val="10"/>
        </w:numPr>
      </w:pPr>
      <w:r>
        <w:rPr>
          <w:rFonts w:cstheme="minorHAnsi"/>
          <w:szCs w:val="22"/>
        </w:rPr>
        <w:t xml:space="preserve">There is a need for greater clarity about the claiming of MBS items for </w:t>
      </w:r>
      <w:r w:rsidR="009807E9">
        <w:rPr>
          <w:rFonts w:cstheme="minorHAnsi"/>
          <w:szCs w:val="22"/>
        </w:rPr>
        <w:t>mental health screening by GPs and obstetricians.</w:t>
      </w:r>
    </w:p>
    <w:p w14:paraId="4C9FCD7D" w14:textId="0003BB2A" w:rsidR="00443C64" w:rsidRDefault="00443C64" w:rsidP="003A4C93">
      <w:pPr>
        <w:pStyle w:val="Bullets"/>
        <w:numPr>
          <w:ilvl w:val="0"/>
          <w:numId w:val="10"/>
        </w:numPr>
        <w:rPr>
          <w:lang w:eastAsia="zh-CN"/>
        </w:rPr>
      </w:pPr>
      <w:r>
        <w:rPr>
          <w:lang w:eastAsia="zh-CN"/>
        </w:rPr>
        <w:t xml:space="preserve">There is a lack of evidence to support use of the </w:t>
      </w:r>
      <w:r w:rsidRPr="00A76F95">
        <w:rPr>
          <w:lang w:eastAsia="zh-CN"/>
        </w:rPr>
        <w:t xml:space="preserve">Edinburgh Postnatal Depression Scale </w:t>
      </w:r>
      <w:r>
        <w:rPr>
          <w:lang w:eastAsia="zh-CN"/>
        </w:rPr>
        <w:t xml:space="preserve">(generally </w:t>
      </w:r>
      <w:r w:rsidRPr="00A76F95">
        <w:rPr>
          <w:lang w:eastAsia="zh-CN"/>
        </w:rPr>
        <w:t xml:space="preserve">considered </w:t>
      </w:r>
      <w:r>
        <w:rPr>
          <w:lang w:eastAsia="zh-CN"/>
        </w:rPr>
        <w:t xml:space="preserve">to be </w:t>
      </w:r>
      <w:r w:rsidRPr="00A76F95">
        <w:rPr>
          <w:lang w:eastAsia="zh-CN"/>
        </w:rPr>
        <w:t>the gold standard</w:t>
      </w:r>
      <w:r>
        <w:rPr>
          <w:lang w:eastAsia="zh-CN"/>
        </w:rPr>
        <w:t>) to screen the perinatal mental health of Aboriginal and Torres Strait Islander women, indicating the need to develop a more suitable tool.</w:t>
      </w:r>
      <w:r>
        <w:rPr>
          <w:lang w:eastAsia="zh-CN"/>
        </w:rPr>
        <w:fldChar w:fldCharType="begin"/>
      </w:r>
      <w:r w:rsidR="00267BD0">
        <w:rPr>
          <w:lang w:eastAsia="zh-CN"/>
        </w:rPr>
        <w:instrText xml:space="preserve"> ADDIN EN.CITE &lt;EndNote&gt;&lt;Cite&gt;&lt;Author&gt;Kotz&lt;/Author&gt;&lt;Year&gt;2021&lt;/Year&gt;&lt;RecNum&gt;225&lt;/RecNum&gt;&lt;DisplayText&gt;&lt;style face="superscript"&gt;38&lt;/style&gt;&lt;/DisplayText&gt;&lt;record&gt;&lt;rec-number&gt;225&lt;/rec-number&gt;&lt;foreign-keys&gt;&lt;key app="EN" db-id="ewrsr2203a2a0veserrv55dezzwsepr5psw2" timestamp="1663656155"&gt;225&lt;/key&gt;&lt;/foreign-keys&gt;&lt;ref-type name="Journal Article"&gt;17&lt;/ref-type&gt;&lt;contributors&gt;&lt;authors&gt;&lt;author&gt;Kotz, Jayne&lt;/author&gt;&lt;author&gt;Marriott, Rhonda&lt;/author&gt;&lt;author&gt;Reid, Corinne&lt;/author&gt;&lt;/authors&gt;&lt;/contributors&gt;&lt;titles&gt;&lt;title&gt;The EPDS and Australian Indigenous women: A systematic review of the literature&lt;/title&gt;&lt;secondary-title&gt;Women and Birth&lt;/secondary-title&gt;&lt;/titles&gt;&lt;periodical&gt;&lt;full-title&gt;Women and Birth&lt;/full-title&gt;&lt;/periodical&gt;&lt;pages&gt;e128-e134&lt;/pages&gt;&lt;volume&gt;34&lt;/volume&gt;&lt;number&gt;2&lt;/number&gt;&lt;keywords&gt;&lt;keyword&gt;EPDS&lt;/keyword&gt;&lt;keyword&gt;Australian aboriginal&lt;/keyword&gt;&lt;keyword&gt;Indigenous&lt;/keyword&gt;&lt;keyword&gt;Perinatal&lt;/keyword&gt;&lt;keyword&gt;Mental health&lt;/keyword&gt;&lt;keyword&gt;Screening&lt;/keyword&gt;&lt;/keywords&gt;&lt;dates&gt;&lt;year&gt;2021&lt;/year&gt;&lt;pub-dates&gt;&lt;date&gt;2021/03/01/&lt;/date&gt;&lt;/pub-dates&gt;&lt;/dates&gt;&lt;isbn&gt;1871-5192&lt;/isbn&gt;&lt;urls&gt;&lt;related-urls&gt;&lt;url&gt;https://www.sciencedirect.com/science/article/pii/S1871519219302574&lt;/url&gt;&lt;/related-urls&gt;&lt;/urls&gt;&lt;electronic-resource-num&gt;https://doi.org/10.1016/j.wombi.2020.02.007&lt;/electronic-resource-num&gt;&lt;/record&gt;&lt;/Cite&gt;&lt;/EndNote&gt;</w:instrText>
      </w:r>
      <w:r>
        <w:rPr>
          <w:lang w:eastAsia="zh-CN"/>
        </w:rPr>
        <w:fldChar w:fldCharType="separate"/>
      </w:r>
      <w:r w:rsidR="00267BD0" w:rsidRPr="00267BD0">
        <w:rPr>
          <w:noProof/>
          <w:vertAlign w:val="superscript"/>
          <w:lang w:eastAsia="zh-CN"/>
        </w:rPr>
        <w:t>38</w:t>
      </w:r>
      <w:r>
        <w:rPr>
          <w:lang w:eastAsia="zh-CN"/>
        </w:rPr>
        <w:fldChar w:fldCharType="end"/>
      </w:r>
      <w:r>
        <w:rPr>
          <w:lang w:eastAsia="zh-CN"/>
        </w:rPr>
        <w:t xml:space="preserve"> Validation of the </w:t>
      </w:r>
      <w:r w:rsidRPr="00F05AEB">
        <w:rPr>
          <w:b/>
          <w:lang w:eastAsia="zh-CN"/>
        </w:rPr>
        <w:t>Kimberley Mum</w:t>
      </w:r>
      <w:r w:rsidR="00975B32">
        <w:rPr>
          <w:b/>
          <w:lang w:eastAsia="zh-CN"/>
        </w:rPr>
        <w:t>’</w:t>
      </w:r>
      <w:r w:rsidRPr="00F05AEB">
        <w:rPr>
          <w:b/>
          <w:lang w:eastAsia="zh-CN"/>
        </w:rPr>
        <w:t>s Mood Scale</w:t>
      </w:r>
      <w:r>
        <w:rPr>
          <w:lang w:eastAsia="zh-CN"/>
        </w:rPr>
        <w:t xml:space="preserve"> and evaluation of the </w:t>
      </w:r>
      <w:r w:rsidRPr="00F05AEB">
        <w:rPr>
          <w:b/>
          <w:lang w:eastAsia="zh-CN"/>
        </w:rPr>
        <w:t>‘Baby Coming, You Ready’</w:t>
      </w:r>
      <w:r>
        <w:rPr>
          <w:lang w:eastAsia="zh-CN"/>
        </w:rPr>
        <w:t xml:space="preserve"> program are two examples of current work</w:t>
      </w:r>
      <w:r w:rsidR="006B1F8B">
        <w:rPr>
          <w:lang w:eastAsia="zh-CN"/>
        </w:rPr>
        <w:t>.</w:t>
      </w:r>
    </w:p>
    <w:p w14:paraId="6F464872" w14:textId="71F2B3D6" w:rsidR="00D90A00" w:rsidRDefault="00DA1EE7" w:rsidP="00D90A00">
      <w:pPr>
        <w:spacing w:after="120"/>
        <w:rPr>
          <w:rFonts w:cstheme="minorHAnsi"/>
          <w:szCs w:val="22"/>
        </w:rPr>
      </w:pPr>
      <w:r>
        <w:rPr>
          <w:rFonts w:cstheme="minorHAnsi"/>
          <w:color w:val="000000"/>
          <w:szCs w:val="22"/>
        </w:rPr>
        <w:lastRenderedPageBreak/>
        <w:t xml:space="preserve">Resources for </w:t>
      </w:r>
      <w:r w:rsidRPr="00650204">
        <w:rPr>
          <w:rFonts w:cstheme="minorHAnsi"/>
          <w:color w:val="000000"/>
          <w:szCs w:val="22"/>
        </w:rPr>
        <w:t>identifying appropriate local support options</w:t>
      </w:r>
      <w:r>
        <w:rPr>
          <w:rFonts w:cstheme="minorHAnsi"/>
          <w:color w:val="000000"/>
          <w:szCs w:val="22"/>
        </w:rPr>
        <w:t xml:space="preserve"> include the</w:t>
      </w:r>
      <w:r w:rsidR="00853C7E" w:rsidRPr="00650204">
        <w:rPr>
          <w:rFonts w:cstheme="minorHAnsi"/>
          <w:color w:val="000000"/>
          <w:szCs w:val="22"/>
        </w:rPr>
        <w:t xml:space="preserve"> </w:t>
      </w:r>
      <w:r w:rsidR="00853C7E" w:rsidRPr="00650204">
        <w:rPr>
          <w:rFonts w:cstheme="minorHAnsi"/>
          <w:b/>
          <w:color w:val="000000"/>
          <w:szCs w:val="22"/>
        </w:rPr>
        <w:t>e-COPE Directory</w:t>
      </w:r>
      <w:r w:rsidR="00853C7E" w:rsidRPr="00650204">
        <w:rPr>
          <w:rFonts w:cstheme="minorHAnsi"/>
          <w:color w:val="000000"/>
          <w:szCs w:val="22"/>
        </w:rPr>
        <w:t xml:space="preserve"> </w:t>
      </w:r>
      <w:r>
        <w:rPr>
          <w:rFonts w:cstheme="minorHAnsi"/>
          <w:color w:val="000000"/>
          <w:szCs w:val="22"/>
        </w:rPr>
        <w:t>and</w:t>
      </w:r>
      <w:r w:rsidR="00853C7E" w:rsidRPr="00650204">
        <w:rPr>
          <w:rFonts w:cstheme="minorHAnsi"/>
          <w:color w:val="000000"/>
          <w:szCs w:val="22"/>
        </w:rPr>
        <w:t xml:space="preserve"> care navigator positions funded as part of the national </w:t>
      </w:r>
      <w:r w:rsidR="00853C7E" w:rsidRPr="004E0AFB">
        <w:rPr>
          <w:rFonts w:cstheme="minorHAnsi"/>
          <w:b/>
          <w:color w:val="000000"/>
          <w:szCs w:val="22"/>
        </w:rPr>
        <w:t>For When</w:t>
      </w:r>
      <w:r w:rsidR="00853C7E" w:rsidRPr="00F97161">
        <w:rPr>
          <w:rFonts w:cstheme="minorHAnsi"/>
          <w:color w:val="000000"/>
          <w:szCs w:val="22"/>
        </w:rPr>
        <w:t xml:space="preserve"> program.</w:t>
      </w:r>
      <w:r w:rsidR="00853C7E" w:rsidRPr="00650204">
        <w:rPr>
          <w:rFonts w:cstheme="minorHAnsi"/>
          <w:color w:val="000000"/>
          <w:szCs w:val="22"/>
        </w:rPr>
        <w:t xml:space="preserve"> </w:t>
      </w:r>
      <w:r w:rsidR="00B46455">
        <w:rPr>
          <w:rFonts w:cstheme="minorHAnsi"/>
          <w:color w:val="000000"/>
          <w:szCs w:val="22"/>
        </w:rPr>
        <w:t xml:space="preserve">The For When national helpline is funded under the Commonwealth Perinatal Mental Health and Wellbeing Program and seeks to connect expectant and new parents experiencing mental health issues with a place-based navigator with knowledge of local services and support options. </w:t>
      </w:r>
      <w:r w:rsidR="00853C7E">
        <w:t>However, s</w:t>
      </w:r>
      <w:r w:rsidR="00443C64">
        <w:t xml:space="preserve">takeholders raised concerns about there being insufficient resources to respond to the needs identified by </w:t>
      </w:r>
      <w:r w:rsidR="00443C64">
        <w:rPr>
          <w:rFonts w:cstheme="minorHAnsi"/>
          <w:szCs w:val="22"/>
        </w:rPr>
        <w:t xml:space="preserve">perinatal mental health screening. In particular, they believed that the development of </w:t>
      </w:r>
      <w:r w:rsidR="00853C7E">
        <w:rPr>
          <w:rFonts w:cstheme="minorHAnsi"/>
          <w:szCs w:val="22"/>
        </w:rPr>
        <w:t xml:space="preserve">specialist perinatal mental health care, including </w:t>
      </w:r>
      <w:r w:rsidR="00443C64">
        <w:rPr>
          <w:rFonts w:cstheme="minorHAnsi"/>
          <w:szCs w:val="22"/>
        </w:rPr>
        <w:t>mother-baby units</w:t>
      </w:r>
      <w:r w:rsidR="00853C7E">
        <w:rPr>
          <w:rFonts w:cstheme="minorHAnsi"/>
          <w:szCs w:val="22"/>
        </w:rPr>
        <w:t>,</w:t>
      </w:r>
      <w:r w:rsidR="00443C64">
        <w:rPr>
          <w:rFonts w:cstheme="minorHAnsi"/>
          <w:szCs w:val="22"/>
        </w:rPr>
        <w:t xml:space="preserve"> had not kept pace with demand, especially in regional and rural areas.</w:t>
      </w:r>
    </w:p>
    <w:p w14:paraId="4B1A4B4C" w14:textId="2A2FE964" w:rsidR="00D90A00" w:rsidRDefault="00D90A00" w:rsidP="00D90A00">
      <w:pPr>
        <w:spacing w:after="120"/>
        <w:rPr>
          <w:rFonts w:cstheme="minorHAnsi"/>
          <w:szCs w:val="22"/>
        </w:rPr>
      </w:pPr>
      <w:r>
        <w:rPr>
          <w:rFonts w:cstheme="minorHAnsi"/>
          <w:szCs w:val="22"/>
        </w:rPr>
        <w:t xml:space="preserve">A national workforce survey conducted by </w:t>
      </w:r>
      <w:r w:rsidRPr="00914186">
        <w:rPr>
          <w:rFonts w:cstheme="minorHAnsi"/>
          <w:szCs w:val="22"/>
        </w:rPr>
        <w:t>Emerging Minds as part of the National Workforce Centre for Child Mental Health sought to understand awareness, knowledge, skill and practice in supporting family, parent and child mental health in the everyday work of professionals from health, social and community services. Although its primary focus was child mental health, the survey will provide information relating to the self-reported competencies of health providers who provide care to women with perinatal mental health needs. Findings are expected to be released at the end of 2022 and the national survey repeated every two years.</w:t>
      </w:r>
    </w:p>
    <w:p w14:paraId="1DC10BCB" w14:textId="4AE96863" w:rsidR="00443C64" w:rsidRDefault="00443C64" w:rsidP="00443C64">
      <w:pPr>
        <w:pStyle w:val="Heading2"/>
      </w:pPr>
      <w:bookmarkStart w:id="278" w:name="_Toc117764991"/>
      <w:bookmarkStart w:id="279" w:name="_Toc121415066"/>
      <w:r>
        <w:t>K</w:t>
      </w:r>
      <w:r w:rsidR="000935C6">
        <w:t>EQ</w:t>
      </w:r>
      <w:r>
        <w:t xml:space="preserve"> 4: </w:t>
      </w:r>
      <w:r w:rsidRPr="006B6EFE">
        <w:t>Service provision based on evidence</w:t>
      </w:r>
      <w:bookmarkEnd w:id="278"/>
      <w:bookmarkEnd w:id="279"/>
    </w:p>
    <w:p w14:paraId="11EE2B56" w14:textId="50E8DB17" w:rsidR="00443C64" w:rsidRDefault="00080981" w:rsidP="00443C64">
      <w:pPr>
        <w:pStyle w:val="Heading3"/>
        <w:ind w:left="709" w:hanging="709"/>
      </w:pPr>
      <w:r>
        <w:t>Baseline status</w:t>
      </w:r>
    </w:p>
    <w:p w14:paraId="557723CE" w14:textId="0B195E79" w:rsidR="00443C64" w:rsidRDefault="00443C64" w:rsidP="00D90A00">
      <w:pPr>
        <w:spacing w:after="120"/>
        <w:rPr>
          <w:lang w:eastAsia="zh-CN"/>
        </w:rPr>
      </w:pPr>
      <w:r>
        <w:t>‘Evidence’ is central to the Strategy; in practice, it is often operationalised as evidence-based guidelines. N</w:t>
      </w:r>
      <w:r w:rsidRPr="00B178AE">
        <w:t xml:space="preserve">umerous studies </w:t>
      </w:r>
      <w:r>
        <w:t xml:space="preserve">have been published since 2019 </w:t>
      </w:r>
      <w:r w:rsidRPr="00B178AE">
        <w:t xml:space="preserve">evaluating and comparing </w:t>
      </w:r>
      <w:r>
        <w:t>clinical guidelines from Australia and comparable countries</w:t>
      </w:r>
      <w:r w:rsidRPr="00B178AE">
        <w:t>.</w:t>
      </w:r>
      <w:r>
        <w:fldChar w:fldCharType="begin">
          <w:fldData xml:space="preserve">PEVuZE5vdGU+PENpdGU+PEF1dGhvcj5DaGVuZXk8L0F1dGhvcj48WWVhcj4yMDIxPC9ZZWFyPjxS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</w:fldData>
        </w:fldChar>
      </w:r>
      <w:r w:rsidR="00267BD0">
        <w:instrText xml:space="preserve"> ADDIN EN.CITE </w:instrText>
      </w:r>
      <w:r w:rsidR="00267BD0">
        <w:fldChar w:fldCharType="begin">
          <w:fldData xml:space="preserve">PEVuZE5vdGU+PENpdGU+PEF1dGhvcj5DaGVuZXk8L0F1dGhvcj48WWVhcj4yMDIxPC9ZZWFyPjxS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</w:fldData>
        </w:fldChar>
      </w:r>
      <w:r w:rsidR="00267BD0">
        <w:instrText xml:space="preserve"> ADDIN EN.CITE.DATA </w:instrText>
      </w:r>
      <w:r w:rsidR="00267BD0">
        <w:fldChar w:fldCharType="end"/>
      </w:r>
      <w:r>
        <w:fldChar w:fldCharType="separate"/>
      </w:r>
      <w:r w:rsidR="00267BD0" w:rsidRPr="00267BD0">
        <w:rPr>
          <w:noProof/>
          <w:vertAlign w:val="superscript"/>
        </w:rPr>
        <w:t>39-48</w:t>
      </w:r>
      <w:r>
        <w:fldChar w:fldCharType="end"/>
      </w:r>
      <w:r>
        <w:t xml:space="preserve"> </w:t>
      </w:r>
      <w:r w:rsidR="006B1F8B">
        <w:t>F</w:t>
      </w:r>
      <w:r>
        <w:t xml:space="preserve">indings highlight three </w:t>
      </w:r>
      <w:r w:rsidRPr="00DC6180">
        <w:rPr>
          <w:lang w:eastAsia="zh-CN" w:bidi="th-TH"/>
        </w:rPr>
        <w:t>important issues</w:t>
      </w:r>
      <w:r>
        <w:rPr>
          <w:lang w:eastAsia="zh-CN" w:bidi="th-TH"/>
        </w:rPr>
        <w:t>:</w:t>
      </w:r>
      <w:r w:rsidR="001349D1">
        <w:rPr>
          <w:lang w:eastAsia="zh-CN" w:bidi="th-TH"/>
        </w:rPr>
        <w:t xml:space="preserve"> t</w:t>
      </w:r>
      <w:r w:rsidR="00FE0E5F">
        <w:rPr>
          <w:lang w:eastAsia="zh-CN"/>
        </w:rPr>
        <w:t>here are many</w:t>
      </w:r>
      <w:r w:rsidRPr="00DC6180">
        <w:rPr>
          <w:lang w:eastAsia="zh-CN"/>
        </w:rPr>
        <w:t xml:space="preserve"> guidelines</w:t>
      </w:r>
      <w:r>
        <w:rPr>
          <w:lang w:eastAsia="zh-CN"/>
        </w:rPr>
        <w:t>,</w:t>
      </w:r>
      <w:r w:rsidR="00975B32">
        <w:rPr>
          <w:lang w:eastAsia="zh-CN"/>
        </w:rPr>
        <w:t xml:space="preserve"> often on </w:t>
      </w:r>
      <w:r w:rsidRPr="00DC6180">
        <w:rPr>
          <w:lang w:eastAsia="zh-CN"/>
        </w:rPr>
        <w:t>very specialised topics, all relevant to good maternity care</w:t>
      </w:r>
      <w:r w:rsidR="001349D1">
        <w:rPr>
          <w:lang w:eastAsia="zh-CN"/>
        </w:rPr>
        <w:t>; g</w:t>
      </w:r>
      <w:r w:rsidRPr="00DC6180">
        <w:rPr>
          <w:lang w:eastAsia="zh-CN"/>
        </w:rPr>
        <w:t>uidelines are not always consistent</w:t>
      </w:r>
      <w:r w:rsidR="001349D1">
        <w:rPr>
          <w:lang w:eastAsia="zh-CN"/>
        </w:rPr>
        <w:t>; g</w:t>
      </w:r>
      <w:r w:rsidRPr="00DC6180">
        <w:rPr>
          <w:lang w:eastAsia="zh-CN"/>
        </w:rPr>
        <w:t xml:space="preserve">uidelines from elsewhere </w:t>
      </w:r>
      <w:r>
        <w:rPr>
          <w:lang w:eastAsia="zh-CN"/>
        </w:rPr>
        <w:t xml:space="preserve">often </w:t>
      </w:r>
      <w:r w:rsidRPr="00DC6180">
        <w:rPr>
          <w:lang w:eastAsia="zh-CN"/>
        </w:rPr>
        <w:t>need local adaptation</w:t>
      </w:r>
      <w:r>
        <w:rPr>
          <w:lang w:eastAsia="zh-CN"/>
        </w:rPr>
        <w:t>.</w:t>
      </w:r>
    </w:p>
    <w:p w14:paraId="56A58866" w14:textId="674A11A6" w:rsidR="00443C64" w:rsidRDefault="00443C64" w:rsidP="00D90A00">
      <w:pPr>
        <w:spacing w:after="120"/>
      </w:pPr>
      <w:r>
        <w:t>In Australia, many guidelines have been developed since the Strategy was published and are referred to throughout this report</w:t>
      </w:r>
      <w:r w:rsidRPr="1345BA90">
        <w:rPr>
          <w:lang w:eastAsia="zh-CN" w:bidi="th-TH"/>
        </w:rPr>
        <w:t xml:space="preserve">. The Australian </w:t>
      </w:r>
      <w:r w:rsidRPr="1345BA90">
        <w:rPr>
          <w:b/>
          <w:bCs/>
          <w:i/>
          <w:iCs/>
          <w:lang w:eastAsia="zh-CN" w:bidi="th-TH"/>
        </w:rPr>
        <w:t>Clinical Practice Guidelines for Pregnancy Care</w:t>
      </w:r>
      <w:r w:rsidRPr="1345BA90">
        <w:rPr>
          <w:lang w:eastAsia="zh-CN" w:bidi="th-TH"/>
        </w:rPr>
        <w:t xml:space="preserve"> were </w:t>
      </w:r>
      <w:r w:rsidR="00DA1EE7" w:rsidRPr="1345BA90">
        <w:rPr>
          <w:lang w:eastAsia="zh-CN" w:bidi="th-TH"/>
        </w:rPr>
        <w:t>updated</w:t>
      </w:r>
      <w:r w:rsidRPr="1345BA90">
        <w:rPr>
          <w:lang w:eastAsia="zh-CN" w:bidi="th-TH"/>
        </w:rPr>
        <w:t xml:space="preserve"> in 2020, providing national evidence-based recommendations to support high-quality, safe, antenatal care in all settings.</w:t>
      </w:r>
      <w:r w:rsidRPr="1345BA90">
        <w:rPr>
          <w:lang w:eastAsia="zh-CN" w:bidi="th-TH"/>
        </w:rPr>
        <w:fldChar w:fldCharType="begin"/>
      </w:r>
      <w:r w:rsidRPr="1345BA90">
        <w:rPr>
          <w:lang w:eastAsia="zh-CN" w:bidi="th-TH"/>
        </w:rPr>
        <w:instrText xml:space="preserve"> ADDIN EN.CITE &lt;EndNote&gt;&lt;Cite&gt;&lt;Author&gt;Department of Health&lt;/Author&gt;&lt;Year&gt;2020b&lt;/Year&gt;&lt;RecNum&gt;206&lt;/RecNum&gt;&lt;DisplayText&gt;&lt;style face="superscript"&gt;49&lt;/style&gt;&lt;/DisplayText&gt;&lt;record&gt;&lt;rec-number&gt;206&lt;/rec-number&gt;&lt;foreign-keys&gt;&lt;key app="EN" db-id="ewrsr2203a2a0veserrv55dezzwsepr5psw2" timestamp="1663656154"&gt;206&lt;/key&gt;&lt;/foreign-keys&gt;&lt;ref-type name="Report"&gt;27&lt;/ref-type&gt;&lt;contributors&gt;&lt;authors&gt;&lt;author&gt;Department of Health,&lt;/author&gt;&lt;/authors&gt;&lt;/contributors&gt;&lt;titles&gt;&lt;title&gt;Clinical Practice Guidelines: Pregnancy Care&lt;/title&gt;&lt;/titles&gt;&lt;dates&gt;&lt;year&gt;2020b&lt;/year&gt;&lt;/dates&gt;&lt;pub-location&gt;Canberra&lt;/pub-location&gt;&lt;publisher&gt;Australian Government Department of Health&lt;/publisher&gt;&lt;urls&gt;&lt;/urls&gt;&lt;/record&gt;&lt;/Cite&gt;&lt;/EndNote&gt;</w:instrText>
      </w:r>
      <w:r w:rsidRPr="1345BA90">
        <w:rPr>
          <w:lang w:eastAsia="zh-CN" w:bidi="th-TH"/>
        </w:rPr>
        <w:fldChar w:fldCharType="separate"/>
      </w:r>
      <w:r w:rsidR="00267BD0" w:rsidRPr="1345BA90">
        <w:rPr>
          <w:noProof/>
          <w:vertAlign w:val="superscript"/>
          <w:lang w:eastAsia="zh-CN" w:bidi="th-TH"/>
        </w:rPr>
        <w:t>49</w:t>
      </w:r>
      <w:r w:rsidRPr="1345BA90">
        <w:rPr>
          <w:lang w:eastAsia="zh-CN" w:bidi="th-TH"/>
        </w:rPr>
        <w:fldChar w:fldCharType="end"/>
      </w:r>
      <w:r w:rsidRPr="1345BA90">
        <w:rPr>
          <w:lang w:eastAsia="zh-CN" w:bidi="th-TH"/>
        </w:rPr>
        <w:t xml:space="preserve"> The guidelines outline approaches to pregnancy care for various groups, including Aboriginal and Torres Strait Islander women, migrant and refugee women, and women with severe mental illness. Summary sheets for health professionals are available. </w:t>
      </w:r>
      <w:r w:rsidR="00BE7642">
        <w:rPr>
          <w:lang w:eastAsia="zh-CN" w:bidi="th-TH"/>
        </w:rPr>
        <w:t xml:space="preserve">Stakeholders anticipated that </w:t>
      </w:r>
      <w:r w:rsidR="00BE7642" w:rsidRPr="00F97161">
        <w:rPr>
          <w:lang w:eastAsia="zh-CN" w:bidi="th-TH"/>
        </w:rPr>
        <w:t xml:space="preserve">the </w:t>
      </w:r>
      <w:r w:rsidRPr="00F97161">
        <w:t xml:space="preserve">Pregnancy Care Guidelines </w:t>
      </w:r>
      <w:r w:rsidR="00BE7642" w:rsidRPr="004E0AFB">
        <w:t xml:space="preserve">would be updated and transformed </w:t>
      </w:r>
      <w:r w:rsidRPr="00F97161">
        <w:t>into a ‘living guidelines model’</w:t>
      </w:r>
      <w:r w:rsidR="00080981">
        <w:t xml:space="preserve">, but there was a view </w:t>
      </w:r>
      <w:r>
        <w:t>that progress to achieve this had been slow.</w:t>
      </w:r>
    </w:p>
    <w:p w14:paraId="276EA6D8" w14:textId="7A2C2CC2" w:rsidR="00443C64" w:rsidRPr="000142FA" w:rsidRDefault="00443C64" w:rsidP="001530E5">
      <w:pPr>
        <w:spacing w:after="120"/>
        <w:rPr>
          <w:szCs w:val="22"/>
          <w:lang w:eastAsia="zh-CN" w:bidi="th-TH"/>
        </w:rPr>
      </w:pPr>
      <w:r w:rsidRPr="000142FA">
        <w:rPr>
          <w:szCs w:val="22"/>
          <w:lang w:eastAsia="zh-CN" w:bidi="th-TH"/>
        </w:rPr>
        <w:t xml:space="preserve">Some </w:t>
      </w:r>
      <w:r w:rsidR="006B1F8B">
        <w:rPr>
          <w:szCs w:val="22"/>
          <w:lang w:eastAsia="zh-CN" w:bidi="th-TH"/>
        </w:rPr>
        <w:t>jurisdictions</w:t>
      </w:r>
      <w:r w:rsidRPr="000142FA">
        <w:rPr>
          <w:szCs w:val="22"/>
          <w:lang w:eastAsia="zh-CN" w:bidi="th-TH"/>
        </w:rPr>
        <w:t xml:space="preserve"> produce comprehensive guidelines which are regularly reviewed and updated:</w:t>
      </w:r>
    </w:p>
    <w:p w14:paraId="5B0374A0" w14:textId="77777777" w:rsidR="00443C64" w:rsidRPr="000142FA" w:rsidRDefault="00443C64" w:rsidP="003A4C93">
      <w:pPr>
        <w:pStyle w:val="Bullets"/>
        <w:numPr>
          <w:ilvl w:val="0"/>
          <w:numId w:val="10"/>
        </w:numPr>
        <w:rPr>
          <w:szCs w:val="22"/>
          <w:lang w:eastAsia="zh-CN"/>
        </w:rPr>
      </w:pPr>
      <w:r w:rsidRPr="000142FA">
        <w:rPr>
          <w:szCs w:val="22"/>
          <w:lang w:eastAsia="zh-CN"/>
        </w:rPr>
        <w:t>Queensland has developed Maternity and Neonatal Clinical Guidelines, with recent updates including n</w:t>
      </w:r>
      <w:r w:rsidRPr="000142FA">
        <w:rPr>
          <w:szCs w:val="22"/>
        </w:rPr>
        <w:t xml:space="preserve">ewborn baby assessment (2021), </w:t>
      </w:r>
      <w:r w:rsidRPr="000142FA">
        <w:rPr>
          <w:szCs w:val="22"/>
          <w:lang w:eastAsia="zh-CN"/>
        </w:rPr>
        <w:t>gestational diabetes mellitus (2022), and safer infant sleep (2022).</w:t>
      </w:r>
    </w:p>
    <w:p w14:paraId="2E9DF4E5" w14:textId="77777777" w:rsidR="00443C64" w:rsidRPr="000142FA" w:rsidRDefault="00443C64" w:rsidP="003A4C93">
      <w:pPr>
        <w:pStyle w:val="Bullets"/>
        <w:numPr>
          <w:ilvl w:val="0"/>
          <w:numId w:val="10"/>
        </w:numPr>
        <w:rPr>
          <w:szCs w:val="22"/>
          <w:lang w:eastAsia="zh-CN"/>
        </w:rPr>
      </w:pPr>
      <w:r w:rsidRPr="000142FA">
        <w:rPr>
          <w:szCs w:val="22"/>
          <w:lang w:eastAsia="zh-CN"/>
        </w:rPr>
        <w:t>South Australia produces Perinatal Practice Guidelines, with recent updates on postnatal care (2021), induction and augmentation of labour (2021), and antenatal care for normal pregnancy (2022).</w:t>
      </w:r>
    </w:p>
    <w:p w14:paraId="7CC8B5B4" w14:textId="77777777" w:rsidR="00443C64" w:rsidRPr="000142FA" w:rsidRDefault="00443C64" w:rsidP="003A4C93">
      <w:pPr>
        <w:pStyle w:val="Bullets"/>
        <w:numPr>
          <w:ilvl w:val="0"/>
          <w:numId w:val="10"/>
        </w:numPr>
        <w:rPr>
          <w:szCs w:val="22"/>
          <w:lang w:eastAsia="zh-CN"/>
        </w:rPr>
      </w:pPr>
      <w:r w:rsidRPr="000142FA">
        <w:rPr>
          <w:szCs w:val="22"/>
          <w:lang w:eastAsia="zh-CN"/>
        </w:rPr>
        <w:t>Victoria has a Maternity ehandbook available on the Safer Care Victoria website, with recent updates including preterm labour (2021), homebirth (2021), and care during labour and birth (2022).</w:t>
      </w:r>
    </w:p>
    <w:p w14:paraId="304398EB" w14:textId="1F93ECA7" w:rsidR="001349D1" w:rsidRDefault="00443C64" w:rsidP="001530E5">
      <w:pPr>
        <w:spacing w:after="120"/>
        <w:rPr>
          <w:szCs w:val="22"/>
        </w:rPr>
      </w:pPr>
      <w:r w:rsidRPr="000142FA">
        <w:rPr>
          <w:szCs w:val="22"/>
        </w:rPr>
        <w:t xml:space="preserve">The </w:t>
      </w:r>
      <w:r w:rsidR="00080981" w:rsidRPr="00DA1EE7">
        <w:rPr>
          <w:b/>
          <w:szCs w:val="22"/>
        </w:rPr>
        <w:t>Australian Atlas of Healthcare Variation Series</w:t>
      </w:r>
      <w:r w:rsidR="00080981">
        <w:rPr>
          <w:szCs w:val="22"/>
        </w:rPr>
        <w:t xml:space="preserve"> produced by the Australian </w:t>
      </w:r>
      <w:r w:rsidRPr="000142FA">
        <w:rPr>
          <w:szCs w:val="22"/>
        </w:rPr>
        <w:t>Commission</w:t>
      </w:r>
      <w:r w:rsidR="00080981">
        <w:rPr>
          <w:szCs w:val="22"/>
        </w:rPr>
        <w:t xml:space="preserve"> on Safety and Quality in Health Care</w:t>
      </w:r>
      <w:r w:rsidRPr="000142FA">
        <w:rPr>
          <w:szCs w:val="22"/>
        </w:rPr>
        <w:t xml:space="preserve"> was </w:t>
      </w:r>
      <w:r w:rsidR="001530E5">
        <w:rPr>
          <w:szCs w:val="22"/>
        </w:rPr>
        <w:t>considered</w:t>
      </w:r>
      <w:r w:rsidRPr="000142FA">
        <w:rPr>
          <w:szCs w:val="22"/>
        </w:rPr>
        <w:t xml:space="preserve"> integral to raising awareness of potential issues, increasing visibility of data, and for bringing together key stakeholders to identify actions, roles and responsibilities for progressing implementation and practice change. The inclusion of early planned births without medical or obstetric indication as a priority topic in the Fourth Atlas (2021) was largely commended across stakeholder groups.</w:t>
      </w:r>
    </w:p>
    <w:p w14:paraId="3AEFA34A" w14:textId="08AF1831" w:rsidR="00443C64" w:rsidRPr="000142FA" w:rsidRDefault="001530E5" w:rsidP="001530E5">
      <w:pPr>
        <w:spacing w:after="120"/>
        <w:rPr>
          <w:szCs w:val="22"/>
        </w:rPr>
      </w:pPr>
      <w:r w:rsidRPr="00650204">
        <w:t>The Commission’s</w:t>
      </w:r>
      <w:r w:rsidRPr="00650204">
        <w:rPr>
          <w:rFonts w:ascii="Calibri" w:eastAsiaTheme="minorHAnsi" w:hAnsi="Calibri" w:cs="Calibri"/>
          <w:b/>
          <w:color w:val="000000"/>
          <w:szCs w:val="22"/>
          <w:lang w:eastAsia="en-US"/>
        </w:rPr>
        <w:t xml:space="preserve"> Clinical Care Standards</w:t>
      </w:r>
      <w:r w:rsidRPr="00650204">
        <w:rPr>
          <w:rFonts w:ascii="Calibri" w:eastAsiaTheme="minorHAnsi" w:hAnsi="Calibri" w:cs="Calibri"/>
          <w:color w:val="000000"/>
          <w:szCs w:val="22"/>
          <w:lang w:eastAsia="en-US"/>
        </w:rPr>
        <w:t xml:space="preserve">, which are often developed in response to issues that emerge through the Atlas of Healthcare Variation, were </w:t>
      </w:r>
      <w:r>
        <w:rPr>
          <w:rFonts w:ascii="Calibri" w:eastAsiaTheme="minorHAnsi" w:hAnsi="Calibri" w:cs="Calibri"/>
          <w:color w:val="000000"/>
          <w:szCs w:val="22"/>
          <w:lang w:eastAsia="en-US"/>
        </w:rPr>
        <w:t xml:space="preserve">also </w:t>
      </w:r>
      <w:r w:rsidRPr="00650204">
        <w:rPr>
          <w:rFonts w:ascii="Calibri" w:eastAsiaTheme="minorHAnsi" w:hAnsi="Calibri" w:cs="Calibri"/>
          <w:color w:val="000000"/>
          <w:szCs w:val="22"/>
          <w:lang w:eastAsia="en-US"/>
        </w:rPr>
        <w:t xml:space="preserve">considered </w:t>
      </w:r>
      <w:r>
        <w:rPr>
          <w:rFonts w:ascii="Calibri" w:eastAsiaTheme="minorHAnsi" w:hAnsi="Calibri" w:cs="Calibri"/>
          <w:color w:val="000000"/>
          <w:szCs w:val="22"/>
          <w:lang w:eastAsia="en-US"/>
        </w:rPr>
        <w:t xml:space="preserve">to be a </w:t>
      </w:r>
      <w:r w:rsidRPr="00650204">
        <w:rPr>
          <w:rFonts w:ascii="Calibri" w:eastAsiaTheme="minorHAnsi" w:hAnsi="Calibri" w:cs="Calibri"/>
          <w:color w:val="000000"/>
          <w:szCs w:val="22"/>
          <w:lang w:eastAsia="en-US"/>
        </w:rPr>
        <w:t>strong</w:t>
      </w:r>
      <w:r>
        <w:rPr>
          <w:rFonts w:ascii="Calibri" w:eastAsiaTheme="minorHAnsi" w:hAnsi="Calibri" w:cs="Calibri"/>
          <w:color w:val="000000"/>
          <w:szCs w:val="22"/>
          <w:lang w:eastAsia="en-US"/>
        </w:rPr>
        <w:t xml:space="preserve"> </w:t>
      </w:r>
      <w:r w:rsidRPr="00650204">
        <w:rPr>
          <w:rFonts w:ascii="Calibri" w:eastAsiaTheme="minorHAnsi" w:hAnsi="Calibri" w:cs="Calibri"/>
          <w:color w:val="000000"/>
          <w:szCs w:val="22"/>
          <w:lang w:eastAsia="en-US"/>
        </w:rPr>
        <w:t>lever</w:t>
      </w:r>
      <w:r>
        <w:rPr>
          <w:rFonts w:ascii="Calibri" w:eastAsiaTheme="minorHAnsi" w:hAnsi="Calibri" w:cs="Calibri"/>
          <w:color w:val="000000"/>
          <w:szCs w:val="22"/>
          <w:lang w:eastAsia="en-US"/>
        </w:rPr>
        <w:t xml:space="preserve"> for change. A Clinical Care Standard f</w:t>
      </w:r>
      <w:r w:rsidRPr="00BB641A">
        <w:rPr>
          <w:rFonts w:ascii="Calibri" w:eastAsiaTheme="minorHAnsi" w:hAnsi="Calibri" w:cs="Calibri"/>
          <w:color w:val="000000"/>
          <w:szCs w:val="22"/>
          <w:lang w:eastAsia="en-US"/>
        </w:rPr>
        <w:t xml:space="preserve">or Third </w:t>
      </w:r>
      <w:r>
        <w:rPr>
          <w:rFonts w:ascii="Calibri" w:eastAsiaTheme="minorHAnsi" w:hAnsi="Calibri" w:cs="Calibri"/>
          <w:color w:val="000000"/>
          <w:szCs w:val="22"/>
          <w:lang w:eastAsia="en-US"/>
        </w:rPr>
        <w:t>a</w:t>
      </w:r>
      <w:r w:rsidRPr="00BB641A">
        <w:rPr>
          <w:rFonts w:ascii="Calibri" w:eastAsiaTheme="minorHAnsi" w:hAnsi="Calibri" w:cs="Calibri"/>
          <w:color w:val="000000"/>
          <w:szCs w:val="22"/>
          <w:lang w:eastAsia="en-US"/>
        </w:rPr>
        <w:t>nd Fourth Degree Perineal Tears</w:t>
      </w:r>
      <w:r>
        <w:rPr>
          <w:rFonts w:ascii="Calibri" w:eastAsiaTheme="minorHAnsi" w:hAnsi="Calibri" w:cs="Calibri"/>
          <w:color w:val="000000"/>
          <w:szCs w:val="22"/>
          <w:lang w:eastAsia="en-US"/>
        </w:rPr>
        <w:t xml:space="preserve"> was published in 2021 </w:t>
      </w:r>
      <w:r>
        <w:t xml:space="preserve">and a Stillbirth Clinical Care Standard </w:t>
      </w:r>
      <w:r w:rsidR="001C7B92">
        <w:t>was</w:t>
      </w:r>
      <w:r>
        <w:t xml:space="preserve"> launched in November 2022.</w:t>
      </w:r>
    </w:p>
    <w:p w14:paraId="1658331D" w14:textId="2B907ACA" w:rsidR="00443C64" w:rsidRDefault="00080981" w:rsidP="00443C64">
      <w:pPr>
        <w:pStyle w:val="Heading3"/>
        <w:ind w:left="709" w:hanging="709"/>
      </w:pPr>
      <w:r>
        <w:lastRenderedPageBreak/>
        <w:t>Next steps</w:t>
      </w:r>
    </w:p>
    <w:p w14:paraId="50ADA238" w14:textId="39643508" w:rsidR="00443C64" w:rsidRDefault="00443C64" w:rsidP="001349D1">
      <w:pPr>
        <w:pStyle w:val="Bullets"/>
        <w:numPr>
          <w:ilvl w:val="0"/>
          <w:numId w:val="0"/>
        </w:numPr>
        <w:rPr>
          <w:lang w:eastAsia="zh-CN" w:bidi="th-TH"/>
        </w:rPr>
      </w:pPr>
      <w:r>
        <w:rPr>
          <w:iCs/>
          <w:lang w:eastAsia="zh-CN" w:bidi="th-TH"/>
        </w:rPr>
        <w:t xml:space="preserve">There are many guidelines available internationally, including from well-respected organisations such as the </w:t>
      </w:r>
      <w:r w:rsidRPr="00491DE7">
        <w:rPr>
          <w:iCs/>
          <w:lang w:eastAsia="zh-CN" w:bidi="th-TH"/>
        </w:rPr>
        <w:t>National Institute for Health and Care Excellence</w:t>
      </w:r>
      <w:r>
        <w:rPr>
          <w:iCs/>
          <w:lang w:eastAsia="zh-CN" w:bidi="th-TH"/>
        </w:rPr>
        <w:t xml:space="preserve"> in the UK and the World </w:t>
      </w:r>
      <w:r w:rsidRPr="00491DE7">
        <w:rPr>
          <w:iCs/>
          <w:lang w:eastAsia="zh-CN" w:bidi="th-TH"/>
        </w:rPr>
        <w:t>Health Organization</w:t>
      </w:r>
      <w:r>
        <w:rPr>
          <w:iCs/>
          <w:lang w:eastAsia="zh-CN" w:bidi="th-TH"/>
        </w:rPr>
        <w:t>. As noted in the previous section, s</w:t>
      </w:r>
      <w:r>
        <w:rPr>
          <w:lang w:eastAsia="zh-CN" w:bidi="th-TH"/>
        </w:rPr>
        <w:t xml:space="preserve">everal jurisdictions produce their own clinical guidelines which are regularly updated. However, there is a relative paucity of national guidelines for maternity care, with notable exceptions being </w:t>
      </w:r>
      <w:r w:rsidRPr="00DA1EE7">
        <w:rPr>
          <w:lang w:eastAsia="zh-CN" w:bidi="th-TH"/>
        </w:rPr>
        <w:t xml:space="preserve">the </w:t>
      </w:r>
      <w:r w:rsidRPr="00DA1EE7">
        <w:rPr>
          <w:i/>
          <w:iCs/>
          <w:lang w:eastAsia="zh-CN" w:bidi="th-TH"/>
        </w:rPr>
        <w:t>Clinical Practice Guidelines for Pregnancy Care</w:t>
      </w:r>
      <w:r w:rsidRPr="00DA1EE7">
        <w:rPr>
          <w:lang w:eastAsia="zh-CN" w:bidi="th-TH"/>
        </w:rPr>
        <w:t xml:space="preserve"> and the</w:t>
      </w:r>
      <w:r w:rsidRPr="00DA1EE7">
        <w:rPr>
          <w:i/>
          <w:lang w:eastAsia="zh-CN" w:bidi="th-TH"/>
        </w:rPr>
        <w:t xml:space="preserve"> </w:t>
      </w:r>
      <w:r w:rsidRPr="00DA1EE7">
        <w:rPr>
          <w:bCs/>
          <w:i/>
          <w:lang w:eastAsia="zh-CN" w:bidi="th-TH"/>
        </w:rPr>
        <w:t>Mental Health Care in the Perinatal Period: Australian Clinical Practice Guideline</w:t>
      </w:r>
      <w:r w:rsidRPr="00DA1EE7">
        <w:rPr>
          <w:i/>
          <w:lang w:eastAsia="zh-CN" w:bidi="th-TH"/>
        </w:rPr>
        <w:t>.</w:t>
      </w:r>
      <w:r w:rsidR="001349D1">
        <w:rPr>
          <w:i/>
          <w:lang w:eastAsia="zh-CN" w:bidi="th-TH"/>
        </w:rPr>
        <w:t xml:space="preserve"> </w:t>
      </w:r>
      <w:r w:rsidR="001349D1">
        <w:rPr>
          <w:lang w:eastAsia="zh-CN"/>
        </w:rPr>
        <w:t>The development of n</w:t>
      </w:r>
      <w:r w:rsidR="001349D1" w:rsidRPr="00D16245">
        <w:rPr>
          <w:lang w:eastAsia="zh-CN"/>
        </w:rPr>
        <w:t>ational evidence-based guidelines for postnatal care</w:t>
      </w:r>
      <w:r w:rsidR="001349D1">
        <w:rPr>
          <w:lang w:eastAsia="zh-CN"/>
        </w:rPr>
        <w:t xml:space="preserve"> has not progressed.</w:t>
      </w:r>
    </w:p>
    <w:p w14:paraId="2AC3999F" w14:textId="08EA8EA6" w:rsidR="005A6D76" w:rsidRDefault="00443C64" w:rsidP="004E2B2E">
      <w:pPr>
        <w:spacing w:after="120"/>
        <w:rPr>
          <w:iCs/>
          <w:lang w:eastAsia="zh-CN" w:bidi="th-TH"/>
        </w:rPr>
      </w:pPr>
      <w:r>
        <w:rPr>
          <w:iCs/>
          <w:lang w:eastAsia="zh-CN" w:bidi="th-TH"/>
        </w:rPr>
        <w:t xml:space="preserve">Stakeholders were strongly in favour of evidence-based, national guidelines to help bring service delivery up to date with best practice and reduce variations in care. Such documents – </w:t>
      </w:r>
      <w:r w:rsidR="006B1F8B">
        <w:rPr>
          <w:iCs/>
          <w:lang w:eastAsia="zh-CN" w:bidi="th-TH"/>
        </w:rPr>
        <w:t>if</w:t>
      </w:r>
      <w:r>
        <w:rPr>
          <w:iCs/>
          <w:lang w:eastAsia="zh-CN" w:bidi="th-TH"/>
        </w:rPr>
        <w:t xml:space="preserve"> rigorous and based on a critical review of evidence – were seen as critical to encourage and direct reform. T</w:t>
      </w:r>
      <w:r w:rsidR="00C87333">
        <w:rPr>
          <w:iCs/>
          <w:lang w:eastAsia="zh-CN" w:bidi="th-TH"/>
        </w:rPr>
        <w:t>aken together, these stakeholder views</w:t>
      </w:r>
      <w:r w:rsidR="006B1F8B">
        <w:rPr>
          <w:iCs/>
          <w:lang w:eastAsia="zh-CN" w:bidi="th-TH"/>
        </w:rPr>
        <w:t xml:space="preserve"> </w:t>
      </w:r>
      <w:r>
        <w:rPr>
          <w:iCs/>
          <w:lang w:eastAsia="zh-CN" w:bidi="th-TH"/>
        </w:rPr>
        <w:t>suggest the n</w:t>
      </w:r>
      <w:r w:rsidR="006B1F8B">
        <w:rPr>
          <w:iCs/>
          <w:lang w:eastAsia="zh-CN" w:bidi="th-TH"/>
        </w:rPr>
        <w:t>eed for a national, coordinated</w:t>
      </w:r>
      <w:r>
        <w:rPr>
          <w:iCs/>
          <w:lang w:eastAsia="zh-CN" w:bidi="th-TH"/>
        </w:rPr>
        <w:t xml:space="preserve"> approach to the development of a comprehensive set of guidelines to support evidence-based practice in the provision of w</w:t>
      </w:r>
      <w:r w:rsidRPr="007550ED">
        <w:rPr>
          <w:iCs/>
          <w:lang w:eastAsia="zh-CN" w:bidi="th-TH"/>
        </w:rPr>
        <w:t>oman-centred</w:t>
      </w:r>
      <w:r>
        <w:rPr>
          <w:iCs/>
          <w:lang w:eastAsia="zh-CN" w:bidi="th-TH"/>
        </w:rPr>
        <w:t xml:space="preserve"> maternity care.</w:t>
      </w:r>
      <w:bookmarkStart w:id="280" w:name="_Toc117764994"/>
    </w:p>
    <w:p w14:paraId="03B9290A" w14:textId="016BD859" w:rsidR="00443C64" w:rsidRDefault="00443C64" w:rsidP="00443C64">
      <w:pPr>
        <w:pStyle w:val="Heading2"/>
      </w:pPr>
      <w:bookmarkStart w:id="281" w:name="_Toc121415067"/>
      <w:r>
        <w:t>K</w:t>
      </w:r>
      <w:r w:rsidR="000935C6">
        <w:t>EQ</w:t>
      </w:r>
      <w:r>
        <w:t xml:space="preserve"> 5: </w:t>
      </w:r>
      <w:r w:rsidRPr="006B6EFE">
        <w:t>Systems and processes to enable woman-centred care</w:t>
      </w:r>
      <w:bookmarkEnd w:id="280"/>
      <w:bookmarkEnd w:id="281"/>
    </w:p>
    <w:p w14:paraId="71680BD1" w14:textId="54CA0275" w:rsidR="00443C64" w:rsidRDefault="00080981" w:rsidP="00443C64">
      <w:pPr>
        <w:pStyle w:val="Heading3"/>
        <w:ind w:left="709" w:hanging="709"/>
      </w:pPr>
      <w:r>
        <w:t>Baseline status</w:t>
      </w:r>
    </w:p>
    <w:p w14:paraId="69B72FAC" w14:textId="296F30D3" w:rsidR="00A17A4D" w:rsidRDefault="00A17A4D" w:rsidP="00A17A4D">
      <w:pPr>
        <w:spacing w:after="120"/>
      </w:pPr>
      <w:r>
        <w:t>Women in rural and remote regions are at particular risk of not receiving appropriate woman-centred care, exacerbated by the closure of small rural m</w:t>
      </w:r>
      <w:r w:rsidRPr="00077C6A">
        <w:t xml:space="preserve">aternity units </w:t>
      </w:r>
      <w:r>
        <w:t xml:space="preserve">in favour of </w:t>
      </w:r>
      <w:r w:rsidR="006B1F8B">
        <w:t>those</w:t>
      </w:r>
      <w:r>
        <w:t xml:space="preserve"> in </w:t>
      </w:r>
      <w:r w:rsidRPr="00077C6A">
        <w:t>larger regional centres.</w:t>
      </w:r>
      <w:r>
        <w:t xml:space="preserve"> They face significant issues because of the need to travel long distances to access services, and the financial implications of that travel. Those relocated at the end of their pregnancy to await birth are </w:t>
      </w:r>
      <w:r w:rsidR="006B1F8B">
        <w:t xml:space="preserve">highly </w:t>
      </w:r>
      <w:r>
        <w:t>vulnerable. Women have concerns about their own safety and the safety of their baby.</w:t>
      </w:r>
      <w:r>
        <w:fldChar w:fldCharType="begin"/>
      </w:r>
      <w:r w:rsidR="00F66EC6">
        <w:instrText xml:space="preserve"> ADDIN EN.CITE &lt;EndNote&gt;&lt;Cite&gt;&lt;Author&gt;Bradow&lt;/Author&gt;&lt;Year&gt;2021&lt;/Year&gt;&lt;RecNum&gt;146&lt;/RecNum&gt;&lt;DisplayText&gt;&lt;style face="superscript"&gt;50&lt;/style&gt;&lt;/DisplayText&gt;&lt;record&gt;&lt;rec-number&gt;146&lt;/rec-number&gt;&lt;foreign-keys&gt;&lt;key app="EN" db-id="ewrsr2203a2a0veserrv55dezzwsepr5psw2" timestamp="1662595131"&gt;146&lt;/key&gt;&lt;/foreign-keys&gt;&lt;ref-type name="Journal Article"&gt;17&lt;/ref-type&gt;&lt;contributors&gt;&lt;authors&gt;&lt;author&gt;Bradow, Jeannine&lt;/author&gt;&lt;author&gt;Smith, Sally De-Vitry&lt;/author&gt;&lt;author&gt;Davis, Deborah&lt;/author&gt;&lt;author&gt;Atchan, Marjorie&lt;/author&gt;&lt;/authors&gt;&lt;/contributors&gt;&lt;titles&gt;&lt;title&gt;A systematic integrative review examining the impact of Australian rural and remote maternity unit closures&lt;/title&gt;&lt;secondary-title&gt;Midwifery&lt;/secondary-title&gt;&lt;/titles&gt;&lt;periodical&gt;&lt;full-title&gt;Midwifery&lt;/full-title&gt;&lt;/periodical&gt;&lt;pages&gt;103094&lt;/pages&gt;&lt;volume&gt;103&lt;/volume&gt;&lt;keywords&gt;&lt;keyword&gt;Maternity&lt;/keyword&gt;&lt;keyword&gt;Closure&lt;/keyword&gt;&lt;keyword&gt;Women&lt;/keyword&gt;&lt;keyword&gt;Midwives&lt;/keyword&gt;&lt;keyword&gt;Rural and remote&lt;/keyword&gt;&lt;keyword&gt;Australia&lt;/keyword&gt;&lt;/keywords&gt;&lt;dates&gt;&lt;year&gt;2021&lt;/year&gt;&lt;pub-dates&gt;&lt;date&gt;2021/12/01/&lt;/date&gt;&lt;/pub-dates&gt;&lt;/dates&gt;&lt;isbn&gt;0266-6138&lt;/isbn&gt;&lt;urls&gt;&lt;related-urls&gt;&lt;url&gt;https://www.sciencedirect.com/science/article/pii/S0266613821001741&lt;/url&gt;&lt;/related-urls&gt;&lt;/urls&gt;&lt;electronic-resource-num&gt;https://doi.org/10.1016/j.midw.2021.103094&lt;/electronic-resource-num&gt;&lt;/record&gt;&lt;/Cite&gt;&lt;/EndNote&gt;</w:instrText>
      </w:r>
      <w:r>
        <w:fldChar w:fldCharType="separate"/>
      </w:r>
      <w:r w:rsidR="00F66EC6" w:rsidRPr="00F66EC6">
        <w:rPr>
          <w:noProof/>
          <w:vertAlign w:val="superscript"/>
        </w:rPr>
        <w:t>50</w:t>
      </w:r>
      <w:r>
        <w:fldChar w:fldCharType="end"/>
      </w:r>
      <w:r>
        <w:t xml:space="preserve"> There was a strong sense from stakeholders that access to care in rural and remote areas had declined since the Strategy was released.</w:t>
      </w:r>
    </w:p>
    <w:p w14:paraId="33ACCF0C" w14:textId="29B0E32C" w:rsidR="00A17A4D" w:rsidRPr="00002C0C" w:rsidRDefault="00A17A4D" w:rsidP="00A17A4D">
      <w:pPr>
        <w:spacing w:after="120"/>
        <w:rPr>
          <w:lang w:eastAsia="zh-CN" w:bidi="th-TH"/>
        </w:rPr>
      </w:pPr>
      <w:r>
        <w:t xml:space="preserve">Examples of developments focusing on the needs of women in rural areas included </w:t>
      </w:r>
      <w:r>
        <w:rPr>
          <w:lang w:eastAsia="zh-CN" w:bidi="th-TH"/>
        </w:rPr>
        <w:t xml:space="preserve">a midwifery caseload model implemented across five birthing sites in South Australia as a two-year pilot, commencing in mid-2019. The evaluation found that the model was ‘effective, acceptable and sustainable’ </w:t>
      </w:r>
      <w:r w:rsidRPr="00002C0C">
        <w:rPr>
          <w:rFonts w:cstheme="minorHAnsi"/>
          <w:szCs w:val="22"/>
          <w:lang w:eastAsia="zh-CN" w:bidi="th-TH"/>
        </w:rPr>
        <w:t>with strong support from consumers and providers.</w:t>
      </w:r>
      <w:r w:rsidRPr="00002C0C">
        <w:rPr>
          <w:rFonts w:cstheme="minorHAnsi"/>
          <w:szCs w:val="22"/>
          <w:lang w:eastAsia="zh-CN" w:bidi="th-TH"/>
        </w:rPr>
        <w:fldChar w:fldCharType="begin"/>
      </w:r>
      <w:r w:rsidR="00F66EC6">
        <w:rPr>
          <w:rFonts w:cstheme="minorHAnsi"/>
          <w:szCs w:val="22"/>
          <w:lang w:eastAsia="zh-CN" w:bidi="th-TH"/>
        </w:rPr>
        <w:instrText xml:space="preserve"> ADDIN EN.CITE &lt;EndNote&gt;&lt;Cite&gt;&lt;Author&gt;Adelson&lt;/Author&gt;&lt;Year&gt;2021&lt;/Year&gt;&lt;RecNum&gt;213&lt;/RecNum&gt;&lt;DisplayText&gt;&lt;style face="superscript"&gt;16&lt;/style&gt;&lt;/DisplayText&gt;&lt;record&gt;&lt;rec-number&gt;213&lt;/rec-number&gt;&lt;foreign-keys&gt;&lt;key app="EN" db-id="ewrsr2203a2a0veserrv55dezzwsepr5psw2" timestamp="1663656155"&gt;213&lt;/key&gt;&lt;/foreign-keys&gt;&lt;ref-type name="Report"&gt;27&lt;/ref-type&gt;&lt;contributors&gt;&lt;authors&gt;&lt;author&gt;Adelson, P.&lt;/author&gt;&lt;author&gt;Fleet, J.&lt;/author&gt;&lt;author&gt;McKellar, L.&lt;/author&gt;&lt;/authors&gt;&lt;/contributors&gt;&lt;titles&gt;&lt;title&gt;Evaluation of the Midwifery Caseload Model of Care Pilot in the Yorke and Northern Local Health Network&lt;/title&gt;&lt;/titles&gt;&lt;dates&gt;&lt;year&gt;2021&lt;/year&gt;&lt;/dates&gt;&lt;pub-location&gt;Adelaide&lt;/pub-location&gt;&lt;publisher&gt;University of South Australia&lt;/publisher&gt;&lt;urls&gt;&lt;/urls&gt;&lt;/record&gt;&lt;/Cite&gt;&lt;/EndNote&gt;</w:instrText>
      </w:r>
      <w:r w:rsidRPr="00002C0C">
        <w:rPr>
          <w:rFonts w:cstheme="minorHAnsi"/>
          <w:szCs w:val="22"/>
          <w:lang w:eastAsia="zh-CN" w:bidi="th-TH"/>
        </w:rPr>
        <w:fldChar w:fldCharType="separate"/>
      </w:r>
      <w:r w:rsidR="00F66EC6" w:rsidRPr="00F66EC6">
        <w:rPr>
          <w:rFonts w:cstheme="minorHAnsi"/>
          <w:noProof/>
          <w:szCs w:val="22"/>
          <w:vertAlign w:val="superscript"/>
          <w:lang w:eastAsia="zh-CN" w:bidi="th-TH"/>
        </w:rPr>
        <w:t>16</w:t>
      </w:r>
      <w:r w:rsidRPr="00002C0C">
        <w:rPr>
          <w:rFonts w:cstheme="minorHAnsi"/>
          <w:szCs w:val="22"/>
          <w:lang w:eastAsia="zh-CN" w:bidi="th-TH"/>
        </w:rPr>
        <w:fldChar w:fldCharType="end"/>
      </w:r>
      <w:r w:rsidRPr="00002C0C">
        <w:rPr>
          <w:rFonts w:cstheme="minorHAnsi"/>
          <w:szCs w:val="22"/>
          <w:lang w:eastAsia="zh-CN" w:bidi="th-TH"/>
        </w:rPr>
        <w:t xml:space="preserve"> </w:t>
      </w:r>
      <w:r w:rsidR="00852504" w:rsidRPr="00852504">
        <w:rPr>
          <w:rFonts w:cstheme="minorHAnsi"/>
          <w:szCs w:val="22"/>
          <w:lang w:eastAsia="zh-CN" w:bidi="th-TH"/>
        </w:rPr>
        <w:t xml:space="preserve">Queensland is investigating </w:t>
      </w:r>
      <w:r w:rsidR="00852504">
        <w:rPr>
          <w:rFonts w:cstheme="minorHAnsi"/>
          <w:szCs w:val="22"/>
          <w:lang w:eastAsia="zh-CN" w:bidi="th-TH"/>
        </w:rPr>
        <w:t>o</w:t>
      </w:r>
      <w:r w:rsidR="00852504" w:rsidRPr="00852504">
        <w:rPr>
          <w:rFonts w:cstheme="minorHAnsi"/>
          <w:szCs w:val="22"/>
          <w:lang w:eastAsia="zh-CN" w:bidi="th-TH"/>
        </w:rPr>
        <w:t xml:space="preserve">bstetrics and </w:t>
      </w:r>
      <w:r w:rsidR="00852504">
        <w:rPr>
          <w:rFonts w:cstheme="minorHAnsi"/>
          <w:szCs w:val="22"/>
          <w:lang w:eastAsia="zh-CN" w:bidi="th-TH"/>
        </w:rPr>
        <w:t>g</w:t>
      </w:r>
      <w:r w:rsidR="00852504" w:rsidRPr="00852504">
        <w:rPr>
          <w:rFonts w:cstheme="minorHAnsi"/>
          <w:szCs w:val="22"/>
          <w:lang w:eastAsia="zh-CN" w:bidi="th-TH"/>
        </w:rPr>
        <w:t>ynaecology workforce models and strategies to address the current workforce challenges.</w:t>
      </w:r>
    </w:p>
    <w:p w14:paraId="2EBE7241" w14:textId="1BA76113" w:rsidR="00A17A4D" w:rsidRDefault="00A17A4D" w:rsidP="00C459D0">
      <w:r w:rsidRPr="009658B9">
        <w:t xml:space="preserve">There has been considerable development of culturally safe models of care for </w:t>
      </w:r>
      <w:r w:rsidR="00105122">
        <w:t>Aboriginal and Torres Strait Islander</w:t>
      </w:r>
      <w:r w:rsidR="00105122" w:rsidRPr="009658B9">
        <w:t xml:space="preserve"> </w:t>
      </w:r>
      <w:r w:rsidRPr="009658B9">
        <w:t xml:space="preserve">women in recent years, although funding </w:t>
      </w:r>
      <w:r>
        <w:t>has tended to be</w:t>
      </w:r>
      <w:r w:rsidRPr="009658B9">
        <w:t xml:space="preserve"> short-term </w:t>
      </w:r>
      <w:r>
        <w:t xml:space="preserve">or </w:t>
      </w:r>
      <w:r w:rsidRPr="009658B9">
        <w:t>project-based</w:t>
      </w:r>
      <w:r>
        <w:t>.</w:t>
      </w:r>
      <w:r w:rsidRPr="009658B9">
        <w:t xml:space="preserve"> The work and leadership of the Molly Wardaguga Centre and Birthing on Country Centre of Research Excellence was highly regarded. An overview of the location of services supported by </w:t>
      </w:r>
      <w:r>
        <w:t xml:space="preserve">the Centre </w:t>
      </w:r>
      <w:r w:rsidRPr="009658B9">
        <w:t xml:space="preserve">is </w:t>
      </w:r>
      <w:r w:rsidRPr="006E335E">
        <w:t xml:space="preserve">shown in </w:t>
      </w:r>
      <w:r w:rsidRPr="006E335E">
        <w:fldChar w:fldCharType="begin"/>
      </w:r>
      <w:r w:rsidRPr="006E335E">
        <w:instrText xml:space="preserve"> REF _Ref118298584 \h  \* MERGEFORMAT </w:instrText>
      </w:r>
      <w:r w:rsidRPr="006E335E">
        <w:fldChar w:fldCharType="separate"/>
      </w:r>
      <w:r w:rsidR="00296988" w:rsidRPr="00296988">
        <w:t xml:space="preserve">Figure </w:t>
      </w:r>
      <w:r w:rsidR="00296988" w:rsidRPr="00296988">
        <w:rPr>
          <w:noProof/>
        </w:rPr>
        <w:t>4</w:t>
      </w:r>
      <w:r w:rsidRPr="006E335E">
        <w:fldChar w:fldCharType="end"/>
      </w:r>
      <w:r w:rsidRPr="006E335E">
        <w:t>.</w:t>
      </w:r>
    </w:p>
    <w:p w14:paraId="3F885C8A" w14:textId="0EB704A1" w:rsidR="00A17A4D" w:rsidRPr="00BC27C1" w:rsidRDefault="00A17A4D" w:rsidP="00BC27C1">
      <w:pPr>
        <w:pStyle w:val="Caption"/>
        <w:rPr>
          <w:sz w:val="20"/>
          <w:szCs w:val="20"/>
        </w:rPr>
      </w:pPr>
      <w:bookmarkStart w:id="282" w:name="_Ref117792247"/>
      <w:bookmarkStart w:id="283" w:name="_Ref118298584"/>
      <w:bookmarkStart w:id="284" w:name="_Toc121415170"/>
      <w:r w:rsidRPr="00BC27C1">
        <w:rPr>
          <w:sz w:val="20"/>
          <w:szCs w:val="20"/>
        </w:rPr>
        <w:lastRenderedPageBreak/>
        <w:t xml:space="preserve">Figure </w:t>
      </w:r>
      <w:r w:rsidRPr="00BC27C1">
        <w:rPr>
          <w:sz w:val="20"/>
          <w:szCs w:val="20"/>
        </w:rPr>
        <w:fldChar w:fldCharType="begin"/>
      </w:r>
      <w:r w:rsidRPr="00BC27C1">
        <w:rPr>
          <w:sz w:val="20"/>
          <w:szCs w:val="20"/>
        </w:rPr>
        <w:instrText xml:space="preserve"> SEQ Figure \* ARABIC </w:instrText>
      </w:r>
      <w:r w:rsidRPr="00BC27C1">
        <w:rPr>
          <w:sz w:val="20"/>
          <w:szCs w:val="20"/>
        </w:rPr>
        <w:fldChar w:fldCharType="separate"/>
      </w:r>
      <w:r w:rsidR="00296988">
        <w:rPr>
          <w:noProof/>
          <w:sz w:val="20"/>
          <w:szCs w:val="20"/>
        </w:rPr>
        <w:t>4</w:t>
      </w:r>
      <w:r w:rsidRPr="00BC27C1">
        <w:rPr>
          <w:sz w:val="20"/>
          <w:szCs w:val="20"/>
        </w:rPr>
        <w:fldChar w:fldCharType="end"/>
      </w:r>
      <w:bookmarkEnd w:id="282"/>
      <w:bookmarkEnd w:id="283"/>
      <w:r w:rsidRPr="00BC27C1">
        <w:rPr>
          <w:sz w:val="20"/>
          <w:szCs w:val="20"/>
        </w:rPr>
        <w:tab/>
      </w:r>
      <w:r w:rsidRPr="00BC27C1">
        <w:rPr>
          <w:sz w:val="20"/>
          <w:szCs w:val="20"/>
        </w:rPr>
        <w:tab/>
        <w:t>Location of sites and services supported by the Molly Wardaguga Research Centre</w:t>
      </w:r>
      <w:bookmarkEnd w:id="284"/>
    </w:p>
    <w:p w14:paraId="6D52E1E9" w14:textId="77777777" w:rsidR="00A17A4D" w:rsidRPr="00FB79F8" w:rsidRDefault="00A17A4D" w:rsidP="00A17A4D">
      <w:pPr>
        <w:jc w:val="center"/>
      </w:pPr>
      <w:r>
        <w:rPr>
          <w:noProof/>
        </w:rPr>
        <w:drawing>
          <wp:inline distT="0" distB="0" distL="0" distR="0" wp14:anchorId="6ECCE677" wp14:editId="1FFE9C5A">
            <wp:extent cx="4398380" cy="3744410"/>
            <wp:effectExtent l="0" t="0" r="2540" b="8890"/>
            <wp:docPr id="13" name="Picture 9" descr="Map of Australia showing locations of sites and services supported by the Molly Wardaguga Research Centre&#10;"/>
            <wp:cNvGraphicFramePr/>
            <a:graphic xmlns:a="http://schemas.openxmlformats.org/drawingml/2006/main">
              <a:graphicData uri="http://schemas.openxmlformats.org/drawingml/2006/picture">
                <pic:pic xmlns:pic="http://schemas.openxmlformats.org/drawingml/2006/picture">
                  <pic:nvPicPr>
                    <pic:cNvPr id="13" name="Picture 9" descr="Map of Australia showing locations of sites and services supported by the Molly Wardaguga Research Centre&#10;"/>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8629" cy="3770161"/>
                    </a:xfrm>
                    <a:prstGeom prst="rect">
                      <a:avLst/>
                    </a:prstGeom>
                    <a:noFill/>
                    <a:ln>
                      <a:noFill/>
                    </a:ln>
                  </pic:spPr>
                </pic:pic>
              </a:graphicData>
            </a:graphic>
          </wp:inline>
        </w:drawing>
      </w:r>
    </w:p>
    <w:p w14:paraId="1FB1A84C" w14:textId="77777777" w:rsidR="00A17A4D" w:rsidRDefault="00A17A4D" w:rsidP="00A17A4D">
      <w:pPr>
        <w:rPr>
          <w:szCs w:val="22"/>
          <w:lang w:eastAsia="en-US"/>
        </w:rPr>
      </w:pPr>
    </w:p>
    <w:p w14:paraId="7D9240CD" w14:textId="77777777" w:rsidR="00A17A4D" w:rsidRPr="00FB79F8" w:rsidRDefault="00A17A4D" w:rsidP="00A17A4D">
      <w:pPr>
        <w:rPr>
          <w:rFonts w:ascii="Calibri" w:hAnsi="Calibri"/>
          <w:sz w:val="18"/>
          <w:szCs w:val="18"/>
          <w:lang w:eastAsia="en-US"/>
        </w:rPr>
      </w:pPr>
      <w:r w:rsidRPr="00FB79F8">
        <w:rPr>
          <w:sz w:val="18"/>
          <w:szCs w:val="18"/>
          <w:lang w:eastAsia="en-US"/>
        </w:rPr>
        <w:t xml:space="preserve">Reproduced with permission from Roe, Y., Kildea, S., </w:t>
      </w:r>
      <w:hyperlink r:id="rId66" w:history="1">
        <w:r w:rsidRPr="00FB79F8">
          <w:rPr>
            <w:rStyle w:val="Hyperlink"/>
            <w:rFonts w:eastAsiaTheme="majorEastAsia"/>
            <w:sz w:val="18"/>
            <w:szCs w:val="18"/>
            <w:lang w:eastAsia="en-US"/>
          </w:rPr>
          <w:t>Molly Wardaguga Research Centre’s road to supporting women’s cultural and birthing aspirations, 2019 to now’</w:t>
        </w:r>
      </w:hyperlink>
      <w:r w:rsidRPr="00FB79F8">
        <w:rPr>
          <w:sz w:val="18"/>
          <w:szCs w:val="18"/>
          <w:lang w:eastAsia="en-US"/>
        </w:rPr>
        <w:t>, Birthing on Country Centre for Research Excellence Seminar Series, 2022, Molly Wardaguga Research Centre, Charles Darwin University.</w:t>
      </w:r>
    </w:p>
    <w:p w14:paraId="127C217E" w14:textId="3E782496" w:rsidR="00A17A4D" w:rsidRDefault="00A17A4D" w:rsidP="004D1951">
      <w:pPr>
        <w:spacing w:after="120"/>
      </w:pPr>
    </w:p>
    <w:p w14:paraId="3D9F4DE8" w14:textId="0207E4A2" w:rsidR="00A17A4D" w:rsidRDefault="00A17A4D" w:rsidP="00A17A4D">
      <w:pPr>
        <w:spacing w:after="120"/>
        <w:rPr>
          <w:rFonts w:cstheme="minorHAnsi"/>
          <w:lang w:eastAsia="zh-CN"/>
        </w:rPr>
      </w:pPr>
      <w:r>
        <w:t xml:space="preserve">Stakeholders referred to the </w:t>
      </w:r>
      <w:r w:rsidRPr="00C27A12">
        <w:t>Early Assessment Referral Links</w:t>
      </w:r>
      <w:r>
        <w:t xml:space="preserve"> model in rural Victoria,</w:t>
      </w:r>
      <w:r>
        <w:fldChar w:fldCharType="begin"/>
      </w:r>
      <w:r w:rsidR="00F66EC6">
        <w:instrText xml:space="preserve"> ADDIN EN.CITE &lt;EndNote&gt;&lt;Cite&gt;&lt;Author&gt;Austin&lt;/Author&gt;&lt;Year&gt;2021&lt;/Year&gt;&lt;RecNum&gt;216&lt;/RecNum&gt;&lt;DisplayText&gt;&lt;style face="superscript"&gt;51&lt;/style&gt;&lt;/DisplayText&gt;&lt;record&gt;&lt;rec-number&gt;216&lt;/rec-number&gt;&lt;foreign-keys&gt;&lt;key app="EN" db-id="ewrsr2203a2a0veserrv55dezzwsepr5psw2" timestamp="1663656155"&gt;216&lt;/key&gt;&lt;/foreign-keys&gt;&lt;ref-type name="Journal Article"&gt;17&lt;/ref-type&gt;&lt;contributors&gt;&lt;authors&gt;&lt;author&gt;Austin, Catherine&lt;/author&gt;&lt;author&gt;Arabena, Kerry&lt;/author&gt;&lt;/authors&gt;&lt;/contributors&gt;&lt;titles&gt;&lt;title&gt;Improving the engagement of Aboriginal families with maternal and child health services: a new model of care&lt;/title&gt;&lt;secondary-title&gt;Public Health Research &amp;amp; Practice&lt;/secondary-title&gt;&lt;/titles&gt;&lt;periodical&gt;&lt;full-title&gt;Public Health Research &amp;amp; Practice&lt;/full-title&gt;&lt;/periodical&gt;&lt;pages&gt;e30232009&lt;/pages&gt;&lt;volume&gt;31&lt;/volume&gt;&lt;number&gt;2&lt;/number&gt;&lt;dates&gt;&lt;year&gt;2021&lt;/year&gt;&lt;/dates&gt;&lt;urls&gt;&lt;related-urls&gt;&lt;url&gt;https://www.phrp.com.au/issues/june-2021-volume-31-issue-2/improving-the-engagement-of-aboriginal-families-with-maternal-and-child-health-services-a-new-model-of-care/&lt;/url&gt;&lt;/related-urls&gt;&lt;/urls&gt;&lt;/record&gt;&lt;/Cite&gt;&lt;/EndNote&gt;</w:instrText>
      </w:r>
      <w:r>
        <w:fldChar w:fldCharType="separate"/>
      </w:r>
      <w:r w:rsidR="00F66EC6" w:rsidRPr="00F66EC6">
        <w:rPr>
          <w:noProof/>
          <w:vertAlign w:val="superscript"/>
        </w:rPr>
        <w:t>51</w:t>
      </w:r>
      <w:r>
        <w:fldChar w:fldCharType="end"/>
      </w:r>
      <w:r>
        <w:t xml:space="preserve"> the </w:t>
      </w:r>
      <w:r w:rsidRPr="00C27A12">
        <w:t xml:space="preserve">Group </w:t>
      </w:r>
      <w:r>
        <w:t>A</w:t>
      </w:r>
      <w:r w:rsidRPr="00C27A12">
        <w:t xml:space="preserve">ntenatal </w:t>
      </w:r>
      <w:r>
        <w:t>C</w:t>
      </w:r>
      <w:r w:rsidRPr="00C27A12">
        <w:t>are</w:t>
      </w:r>
      <w:r>
        <w:t xml:space="preserve"> model in Far North Queensland,</w:t>
      </w:r>
      <w:r>
        <w:fldChar w:fldCharType="begin"/>
      </w:r>
      <w:r w:rsidR="00F66EC6">
        <w:instrText xml:space="preserve"> ADDIN EN.CITE &lt;EndNote&gt;&lt;Cite&gt;&lt;Author&gt;Brookfield&lt;/Author&gt;&lt;Year&gt;2019&lt;/Year&gt;&lt;RecNum&gt;217&lt;/RecNum&gt;&lt;DisplayText&gt;&lt;style face="superscript"&gt;52&lt;/style&gt;&lt;/DisplayText&gt;&lt;record&gt;&lt;rec-number&gt;217&lt;/rec-number&gt;&lt;foreign-keys&gt;&lt;key app="EN" db-id="ewrsr2203a2a0veserrv55dezzwsepr5psw2" timestamp="1663656155"&gt;217&lt;/key&gt;&lt;/foreign-keys&gt;&lt;ref-type name="Journal Article"&gt;17&lt;/ref-type&gt;&lt;contributors&gt;&lt;authors&gt;&lt;author&gt;Brookfield, Jo&lt;/author&gt;&lt;/authors&gt;&lt;/contributors&gt;&lt;titles&gt;&lt;title&gt;Group antenatal care for Aboriginal and Torres Strait Islander women: An acceptability study&lt;/title&gt;&lt;secondary-title&gt;Women and Birth&lt;/secondary-title&gt;&lt;/titles&gt;&lt;periodical&gt;&lt;full-title&gt;Women and Birth&lt;/full-title&gt;&lt;/periodical&gt;&lt;pages&gt;437-448&lt;/pages&gt;&lt;volume&gt;32&lt;/volume&gt;&lt;number&gt;5&lt;/number&gt;&lt;keywords&gt;&lt;keyword&gt;Australia&lt;/keyword&gt;&lt;keyword&gt;Culturally competent care&lt;/keyword&gt;&lt;keyword&gt;Group antenatal care&lt;/keyword&gt;&lt;keyword&gt;Health care disparities&lt;/keyword&gt;&lt;keyword&gt;Health care worker&lt;/keyword&gt;&lt;keyword&gt;Indigenous&lt;/keyword&gt;&lt;/keywords&gt;&lt;dates&gt;&lt;year&gt;2019&lt;/year&gt;&lt;pub-dates&gt;&lt;date&gt;2019/10/01/&lt;/date&gt;&lt;/pub-dates&gt;&lt;/dates&gt;&lt;isbn&gt;1871-5192&lt;/isbn&gt;&lt;urls&gt;&lt;related-urls&gt;&lt;url&gt;https://www.sciencedirect.com/science/article/pii/S1871519219301908&lt;/url&gt;&lt;/related-urls&gt;&lt;/urls&gt;&lt;electronic-resource-num&gt;https://doi.org/10.1016/j.wombi.2019.06.021&lt;/electronic-resource-num&gt;&lt;/record&gt;&lt;/Cite&gt;&lt;/EndNote&gt;</w:instrText>
      </w:r>
      <w:r>
        <w:fldChar w:fldCharType="separate"/>
      </w:r>
      <w:r w:rsidR="00F66EC6" w:rsidRPr="00F66EC6">
        <w:rPr>
          <w:noProof/>
          <w:vertAlign w:val="superscript"/>
        </w:rPr>
        <w:t>52</w:t>
      </w:r>
      <w:r>
        <w:fldChar w:fldCharType="end"/>
      </w:r>
      <w:r>
        <w:t xml:space="preserve"> the </w:t>
      </w:r>
      <w:r w:rsidRPr="0098077C">
        <w:t xml:space="preserve">Community Maternity Hubs model </w:t>
      </w:r>
      <w:r>
        <w:t>in Brisbane (which is open to non-</w:t>
      </w:r>
      <w:r w:rsidR="001F0EDF">
        <w:t>Aboriginal and Torres Strait Islander</w:t>
      </w:r>
      <w:r>
        <w:t xml:space="preserve"> women),</w:t>
      </w:r>
      <w:r>
        <w:fldChar w:fldCharType="begin"/>
      </w:r>
      <w:r w:rsidR="00F66EC6">
        <w:instrText xml:space="preserve"> ADDIN EN.CITE &lt;EndNote&gt;&lt;Cite&gt;&lt;Author&gt;O&amp;apos;connor&lt;/Author&gt;&lt;Year&gt;2020&lt;/Year&gt;&lt;RecNum&gt;112&lt;/RecNum&gt;&lt;DisplayText&gt;&lt;style face="superscript"&gt;53&lt;/style&gt;&lt;/DisplayText&gt;&lt;record&gt;&lt;rec-number&gt;112&lt;/rec-number&gt;&lt;foreign-keys&gt;&lt;key app="EN" db-id="ewrsr2203a2a0veserrv55dezzwsepr5psw2" timestamp="1660791843"&gt;112&lt;/key&gt;&lt;/foreign-keys&gt;&lt;ref-type name="Report"&gt;27&lt;/ref-type&gt;&lt;contributors&gt;&lt;authors&gt;&lt;author&gt;O&amp;apos;connor, M. &lt;/author&gt;&lt;author&gt;Firmin, M.&lt;/author&gt;&lt;/authors&gt;&lt;secondary-authors&gt;&lt;author&gt;Queensland Health&lt;/author&gt;&lt;/secondary-authors&gt;&lt;tertiary-authors&gt;&lt;author&gt;Queensland Government&lt;/author&gt;&lt;/tertiary-authors&gt;&lt;subsidiary-authors&gt;&lt;author&gt;Queensland Health&lt;/author&gt;&lt;/subsidiary-authors&gt;&lt;/contributors&gt;&lt;titles&gt;&lt;title&gt;Community Maternal Hubs Model&lt;/title&gt;&lt;/titles&gt;&lt;dates&gt;&lt;year&gt;2020&lt;/year&gt;&lt;/dates&gt;&lt;pub-location&gt;Brisbane&lt;/pub-location&gt;&lt;urls&gt;&lt;related-urls&gt;&lt;url&gt;chrome-extension://efaidnbmnnnibpcajpcglclefindmkaj/https://www.health.qld.gov.au/__data/assets/pdf_file/0014/1126211/community-hubs-report.pdf&lt;/url&gt;&lt;/related-urls&gt;&lt;/urls&gt;&lt;/record&gt;&lt;/Cite&gt;&lt;/EndNote&gt;</w:instrText>
      </w:r>
      <w:r>
        <w:fldChar w:fldCharType="separate"/>
      </w:r>
      <w:r w:rsidR="00F66EC6" w:rsidRPr="00F66EC6">
        <w:rPr>
          <w:noProof/>
          <w:vertAlign w:val="superscript"/>
        </w:rPr>
        <w:t>53</w:t>
      </w:r>
      <w:r>
        <w:fldChar w:fldCharType="end"/>
      </w:r>
      <w:r>
        <w:t xml:space="preserve"> and caseload midwifery models in Melbourne</w:t>
      </w:r>
      <w:r>
        <w:fldChar w:fldCharType="begin"/>
      </w:r>
      <w:r w:rsidR="00F66EC6">
        <w:instrText xml:space="preserve"> ADDIN EN.CITE &lt;EndNote&gt;&lt;Cite&gt;&lt;Author&gt;McLachlan&lt;/Author&gt;&lt;Year&gt;2022&lt;/Year&gt;&lt;RecNum&gt;219&lt;/RecNum&gt;&lt;DisplayText&gt;&lt;style face="superscript"&gt;54&lt;/style&gt;&lt;/DisplayText&gt;&lt;record&gt;&lt;rec-number&gt;219&lt;/rec-number&gt;&lt;foreign-keys&gt;&lt;key app="EN" db-id="ewrsr2203a2a0veserrv55dezzwsepr5psw2" timestamp="1663656155"&gt;219&lt;/key&gt;&lt;/foreign-keys&gt;&lt;ref-type name="Journal Article"&gt;17&lt;/ref-type&gt;&lt;contributors&gt;&lt;authors&gt;&lt;author&gt;McLachlan, Helen L.&lt;/author&gt;&lt;author&gt;Newton, Michelle&lt;/author&gt;&lt;author&gt;McLardie-Hore, Fiona E.&lt;/author&gt;&lt;author&gt;McCalman, Pamela&lt;/author&gt;&lt;author&gt;Jackomos, Marika&lt;/author&gt;&lt;author&gt;Bundle, Gina&lt;/author&gt;&lt;author&gt;Kildea, Sue&lt;/author&gt;&lt;author&gt;Chamberlain, Catherine&lt;/author&gt;&lt;author&gt;Browne, Jennifer&lt;/author&gt;&lt;author&gt;Ryan, Jenny&lt;/author&gt;&lt;author&gt;Freemantle, Jane&lt;/author&gt;&lt;author&gt;Shafiei, Touran&lt;/author&gt;&lt;author&gt;Jacobs, Susan E.&lt;/author&gt;&lt;author&gt;Oats, Jeremy&lt;/author&gt;&lt;author&gt;Blow, Ngaree&lt;/author&gt;&lt;author&gt;Ferguson, Karyn&lt;/author&gt;&lt;author&gt;Gold, Lisa&lt;/author&gt;&lt;author&gt;Watkins, Jacqueline&lt;/author&gt;&lt;author&gt;Dell, Maree&lt;/author&gt;&lt;author&gt;Read, Kim&lt;/author&gt;&lt;author&gt;Hyde, Rebecca&lt;/author&gt;&lt;author&gt;Matthews, Robyn&lt;/author&gt;&lt;author&gt;Forster, Della A.&lt;/author&gt;&lt;/authors&gt;&lt;/contributors&gt;&lt;titles&gt;&lt;title&gt;Translating evidence into practice: Implementing culturally safe continuity of midwifery care for First Nations women in three maternity services in Victoria, Australia&lt;/title&gt;&lt;secondary-title&gt;eClinicalMedicine&lt;/secondary-title&gt;&lt;/titles&gt;&lt;periodical&gt;&lt;full-title&gt;eClinicalMedicine&lt;/full-title&gt;&lt;/periodical&gt;&lt;volume&gt;47&lt;/volume&gt;&lt;dates&gt;&lt;year&gt;2022&lt;/year&gt;&lt;/dates&gt;&lt;publisher&gt;Elsevier&lt;/publisher&gt;&lt;isbn&gt;2589-5370&lt;/isbn&gt;&lt;urls&gt;&lt;related-urls&gt;&lt;url&gt;https://doi.org/10.1016/j.eclinm.2022.101415&lt;/url&gt;&lt;/related-urls&gt;&lt;/urls&gt;&lt;electronic-resource-num&gt;10.1016/j.eclinm.2022.101415&lt;/electronic-resource-num&gt;&lt;access-date&gt;2022/09/07&lt;/access-date&gt;&lt;/record&gt;&lt;/Cite&gt;&lt;/EndNote&gt;</w:instrText>
      </w:r>
      <w:r>
        <w:fldChar w:fldCharType="separate"/>
      </w:r>
      <w:r w:rsidR="00F66EC6" w:rsidRPr="00F66EC6">
        <w:rPr>
          <w:noProof/>
          <w:vertAlign w:val="superscript"/>
        </w:rPr>
        <w:t>54</w:t>
      </w:r>
      <w:r>
        <w:fldChar w:fldCharType="end"/>
      </w:r>
      <w:r>
        <w:t xml:space="preserve"> and Sydney.</w:t>
      </w:r>
      <w:r>
        <w:fldChar w:fldCharType="begin"/>
      </w:r>
      <w:r w:rsidR="00F66EC6">
        <w:instrText xml:space="preserve"> ADDIN EN.CITE &lt;EndNote&gt;&lt;Cite&gt;&lt;Author&gt;Hartz&lt;/Author&gt;&lt;Year&gt;2019&lt;/Year&gt;&lt;RecNum&gt;142&lt;/RecNum&gt;&lt;DisplayText&gt;&lt;style face="superscript"&gt;55&lt;/style&gt;&lt;/DisplayText&gt;&lt;record&gt;&lt;rec-number&gt;142&lt;/rec-number&gt;&lt;foreign-keys&gt;&lt;key app="EN" db-id="ewrsr2203a2a0veserrv55dezzwsepr5psw2" timestamp="1661394254"&gt;142&lt;/key&gt;&lt;/foreign-keys&gt;&lt;ref-type name="Journal Article"&gt;17&lt;/ref-type&gt;&lt;contributors&gt;&lt;authors&gt;&lt;author&gt;Hartz, Donna L.&lt;/author&gt;&lt;author&gt;Blain, Jessica&lt;/author&gt;&lt;author&gt;Caplice, Shea&lt;/author&gt;&lt;author&gt;Allende, Trudy&lt;/author&gt;&lt;author&gt;Anderson, Susan&lt;/author&gt;&lt;author&gt;Hall, Beverly&lt;/author&gt;&lt;author&gt;McGrath, Leona&lt;/author&gt;&lt;author&gt;Williams, Kate&lt;/author&gt;&lt;author&gt;Jarman, Helen&lt;/author&gt;&lt;author&gt;Tracy, Sally K.&lt;/author&gt;&lt;/authors&gt;&lt;/contributors&gt;&lt;titles&gt;&lt;title&gt;Evaluation of an Australian Aboriginal model of maternity care: The Malabar Community Midwifery Link Service&lt;/title&gt;&lt;secondary-title&gt;Women and Birth&lt;/secondary-title&gt;&lt;/titles&gt;&lt;periodical&gt;&lt;full-title&gt;Women and Birth&lt;/full-title&gt;&lt;/periodical&gt;&lt;pages&gt;427-436&lt;/pages&gt;&lt;volume&gt;32&lt;/volume&gt;&lt;number&gt;5&lt;/number&gt;&lt;keywords&gt;&lt;keyword&gt;Midwifery&lt;/keyword&gt;&lt;keyword&gt;Midwifery-led&lt;/keyword&gt;&lt;keyword&gt;Continuity of care&lt;/keyword&gt;&lt;keyword&gt;Birthing on country&lt;/keyword&gt;&lt;keyword&gt;Aboriginal&lt;/keyword&gt;&lt;keyword&gt;Torres strait islander&lt;/keyword&gt;&lt;/keywords&gt;&lt;dates&gt;&lt;year&gt;2019&lt;/year&gt;&lt;pub-dates&gt;&lt;date&gt;2019/10/01/&lt;/date&gt;&lt;/pub-dates&gt;&lt;/dates&gt;&lt;isbn&gt;1871-5192&lt;/isbn&gt;&lt;urls&gt;&lt;related-urls&gt;&lt;url&gt;https://www.sciencedirect.com/science/article/pii/S1871519219302537&lt;/url&gt;&lt;/related-urls&gt;&lt;/urls&gt;&lt;electronic-resource-num&gt;https://doi.org/10.1016/j.wombi.2019.07.002&lt;/electronic-resource-num&gt;&lt;/record&gt;&lt;/Cite&gt;&lt;/EndNote&gt;</w:instrText>
      </w:r>
      <w:r>
        <w:fldChar w:fldCharType="separate"/>
      </w:r>
      <w:r w:rsidR="00F66EC6" w:rsidRPr="00F66EC6">
        <w:rPr>
          <w:noProof/>
          <w:vertAlign w:val="superscript"/>
        </w:rPr>
        <w:t>55</w:t>
      </w:r>
      <w:r>
        <w:fldChar w:fldCharType="end"/>
      </w:r>
      <w:r>
        <w:t xml:space="preserve"> W</w:t>
      </w:r>
      <w:r>
        <w:rPr>
          <w:lang w:eastAsia="zh-CN"/>
        </w:rPr>
        <w:t xml:space="preserve">ork is underway to establish a Birthing on Country service in the </w:t>
      </w:r>
      <w:r w:rsidRPr="006224FF">
        <w:rPr>
          <w:lang w:eastAsia="zh-CN"/>
        </w:rPr>
        <w:t xml:space="preserve">island town </w:t>
      </w:r>
      <w:r>
        <w:rPr>
          <w:lang w:eastAsia="zh-CN"/>
        </w:rPr>
        <w:t xml:space="preserve">of </w:t>
      </w:r>
      <w:r w:rsidRPr="00B3435A">
        <w:rPr>
          <w:lang w:eastAsia="zh-CN"/>
        </w:rPr>
        <w:t>Galiwin’ku</w:t>
      </w:r>
      <w:r>
        <w:rPr>
          <w:lang w:eastAsia="zh-CN"/>
        </w:rPr>
        <w:t xml:space="preserve"> in </w:t>
      </w:r>
      <w:r w:rsidRPr="006224FF">
        <w:rPr>
          <w:lang w:eastAsia="zh-CN"/>
        </w:rPr>
        <w:t>North East Arnhem Land</w:t>
      </w:r>
      <w:r>
        <w:rPr>
          <w:lang w:eastAsia="zh-CN"/>
        </w:rPr>
        <w:t xml:space="preserve"> in the Northern Territory.</w:t>
      </w:r>
      <w:r>
        <w:rPr>
          <w:lang w:eastAsia="zh-CN"/>
        </w:rPr>
        <w:fldChar w:fldCharType="begin"/>
      </w:r>
      <w:r w:rsidR="00F66EC6">
        <w:rPr>
          <w:lang w:eastAsia="zh-CN"/>
        </w:rPr>
        <w:instrText xml:space="preserve"> ADDIN EN.CITE &lt;EndNote&gt;&lt;Cite&gt;&lt;Author&gt;Ireland&lt;/Author&gt;&lt;Year&gt;2022&lt;/Year&gt;&lt;RecNum&gt;69&lt;/RecNum&gt;&lt;DisplayText&gt;&lt;style face="superscript"&gt;56&lt;/style&gt;&lt;/DisplayText&gt;&lt;record&gt;&lt;rec-number&gt;69&lt;/rec-number&gt;&lt;foreign-keys&gt;&lt;key app="EN" db-id="wpvfpf90szpzwse02epvd9rkrfpvwtrszrv0" timestamp="1665720158"&gt;69&lt;/key&gt;&lt;/foreign-keys&gt;&lt;ref-type name="Journal Article"&gt;17&lt;/ref-type&gt;&lt;contributors&gt;&lt;authors&gt;&lt;author&gt;Ireland, Sarah&lt;/author&gt;&lt;author&gt;Roe, Yvette&lt;/author&gt;&lt;author&gt;Moore, Suzanne&lt;/author&gt;&lt;author&gt;Maypilama, Elaine Ḻäwurrpa&lt;/author&gt;&lt;author&gt;Bukulatjpi, Dorothy Yuŋgirrŋa&lt;/author&gt;&lt;author&gt;Bukulatjpi, Evelyn Djota&lt;/author&gt;&lt;author&gt;Kildea, Sue&lt;/author&gt;&lt;/authors&gt;&lt;/contributors&gt;&lt;titles&gt;&lt;title&gt;Birthing on Country for the best start in life: returning childbirth services to Yolŋu mothers, babies and communities in North East Arnhem, Northern Territory&lt;/title&gt;&lt;secondary-title&gt;Medical Journal of Australia&lt;/secondary-title&gt;&lt;/titles&gt;&lt;periodical&gt;&lt;full-title&gt;Medical Journal of Australia&lt;/full-title&gt;&lt;/periodical&gt;&lt;pages&gt;5-8&lt;/pages&gt;&lt;volume&gt;217&lt;/volume&gt;&lt;number&gt;1&lt;/number&gt;&lt;keywords&gt;&lt;keyword&gt;Community care&lt;/keyword&gt;&lt;keyword&gt;Maternal health&lt;/keyword&gt;&lt;keyword&gt;Midwifery&lt;/keyword&gt;&lt;keyword&gt;Obstetrics&lt;/keyword&gt;&lt;/keywords&gt;&lt;dates&gt;&lt;year&gt;2022&lt;/year&gt;&lt;/dates&gt;&lt;pub-location&gt;Australia&lt;/pub-location&gt;&lt;isbn&gt;0025-729X&lt;/isbn&gt;&lt;urls&gt;&lt;/urls&gt;&lt;electronic-resource-num&gt;10.5694/mja2.51586&lt;/electronic-resource-num&gt;&lt;/record&gt;&lt;/Cite&gt;&lt;/EndNote&gt;</w:instrText>
      </w:r>
      <w:r>
        <w:rPr>
          <w:lang w:eastAsia="zh-CN"/>
        </w:rPr>
        <w:fldChar w:fldCharType="separate"/>
      </w:r>
      <w:r w:rsidR="00F66EC6" w:rsidRPr="00F66EC6">
        <w:rPr>
          <w:noProof/>
          <w:vertAlign w:val="superscript"/>
          <w:lang w:eastAsia="zh-CN"/>
        </w:rPr>
        <w:t>56</w:t>
      </w:r>
      <w:r>
        <w:rPr>
          <w:lang w:eastAsia="zh-CN"/>
        </w:rPr>
        <w:fldChar w:fldCharType="end"/>
      </w:r>
      <w:r>
        <w:rPr>
          <w:lang w:eastAsia="zh-CN"/>
        </w:rPr>
        <w:t xml:space="preserve"> Most recently, significant federal funding has been committed to advance</w:t>
      </w:r>
      <w:r w:rsidRPr="00BA2EC3">
        <w:rPr>
          <w:rFonts w:cstheme="minorHAnsi"/>
          <w:lang w:eastAsia="zh-CN"/>
        </w:rPr>
        <w:t xml:space="preserve"> Waminda’s </w:t>
      </w:r>
      <w:r w:rsidRPr="00BA2EC3">
        <w:rPr>
          <w:rFonts w:cstheme="minorHAnsi"/>
          <w:color w:val="051C2C"/>
          <w:shd w:val="clear" w:color="auto" w:fill="FFFFFF"/>
        </w:rPr>
        <w:t>Minga Gudjaga program</w:t>
      </w:r>
      <w:r w:rsidRPr="00BA2EC3">
        <w:rPr>
          <w:rFonts w:cstheme="minorHAnsi"/>
          <w:lang w:eastAsia="zh-CN"/>
        </w:rPr>
        <w:t xml:space="preserve"> on the NSW south coast. </w:t>
      </w:r>
      <w:r w:rsidRPr="004A719D">
        <w:rPr>
          <w:rFonts w:cstheme="minorHAnsi"/>
          <w:b/>
          <w:lang w:eastAsia="zh-CN"/>
        </w:rPr>
        <w:t>CATSINaM’s Murra Mullangari</w:t>
      </w:r>
      <w:r>
        <w:rPr>
          <w:rFonts w:cstheme="minorHAnsi"/>
          <w:lang w:eastAsia="zh-CN"/>
        </w:rPr>
        <w:t xml:space="preserve"> e-learning program was launched in 2022 and is the first </w:t>
      </w:r>
      <w:r w:rsidR="001F0EDF">
        <w:rPr>
          <w:rFonts w:cstheme="minorHAnsi"/>
          <w:lang w:eastAsia="zh-CN"/>
        </w:rPr>
        <w:t>Aboriginal and Torres Strait Islander</w:t>
      </w:r>
      <w:r>
        <w:rPr>
          <w:rFonts w:cstheme="minorHAnsi"/>
          <w:lang w:eastAsia="zh-CN"/>
        </w:rPr>
        <w:t xml:space="preserve">-developed cultural safety program for nurses and midwives to also include a </w:t>
      </w:r>
      <w:r w:rsidRPr="00924F59">
        <w:rPr>
          <w:rFonts w:cstheme="minorHAnsi"/>
          <w:b/>
          <w:lang w:eastAsia="zh-CN"/>
        </w:rPr>
        <w:t>cultural humility</w:t>
      </w:r>
      <w:r>
        <w:rPr>
          <w:rFonts w:cstheme="minorHAnsi"/>
          <w:lang w:eastAsia="zh-CN"/>
        </w:rPr>
        <w:t xml:space="preserve"> model.</w:t>
      </w:r>
    </w:p>
    <w:p w14:paraId="237C9C5E" w14:textId="77777777" w:rsidR="00A17A4D" w:rsidRDefault="00A17A4D" w:rsidP="00A17A4D">
      <w:pPr>
        <w:spacing w:after="120"/>
        <w:rPr>
          <w:lang w:eastAsia="zh-CN" w:bidi="th-TH"/>
        </w:rPr>
      </w:pPr>
      <w:r>
        <w:rPr>
          <w:lang w:eastAsia="zh-CN" w:bidi="th-TH"/>
        </w:rPr>
        <w:t xml:space="preserve">In Queensland, </w:t>
      </w:r>
      <w:r w:rsidRPr="00B14480">
        <w:rPr>
          <w:i/>
          <w:iCs/>
          <w:lang w:eastAsia="zh-CN" w:bidi="th-TH"/>
        </w:rPr>
        <w:t xml:space="preserve">the </w:t>
      </w:r>
      <w:r w:rsidRPr="00F05AEB">
        <w:rPr>
          <w:b/>
          <w:i/>
          <w:iCs/>
          <w:lang w:eastAsia="zh-CN" w:bidi="th-TH"/>
        </w:rPr>
        <w:t>Growing Deadly Families Aboriginal and Torres Strait Islander Maternity Services Strategy 2019-2025</w:t>
      </w:r>
      <w:r w:rsidRPr="00F05AEB">
        <w:rPr>
          <w:b/>
          <w:lang w:eastAsia="zh-CN" w:bidi="th-TH"/>
        </w:rPr>
        <w:t xml:space="preserve"> </w:t>
      </w:r>
      <w:r w:rsidRPr="00B14480">
        <w:rPr>
          <w:lang w:eastAsia="zh-CN" w:bidi="th-TH"/>
        </w:rPr>
        <w:t>detail</w:t>
      </w:r>
      <w:r>
        <w:rPr>
          <w:lang w:eastAsia="zh-CN" w:bidi="th-TH"/>
        </w:rPr>
        <w:t>ed</w:t>
      </w:r>
      <w:r w:rsidRPr="00B14480">
        <w:rPr>
          <w:lang w:eastAsia="zh-CN" w:bidi="th-TH"/>
        </w:rPr>
        <w:t xml:space="preserve"> three priority areas to ensure access to high quality, clinical and culturally capable maternity services</w:t>
      </w:r>
      <w:r>
        <w:rPr>
          <w:lang w:eastAsia="zh-CN" w:bidi="th-TH"/>
        </w:rPr>
        <w:t xml:space="preserve"> (all of which are present in the models outlined in the previous paragraph):</w:t>
      </w:r>
    </w:p>
    <w:p w14:paraId="7E8788E1" w14:textId="77777777" w:rsidR="00A17A4D" w:rsidRDefault="00A17A4D" w:rsidP="00A17A4D">
      <w:pPr>
        <w:pStyle w:val="Bullets"/>
        <w:numPr>
          <w:ilvl w:val="0"/>
          <w:numId w:val="11"/>
        </w:numPr>
        <w:spacing w:before="0"/>
        <w:ind w:left="357" w:hanging="357"/>
        <w:rPr>
          <w:lang w:eastAsia="zh-CN"/>
        </w:rPr>
      </w:pPr>
      <w:r>
        <w:rPr>
          <w:lang w:eastAsia="zh-CN"/>
        </w:rPr>
        <w:t>C</w:t>
      </w:r>
      <w:r w:rsidRPr="00B14480">
        <w:rPr>
          <w:lang w:eastAsia="zh-CN"/>
        </w:rPr>
        <w:t>o-design and co-delivery of services</w:t>
      </w:r>
      <w:r>
        <w:rPr>
          <w:lang w:eastAsia="zh-CN"/>
        </w:rPr>
        <w:t>.</w:t>
      </w:r>
    </w:p>
    <w:p w14:paraId="309B0B90" w14:textId="77777777" w:rsidR="00A17A4D" w:rsidRDefault="00A17A4D" w:rsidP="00A17A4D">
      <w:pPr>
        <w:pStyle w:val="Bullets"/>
        <w:numPr>
          <w:ilvl w:val="0"/>
          <w:numId w:val="11"/>
        </w:numPr>
        <w:spacing w:before="0"/>
        <w:ind w:left="357" w:hanging="357"/>
        <w:rPr>
          <w:lang w:eastAsia="zh-CN"/>
        </w:rPr>
      </w:pPr>
      <w:r>
        <w:rPr>
          <w:lang w:eastAsia="zh-CN"/>
        </w:rPr>
        <w:t>A</w:t>
      </w:r>
      <w:r w:rsidRPr="00B14480">
        <w:rPr>
          <w:lang w:eastAsia="zh-CN"/>
        </w:rPr>
        <w:t>ccess to woman-centred, comprehensive and culturally capable maternity care</w:t>
      </w:r>
      <w:r>
        <w:rPr>
          <w:lang w:eastAsia="zh-CN"/>
        </w:rPr>
        <w:t>.</w:t>
      </w:r>
    </w:p>
    <w:p w14:paraId="47175579" w14:textId="03DABF92" w:rsidR="00A17A4D" w:rsidRDefault="00A17A4D" w:rsidP="00A17A4D">
      <w:pPr>
        <w:pStyle w:val="Bullets"/>
        <w:numPr>
          <w:ilvl w:val="0"/>
          <w:numId w:val="11"/>
        </w:numPr>
        <w:spacing w:before="0"/>
        <w:ind w:left="357" w:hanging="357"/>
        <w:rPr>
          <w:lang w:eastAsia="zh-CN"/>
        </w:rPr>
      </w:pPr>
      <w:r>
        <w:rPr>
          <w:lang w:eastAsia="zh-CN"/>
        </w:rPr>
        <w:t>A</w:t>
      </w:r>
      <w:r w:rsidRPr="00B14480">
        <w:rPr>
          <w:lang w:eastAsia="zh-CN"/>
        </w:rPr>
        <w:t xml:space="preserve"> culturally capable workforce, across all disciplines of maternity care</w:t>
      </w:r>
      <w:r>
        <w:rPr>
          <w:lang w:eastAsia="zh-CN"/>
        </w:rPr>
        <w:t>.</w:t>
      </w:r>
      <w:r>
        <w:rPr>
          <w:lang w:eastAsia="zh-CN"/>
        </w:rPr>
        <w:fldChar w:fldCharType="begin"/>
      </w:r>
      <w:r w:rsidR="00F66EC6">
        <w:rPr>
          <w:lang w:eastAsia="zh-CN"/>
        </w:rPr>
        <w:instrText xml:space="preserve"> ADDIN EN.CITE &lt;EndNote&gt;&lt;Cite&gt;&lt;Author&gt;Queensland Health&lt;/Author&gt;&lt;Year&gt;2019a&lt;/Year&gt;&lt;RecNum&gt;224&lt;/RecNum&gt;&lt;DisplayText&gt;&lt;style face="superscript"&gt;57&lt;/style&gt;&lt;/DisplayText&gt;&lt;record&gt;&lt;rec-number&gt;224&lt;/rec-number&gt;&lt;foreign-keys&gt;&lt;key app="EN" db-id="ewrsr2203a2a0veserrv55dezzwsepr5psw2" timestamp="1663656155"&gt;224&lt;/key&gt;&lt;/foreign-keys&gt;&lt;ref-type name="Report"&gt;27&lt;/ref-type&gt;&lt;contributors&gt;&lt;authors&gt;&lt;author&gt;Queensland Health,&lt;/author&gt;&lt;/authors&gt;&lt;/contributors&gt;&lt;titles&gt;&lt;title&gt;Growing Deadly Families Aboriginal and Torres Strait Islander Maternity Services Strategy 2019 - 2025&lt;/title&gt;&lt;/titles&gt;&lt;dates&gt;&lt;year&gt;2019a&lt;/year&gt;&lt;/dates&gt;&lt;pub-location&gt;Brisbane&lt;/pub-location&gt;&lt;publisher&gt;Queensland Health&lt;/publisher&gt;&lt;urls&gt;&lt;related-urls&gt;&lt;url&gt;https://www.health.qld.gov.au/__data/assets/pdf_file/0030/932880/Growing-Deadly-Families-Strategy.pdf&lt;/url&gt;&lt;/related-urls&gt;&lt;/urls&gt;&lt;/record&gt;&lt;/Cite&gt;&lt;/EndNote&gt;</w:instrText>
      </w:r>
      <w:r>
        <w:rPr>
          <w:lang w:eastAsia="zh-CN"/>
        </w:rPr>
        <w:fldChar w:fldCharType="separate"/>
      </w:r>
      <w:r w:rsidR="00F66EC6" w:rsidRPr="00F66EC6">
        <w:rPr>
          <w:noProof/>
          <w:vertAlign w:val="superscript"/>
          <w:lang w:eastAsia="zh-CN"/>
        </w:rPr>
        <w:t>57</w:t>
      </w:r>
      <w:r>
        <w:rPr>
          <w:lang w:eastAsia="zh-CN"/>
        </w:rPr>
        <w:fldChar w:fldCharType="end"/>
      </w:r>
    </w:p>
    <w:p w14:paraId="6536EBB4" w14:textId="247099DE" w:rsidR="00A17A4D" w:rsidRDefault="00A17A4D" w:rsidP="00A17A4D">
      <w:pPr>
        <w:spacing w:after="120"/>
        <w:rPr>
          <w:lang w:eastAsia="zh-CN" w:bidi="th-TH"/>
        </w:rPr>
      </w:pPr>
      <w:r>
        <w:rPr>
          <w:lang w:eastAsia="zh-CN" w:bidi="th-TH"/>
        </w:rPr>
        <w:t>A systematic review published in 2020 examined Aboriginal and Torres Strait Islander family access to continuity of health care services in the first 1000 days of life, primarily during the antenatal, birthing and immediate postnatal period. The review found that there was a l</w:t>
      </w:r>
      <w:r w:rsidRPr="006D52CF">
        <w:rPr>
          <w:lang w:eastAsia="zh-CN" w:bidi="th-TH"/>
        </w:rPr>
        <w:t>ack of continuity of care</w:t>
      </w:r>
      <w:r>
        <w:rPr>
          <w:lang w:eastAsia="zh-CN" w:bidi="th-TH"/>
        </w:rPr>
        <w:t xml:space="preserve"> and this impacted experiences of and satisfaction with care. Aboriginal women highly valued continuity of care and continuity of carer.</w:t>
      </w:r>
      <w:r w:rsidR="00852504">
        <w:rPr>
          <w:lang w:eastAsia="zh-CN" w:bidi="th-TH"/>
        </w:rPr>
        <w:t xml:space="preserve"> Most of the </w:t>
      </w:r>
      <w:r w:rsidR="006B1F8B">
        <w:rPr>
          <w:lang w:eastAsia="zh-CN" w:bidi="th-TH"/>
        </w:rPr>
        <w:t xml:space="preserve">included </w:t>
      </w:r>
      <w:r w:rsidR="00852504">
        <w:rPr>
          <w:lang w:eastAsia="zh-CN" w:bidi="th-TH"/>
        </w:rPr>
        <w:t>studies focused on health services in rural or remote communities and there was a lack of documented evidence for women living and birthing in regional and metropolitan areas.</w:t>
      </w:r>
      <w:r>
        <w:rPr>
          <w:lang w:eastAsia="zh-CN" w:bidi="th-TH"/>
        </w:rPr>
        <w:fldChar w:fldCharType="begin"/>
      </w:r>
      <w:r w:rsidR="00F66EC6">
        <w:rPr>
          <w:lang w:eastAsia="zh-CN" w:bidi="th-TH"/>
        </w:rPr>
        <w:instrText xml:space="preserve"> ADDIN EN.CITE &lt;EndNote&gt;&lt;Cite&gt;&lt;Author&gt;Sivertsen&lt;/Author&gt;&lt;Year&gt;2020&lt;/Year&gt;&lt;RecNum&gt;88&lt;/RecNum&gt;&lt;DisplayText&gt;&lt;style face="superscript"&gt;58&lt;/style&gt;&lt;/DisplayText&gt;&lt;record&gt;&lt;rec-number&gt;88&lt;/rec-number&gt;&lt;foreign-keys&gt;&lt;key app="EN" db-id="ewrsr2203a2a0veserrv55dezzwsepr5psw2" timestamp="1660609269"&gt;88&lt;/key&gt;&lt;/foreign-keys&gt;&lt;ref-type name="Journal Article"&gt;17&lt;/ref-type&gt;&lt;contributors&gt;&lt;authors&gt;&lt;author&gt;Sivertsen, Nina&lt;/author&gt;&lt;author&gt;Anikeeva, Olga&lt;/author&gt;&lt;author&gt;Deverix, Janiene&lt;/author&gt;&lt;author&gt;Grant, Julian&lt;/author&gt;&lt;/authors&gt;&lt;/contributors&gt;&lt;titles&gt;&lt;title&gt;Aboriginal and Torres Strait Islander family access to continuity of health care services in the first 1000 days of life: a systematic review of the literature&lt;/title&gt;&lt;secondary-title&gt;BMC Health Services Research&lt;/secondary-title&gt;&lt;/titles&gt;&lt;periodical&gt;&lt;full-title&gt;BMC Health Services Research&lt;/full-title&gt;&lt;/periodical&gt;&lt;pages&gt;829&lt;/pages&gt;&lt;volume&gt;20&lt;/volume&gt;&lt;number&gt;1&lt;/number&gt;&lt;dates&gt;&lt;year&gt;2020&lt;/year&gt;&lt;pub-dates&gt;&lt;date&gt;2020/09/03&lt;/date&gt;&lt;/pub-dates&gt;&lt;/dates&gt;&lt;isbn&gt;1472-6963&lt;/isbn&gt;&lt;urls&gt;&lt;related-urls&gt;&lt;url&gt;https://doi.org/10.1186/s12913-020-05673-w&lt;/url&gt;&lt;/related-urls&gt;&lt;/urls&gt;&lt;electronic-resource-num&gt;10.1186/s12913-020-05673-w&lt;/electronic-resource-num&gt;&lt;/record&gt;&lt;/Cite&gt;&lt;/EndNote&gt;</w:instrText>
      </w:r>
      <w:r>
        <w:rPr>
          <w:lang w:eastAsia="zh-CN" w:bidi="th-TH"/>
        </w:rPr>
        <w:fldChar w:fldCharType="separate"/>
      </w:r>
      <w:r w:rsidR="00F66EC6" w:rsidRPr="00F66EC6">
        <w:rPr>
          <w:noProof/>
          <w:vertAlign w:val="superscript"/>
          <w:lang w:eastAsia="zh-CN" w:bidi="th-TH"/>
        </w:rPr>
        <w:t>58</w:t>
      </w:r>
      <w:r>
        <w:rPr>
          <w:lang w:eastAsia="zh-CN" w:bidi="th-TH"/>
        </w:rPr>
        <w:fldChar w:fldCharType="end"/>
      </w:r>
    </w:p>
    <w:p w14:paraId="06FD560D" w14:textId="503582F9" w:rsidR="00A17A4D" w:rsidRDefault="00A17A4D" w:rsidP="00A17A4D">
      <w:pPr>
        <w:spacing w:after="120"/>
        <w:rPr>
          <w:lang w:eastAsia="zh-CN" w:bidi="th-TH"/>
        </w:rPr>
      </w:pPr>
      <w:r>
        <w:rPr>
          <w:lang w:eastAsia="zh-CN" w:bidi="th-TH"/>
        </w:rPr>
        <w:lastRenderedPageBreak/>
        <w:t>An economic evaluation conducted in Queensland has found that public midwifery group practice is significantly less costly than other models of maternity care.</w:t>
      </w:r>
      <w:r>
        <w:rPr>
          <w:lang w:eastAsia="zh-CN" w:bidi="th-TH"/>
        </w:rPr>
        <w:fldChar w:fldCharType="begin"/>
      </w:r>
      <w:r w:rsidR="00F66EC6">
        <w:rPr>
          <w:lang w:eastAsia="zh-CN" w:bidi="th-TH"/>
        </w:rPr>
        <w:instrText xml:space="preserve"> ADDIN EN.CITE &lt;EndNote&gt;&lt;Cite&gt;&lt;Author&gt;Callander&lt;/Author&gt;&lt;Year&gt;2021&lt;/Year&gt;&lt;RecNum&gt;212&lt;/RecNum&gt;&lt;DisplayText&gt;&lt;style face="superscript"&gt;59&lt;/style&gt;&lt;/DisplayText&gt;&lt;record&gt;&lt;rec-number&gt;212&lt;/rec-number&gt;&lt;foreign-keys&gt;&lt;key app="EN" db-id="ewrsr2203a2a0veserrv55dezzwsepr5psw2" timestamp="1663656155"&gt;212&lt;/key&gt;&lt;/foreign-keys&gt;&lt;ref-type name="Journal Article"&gt;17&lt;/ref-type&gt;&lt;contributors&gt;&lt;authors&gt;&lt;author&gt;Callander, Emily J&lt;/author&gt;&lt;author&gt;Slavin, Valerie&lt;/author&gt;&lt;author&gt;Gamble, Jenny&lt;/author&gt;&lt;author&gt;Creedy, Deera K&lt;/author&gt;&lt;author&gt;Brittain, Hazel&lt;/author&gt;&lt;/authors&gt;&lt;/contributors&gt;&lt;titles&gt;&lt;title&gt;Cost-effectiveness of public caseload midwifery compared to standard care in an Australian setting: a pragmatic analysis to inform service delivery&lt;/title&gt;&lt;secondary-title&gt;International Journal for Quality in Health Care&lt;/secondary-title&gt;&lt;/titles&gt;&lt;periodical&gt;&lt;full-title&gt;International Journal for Quality in Health Care&lt;/full-title&gt;&lt;/periodical&gt;&lt;volume&gt;33&lt;/volume&gt;&lt;number&gt;2&lt;/number&gt;&lt;dates&gt;&lt;year&gt;2021&lt;/year&gt;&lt;/dates&gt;&lt;isbn&gt;1353-4505&lt;/isbn&gt;&lt;urls&gt;&lt;related-urls&gt;&lt;url&gt;https://doi.org/10.1093/intqhc/mzab084&lt;/url&gt;&lt;/related-urls&gt;&lt;/urls&gt;&lt;custom1&gt;mzab084&lt;/custom1&gt;&lt;electronic-resource-num&gt;10.1093/intqhc/mzab084&lt;/electronic-resource-num&gt;&lt;access-date&gt;9/11/2022&lt;/access-date&gt;&lt;/record&gt;&lt;/Cite&gt;&lt;/EndNote&gt;</w:instrText>
      </w:r>
      <w:r>
        <w:rPr>
          <w:lang w:eastAsia="zh-CN" w:bidi="th-TH"/>
        </w:rPr>
        <w:fldChar w:fldCharType="separate"/>
      </w:r>
      <w:r w:rsidR="00F66EC6" w:rsidRPr="00F66EC6">
        <w:rPr>
          <w:noProof/>
          <w:vertAlign w:val="superscript"/>
          <w:lang w:eastAsia="zh-CN" w:bidi="th-TH"/>
        </w:rPr>
        <w:t>59</w:t>
      </w:r>
      <w:r>
        <w:rPr>
          <w:lang w:eastAsia="zh-CN" w:bidi="th-TH"/>
        </w:rPr>
        <w:fldChar w:fldCharType="end"/>
      </w:r>
      <w:r>
        <w:rPr>
          <w:lang w:eastAsia="zh-CN" w:bidi="th-TH"/>
        </w:rPr>
        <w:t xml:space="preserve"> Models of care specifically designed to improve continuity of care almost exclusively involve midwives, both in Australia and globally.</w:t>
      </w:r>
      <w:r>
        <w:rPr>
          <w:lang w:eastAsia="zh-CN" w:bidi="th-TH"/>
        </w:rPr>
        <w:fldChar w:fldCharType="begin"/>
      </w:r>
      <w:r w:rsidR="00F66EC6">
        <w:rPr>
          <w:lang w:eastAsia="zh-CN" w:bidi="th-TH"/>
        </w:rPr>
        <w:instrText xml:space="preserve"> ADDIN EN.CITE &lt;EndNote&gt;&lt;Cite&gt;&lt;Author&gt;Bradford&lt;/Author&gt;&lt;Year&gt;2022&lt;/Year&gt;&lt;RecNum&gt;144&lt;/RecNum&gt;&lt;DisplayText&gt;&lt;style face="superscript"&gt;60&lt;/style&gt;&lt;/DisplayText&gt;&lt;record&gt;&lt;rec-number&gt;144&lt;/rec-number&gt;&lt;foreign-keys&gt;&lt;key app="EN" db-id="wpvfpf90szpzwse02epvd9rkrfpvwtrszrv0" timestamp="1666416932"&gt;144&lt;/key&gt;&lt;/foreign-keys&gt;&lt;ref-type name="Journal Article"&gt;17&lt;/ref-type&gt;&lt;contributors&gt;&lt;authors&gt;&lt;author&gt;Bradford, Billie F.&lt;/author&gt;&lt;author&gt;Wilson, Alyce N.&lt;/author&gt;&lt;author&gt;Portela, Anayda&lt;/author&gt;&lt;author&gt;McConville, Fran&lt;/author&gt;&lt;author&gt;Fernandez Turienzo, Cristina&lt;/author&gt;&lt;author&gt;Homer, Caroline S. E.&lt;/author&gt;&lt;/authors&gt;&lt;/contributors&gt;&lt;titles&gt;&lt;title&gt;Midwifery continuity of care: A scoping review of where, how, by whom and for whom?&lt;/title&gt;&lt;secondary-title&gt;PLOS Global Public Health&lt;/secondary-title&gt;&lt;/titles&gt;&lt;periodical&gt;&lt;full-title&gt;PLOS Global Public Health&lt;/full-title&gt;&lt;/periodical&gt;&lt;pages&gt;e0000935&lt;/pages&gt;&lt;volume&gt;2&lt;/volume&gt;&lt;number&gt;10&lt;/number&gt;&lt;dates&gt;&lt;year&gt;2022&lt;/year&gt;&lt;/dates&gt;&lt;publisher&gt;Public Library of Science&lt;/publisher&gt;&lt;urls&gt;&lt;related-urls&gt;&lt;url&gt;https://doi.org/10.1371/journal.pgph.0000935&lt;/url&gt;&lt;/related-urls&gt;&lt;/urls&gt;&lt;electronic-resource-num&gt;10.1371/journal.pgph.0000935&lt;/electronic-resource-num&gt;&lt;/record&gt;&lt;/Cite&gt;&lt;/EndNote&gt;</w:instrText>
      </w:r>
      <w:r>
        <w:rPr>
          <w:lang w:eastAsia="zh-CN" w:bidi="th-TH"/>
        </w:rPr>
        <w:fldChar w:fldCharType="separate"/>
      </w:r>
      <w:r w:rsidR="00F66EC6" w:rsidRPr="00F66EC6">
        <w:rPr>
          <w:noProof/>
          <w:vertAlign w:val="superscript"/>
          <w:lang w:eastAsia="zh-CN" w:bidi="th-TH"/>
        </w:rPr>
        <w:t>60</w:t>
      </w:r>
      <w:r>
        <w:rPr>
          <w:lang w:eastAsia="zh-CN" w:bidi="th-TH"/>
        </w:rPr>
        <w:fldChar w:fldCharType="end"/>
      </w:r>
      <w:r>
        <w:rPr>
          <w:lang w:eastAsia="zh-CN" w:bidi="th-TH"/>
        </w:rPr>
        <w:t xml:space="preserve"> In </w:t>
      </w:r>
      <w:r w:rsidRPr="00080981">
        <w:rPr>
          <w:lang w:eastAsia="zh-CN" w:bidi="th-TH"/>
        </w:rPr>
        <w:t>Queensland, a</w:t>
      </w:r>
      <w:r w:rsidRPr="00F05AEB">
        <w:rPr>
          <w:b/>
          <w:lang w:eastAsia="zh-CN" w:bidi="th-TH"/>
        </w:rPr>
        <w:t xml:space="preserve"> decision-making framework</w:t>
      </w:r>
      <w:r>
        <w:rPr>
          <w:lang w:eastAsia="zh-CN" w:bidi="th-TH"/>
        </w:rPr>
        <w:t xml:space="preserve"> has been developed to increase maternity continuity of carer and has been used in three rural sites to improve services:</w:t>
      </w:r>
    </w:p>
    <w:p w14:paraId="3FDAD54A" w14:textId="0E6CDA2D" w:rsidR="00A17A4D" w:rsidRPr="00F41408" w:rsidRDefault="00A17A4D" w:rsidP="00A17A4D">
      <w:pPr>
        <w:pStyle w:val="Bullets"/>
        <w:numPr>
          <w:ilvl w:val="0"/>
          <w:numId w:val="10"/>
        </w:numPr>
      </w:pPr>
      <w:r w:rsidRPr="00F41408">
        <w:t>as a quality assurance tool for an existing continuity of carer model</w:t>
      </w:r>
      <w:r w:rsidR="006B1F8B">
        <w:t>;</w:t>
      </w:r>
    </w:p>
    <w:p w14:paraId="493543EF" w14:textId="7323347B" w:rsidR="00A17A4D" w:rsidRPr="00F41408" w:rsidRDefault="00A17A4D" w:rsidP="00A17A4D">
      <w:pPr>
        <w:pStyle w:val="Bullets"/>
        <w:numPr>
          <w:ilvl w:val="0"/>
          <w:numId w:val="10"/>
        </w:numPr>
      </w:pPr>
      <w:r w:rsidRPr="00F41408">
        <w:t xml:space="preserve">to facilitate a new midwifery continuity of carer model </w:t>
      </w:r>
      <w:r w:rsidR="006B1F8B">
        <w:t>for</w:t>
      </w:r>
      <w:r w:rsidRPr="00F41408">
        <w:t xml:space="preserve"> Aboriginal and Torres Strait Islander women</w:t>
      </w:r>
      <w:r w:rsidR="006B1F8B">
        <w:t>;</w:t>
      </w:r>
    </w:p>
    <w:p w14:paraId="1B7C0FAD" w14:textId="525A2A0F" w:rsidR="00A17A4D" w:rsidRPr="00F41408" w:rsidRDefault="00A17A4D" w:rsidP="00A17A4D">
      <w:pPr>
        <w:pStyle w:val="Bullets"/>
        <w:numPr>
          <w:ilvl w:val="0"/>
          <w:numId w:val="10"/>
        </w:numPr>
      </w:pPr>
      <w:r w:rsidRPr="00F41408">
        <w:t>to plan for a non-birthing remote facility to establish a birthing service.</w:t>
      </w:r>
      <w:r>
        <w:fldChar w:fldCharType="begin"/>
      </w:r>
      <w:r w:rsidR="00F66EC6">
        <w:instrText xml:space="preserve"> ADDIN EN.CITE &lt;EndNote&gt;&lt;Cite&gt;&lt;Author&gt;Toohill&lt;/Author&gt;&lt;Year&gt;2020&lt;/Year&gt;&lt;RecNum&gt;75&lt;/RecNum&gt;&lt;DisplayText&gt;&lt;style face="superscript"&gt;61&lt;/style&gt;&lt;/DisplayText&gt;&lt;record&gt;&lt;rec-number&gt;75&lt;/rec-number&gt;&lt;foreign-keys&gt;&lt;key app="EN" db-id="wpvfpf90szpzwse02epvd9rkrfpvwtrszrv0" timestamp="1665720158"&gt;75&lt;/key&gt;&lt;/foreign-keys&gt;&lt;ref-type name="Journal Article"&gt;17&lt;/ref-type&gt;&lt;contributors&gt;&lt;authors&gt;&lt;author&gt;Toohill, Jocelyn&lt;/author&gt;&lt;author&gt;Chadha, Yogesh&lt;/author&gt;&lt;author&gt;Nowlan, Shelley&lt;/author&gt;&lt;/authors&gt;&lt;/contributors&gt;&lt;titles&gt;&lt;title&gt;An interactive decision-making framework (i-DMF) to scale up maternity continuity of carer models&lt;/title&gt;&lt;secondary-title&gt;Journal of Research in Nursing&lt;/secondary-title&gt;&lt;/titles&gt;&lt;periodical&gt;&lt;full-title&gt;Journal of Research in Nursing&lt;/full-title&gt;&lt;/periodical&gt;&lt;pages&gt;561-576&lt;/pages&gt;&lt;volume&gt;25&lt;/volume&gt;&lt;number&gt;6-7&lt;/number&gt;&lt;dates&gt;&lt;year&gt;2020&lt;/year&gt;&lt;/dates&gt;&lt;pub-location&gt;London, England&lt;/pub-location&gt;&lt;publisher&gt;SAGE Publications&lt;/publisher&gt;&lt;isbn&gt;1744-9871&lt;/isbn&gt;&lt;urls&gt;&lt;/urls&gt;&lt;electronic-resource-num&gt;10.1177/1744987119887424&lt;/electronic-resource-num&gt;&lt;/record&gt;&lt;/Cite&gt;&lt;/EndNote&gt;</w:instrText>
      </w:r>
      <w:r>
        <w:fldChar w:fldCharType="separate"/>
      </w:r>
      <w:r w:rsidR="00F66EC6" w:rsidRPr="00F66EC6">
        <w:rPr>
          <w:noProof/>
          <w:vertAlign w:val="superscript"/>
        </w:rPr>
        <w:t>61</w:t>
      </w:r>
      <w:r>
        <w:fldChar w:fldCharType="end"/>
      </w:r>
      <w:r w:rsidRPr="00F41408">
        <w:t xml:space="preserve"> </w:t>
      </w:r>
    </w:p>
    <w:p w14:paraId="01723040" w14:textId="3B3EA9CC" w:rsidR="00A17A4D" w:rsidRDefault="00A17A4D" w:rsidP="00A17A4D">
      <w:pPr>
        <w:spacing w:after="120"/>
      </w:pPr>
      <w:r>
        <w:t xml:space="preserve">The environment scan and stakeholder interviews identified limited examples of models of care specifically devoted to the needs of women from </w:t>
      </w:r>
      <w:r w:rsidRPr="0002224E">
        <w:t>culturally and linguistically diverse backgrounds</w:t>
      </w:r>
      <w:r>
        <w:t xml:space="preserve">. The </w:t>
      </w:r>
      <w:r w:rsidRPr="00924F59">
        <w:rPr>
          <w:b/>
        </w:rPr>
        <w:t xml:space="preserve">Community Maternity Hubs </w:t>
      </w:r>
      <w:r w:rsidRPr="0098077C">
        <w:t xml:space="preserve">model </w:t>
      </w:r>
      <w:r>
        <w:t>in Brisbane is available for women who are Maori or Pacific Islander, or have a background as a migrant or refugee.</w:t>
      </w:r>
      <w:r>
        <w:fldChar w:fldCharType="begin"/>
      </w:r>
      <w:r w:rsidR="00F66EC6">
        <w:instrText xml:space="preserve"> ADDIN EN.CITE &lt;EndNote&gt;&lt;Cite&gt;&lt;Author&gt;O&amp;apos;connor&lt;/Author&gt;&lt;Year&gt;2020&lt;/Year&gt;&lt;RecNum&gt;112&lt;/RecNum&gt;&lt;DisplayText&gt;&lt;style face="superscript"&gt;53&lt;/style&gt;&lt;/DisplayText&gt;&lt;record&gt;&lt;rec-number&gt;112&lt;/rec-number&gt;&lt;foreign-keys&gt;&lt;key app="EN" db-id="ewrsr2203a2a0veserrv55dezzwsepr5psw2" timestamp="1660791843"&gt;112&lt;/key&gt;&lt;/foreign-keys&gt;&lt;ref-type name="Report"&gt;27&lt;/ref-type&gt;&lt;contributors&gt;&lt;authors&gt;&lt;author&gt;O&amp;apos;connor, M. &lt;/author&gt;&lt;author&gt;Firmin, M.&lt;/author&gt;&lt;/authors&gt;&lt;secondary-authors&gt;&lt;author&gt;Queensland Health&lt;/author&gt;&lt;/secondary-authors&gt;&lt;tertiary-authors&gt;&lt;author&gt;Queensland Government&lt;/author&gt;&lt;/tertiary-authors&gt;&lt;subsidiary-authors&gt;&lt;author&gt;Queensland Health&lt;/author&gt;&lt;/subsidiary-authors&gt;&lt;/contributors&gt;&lt;titles&gt;&lt;title&gt;Community Maternal Hubs Model&lt;/title&gt;&lt;/titles&gt;&lt;dates&gt;&lt;year&gt;2020&lt;/year&gt;&lt;/dates&gt;&lt;pub-location&gt;Brisbane&lt;/pub-location&gt;&lt;urls&gt;&lt;related-urls&gt;&lt;url&gt;chrome-extension://efaidnbmnnnibpcajpcglclefindmkaj/https://www.health.qld.gov.au/__data/assets/pdf_file/0014/1126211/community-hubs-report.pdf&lt;/url&gt;&lt;/related-urls&gt;&lt;/urls&gt;&lt;/record&gt;&lt;/Cite&gt;&lt;/EndNote&gt;</w:instrText>
      </w:r>
      <w:r>
        <w:fldChar w:fldCharType="separate"/>
      </w:r>
      <w:r w:rsidR="00F66EC6" w:rsidRPr="00F66EC6">
        <w:rPr>
          <w:noProof/>
          <w:vertAlign w:val="superscript"/>
        </w:rPr>
        <w:t>53</w:t>
      </w:r>
      <w:r>
        <w:fldChar w:fldCharType="end"/>
      </w:r>
    </w:p>
    <w:p w14:paraId="6D7C7B4C" w14:textId="0B878E08" w:rsidR="00A17A4D" w:rsidRDefault="00A17A4D" w:rsidP="00A17A4D">
      <w:pPr>
        <w:spacing w:after="120"/>
      </w:pPr>
      <w:r>
        <w:t xml:space="preserve">In Australia, various initiatives have been undertaken or are under way to develop and implement maternity patient-reported experience measures at a local, state, territory, and </w:t>
      </w:r>
      <w:r w:rsidRPr="00781711">
        <w:t>national level</w:t>
      </w:r>
      <w:r>
        <w:t>.</w:t>
      </w:r>
      <w:r w:rsidRPr="00781711">
        <w:t xml:space="preserve"> These include the </w:t>
      </w:r>
      <w:r w:rsidRPr="00080981">
        <w:t>Queensland</w:t>
      </w:r>
      <w:r w:rsidRPr="00DA1EE7">
        <w:rPr>
          <w:b/>
        </w:rPr>
        <w:t xml:space="preserve"> Maternity Patient Experience Surveys</w:t>
      </w:r>
      <w:r w:rsidRPr="00781711">
        <w:t xml:space="preserve"> and the </w:t>
      </w:r>
      <w:r w:rsidRPr="00080981">
        <w:t xml:space="preserve">NSW Bureau of Health Information’s biannual </w:t>
      </w:r>
      <w:r w:rsidRPr="00DA1EE7">
        <w:rPr>
          <w:b/>
        </w:rPr>
        <w:t>Maternity Care Survey</w:t>
      </w:r>
      <w:r w:rsidRPr="00781711">
        <w:t xml:space="preserve">. </w:t>
      </w:r>
      <w:r>
        <w:t>R</w:t>
      </w:r>
      <w:r w:rsidRPr="00781711">
        <w:t>ecommendations from the Inquiry</w:t>
      </w:r>
      <w:r w:rsidRPr="003A3F31">
        <w:t xml:space="preserve"> into Maternity Services in the ACT</w:t>
      </w:r>
      <w:r>
        <w:t xml:space="preserve"> relating to PREMs have been agreed to, or agreed to in principle, by part of ACT </w:t>
      </w:r>
      <w:r w:rsidRPr="001719E2">
        <w:rPr>
          <w:i/>
        </w:rPr>
        <w:t>Maternity in Focus Plan</w:t>
      </w:r>
      <w:r>
        <w:t xml:space="preserve">. Australian studies have examined women’s experiences of receiving maternity care during the COVID-19 </w:t>
      </w:r>
      <w:r w:rsidRPr="007B388D">
        <w:t>pandemic</w:t>
      </w:r>
      <w:r>
        <w:t>.</w:t>
      </w:r>
      <w:r>
        <w:fldChar w:fldCharType="begin">
          <w:fldData xml:space="preserve">PEVuZE5vdGU+PENpdGU+PEF1dGhvcj5CcmFkZmllbGQ8L0F1dGhvcj48WWVhcj4yMDIyPC9ZZWFy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</w:fldData>
        </w:fldChar>
      </w:r>
      <w:r w:rsidR="00F66EC6">
        <w:instrText xml:space="preserve"> ADDIN EN.CITE </w:instrText>
      </w:r>
      <w:r w:rsidR="00F66EC6">
        <w:fldChar w:fldCharType="begin">
          <w:fldData xml:space="preserve">PEVuZE5vdGU+PENpdGU+PEF1dGhvcj5CcmFkZmllbGQ8L0F1dGhvcj48WWVhcj4yMDIyPC9ZZWFy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</w:fldData>
        </w:fldChar>
      </w:r>
      <w:r w:rsidR="00F66EC6">
        <w:instrText xml:space="preserve"> ADDIN EN.CITE.DATA </w:instrText>
      </w:r>
      <w:r w:rsidR="00F66EC6">
        <w:fldChar w:fldCharType="end"/>
      </w:r>
      <w:r>
        <w:fldChar w:fldCharType="separate"/>
      </w:r>
      <w:r w:rsidR="00F66EC6" w:rsidRPr="00F66EC6">
        <w:rPr>
          <w:noProof/>
          <w:vertAlign w:val="superscript"/>
        </w:rPr>
        <w:t>62-67</w:t>
      </w:r>
      <w:r>
        <w:fldChar w:fldCharType="end"/>
      </w:r>
      <w:r>
        <w:t xml:space="preserve"> </w:t>
      </w:r>
    </w:p>
    <w:p w14:paraId="305879A5" w14:textId="7086A2BD" w:rsidR="00A17A4D" w:rsidRDefault="00A17A4D" w:rsidP="004D1951">
      <w:pPr>
        <w:spacing w:after="120"/>
      </w:pPr>
      <w:r>
        <w:t xml:space="preserve">Community organisation Maternal Health Matters conducted a second </w:t>
      </w:r>
      <w:r w:rsidRPr="00C63BF5">
        <w:rPr>
          <w:b/>
        </w:rPr>
        <w:t>Birth Dignity Survey</w:t>
      </w:r>
      <w:r>
        <w:rPr>
          <w:b/>
        </w:rPr>
        <w:t xml:space="preserve"> </w:t>
      </w:r>
      <w:r>
        <w:t>involving nearly 900 women in 2020</w:t>
      </w:r>
      <w:r>
        <w:fldChar w:fldCharType="begin"/>
      </w:r>
      <w:r w:rsidR="00F66EC6">
        <w:instrText xml:space="preserve"> ADDIN EN.CITE &lt;EndNote&gt;&lt;Cite&gt;&lt;Author&gt;Maternal Health Matters&lt;/Author&gt;&lt;Year&gt;2021&lt;/Year&gt;&lt;RecNum&gt;249&lt;/RecNum&gt;&lt;DisplayText&gt;&lt;style face="superscript"&gt;68&lt;/style&gt;&lt;/DisplayText&gt;&lt;record&gt;&lt;rec-number&gt;249&lt;/rec-number&gt;&lt;foreign-keys&gt;&lt;key app="EN" db-id="ewrsr2203a2a0veserrv55dezzwsepr5psw2" timestamp="1666992908"&gt;249&lt;/key&gt;&lt;/foreign-keys&gt;&lt;ref-type name="Report"&gt;27&lt;/ref-type&gt;&lt;contributors&gt;&lt;authors&gt;&lt;author&gt;Maternal Health Matters,&lt;/author&gt;&lt;/authors&gt;&lt;/contributors&gt;&lt;titles&gt;&lt;title&gt;The Mother’s Tale: Women’s Experiences of Maternity Care in Australia. The Birth Dignity Survey 2020&lt;/title&gt;&lt;/titles&gt;&lt;dates&gt;&lt;year&gt;2021&lt;/year&gt;&lt;/dates&gt;&lt;pub-location&gt;Canberra&lt;/pub-location&gt;&lt;publisher&gt;Maternal Health Matters Inc,&lt;/publisher&gt;&lt;urls&gt;&lt;/urls&gt;&lt;/record&gt;&lt;/Cite&gt;&lt;/EndNote&gt;</w:instrText>
      </w:r>
      <w:r>
        <w:fldChar w:fldCharType="separate"/>
      </w:r>
      <w:r w:rsidR="00F66EC6" w:rsidRPr="00F66EC6">
        <w:rPr>
          <w:noProof/>
          <w:vertAlign w:val="superscript"/>
        </w:rPr>
        <w:t>68</w:t>
      </w:r>
      <w:r>
        <w:fldChar w:fldCharType="end"/>
      </w:r>
      <w:r>
        <w:t xml:space="preserve">. Between March and December 2021, the </w:t>
      </w:r>
      <w:r>
        <w:rPr>
          <w:b/>
        </w:rPr>
        <w:t>N</w:t>
      </w:r>
      <w:r w:rsidRPr="00C63BF5">
        <w:rPr>
          <w:b/>
        </w:rPr>
        <w:t>ational Birth Experience</w:t>
      </w:r>
      <w:r>
        <w:rPr>
          <w:b/>
        </w:rPr>
        <w:t>s</w:t>
      </w:r>
      <w:r w:rsidRPr="00C63BF5">
        <w:rPr>
          <w:b/>
        </w:rPr>
        <w:t xml:space="preserve"> S</w:t>
      </w:r>
      <w:r>
        <w:rPr>
          <w:b/>
        </w:rPr>
        <w:t>tudy</w:t>
      </w:r>
      <w:r>
        <w:t xml:space="preserve"> collected in depth quantitative and qualitative data from over 8,800 women – the largest study of its kind conducted in Australia to date. Insights from the National Birth Experiences Study are presented in </w:t>
      </w:r>
      <w:r w:rsidRPr="00A17A4D">
        <w:rPr>
          <w:szCs w:val="22"/>
        </w:rPr>
        <w:fldChar w:fldCharType="begin"/>
      </w:r>
      <w:r w:rsidRPr="00A17A4D">
        <w:rPr>
          <w:szCs w:val="22"/>
        </w:rPr>
        <w:instrText xml:space="preserve"> REF _Ref118647825 \h </w:instrText>
      </w:r>
      <w:r>
        <w:rPr>
          <w:szCs w:val="22"/>
        </w:rPr>
        <w:instrText xml:space="preserve"> \* MERGEFORMAT </w:instrText>
      </w:r>
      <w:r w:rsidRPr="00A17A4D">
        <w:rPr>
          <w:szCs w:val="22"/>
        </w:rPr>
      </w:r>
      <w:r w:rsidRPr="00A17A4D">
        <w:rPr>
          <w:szCs w:val="22"/>
        </w:rPr>
        <w:fldChar w:fldCharType="separate"/>
      </w:r>
      <w:r w:rsidR="00296988" w:rsidRPr="00296988">
        <w:rPr>
          <w:szCs w:val="22"/>
        </w:rPr>
        <w:t xml:space="preserve">Figure </w:t>
      </w:r>
      <w:r w:rsidR="00296988" w:rsidRPr="00296988">
        <w:rPr>
          <w:noProof/>
          <w:szCs w:val="22"/>
        </w:rPr>
        <w:t>5</w:t>
      </w:r>
      <w:r w:rsidRPr="00A17A4D">
        <w:rPr>
          <w:szCs w:val="22"/>
        </w:rPr>
        <w:fldChar w:fldCharType="end"/>
      </w:r>
      <w:r>
        <w:rPr>
          <w:szCs w:val="22"/>
        </w:rPr>
        <w:t>.</w:t>
      </w:r>
    </w:p>
    <w:p w14:paraId="47E2C802" w14:textId="79F3F7AA" w:rsidR="000F4799" w:rsidRDefault="000F4799" w:rsidP="000F4799">
      <w:pPr>
        <w:spacing w:after="120"/>
      </w:pPr>
      <w:r>
        <w:t xml:space="preserve">The environment scan found no evidence of routinely-collected patient-reported pregnancy, childbirth or postnatal care outcome data at national or jurisdictional levels in Australia. </w:t>
      </w:r>
      <w:r w:rsidRPr="00C86F36">
        <w:t xml:space="preserve">The International Consortium for Health Outcomes Measurement </w:t>
      </w:r>
      <w:r>
        <w:t xml:space="preserve">has developed a set of </w:t>
      </w:r>
      <w:r w:rsidRPr="00C86F36">
        <w:t>24 outcome measures to evaluate care during pregnancy and up to six months postpartum</w:t>
      </w:r>
      <w:r>
        <w:t>.</w:t>
      </w:r>
      <w:r>
        <w:fldChar w:fldCharType="begin"/>
      </w:r>
      <w:r>
        <w:instrText xml:space="preserve"> ADDIN EN.CITE &lt;EndNote&gt;&lt;Cite&gt;&lt;Author&gt;International Consortium for Health Outcomes Measurement&lt;/Author&gt;&lt;Year&gt;2017&lt;/Year&gt;&lt;RecNum&gt;140&lt;/RecNum&gt;&lt;DisplayText&gt;&lt;style face="superscript"&gt;69&lt;/style&gt;&lt;/DisplayText&gt;&lt;record&gt;&lt;rec-number&gt;140&lt;/rec-number&gt;&lt;foreign-keys&gt;&lt;key app="EN" db-id="wpvfpf90szpzwse02epvd9rkrfpvwtrszrv0" timestamp="1666246914"&gt;140&lt;/key&gt;&lt;/foreign-keys&gt;&lt;ref-type name="Report"&gt;27&lt;/ref-type&gt;&lt;contributors&gt;&lt;authors&gt;&lt;author&gt;International Consortium for Health Outcomes Measurement,&lt;/author&gt;&lt;/authors&gt;&lt;/contributors&gt;&lt;titles&gt;&lt;title&gt;Pregnancy &amp;amp; childbirth data collection reference guide&lt;/title&gt;&lt;/titles&gt;&lt;dates&gt;&lt;year&gt;2017&lt;/year&gt;&lt;/dates&gt;&lt;pub-location&gt;Boston, USA&lt;/pub-location&gt;&lt;publisher&gt;International Consortium for Health Outcomes Measuremen&lt;/publisher&gt;&lt;urls&gt;&lt;/urls&gt;&lt;/record&gt;&lt;/Cite&gt;&lt;/EndNote&gt;</w:instrText>
      </w:r>
      <w:r>
        <w:fldChar w:fldCharType="separate"/>
      </w:r>
      <w:r w:rsidRPr="00F66EC6">
        <w:rPr>
          <w:noProof/>
          <w:vertAlign w:val="superscript"/>
        </w:rPr>
        <w:t>69</w:t>
      </w:r>
      <w:r>
        <w:fldChar w:fldCharType="end"/>
      </w:r>
      <w:r>
        <w:t xml:space="preserve"> These outcomes have been mapped to the four values in the Strategy, with noticeable gaps in relation to the values of choice and access in particular.</w:t>
      </w:r>
      <w:r>
        <w:fldChar w:fldCharType="begin"/>
      </w:r>
      <w:r>
        <w:instrText xml:space="preserve"> ADDIN EN.CITE &lt;EndNote&gt;&lt;Cite&gt;&lt;Author&gt;Eklom&lt;/Author&gt;&lt;Year&gt;2021&lt;/Year&gt;&lt;RecNum&gt;39&lt;/RecNum&gt;&lt;DisplayText&gt;&lt;style face="superscript"&gt;70&lt;/style&gt;&lt;/DisplayText&gt;&lt;record&gt;&lt;rec-number&gt;39&lt;/rec-number&gt;&lt;foreign-keys&gt;&lt;key app="EN" db-id="ewrsr2203a2a0veserrv55dezzwsepr5psw2" timestamp="1649390338"&gt;39&lt;/key&gt;&lt;/foreign-keys&gt;&lt;ref-type name="Journal Article"&gt;17&lt;/ref-type&gt;&lt;contributors&gt;&lt;authors&gt;&lt;author&gt;Eklom, Bonnie&lt;/author&gt;&lt;author&gt;Tracy, Sally&lt;/author&gt;&lt;author&gt;Callander, Emily&lt;/author&gt;&lt;/authors&gt;&lt;/contributors&gt;&lt;titles&gt;&lt;title&gt;An exploration of potential output measures to assess efficiency and productivity for labour and birth in Australia&lt;/title&gt;&lt;secondary-title&gt;BMC Pregnancy and Childbirth&lt;/secondary-title&gt;&lt;/titles&gt;&lt;periodical&gt;&lt;full-title&gt;BMC Pregnancy and Childbirth&lt;/full-title&gt;&lt;/periodical&gt;&lt;pages&gt;703&lt;/pages&gt;&lt;volume&gt;21&lt;/volume&gt;&lt;number&gt;1&lt;/number&gt;&lt;dates&gt;&lt;year&gt;2021&lt;/year&gt;&lt;pub-dates&gt;&lt;date&gt;2021/10/19&lt;/date&gt;&lt;/pub-dates&gt;&lt;/dates&gt;&lt;isbn&gt;1471-2393&lt;/isbn&gt;&lt;urls&gt;&lt;related-urls&gt;&lt;url&gt;https://doi.org/10.1186/s12884-021-04181-x&lt;/url&gt;&lt;/related-urls&gt;&lt;/urls&gt;&lt;electronic-resource-num&gt;10.1186/s12884-021-04181-x&lt;/electronic-resource-num&gt;&lt;/record&gt;&lt;/Cite&gt;&lt;/EndNote&gt;</w:instrText>
      </w:r>
      <w:r>
        <w:fldChar w:fldCharType="separate"/>
      </w:r>
      <w:r w:rsidRPr="00F66EC6">
        <w:rPr>
          <w:noProof/>
          <w:vertAlign w:val="superscript"/>
        </w:rPr>
        <w:t>70</w:t>
      </w:r>
      <w:r>
        <w:fldChar w:fldCharType="end"/>
      </w:r>
      <w:r>
        <w:t xml:space="preserve"> </w:t>
      </w:r>
      <w:r w:rsidRPr="00C86F36">
        <w:t xml:space="preserve">While comprehensive, </w:t>
      </w:r>
      <w:r>
        <w:t xml:space="preserve">some stakeholders felt </w:t>
      </w:r>
      <w:r w:rsidRPr="00C86F36">
        <w:t xml:space="preserve">the number and length of questions and recommended time points of data collection may make </w:t>
      </w:r>
      <w:r>
        <w:t>it challenging to incorporate these measures into routine care.</w:t>
      </w:r>
    </w:p>
    <w:p w14:paraId="422610FE" w14:textId="78A1C9E9" w:rsidR="00A17A4D" w:rsidRDefault="000F4799" w:rsidP="004D1951">
      <w:pPr>
        <w:spacing w:after="120"/>
      </w:pPr>
      <w:r w:rsidRPr="00DA3173">
        <w:t xml:space="preserve">Examples of </w:t>
      </w:r>
      <w:r w:rsidRPr="00DA3173">
        <w:rPr>
          <w:b/>
        </w:rPr>
        <w:t>consumer engagement and co-design</w:t>
      </w:r>
      <w:r w:rsidRPr="00DA3173">
        <w:t xml:space="preserve"> ‘done well’ included </w:t>
      </w:r>
      <w:r w:rsidRPr="00DA3173">
        <w:rPr>
          <w:rFonts w:cstheme="minorHAnsi"/>
          <w:szCs w:val="22"/>
        </w:rPr>
        <w:t xml:space="preserve">high levels of consumer involvement </w:t>
      </w:r>
      <w:r w:rsidRPr="001530E5">
        <w:rPr>
          <w:rFonts w:cstheme="minorHAnsi"/>
          <w:szCs w:val="22"/>
        </w:rPr>
        <w:t>in the development of Birthing on Country and Birthing in Community</w:t>
      </w:r>
      <w:r>
        <w:rPr>
          <w:rFonts w:cstheme="minorHAnsi"/>
          <w:szCs w:val="22"/>
        </w:rPr>
        <w:t xml:space="preserve"> programs and</w:t>
      </w:r>
      <w:r w:rsidRPr="001530E5">
        <w:rPr>
          <w:rFonts w:cstheme="minorHAnsi"/>
          <w:szCs w:val="22"/>
        </w:rPr>
        <w:t xml:space="preserve"> the </w:t>
      </w:r>
      <w:r w:rsidRPr="00C24842">
        <w:rPr>
          <w:rFonts w:cstheme="minorHAnsi"/>
          <w:i/>
          <w:szCs w:val="22"/>
        </w:rPr>
        <w:t>Maternity in Focus: The ACT Public Maternity System Plan (2022-2032)</w:t>
      </w:r>
      <w:r w:rsidRPr="001530E5">
        <w:rPr>
          <w:rFonts w:cstheme="minorHAnsi"/>
          <w:szCs w:val="22"/>
        </w:rPr>
        <w:t xml:space="preserve">. In NSW, nearly 18,000 consumers </w:t>
      </w:r>
      <w:r w:rsidRPr="001530E5">
        <w:rPr>
          <w:rFonts w:cstheme="minorHAnsi"/>
          <w:szCs w:val="22"/>
          <w:shd w:val="clear" w:color="auto" w:fill="FFFFFF"/>
        </w:rPr>
        <w:t xml:space="preserve">shared their views about what is important to them in maternity care as part of the consultation process for the development of the draft </w:t>
      </w:r>
      <w:r w:rsidRPr="00C24842">
        <w:rPr>
          <w:rFonts w:cstheme="minorHAnsi"/>
          <w:i/>
          <w:szCs w:val="22"/>
          <w:shd w:val="clear" w:color="auto" w:fill="FFFFFF"/>
        </w:rPr>
        <w:t>Connecting, listening and responding: Maternity Care in NSW</w:t>
      </w:r>
      <w:r w:rsidRPr="001530E5">
        <w:rPr>
          <w:rFonts w:cstheme="minorHAnsi"/>
          <w:szCs w:val="22"/>
          <w:shd w:val="clear" w:color="auto" w:fill="FFFFFF"/>
        </w:rPr>
        <w:t xml:space="preserve"> policy. C</w:t>
      </w:r>
      <w:r>
        <w:rPr>
          <w:rFonts w:cstheme="minorHAnsi"/>
          <w:szCs w:val="22"/>
          <w:shd w:val="clear" w:color="auto" w:fill="FFFFFF"/>
        </w:rPr>
        <w:t>o-design and co-development</w:t>
      </w:r>
      <w:r w:rsidRPr="001530E5">
        <w:rPr>
          <w:rFonts w:cstheme="minorHAnsi"/>
          <w:szCs w:val="22"/>
          <w:shd w:val="clear" w:color="auto" w:fill="FFFFFF"/>
        </w:rPr>
        <w:t xml:space="preserve"> of community awareness activities and resources, health professional training and guidance, and service delivery</w:t>
      </w:r>
      <w:r>
        <w:rPr>
          <w:rFonts w:cstheme="minorHAnsi"/>
          <w:szCs w:val="22"/>
          <w:shd w:val="clear" w:color="auto" w:fill="FFFFFF"/>
        </w:rPr>
        <w:t xml:space="preserve"> </w:t>
      </w:r>
      <w:r w:rsidRPr="001530E5">
        <w:rPr>
          <w:rFonts w:cstheme="minorHAnsi"/>
          <w:szCs w:val="22"/>
          <w:shd w:val="clear" w:color="auto" w:fill="FFFFFF"/>
        </w:rPr>
        <w:t xml:space="preserve">is </w:t>
      </w:r>
      <w:r>
        <w:rPr>
          <w:rFonts w:cstheme="minorHAnsi"/>
          <w:szCs w:val="22"/>
          <w:shd w:val="clear" w:color="auto" w:fill="FFFFFF"/>
        </w:rPr>
        <w:t xml:space="preserve">also </w:t>
      </w:r>
      <w:r w:rsidRPr="001530E5">
        <w:rPr>
          <w:rFonts w:cstheme="minorHAnsi"/>
          <w:szCs w:val="22"/>
          <w:shd w:val="clear" w:color="auto" w:fill="FFFFFF"/>
        </w:rPr>
        <w:t>integral to the work of mental health organisatio</w:t>
      </w:r>
      <w:r>
        <w:rPr>
          <w:rFonts w:cstheme="minorHAnsi"/>
          <w:szCs w:val="22"/>
          <w:shd w:val="clear" w:color="auto" w:fill="FFFFFF"/>
        </w:rPr>
        <w:t>ns including COPE and PANDA.</w:t>
      </w:r>
    </w:p>
    <w:p w14:paraId="7E1C4FA9" w14:textId="61252B3B" w:rsidR="00A17A4D" w:rsidRPr="00A17A4D" w:rsidRDefault="00A17A4D" w:rsidP="00A17A4D">
      <w:pPr>
        <w:pStyle w:val="Caption"/>
        <w:rPr>
          <w:sz w:val="20"/>
          <w:szCs w:val="20"/>
        </w:rPr>
      </w:pPr>
      <w:bookmarkStart w:id="285" w:name="_Ref118647825"/>
      <w:bookmarkStart w:id="286" w:name="_Toc121415171"/>
      <w:r w:rsidRPr="00A17A4D">
        <w:rPr>
          <w:sz w:val="20"/>
          <w:szCs w:val="20"/>
        </w:rPr>
        <w:lastRenderedPageBreak/>
        <w:t xml:space="preserve">Figure </w:t>
      </w:r>
      <w:r w:rsidRPr="00A17A4D">
        <w:rPr>
          <w:sz w:val="20"/>
          <w:szCs w:val="20"/>
        </w:rPr>
        <w:fldChar w:fldCharType="begin"/>
      </w:r>
      <w:r w:rsidRPr="00A17A4D">
        <w:rPr>
          <w:sz w:val="20"/>
          <w:szCs w:val="20"/>
        </w:rPr>
        <w:instrText xml:space="preserve"> SEQ Figure \* ARABIC </w:instrText>
      </w:r>
      <w:r w:rsidRPr="00A17A4D">
        <w:rPr>
          <w:sz w:val="20"/>
          <w:szCs w:val="20"/>
        </w:rPr>
        <w:fldChar w:fldCharType="separate"/>
      </w:r>
      <w:r w:rsidR="00296988">
        <w:rPr>
          <w:noProof/>
          <w:sz w:val="20"/>
          <w:szCs w:val="20"/>
        </w:rPr>
        <w:t>5</w:t>
      </w:r>
      <w:r w:rsidRPr="00A17A4D">
        <w:rPr>
          <w:sz w:val="20"/>
          <w:szCs w:val="20"/>
        </w:rPr>
        <w:fldChar w:fldCharType="end"/>
      </w:r>
      <w:bookmarkEnd w:id="285"/>
      <w:r w:rsidRPr="00A17A4D">
        <w:rPr>
          <w:sz w:val="20"/>
          <w:szCs w:val="20"/>
        </w:rPr>
        <w:tab/>
        <w:t>Preliminary findings of the National Birth Experiences Study, 2021</w:t>
      </w:r>
      <w:bookmarkEnd w:id="286"/>
    </w:p>
    <w:p w14:paraId="40C78FBC" w14:textId="2F9C8253" w:rsidR="00A17A4D" w:rsidRDefault="00E95020" w:rsidP="004D1951">
      <w:pPr>
        <w:spacing w:after="120"/>
      </w:pPr>
      <w:r w:rsidRPr="00E95020">
        <w:rPr>
          <w:noProof/>
        </w:rPr>
        <w:drawing>
          <wp:inline distT="0" distB="0" distL="0" distR="0" wp14:anchorId="074417B6" wp14:editId="30745897">
            <wp:extent cx="5923553" cy="8379502"/>
            <wp:effectExtent l="0" t="0" r="1270" b="2540"/>
            <wp:docPr id="7" name="Picture 7" descr="Graphic of the Birth Experience Study 2021 preliminary ke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of the Birth Experience Study 2021 preliminary key dat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6779" cy="8384066"/>
                    </a:xfrm>
                    <a:prstGeom prst="rect">
                      <a:avLst/>
                    </a:prstGeom>
                    <a:noFill/>
                    <a:ln>
                      <a:noFill/>
                    </a:ln>
                  </pic:spPr>
                </pic:pic>
              </a:graphicData>
            </a:graphic>
          </wp:inline>
        </w:drawing>
      </w:r>
    </w:p>
    <w:p w14:paraId="6EEA0848" w14:textId="13B7C350" w:rsidR="00443C64" w:rsidRDefault="00080981" w:rsidP="00443C64">
      <w:pPr>
        <w:pStyle w:val="Heading3"/>
        <w:ind w:left="709" w:hanging="709"/>
      </w:pPr>
      <w:r>
        <w:lastRenderedPageBreak/>
        <w:t>Next steps</w:t>
      </w:r>
    </w:p>
    <w:p w14:paraId="4C69B2F3" w14:textId="55B56858" w:rsidR="00443C64" w:rsidRDefault="00443C64" w:rsidP="0021202C">
      <w:pPr>
        <w:spacing w:after="120"/>
        <w:rPr>
          <w:rFonts w:cstheme="minorHAnsi"/>
          <w:szCs w:val="22"/>
        </w:rPr>
      </w:pPr>
      <w:r>
        <w:rPr>
          <w:lang w:eastAsia="zh-CN" w:bidi="th-TH"/>
        </w:rPr>
        <w:t xml:space="preserve">Routinely-collected data about maternity services in Australia are primarily focused on process and outcome measures related to safety, rather than the values of respect, choice and access. The corollary is that adoption of patient-reported measures ‘would substantially strengthen Australia’s national maternity data collections and provide a more holistic view of pregnancy and childbirth in Australia beyond traditional measure of maternal and neonate morbidity and </w:t>
      </w:r>
      <w:r w:rsidRPr="007B388D">
        <w:rPr>
          <w:lang w:eastAsia="zh-CN" w:bidi="th-TH"/>
        </w:rPr>
        <w:t>mortality’</w:t>
      </w:r>
      <w:r>
        <w:rPr>
          <w:lang w:eastAsia="zh-CN" w:bidi="th-TH"/>
        </w:rPr>
        <w:t>.</w:t>
      </w:r>
      <w:r w:rsidRPr="007B388D">
        <w:rPr>
          <w:lang w:eastAsia="zh-CN" w:bidi="th-TH"/>
        </w:rPr>
        <w:fldChar w:fldCharType="begin"/>
      </w:r>
      <w:r w:rsidR="00F66EC6">
        <w:rPr>
          <w:lang w:eastAsia="zh-CN" w:bidi="th-TH"/>
        </w:rPr>
        <w:instrText xml:space="preserve"> ADDIN EN.CITE &lt;EndNote&gt;&lt;Cite&gt;&lt;Author&gt;Eklom&lt;/Author&gt;&lt;Year&gt;2021&lt;/Year&gt;&lt;RecNum&gt;39&lt;/RecNum&gt;&lt;Suffix&gt;`, p 9&lt;/Suffix&gt;&lt;DisplayText&gt;&lt;style face="superscript"&gt;70, p 9&lt;/style&gt;&lt;/DisplayText&gt;&lt;record&gt;&lt;rec-number&gt;39&lt;/rec-number&gt;&lt;foreign-keys&gt;&lt;key app="EN" db-id="ewrsr2203a2a0veserrv55dezzwsepr5psw2" timestamp="1649390338"&gt;39&lt;/key&gt;&lt;/foreign-keys&gt;&lt;ref-type name="Journal Article"&gt;17&lt;/ref-type&gt;&lt;contributors&gt;&lt;authors&gt;&lt;author&gt;Eklom, Bonnie&lt;/author&gt;&lt;author&gt;Tracy, Sally&lt;/author&gt;&lt;author&gt;Callander, Emily&lt;/author&gt;&lt;/authors&gt;&lt;/contributors&gt;&lt;titles&gt;&lt;title&gt;An exploration of potential output measures to assess efficiency and productivity for labour and birth in Australia&lt;/title&gt;&lt;secondary-title&gt;BMC Pregnancy and Childbirth&lt;/secondary-title&gt;&lt;/titles&gt;&lt;periodical&gt;&lt;full-title&gt;BMC Pregnancy and Childbirth&lt;/full-title&gt;&lt;/periodical&gt;&lt;pages&gt;703&lt;/pages&gt;&lt;volume&gt;21&lt;/volume&gt;&lt;number&gt;1&lt;/number&gt;&lt;dates&gt;&lt;year&gt;2021&lt;/year&gt;&lt;pub-dates&gt;&lt;date&gt;2021/10/19&lt;/date&gt;&lt;/pub-dates&gt;&lt;/dates&gt;&lt;isbn&gt;1471-2393&lt;/isbn&gt;&lt;urls&gt;&lt;related-urls&gt;&lt;url&gt;https://doi.org/10.1186/s12884-021-04181-x&lt;/url&gt;&lt;/related-urls&gt;&lt;/urls&gt;&lt;electronic-resource-num&gt;10.1186/s12884-021-04181-x&lt;/electronic-resource-num&gt;&lt;/record&gt;&lt;/Cite&gt;&lt;/EndNote&gt;</w:instrText>
      </w:r>
      <w:r w:rsidRPr="007B388D">
        <w:rPr>
          <w:lang w:eastAsia="zh-CN" w:bidi="th-TH"/>
        </w:rPr>
        <w:fldChar w:fldCharType="separate"/>
      </w:r>
      <w:r w:rsidR="00F66EC6" w:rsidRPr="00F66EC6">
        <w:rPr>
          <w:noProof/>
          <w:vertAlign w:val="superscript"/>
          <w:lang w:eastAsia="zh-CN" w:bidi="th-TH"/>
        </w:rPr>
        <w:t>70, p 9</w:t>
      </w:r>
      <w:r w:rsidRPr="007B388D">
        <w:rPr>
          <w:lang w:eastAsia="zh-CN" w:bidi="th-TH"/>
        </w:rPr>
        <w:fldChar w:fldCharType="end"/>
      </w:r>
      <w:r>
        <w:rPr>
          <w:lang w:eastAsia="zh-CN" w:bidi="th-TH"/>
        </w:rPr>
        <w:t xml:space="preserve"> Many stakeholders spoke of the importance of capturing the consumer voice through standardised patient-reported experience measures (PREMs) and patient-reported outcomes measures (PROMs).</w:t>
      </w:r>
      <w:r w:rsidR="0021202C">
        <w:rPr>
          <w:lang w:eastAsia="zh-CN" w:bidi="th-TH"/>
        </w:rPr>
        <w:t xml:space="preserve"> </w:t>
      </w:r>
      <w:r>
        <w:t>The environment scan and stakeholder interviews found strong support for the use of patient-reported measures in routine practice, along with dedicated research to build the evidence base. In 2022, a protocol for conducting a systematic review of maternity PROMs and PREMs was published by Australian researchers, which will be use</w:t>
      </w:r>
      <w:r w:rsidR="001809A3">
        <w:t>d</w:t>
      </w:r>
      <w:r>
        <w:t xml:space="preserve"> to establish a freely-accessible online database of such measures. The research team conducting the review includes members of Maternity Choices Australia.</w:t>
      </w:r>
      <w:r>
        <w:fldChar w:fldCharType="begin">
          <w:fldData xml:space="preserve">PEVuZE5vdGU+PENpdGU+PEF1dGhvcj5CdWxsPC9BdXRob3I+PFllYXI+MjAyMjwvWWVhcj48UmVj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</w:fldData>
        </w:fldChar>
      </w:r>
      <w:r w:rsidR="00267BD0">
        <w:instrText xml:space="preserve"> ADDIN EN.CITE </w:instrText>
      </w:r>
      <w:r w:rsidR="00267BD0">
        <w:fldChar w:fldCharType="begin">
          <w:fldData xml:space="preserve">PEVuZE5vdGU+PENpdGU+PEF1dGhvcj5CdWxsPC9BdXRob3I+PFllYXI+MjAyMjwvWWVhcj48UmVj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</w:fldData>
        </w:fldChar>
      </w:r>
      <w:r w:rsidR="00267BD0">
        <w:instrText xml:space="preserve"> ADDIN EN.CITE.DATA </w:instrText>
      </w:r>
      <w:r w:rsidR="00267BD0">
        <w:fldChar w:fldCharType="end"/>
      </w:r>
      <w:r>
        <w:fldChar w:fldCharType="separate"/>
      </w:r>
      <w:r w:rsidR="00267BD0" w:rsidRPr="00267BD0">
        <w:rPr>
          <w:noProof/>
          <w:vertAlign w:val="superscript"/>
        </w:rPr>
        <w:t>71</w:t>
      </w:r>
      <w:r>
        <w:fldChar w:fldCharType="end"/>
      </w:r>
    </w:p>
    <w:p w14:paraId="0E02F5B0" w14:textId="1F712B5D" w:rsidR="00443C64" w:rsidRDefault="00443C64" w:rsidP="00153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color w:val="000000"/>
          <w:szCs w:val="22"/>
        </w:rPr>
      </w:pPr>
      <w:r w:rsidRPr="007E65C5">
        <w:rPr>
          <w:rFonts w:cstheme="minorHAnsi"/>
          <w:szCs w:val="22"/>
        </w:rPr>
        <w:t xml:space="preserve">Feedback has been sought from the AIHW National Maternity Data Development Project Advisory Group on whether further investigation and development of maternity-specific PROMs and PREMs should be prioritised or whether it is more appropriate to refer this indicator to another agency for development. This issue will be further discussed by </w:t>
      </w:r>
      <w:r>
        <w:rPr>
          <w:rFonts w:cstheme="minorHAnsi"/>
          <w:szCs w:val="22"/>
        </w:rPr>
        <w:t xml:space="preserve">the </w:t>
      </w:r>
      <w:r w:rsidR="00B3489D">
        <w:rPr>
          <w:rFonts w:cstheme="minorHAnsi"/>
          <w:szCs w:val="22"/>
        </w:rPr>
        <w:t>A</w:t>
      </w:r>
      <w:r w:rsidRPr="007E65C5">
        <w:rPr>
          <w:rFonts w:cstheme="minorHAnsi"/>
          <w:szCs w:val="22"/>
        </w:rPr>
        <w:t xml:space="preserve">dvisory </w:t>
      </w:r>
      <w:r w:rsidR="00B3489D">
        <w:rPr>
          <w:rFonts w:cstheme="minorHAnsi"/>
          <w:szCs w:val="22"/>
        </w:rPr>
        <w:t>G</w:t>
      </w:r>
      <w:r w:rsidRPr="007E65C5">
        <w:rPr>
          <w:rFonts w:cstheme="minorHAnsi"/>
          <w:szCs w:val="22"/>
        </w:rPr>
        <w:t xml:space="preserve">roup </w:t>
      </w:r>
      <w:r w:rsidR="001719E2">
        <w:rPr>
          <w:rFonts w:cstheme="minorHAnsi"/>
          <w:szCs w:val="22"/>
        </w:rPr>
        <w:t>in late</w:t>
      </w:r>
      <w:r w:rsidRPr="007E65C5">
        <w:rPr>
          <w:rFonts w:cstheme="minorHAnsi"/>
          <w:szCs w:val="22"/>
        </w:rPr>
        <w:t xml:space="preserve"> 2022.</w:t>
      </w:r>
    </w:p>
    <w:p w14:paraId="22981983" w14:textId="539947A8" w:rsidR="00443C64" w:rsidRDefault="00443C64" w:rsidP="001530E5">
      <w:pPr>
        <w:spacing w:after="120"/>
        <w:rPr>
          <w:lang w:eastAsia="zh-CN" w:bidi="th-TH"/>
        </w:rPr>
      </w:pPr>
      <w:r>
        <w:rPr>
          <w:lang w:eastAsia="zh-CN" w:bidi="th-TH"/>
        </w:rPr>
        <w:t>An i</w:t>
      </w:r>
      <w:r w:rsidRPr="009F7117">
        <w:rPr>
          <w:lang w:eastAsia="zh-CN" w:bidi="th-TH"/>
        </w:rPr>
        <w:t xml:space="preserve">ntegrative review of the </w:t>
      </w:r>
      <w:r>
        <w:rPr>
          <w:lang w:eastAsia="zh-CN" w:bidi="th-TH"/>
        </w:rPr>
        <w:t>em</w:t>
      </w:r>
      <w:r w:rsidRPr="009F7117">
        <w:rPr>
          <w:lang w:eastAsia="zh-CN" w:bidi="th-TH"/>
        </w:rPr>
        <w:t>pirical literature on the concept of woman</w:t>
      </w:r>
      <w:r>
        <w:rPr>
          <w:lang w:eastAsia="zh-CN" w:bidi="th-TH"/>
        </w:rPr>
        <w:t>-</w:t>
      </w:r>
      <w:r w:rsidRPr="009F7117">
        <w:rPr>
          <w:lang w:eastAsia="zh-CN" w:bidi="th-TH"/>
        </w:rPr>
        <w:t>centred care</w:t>
      </w:r>
      <w:r>
        <w:rPr>
          <w:lang w:eastAsia="zh-CN" w:bidi="th-TH"/>
        </w:rPr>
        <w:t>, published in 2019, confirmed that woman-centred care is central to good midwifery practice but that there is a lack of clarity around the understanding of woman-centred care.</w:t>
      </w:r>
      <w:r>
        <w:rPr>
          <w:lang w:eastAsia="zh-CN" w:bidi="th-TH"/>
        </w:rPr>
        <w:fldChar w:fldCharType="begin"/>
      </w:r>
      <w:r w:rsidR="00267BD0">
        <w:rPr>
          <w:lang w:eastAsia="zh-CN" w:bidi="th-TH"/>
        </w:rPr>
        <w:instrText xml:space="preserve"> ADDIN EN.CITE &lt;EndNote&gt;&lt;Cite&gt;&lt;Author&gt;Brady&lt;/Author&gt;&lt;Year&gt;2019&lt;/Year&gt;&lt;RecNum&gt;208&lt;/RecNum&gt;&lt;DisplayText&gt;&lt;style face="superscript"&gt;72&lt;/style&gt;&lt;/DisplayText&gt;&lt;record&gt;&lt;rec-number&gt;208&lt;/rec-number&gt;&lt;foreign-keys&gt;&lt;key app="EN" db-id="ewrsr2203a2a0veserrv55dezzwsepr5psw2" timestamp="1663656154"&gt;208&lt;/key&gt;&lt;/foreign-keys&gt;&lt;ref-type name="Journal Article"&gt;17&lt;/ref-type&gt;&lt;contributors&gt;&lt;authors&gt;&lt;author&gt;Brady, Susannah&lt;/author&gt;&lt;author&gt;Lee, Nigel&lt;/author&gt;&lt;author&gt;Gibbons, Kristen&lt;/author&gt;&lt;author&gt;Bogossian, Fiona&lt;/author&gt;&lt;/authors&gt;&lt;/contributors&gt;&lt;titles&gt;&lt;title&gt;Woman-centred care: An integrative review of the empirical literature&lt;/title&gt;&lt;secondary-title&gt;International Journal of Nursing Studies&lt;/secondary-title&gt;&lt;/titles&gt;&lt;periodical&gt;&lt;full-title&gt;International Journal of Nursing Studies&lt;/full-title&gt;&lt;/periodical&gt;&lt;pages&gt;107-119&lt;/pages&gt;&lt;volume&gt;94&lt;/volume&gt;&lt;keywords&gt;&lt;keyword&gt;Woman-centred&lt;/keyword&gt;&lt;/keywords&gt;&lt;dates&gt;&lt;year&gt;2019&lt;/year&gt;&lt;pub-dates&gt;&lt;date&gt;2019/06/01/&lt;/date&gt;&lt;/pub-dates&gt;&lt;/dates&gt;&lt;isbn&gt;0020-7489&lt;/isbn&gt;&lt;urls&gt;&lt;related-urls&gt;&lt;url&gt;https://www.sciencedirect.com/science/article/pii/S002074891930001X&lt;/url&gt;&lt;/related-urls&gt;&lt;/urls&gt;&lt;electronic-resource-num&gt;https://doi.org/10.1016/j.ijnurstu.2019.01.001&lt;/electronic-resource-num&gt;&lt;/record&gt;&lt;/Cite&gt;&lt;/EndNote&gt;</w:instrText>
      </w:r>
      <w:r>
        <w:rPr>
          <w:lang w:eastAsia="zh-CN" w:bidi="th-TH"/>
        </w:rPr>
        <w:fldChar w:fldCharType="separate"/>
      </w:r>
      <w:r w:rsidR="00267BD0" w:rsidRPr="00267BD0">
        <w:rPr>
          <w:noProof/>
          <w:vertAlign w:val="superscript"/>
          <w:lang w:eastAsia="zh-CN" w:bidi="th-TH"/>
        </w:rPr>
        <w:t>72</w:t>
      </w:r>
      <w:r>
        <w:rPr>
          <w:lang w:eastAsia="zh-CN" w:bidi="th-TH"/>
        </w:rPr>
        <w:fldChar w:fldCharType="end"/>
      </w:r>
      <w:r>
        <w:rPr>
          <w:lang w:eastAsia="zh-CN" w:bidi="th-TH"/>
        </w:rPr>
        <w:t xml:space="preserve"> The findings indicate the need for more work to develop a shared understanding of what is meant by the concept of woman-centred care.</w:t>
      </w:r>
    </w:p>
    <w:p w14:paraId="40176F63" w14:textId="3279E1DA" w:rsidR="00443C64" w:rsidRDefault="00443C64" w:rsidP="001530E5">
      <w:pPr>
        <w:spacing w:after="120"/>
        <w:rPr>
          <w:lang w:eastAsia="zh-CN" w:bidi="th-TH"/>
        </w:rPr>
      </w:pPr>
      <w:r>
        <w:rPr>
          <w:lang w:eastAsia="zh-CN" w:bidi="th-TH"/>
        </w:rPr>
        <w:t>Similarly, an evidence synthesis investigating r</w:t>
      </w:r>
      <w:r w:rsidRPr="007C1160">
        <w:rPr>
          <w:lang w:eastAsia="zh-CN" w:bidi="th-TH"/>
        </w:rPr>
        <w:t>espectful care during childbirth</w:t>
      </w:r>
      <w:r>
        <w:rPr>
          <w:lang w:eastAsia="zh-CN" w:bidi="th-TH"/>
        </w:rPr>
        <w:t xml:space="preserve"> identified 12 </w:t>
      </w:r>
      <w:r w:rsidRPr="00E04358">
        <w:rPr>
          <w:lang w:eastAsia="zh-CN" w:bidi="th-TH"/>
        </w:rPr>
        <w:t>domains of respectful maternity care</w:t>
      </w:r>
      <w:r>
        <w:rPr>
          <w:lang w:eastAsia="zh-CN" w:bidi="th-TH"/>
        </w:rPr>
        <w:t>, including b</w:t>
      </w:r>
      <w:r w:rsidRPr="00AF0102">
        <w:rPr>
          <w:lang w:eastAsia="zh-CN" w:bidi="th-TH"/>
        </w:rPr>
        <w:t>eing free from harm and mistreatment</w:t>
      </w:r>
      <w:r>
        <w:rPr>
          <w:lang w:eastAsia="zh-CN" w:bidi="th-TH"/>
        </w:rPr>
        <w:t>, p</w:t>
      </w:r>
      <w:r w:rsidRPr="00AF0102">
        <w:rPr>
          <w:lang w:eastAsia="zh-CN" w:bidi="th-TH"/>
        </w:rPr>
        <w:t>roviding equitable maternity care</w:t>
      </w:r>
      <w:r>
        <w:rPr>
          <w:lang w:eastAsia="zh-CN" w:bidi="th-TH"/>
        </w:rPr>
        <w:t>, r</w:t>
      </w:r>
      <w:r w:rsidRPr="00AF0102">
        <w:rPr>
          <w:lang w:eastAsia="zh-CN" w:bidi="th-TH"/>
        </w:rPr>
        <w:t>especting women’s choices</w:t>
      </w:r>
      <w:r>
        <w:rPr>
          <w:lang w:eastAsia="zh-CN" w:bidi="th-TH"/>
        </w:rPr>
        <w:t>, and continuity of care.</w:t>
      </w:r>
      <w:r>
        <w:rPr>
          <w:lang w:eastAsia="zh-CN" w:bidi="th-TH"/>
        </w:rPr>
        <w:fldChar w:fldCharType="begin"/>
      </w:r>
      <w:r w:rsidR="00267BD0">
        <w:rPr>
          <w:lang w:eastAsia="zh-CN" w:bidi="th-TH"/>
        </w:rPr>
        <w:instrText xml:space="preserve"> ADDIN EN.CITE &lt;EndNote&gt;&lt;Cite&gt;&lt;Author&gt;Shakibazadeh&lt;/Author&gt;&lt;Year&gt;2018&lt;/Year&gt;&lt;RecNum&gt;165&lt;/RecNum&gt;&lt;DisplayText&gt;&lt;style face="superscript"&gt;73&lt;/style&gt;&lt;/DisplayText&gt;&lt;record&gt;&lt;rec-number&gt;165&lt;/rec-number&gt;&lt;foreign-keys&gt;&lt;key app="EN" db-id="ewrsr2203a2a0veserrv55dezzwsepr5psw2" timestamp="1663656152"&gt;165&lt;/key&gt;&lt;/foreign-keys&gt;&lt;ref-type name="Journal Article"&gt;17&lt;/ref-type&gt;&lt;contributors&gt;&lt;authors&gt;&lt;author&gt;Shakibazadeh, E&lt;/author&gt;&lt;author&gt;Namadian, M&lt;/author&gt;&lt;author&gt;Bohren, MA&lt;/author&gt;&lt;author&gt;Vogel, JP&lt;/author&gt;&lt;author&gt;Rashidian, A&lt;/author&gt;&lt;author&gt;Nogueira Pileggi, V&lt;/author&gt;&lt;author&gt;Madeira, S&lt;/author&gt;&lt;author&gt;Leathersich, S&lt;/author&gt;&lt;author&gt;Tunçalp, Ӧ&lt;/author&gt;&lt;author&gt;Oladapo, OT&lt;/author&gt;&lt;author&gt;Souza, JP&lt;/author&gt;&lt;author&gt;Gülmezoglu, AM&lt;/author&gt;&lt;/authors&gt;&lt;/contributors&gt;&lt;titles&gt;&lt;title&gt;Respectful care during childbirth in health facilities globally: a qualitative evidence synthesis&lt;/title&gt;&lt;secondary-title&gt;BJOG: An International Journal of Obstetrics &amp;amp; Gynaecology&lt;/secondary-title&gt;&lt;/titles&gt;&lt;periodical&gt;&lt;full-title&gt;BJOG: An International Journal of Obstetrics &amp;amp; Gynaecology&lt;/full-title&gt;&lt;/periodical&gt;&lt;pages&gt;932-942&lt;/pages&gt;&lt;volume&gt;125&lt;/volume&gt;&lt;number&gt;8&lt;/number&gt;&lt;dates&gt;&lt;year&gt;2018&lt;/year&gt;&lt;/dates&gt;&lt;isbn&gt;1470-0328&lt;/isbn&gt;&lt;urls&gt;&lt;related-urls&gt;&lt;url&gt;https://obgyn.onlinelibrary.wiley.com/doi/abs/10.1111/1471-0528.15015&lt;/url&gt;&lt;/related-urls&gt;&lt;/urls&gt;&lt;electronic-resource-num&gt;https://doi.org/10.1111/1471-0528.15015&lt;/electronic-resource-num&gt;&lt;/record&gt;&lt;/Cite&gt;&lt;/EndNote&gt;</w:instrText>
      </w:r>
      <w:r>
        <w:rPr>
          <w:lang w:eastAsia="zh-CN" w:bidi="th-TH"/>
        </w:rPr>
        <w:fldChar w:fldCharType="separate"/>
      </w:r>
      <w:r w:rsidR="00267BD0" w:rsidRPr="00267BD0">
        <w:rPr>
          <w:noProof/>
          <w:vertAlign w:val="superscript"/>
          <w:lang w:eastAsia="zh-CN" w:bidi="th-TH"/>
        </w:rPr>
        <w:t>73</w:t>
      </w:r>
      <w:r>
        <w:rPr>
          <w:lang w:eastAsia="zh-CN" w:bidi="th-TH"/>
        </w:rPr>
        <w:fldChar w:fldCharType="end"/>
      </w:r>
      <w:r>
        <w:rPr>
          <w:lang w:eastAsia="zh-CN" w:bidi="th-TH"/>
        </w:rPr>
        <w:t xml:space="preserve"> The domains, and examples of what is meant by each domain, provide a useful summary of what is meant by respectful maternity care and could readily be incorporated into maternity service protocols. </w:t>
      </w:r>
    </w:p>
    <w:p w14:paraId="5E18F6AA" w14:textId="3C67021B" w:rsidR="00443C64" w:rsidRDefault="00443C64" w:rsidP="001530E5">
      <w:pPr>
        <w:spacing w:after="120"/>
        <w:rPr>
          <w:lang w:eastAsia="zh-CN" w:bidi="th-TH"/>
        </w:rPr>
      </w:pPr>
      <w:r>
        <w:t xml:space="preserve">Two reviews published in 2020 investigated the international evidence, including from Australia, regarding </w:t>
      </w:r>
      <w:r>
        <w:rPr>
          <w:lang w:eastAsia="zh-CN" w:bidi="th-TH"/>
        </w:rPr>
        <w:t xml:space="preserve">access to maternity services for women from </w:t>
      </w:r>
      <w:r w:rsidRPr="00821002">
        <w:rPr>
          <w:lang w:eastAsia="zh-CN" w:bidi="th-TH"/>
        </w:rPr>
        <w:t>culturally and linguistically diverse backgrounds</w:t>
      </w:r>
      <w:r>
        <w:rPr>
          <w:lang w:eastAsia="zh-CN" w:bidi="th-TH"/>
        </w:rPr>
        <w:t>, particularly migrants. The first found that barriers to accessing services included language difficulties, loneliness/lack of social support, lack of cultural sensitivity/understanding of cultural practices and difficulty accessing interpreters.</w:t>
      </w:r>
      <w:r>
        <w:rPr>
          <w:lang w:eastAsia="zh-CN" w:bidi="th-TH"/>
        </w:rPr>
        <w:fldChar w:fldCharType="begin"/>
      </w:r>
      <w:r w:rsidR="00267BD0">
        <w:rPr>
          <w:lang w:eastAsia="zh-CN" w:bidi="th-TH"/>
        </w:rPr>
        <w:instrText xml:space="preserve"> ADDIN EN.CITE &lt;EndNote&gt;&lt;Cite&gt;&lt;Author&gt;Dougherty&lt;/Author&gt;&lt;Year&gt;2020&lt;/Year&gt;&lt;RecNum&gt;34&lt;/RecNum&gt;&lt;DisplayText&gt;&lt;style face="superscript"&gt;74&lt;/style&gt;&lt;/DisplayText&gt;&lt;record&gt;&lt;rec-number&gt;34&lt;/rec-number&gt;&lt;foreign-keys&gt;&lt;key app="EN" db-id="ewrsr2203a2a0veserrv55dezzwsepr5psw2" timestamp="1647385111"&gt;34&lt;/key&gt;&lt;/foreign-keys&gt;&lt;ref-type name="Journal Article"&gt;17&lt;/ref-type&gt;&lt;contributors&gt;&lt;authors&gt;&lt;author&gt;Dougherty, Louise&lt;/author&gt;&lt;author&gt;Lloyd, Jane&lt;/author&gt;&lt;author&gt;Harris, Elizabeth&lt;/author&gt;&lt;author&gt;Caffrey, Paula&lt;/author&gt;&lt;author&gt;Harris, Mark&lt;/author&gt;&lt;/authors&gt;&lt;/contributors&gt;&lt;titles&gt;&lt;title&gt;Access to appropriate health care for non-English speaking migrant families with a newborn/young child: a systematic scoping literature review&lt;/title&gt;&lt;secondary-title&gt;BMC Health Services Research&lt;/secondary-title&gt;&lt;/titles&gt;&lt;periodical&gt;&lt;full-title&gt;BMC Health Services Research&lt;/full-title&gt;&lt;/periodical&gt;&lt;pages&gt;309&lt;/pages&gt;&lt;volume&gt;20&lt;/volume&gt;&lt;number&gt;1&lt;/number&gt;&lt;dates&gt;&lt;year&gt;2020&lt;/year&gt;&lt;pub-dates&gt;&lt;date&gt;2020/04/15&lt;/date&gt;&lt;/pub-dates&gt;&lt;/dates&gt;&lt;isbn&gt;1472-6963&lt;/isbn&gt;&lt;urls&gt;&lt;related-urls&gt;&lt;url&gt;https://doi.org/10.1186/s12913-020-05157-x&lt;/url&gt;&lt;/related-urls&gt;&lt;/urls&gt;&lt;electronic-resource-num&gt;10.1186/s12913-020-05157-x&lt;/electronic-resource-num&gt;&lt;/record&gt;&lt;/Cite&gt;&lt;/EndNote&gt;</w:instrText>
      </w:r>
      <w:r>
        <w:rPr>
          <w:lang w:eastAsia="zh-CN" w:bidi="th-TH"/>
        </w:rPr>
        <w:fldChar w:fldCharType="separate"/>
      </w:r>
      <w:r w:rsidR="00267BD0" w:rsidRPr="00267BD0">
        <w:rPr>
          <w:noProof/>
          <w:vertAlign w:val="superscript"/>
          <w:lang w:eastAsia="zh-CN" w:bidi="th-TH"/>
        </w:rPr>
        <w:t>74</w:t>
      </w:r>
      <w:r>
        <w:rPr>
          <w:lang w:eastAsia="zh-CN" w:bidi="th-TH"/>
        </w:rPr>
        <w:fldChar w:fldCharType="end"/>
      </w:r>
      <w:r>
        <w:rPr>
          <w:lang w:eastAsia="zh-CN" w:bidi="th-TH"/>
        </w:rPr>
        <w:t xml:space="preserve"> The second found that this results in women being provided with insufficient information; having suboptimal communication with care staff; less opportunity to express their preferences; and being less involved in decision making about their care.</w:t>
      </w:r>
      <w:r>
        <w:rPr>
          <w:lang w:eastAsia="zh-CN" w:bidi="th-TH"/>
        </w:rPr>
        <w:fldChar w:fldCharType="begin"/>
      </w:r>
      <w:r w:rsidR="00267BD0">
        <w:rPr>
          <w:lang w:eastAsia="zh-CN" w:bidi="th-TH"/>
        </w:rPr>
        <w:instrText xml:space="preserve"> ADDIN EN.CITE &lt;EndNote&gt;&lt;Cite&gt;&lt;Author&gt;De Freitas&lt;/Author&gt;&lt;Year&gt;2020&lt;/Year&gt;&lt;RecNum&gt;228&lt;/RecNum&gt;&lt;DisplayText&gt;&lt;style face="superscript"&gt;75&lt;/style&gt;&lt;/DisplayText&gt;&lt;record&gt;&lt;rec-number&gt;228&lt;/rec-number&gt;&lt;foreign-keys&gt;&lt;key app="EN" db-id="ewrsr2203a2a0veserrv55dezzwsepr5psw2" timestamp="1663656155"&gt;228&lt;/key&gt;&lt;/foreign-keys&gt;&lt;ref-type name="Journal Article"&gt;17&lt;/ref-type&gt;&lt;contributors&gt;&lt;authors&gt;&lt;author&gt;De Freitas, Cláudia&lt;/author&gt;&lt;author&gt;Massag, Janka&lt;/author&gt;&lt;author&gt;Amorim, Mariana&lt;/author&gt;&lt;author&gt;Fraga, Sílvia&lt;/author&gt;&lt;/authors&gt;&lt;/contributors&gt;&lt;titles&gt;&lt;title&gt;Involvement in maternal care by migrants and ethnic minorities: a narrative review&lt;/title&gt;&lt;secondary-title&gt;Public Health Reviews&lt;/secondary-title&gt;&lt;/titles&gt;&lt;periodical&gt;&lt;full-title&gt;Public Health Reviews&lt;/full-title&gt;&lt;/periodical&gt;&lt;pages&gt;5&lt;/pages&gt;&lt;volume&gt;41&lt;/volume&gt;&lt;number&gt;1&lt;/number&gt;&lt;dates&gt;&lt;year&gt;2020&lt;/year&gt;&lt;pub-dates&gt;&lt;date&gt;2020/04/07&lt;/date&gt;&lt;/pub-dates&gt;&lt;/dates&gt;&lt;isbn&gt;2107-6952&lt;/isbn&gt;&lt;urls&gt;&lt;related-urls&gt;&lt;url&gt;https://doi.org/10.1186/s40985-020-00121-w&lt;/url&gt;&lt;/related-urls&gt;&lt;/urls&gt;&lt;electronic-resource-num&gt;10.1186/s40985-020-00121-w&lt;/electronic-resource-num&gt;&lt;/record&gt;&lt;/Cite&gt;&lt;/EndNote&gt;</w:instrText>
      </w:r>
      <w:r>
        <w:rPr>
          <w:lang w:eastAsia="zh-CN" w:bidi="th-TH"/>
        </w:rPr>
        <w:fldChar w:fldCharType="separate"/>
      </w:r>
      <w:r w:rsidR="00267BD0" w:rsidRPr="00267BD0">
        <w:rPr>
          <w:noProof/>
          <w:vertAlign w:val="superscript"/>
          <w:lang w:eastAsia="zh-CN" w:bidi="th-TH"/>
        </w:rPr>
        <w:t>75</w:t>
      </w:r>
      <w:r>
        <w:rPr>
          <w:lang w:eastAsia="zh-CN" w:bidi="th-TH"/>
        </w:rPr>
        <w:fldChar w:fldCharType="end"/>
      </w:r>
    </w:p>
    <w:p w14:paraId="7EBBBF74" w14:textId="1773B906" w:rsidR="00443C64" w:rsidRDefault="00443C64" w:rsidP="001530E5">
      <w:pPr>
        <w:spacing w:after="120"/>
        <w:rPr>
          <w:lang w:eastAsia="zh-CN" w:bidi="th-TH"/>
        </w:rPr>
      </w:pPr>
      <w:r>
        <w:rPr>
          <w:lang w:eastAsia="zh-CN" w:bidi="th-TH"/>
        </w:rPr>
        <w:t>Research in Sydney into p</w:t>
      </w:r>
      <w:r w:rsidRPr="004E6B28">
        <w:rPr>
          <w:lang w:eastAsia="zh-CN" w:bidi="th-TH"/>
        </w:rPr>
        <w:t xml:space="preserve">erinatal </w:t>
      </w:r>
      <w:r>
        <w:rPr>
          <w:lang w:eastAsia="zh-CN" w:bidi="th-TH"/>
        </w:rPr>
        <w:t>d</w:t>
      </w:r>
      <w:r w:rsidRPr="004E6B28">
        <w:rPr>
          <w:lang w:eastAsia="zh-CN" w:bidi="th-TH"/>
        </w:rPr>
        <w:t xml:space="preserve">istress and </w:t>
      </w:r>
      <w:r>
        <w:rPr>
          <w:lang w:eastAsia="zh-CN" w:bidi="th-TH"/>
        </w:rPr>
        <w:t>d</w:t>
      </w:r>
      <w:r w:rsidRPr="004E6B28">
        <w:rPr>
          <w:lang w:eastAsia="zh-CN" w:bidi="th-TH"/>
        </w:rPr>
        <w:t>epression</w:t>
      </w:r>
      <w:r>
        <w:rPr>
          <w:lang w:eastAsia="zh-CN" w:bidi="th-TH"/>
        </w:rPr>
        <w:t xml:space="preserve"> among women </w:t>
      </w:r>
      <w:r w:rsidRPr="004E6B28">
        <w:rPr>
          <w:lang w:eastAsia="zh-CN" w:bidi="th-TH"/>
        </w:rPr>
        <w:t>from culturally and linguistically diverse backgrounds</w:t>
      </w:r>
      <w:r>
        <w:rPr>
          <w:lang w:eastAsia="zh-CN" w:bidi="th-TH"/>
        </w:rPr>
        <w:t xml:space="preserve"> found that both were present to a higher degree in women reporting psychological and physical </w:t>
      </w:r>
      <w:r w:rsidRPr="004E6B28">
        <w:rPr>
          <w:lang w:eastAsia="zh-CN" w:bidi="th-TH"/>
        </w:rPr>
        <w:t>intimate partner violence</w:t>
      </w:r>
      <w:r>
        <w:rPr>
          <w:lang w:eastAsia="zh-CN" w:bidi="th-TH"/>
        </w:rPr>
        <w:t xml:space="preserve">, antenatal depressive symptoms and those known to </w:t>
      </w:r>
      <w:r w:rsidRPr="00FA62C8">
        <w:rPr>
          <w:lang w:eastAsia="zh-CN" w:bidi="th-TH"/>
        </w:rPr>
        <w:t>Family and Community Services</w:t>
      </w:r>
      <w:r>
        <w:rPr>
          <w:lang w:eastAsia="zh-CN" w:bidi="th-TH"/>
        </w:rPr>
        <w:t>.</w:t>
      </w:r>
      <w:r>
        <w:rPr>
          <w:lang w:eastAsia="zh-CN" w:bidi="th-TH"/>
        </w:rPr>
        <w:fldChar w:fldCharType="begin"/>
      </w:r>
      <w:r w:rsidR="00267BD0">
        <w:rPr>
          <w:lang w:eastAsia="zh-CN" w:bidi="th-TH"/>
        </w:rPr>
        <w:instrText xml:space="preserve"> ADDIN EN.CITE &lt;EndNote&gt;&lt;Cite&gt;&lt;Author&gt;Ogbo&lt;/Author&gt;&lt;Year&gt;2019&lt;/Year&gt;&lt;RecNum&gt;229&lt;/RecNum&gt;&lt;DisplayText&gt;&lt;style face="superscript"&gt;76&lt;/style&gt;&lt;/DisplayText&gt;&lt;record&gt;&lt;rec-number&gt;229&lt;/rec-number&gt;&lt;foreign-keys&gt;&lt;key app="EN" db-id="ewrsr2203a2a0veserrv55dezzwsepr5psw2" timestamp="1663656155"&gt;229&lt;/key&gt;&lt;/foreign-keys&gt;&lt;ref-type name="Journal Article"&gt;17&lt;/ref-type&gt;&lt;contributors&gt;&lt;authors&gt;&lt;author&gt;Ogbo, Felix Akpojene&lt;/author&gt;&lt;author&gt;Kingsley Ezeh, Osita&lt;/author&gt;&lt;author&gt;Dhami, Mansi Vijaybhai&lt;/author&gt;&lt;author&gt;Naz, Sabrina&lt;/author&gt;&lt;author&gt;Khanlari, Sarah&lt;/author&gt;&lt;author&gt;McKenzie, Anne&lt;/author&gt;&lt;author&gt;Agho, Kingsley&lt;/author&gt;&lt;author&gt;Page, Andrew&lt;/author&gt;&lt;author&gt;Ussher, Jane&lt;/author&gt;&lt;author&gt;Perz, Janette&lt;/author&gt;&lt;author&gt;Eastwood, John&lt;/author&gt;&lt;/authors&gt;&lt;/contributors&gt;&lt;titles&gt;&lt;title&gt;Perinatal distress and depression in Culturally and Linguistically Diverse (CALD) Australian women: The role of psychosocial and obstetric factors&lt;/title&gt;&lt;secondary-title&gt;International Journal of Environmental Research and Public Health&lt;/secondary-title&gt;&lt;/titles&gt;&lt;periodical&gt;&lt;full-title&gt;International Journal of Environmental Research and Public Health&lt;/full-title&gt;&lt;/periodical&gt;&lt;pages&gt;2945&lt;/pages&gt;&lt;volume&gt;16&lt;/volume&gt;&lt;number&gt;16&lt;/number&gt;&lt;dates&gt;&lt;year&gt;2019&lt;/year&gt;&lt;/dates&gt;&lt;isbn&gt;1660-4601&lt;/isbn&gt;&lt;accession-num&gt;doi:10.3390/ijerph16162945&lt;/accession-num&gt;&lt;urls&gt;&lt;related-urls&gt;&lt;url&gt;https://www.mdpi.com/1660-4601/16/16/2945&lt;/url&gt;&lt;/related-urls&gt;&lt;/urls&gt;&lt;/record&gt;&lt;/Cite&gt;&lt;/EndNote&gt;</w:instrText>
      </w:r>
      <w:r>
        <w:rPr>
          <w:lang w:eastAsia="zh-CN" w:bidi="th-TH"/>
        </w:rPr>
        <w:fldChar w:fldCharType="separate"/>
      </w:r>
      <w:r w:rsidR="00267BD0" w:rsidRPr="00267BD0">
        <w:rPr>
          <w:noProof/>
          <w:vertAlign w:val="superscript"/>
          <w:lang w:eastAsia="zh-CN" w:bidi="th-TH"/>
        </w:rPr>
        <w:t>76</w:t>
      </w:r>
      <w:r>
        <w:rPr>
          <w:lang w:eastAsia="zh-CN" w:bidi="th-TH"/>
        </w:rPr>
        <w:fldChar w:fldCharType="end"/>
      </w:r>
      <w:r>
        <w:rPr>
          <w:lang w:eastAsia="zh-CN" w:bidi="th-TH"/>
        </w:rPr>
        <w:t xml:space="preserve"> Refugees face particularly daunting barriers and struggle to engage with health services, with trust and privacy being issues influencing engagement and access to services.</w:t>
      </w:r>
      <w:r>
        <w:rPr>
          <w:lang w:eastAsia="zh-CN" w:bidi="th-TH"/>
        </w:rPr>
        <w:fldChar w:fldCharType="begin"/>
      </w:r>
      <w:r w:rsidR="00267BD0">
        <w:rPr>
          <w:lang w:eastAsia="zh-CN" w:bidi="th-TH"/>
        </w:rPr>
        <w:instrText xml:space="preserve"> ADDIN EN.CITE &lt;EndNote&gt;&lt;Cite&gt;&lt;Author&gt;Au&lt;/Author&gt;&lt;Year&gt;2019&lt;/Year&gt;&lt;RecNum&gt;230&lt;/RecNum&gt;&lt;DisplayText&gt;&lt;style face="superscript"&gt;77&lt;/style&gt;&lt;/DisplayText&gt;&lt;record&gt;&lt;rec-number&gt;230&lt;/rec-number&gt;&lt;foreign-keys&gt;&lt;key app="EN" db-id="ewrsr2203a2a0veserrv55dezzwsepr5psw2" timestamp="1663656155"&gt;230&lt;/key&gt;&lt;/foreign-keys&gt;&lt;ref-type name="Journal Article"&gt;17&lt;/ref-type&gt;&lt;contributors&gt;&lt;authors&gt;&lt;author&gt;Au, Michael&lt;/author&gt;&lt;author&gt;Anandakumar, Athire Debbie&lt;/author&gt;&lt;author&gt;Preston, Robyn&lt;/author&gt;&lt;author&gt;Ray, Robin A.&lt;/author&gt;&lt;author&gt;Davis, Meg&lt;/author&gt;&lt;/authors&gt;&lt;/contributors&gt;&lt;titles&gt;&lt;title&gt;A model explaining refugee experiences of the Australian healthcare system: a systematic review of refugee perceptions&lt;/title&gt;&lt;secondary-title&gt;BMC International Health and Human Rights&lt;/secondary-title&gt;&lt;/titles&gt;&lt;periodical&gt;&lt;full-title&gt;BMC International Health and Human Rights&lt;/full-title&gt;&lt;/periodical&gt;&lt;pages&gt;22&lt;/pages&gt;&lt;volume&gt;19&lt;/volume&gt;&lt;number&gt;1&lt;/number&gt;&lt;dates&gt;&lt;year&gt;2019&lt;/year&gt;&lt;pub-dates&gt;&lt;date&gt;2019/07/18&lt;/date&gt;&lt;/pub-dates&gt;&lt;/dates&gt;&lt;isbn&gt;1472-698X&lt;/isbn&gt;&lt;urls&gt;&lt;related-urls&gt;&lt;url&gt;https://doi.org/10.1186/s12914-019-0206-6&lt;/url&gt;&lt;/related-urls&gt;&lt;/urls&gt;&lt;electronic-resource-num&gt;10.1186/s12914-019-0206-6&lt;/electronic-resource-num&gt;&lt;/record&gt;&lt;/Cite&gt;&lt;/EndNote&gt;</w:instrText>
      </w:r>
      <w:r>
        <w:rPr>
          <w:lang w:eastAsia="zh-CN" w:bidi="th-TH"/>
        </w:rPr>
        <w:fldChar w:fldCharType="separate"/>
      </w:r>
      <w:r w:rsidR="00267BD0" w:rsidRPr="00267BD0">
        <w:rPr>
          <w:noProof/>
          <w:vertAlign w:val="superscript"/>
          <w:lang w:eastAsia="zh-CN" w:bidi="th-TH"/>
        </w:rPr>
        <w:t>77</w:t>
      </w:r>
      <w:r>
        <w:rPr>
          <w:lang w:eastAsia="zh-CN" w:bidi="th-TH"/>
        </w:rPr>
        <w:fldChar w:fldCharType="end"/>
      </w:r>
    </w:p>
    <w:p w14:paraId="5DF9498C" w14:textId="3A5ECCB3" w:rsidR="0021202C" w:rsidRPr="0021202C" w:rsidRDefault="0021202C" w:rsidP="001530E5">
      <w:pPr>
        <w:spacing w:after="120"/>
        <w:rPr>
          <w:rFonts w:ascii="Calibri" w:hAnsi="Calibri" w:cs="Calibri"/>
          <w:lang w:eastAsia="zh-CN" w:bidi="th-TH"/>
        </w:rPr>
      </w:pPr>
      <w:r w:rsidRPr="0021202C">
        <w:rPr>
          <w:rFonts w:ascii="Calibri" w:hAnsi="Calibri" w:cs="Calibri"/>
        </w:rPr>
        <w:t xml:space="preserve">Additional barriers to sustainable implementation of culturally safe maternity care referred to by stakeholders included a lack of insurance product for birth out of hospitals, lack of clarity around the availability of an insurance product for births in Level 2 Primary Maternity Units owned by an </w:t>
      </w:r>
      <w:r w:rsidR="00A13463">
        <w:rPr>
          <w:rFonts w:ascii="Calibri" w:hAnsi="Calibri" w:cs="Calibri"/>
        </w:rPr>
        <w:t xml:space="preserve">Aboriginal and Torres Strait Islander </w:t>
      </w:r>
      <w:r w:rsidR="001C7B92">
        <w:rPr>
          <w:rFonts w:ascii="Calibri" w:hAnsi="Calibri" w:cs="Calibri"/>
        </w:rPr>
        <w:t>c</w:t>
      </w:r>
      <w:r w:rsidR="00A13463">
        <w:rPr>
          <w:rFonts w:ascii="Calibri" w:hAnsi="Calibri" w:cs="Calibri"/>
        </w:rPr>
        <w:t xml:space="preserve">ommunity </w:t>
      </w:r>
      <w:r w:rsidR="001C7B92">
        <w:rPr>
          <w:rFonts w:ascii="Calibri" w:hAnsi="Calibri" w:cs="Calibri"/>
        </w:rPr>
        <w:t>h</w:t>
      </w:r>
      <w:r w:rsidR="00A13463">
        <w:rPr>
          <w:rFonts w:ascii="Calibri" w:hAnsi="Calibri" w:cs="Calibri"/>
        </w:rPr>
        <w:t xml:space="preserve">ealth </w:t>
      </w:r>
      <w:r w:rsidR="001C7B92">
        <w:rPr>
          <w:rFonts w:ascii="Calibri" w:hAnsi="Calibri" w:cs="Calibri"/>
        </w:rPr>
        <w:t>s</w:t>
      </w:r>
      <w:r w:rsidR="00A13463">
        <w:rPr>
          <w:rFonts w:ascii="Calibri" w:hAnsi="Calibri" w:cs="Calibri"/>
        </w:rPr>
        <w:t>ervice</w:t>
      </w:r>
      <w:r w:rsidR="001C7B92">
        <w:rPr>
          <w:rFonts w:ascii="Calibri" w:hAnsi="Calibri" w:cs="Calibri"/>
        </w:rPr>
        <w:t xml:space="preserve"> or organisation</w:t>
      </w:r>
      <w:r w:rsidRPr="0021202C">
        <w:rPr>
          <w:rFonts w:ascii="Calibri" w:hAnsi="Calibri" w:cs="Calibri"/>
        </w:rPr>
        <w:t>, inconsistent application of the National Capability Framework for Level 2 maternity services across jurisdictions</w:t>
      </w:r>
      <w:r w:rsidR="00955F5B">
        <w:rPr>
          <w:rFonts w:ascii="Calibri" w:hAnsi="Calibri" w:cs="Calibri"/>
        </w:rPr>
        <w:t>,</w:t>
      </w:r>
      <w:r w:rsidRPr="0021202C">
        <w:rPr>
          <w:rFonts w:ascii="Calibri" w:hAnsi="Calibri" w:cs="Calibri"/>
        </w:rPr>
        <w:t xml:space="preserve"> and a lack of guidelines that enable midwives </w:t>
      </w:r>
      <w:r w:rsidR="00A13463">
        <w:rPr>
          <w:rFonts w:ascii="Calibri" w:hAnsi="Calibri" w:cs="Calibri"/>
        </w:rPr>
        <w:t xml:space="preserve">employed by such services </w:t>
      </w:r>
      <w:r w:rsidRPr="0021202C">
        <w:rPr>
          <w:rFonts w:ascii="Calibri" w:hAnsi="Calibri" w:cs="Calibri"/>
        </w:rPr>
        <w:t xml:space="preserve">to provide continuity of care midwives for </w:t>
      </w:r>
      <w:r w:rsidR="00105122">
        <w:rPr>
          <w:rFonts w:ascii="Calibri" w:hAnsi="Calibri" w:cs="Calibri"/>
        </w:rPr>
        <w:t>Aboriginal and Torres Strait Islander</w:t>
      </w:r>
      <w:r w:rsidRPr="0021202C">
        <w:rPr>
          <w:rFonts w:ascii="Calibri" w:hAnsi="Calibri" w:cs="Calibri"/>
        </w:rPr>
        <w:t xml:space="preserve"> women in hospitals. More broadly, a number of stakeholders were of the view that implementation of recommendations from the Medicare review for midwives </w:t>
      </w:r>
      <w:r w:rsidR="00A13463">
        <w:rPr>
          <w:rFonts w:ascii="Calibri" w:hAnsi="Calibri" w:cs="Calibri"/>
        </w:rPr>
        <w:t>could</w:t>
      </w:r>
      <w:r w:rsidRPr="0021202C">
        <w:rPr>
          <w:rFonts w:ascii="Calibri" w:hAnsi="Calibri" w:cs="Calibri"/>
        </w:rPr>
        <w:t xml:space="preserve"> improve access to continuous maternity care, including in rural and remote areas.</w:t>
      </w:r>
    </w:p>
    <w:p w14:paraId="03ACD455" w14:textId="72570E5F" w:rsidR="00443C64" w:rsidRPr="002C6F81" w:rsidRDefault="00443C64" w:rsidP="1345BA90">
      <w:pPr>
        <w:autoSpaceDE w:val="0"/>
        <w:autoSpaceDN w:val="0"/>
        <w:adjustRightInd w:val="0"/>
        <w:spacing w:after="120"/>
        <w:rPr>
          <w:rFonts w:eastAsiaTheme="minorEastAsia" w:cstheme="minorBidi"/>
          <w:lang w:eastAsia="en-US"/>
        </w:rPr>
      </w:pPr>
      <w:r w:rsidRPr="1345BA90">
        <w:rPr>
          <w:rFonts w:eastAsiaTheme="minorEastAsia" w:cstheme="minorBidi"/>
          <w:lang w:eastAsia="en-US"/>
        </w:rPr>
        <w:t xml:space="preserve">A </w:t>
      </w:r>
      <w:r w:rsidR="00B57960" w:rsidRPr="1345BA90">
        <w:rPr>
          <w:rFonts w:eastAsiaTheme="minorEastAsia" w:cstheme="minorBidi"/>
          <w:b/>
          <w:bCs/>
          <w:lang w:eastAsia="en-US"/>
        </w:rPr>
        <w:t xml:space="preserve">national </w:t>
      </w:r>
      <w:r w:rsidRPr="1345BA90">
        <w:rPr>
          <w:rFonts w:eastAsiaTheme="minorEastAsia" w:cstheme="minorBidi"/>
          <w:b/>
          <w:bCs/>
          <w:lang w:eastAsia="en-US"/>
        </w:rPr>
        <w:t>maternity services mapping project</w:t>
      </w:r>
      <w:r w:rsidRPr="1345BA90">
        <w:rPr>
          <w:rFonts w:eastAsiaTheme="minorEastAsia" w:cstheme="minorBidi"/>
          <w:lang w:eastAsia="en-US"/>
        </w:rPr>
        <w:t xml:space="preserve"> currently being undertaken by the Department will use data sourced from the Commonwealth and jurisdictions, AIHW, ABS, Royal Australian and New Zealand College of </w:t>
      </w:r>
      <w:r w:rsidRPr="1345BA90">
        <w:rPr>
          <w:rFonts w:eastAsiaTheme="minorEastAsia" w:cstheme="minorBidi"/>
          <w:lang w:eastAsia="en-US"/>
        </w:rPr>
        <w:lastRenderedPageBreak/>
        <w:t xml:space="preserve">Obstetricians and Gynaecologists and the Nursing and Midwifery Board of Australia to build a comprehensive description of maternity models of care across Australia. It will include information relating to six core elements: workforce, resources, infrastructure, birthing trends, patient choice and patient demand. The intended outcome of </w:t>
      </w:r>
      <w:r w:rsidR="00B57960" w:rsidRPr="1345BA90">
        <w:rPr>
          <w:rFonts w:eastAsiaTheme="minorEastAsia" w:cstheme="minorBidi"/>
          <w:lang w:eastAsia="en-US"/>
        </w:rPr>
        <w:t xml:space="preserve">maternity services mapping project </w:t>
      </w:r>
      <w:r w:rsidRPr="1345BA90">
        <w:rPr>
          <w:rFonts w:eastAsiaTheme="minorEastAsia" w:cstheme="minorBidi"/>
          <w:lang w:eastAsia="en-US"/>
        </w:rPr>
        <w:t xml:space="preserve">is the development of an interactive map of maternity models of care that can be matched with predictive trend data and used to make informed investment and programming decisions for future planning and service delivery. There is the potential to build on this project to facilitate woman-centred care, particularly for groups of women with particular needs – women in rural and remote areas, </w:t>
      </w:r>
      <w:r w:rsidR="00105122">
        <w:rPr>
          <w:rFonts w:eastAsiaTheme="minorEastAsia" w:cstheme="minorBidi"/>
          <w:lang w:eastAsia="en-US"/>
        </w:rPr>
        <w:t xml:space="preserve">Aboriginal and Torres Strait Islander </w:t>
      </w:r>
      <w:r w:rsidRPr="1345BA90">
        <w:rPr>
          <w:rFonts w:eastAsiaTheme="minorEastAsia" w:cstheme="minorBidi"/>
          <w:lang w:eastAsia="en-US"/>
        </w:rPr>
        <w:t xml:space="preserve">women and women from </w:t>
      </w:r>
      <w:r w:rsidRPr="1345BA90">
        <w:rPr>
          <w:lang w:eastAsia="zh-CN" w:bidi="th-TH"/>
        </w:rPr>
        <w:t>culturally and linguistically diverse backgrounds.</w:t>
      </w:r>
    </w:p>
    <w:p w14:paraId="79044EAE" w14:textId="77777777" w:rsidR="00267BD0" w:rsidRDefault="00267BD0">
      <w:pPr>
        <w:rPr>
          <w:rFonts w:ascii="Calibri" w:eastAsiaTheme="majorEastAsia" w:hAnsi="Calibri" w:cstheme="majorBidi"/>
          <w:b/>
          <w:bCs/>
          <w:color w:val="0398D7"/>
          <w:sz w:val="28"/>
          <w:szCs w:val="28"/>
        </w:rPr>
      </w:pPr>
      <w:bookmarkStart w:id="287" w:name="_Toc117524413"/>
      <w:bookmarkStart w:id="288" w:name="_Ref117791749"/>
      <w:r>
        <w:br w:type="page"/>
      </w:r>
    </w:p>
    <w:p w14:paraId="1CDD507E" w14:textId="0DFFD7CF" w:rsidR="00AF0ADF" w:rsidRDefault="00267BD0" w:rsidP="00AF0ADF">
      <w:pPr>
        <w:pStyle w:val="Heading1"/>
      </w:pPr>
      <w:bookmarkStart w:id="289" w:name="_Toc121415068"/>
      <w:r>
        <w:lastRenderedPageBreak/>
        <w:t>Quantitative findings</w:t>
      </w:r>
      <w:r w:rsidR="00131A2F">
        <w:t>:</w:t>
      </w:r>
      <w:r>
        <w:t xml:space="preserve"> trends in maternity outcomes</w:t>
      </w:r>
      <w:bookmarkEnd w:id="287"/>
      <w:bookmarkEnd w:id="288"/>
      <w:bookmarkEnd w:id="289"/>
    </w:p>
    <w:p w14:paraId="3FE9652F" w14:textId="10CF4E5F" w:rsidR="00C056E6" w:rsidRDefault="00AF0ADF" w:rsidP="00AF0ADF">
      <w:pPr>
        <w:rPr>
          <w:szCs w:val="22"/>
        </w:rPr>
      </w:pPr>
      <w:r w:rsidRPr="00F33055">
        <w:rPr>
          <w:rFonts w:cstheme="minorHAnsi"/>
          <w:szCs w:val="22"/>
        </w:rPr>
        <w:t>A</w:t>
      </w:r>
      <w:r w:rsidR="00DB45FF">
        <w:rPr>
          <w:rFonts w:cstheme="minorHAnsi"/>
          <w:szCs w:val="22"/>
        </w:rPr>
        <w:t>n important focus for the Strategy’s monitoring and evaluation</w:t>
      </w:r>
      <w:r w:rsidRPr="00F33055">
        <w:rPr>
          <w:rFonts w:cstheme="minorHAnsi"/>
          <w:szCs w:val="22"/>
        </w:rPr>
        <w:t xml:space="preserve"> was to </w:t>
      </w:r>
      <w:r w:rsidR="008932D3">
        <w:rPr>
          <w:rFonts w:cstheme="minorHAnsi"/>
          <w:szCs w:val="22"/>
        </w:rPr>
        <w:t>establish a baseline and provide trend data for</w:t>
      </w:r>
      <w:r w:rsidRPr="00F33055">
        <w:rPr>
          <w:rFonts w:cstheme="minorHAnsi"/>
          <w:szCs w:val="22"/>
        </w:rPr>
        <w:t xml:space="preserve"> morbidity and mortality outcomes, clinical outcomes and access to maternity services </w:t>
      </w:r>
      <w:r w:rsidR="008932D3">
        <w:rPr>
          <w:rFonts w:cstheme="minorHAnsi"/>
          <w:szCs w:val="22"/>
        </w:rPr>
        <w:t>so that these outcomes can be monitored over time, and any changes identified</w:t>
      </w:r>
      <w:r w:rsidR="00AC1964">
        <w:rPr>
          <w:rFonts w:cstheme="minorHAnsi"/>
          <w:szCs w:val="22"/>
        </w:rPr>
        <w:t xml:space="preserve"> (</w:t>
      </w:r>
      <w:r w:rsidR="00267BD0">
        <w:rPr>
          <w:rFonts w:cstheme="minorHAnsi"/>
          <w:szCs w:val="22"/>
        </w:rPr>
        <w:t>KEQ</w:t>
      </w:r>
      <w:r w:rsidR="00AC1964">
        <w:rPr>
          <w:rFonts w:cstheme="minorHAnsi"/>
          <w:szCs w:val="22"/>
        </w:rPr>
        <w:t xml:space="preserve"> 1)</w:t>
      </w:r>
      <w:r w:rsidRPr="00F33055">
        <w:rPr>
          <w:rFonts w:cstheme="minorHAnsi"/>
          <w:szCs w:val="22"/>
        </w:rPr>
        <w:t>.</w:t>
      </w:r>
      <w:r>
        <w:rPr>
          <w:rFonts w:cstheme="minorHAnsi"/>
          <w:szCs w:val="22"/>
        </w:rPr>
        <w:t xml:space="preserve"> </w:t>
      </w:r>
      <w:r w:rsidR="00DB45FF">
        <w:rPr>
          <w:rFonts w:cstheme="minorHAnsi"/>
          <w:szCs w:val="22"/>
        </w:rPr>
        <w:t>To this end, f</w:t>
      </w:r>
      <w:r w:rsidR="00C056E6" w:rsidRPr="00267BD0">
        <w:rPr>
          <w:szCs w:val="22"/>
        </w:rPr>
        <w:t>igures and tables based on publicly available data have been reproduced for inclusion in this Baseline Report</w:t>
      </w:r>
      <w:r w:rsidR="00C87333">
        <w:rPr>
          <w:szCs w:val="22"/>
        </w:rPr>
        <w:t>, with priority given to core maternity indicators and models of care in line with the pre-defined scope of the current evaluation</w:t>
      </w:r>
      <w:r w:rsidR="00C056E6" w:rsidRPr="00267BD0">
        <w:rPr>
          <w:szCs w:val="22"/>
        </w:rPr>
        <w:t xml:space="preserve">. </w:t>
      </w:r>
      <w:r w:rsidR="00A13463">
        <w:rPr>
          <w:szCs w:val="22"/>
        </w:rPr>
        <w:t xml:space="preserve">These do not necessarily cover all indicators </w:t>
      </w:r>
      <w:r w:rsidR="00C87333">
        <w:rPr>
          <w:szCs w:val="22"/>
        </w:rPr>
        <w:t xml:space="preserve">and outcomes </w:t>
      </w:r>
      <w:r w:rsidR="00A13463">
        <w:rPr>
          <w:szCs w:val="22"/>
        </w:rPr>
        <w:t>potentially of interest to the Strategy; gaps and opportunities for</w:t>
      </w:r>
      <w:r w:rsidR="00BA49F6">
        <w:rPr>
          <w:szCs w:val="22"/>
        </w:rPr>
        <w:t xml:space="preserve"> quantitative</w:t>
      </w:r>
      <w:r w:rsidR="00A13463">
        <w:rPr>
          <w:szCs w:val="22"/>
        </w:rPr>
        <w:t xml:space="preserve"> data development are discussed in this report </w:t>
      </w:r>
      <w:r w:rsidR="00A13463" w:rsidRPr="004E0AFB">
        <w:rPr>
          <w:i/>
          <w:szCs w:val="22"/>
        </w:rPr>
        <w:t xml:space="preserve">Part 2 </w:t>
      </w:r>
      <w:r w:rsidR="00C87333">
        <w:rPr>
          <w:i/>
          <w:szCs w:val="22"/>
        </w:rPr>
        <w:t>–</w:t>
      </w:r>
      <w:r w:rsidR="00A13463" w:rsidRPr="004E0AFB">
        <w:rPr>
          <w:i/>
          <w:szCs w:val="22"/>
        </w:rPr>
        <w:t xml:space="preserve"> </w:t>
      </w:r>
      <w:r w:rsidR="00C87333">
        <w:rPr>
          <w:i/>
          <w:szCs w:val="22"/>
        </w:rPr>
        <w:t xml:space="preserve">Ongoing Monitoring and Evaluation </w:t>
      </w:r>
      <w:r w:rsidR="00A13463" w:rsidRPr="004E0AFB">
        <w:rPr>
          <w:i/>
          <w:szCs w:val="22"/>
        </w:rPr>
        <w:t>Implementation Plan</w:t>
      </w:r>
      <w:r w:rsidR="00A13463">
        <w:rPr>
          <w:szCs w:val="22"/>
        </w:rPr>
        <w:t>.</w:t>
      </w:r>
    </w:p>
    <w:p w14:paraId="6DEEF28C" w14:textId="77777777" w:rsidR="00C056E6" w:rsidRDefault="00C056E6" w:rsidP="00AF0ADF">
      <w:pPr>
        <w:rPr>
          <w:szCs w:val="22"/>
        </w:rPr>
      </w:pPr>
    </w:p>
    <w:p w14:paraId="3B0BAA59" w14:textId="688DD013" w:rsidR="00AF0ADF" w:rsidRPr="00F33055" w:rsidRDefault="00C056E6" w:rsidP="7F17C2FC">
      <w:pPr>
        <w:rPr>
          <w:rFonts w:cstheme="minorBidi"/>
        </w:rPr>
      </w:pPr>
      <w:r w:rsidRPr="7F17C2FC">
        <w:rPr>
          <w:rFonts w:cstheme="minorBidi"/>
        </w:rPr>
        <w:t xml:space="preserve">The baseline period chosen for this </w:t>
      </w:r>
      <w:r w:rsidR="00C87333">
        <w:rPr>
          <w:rFonts w:cstheme="minorBidi"/>
        </w:rPr>
        <w:t xml:space="preserve">quantitative </w:t>
      </w:r>
      <w:r w:rsidRPr="7F17C2FC">
        <w:rPr>
          <w:rFonts w:cstheme="minorBidi"/>
        </w:rPr>
        <w:t xml:space="preserve">analysis was 2019, the year the Strategy was released. </w:t>
      </w:r>
      <w:r w:rsidR="00A922BD" w:rsidRPr="7F17C2FC">
        <w:rPr>
          <w:rFonts w:cstheme="minorBidi"/>
        </w:rPr>
        <w:t xml:space="preserve">Most indicators were based on data </w:t>
      </w:r>
      <w:r w:rsidR="00A922BD">
        <w:t>compiled and analysed by the Australian Institute of Health and Welfare (AIHW)</w:t>
      </w:r>
      <w:r w:rsidR="00A922BD" w:rsidRPr="7F17C2FC">
        <w:rPr>
          <w:rFonts w:cstheme="minorBidi"/>
        </w:rPr>
        <w:t xml:space="preserve">, </w:t>
      </w:r>
      <w:r w:rsidR="00A922BD">
        <w:t>namely</w:t>
      </w:r>
      <w:r w:rsidR="00AF0ADF" w:rsidRPr="7F17C2FC">
        <w:rPr>
          <w:rFonts w:cstheme="minorBidi"/>
        </w:rPr>
        <w:t>:</w:t>
      </w:r>
    </w:p>
    <w:p w14:paraId="24F6F871" w14:textId="660C70F5" w:rsidR="00AF0ADF" w:rsidRPr="00751711" w:rsidRDefault="00AF0ADF" w:rsidP="00751711">
      <w:pPr>
        <w:pStyle w:val="Bullets"/>
        <w:ind w:left="357" w:hanging="357"/>
        <w:rPr>
          <w:szCs w:val="22"/>
        </w:rPr>
      </w:pPr>
      <w:r w:rsidRPr="00751711">
        <w:rPr>
          <w:szCs w:val="22"/>
        </w:rPr>
        <w:t>National Core Maternity Indicators</w:t>
      </w:r>
      <w:r w:rsidR="009C7705" w:rsidRPr="00751711">
        <w:rPr>
          <w:szCs w:val="22"/>
        </w:rPr>
        <w:t xml:space="preserve"> (</w:t>
      </w:r>
      <w:r w:rsidR="009C7705" w:rsidRPr="00BE7642">
        <w:rPr>
          <w:szCs w:val="22"/>
        </w:rPr>
        <w:fldChar w:fldCharType="begin"/>
      </w:r>
      <w:r w:rsidR="009C7705" w:rsidRPr="00A13463">
        <w:rPr>
          <w:szCs w:val="22"/>
        </w:rPr>
        <w:instrText xml:space="preserve"> REF _Ref14942599 \h </w:instrText>
      </w:r>
      <w:r w:rsidR="00A13463">
        <w:rPr>
          <w:szCs w:val="22"/>
        </w:rPr>
        <w:instrText xml:space="preserve"> \* MERGEFORMAT </w:instrText>
      </w:r>
      <w:r w:rsidR="009C7705" w:rsidRPr="00BE7642">
        <w:rPr>
          <w:szCs w:val="22"/>
        </w:rPr>
      </w:r>
      <w:r w:rsidR="009C7705" w:rsidRPr="00BE7642">
        <w:rPr>
          <w:szCs w:val="22"/>
        </w:rPr>
        <w:fldChar w:fldCharType="separate"/>
      </w:r>
      <w:r w:rsidR="00296988" w:rsidRPr="00296988">
        <w:rPr>
          <w:szCs w:val="22"/>
        </w:rPr>
        <w:t xml:space="preserve">Table </w:t>
      </w:r>
      <w:r w:rsidR="00296988" w:rsidRPr="00296988">
        <w:rPr>
          <w:noProof/>
          <w:szCs w:val="22"/>
        </w:rPr>
        <w:t>3</w:t>
      </w:r>
      <w:r w:rsidR="009C7705" w:rsidRPr="00BE7642">
        <w:rPr>
          <w:szCs w:val="22"/>
        </w:rPr>
        <w:fldChar w:fldCharType="end"/>
      </w:r>
      <w:r w:rsidR="009C7705" w:rsidRPr="00751711">
        <w:rPr>
          <w:szCs w:val="22"/>
        </w:rPr>
        <w:t>)</w:t>
      </w:r>
      <w:r w:rsidR="00751711" w:rsidRPr="00751711">
        <w:rPr>
          <w:szCs w:val="22"/>
        </w:rPr>
        <w:t xml:space="preserve"> and a </w:t>
      </w:r>
      <w:r w:rsidR="00751711">
        <w:rPr>
          <w:szCs w:val="22"/>
        </w:rPr>
        <w:t xml:space="preserve">small </w:t>
      </w:r>
      <w:r w:rsidRPr="00751711">
        <w:rPr>
          <w:szCs w:val="22"/>
        </w:rPr>
        <w:t>number of additional labour and bi</w:t>
      </w:r>
      <w:r w:rsidR="00924F59">
        <w:rPr>
          <w:szCs w:val="22"/>
        </w:rPr>
        <w:t>rth outcomes;</w:t>
      </w:r>
    </w:p>
    <w:p w14:paraId="437ABEF5" w14:textId="51250645" w:rsidR="00AF0ADF" w:rsidRPr="00751711" w:rsidRDefault="00751711" w:rsidP="00751711">
      <w:pPr>
        <w:pStyle w:val="Bullets"/>
        <w:ind w:left="357" w:hanging="357"/>
        <w:rPr>
          <w:szCs w:val="22"/>
        </w:rPr>
      </w:pPr>
      <w:r w:rsidRPr="00751711">
        <w:rPr>
          <w:szCs w:val="22"/>
        </w:rPr>
        <w:t>S</w:t>
      </w:r>
      <w:r w:rsidR="00AF0ADF" w:rsidRPr="00751711">
        <w:rPr>
          <w:szCs w:val="22"/>
        </w:rPr>
        <w:t>tillbirths</w:t>
      </w:r>
      <w:r w:rsidRPr="00751711">
        <w:rPr>
          <w:szCs w:val="22"/>
        </w:rPr>
        <w:t xml:space="preserve">, perinatal and neonatal deaths, and </w:t>
      </w:r>
      <w:r>
        <w:rPr>
          <w:szCs w:val="22"/>
        </w:rPr>
        <w:t>m</w:t>
      </w:r>
      <w:r w:rsidR="00924F59">
        <w:rPr>
          <w:szCs w:val="22"/>
        </w:rPr>
        <w:t>aternal deaths;</w:t>
      </w:r>
    </w:p>
    <w:p w14:paraId="56FC97F7" w14:textId="7027267E" w:rsidR="00AF0ADF" w:rsidRPr="00F33055" w:rsidRDefault="004823E7" w:rsidP="00AF0ADF">
      <w:pPr>
        <w:pStyle w:val="Bullets"/>
        <w:ind w:left="357" w:hanging="357"/>
        <w:rPr>
          <w:szCs w:val="22"/>
        </w:rPr>
      </w:pPr>
      <w:r>
        <w:rPr>
          <w:szCs w:val="22"/>
        </w:rPr>
        <w:t>M</w:t>
      </w:r>
      <w:r w:rsidR="00AF0ADF">
        <w:rPr>
          <w:szCs w:val="22"/>
        </w:rPr>
        <w:t>odels of maternity care</w:t>
      </w:r>
      <w:r w:rsidR="00FC6C12">
        <w:rPr>
          <w:szCs w:val="22"/>
        </w:rPr>
        <w:t>.</w:t>
      </w:r>
      <w:r w:rsidR="00AF0ADF">
        <w:rPr>
          <w:szCs w:val="22"/>
        </w:rPr>
        <w:t xml:space="preserve"> </w:t>
      </w:r>
    </w:p>
    <w:p w14:paraId="658562C5" w14:textId="51807527" w:rsidR="006247C8" w:rsidRPr="008D3FB5" w:rsidRDefault="006247C8" w:rsidP="006247C8">
      <w:pPr>
        <w:pStyle w:val="Caption"/>
        <w:rPr>
          <w:sz w:val="20"/>
          <w:szCs w:val="20"/>
        </w:rPr>
      </w:pPr>
      <w:bookmarkStart w:id="290" w:name="_Ref14942599"/>
      <w:bookmarkStart w:id="291" w:name="_Toc14947234"/>
      <w:bookmarkStart w:id="292" w:name="_Toc89070821"/>
      <w:bookmarkStart w:id="293" w:name="_Ref112923038"/>
      <w:bookmarkStart w:id="294" w:name="_Toc121429179"/>
      <w:r w:rsidRPr="008D3FB5">
        <w:rPr>
          <w:sz w:val="20"/>
          <w:szCs w:val="20"/>
        </w:rPr>
        <w:t xml:space="preserve">Table </w:t>
      </w:r>
      <w:r w:rsidR="00A64FC5" w:rsidRPr="008D3FB5">
        <w:rPr>
          <w:sz w:val="20"/>
          <w:szCs w:val="20"/>
        </w:rPr>
        <w:fldChar w:fldCharType="begin"/>
      </w:r>
      <w:r w:rsidR="00A64FC5" w:rsidRPr="008D3FB5">
        <w:rPr>
          <w:sz w:val="20"/>
          <w:szCs w:val="20"/>
        </w:rPr>
        <w:instrText xml:space="preserve"> SEQ Table \* ARABIC </w:instrText>
      </w:r>
      <w:r w:rsidR="00A64FC5" w:rsidRPr="008D3FB5">
        <w:rPr>
          <w:sz w:val="20"/>
          <w:szCs w:val="20"/>
        </w:rPr>
        <w:fldChar w:fldCharType="separate"/>
      </w:r>
      <w:r w:rsidR="00296988">
        <w:rPr>
          <w:noProof/>
          <w:sz w:val="20"/>
          <w:szCs w:val="20"/>
        </w:rPr>
        <w:t>3</w:t>
      </w:r>
      <w:r w:rsidR="00A64FC5" w:rsidRPr="008D3FB5">
        <w:rPr>
          <w:noProof/>
          <w:sz w:val="20"/>
          <w:szCs w:val="20"/>
        </w:rPr>
        <w:fldChar w:fldCharType="end"/>
      </w:r>
      <w:bookmarkEnd w:id="290"/>
      <w:r w:rsidRPr="008D3FB5">
        <w:rPr>
          <w:sz w:val="20"/>
          <w:szCs w:val="20"/>
        </w:rPr>
        <w:tab/>
      </w:r>
      <w:bookmarkEnd w:id="291"/>
      <w:bookmarkEnd w:id="292"/>
      <w:r w:rsidRPr="008D3FB5">
        <w:rPr>
          <w:sz w:val="20"/>
          <w:szCs w:val="20"/>
        </w:rPr>
        <w:t>National Core Maternity Indicators</w:t>
      </w:r>
      <w:bookmarkEnd w:id="293"/>
      <w:bookmarkEnd w:id="294"/>
      <w:r w:rsidRPr="008D3FB5">
        <w:rPr>
          <w:sz w:val="20"/>
          <w:szCs w:val="20"/>
        </w:rPr>
        <w:t xml:space="preserve"> </w:t>
      </w:r>
    </w:p>
    <w:tbl>
      <w:tblPr>
        <w:tblW w:w="0" w:type="auto"/>
        <w:tblLook w:val="04A0" w:firstRow="1" w:lastRow="0" w:firstColumn="1" w:lastColumn="0" w:noHBand="0" w:noVBand="1"/>
      </w:tblPr>
      <w:tblGrid>
        <w:gridCol w:w="988"/>
        <w:gridCol w:w="8867"/>
      </w:tblGrid>
      <w:tr w:rsidR="006247C8" w:rsidRPr="00230C16" w14:paraId="0C81D26D" w14:textId="77777777" w:rsidTr="00955F5B">
        <w:trPr>
          <w:trHeight w:val="255"/>
          <w:tblHeader/>
        </w:trPr>
        <w:tc>
          <w:tcPr>
            <w:tcW w:w="988" w:type="dxa"/>
            <w:tcBorders>
              <w:top w:val="single" w:sz="4" w:space="0" w:color="auto"/>
              <w:left w:val="single" w:sz="4" w:space="0" w:color="auto"/>
              <w:bottom w:val="single" w:sz="4" w:space="0" w:color="auto"/>
              <w:right w:val="nil"/>
            </w:tcBorders>
            <w:shd w:val="clear" w:color="000000" w:fill="FFFFFF"/>
            <w:noWrap/>
            <w:vAlign w:val="bottom"/>
            <w:hideMark/>
          </w:tcPr>
          <w:p w14:paraId="18DC2607" w14:textId="6333A24A" w:rsidR="006247C8" w:rsidRPr="00230C16" w:rsidRDefault="001F1129" w:rsidP="009658B9">
            <w:pPr>
              <w:rPr>
                <w:rFonts w:cstheme="minorHAnsi"/>
                <w:b/>
                <w:bCs/>
                <w:color w:val="000000"/>
                <w:sz w:val="20"/>
                <w:szCs w:val="20"/>
              </w:rPr>
            </w:pPr>
            <w:r w:rsidRPr="00EA5E3B">
              <w:rPr>
                <w:rFonts w:cstheme="minorHAnsi"/>
                <w:b/>
                <w:bCs/>
                <w:color w:val="000000"/>
                <w:sz w:val="20"/>
                <w:szCs w:val="20"/>
              </w:rPr>
              <w:t>Indicator</w:t>
            </w:r>
          </w:p>
        </w:tc>
        <w:tc>
          <w:tcPr>
            <w:tcW w:w="8867" w:type="dxa"/>
            <w:tcBorders>
              <w:top w:val="single" w:sz="4" w:space="0" w:color="auto"/>
              <w:left w:val="nil"/>
              <w:bottom w:val="single" w:sz="4" w:space="0" w:color="auto"/>
              <w:right w:val="single" w:sz="4" w:space="0" w:color="auto"/>
            </w:tcBorders>
            <w:shd w:val="clear" w:color="000000" w:fill="FFFFFF"/>
            <w:noWrap/>
            <w:vAlign w:val="bottom"/>
            <w:hideMark/>
          </w:tcPr>
          <w:p w14:paraId="50AB8C38" w14:textId="0856CF54" w:rsidR="006247C8" w:rsidRPr="00230C16" w:rsidRDefault="006247C8" w:rsidP="009658B9">
            <w:pPr>
              <w:rPr>
                <w:rFonts w:cstheme="minorHAnsi"/>
                <w:b/>
                <w:bCs/>
                <w:color w:val="000000"/>
                <w:sz w:val="20"/>
                <w:szCs w:val="20"/>
              </w:rPr>
            </w:pPr>
            <w:r w:rsidRPr="00230C16">
              <w:rPr>
                <w:rFonts w:cstheme="minorHAnsi"/>
                <w:b/>
                <w:bCs/>
                <w:color w:val="000000"/>
                <w:sz w:val="20"/>
                <w:szCs w:val="20"/>
              </w:rPr>
              <w:t>Measure</w:t>
            </w:r>
            <w:r w:rsidR="00AB45C1" w:rsidRPr="00EA5E3B">
              <w:rPr>
                <w:rFonts w:cstheme="minorHAnsi"/>
                <w:b/>
                <w:bCs/>
                <w:color w:val="000000"/>
                <w:sz w:val="20"/>
                <w:szCs w:val="20"/>
              </w:rPr>
              <w:t xml:space="preserve"> Description</w:t>
            </w:r>
          </w:p>
        </w:tc>
      </w:tr>
      <w:tr w:rsidR="006247C8" w:rsidRPr="00230C16" w14:paraId="0B49D5F5" w14:textId="77777777" w:rsidTr="00EA5E3B">
        <w:trPr>
          <w:trHeight w:val="315"/>
        </w:trPr>
        <w:tc>
          <w:tcPr>
            <w:tcW w:w="0" w:type="auto"/>
            <w:gridSpan w:val="2"/>
            <w:tcBorders>
              <w:top w:val="nil"/>
              <w:left w:val="single" w:sz="4" w:space="0" w:color="auto"/>
              <w:bottom w:val="nil"/>
              <w:right w:val="single" w:sz="4" w:space="0" w:color="auto"/>
            </w:tcBorders>
            <w:shd w:val="clear" w:color="000000" w:fill="DDEBF7"/>
            <w:noWrap/>
            <w:vAlign w:val="center"/>
            <w:hideMark/>
          </w:tcPr>
          <w:p w14:paraId="6B7264D4" w14:textId="77777777" w:rsidR="006247C8" w:rsidRPr="00230C16" w:rsidRDefault="006247C8" w:rsidP="009658B9">
            <w:pPr>
              <w:rPr>
                <w:rFonts w:cstheme="minorHAnsi"/>
                <w:b/>
                <w:bCs/>
                <w:color w:val="000000"/>
                <w:sz w:val="20"/>
                <w:szCs w:val="20"/>
              </w:rPr>
            </w:pPr>
            <w:r w:rsidRPr="00230C16">
              <w:rPr>
                <w:rFonts w:cstheme="minorHAnsi"/>
                <w:b/>
                <w:bCs/>
                <w:color w:val="000000"/>
                <w:sz w:val="20"/>
                <w:szCs w:val="20"/>
              </w:rPr>
              <w:t>Antenatal indicators</w:t>
            </w:r>
          </w:p>
        </w:tc>
      </w:tr>
      <w:tr w:rsidR="006247C8" w:rsidRPr="00230C16" w14:paraId="53325113"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2AA1D2E6" w14:textId="36BC97F8" w:rsidR="006247C8" w:rsidRPr="00EA5E3B" w:rsidRDefault="00EA5E3B" w:rsidP="009658B9">
            <w:pPr>
              <w:rPr>
                <w:rFonts w:cstheme="minorHAnsi"/>
                <w:sz w:val="20"/>
                <w:szCs w:val="20"/>
              </w:rPr>
            </w:pPr>
            <w:r w:rsidRPr="00EA5E3B">
              <w:rPr>
                <w:rFonts w:cstheme="minorHAnsi"/>
                <w:sz w:val="20"/>
                <w:szCs w:val="20"/>
              </w:rPr>
              <w:t>PI01a</w:t>
            </w:r>
          </w:p>
        </w:tc>
        <w:tc>
          <w:tcPr>
            <w:tcW w:w="8867" w:type="dxa"/>
            <w:tcBorders>
              <w:top w:val="nil"/>
              <w:left w:val="nil"/>
              <w:bottom w:val="nil"/>
              <w:right w:val="single" w:sz="4" w:space="0" w:color="auto"/>
            </w:tcBorders>
            <w:shd w:val="clear" w:color="auto" w:fill="auto"/>
            <w:noWrap/>
            <w:vAlign w:val="center"/>
            <w:hideMark/>
          </w:tcPr>
          <w:p w14:paraId="1D24928E" w14:textId="77777777" w:rsidR="006247C8" w:rsidRPr="00230C16" w:rsidRDefault="006247C8" w:rsidP="009658B9">
            <w:pPr>
              <w:rPr>
                <w:rFonts w:cstheme="minorHAnsi"/>
                <w:color w:val="000000"/>
                <w:sz w:val="20"/>
                <w:szCs w:val="20"/>
              </w:rPr>
            </w:pPr>
            <w:r w:rsidRPr="00230C16">
              <w:rPr>
                <w:rFonts w:cstheme="minorHAnsi"/>
                <w:color w:val="000000"/>
                <w:sz w:val="20"/>
                <w:szCs w:val="20"/>
              </w:rPr>
              <w:t>Smoking in the first 20 weeks of pregnancy for all women giving birth</w:t>
            </w:r>
          </w:p>
        </w:tc>
      </w:tr>
      <w:tr w:rsidR="006247C8" w:rsidRPr="00230C16" w14:paraId="3E90B2E2"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4C5D34A5" w14:textId="68D5D777" w:rsidR="006247C8" w:rsidRPr="00EA5E3B" w:rsidRDefault="00EA5E3B" w:rsidP="009658B9">
            <w:pPr>
              <w:rPr>
                <w:rFonts w:cstheme="minorHAnsi"/>
                <w:sz w:val="20"/>
                <w:szCs w:val="20"/>
              </w:rPr>
            </w:pPr>
            <w:r w:rsidRPr="00EA5E3B">
              <w:rPr>
                <w:rFonts w:cstheme="minorHAnsi"/>
                <w:sz w:val="20"/>
                <w:szCs w:val="20"/>
              </w:rPr>
              <w:t>PI01b</w:t>
            </w:r>
          </w:p>
        </w:tc>
        <w:tc>
          <w:tcPr>
            <w:tcW w:w="8867" w:type="dxa"/>
            <w:tcBorders>
              <w:top w:val="nil"/>
              <w:left w:val="nil"/>
              <w:bottom w:val="nil"/>
              <w:right w:val="single" w:sz="4" w:space="0" w:color="auto"/>
            </w:tcBorders>
            <w:shd w:val="clear" w:color="auto" w:fill="auto"/>
            <w:noWrap/>
            <w:vAlign w:val="center"/>
            <w:hideMark/>
          </w:tcPr>
          <w:p w14:paraId="2EB9899D" w14:textId="77777777" w:rsidR="006247C8" w:rsidRPr="00230C16" w:rsidRDefault="006247C8" w:rsidP="009658B9">
            <w:pPr>
              <w:rPr>
                <w:rFonts w:cstheme="minorHAnsi"/>
                <w:color w:val="000000"/>
                <w:sz w:val="20"/>
                <w:szCs w:val="20"/>
              </w:rPr>
            </w:pPr>
            <w:r w:rsidRPr="00230C16">
              <w:rPr>
                <w:rFonts w:cstheme="minorHAnsi"/>
                <w:color w:val="000000"/>
                <w:sz w:val="20"/>
                <w:szCs w:val="20"/>
              </w:rPr>
              <w:t>Smoking after the first 20 weeks of pregnancy for all women who gave birth and reported smoking during pregnancy</w:t>
            </w:r>
          </w:p>
        </w:tc>
      </w:tr>
      <w:tr w:rsidR="006247C8" w:rsidRPr="00230C16" w14:paraId="7574DF89"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502B62C4" w14:textId="420B800C" w:rsidR="006247C8" w:rsidRPr="00EA5E3B" w:rsidRDefault="00EA5E3B" w:rsidP="009658B9">
            <w:pPr>
              <w:rPr>
                <w:rFonts w:cstheme="minorHAnsi"/>
                <w:sz w:val="20"/>
                <w:szCs w:val="20"/>
              </w:rPr>
            </w:pPr>
            <w:r w:rsidRPr="00EA5E3B">
              <w:rPr>
                <w:rFonts w:cstheme="minorHAnsi"/>
                <w:sz w:val="20"/>
                <w:szCs w:val="20"/>
              </w:rPr>
              <w:t>PI02a</w:t>
            </w:r>
          </w:p>
        </w:tc>
        <w:tc>
          <w:tcPr>
            <w:tcW w:w="8867" w:type="dxa"/>
            <w:tcBorders>
              <w:top w:val="nil"/>
              <w:left w:val="nil"/>
              <w:bottom w:val="nil"/>
              <w:right w:val="single" w:sz="4" w:space="0" w:color="auto"/>
            </w:tcBorders>
            <w:shd w:val="clear" w:color="auto" w:fill="auto"/>
            <w:noWrap/>
            <w:vAlign w:val="center"/>
            <w:hideMark/>
          </w:tcPr>
          <w:p w14:paraId="2B78CACD" w14:textId="77777777" w:rsidR="006247C8" w:rsidRPr="00230C16" w:rsidRDefault="006247C8" w:rsidP="009658B9">
            <w:pPr>
              <w:rPr>
                <w:rFonts w:cstheme="minorHAnsi"/>
                <w:color w:val="000000"/>
                <w:sz w:val="20"/>
                <w:szCs w:val="20"/>
              </w:rPr>
            </w:pPr>
            <w:r w:rsidRPr="00230C16">
              <w:rPr>
                <w:rFonts w:cstheme="minorHAnsi"/>
                <w:color w:val="000000"/>
                <w:sz w:val="20"/>
                <w:szCs w:val="20"/>
              </w:rPr>
              <w:t>Antenatal care visits in the first trimester for all women giving birth</w:t>
            </w:r>
          </w:p>
        </w:tc>
      </w:tr>
      <w:tr w:rsidR="006247C8" w:rsidRPr="00230C16" w14:paraId="7871D71C"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1FB07C83" w14:textId="45B8D89F" w:rsidR="006247C8" w:rsidRPr="00EA5E3B" w:rsidRDefault="00EA5E3B" w:rsidP="009658B9">
            <w:pPr>
              <w:rPr>
                <w:rFonts w:cstheme="minorHAnsi"/>
                <w:sz w:val="20"/>
                <w:szCs w:val="20"/>
              </w:rPr>
            </w:pPr>
            <w:r w:rsidRPr="00EA5E3B">
              <w:rPr>
                <w:rFonts w:cstheme="minorHAnsi"/>
                <w:sz w:val="20"/>
                <w:szCs w:val="20"/>
              </w:rPr>
              <w:t>PI02b</w:t>
            </w:r>
          </w:p>
        </w:tc>
        <w:tc>
          <w:tcPr>
            <w:tcW w:w="8867" w:type="dxa"/>
            <w:tcBorders>
              <w:top w:val="nil"/>
              <w:left w:val="nil"/>
              <w:bottom w:val="nil"/>
              <w:right w:val="single" w:sz="4" w:space="0" w:color="auto"/>
            </w:tcBorders>
            <w:shd w:val="clear" w:color="auto" w:fill="auto"/>
            <w:noWrap/>
            <w:vAlign w:val="center"/>
            <w:hideMark/>
          </w:tcPr>
          <w:p w14:paraId="50A57D3D" w14:textId="77777777" w:rsidR="006247C8" w:rsidRPr="00230C16" w:rsidRDefault="006247C8" w:rsidP="009658B9">
            <w:pPr>
              <w:rPr>
                <w:rFonts w:cstheme="minorHAnsi"/>
                <w:color w:val="000000"/>
                <w:sz w:val="20"/>
                <w:szCs w:val="20"/>
              </w:rPr>
            </w:pPr>
            <w:r w:rsidRPr="00230C16">
              <w:rPr>
                <w:rFonts w:cstheme="minorHAnsi"/>
                <w:color w:val="000000"/>
                <w:sz w:val="20"/>
                <w:szCs w:val="20"/>
              </w:rPr>
              <w:t>Antenatal care visits in the first 10 weeks of pregnancy for all women giving birth</w:t>
            </w:r>
          </w:p>
        </w:tc>
      </w:tr>
      <w:tr w:rsidR="006247C8" w:rsidRPr="00230C16" w14:paraId="08C8DC54" w14:textId="77777777" w:rsidTr="00EA5E3B">
        <w:trPr>
          <w:trHeight w:val="315"/>
        </w:trPr>
        <w:tc>
          <w:tcPr>
            <w:tcW w:w="0" w:type="auto"/>
            <w:gridSpan w:val="2"/>
            <w:tcBorders>
              <w:top w:val="nil"/>
              <w:left w:val="single" w:sz="4" w:space="0" w:color="auto"/>
              <w:bottom w:val="nil"/>
              <w:right w:val="single" w:sz="4" w:space="0" w:color="auto"/>
            </w:tcBorders>
            <w:shd w:val="clear" w:color="000000" w:fill="DDEBF7"/>
            <w:noWrap/>
            <w:vAlign w:val="center"/>
            <w:hideMark/>
          </w:tcPr>
          <w:p w14:paraId="4256353F" w14:textId="77777777" w:rsidR="006247C8" w:rsidRPr="00230C16" w:rsidRDefault="006247C8" w:rsidP="009658B9">
            <w:pPr>
              <w:rPr>
                <w:rFonts w:cstheme="minorHAnsi"/>
                <w:b/>
                <w:bCs/>
                <w:color w:val="000000"/>
                <w:sz w:val="20"/>
                <w:szCs w:val="20"/>
              </w:rPr>
            </w:pPr>
            <w:r w:rsidRPr="00230C16">
              <w:rPr>
                <w:rFonts w:cstheme="minorHAnsi"/>
                <w:b/>
                <w:bCs/>
                <w:color w:val="000000"/>
                <w:sz w:val="20"/>
                <w:szCs w:val="20"/>
              </w:rPr>
              <w:t>Labour and birth indicators</w:t>
            </w:r>
          </w:p>
        </w:tc>
      </w:tr>
      <w:tr w:rsidR="006247C8" w:rsidRPr="00230C16" w14:paraId="177C5193" w14:textId="77777777" w:rsidTr="00EA5E3B">
        <w:trPr>
          <w:trHeight w:val="315"/>
        </w:trPr>
        <w:tc>
          <w:tcPr>
            <w:tcW w:w="0" w:type="auto"/>
            <w:gridSpan w:val="2"/>
            <w:tcBorders>
              <w:top w:val="nil"/>
              <w:left w:val="single" w:sz="4" w:space="0" w:color="auto"/>
              <w:bottom w:val="nil"/>
              <w:right w:val="single" w:sz="4" w:space="0" w:color="auto"/>
            </w:tcBorders>
            <w:shd w:val="clear" w:color="000000" w:fill="D9D9D9"/>
            <w:noWrap/>
            <w:vAlign w:val="center"/>
            <w:hideMark/>
          </w:tcPr>
          <w:p w14:paraId="1CB94714" w14:textId="0B9C877A" w:rsidR="006247C8" w:rsidRPr="00230C16" w:rsidRDefault="006247C8" w:rsidP="009658B9">
            <w:pPr>
              <w:rPr>
                <w:rFonts w:cstheme="minorHAnsi"/>
                <w:color w:val="000000"/>
                <w:sz w:val="20"/>
                <w:szCs w:val="20"/>
              </w:rPr>
            </w:pPr>
            <w:r w:rsidRPr="00230C16">
              <w:rPr>
                <w:rFonts w:cstheme="minorHAnsi"/>
                <w:color w:val="000000"/>
                <w:sz w:val="20"/>
                <w:szCs w:val="20"/>
              </w:rPr>
              <w:t>Selected women</w:t>
            </w:r>
            <w:r w:rsidR="00E83160">
              <w:rPr>
                <w:rFonts w:cstheme="minorHAnsi"/>
                <w:color w:val="000000"/>
                <w:sz w:val="20"/>
                <w:szCs w:val="20"/>
              </w:rPr>
              <w:t>*</w:t>
            </w:r>
          </w:p>
        </w:tc>
      </w:tr>
      <w:tr w:rsidR="006247C8" w:rsidRPr="00230C16" w14:paraId="0DB251E7"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1752218D" w14:textId="0CA07853" w:rsidR="006247C8" w:rsidRPr="00EA5E3B" w:rsidRDefault="00EA5E3B" w:rsidP="009658B9">
            <w:pPr>
              <w:rPr>
                <w:rFonts w:cstheme="minorHAnsi"/>
                <w:sz w:val="20"/>
                <w:szCs w:val="20"/>
              </w:rPr>
            </w:pPr>
            <w:r w:rsidRPr="00EA5E3B">
              <w:rPr>
                <w:rFonts w:cstheme="minorHAnsi"/>
                <w:sz w:val="20"/>
                <w:szCs w:val="20"/>
              </w:rPr>
              <w:t>PI05</w:t>
            </w:r>
          </w:p>
        </w:tc>
        <w:tc>
          <w:tcPr>
            <w:tcW w:w="8867" w:type="dxa"/>
            <w:tcBorders>
              <w:top w:val="nil"/>
              <w:left w:val="nil"/>
              <w:bottom w:val="nil"/>
              <w:right w:val="single" w:sz="4" w:space="0" w:color="auto"/>
            </w:tcBorders>
            <w:shd w:val="clear" w:color="auto" w:fill="auto"/>
            <w:noWrap/>
            <w:vAlign w:val="center"/>
            <w:hideMark/>
          </w:tcPr>
          <w:p w14:paraId="44DDCF57" w14:textId="77777777" w:rsidR="006247C8" w:rsidRPr="00230C16" w:rsidRDefault="006247C8" w:rsidP="009658B9">
            <w:pPr>
              <w:rPr>
                <w:rFonts w:cstheme="minorHAnsi"/>
                <w:color w:val="000000"/>
                <w:sz w:val="20"/>
                <w:szCs w:val="20"/>
              </w:rPr>
            </w:pPr>
            <w:r w:rsidRPr="00230C16">
              <w:rPr>
                <w:rFonts w:cstheme="minorHAnsi"/>
                <w:color w:val="000000"/>
                <w:sz w:val="20"/>
                <w:szCs w:val="20"/>
              </w:rPr>
              <w:t>Induction of labour for selected women giving birth for the first time</w:t>
            </w:r>
          </w:p>
        </w:tc>
      </w:tr>
      <w:tr w:rsidR="006247C8" w:rsidRPr="00230C16" w14:paraId="141FB98C"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0CFCBDA6" w14:textId="19B15A5B" w:rsidR="006247C8" w:rsidRPr="00EA5E3B" w:rsidRDefault="00EA5E3B" w:rsidP="009658B9">
            <w:pPr>
              <w:rPr>
                <w:rFonts w:cstheme="minorHAnsi"/>
                <w:sz w:val="20"/>
                <w:szCs w:val="20"/>
              </w:rPr>
            </w:pPr>
            <w:r w:rsidRPr="00EA5E3B">
              <w:rPr>
                <w:rFonts w:cstheme="minorHAnsi"/>
                <w:sz w:val="20"/>
                <w:szCs w:val="20"/>
              </w:rPr>
              <w:t>PI06</w:t>
            </w:r>
          </w:p>
        </w:tc>
        <w:tc>
          <w:tcPr>
            <w:tcW w:w="8867" w:type="dxa"/>
            <w:tcBorders>
              <w:top w:val="nil"/>
              <w:left w:val="nil"/>
              <w:bottom w:val="nil"/>
              <w:right w:val="single" w:sz="4" w:space="0" w:color="auto"/>
            </w:tcBorders>
            <w:shd w:val="clear" w:color="auto" w:fill="auto"/>
            <w:noWrap/>
            <w:vAlign w:val="center"/>
            <w:hideMark/>
          </w:tcPr>
          <w:p w14:paraId="57043BA8" w14:textId="77777777" w:rsidR="006247C8" w:rsidRPr="00230C16" w:rsidRDefault="006247C8" w:rsidP="009658B9">
            <w:pPr>
              <w:rPr>
                <w:rFonts w:cstheme="minorHAnsi"/>
                <w:color w:val="000000"/>
                <w:sz w:val="20"/>
                <w:szCs w:val="20"/>
              </w:rPr>
            </w:pPr>
            <w:r w:rsidRPr="00230C16">
              <w:rPr>
                <w:rFonts w:cstheme="minorHAnsi"/>
                <w:color w:val="000000"/>
                <w:sz w:val="20"/>
                <w:szCs w:val="20"/>
              </w:rPr>
              <w:t>Caesarean section for selected women giving birth for the first time</w:t>
            </w:r>
          </w:p>
        </w:tc>
      </w:tr>
      <w:tr w:rsidR="006247C8" w:rsidRPr="00230C16" w14:paraId="5A503575"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201DF878" w14:textId="2ABCC2CC" w:rsidR="006247C8" w:rsidRPr="00EA5E3B" w:rsidRDefault="00EA5E3B" w:rsidP="009658B9">
            <w:pPr>
              <w:rPr>
                <w:rFonts w:cstheme="minorHAnsi"/>
                <w:sz w:val="20"/>
                <w:szCs w:val="20"/>
              </w:rPr>
            </w:pPr>
            <w:r w:rsidRPr="00EA5E3B">
              <w:rPr>
                <w:rFonts w:cstheme="minorHAnsi"/>
                <w:sz w:val="20"/>
                <w:szCs w:val="20"/>
              </w:rPr>
              <w:t>PI07</w:t>
            </w:r>
          </w:p>
        </w:tc>
        <w:tc>
          <w:tcPr>
            <w:tcW w:w="8867" w:type="dxa"/>
            <w:tcBorders>
              <w:top w:val="nil"/>
              <w:left w:val="nil"/>
              <w:bottom w:val="nil"/>
              <w:right w:val="single" w:sz="4" w:space="0" w:color="auto"/>
            </w:tcBorders>
            <w:shd w:val="clear" w:color="auto" w:fill="auto"/>
            <w:noWrap/>
            <w:vAlign w:val="center"/>
            <w:hideMark/>
          </w:tcPr>
          <w:p w14:paraId="38D1C772" w14:textId="77777777" w:rsidR="006247C8" w:rsidRPr="00230C16" w:rsidRDefault="006247C8" w:rsidP="009658B9">
            <w:pPr>
              <w:rPr>
                <w:rFonts w:cstheme="minorHAnsi"/>
                <w:color w:val="000000"/>
                <w:sz w:val="20"/>
                <w:szCs w:val="20"/>
              </w:rPr>
            </w:pPr>
            <w:r w:rsidRPr="00230C16">
              <w:rPr>
                <w:rFonts w:cstheme="minorHAnsi"/>
                <w:color w:val="000000"/>
                <w:sz w:val="20"/>
                <w:szCs w:val="20"/>
              </w:rPr>
              <w:t>Non-instrumental vaginal birth for selected women giving birth for the first time</w:t>
            </w:r>
          </w:p>
        </w:tc>
      </w:tr>
      <w:tr w:rsidR="006247C8" w:rsidRPr="00230C16" w14:paraId="55CFD9C6"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521FBFF7" w14:textId="769EC6ED" w:rsidR="006247C8" w:rsidRPr="00EA5E3B" w:rsidRDefault="00EA5E3B" w:rsidP="009658B9">
            <w:pPr>
              <w:rPr>
                <w:rFonts w:cstheme="minorHAnsi"/>
                <w:sz w:val="20"/>
                <w:szCs w:val="20"/>
              </w:rPr>
            </w:pPr>
            <w:r w:rsidRPr="00EA5E3B">
              <w:rPr>
                <w:rFonts w:cstheme="minorHAnsi"/>
                <w:sz w:val="20"/>
                <w:szCs w:val="20"/>
              </w:rPr>
              <w:t>PI08</w:t>
            </w:r>
          </w:p>
        </w:tc>
        <w:tc>
          <w:tcPr>
            <w:tcW w:w="8867" w:type="dxa"/>
            <w:tcBorders>
              <w:top w:val="nil"/>
              <w:left w:val="nil"/>
              <w:bottom w:val="nil"/>
              <w:right w:val="single" w:sz="4" w:space="0" w:color="auto"/>
            </w:tcBorders>
            <w:shd w:val="clear" w:color="auto" w:fill="auto"/>
            <w:noWrap/>
            <w:vAlign w:val="center"/>
            <w:hideMark/>
          </w:tcPr>
          <w:p w14:paraId="2714473D" w14:textId="77777777" w:rsidR="006247C8" w:rsidRPr="00230C16" w:rsidRDefault="006247C8" w:rsidP="009658B9">
            <w:pPr>
              <w:rPr>
                <w:rFonts w:cstheme="minorHAnsi"/>
                <w:color w:val="000000"/>
                <w:sz w:val="20"/>
                <w:szCs w:val="20"/>
              </w:rPr>
            </w:pPr>
            <w:r w:rsidRPr="00230C16">
              <w:rPr>
                <w:rFonts w:cstheme="minorHAnsi"/>
                <w:color w:val="000000"/>
                <w:sz w:val="20"/>
                <w:szCs w:val="20"/>
              </w:rPr>
              <w:t>Instrumental vaginal birth for selected women giving birth for the first time</w:t>
            </w:r>
          </w:p>
        </w:tc>
      </w:tr>
      <w:tr w:rsidR="006247C8" w:rsidRPr="00230C16" w14:paraId="0B5036D8" w14:textId="77777777" w:rsidTr="00EA5E3B">
        <w:trPr>
          <w:trHeight w:val="315"/>
        </w:trPr>
        <w:tc>
          <w:tcPr>
            <w:tcW w:w="0" w:type="auto"/>
            <w:gridSpan w:val="2"/>
            <w:tcBorders>
              <w:top w:val="nil"/>
              <w:left w:val="single" w:sz="4" w:space="0" w:color="auto"/>
              <w:bottom w:val="nil"/>
              <w:right w:val="single" w:sz="4" w:space="0" w:color="auto"/>
            </w:tcBorders>
            <w:shd w:val="clear" w:color="000000" w:fill="D9D9D9"/>
            <w:noWrap/>
            <w:vAlign w:val="center"/>
            <w:hideMark/>
          </w:tcPr>
          <w:p w14:paraId="21E27080" w14:textId="77777777" w:rsidR="006247C8" w:rsidRPr="00230C16" w:rsidRDefault="006247C8" w:rsidP="009658B9">
            <w:pPr>
              <w:rPr>
                <w:rFonts w:cstheme="minorHAnsi"/>
                <w:color w:val="000000"/>
                <w:sz w:val="20"/>
                <w:szCs w:val="20"/>
              </w:rPr>
            </w:pPr>
            <w:r w:rsidRPr="00230C16">
              <w:rPr>
                <w:rFonts w:cstheme="minorHAnsi"/>
                <w:color w:val="000000"/>
                <w:sz w:val="20"/>
                <w:szCs w:val="20"/>
              </w:rPr>
              <w:t>All women</w:t>
            </w:r>
          </w:p>
        </w:tc>
      </w:tr>
      <w:tr w:rsidR="006247C8" w:rsidRPr="00230C16" w14:paraId="7688A246"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1F54C441" w14:textId="119FDE39" w:rsidR="006247C8" w:rsidRPr="00EA5E3B" w:rsidRDefault="00EA5E3B" w:rsidP="009658B9">
            <w:pPr>
              <w:rPr>
                <w:rFonts w:cstheme="minorHAnsi"/>
                <w:sz w:val="20"/>
                <w:szCs w:val="20"/>
              </w:rPr>
            </w:pPr>
            <w:r w:rsidRPr="00EA5E3B">
              <w:rPr>
                <w:rFonts w:cstheme="minorHAnsi"/>
                <w:sz w:val="20"/>
                <w:szCs w:val="20"/>
              </w:rPr>
              <w:t>PI03a</w:t>
            </w:r>
          </w:p>
        </w:tc>
        <w:tc>
          <w:tcPr>
            <w:tcW w:w="8867" w:type="dxa"/>
            <w:tcBorders>
              <w:top w:val="nil"/>
              <w:left w:val="nil"/>
              <w:bottom w:val="nil"/>
              <w:right w:val="single" w:sz="4" w:space="0" w:color="auto"/>
            </w:tcBorders>
            <w:shd w:val="clear" w:color="000000" w:fill="FFFFFF"/>
            <w:noWrap/>
            <w:vAlign w:val="center"/>
            <w:hideMark/>
          </w:tcPr>
          <w:p w14:paraId="11F9A58B" w14:textId="77777777" w:rsidR="006247C8" w:rsidRPr="00230C16" w:rsidRDefault="006247C8" w:rsidP="009658B9">
            <w:pPr>
              <w:rPr>
                <w:rFonts w:cstheme="minorHAnsi"/>
                <w:color w:val="000000"/>
                <w:sz w:val="20"/>
                <w:szCs w:val="20"/>
              </w:rPr>
            </w:pPr>
            <w:r w:rsidRPr="00230C16">
              <w:rPr>
                <w:rFonts w:cstheme="minorHAnsi"/>
                <w:color w:val="000000"/>
                <w:sz w:val="20"/>
                <w:szCs w:val="20"/>
              </w:rPr>
              <w:t>Episiotomy for women having their first baby and giving birth vaginally (non-instrumental)</w:t>
            </w:r>
          </w:p>
        </w:tc>
      </w:tr>
      <w:tr w:rsidR="006247C8" w:rsidRPr="00230C16" w14:paraId="1B560C13"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72C64E43" w14:textId="702F36A5" w:rsidR="006247C8" w:rsidRPr="00EA5E3B" w:rsidRDefault="00EA5E3B" w:rsidP="009658B9">
            <w:pPr>
              <w:rPr>
                <w:rFonts w:cstheme="minorHAnsi"/>
                <w:sz w:val="20"/>
                <w:szCs w:val="20"/>
              </w:rPr>
            </w:pPr>
            <w:r w:rsidRPr="00EA5E3B">
              <w:rPr>
                <w:rFonts w:cstheme="minorHAnsi"/>
                <w:sz w:val="20"/>
                <w:szCs w:val="20"/>
              </w:rPr>
              <w:t>PI03b</w:t>
            </w:r>
          </w:p>
        </w:tc>
        <w:tc>
          <w:tcPr>
            <w:tcW w:w="8867" w:type="dxa"/>
            <w:tcBorders>
              <w:top w:val="nil"/>
              <w:left w:val="nil"/>
              <w:bottom w:val="nil"/>
              <w:right w:val="single" w:sz="4" w:space="0" w:color="auto"/>
            </w:tcBorders>
            <w:shd w:val="clear" w:color="000000" w:fill="FFFFFF"/>
            <w:noWrap/>
            <w:vAlign w:val="center"/>
            <w:hideMark/>
          </w:tcPr>
          <w:p w14:paraId="3CB563D7" w14:textId="77777777" w:rsidR="006247C8" w:rsidRPr="00230C16" w:rsidRDefault="006247C8" w:rsidP="009658B9">
            <w:pPr>
              <w:rPr>
                <w:rFonts w:cstheme="minorHAnsi"/>
                <w:color w:val="000000"/>
                <w:sz w:val="20"/>
                <w:szCs w:val="20"/>
              </w:rPr>
            </w:pPr>
            <w:r w:rsidRPr="00230C16">
              <w:rPr>
                <w:rFonts w:cstheme="minorHAnsi"/>
                <w:color w:val="000000"/>
                <w:sz w:val="20"/>
                <w:szCs w:val="20"/>
              </w:rPr>
              <w:t>Episiotomy for women having their first baby and giving birth vaginally (instrumental)</w:t>
            </w:r>
          </w:p>
        </w:tc>
      </w:tr>
      <w:tr w:rsidR="006247C8" w:rsidRPr="00230C16" w14:paraId="5428AF85"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4F19E920" w14:textId="05C6E468" w:rsidR="006247C8" w:rsidRPr="00EA5E3B" w:rsidRDefault="00EA5E3B" w:rsidP="009658B9">
            <w:pPr>
              <w:rPr>
                <w:rFonts w:cstheme="minorHAnsi"/>
                <w:sz w:val="20"/>
                <w:szCs w:val="20"/>
              </w:rPr>
            </w:pPr>
            <w:r w:rsidRPr="00EA5E3B">
              <w:rPr>
                <w:rFonts w:cstheme="minorHAnsi"/>
                <w:sz w:val="20"/>
                <w:szCs w:val="20"/>
              </w:rPr>
              <w:t>PI09</w:t>
            </w:r>
          </w:p>
        </w:tc>
        <w:tc>
          <w:tcPr>
            <w:tcW w:w="8867" w:type="dxa"/>
            <w:tcBorders>
              <w:top w:val="nil"/>
              <w:left w:val="nil"/>
              <w:bottom w:val="nil"/>
              <w:right w:val="single" w:sz="4" w:space="0" w:color="auto"/>
            </w:tcBorders>
            <w:shd w:val="clear" w:color="000000" w:fill="FFFFFF"/>
            <w:noWrap/>
            <w:vAlign w:val="center"/>
            <w:hideMark/>
          </w:tcPr>
          <w:p w14:paraId="3011619E" w14:textId="77777777" w:rsidR="006247C8" w:rsidRPr="00230C16" w:rsidRDefault="006247C8" w:rsidP="009658B9">
            <w:pPr>
              <w:rPr>
                <w:rFonts w:cstheme="minorHAnsi"/>
                <w:color w:val="000000"/>
                <w:sz w:val="20"/>
                <w:szCs w:val="20"/>
              </w:rPr>
            </w:pPr>
            <w:r w:rsidRPr="00230C16">
              <w:rPr>
                <w:rFonts w:cstheme="minorHAnsi"/>
                <w:color w:val="000000"/>
                <w:sz w:val="20"/>
                <w:szCs w:val="20"/>
              </w:rPr>
              <w:t>General anaesthetic for women giving birth by caesarean section</w:t>
            </w:r>
          </w:p>
        </w:tc>
      </w:tr>
      <w:tr w:rsidR="006247C8" w:rsidRPr="00230C16" w14:paraId="7DE2ED97"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37E27694" w14:textId="1E31FE92" w:rsidR="006247C8" w:rsidRPr="00EA5E3B" w:rsidRDefault="00EA5E3B" w:rsidP="009658B9">
            <w:pPr>
              <w:rPr>
                <w:rFonts w:cstheme="minorHAnsi"/>
                <w:sz w:val="20"/>
                <w:szCs w:val="20"/>
              </w:rPr>
            </w:pPr>
            <w:r w:rsidRPr="00EA5E3B">
              <w:rPr>
                <w:rFonts w:cstheme="minorHAnsi"/>
                <w:sz w:val="20"/>
                <w:szCs w:val="20"/>
              </w:rPr>
              <w:t>PI15</w:t>
            </w:r>
          </w:p>
        </w:tc>
        <w:tc>
          <w:tcPr>
            <w:tcW w:w="8867" w:type="dxa"/>
            <w:tcBorders>
              <w:top w:val="nil"/>
              <w:left w:val="nil"/>
              <w:bottom w:val="nil"/>
              <w:right w:val="single" w:sz="4" w:space="0" w:color="auto"/>
            </w:tcBorders>
            <w:shd w:val="clear" w:color="000000" w:fill="FFFFFF"/>
            <w:noWrap/>
            <w:vAlign w:val="center"/>
            <w:hideMark/>
          </w:tcPr>
          <w:p w14:paraId="05EBEFE0" w14:textId="77777777" w:rsidR="006247C8" w:rsidRPr="00230C16" w:rsidRDefault="006247C8" w:rsidP="009658B9">
            <w:pPr>
              <w:rPr>
                <w:rFonts w:cstheme="minorHAnsi"/>
                <w:color w:val="000000"/>
                <w:sz w:val="20"/>
                <w:szCs w:val="20"/>
              </w:rPr>
            </w:pPr>
            <w:r w:rsidRPr="00230C16">
              <w:rPr>
                <w:rFonts w:cstheme="minorHAnsi"/>
                <w:color w:val="000000"/>
                <w:sz w:val="20"/>
                <w:szCs w:val="20"/>
              </w:rPr>
              <w:t>Women having their second birth vaginally whose first birth was by caesarean section</w:t>
            </w:r>
          </w:p>
        </w:tc>
      </w:tr>
      <w:tr w:rsidR="006247C8" w:rsidRPr="00230C16" w14:paraId="3E74078E" w14:textId="77777777" w:rsidTr="00EA5E3B">
        <w:trPr>
          <w:trHeight w:val="315"/>
        </w:trPr>
        <w:tc>
          <w:tcPr>
            <w:tcW w:w="0" w:type="auto"/>
            <w:gridSpan w:val="2"/>
            <w:tcBorders>
              <w:top w:val="nil"/>
              <w:left w:val="single" w:sz="4" w:space="0" w:color="auto"/>
              <w:bottom w:val="nil"/>
              <w:right w:val="single" w:sz="4" w:space="0" w:color="auto"/>
            </w:tcBorders>
            <w:shd w:val="clear" w:color="000000" w:fill="DDEBF7"/>
            <w:noWrap/>
            <w:vAlign w:val="center"/>
            <w:hideMark/>
          </w:tcPr>
          <w:p w14:paraId="05C1BB69" w14:textId="77777777" w:rsidR="006247C8" w:rsidRPr="00230C16" w:rsidRDefault="006247C8" w:rsidP="009658B9">
            <w:pPr>
              <w:rPr>
                <w:rFonts w:cstheme="minorHAnsi"/>
                <w:b/>
                <w:bCs/>
                <w:color w:val="000000"/>
                <w:sz w:val="20"/>
                <w:szCs w:val="20"/>
              </w:rPr>
            </w:pPr>
            <w:r w:rsidRPr="00230C16">
              <w:rPr>
                <w:rFonts w:cstheme="minorHAnsi"/>
                <w:b/>
                <w:bCs/>
                <w:color w:val="000000"/>
                <w:sz w:val="20"/>
                <w:szCs w:val="20"/>
              </w:rPr>
              <w:t>Birth Outcome Indicators</w:t>
            </w:r>
          </w:p>
        </w:tc>
      </w:tr>
      <w:tr w:rsidR="006247C8" w:rsidRPr="00230C16" w14:paraId="30912979"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0452A370" w14:textId="4C1200F0" w:rsidR="006247C8" w:rsidRPr="00EA5E3B" w:rsidRDefault="00EA5E3B" w:rsidP="009658B9">
            <w:pPr>
              <w:rPr>
                <w:rFonts w:cstheme="minorHAnsi"/>
                <w:sz w:val="20"/>
                <w:szCs w:val="20"/>
              </w:rPr>
            </w:pPr>
            <w:r w:rsidRPr="00EA5E3B">
              <w:rPr>
                <w:rFonts w:cstheme="minorHAnsi"/>
                <w:sz w:val="20"/>
                <w:szCs w:val="20"/>
              </w:rPr>
              <w:t>PI04</w:t>
            </w:r>
          </w:p>
        </w:tc>
        <w:tc>
          <w:tcPr>
            <w:tcW w:w="8867" w:type="dxa"/>
            <w:tcBorders>
              <w:top w:val="nil"/>
              <w:left w:val="nil"/>
              <w:bottom w:val="nil"/>
              <w:right w:val="single" w:sz="4" w:space="0" w:color="auto"/>
            </w:tcBorders>
            <w:shd w:val="clear" w:color="000000" w:fill="FFFFFF"/>
            <w:noWrap/>
            <w:vAlign w:val="center"/>
            <w:hideMark/>
          </w:tcPr>
          <w:p w14:paraId="7154B2C9" w14:textId="77777777" w:rsidR="006247C8" w:rsidRPr="00230C16" w:rsidRDefault="006247C8" w:rsidP="009658B9">
            <w:pPr>
              <w:rPr>
                <w:rFonts w:cstheme="minorHAnsi"/>
                <w:color w:val="000000"/>
                <w:sz w:val="20"/>
                <w:szCs w:val="20"/>
              </w:rPr>
            </w:pPr>
            <w:r w:rsidRPr="00230C16">
              <w:rPr>
                <w:rFonts w:cstheme="minorHAnsi"/>
                <w:color w:val="000000"/>
                <w:sz w:val="20"/>
                <w:szCs w:val="20"/>
              </w:rPr>
              <w:t>Apgar score of less than 7 at 5 minutes for births at or after term</w:t>
            </w:r>
          </w:p>
        </w:tc>
      </w:tr>
      <w:tr w:rsidR="006247C8" w:rsidRPr="00230C16" w14:paraId="3AB5BE18" w14:textId="77777777" w:rsidTr="00EA5E3B">
        <w:trPr>
          <w:trHeight w:val="315"/>
        </w:trPr>
        <w:tc>
          <w:tcPr>
            <w:tcW w:w="988" w:type="dxa"/>
            <w:tcBorders>
              <w:top w:val="nil"/>
              <w:left w:val="single" w:sz="4" w:space="0" w:color="auto"/>
              <w:right w:val="nil"/>
            </w:tcBorders>
            <w:shd w:val="clear" w:color="auto" w:fill="auto"/>
            <w:noWrap/>
            <w:vAlign w:val="center"/>
            <w:hideMark/>
          </w:tcPr>
          <w:p w14:paraId="4BF0DA47" w14:textId="3B32F410" w:rsidR="006247C8" w:rsidRPr="00EA5E3B" w:rsidRDefault="00EA5E3B" w:rsidP="009658B9">
            <w:pPr>
              <w:rPr>
                <w:rFonts w:cstheme="minorHAnsi"/>
                <w:sz w:val="20"/>
                <w:szCs w:val="20"/>
              </w:rPr>
            </w:pPr>
            <w:r w:rsidRPr="00EA5E3B">
              <w:rPr>
                <w:rFonts w:cstheme="minorHAnsi"/>
                <w:sz w:val="20"/>
                <w:szCs w:val="20"/>
              </w:rPr>
              <w:t>PI10</w:t>
            </w:r>
          </w:p>
        </w:tc>
        <w:tc>
          <w:tcPr>
            <w:tcW w:w="8867" w:type="dxa"/>
            <w:tcBorders>
              <w:top w:val="nil"/>
              <w:left w:val="nil"/>
              <w:right w:val="single" w:sz="4" w:space="0" w:color="auto"/>
            </w:tcBorders>
            <w:shd w:val="clear" w:color="000000" w:fill="FFFFFF"/>
            <w:noWrap/>
            <w:vAlign w:val="center"/>
            <w:hideMark/>
          </w:tcPr>
          <w:p w14:paraId="71F2AF08" w14:textId="77777777" w:rsidR="006247C8" w:rsidRPr="00230C16" w:rsidRDefault="006247C8" w:rsidP="009658B9">
            <w:pPr>
              <w:rPr>
                <w:rFonts w:cstheme="minorHAnsi"/>
                <w:color w:val="000000"/>
                <w:sz w:val="20"/>
                <w:szCs w:val="20"/>
              </w:rPr>
            </w:pPr>
            <w:r w:rsidRPr="00230C16">
              <w:rPr>
                <w:rFonts w:cstheme="minorHAnsi"/>
                <w:color w:val="000000"/>
                <w:sz w:val="20"/>
                <w:szCs w:val="20"/>
              </w:rPr>
              <w:t>Small babies among births at or after 40 weeks gestation</w:t>
            </w:r>
          </w:p>
        </w:tc>
      </w:tr>
      <w:tr w:rsidR="006247C8" w:rsidRPr="00230C16" w14:paraId="06FF7C92" w14:textId="77777777" w:rsidTr="00EA5E3B">
        <w:trPr>
          <w:trHeight w:val="315"/>
        </w:trPr>
        <w:tc>
          <w:tcPr>
            <w:tcW w:w="988" w:type="dxa"/>
            <w:tcBorders>
              <w:top w:val="nil"/>
              <w:left w:val="single" w:sz="4" w:space="0" w:color="auto"/>
              <w:bottom w:val="nil"/>
              <w:right w:val="nil"/>
            </w:tcBorders>
            <w:shd w:val="clear" w:color="auto" w:fill="auto"/>
            <w:noWrap/>
            <w:vAlign w:val="center"/>
            <w:hideMark/>
          </w:tcPr>
          <w:p w14:paraId="694A77E2" w14:textId="6ED5EAAE" w:rsidR="006247C8" w:rsidRPr="00EA5E3B" w:rsidRDefault="00EA5E3B" w:rsidP="009658B9">
            <w:pPr>
              <w:rPr>
                <w:rFonts w:cstheme="minorHAnsi"/>
                <w:sz w:val="20"/>
                <w:szCs w:val="20"/>
              </w:rPr>
            </w:pPr>
            <w:r w:rsidRPr="00EA5E3B">
              <w:rPr>
                <w:rFonts w:cstheme="minorHAnsi"/>
                <w:sz w:val="20"/>
                <w:szCs w:val="20"/>
              </w:rPr>
              <w:t>PI13a</w:t>
            </w:r>
          </w:p>
        </w:tc>
        <w:tc>
          <w:tcPr>
            <w:tcW w:w="8867" w:type="dxa"/>
            <w:tcBorders>
              <w:top w:val="nil"/>
              <w:left w:val="nil"/>
              <w:bottom w:val="nil"/>
              <w:right w:val="single" w:sz="4" w:space="0" w:color="auto"/>
            </w:tcBorders>
            <w:shd w:val="clear" w:color="000000" w:fill="FFFFFF"/>
            <w:noWrap/>
            <w:vAlign w:val="center"/>
            <w:hideMark/>
          </w:tcPr>
          <w:p w14:paraId="68E5F8C8" w14:textId="77777777" w:rsidR="006247C8" w:rsidRPr="00230C16" w:rsidRDefault="006247C8" w:rsidP="009658B9">
            <w:pPr>
              <w:rPr>
                <w:rFonts w:cstheme="minorHAnsi"/>
                <w:color w:val="000000"/>
                <w:sz w:val="20"/>
                <w:szCs w:val="20"/>
              </w:rPr>
            </w:pPr>
            <w:r w:rsidRPr="00230C16">
              <w:rPr>
                <w:rFonts w:cstheme="minorHAnsi"/>
                <w:color w:val="000000"/>
                <w:sz w:val="20"/>
                <w:szCs w:val="20"/>
              </w:rPr>
              <w:t>Third and fourth degree tears for all vaginal first births</w:t>
            </w:r>
          </w:p>
        </w:tc>
      </w:tr>
      <w:tr w:rsidR="006247C8" w:rsidRPr="00230C16" w14:paraId="03331DD5" w14:textId="77777777" w:rsidTr="00EA5E3B">
        <w:trPr>
          <w:trHeight w:val="315"/>
        </w:trPr>
        <w:tc>
          <w:tcPr>
            <w:tcW w:w="988" w:type="dxa"/>
            <w:tcBorders>
              <w:top w:val="nil"/>
              <w:left w:val="single" w:sz="4" w:space="0" w:color="auto"/>
              <w:bottom w:val="single" w:sz="4" w:space="0" w:color="auto"/>
              <w:right w:val="nil"/>
            </w:tcBorders>
            <w:shd w:val="clear" w:color="auto" w:fill="auto"/>
            <w:noWrap/>
            <w:vAlign w:val="center"/>
            <w:hideMark/>
          </w:tcPr>
          <w:p w14:paraId="125AB220" w14:textId="3C102A01" w:rsidR="006247C8" w:rsidRPr="00EA5E3B" w:rsidRDefault="00EA5E3B" w:rsidP="009658B9">
            <w:pPr>
              <w:rPr>
                <w:rFonts w:cstheme="minorHAnsi"/>
                <w:sz w:val="20"/>
                <w:szCs w:val="20"/>
              </w:rPr>
            </w:pPr>
            <w:r w:rsidRPr="00EA5E3B">
              <w:rPr>
                <w:rFonts w:cstheme="minorHAnsi"/>
                <w:sz w:val="20"/>
                <w:szCs w:val="20"/>
              </w:rPr>
              <w:t>PI13b</w:t>
            </w:r>
          </w:p>
        </w:tc>
        <w:tc>
          <w:tcPr>
            <w:tcW w:w="8867" w:type="dxa"/>
            <w:tcBorders>
              <w:top w:val="nil"/>
              <w:left w:val="nil"/>
              <w:bottom w:val="single" w:sz="4" w:space="0" w:color="auto"/>
              <w:right w:val="single" w:sz="4" w:space="0" w:color="auto"/>
            </w:tcBorders>
            <w:shd w:val="clear" w:color="000000" w:fill="FFFFFF"/>
            <w:noWrap/>
            <w:vAlign w:val="center"/>
            <w:hideMark/>
          </w:tcPr>
          <w:p w14:paraId="3C703B3C" w14:textId="77777777" w:rsidR="006247C8" w:rsidRPr="00230C16" w:rsidRDefault="006247C8" w:rsidP="009658B9">
            <w:pPr>
              <w:rPr>
                <w:rFonts w:cstheme="minorHAnsi"/>
                <w:color w:val="000000"/>
                <w:sz w:val="20"/>
                <w:szCs w:val="20"/>
              </w:rPr>
            </w:pPr>
            <w:r w:rsidRPr="00230C16">
              <w:rPr>
                <w:rFonts w:cstheme="minorHAnsi"/>
                <w:color w:val="000000"/>
                <w:sz w:val="20"/>
                <w:szCs w:val="20"/>
              </w:rPr>
              <w:t>Third and fourth degree tears for all vaginal births</w:t>
            </w:r>
          </w:p>
        </w:tc>
      </w:tr>
    </w:tbl>
    <w:p w14:paraId="5B0C2A2D" w14:textId="78D57D33" w:rsidR="006247C8" w:rsidRPr="00E83160" w:rsidRDefault="006247C8" w:rsidP="006247C8">
      <w:pPr>
        <w:spacing w:after="160" w:line="259" w:lineRule="auto"/>
        <w:rPr>
          <w:rFonts w:cstheme="minorHAnsi"/>
          <w:color w:val="000000"/>
          <w:sz w:val="18"/>
          <w:szCs w:val="18"/>
        </w:rPr>
      </w:pPr>
      <w:r w:rsidRPr="00D46112">
        <w:rPr>
          <w:rFonts w:cstheme="minorHAnsi"/>
          <w:sz w:val="18"/>
          <w:szCs w:val="18"/>
        </w:rPr>
        <w:t xml:space="preserve">Source: </w:t>
      </w:r>
      <w:r w:rsidRPr="00332864">
        <w:rPr>
          <w:rFonts w:cstheme="minorHAnsi"/>
          <w:color w:val="000000"/>
          <w:sz w:val="18"/>
          <w:szCs w:val="18"/>
        </w:rPr>
        <w:t>Australian Institute of Health and Welfare 2021. National Core Maternity Indicators. Cat no. PER 95. Canberra: AIHW.</w:t>
      </w:r>
      <w:r w:rsidR="00E83160">
        <w:rPr>
          <w:rFonts w:cstheme="minorHAnsi"/>
          <w:color w:val="000000"/>
          <w:sz w:val="18"/>
          <w:szCs w:val="18"/>
        </w:rPr>
        <w:br/>
      </w:r>
      <w:r w:rsidR="00E83160" w:rsidRPr="00C24842">
        <w:rPr>
          <w:rFonts w:cstheme="minorHAnsi"/>
          <w:i/>
          <w:color w:val="000000"/>
          <w:sz w:val="18"/>
          <w:szCs w:val="18"/>
        </w:rPr>
        <w:t>Note.</w:t>
      </w:r>
      <w:r w:rsidR="00E83160" w:rsidRPr="00E83160">
        <w:rPr>
          <w:rFonts w:cstheme="minorHAnsi"/>
          <w:color w:val="000000"/>
          <w:sz w:val="18"/>
          <w:szCs w:val="18"/>
        </w:rPr>
        <w:t xml:space="preserve"> </w:t>
      </w:r>
      <w:r w:rsidR="00E83160" w:rsidRPr="00C24842">
        <w:rPr>
          <w:sz w:val="18"/>
          <w:szCs w:val="18"/>
        </w:rPr>
        <w:t>Selected women are defined as ‘aged between 20 and 34 years, where gestational age at birth was between 37 and 41 completed weeks, with a singleton baby in the vertex presentation)</w:t>
      </w:r>
      <w:r w:rsidR="00E83160" w:rsidRPr="00C24842">
        <w:rPr>
          <w:rStyle w:val="CommentReference"/>
          <w:sz w:val="18"/>
          <w:szCs w:val="18"/>
        </w:rPr>
        <w:t>’. They are reported on separately as it is expected that they will have fewer labour complications and more optimal birth outcomes due to their lower risk. This cohort represents about one quarter of all women who give birth in Australia</w:t>
      </w:r>
    </w:p>
    <w:p w14:paraId="35F486B5" w14:textId="77777777" w:rsidR="00955F5B" w:rsidRDefault="00955F5B" w:rsidP="00955F5B">
      <w:pPr>
        <w:pStyle w:val="Bullets"/>
        <w:numPr>
          <w:ilvl w:val="0"/>
          <w:numId w:val="0"/>
        </w:numPr>
        <w:rPr>
          <w:szCs w:val="22"/>
        </w:rPr>
      </w:pPr>
      <w:r>
        <w:rPr>
          <w:szCs w:val="22"/>
        </w:rPr>
        <w:lastRenderedPageBreak/>
        <w:t xml:space="preserve">In most cases, the available data allowed examination of trends over a ten-year period (2010-2019). </w:t>
      </w:r>
      <w:r w:rsidRPr="00F33055">
        <w:rPr>
          <w:szCs w:val="22"/>
        </w:rPr>
        <w:t xml:space="preserve">Where possible, data were further interrogated by the project team to identify differences in outcomes for target populations, including </w:t>
      </w:r>
      <w:r>
        <w:rPr>
          <w:szCs w:val="22"/>
        </w:rPr>
        <w:t>Aboriginal and Torres Strait Islander</w:t>
      </w:r>
      <w:r w:rsidRPr="00F33055">
        <w:rPr>
          <w:szCs w:val="22"/>
        </w:rPr>
        <w:t xml:space="preserve"> women and women living in rural and remote areas.</w:t>
      </w:r>
      <w:r>
        <w:rPr>
          <w:szCs w:val="22"/>
        </w:rPr>
        <w:t xml:space="preserve"> Note that the terms ‘Indigenous’ and ‘non-Indigenous’ are used by the AIHW and are reproduced below for consistency in terminology and data presentation. For Medicare Benefits Scheme (MBS) data obtained from Services Australia, data up until the second quarter of 2022 were compiled.</w:t>
      </w:r>
    </w:p>
    <w:p w14:paraId="00E08EDF" w14:textId="3D05DE5D" w:rsidR="00955F5B" w:rsidRDefault="00955F5B" w:rsidP="00955F5B">
      <w:pPr>
        <w:rPr>
          <w:szCs w:val="22"/>
        </w:rPr>
      </w:pPr>
      <w:r w:rsidRPr="00F33055">
        <w:rPr>
          <w:szCs w:val="22"/>
        </w:rPr>
        <w:t xml:space="preserve">A summary of trends over time against </w:t>
      </w:r>
      <w:r>
        <w:rPr>
          <w:szCs w:val="22"/>
        </w:rPr>
        <w:t xml:space="preserve">the National Core Maternity </w:t>
      </w:r>
      <w:r w:rsidRPr="00F33055">
        <w:rPr>
          <w:szCs w:val="22"/>
        </w:rPr>
        <w:t>indicators</w:t>
      </w:r>
      <w:r>
        <w:rPr>
          <w:szCs w:val="22"/>
        </w:rPr>
        <w:t xml:space="preserve"> and the other indicators listed above</w:t>
      </w:r>
      <w:r w:rsidRPr="00F33055">
        <w:rPr>
          <w:szCs w:val="22"/>
        </w:rPr>
        <w:t xml:space="preserve"> are presented </w:t>
      </w:r>
      <w:r>
        <w:rPr>
          <w:szCs w:val="22"/>
        </w:rPr>
        <w:t>here, with a</w:t>
      </w:r>
      <w:r w:rsidRPr="00267BD0">
        <w:rPr>
          <w:szCs w:val="22"/>
        </w:rPr>
        <w:t xml:space="preserve">dditional detail and important data notes in </w:t>
      </w:r>
      <w:r>
        <w:rPr>
          <w:szCs w:val="22"/>
        </w:rPr>
        <w:fldChar w:fldCharType="begin"/>
      </w:r>
      <w:r>
        <w:rPr>
          <w:szCs w:val="22"/>
        </w:rPr>
        <w:instrText xml:space="preserve"> REF _Ref119270528 \h </w:instrText>
      </w:r>
      <w:r>
        <w:rPr>
          <w:szCs w:val="22"/>
        </w:rPr>
      </w:r>
      <w:r>
        <w:rPr>
          <w:szCs w:val="22"/>
        </w:rPr>
        <w:fldChar w:fldCharType="separate"/>
      </w:r>
      <w:r w:rsidR="00296988">
        <w:t xml:space="preserve">Appendix </w:t>
      </w:r>
      <w:r w:rsidR="00296988">
        <w:rPr>
          <w:noProof/>
        </w:rPr>
        <w:t>3</w:t>
      </w:r>
      <w:r>
        <w:rPr>
          <w:szCs w:val="22"/>
        </w:rPr>
        <w:fldChar w:fldCharType="end"/>
      </w:r>
      <w:r w:rsidRPr="00267BD0">
        <w:rPr>
          <w:szCs w:val="22"/>
        </w:rPr>
        <w:t xml:space="preserve"> (</w:t>
      </w:r>
      <w:r w:rsidRPr="00267BD0">
        <w:rPr>
          <w:szCs w:val="22"/>
        </w:rPr>
        <w:fldChar w:fldCharType="begin"/>
      </w:r>
      <w:r w:rsidRPr="00267BD0">
        <w:rPr>
          <w:szCs w:val="22"/>
        </w:rPr>
        <w:instrText xml:space="preserve"> REF _Ref117794696 \h  \* MERGEFORMAT </w:instrText>
      </w:r>
      <w:r w:rsidRPr="00267BD0">
        <w:rPr>
          <w:szCs w:val="22"/>
        </w:rPr>
      </w:r>
      <w:r w:rsidRPr="00267BD0">
        <w:rPr>
          <w:szCs w:val="22"/>
        </w:rPr>
        <w:fldChar w:fldCharType="separate"/>
      </w:r>
      <w:r w:rsidR="00296988" w:rsidRPr="00296988">
        <w:t xml:space="preserve">Table </w:t>
      </w:r>
      <w:r w:rsidR="00296988" w:rsidRPr="00296988">
        <w:rPr>
          <w:noProof/>
        </w:rPr>
        <w:t>10</w:t>
      </w:r>
      <w:r w:rsidRPr="00267BD0">
        <w:rPr>
          <w:szCs w:val="22"/>
        </w:rPr>
        <w:fldChar w:fldCharType="end"/>
      </w:r>
      <w:r w:rsidR="00AA3CF3">
        <w:rPr>
          <w:szCs w:val="22"/>
        </w:rPr>
        <w:t>-</w:t>
      </w:r>
      <w:r w:rsidRPr="00267BD0">
        <w:rPr>
          <w:szCs w:val="22"/>
        </w:rPr>
        <w:fldChar w:fldCharType="begin"/>
      </w:r>
      <w:r w:rsidRPr="00267BD0">
        <w:rPr>
          <w:szCs w:val="22"/>
        </w:rPr>
        <w:instrText xml:space="preserve"> REF _Ref117116851 \h  \* MERGEFORMAT </w:instrText>
      </w:r>
      <w:r w:rsidRPr="00267BD0">
        <w:rPr>
          <w:szCs w:val="22"/>
        </w:rPr>
      </w:r>
      <w:r w:rsidRPr="00267BD0">
        <w:rPr>
          <w:szCs w:val="22"/>
        </w:rPr>
        <w:fldChar w:fldCharType="separate"/>
      </w:r>
      <w:r w:rsidR="00296988">
        <w:t>T</w:t>
      </w:r>
      <w:r w:rsidR="00296988" w:rsidRPr="00296988">
        <w:t xml:space="preserve">able </w:t>
      </w:r>
      <w:r w:rsidR="00296988" w:rsidRPr="00296988">
        <w:rPr>
          <w:noProof/>
        </w:rPr>
        <w:t>33</w:t>
      </w:r>
      <w:r w:rsidRPr="00267BD0">
        <w:rPr>
          <w:szCs w:val="22"/>
        </w:rPr>
        <w:fldChar w:fldCharType="end"/>
      </w:r>
      <w:r w:rsidRPr="00267BD0">
        <w:rPr>
          <w:szCs w:val="22"/>
        </w:rPr>
        <w:t>).</w:t>
      </w:r>
    </w:p>
    <w:p w14:paraId="00C82693" w14:textId="77777777" w:rsidR="00AF0ADF" w:rsidRDefault="00AF0ADF" w:rsidP="00AF0ADF">
      <w:pPr>
        <w:pStyle w:val="Heading2"/>
      </w:pPr>
      <w:bookmarkStart w:id="295" w:name="_Toc117524414"/>
      <w:bookmarkStart w:id="296" w:name="_Toc121415069"/>
      <w:r w:rsidRPr="00A438EE">
        <w:t xml:space="preserve">Smoking in </w:t>
      </w:r>
      <w:r>
        <w:t>pregnancy</w:t>
      </w:r>
      <w:bookmarkEnd w:id="295"/>
      <w:bookmarkEnd w:id="296"/>
      <w:r w:rsidRPr="00A438EE">
        <w:t xml:space="preserve"> </w:t>
      </w:r>
    </w:p>
    <w:p w14:paraId="197C85A9" w14:textId="65D30F5C" w:rsidR="00AF0ADF" w:rsidRPr="000F44CD" w:rsidRDefault="00AF0ADF" w:rsidP="00AF0ADF">
      <w:pPr>
        <w:rPr>
          <w:b/>
          <w:i/>
          <w:color w:val="0398D7"/>
          <w:szCs w:val="22"/>
        </w:rPr>
      </w:pPr>
      <w:r w:rsidRPr="000F44CD">
        <w:rPr>
          <w:b/>
          <w:i/>
          <w:color w:val="0398D7"/>
          <w:szCs w:val="22"/>
        </w:rPr>
        <w:t xml:space="preserve">Smoking in </w:t>
      </w:r>
      <w:r w:rsidR="00230C16">
        <w:rPr>
          <w:b/>
          <w:i/>
          <w:color w:val="0398D7"/>
          <w:szCs w:val="22"/>
        </w:rPr>
        <w:t>the</w:t>
      </w:r>
      <w:r w:rsidR="00230C16" w:rsidRPr="000F44CD">
        <w:rPr>
          <w:b/>
          <w:i/>
          <w:color w:val="0398D7"/>
          <w:szCs w:val="22"/>
        </w:rPr>
        <w:t xml:space="preserve"> </w:t>
      </w:r>
      <w:r w:rsidRPr="000F44CD">
        <w:rPr>
          <w:b/>
          <w:i/>
          <w:color w:val="0398D7"/>
          <w:szCs w:val="22"/>
        </w:rPr>
        <w:t>first 20 weeks of pregnancy for all women giving birth (PI01a)</w:t>
      </w:r>
    </w:p>
    <w:p w14:paraId="592056F9" w14:textId="6F45B593" w:rsidR="00AF0ADF" w:rsidRPr="00B247F1" w:rsidRDefault="00AF0ADF" w:rsidP="00AF0ADF">
      <w:pPr>
        <w:pStyle w:val="Bullets"/>
        <w:numPr>
          <w:ilvl w:val="0"/>
          <w:numId w:val="0"/>
        </w:numPr>
        <w:rPr>
          <w:szCs w:val="22"/>
        </w:rPr>
      </w:pPr>
      <w:r w:rsidRPr="00F33055">
        <w:rPr>
          <w:szCs w:val="22"/>
        </w:rPr>
        <w:t xml:space="preserve">There has been a steady decrease in </w:t>
      </w:r>
      <w:r w:rsidR="00230C16">
        <w:rPr>
          <w:szCs w:val="22"/>
        </w:rPr>
        <w:t xml:space="preserve">the </w:t>
      </w:r>
      <w:r w:rsidRPr="00F33055">
        <w:rPr>
          <w:szCs w:val="22"/>
        </w:rPr>
        <w:t>proportion of women who reported smoking in the first 20 weeks of pregnancy, fro</w:t>
      </w:r>
      <w:r w:rsidR="00C6217C">
        <w:rPr>
          <w:szCs w:val="22"/>
        </w:rPr>
        <w:t>m 1</w:t>
      </w:r>
      <w:r w:rsidR="004B501E">
        <w:rPr>
          <w:szCs w:val="22"/>
        </w:rPr>
        <w:t>3</w:t>
      </w:r>
      <w:r w:rsidR="00C6217C">
        <w:rPr>
          <w:szCs w:val="22"/>
        </w:rPr>
        <w:t xml:space="preserve">% in 2011 to 9% in 2019 (see </w:t>
      </w:r>
      <w:r w:rsidR="00C6217C" w:rsidRPr="00B247F1">
        <w:rPr>
          <w:szCs w:val="22"/>
        </w:rPr>
        <w:t xml:space="preserve">also </w:t>
      </w:r>
      <w:r w:rsidR="00C6217C" w:rsidRPr="00B247F1">
        <w:rPr>
          <w:szCs w:val="22"/>
        </w:rPr>
        <w:fldChar w:fldCharType="begin"/>
      </w:r>
      <w:r w:rsidR="00C6217C" w:rsidRPr="00B247F1">
        <w:rPr>
          <w:szCs w:val="22"/>
        </w:rPr>
        <w:instrText xml:space="preserve"> REF _Ref117794696 \h </w:instrText>
      </w:r>
      <w:r w:rsidR="00B247F1">
        <w:rPr>
          <w:szCs w:val="22"/>
        </w:rPr>
        <w:instrText xml:space="preserve"> \* MERGEFORMAT </w:instrText>
      </w:r>
      <w:r w:rsidR="00C6217C" w:rsidRPr="00B247F1">
        <w:rPr>
          <w:szCs w:val="22"/>
        </w:rPr>
      </w:r>
      <w:r w:rsidR="00C6217C" w:rsidRPr="00B247F1">
        <w:rPr>
          <w:szCs w:val="22"/>
        </w:rPr>
        <w:fldChar w:fldCharType="separate"/>
      </w:r>
      <w:r w:rsidR="00296988" w:rsidRPr="00296988">
        <w:rPr>
          <w:szCs w:val="22"/>
        </w:rPr>
        <w:t xml:space="preserve">Table </w:t>
      </w:r>
      <w:r w:rsidR="00296988" w:rsidRPr="00296988">
        <w:rPr>
          <w:noProof/>
          <w:szCs w:val="22"/>
        </w:rPr>
        <w:t>10</w:t>
      </w:r>
      <w:r w:rsidR="00C6217C" w:rsidRPr="00B247F1">
        <w:rPr>
          <w:szCs w:val="22"/>
        </w:rPr>
        <w:fldChar w:fldCharType="end"/>
      </w:r>
      <w:r w:rsidR="00C6217C" w:rsidRPr="00B247F1">
        <w:rPr>
          <w:szCs w:val="22"/>
        </w:rPr>
        <w:t>).</w:t>
      </w:r>
    </w:p>
    <w:p w14:paraId="48B564BD" w14:textId="6BE1894A" w:rsidR="00AF0ADF" w:rsidRPr="00B247F1" w:rsidRDefault="00AF0ADF" w:rsidP="00AF0ADF">
      <w:pPr>
        <w:pStyle w:val="Bullets"/>
        <w:ind w:left="357" w:hanging="357"/>
        <w:rPr>
          <w:szCs w:val="22"/>
        </w:rPr>
      </w:pPr>
      <w:bookmarkStart w:id="297" w:name="_Hlk118283331"/>
      <w:r w:rsidRPr="00B247F1">
        <w:rPr>
          <w:szCs w:val="22"/>
        </w:rPr>
        <w:t xml:space="preserve">Women aged 20 years or younger </w:t>
      </w:r>
      <w:bookmarkEnd w:id="297"/>
      <w:r w:rsidRPr="00B247F1">
        <w:rPr>
          <w:szCs w:val="22"/>
        </w:rPr>
        <w:t>had the highest proportion of smokers of any age group: 3</w:t>
      </w:r>
      <w:r w:rsidR="004B501E" w:rsidRPr="00B247F1">
        <w:rPr>
          <w:szCs w:val="22"/>
        </w:rPr>
        <w:t>6</w:t>
      </w:r>
      <w:r w:rsidRPr="00B247F1">
        <w:rPr>
          <w:szCs w:val="22"/>
        </w:rPr>
        <w:t>% in 2011 and 3</w:t>
      </w:r>
      <w:r w:rsidR="004B501E" w:rsidRPr="00B247F1">
        <w:rPr>
          <w:szCs w:val="22"/>
        </w:rPr>
        <w:t>2</w:t>
      </w:r>
      <w:r w:rsidRPr="00B247F1">
        <w:rPr>
          <w:szCs w:val="22"/>
        </w:rPr>
        <w:t xml:space="preserve">% </w:t>
      </w:r>
      <w:r w:rsidR="008932D3" w:rsidRPr="00B247F1">
        <w:rPr>
          <w:szCs w:val="22"/>
        </w:rPr>
        <w:t xml:space="preserve">in </w:t>
      </w:r>
      <w:r w:rsidRPr="00B247F1">
        <w:rPr>
          <w:szCs w:val="22"/>
        </w:rPr>
        <w:t>2019 (</w:t>
      </w:r>
      <w:r w:rsidRPr="00B247F1">
        <w:rPr>
          <w:b/>
          <w:bCs/>
          <w:color w:val="0398D7"/>
          <w:szCs w:val="22"/>
        </w:rPr>
        <w:fldChar w:fldCharType="begin"/>
      </w:r>
      <w:r w:rsidRPr="00B247F1">
        <w:rPr>
          <w:szCs w:val="22"/>
        </w:rPr>
        <w:instrText xml:space="preserve"> REF _Ref117521784 \h  \* MERGEFORMAT </w:instrText>
      </w:r>
      <w:r w:rsidRPr="00B247F1">
        <w:rPr>
          <w:b/>
          <w:bCs/>
          <w:color w:val="0398D7"/>
          <w:szCs w:val="22"/>
        </w:rPr>
      </w:r>
      <w:r w:rsidRPr="00B247F1">
        <w:rPr>
          <w:b/>
          <w:bCs/>
          <w:color w:val="0398D7"/>
          <w:szCs w:val="22"/>
        </w:rPr>
        <w:fldChar w:fldCharType="separate"/>
      </w:r>
      <w:r w:rsidR="00296988" w:rsidRPr="00296988">
        <w:rPr>
          <w:szCs w:val="22"/>
        </w:rPr>
        <w:t xml:space="preserve">Figure </w:t>
      </w:r>
      <w:r w:rsidR="00296988" w:rsidRPr="00296988">
        <w:rPr>
          <w:noProof/>
          <w:szCs w:val="22"/>
        </w:rPr>
        <w:t>6</w:t>
      </w:r>
      <w:r w:rsidRPr="00B247F1">
        <w:rPr>
          <w:szCs w:val="22"/>
        </w:rPr>
        <w:fldChar w:fldCharType="end"/>
      </w:r>
      <w:r w:rsidRPr="00B247F1">
        <w:rPr>
          <w:szCs w:val="22"/>
        </w:rPr>
        <w:t>)</w:t>
      </w:r>
      <w:r w:rsidR="008932D3" w:rsidRPr="00B247F1">
        <w:rPr>
          <w:szCs w:val="22"/>
        </w:rPr>
        <w:t>.</w:t>
      </w:r>
    </w:p>
    <w:p w14:paraId="71E67362" w14:textId="685CD56E" w:rsidR="00AF0ADF" w:rsidRPr="00F33055" w:rsidRDefault="00592E46" w:rsidP="00AF0ADF">
      <w:pPr>
        <w:pStyle w:val="Bullets"/>
        <w:ind w:left="357" w:hanging="357"/>
        <w:rPr>
          <w:szCs w:val="22"/>
        </w:rPr>
      </w:pPr>
      <w:r>
        <w:rPr>
          <w:szCs w:val="22"/>
        </w:rPr>
        <w:t>S</w:t>
      </w:r>
      <w:r w:rsidR="00AF0ADF" w:rsidRPr="00F33055">
        <w:rPr>
          <w:szCs w:val="22"/>
        </w:rPr>
        <w:t>moking during the first 20 weeks of pregnancy w</w:t>
      </w:r>
      <w:r>
        <w:rPr>
          <w:szCs w:val="22"/>
        </w:rPr>
        <w:t>as</w:t>
      </w:r>
      <w:r w:rsidR="00AF0ADF" w:rsidRPr="00F33055">
        <w:rPr>
          <w:szCs w:val="22"/>
        </w:rPr>
        <w:t xml:space="preserve"> </w:t>
      </w:r>
      <w:r>
        <w:rPr>
          <w:szCs w:val="22"/>
        </w:rPr>
        <w:t>more prevalent</w:t>
      </w:r>
      <w:r w:rsidR="00AF0ADF" w:rsidRPr="00F33055">
        <w:rPr>
          <w:szCs w:val="22"/>
        </w:rPr>
        <w:t xml:space="preserve"> among Indigenous women (47% in 2011 and 43% in 2019) compared to non-Indigenous women (15% in 2011 and </w:t>
      </w:r>
      <w:r w:rsidR="004B501E">
        <w:rPr>
          <w:szCs w:val="22"/>
        </w:rPr>
        <w:t>11</w:t>
      </w:r>
      <w:r w:rsidR="00AF0ADF" w:rsidRPr="00F33055">
        <w:rPr>
          <w:szCs w:val="22"/>
        </w:rPr>
        <w:t xml:space="preserve">% in 2019). </w:t>
      </w:r>
      <w:r>
        <w:rPr>
          <w:szCs w:val="22"/>
        </w:rPr>
        <w:t>F</w:t>
      </w:r>
      <w:r w:rsidR="00AF0ADF" w:rsidRPr="00F33055">
        <w:rPr>
          <w:szCs w:val="22"/>
        </w:rPr>
        <w:t xml:space="preserve">or both groups, the proportion of smokers decreased by </w:t>
      </w:r>
      <w:r w:rsidR="008932D3">
        <w:rPr>
          <w:szCs w:val="22"/>
        </w:rPr>
        <w:t>four percentage points</w:t>
      </w:r>
      <w:r w:rsidR="00AF0ADF" w:rsidRPr="00F33055">
        <w:rPr>
          <w:szCs w:val="22"/>
        </w:rPr>
        <w:t xml:space="preserve"> in line with the national trend.</w:t>
      </w:r>
    </w:p>
    <w:p w14:paraId="30E576CE" w14:textId="1938EEF8" w:rsidR="00AF0ADF" w:rsidRPr="00F33055" w:rsidRDefault="00AF0ADF" w:rsidP="00AF0ADF">
      <w:pPr>
        <w:pStyle w:val="Bullets"/>
        <w:ind w:left="357" w:hanging="357"/>
        <w:rPr>
          <w:szCs w:val="22"/>
        </w:rPr>
      </w:pPr>
      <w:r w:rsidRPr="00F33055">
        <w:rPr>
          <w:szCs w:val="22"/>
        </w:rPr>
        <w:t xml:space="preserve">Women residing in the most disadvantaged areas also had a higher proportion of smokers in the first 20 weeks, although reductions were observed over time from </w:t>
      </w:r>
      <w:r w:rsidR="004B501E">
        <w:rPr>
          <w:szCs w:val="22"/>
        </w:rPr>
        <w:t>21</w:t>
      </w:r>
      <w:r w:rsidRPr="00F33055">
        <w:rPr>
          <w:szCs w:val="22"/>
        </w:rPr>
        <w:t>% in 2012 to 17% in 2019.</w:t>
      </w:r>
    </w:p>
    <w:p w14:paraId="1B9783FB" w14:textId="7118CE7D" w:rsidR="00C6217C" w:rsidRPr="00C6217C" w:rsidRDefault="00AF0ADF" w:rsidP="00C6217C">
      <w:pPr>
        <w:pStyle w:val="Bullets"/>
        <w:ind w:left="357" w:hanging="357"/>
        <w:rPr>
          <w:szCs w:val="22"/>
        </w:rPr>
      </w:pPr>
      <w:r w:rsidRPr="00F33055">
        <w:rPr>
          <w:szCs w:val="22"/>
        </w:rPr>
        <w:t>The proportion of women who gave birth in the public sector who reported smoking in the first 20 weeks of pregnancy was higher than for women who gave birth in the private sector over time</w:t>
      </w:r>
      <w:r w:rsidR="00C6217C">
        <w:rPr>
          <w:szCs w:val="22"/>
        </w:rPr>
        <w:t>, by more than 10% year on year.</w:t>
      </w:r>
    </w:p>
    <w:p w14:paraId="1189E7AB" w14:textId="11A8FE62" w:rsidR="00AF0ADF" w:rsidRPr="00592E46" w:rsidRDefault="00AF0ADF" w:rsidP="00AF0ADF">
      <w:pPr>
        <w:pStyle w:val="Caption"/>
        <w:rPr>
          <w:sz w:val="20"/>
          <w:szCs w:val="20"/>
        </w:rPr>
      </w:pPr>
      <w:bookmarkStart w:id="298" w:name="_Ref117521784"/>
      <w:bookmarkStart w:id="299" w:name="_Toc121415172"/>
      <w:r w:rsidRPr="00592E46">
        <w:rPr>
          <w:sz w:val="20"/>
          <w:szCs w:val="20"/>
        </w:rPr>
        <w:t xml:space="preserve">Figure </w:t>
      </w:r>
      <w:r w:rsidR="00A64FC5" w:rsidRPr="00592E46">
        <w:rPr>
          <w:sz w:val="20"/>
          <w:szCs w:val="20"/>
        </w:rPr>
        <w:fldChar w:fldCharType="begin"/>
      </w:r>
      <w:r w:rsidR="00A64FC5" w:rsidRPr="00592E46">
        <w:rPr>
          <w:sz w:val="20"/>
          <w:szCs w:val="20"/>
        </w:rPr>
        <w:instrText xml:space="preserve"> SEQ Figure \* ARABIC </w:instrText>
      </w:r>
      <w:r w:rsidR="00A64FC5" w:rsidRPr="00592E46">
        <w:rPr>
          <w:sz w:val="20"/>
          <w:szCs w:val="20"/>
        </w:rPr>
        <w:fldChar w:fldCharType="separate"/>
      </w:r>
      <w:r w:rsidR="00296988">
        <w:rPr>
          <w:noProof/>
          <w:sz w:val="20"/>
          <w:szCs w:val="20"/>
        </w:rPr>
        <w:t>6</w:t>
      </w:r>
      <w:r w:rsidR="00A64FC5" w:rsidRPr="00592E46">
        <w:rPr>
          <w:noProof/>
          <w:sz w:val="20"/>
          <w:szCs w:val="20"/>
        </w:rPr>
        <w:fldChar w:fldCharType="end"/>
      </w:r>
      <w:bookmarkEnd w:id="298"/>
      <w:r w:rsidR="00592E46" w:rsidRPr="00592E46">
        <w:rPr>
          <w:sz w:val="20"/>
          <w:szCs w:val="20"/>
        </w:rPr>
        <w:tab/>
        <w:t xml:space="preserve">Smoking </w:t>
      </w:r>
      <w:r w:rsidR="00592E46">
        <w:rPr>
          <w:sz w:val="20"/>
          <w:szCs w:val="20"/>
        </w:rPr>
        <w:t>in</w:t>
      </w:r>
      <w:r w:rsidR="00592E46" w:rsidRPr="00592E46">
        <w:rPr>
          <w:sz w:val="20"/>
          <w:szCs w:val="20"/>
        </w:rPr>
        <w:t xml:space="preserve"> </w:t>
      </w:r>
      <w:r w:rsidR="009C23FB">
        <w:rPr>
          <w:sz w:val="20"/>
          <w:szCs w:val="20"/>
        </w:rPr>
        <w:t>first 20 weeks,</w:t>
      </w:r>
      <w:r w:rsidRPr="00592E46">
        <w:rPr>
          <w:sz w:val="20"/>
          <w:szCs w:val="20"/>
        </w:rPr>
        <w:t xml:space="preserve"> all women giving birth (PI01a)</w:t>
      </w:r>
      <w:r w:rsidR="009C23FB">
        <w:rPr>
          <w:sz w:val="20"/>
          <w:szCs w:val="20"/>
        </w:rPr>
        <w:t>,</w:t>
      </w:r>
      <w:r w:rsidRPr="00592E46">
        <w:rPr>
          <w:sz w:val="20"/>
          <w:szCs w:val="20"/>
        </w:rPr>
        <w:t xml:space="preserve"> by mother's age</w:t>
      </w:r>
      <w:r w:rsidR="00592E46" w:rsidRPr="00592E46">
        <w:rPr>
          <w:sz w:val="20"/>
          <w:szCs w:val="20"/>
        </w:rPr>
        <w:t>, 2011-2019</w:t>
      </w:r>
      <w:bookmarkEnd w:id="299"/>
    </w:p>
    <w:p w14:paraId="72893ED2" w14:textId="145DCBE2" w:rsidR="00AF0ADF" w:rsidRDefault="005716A7" w:rsidP="00AF0ADF">
      <w:r>
        <w:rPr>
          <w:noProof/>
        </w:rPr>
        <w:drawing>
          <wp:inline distT="0" distB="0" distL="0" distR="0" wp14:anchorId="6D6357C5" wp14:editId="733279CA">
            <wp:extent cx="5860625" cy="1980000"/>
            <wp:effectExtent l="0" t="0" r="6985" b="1270"/>
            <wp:docPr id="1" name="Chart 1" descr="Chart showing percentage of women Smoking in first 20 weeks, of all women giving birth (PI01a), by mother's age, 2011-2019.  Age cohorts for Younger than 20 years, 20-24 years, 25-29 years, 30-34 years, 35-39 years and 40 years and over.">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CFE661A" w14:textId="361E2FE2" w:rsidR="00E134EA" w:rsidRPr="00E134EA" w:rsidRDefault="00AF0ADF" w:rsidP="00E134EA">
      <w:pPr>
        <w:rPr>
          <w:rFonts w:cstheme="minorHAnsi"/>
          <w:color w:val="000000"/>
          <w:sz w:val="18"/>
          <w:szCs w:val="18"/>
        </w:rPr>
      </w:pPr>
      <w:r w:rsidRPr="00E134EA">
        <w:rPr>
          <w:rFonts w:cstheme="minorHAnsi"/>
          <w:sz w:val="18"/>
          <w:szCs w:val="18"/>
        </w:rPr>
        <w:t xml:space="preserve">Source: </w:t>
      </w:r>
      <w:r w:rsidR="00E134EA"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163BE4DE" w14:textId="77777777" w:rsidR="00AF0ADF" w:rsidRPr="00165760" w:rsidRDefault="00AF0ADF" w:rsidP="00230C16"/>
    <w:p w14:paraId="19C5CD12" w14:textId="77777777" w:rsidR="00AF0ADF" w:rsidRPr="000F44CD" w:rsidRDefault="00AF0ADF" w:rsidP="00AF0ADF">
      <w:pPr>
        <w:rPr>
          <w:b/>
          <w:i/>
          <w:color w:val="0398D7"/>
          <w:szCs w:val="22"/>
        </w:rPr>
      </w:pPr>
      <w:r w:rsidRPr="000F44CD">
        <w:rPr>
          <w:b/>
          <w:i/>
          <w:color w:val="0398D7"/>
          <w:szCs w:val="22"/>
        </w:rPr>
        <w:t>Smoking after the first 20 weeks of pregnancy for all women who gave birth and reported smoking during pregnancy (PI01b)</w:t>
      </w:r>
    </w:p>
    <w:p w14:paraId="5458E89B" w14:textId="44D553AD" w:rsidR="00AF0ADF" w:rsidRPr="00F33055" w:rsidRDefault="00AF0ADF" w:rsidP="00AF0ADF">
      <w:pPr>
        <w:pStyle w:val="Bullets"/>
        <w:numPr>
          <w:ilvl w:val="0"/>
          <w:numId w:val="0"/>
        </w:numPr>
        <w:rPr>
          <w:szCs w:val="22"/>
        </w:rPr>
      </w:pPr>
      <w:r w:rsidRPr="00F33055">
        <w:rPr>
          <w:szCs w:val="22"/>
        </w:rPr>
        <w:t xml:space="preserve">At a national level, there has been an increase in reported smoking after the first 20 weeks of pregnancy among </w:t>
      </w:r>
      <w:r w:rsidRPr="00B247F1">
        <w:rPr>
          <w:szCs w:val="22"/>
        </w:rPr>
        <w:t>women who gave birth and who smoked earlier in pregnancy, from</w:t>
      </w:r>
      <w:r w:rsidR="00C6217C" w:rsidRPr="00B247F1">
        <w:rPr>
          <w:szCs w:val="22"/>
        </w:rPr>
        <w:t xml:space="preserve"> 7</w:t>
      </w:r>
      <w:r w:rsidR="004B501E" w:rsidRPr="00B247F1">
        <w:rPr>
          <w:szCs w:val="22"/>
        </w:rPr>
        <w:t>1</w:t>
      </w:r>
      <w:r w:rsidR="00C6217C" w:rsidRPr="00B247F1">
        <w:rPr>
          <w:szCs w:val="22"/>
        </w:rPr>
        <w:t>% in 2011 to 7</w:t>
      </w:r>
      <w:r w:rsidR="00230C16" w:rsidRPr="00B247F1">
        <w:rPr>
          <w:szCs w:val="22"/>
        </w:rPr>
        <w:t>5</w:t>
      </w:r>
      <w:r w:rsidR="00C6217C" w:rsidRPr="00B247F1">
        <w:rPr>
          <w:szCs w:val="22"/>
        </w:rPr>
        <w:t xml:space="preserve">% in 2019 (see also </w:t>
      </w:r>
      <w:r w:rsidR="00C6217C" w:rsidRPr="00B247F1">
        <w:rPr>
          <w:szCs w:val="22"/>
        </w:rPr>
        <w:fldChar w:fldCharType="begin"/>
      </w:r>
      <w:r w:rsidR="00C6217C" w:rsidRPr="00B247F1">
        <w:rPr>
          <w:szCs w:val="22"/>
        </w:rPr>
        <w:instrText xml:space="preserve"> REF _Ref117927544 \h </w:instrText>
      </w:r>
      <w:r w:rsidR="00B247F1">
        <w:rPr>
          <w:szCs w:val="22"/>
        </w:rPr>
        <w:instrText xml:space="preserve"> \* MERGEFORMAT </w:instrText>
      </w:r>
      <w:r w:rsidR="00C6217C" w:rsidRPr="00B247F1">
        <w:rPr>
          <w:szCs w:val="22"/>
        </w:rPr>
      </w:r>
      <w:r w:rsidR="00C6217C" w:rsidRPr="00B247F1">
        <w:rPr>
          <w:szCs w:val="22"/>
        </w:rPr>
        <w:fldChar w:fldCharType="separate"/>
      </w:r>
      <w:r w:rsidR="00296988" w:rsidRPr="00296988">
        <w:rPr>
          <w:szCs w:val="22"/>
        </w:rPr>
        <w:t xml:space="preserve">Table </w:t>
      </w:r>
      <w:r w:rsidR="00296988" w:rsidRPr="00296988">
        <w:rPr>
          <w:noProof/>
          <w:szCs w:val="22"/>
        </w:rPr>
        <w:t>11</w:t>
      </w:r>
      <w:r w:rsidR="00C6217C" w:rsidRPr="00B247F1">
        <w:rPr>
          <w:szCs w:val="22"/>
        </w:rPr>
        <w:fldChar w:fldCharType="end"/>
      </w:r>
      <w:r w:rsidR="00C6217C" w:rsidRPr="00B247F1">
        <w:rPr>
          <w:szCs w:val="22"/>
        </w:rPr>
        <w:t>).</w:t>
      </w:r>
    </w:p>
    <w:p w14:paraId="71E05D92" w14:textId="30F4B5E5" w:rsidR="00AF0ADF" w:rsidRPr="00F33055" w:rsidRDefault="00AF0ADF" w:rsidP="00AF0ADF">
      <w:pPr>
        <w:pStyle w:val="Bullets"/>
        <w:ind w:left="357" w:hanging="357"/>
        <w:rPr>
          <w:szCs w:val="22"/>
        </w:rPr>
      </w:pPr>
      <w:r w:rsidRPr="00F33055">
        <w:rPr>
          <w:szCs w:val="22"/>
        </w:rPr>
        <w:t>Women younger than 20 years had the smallest proportional increase in continued smoking during pregnancy compared to other age groups, increasing 0.5% to</w:t>
      </w:r>
      <w:r w:rsidR="004B501E">
        <w:rPr>
          <w:szCs w:val="22"/>
        </w:rPr>
        <w:t xml:space="preserve"> just over</w:t>
      </w:r>
      <w:r w:rsidRPr="00F33055">
        <w:rPr>
          <w:szCs w:val="22"/>
        </w:rPr>
        <w:t xml:space="preserve"> 76% in 2019. Conversely, the </w:t>
      </w:r>
      <w:r w:rsidRPr="00F33055">
        <w:rPr>
          <w:szCs w:val="22"/>
        </w:rPr>
        <w:lastRenderedPageBreak/>
        <w:t xml:space="preserve">proportion of women aged 40 years and over who continued to smoke after 20 weeks of pregnancy increased from </w:t>
      </w:r>
      <w:r w:rsidR="004B501E">
        <w:rPr>
          <w:szCs w:val="22"/>
        </w:rPr>
        <w:t>68</w:t>
      </w:r>
      <w:r w:rsidRPr="00F33055">
        <w:rPr>
          <w:szCs w:val="22"/>
        </w:rPr>
        <w:t>% to 77% between 2011 and 2019.</w:t>
      </w:r>
    </w:p>
    <w:p w14:paraId="47728D05" w14:textId="7A42A522" w:rsidR="00AF0ADF" w:rsidRPr="00F33055" w:rsidRDefault="00AF0ADF" w:rsidP="00AF0ADF">
      <w:pPr>
        <w:pStyle w:val="Bullets"/>
        <w:ind w:left="357" w:hanging="357"/>
        <w:rPr>
          <w:szCs w:val="22"/>
        </w:rPr>
      </w:pPr>
      <w:r w:rsidRPr="00F33055">
        <w:rPr>
          <w:szCs w:val="22"/>
        </w:rPr>
        <w:t xml:space="preserve">There was a higher overall rate of continued smoking during the second half of pregnancy among Indigenous women (86% in 2011 </w:t>
      </w:r>
      <w:r w:rsidR="004B501E">
        <w:rPr>
          <w:szCs w:val="22"/>
        </w:rPr>
        <w:t>and</w:t>
      </w:r>
      <w:r w:rsidRPr="00F33055">
        <w:rPr>
          <w:szCs w:val="22"/>
        </w:rPr>
        <w:t xml:space="preserve"> 2019) than non-Indigenous women (68% in 2011 and </w:t>
      </w:r>
      <w:r w:rsidR="00E349AD">
        <w:rPr>
          <w:szCs w:val="22"/>
        </w:rPr>
        <w:t>73</w:t>
      </w:r>
      <w:r w:rsidRPr="00F33055">
        <w:rPr>
          <w:szCs w:val="22"/>
        </w:rPr>
        <w:t>% in 2019). The proportion of non-</w:t>
      </w:r>
      <w:r w:rsidR="00230C16">
        <w:rPr>
          <w:szCs w:val="22"/>
        </w:rPr>
        <w:t>I</w:t>
      </w:r>
      <w:r w:rsidRPr="00F33055">
        <w:rPr>
          <w:szCs w:val="22"/>
        </w:rPr>
        <w:t xml:space="preserve">ndigenous women who reported continued smoking increased by </w:t>
      </w:r>
      <w:r w:rsidR="00E349AD">
        <w:rPr>
          <w:szCs w:val="22"/>
        </w:rPr>
        <w:t xml:space="preserve">nearly </w:t>
      </w:r>
      <w:r w:rsidR="00BA49F6">
        <w:rPr>
          <w:szCs w:val="22"/>
        </w:rPr>
        <w:t>five percentage points</w:t>
      </w:r>
      <w:r w:rsidRPr="00F33055">
        <w:rPr>
          <w:szCs w:val="22"/>
        </w:rPr>
        <w:t>, in line with the national trend, while continued smoking among Indigenous women remained steady (</w:t>
      </w:r>
      <w:r w:rsidRPr="00C47521">
        <w:rPr>
          <w:szCs w:val="22"/>
        </w:rPr>
        <w:fldChar w:fldCharType="begin"/>
      </w:r>
      <w:r w:rsidRPr="00C47521">
        <w:rPr>
          <w:szCs w:val="22"/>
        </w:rPr>
        <w:instrText xml:space="preserve"> REF _Ref117521874 \h  \* MERGEFORMAT </w:instrText>
      </w:r>
      <w:r w:rsidRPr="00C47521">
        <w:rPr>
          <w:szCs w:val="22"/>
        </w:rPr>
      </w:r>
      <w:r w:rsidRPr="00C47521">
        <w:rPr>
          <w:szCs w:val="22"/>
        </w:rPr>
        <w:fldChar w:fldCharType="separate"/>
      </w:r>
      <w:r w:rsidR="00296988" w:rsidRPr="00296988">
        <w:rPr>
          <w:szCs w:val="22"/>
        </w:rPr>
        <w:t xml:space="preserve">Figure </w:t>
      </w:r>
      <w:r w:rsidR="00296988" w:rsidRPr="00296988">
        <w:rPr>
          <w:noProof/>
          <w:szCs w:val="22"/>
        </w:rPr>
        <w:t>7</w:t>
      </w:r>
      <w:r w:rsidRPr="00C47521">
        <w:rPr>
          <w:szCs w:val="22"/>
        </w:rPr>
        <w:fldChar w:fldCharType="end"/>
      </w:r>
      <w:r w:rsidRPr="00F33055">
        <w:rPr>
          <w:szCs w:val="22"/>
        </w:rPr>
        <w:t>).</w:t>
      </w:r>
    </w:p>
    <w:p w14:paraId="1098D0B6" w14:textId="3834524C" w:rsidR="00AF0ADF" w:rsidRPr="00F33055" w:rsidRDefault="00AF0ADF" w:rsidP="00AF0ADF">
      <w:pPr>
        <w:pStyle w:val="Bullets"/>
        <w:ind w:left="357" w:hanging="357"/>
        <w:rPr>
          <w:szCs w:val="22"/>
        </w:rPr>
      </w:pPr>
      <w:r w:rsidRPr="00F33055">
        <w:rPr>
          <w:szCs w:val="22"/>
        </w:rPr>
        <w:t>Higher levels of continued smoking during pregnancy were also seen over time among women who lived outside major cities</w:t>
      </w:r>
      <w:r w:rsidR="00BA49F6">
        <w:rPr>
          <w:szCs w:val="22"/>
        </w:rPr>
        <w:t xml:space="preserve"> and/or</w:t>
      </w:r>
      <w:r w:rsidRPr="00F33055">
        <w:rPr>
          <w:szCs w:val="22"/>
        </w:rPr>
        <w:t xml:space="preserve"> in more disadvantaged areas, </w:t>
      </w:r>
      <w:r w:rsidR="00BA49F6">
        <w:rPr>
          <w:szCs w:val="22"/>
        </w:rPr>
        <w:t>or</w:t>
      </w:r>
      <w:r w:rsidR="00BA49F6" w:rsidRPr="00F33055">
        <w:rPr>
          <w:szCs w:val="22"/>
        </w:rPr>
        <w:t xml:space="preserve"> </w:t>
      </w:r>
      <w:r w:rsidRPr="00F33055">
        <w:rPr>
          <w:szCs w:val="22"/>
        </w:rPr>
        <w:t>who gave birth in the public sector.</w:t>
      </w:r>
    </w:p>
    <w:p w14:paraId="518B8C11" w14:textId="41B024CB" w:rsidR="00AF0ADF" w:rsidRPr="00F33055" w:rsidRDefault="00AF0ADF" w:rsidP="00AF0ADF">
      <w:pPr>
        <w:pStyle w:val="Bullets"/>
        <w:ind w:left="357" w:hanging="357"/>
        <w:rPr>
          <w:szCs w:val="22"/>
        </w:rPr>
      </w:pPr>
      <w:r w:rsidRPr="00F33055">
        <w:rPr>
          <w:szCs w:val="22"/>
        </w:rPr>
        <w:t xml:space="preserve">The proportion of women who gave birth in the private sector and who continued to smoke during pregnancy increased by </w:t>
      </w:r>
      <w:r w:rsidR="00381E4D">
        <w:rPr>
          <w:szCs w:val="22"/>
        </w:rPr>
        <w:t xml:space="preserve">over </w:t>
      </w:r>
      <w:r w:rsidR="00BA49F6">
        <w:rPr>
          <w:szCs w:val="22"/>
        </w:rPr>
        <w:t>five percentage points</w:t>
      </w:r>
      <w:r w:rsidRPr="00F33055">
        <w:rPr>
          <w:szCs w:val="22"/>
        </w:rPr>
        <w:t>, higher than the national trend.</w:t>
      </w:r>
    </w:p>
    <w:p w14:paraId="3874739C" w14:textId="7D1BD718" w:rsidR="00AF0ADF" w:rsidRPr="00592E46" w:rsidRDefault="00AF0ADF" w:rsidP="00AF0ADF">
      <w:pPr>
        <w:pStyle w:val="Caption"/>
        <w:rPr>
          <w:sz w:val="20"/>
          <w:szCs w:val="20"/>
        </w:rPr>
      </w:pPr>
      <w:bookmarkStart w:id="300" w:name="_Ref117521874"/>
      <w:bookmarkStart w:id="301" w:name="_Toc121415173"/>
      <w:r w:rsidRPr="00592E46">
        <w:rPr>
          <w:sz w:val="20"/>
          <w:szCs w:val="20"/>
        </w:rPr>
        <w:t xml:space="preserve">Figure </w:t>
      </w:r>
      <w:r w:rsidR="00A64FC5" w:rsidRPr="00592E46">
        <w:rPr>
          <w:sz w:val="20"/>
          <w:szCs w:val="20"/>
        </w:rPr>
        <w:fldChar w:fldCharType="begin"/>
      </w:r>
      <w:r w:rsidR="00A64FC5" w:rsidRPr="00592E46">
        <w:rPr>
          <w:sz w:val="20"/>
          <w:szCs w:val="20"/>
        </w:rPr>
        <w:instrText xml:space="preserve"> SEQ Figure \* ARABIC </w:instrText>
      </w:r>
      <w:r w:rsidR="00A64FC5" w:rsidRPr="00592E46">
        <w:rPr>
          <w:sz w:val="20"/>
          <w:szCs w:val="20"/>
        </w:rPr>
        <w:fldChar w:fldCharType="separate"/>
      </w:r>
      <w:r w:rsidR="00296988">
        <w:rPr>
          <w:noProof/>
          <w:sz w:val="20"/>
          <w:szCs w:val="20"/>
        </w:rPr>
        <w:t>7</w:t>
      </w:r>
      <w:r w:rsidR="00A64FC5" w:rsidRPr="00592E46">
        <w:rPr>
          <w:noProof/>
          <w:sz w:val="20"/>
          <w:szCs w:val="20"/>
        </w:rPr>
        <w:fldChar w:fldCharType="end"/>
      </w:r>
      <w:bookmarkEnd w:id="300"/>
      <w:r w:rsidRPr="00592E46">
        <w:rPr>
          <w:sz w:val="20"/>
          <w:szCs w:val="20"/>
        </w:rPr>
        <w:tab/>
        <w:t>Smoking after first 20 weeks</w:t>
      </w:r>
      <w:r w:rsidR="00DB0D9A">
        <w:rPr>
          <w:sz w:val="20"/>
          <w:szCs w:val="20"/>
        </w:rPr>
        <w:t xml:space="preserve"> of pregnancy</w:t>
      </w:r>
      <w:r w:rsidR="009C23FB">
        <w:rPr>
          <w:sz w:val="20"/>
          <w:szCs w:val="20"/>
        </w:rPr>
        <w:t>,</w:t>
      </w:r>
      <w:r w:rsidRPr="00592E46">
        <w:rPr>
          <w:sz w:val="20"/>
          <w:szCs w:val="20"/>
        </w:rPr>
        <w:t xml:space="preserve"> all women </w:t>
      </w:r>
      <w:r w:rsidR="00592E46" w:rsidRPr="00592E46">
        <w:rPr>
          <w:sz w:val="20"/>
          <w:szCs w:val="20"/>
        </w:rPr>
        <w:t>giving</w:t>
      </w:r>
      <w:r w:rsidRPr="00592E46">
        <w:rPr>
          <w:sz w:val="20"/>
          <w:szCs w:val="20"/>
        </w:rPr>
        <w:t xml:space="preserve"> birth </w:t>
      </w:r>
      <w:r w:rsidR="00592E46" w:rsidRPr="00592E46">
        <w:rPr>
          <w:sz w:val="20"/>
          <w:szCs w:val="20"/>
        </w:rPr>
        <w:t>who</w:t>
      </w:r>
      <w:r w:rsidRPr="00592E46">
        <w:rPr>
          <w:sz w:val="20"/>
          <w:szCs w:val="20"/>
        </w:rPr>
        <w:t xml:space="preserve"> reported sm</w:t>
      </w:r>
      <w:r w:rsidR="00592E46">
        <w:rPr>
          <w:sz w:val="20"/>
          <w:szCs w:val="20"/>
        </w:rPr>
        <w:t>oking during pregnancy (PI01b)</w:t>
      </w:r>
      <w:r w:rsidR="009C23FB">
        <w:rPr>
          <w:sz w:val="20"/>
          <w:szCs w:val="20"/>
        </w:rPr>
        <w:t>,</w:t>
      </w:r>
      <w:r w:rsidRPr="00592E46">
        <w:rPr>
          <w:sz w:val="20"/>
          <w:szCs w:val="20"/>
        </w:rPr>
        <w:t xml:space="preserve"> by mother's </w:t>
      </w:r>
      <w:r w:rsidR="00FB0C38" w:rsidRPr="00592E46">
        <w:rPr>
          <w:sz w:val="20"/>
          <w:szCs w:val="20"/>
        </w:rPr>
        <w:t>Indig</w:t>
      </w:r>
      <w:r w:rsidRPr="00592E46">
        <w:rPr>
          <w:sz w:val="20"/>
          <w:szCs w:val="20"/>
        </w:rPr>
        <w:t>enous status, 2011–2019</w:t>
      </w:r>
      <w:bookmarkEnd w:id="301"/>
    </w:p>
    <w:p w14:paraId="66840268" w14:textId="09AB5DBB" w:rsidR="00AF0ADF" w:rsidRPr="00AD4A97" w:rsidRDefault="00515689" w:rsidP="00AF0ADF">
      <w:r>
        <w:rPr>
          <w:noProof/>
        </w:rPr>
        <w:drawing>
          <wp:inline distT="0" distB="0" distL="0" distR="0" wp14:anchorId="0E377F7E" wp14:editId="57E9E68D">
            <wp:extent cx="5901195" cy="1833244"/>
            <wp:effectExtent l="0" t="0" r="4445" b="15240"/>
            <wp:docPr id="56" name="Chart 56" descr="Chart showing percentage of women smoking after first 20 weeks of pregnancy, for all women giving birth who reported smoking during pregnancy (PI01b), by mother's Indigenous status, 2011–2019">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15D4EB5" w14:textId="48CFBC44" w:rsidR="00AF0ADF" w:rsidRDefault="00E134EA" w:rsidP="00AF0ADF">
      <w:pPr>
        <w:rPr>
          <w:rFonts w:cstheme="minorHAnsi"/>
          <w:color w:val="000000"/>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64765E42" w14:textId="77777777" w:rsidR="00924850" w:rsidRPr="00165760" w:rsidRDefault="00924850" w:rsidP="00230C16"/>
    <w:p w14:paraId="782237F1" w14:textId="77777777" w:rsidR="00AF0ADF" w:rsidRDefault="00AF0ADF" w:rsidP="00AF0ADF">
      <w:pPr>
        <w:pStyle w:val="Heading2"/>
      </w:pPr>
      <w:bookmarkStart w:id="302" w:name="_Toc117524415"/>
      <w:bookmarkStart w:id="303" w:name="_Toc121415070"/>
      <w:r>
        <w:t>Antenatal care visits</w:t>
      </w:r>
      <w:bookmarkEnd w:id="302"/>
      <w:bookmarkEnd w:id="303"/>
      <w:r>
        <w:t xml:space="preserve"> </w:t>
      </w:r>
    </w:p>
    <w:p w14:paraId="53C91C0D" w14:textId="26E993B7" w:rsidR="00AF0ADF" w:rsidRDefault="00AF0ADF" w:rsidP="00AF0ADF">
      <w:pPr>
        <w:rPr>
          <w:b/>
          <w:i/>
          <w:color w:val="0398D7"/>
          <w:szCs w:val="22"/>
        </w:rPr>
      </w:pPr>
      <w:r w:rsidRPr="00785C8D">
        <w:rPr>
          <w:b/>
          <w:i/>
          <w:color w:val="0398D7"/>
          <w:szCs w:val="22"/>
        </w:rPr>
        <w:t>Antenatal care visits in the first trimester for all women giving birth (PI02a)</w:t>
      </w:r>
    </w:p>
    <w:p w14:paraId="65460719" w14:textId="62826850" w:rsidR="00AF0ADF" w:rsidRPr="00B247F1" w:rsidRDefault="00AF0ADF" w:rsidP="00141C9A">
      <w:pPr>
        <w:pStyle w:val="Bullets"/>
        <w:numPr>
          <w:ilvl w:val="0"/>
          <w:numId w:val="0"/>
        </w:numPr>
        <w:rPr>
          <w:szCs w:val="22"/>
        </w:rPr>
      </w:pPr>
      <w:r w:rsidRPr="00DE14C5">
        <w:rPr>
          <w:szCs w:val="22"/>
        </w:rPr>
        <w:t xml:space="preserve">The proportion of women who had the first antenatal </w:t>
      </w:r>
      <w:r w:rsidRPr="00B247F1">
        <w:rPr>
          <w:szCs w:val="22"/>
        </w:rPr>
        <w:t>care visit before 14 weeks</w:t>
      </w:r>
      <w:r w:rsidR="00592E46" w:rsidRPr="00B247F1">
        <w:rPr>
          <w:szCs w:val="22"/>
        </w:rPr>
        <w:t>’</w:t>
      </w:r>
      <w:r w:rsidRPr="00B247F1">
        <w:rPr>
          <w:szCs w:val="22"/>
        </w:rPr>
        <w:t xml:space="preserve"> gestation </w:t>
      </w:r>
      <w:r w:rsidR="00141C9A" w:rsidRPr="00B247F1">
        <w:rPr>
          <w:szCs w:val="22"/>
        </w:rPr>
        <w:t xml:space="preserve">has </w:t>
      </w:r>
      <w:r w:rsidRPr="00B247F1">
        <w:rPr>
          <w:szCs w:val="22"/>
        </w:rPr>
        <w:t xml:space="preserve">increased </w:t>
      </w:r>
      <w:r w:rsidR="00BE7C89" w:rsidRPr="00B247F1">
        <w:rPr>
          <w:szCs w:val="22"/>
        </w:rPr>
        <w:t>year on year</w:t>
      </w:r>
      <w:r w:rsidR="00141C9A" w:rsidRPr="00B247F1">
        <w:rPr>
          <w:szCs w:val="22"/>
        </w:rPr>
        <w:t>,</w:t>
      </w:r>
      <w:r w:rsidR="00592E46" w:rsidRPr="00B247F1">
        <w:rPr>
          <w:szCs w:val="22"/>
        </w:rPr>
        <w:t xml:space="preserve"> from a four-</w:t>
      </w:r>
      <w:r w:rsidRPr="00B247F1">
        <w:rPr>
          <w:szCs w:val="22"/>
        </w:rPr>
        <w:t xml:space="preserve">year low of </w:t>
      </w:r>
      <w:r w:rsidR="00F81472" w:rsidRPr="00B247F1">
        <w:rPr>
          <w:szCs w:val="22"/>
        </w:rPr>
        <w:t>62</w:t>
      </w:r>
      <w:r w:rsidRPr="00B247F1">
        <w:rPr>
          <w:szCs w:val="22"/>
        </w:rPr>
        <w:t xml:space="preserve">% in 2014 to </w:t>
      </w:r>
      <w:r w:rsidR="00F81472" w:rsidRPr="00B247F1">
        <w:rPr>
          <w:szCs w:val="22"/>
        </w:rPr>
        <w:t>77</w:t>
      </w:r>
      <w:r w:rsidRPr="00B247F1">
        <w:rPr>
          <w:szCs w:val="22"/>
        </w:rPr>
        <w:t>% in 2019</w:t>
      </w:r>
      <w:r w:rsidR="00C6217C" w:rsidRPr="00B247F1">
        <w:rPr>
          <w:szCs w:val="22"/>
        </w:rPr>
        <w:t xml:space="preserve"> (see also </w:t>
      </w:r>
      <w:r w:rsidR="00C6217C" w:rsidRPr="00B247F1">
        <w:rPr>
          <w:szCs w:val="22"/>
        </w:rPr>
        <w:fldChar w:fldCharType="begin"/>
      </w:r>
      <w:r w:rsidR="00C6217C" w:rsidRPr="00B247F1">
        <w:rPr>
          <w:szCs w:val="22"/>
        </w:rPr>
        <w:instrText xml:space="preserve"> REF _Ref117927569 \h </w:instrText>
      </w:r>
      <w:r w:rsidR="00B247F1">
        <w:rPr>
          <w:szCs w:val="22"/>
        </w:rPr>
        <w:instrText xml:space="preserve"> \* MERGEFORMAT </w:instrText>
      </w:r>
      <w:r w:rsidR="00C6217C" w:rsidRPr="00B247F1">
        <w:rPr>
          <w:szCs w:val="22"/>
        </w:rPr>
      </w:r>
      <w:r w:rsidR="00C6217C" w:rsidRPr="00B247F1">
        <w:rPr>
          <w:szCs w:val="22"/>
        </w:rPr>
        <w:fldChar w:fldCharType="separate"/>
      </w:r>
      <w:r w:rsidR="00296988" w:rsidRPr="00296988">
        <w:rPr>
          <w:szCs w:val="22"/>
        </w:rPr>
        <w:t xml:space="preserve">Table </w:t>
      </w:r>
      <w:r w:rsidR="00296988" w:rsidRPr="00296988">
        <w:rPr>
          <w:noProof/>
          <w:szCs w:val="22"/>
        </w:rPr>
        <w:t>12</w:t>
      </w:r>
      <w:r w:rsidR="00C6217C" w:rsidRPr="00B247F1">
        <w:rPr>
          <w:szCs w:val="22"/>
        </w:rPr>
        <w:fldChar w:fldCharType="end"/>
      </w:r>
      <w:r w:rsidR="00C6217C" w:rsidRPr="00B247F1">
        <w:rPr>
          <w:szCs w:val="22"/>
        </w:rPr>
        <w:t>).</w:t>
      </w:r>
    </w:p>
    <w:p w14:paraId="4A8B24E5" w14:textId="37153AC5" w:rsidR="00AF0ADF" w:rsidRPr="00B247F1" w:rsidRDefault="00AF0ADF" w:rsidP="00AF0ADF">
      <w:pPr>
        <w:pStyle w:val="Bullets"/>
        <w:ind w:left="357" w:hanging="357"/>
        <w:rPr>
          <w:szCs w:val="22"/>
        </w:rPr>
      </w:pPr>
      <w:r w:rsidRPr="00B247F1">
        <w:rPr>
          <w:rFonts w:cstheme="minorHAnsi"/>
          <w:szCs w:val="22"/>
          <w:shd w:val="clear" w:color="auto" w:fill="FCFCFC"/>
        </w:rPr>
        <w:t xml:space="preserve">The proportion of women aged 20 years or younger who had the first antenatal care visit in the first trimester increased from </w:t>
      </w:r>
      <w:r w:rsidR="00CC396A" w:rsidRPr="00B247F1">
        <w:rPr>
          <w:rFonts w:cstheme="minorHAnsi"/>
          <w:szCs w:val="22"/>
          <w:shd w:val="clear" w:color="auto" w:fill="FCFCFC"/>
        </w:rPr>
        <w:t>47</w:t>
      </w:r>
      <w:r w:rsidRPr="00B247F1">
        <w:rPr>
          <w:rFonts w:cstheme="minorHAnsi"/>
          <w:szCs w:val="22"/>
          <w:shd w:val="clear" w:color="auto" w:fill="FCFCFC"/>
        </w:rPr>
        <w:t xml:space="preserve">% in 2013 to </w:t>
      </w:r>
      <w:r w:rsidR="00CC396A" w:rsidRPr="00B247F1">
        <w:rPr>
          <w:rFonts w:cstheme="minorHAnsi"/>
          <w:szCs w:val="22"/>
          <w:shd w:val="clear" w:color="auto" w:fill="FCFCFC"/>
        </w:rPr>
        <w:t>65</w:t>
      </w:r>
      <w:r w:rsidRPr="00B247F1">
        <w:rPr>
          <w:rFonts w:cstheme="minorHAnsi"/>
          <w:szCs w:val="22"/>
          <w:shd w:val="clear" w:color="auto" w:fill="FCFCFC"/>
        </w:rPr>
        <w:t>% in 2019.</w:t>
      </w:r>
    </w:p>
    <w:p w14:paraId="571344B9" w14:textId="6D6838F6" w:rsidR="00AF0ADF" w:rsidRPr="00DE14C5" w:rsidRDefault="00AF0ADF" w:rsidP="00AF0ADF">
      <w:pPr>
        <w:pStyle w:val="Bullets"/>
        <w:ind w:left="357" w:hanging="357"/>
        <w:rPr>
          <w:szCs w:val="22"/>
          <w:shd w:val="clear" w:color="auto" w:fill="FCFCFC"/>
        </w:rPr>
      </w:pPr>
      <w:r w:rsidRPr="00DE14C5">
        <w:rPr>
          <w:szCs w:val="22"/>
          <w:shd w:val="clear" w:color="auto" w:fill="FCFCFC"/>
        </w:rPr>
        <w:t xml:space="preserve">While there </w:t>
      </w:r>
      <w:r w:rsidR="00592E46">
        <w:rPr>
          <w:szCs w:val="22"/>
          <w:shd w:val="clear" w:color="auto" w:fill="FCFCFC"/>
        </w:rPr>
        <w:t>continued to be a</w:t>
      </w:r>
      <w:r w:rsidRPr="00DE14C5">
        <w:rPr>
          <w:szCs w:val="22"/>
          <w:shd w:val="clear" w:color="auto" w:fill="FCFCFC"/>
        </w:rPr>
        <w:t xml:space="preserve"> lower rate of antenatal visits before 14 weeks for Indigenous women (5</w:t>
      </w:r>
      <w:r w:rsidR="00CC396A">
        <w:rPr>
          <w:szCs w:val="22"/>
          <w:shd w:val="clear" w:color="auto" w:fill="FCFCFC"/>
        </w:rPr>
        <w:t>1</w:t>
      </w:r>
      <w:r w:rsidRPr="00DE14C5">
        <w:rPr>
          <w:szCs w:val="22"/>
          <w:shd w:val="clear" w:color="auto" w:fill="FCFCFC"/>
        </w:rPr>
        <w:t xml:space="preserve">% in 2011 and 67% in 2019) compared to non-Indigenous women (64% in 2011 and 75% in 2019), the proportion of </w:t>
      </w:r>
      <w:r w:rsidR="00FB0C38">
        <w:rPr>
          <w:szCs w:val="22"/>
          <w:shd w:val="clear" w:color="auto" w:fill="FCFCFC"/>
        </w:rPr>
        <w:t>Indig</w:t>
      </w:r>
      <w:r w:rsidRPr="00DE14C5">
        <w:rPr>
          <w:szCs w:val="22"/>
          <w:shd w:val="clear" w:color="auto" w:fill="FCFCFC"/>
        </w:rPr>
        <w:t xml:space="preserve">enous women who received </w:t>
      </w:r>
      <w:r w:rsidR="00230C16">
        <w:rPr>
          <w:szCs w:val="22"/>
          <w:shd w:val="clear" w:color="auto" w:fill="FCFCFC"/>
        </w:rPr>
        <w:t xml:space="preserve">antenatal </w:t>
      </w:r>
      <w:r w:rsidRPr="00DE14C5">
        <w:rPr>
          <w:szCs w:val="22"/>
          <w:shd w:val="clear" w:color="auto" w:fill="FCFCFC"/>
        </w:rPr>
        <w:t xml:space="preserve">care in the first trimester increased year on year between 2011 and 2014. This helped narrow the </w:t>
      </w:r>
      <w:r>
        <w:rPr>
          <w:szCs w:val="22"/>
          <w:shd w:val="clear" w:color="auto" w:fill="FCFCFC"/>
        </w:rPr>
        <w:t xml:space="preserve">difference </w:t>
      </w:r>
      <w:r w:rsidRPr="00DE14C5">
        <w:rPr>
          <w:szCs w:val="22"/>
          <w:shd w:val="clear" w:color="auto" w:fill="FCFCFC"/>
        </w:rPr>
        <w:t xml:space="preserve">in </w:t>
      </w:r>
      <w:r>
        <w:rPr>
          <w:szCs w:val="22"/>
          <w:shd w:val="clear" w:color="auto" w:fill="FCFCFC"/>
        </w:rPr>
        <w:t xml:space="preserve">the </w:t>
      </w:r>
      <w:r w:rsidRPr="00DE14C5">
        <w:rPr>
          <w:szCs w:val="22"/>
          <w:shd w:val="clear" w:color="auto" w:fill="FCFCFC"/>
        </w:rPr>
        <w:t xml:space="preserve">proportion </w:t>
      </w:r>
      <w:r w:rsidR="00CC396A">
        <w:rPr>
          <w:szCs w:val="22"/>
          <w:shd w:val="clear" w:color="auto" w:fill="FCFCFC"/>
        </w:rPr>
        <w:t xml:space="preserve">of </w:t>
      </w:r>
      <w:r w:rsidRPr="00DE14C5">
        <w:rPr>
          <w:szCs w:val="22"/>
          <w:shd w:val="clear" w:color="auto" w:fill="FCFCFC"/>
        </w:rPr>
        <w:t>Indigenous and non-</w:t>
      </w:r>
      <w:r w:rsidR="00FB0C38">
        <w:rPr>
          <w:szCs w:val="22"/>
          <w:shd w:val="clear" w:color="auto" w:fill="FCFCFC"/>
        </w:rPr>
        <w:t>Indig</w:t>
      </w:r>
      <w:r w:rsidRPr="00DE14C5">
        <w:rPr>
          <w:szCs w:val="22"/>
          <w:shd w:val="clear" w:color="auto" w:fill="FCFCFC"/>
        </w:rPr>
        <w:t>enous women</w:t>
      </w:r>
      <w:r>
        <w:rPr>
          <w:szCs w:val="22"/>
          <w:shd w:val="clear" w:color="auto" w:fill="FCFCFC"/>
        </w:rPr>
        <w:t xml:space="preserve"> receiving </w:t>
      </w:r>
      <w:r w:rsidRPr="00DE14C5">
        <w:rPr>
          <w:szCs w:val="22"/>
          <w:shd w:val="clear" w:color="auto" w:fill="FCFCFC"/>
        </w:rPr>
        <w:t xml:space="preserve">first trimester </w:t>
      </w:r>
      <w:r>
        <w:rPr>
          <w:szCs w:val="22"/>
          <w:shd w:val="clear" w:color="auto" w:fill="FCFCFC"/>
        </w:rPr>
        <w:t>antenatal care</w:t>
      </w:r>
      <w:r w:rsidRPr="00DE14C5">
        <w:rPr>
          <w:szCs w:val="22"/>
          <w:shd w:val="clear" w:color="auto" w:fill="FCFCFC"/>
        </w:rPr>
        <w:t xml:space="preserve"> from </w:t>
      </w:r>
      <w:r w:rsidR="00CC396A">
        <w:rPr>
          <w:szCs w:val="22"/>
          <w:shd w:val="clear" w:color="auto" w:fill="FCFCFC"/>
        </w:rPr>
        <w:t>14</w:t>
      </w:r>
      <w:r w:rsidRPr="00DE14C5">
        <w:rPr>
          <w:szCs w:val="22"/>
          <w:shd w:val="clear" w:color="auto" w:fill="FCFCFC"/>
        </w:rPr>
        <w:t>% in 2011 to 8% in 2019</w:t>
      </w:r>
      <w:r>
        <w:rPr>
          <w:szCs w:val="22"/>
          <w:shd w:val="clear" w:color="auto" w:fill="FCFCFC"/>
        </w:rPr>
        <w:t>.</w:t>
      </w:r>
    </w:p>
    <w:p w14:paraId="19405DC1" w14:textId="73A06CE6" w:rsidR="00AF0ADF" w:rsidRPr="00DE14C5" w:rsidRDefault="00AF0ADF" w:rsidP="00AF0ADF">
      <w:pPr>
        <w:pStyle w:val="Bullets"/>
        <w:ind w:left="357" w:hanging="357"/>
        <w:rPr>
          <w:szCs w:val="22"/>
          <w:shd w:val="clear" w:color="auto" w:fill="FCFCFC"/>
        </w:rPr>
      </w:pPr>
      <w:r w:rsidRPr="00DE14C5">
        <w:rPr>
          <w:szCs w:val="22"/>
          <w:shd w:val="clear" w:color="auto" w:fill="FCFCFC"/>
        </w:rPr>
        <w:t>The proportion of women living in the most disadvantaged areas who had an antenatal care visit in the first trimester increased at a greater rate than for any other quintile, from 55% in 2012 to 73% in 2019</w:t>
      </w:r>
      <w:r>
        <w:rPr>
          <w:szCs w:val="22"/>
          <w:shd w:val="clear" w:color="auto" w:fill="FCFCFC"/>
        </w:rPr>
        <w:t>.</w:t>
      </w:r>
    </w:p>
    <w:p w14:paraId="555961D8" w14:textId="1AE9A3DC" w:rsidR="00AF0ADF" w:rsidRPr="00D20848" w:rsidRDefault="00AF0ADF" w:rsidP="00AF0ADF">
      <w:pPr>
        <w:pStyle w:val="Bullets"/>
        <w:ind w:left="357" w:hanging="357"/>
        <w:rPr>
          <w:szCs w:val="22"/>
          <w:shd w:val="clear" w:color="auto" w:fill="FCFCFC"/>
        </w:rPr>
      </w:pPr>
      <w:r>
        <w:rPr>
          <w:rFonts w:cstheme="minorHAnsi"/>
          <w:szCs w:val="22"/>
          <w:shd w:val="clear" w:color="auto" w:fill="FCFCFC"/>
        </w:rPr>
        <w:t>F</w:t>
      </w:r>
      <w:r w:rsidRPr="00DE14C5">
        <w:rPr>
          <w:rFonts w:cstheme="minorHAnsi"/>
          <w:szCs w:val="22"/>
          <w:shd w:val="clear" w:color="auto" w:fill="FCFCFC"/>
        </w:rPr>
        <w:t xml:space="preserve">or women giving birth in the public sector, </w:t>
      </w:r>
      <w:r>
        <w:rPr>
          <w:szCs w:val="22"/>
          <w:shd w:val="clear" w:color="auto" w:fill="FCFCFC"/>
        </w:rPr>
        <w:t>f</w:t>
      </w:r>
      <w:r w:rsidRPr="00DE14C5">
        <w:rPr>
          <w:szCs w:val="22"/>
          <w:shd w:val="clear" w:color="auto" w:fill="FCFCFC"/>
        </w:rPr>
        <w:t xml:space="preserve">irst trimester antenatal care increased </w:t>
      </w:r>
      <w:r w:rsidRPr="00DE14C5">
        <w:rPr>
          <w:rFonts w:cstheme="minorHAnsi"/>
          <w:szCs w:val="22"/>
          <w:shd w:val="clear" w:color="auto" w:fill="FCFCFC"/>
        </w:rPr>
        <w:t>from 57% in 2011 to 74% in 2019</w:t>
      </w:r>
      <w:r>
        <w:rPr>
          <w:szCs w:val="22"/>
          <w:shd w:val="clear" w:color="auto" w:fill="FCFCFC"/>
        </w:rPr>
        <w:t xml:space="preserve">, </w:t>
      </w:r>
      <w:r w:rsidRPr="00DE14C5">
        <w:rPr>
          <w:rFonts w:cstheme="minorHAnsi"/>
          <w:szCs w:val="22"/>
          <w:shd w:val="clear" w:color="auto" w:fill="FCFCFC"/>
        </w:rPr>
        <w:t xml:space="preserve">with </w:t>
      </w:r>
      <w:r>
        <w:rPr>
          <w:rFonts w:cstheme="minorHAnsi"/>
          <w:szCs w:val="22"/>
          <w:shd w:val="clear" w:color="auto" w:fill="FCFCFC"/>
        </w:rPr>
        <w:t>the difference</w:t>
      </w:r>
      <w:r w:rsidRPr="00DE14C5">
        <w:rPr>
          <w:rFonts w:cstheme="minorHAnsi"/>
          <w:szCs w:val="22"/>
          <w:shd w:val="clear" w:color="auto" w:fill="FCFCFC"/>
        </w:rPr>
        <w:t xml:space="preserve"> between sectors</w:t>
      </w:r>
      <w:r>
        <w:rPr>
          <w:rFonts w:cstheme="minorHAnsi"/>
          <w:szCs w:val="22"/>
          <w:shd w:val="clear" w:color="auto" w:fill="FCFCFC"/>
        </w:rPr>
        <w:t xml:space="preserve"> decreasing</w:t>
      </w:r>
      <w:r w:rsidRPr="00DE14C5">
        <w:rPr>
          <w:rFonts w:cstheme="minorHAnsi"/>
          <w:szCs w:val="22"/>
          <w:shd w:val="clear" w:color="auto" w:fill="FCFCFC"/>
        </w:rPr>
        <w:t xml:space="preserve"> from 30%</w:t>
      </w:r>
      <w:r>
        <w:rPr>
          <w:rFonts w:cstheme="minorHAnsi"/>
          <w:szCs w:val="22"/>
          <w:shd w:val="clear" w:color="auto" w:fill="FCFCFC"/>
        </w:rPr>
        <w:t xml:space="preserve"> to </w:t>
      </w:r>
      <w:r w:rsidR="00CC396A">
        <w:rPr>
          <w:rFonts w:cstheme="minorHAnsi"/>
          <w:szCs w:val="22"/>
          <w:shd w:val="clear" w:color="auto" w:fill="FCFCFC"/>
        </w:rPr>
        <w:t>11</w:t>
      </w:r>
      <w:r>
        <w:rPr>
          <w:rFonts w:cstheme="minorHAnsi"/>
          <w:szCs w:val="22"/>
          <w:shd w:val="clear" w:color="auto" w:fill="FCFCFC"/>
        </w:rPr>
        <w:t xml:space="preserve">% </w:t>
      </w:r>
      <w:r w:rsidR="00CC396A">
        <w:rPr>
          <w:rFonts w:cstheme="minorHAnsi"/>
          <w:szCs w:val="22"/>
          <w:shd w:val="clear" w:color="auto" w:fill="FCFCFC"/>
        </w:rPr>
        <w:t>by 2019</w:t>
      </w:r>
      <w:r>
        <w:rPr>
          <w:rFonts w:cstheme="minorHAnsi"/>
          <w:szCs w:val="22"/>
          <w:shd w:val="clear" w:color="auto" w:fill="FCFCFC"/>
        </w:rPr>
        <w:t xml:space="preserve"> (</w:t>
      </w:r>
      <w:r w:rsidRPr="00C47521">
        <w:rPr>
          <w:rFonts w:cstheme="minorHAnsi"/>
          <w:szCs w:val="22"/>
          <w:shd w:val="clear" w:color="auto" w:fill="FCFCFC"/>
        </w:rPr>
        <w:fldChar w:fldCharType="begin"/>
      </w:r>
      <w:r w:rsidRPr="00C47521">
        <w:rPr>
          <w:rFonts w:cstheme="minorHAnsi"/>
          <w:szCs w:val="22"/>
          <w:shd w:val="clear" w:color="auto" w:fill="FCFCFC"/>
        </w:rPr>
        <w:instrText xml:space="preserve"> REF _Ref117521945 \h </w:instrText>
      </w:r>
      <w:r w:rsidR="00C47521">
        <w:rPr>
          <w:rFonts w:cstheme="minorHAnsi"/>
          <w:szCs w:val="22"/>
          <w:shd w:val="clear" w:color="auto" w:fill="FCFCFC"/>
        </w:rPr>
        <w:instrText xml:space="preserve"> \* MERGEFORMAT </w:instrText>
      </w:r>
      <w:r w:rsidRPr="00C47521">
        <w:rPr>
          <w:rFonts w:cstheme="minorHAnsi"/>
          <w:szCs w:val="22"/>
          <w:shd w:val="clear" w:color="auto" w:fill="FCFCFC"/>
        </w:rPr>
      </w:r>
      <w:r w:rsidRPr="00C47521">
        <w:rPr>
          <w:rFonts w:cstheme="minorHAnsi"/>
          <w:szCs w:val="22"/>
          <w:shd w:val="clear" w:color="auto" w:fill="FCFCFC"/>
        </w:rPr>
        <w:fldChar w:fldCharType="separate"/>
      </w:r>
      <w:r w:rsidR="00296988" w:rsidRPr="00296988">
        <w:rPr>
          <w:szCs w:val="22"/>
        </w:rPr>
        <w:t xml:space="preserve">Figure </w:t>
      </w:r>
      <w:r w:rsidR="00296988" w:rsidRPr="00296988">
        <w:rPr>
          <w:noProof/>
          <w:szCs w:val="22"/>
        </w:rPr>
        <w:t>8</w:t>
      </w:r>
      <w:r w:rsidRPr="00C47521">
        <w:rPr>
          <w:rFonts w:cstheme="minorHAnsi"/>
          <w:szCs w:val="22"/>
          <w:shd w:val="clear" w:color="auto" w:fill="FCFCFC"/>
        </w:rPr>
        <w:fldChar w:fldCharType="end"/>
      </w:r>
      <w:r>
        <w:rPr>
          <w:rFonts w:cstheme="minorHAnsi"/>
          <w:szCs w:val="22"/>
          <w:shd w:val="clear" w:color="auto" w:fill="FCFCFC"/>
        </w:rPr>
        <w:t>).</w:t>
      </w:r>
    </w:p>
    <w:p w14:paraId="1226EC47" w14:textId="4F640FD3" w:rsidR="00AF0ADF" w:rsidRPr="00592E46" w:rsidRDefault="00AF0ADF" w:rsidP="00AF0ADF">
      <w:pPr>
        <w:pStyle w:val="Caption"/>
        <w:rPr>
          <w:sz w:val="20"/>
          <w:szCs w:val="20"/>
        </w:rPr>
      </w:pPr>
      <w:bookmarkStart w:id="304" w:name="_Ref117521945"/>
      <w:bookmarkStart w:id="305" w:name="_Toc121415174"/>
      <w:r w:rsidRPr="00592E46">
        <w:rPr>
          <w:sz w:val="20"/>
          <w:szCs w:val="20"/>
        </w:rPr>
        <w:lastRenderedPageBreak/>
        <w:t xml:space="preserve">Figure </w:t>
      </w:r>
      <w:r w:rsidR="00A64FC5" w:rsidRPr="00592E46">
        <w:rPr>
          <w:sz w:val="20"/>
          <w:szCs w:val="20"/>
        </w:rPr>
        <w:fldChar w:fldCharType="begin"/>
      </w:r>
      <w:r w:rsidR="00A64FC5" w:rsidRPr="00592E46">
        <w:rPr>
          <w:sz w:val="20"/>
          <w:szCs w:val="20"/>
        </w:rPr>
        <w:instrText xml:space="preserve"> SEQ Figure \* ARABIC </w:instrText>
      </w:r>
      <w:r w:rsidR="00A64FC5" w:rsidRPr="00592E46">
        <w:rPr>
          <w:sz w:val="20"/>
          <w:szCs w:val="20"/>
        </w:rPr>
        <w:fldChar w:fldCharType="separate"/>
      </w:r>
      <w:r w:rsidR="00296988">
        <w:rPr>
          <w:noProof/>
          <w:sz w:val="20"/>
          <w:szCs w:val="20"/>
        </w:rPr>
        <w:t>8</w:t>
      </w:r>
      <w:r w:rsidR="00A64FC5" w:rsidRPr="00592E46">
        <w:rPr>
          <w:noProof/>
          <w:sz w:val="20"/>
          <w:szCs w:val="20"/>
        </w:rPr>
        <w:fldChar w:fldCharType="end"/>
      </w:r>
      <w:bookmarkEnd w:id="304"/>
      <w:r w:rsidRPr="00592E46">
        <w:rPr>
          <w:sz w:val="20"/>
          <w:szCs w:val="20"/>
        </w:rPr>
        <w:tab/>
        <w:t>Antenatal care visits</w:t>
      </w:r>
      <w:r w:rsidR="00DB0D9A">
        <w:rPr>
          <w:sz w:val="20"/>
          <w:szCs w:val="20"/>
        </w:rPr>
        <w:t xml:space="preserve"> in the</w:t>
      </w:r>
      <w:r w:rsidRPr="00592E46">
        <w:rPr>
          <w:sz w:val="20"/>
          <w:szCs w:val="20"/>
        </w:rPr>
        <w:t xml:space="preserve"> first trimester</w:t>
      </w:r>
      <w:r w:rsidR="00DB0D9A">
        <w:rPr>
          <w:sz w:val="20"/>
          <w:szCs w:val="20"/>
        </w:rPr>
        <w:t xml:space="preserve"> of pregnancy</w:t>
      </w:r>
      <w:r w:rsidR="009C23FB">
        <w:rPr>
          <w:sz w:val="20"/>
          <w:szCs w:val="20"/>
        </w:rPr>
        <w:t>,</w:t>
      </w:r>
      <w:r w:rsidRPr="00592E46">
        <w:rPr>
          <w:sz w:val="20"/>
          <w:szCs w:val="20"/>
        </w:rPr>
        <w:t xml:space="preserve"> all women giving birth (PI02a), by hospital sector, 2011–2019</w:t>
      </w:r>
      <w:bookmarkEnd w:id="305"/>
    </w:p>
    <w:p w14:paraId="7A430C4C" w14:textId="6A7AFD7F" w:rsidR="00AF0ADF" w:rsidRPr="00AD4A97" w:rsidRDefault="006A2629" w:rsidP="00AF0ADF">
      <w:r>
        <w:rPr>
          <w:noProof/>
        </w:rPr>
        <w:drawing>
          <wp:inline distT="0" distB="0" distL="0" distR="0" wp14:anchorId="0B5BDACA" wp14:editId="6B97BC11">
            <wp:extent cx="5936120" cy="1826189"/>
            <wp:effectExtent l="0" t="0" r="7620" b="3175"/>
            <wp:docPr id="54" name="Chart 54" descr="Chart showing the proportion of women who had their first antenatal care visit during the first trimester of pregnancy, of all women giving birth (PI02a), by hospital sector (public or private) years 2011–2019.">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93BBBC3" w14:textId="61865E06" w:rsidR="00AF0ADF" w:rsidRPr="00165760" w:rsidRDefault="00E134EA" w:rsidP="00AF0ADF">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0BB3410A" w14:textId="77777777" w:rsidR="00AF0ADF" w:rsidRPr="007470E7" w:rsidRDefault="00AF0ADF" w:rsidP="00230C16">
      <w:pPr>
        <w:rPr>
          <w:shd w:val="clear" w:color="auto" w:fill="FCFCFC"/>
        </w:rPr>
      </w:pPr>
    </w:p>
    <w:p w14:paraId="76D2D979" w14:textId="591D5905" w:rsidR="00AF0ADF" w:rsidRPr="00785C8D" w:rsidRDefault="00AF0ADF" w:rsidP="00AF0ADF">
      <w:pPr>
        <w:rPr>
          <w:b/>
          <w:i/>
          <w:color w:val="0398D7"/>
          <w:szCs w:val="22"/>
        </w:rPr>
      </w:pPr>
      <w:r w:rsidRPr="00785C8D">
        <w:rPr>
          <w:b/>
          <w:i/>
          <w:color w:val="0398D7"/>
          <w:szCs w:val="22"/>
        </w:rPr>
        <w:t>Antenatal care visits in the first 10 weeks of pregnancy for all women giving birth</w:t>
      </w:r>
      <w:r w:rsidR="00230C16">
        <w:rPr>
          <w:b/>
          <w:i/>
          <w:color w:val="0398D7"/>
          <w:szCs w:val="22"/>
        </w:rPr>
        <w:t xml:space="preserve"> (PI02b)</w:t>
      </w:r>
    </w:p>
    <w:p w14:paraId="11EDE3AE" w14:textId="090752B5" w:rsidR="00AF0ADF" w:rsidRPr="001A436C" w:rsidRDefault="00230C16" w:rsidP="00141C9A">
      <w:pPr>
        <w:pStyle w:val="Bullets"/>
        <w:numPr>
          <w:ilvl w:val="0"/>
          <w:numId w:val="0"/>
        </w:numPr>
        <w:rPr>
          <w:szCs w:val="22"/>
        </w:rPr>
      </w:pPr>
      <w:r>
        <w:rPr>
          <w:szCs w:val="22"/>
        </w:rPr>
        <w:t>Almost</w:t>
      </w:r>
      <w:r w:rsidR="00141C9A">
        <w:rPr>
          <w:szCs w:val="22"/>
        </w:rPr>
        <w:t xml:space="preserve"> 5</w:t>
      </w:r>
      <w:r>
        <w:rPr>
          <w:szCs w:val="22"/>
        </w:rPr>
        <w:t>6</w:t>
      </w:r>
      <w:r w:rsidR="00141C9A">
        <w:rPr>
          <w:szCs w:val="22"/>
        </w:rPr>
        <w:t xml:space="preserve">% of women who gave birth in 2019 </w:t>
      </w:r>
      <w:r w:rsidR="00AF0ADF" w:rsidRPr="001A436C">
        <w:rPr>
          <w:szCs w:val="22"/>
        </w:rPr>
        <w:t>had an antenatal visit recorded in the first 10 weeks of pregnancy</w:t>
      </w:r>
      <w:r w:rsidR="00141C9A">
        <w:rPr>
          <w:szCs w:val="22"/>
        </w:rPr>
        <w:t xml:space="preserve">, an increase </w:t>
      </w:r>
      <w:r w:rsidR="00AF0ADF" w:rsidRPr="001A436C">
        <w:rPr>
          <w:szCs w:val="22"/>
        </w:rPr>
        <w:t xml:space="preserve">from a </w:t>
      </w:r>
      <w:r w:rsidR="00141C9A">
        <w:rPr>
          <w:szCs w:val="22"/>
        </w:rPr>
        <w:t>three</w:t>
      </w:r>
      <w:r w:rsidR="00A4418C">
        <w:rPr>
          <w:szCs w:val="22"/>
        </w:rPr>
        <w:t>-</w:t>
      </w:r>
      <w:r w:rsidR="00141C9A" w:rsidRPr="00B247F1">
        <w:rPr>
          <w:szCs w:val="22"/>
        </w:rPr>
        <w:t>year low of 3</w:t>
      </w:r>
      <w:r w:rsidRPr="00B247F1">
        <w:rPr>
          <w:szCs w:val="22"/>
        </w:rPr>
        <w:t>4</w:t>
      </w:r>
      <w:r w:rsidR="00141C9A" w:rsidRPr="00B247F1">
        <w:rPr>
          <w:szCs w:val="22"/>
        </w:rPr>
        <w:t xml:space="preserve">% in 2013. </w:t>
      </w:r>
      <w:r w:rsidR="00AF0ADF" w:rsidRPr="00B247F1">
        <w:rPr>
          <w:szCs w:val="22"/>
        </w:rPr>
        <w:t>Women of all age and socioeconomic grou</w:t>
      </w:r>
      <w:r w:rsidR="00C6217C" w:rsidRPr="00B247F1">
        <w:rPr>
          <w:szCs w:val="22"/>
        </w:rPr>
        <w:t xml:space="preserve">ps followed this national trend (see also </w:t>
      </w:r>
      <w:r w:rsidR="00C6217C" w:rsidRPr="00B247F1">
        <w:rPr>
          <w:szCs w:val="22"/>
        </w:rPr>
        <w:fldChar w:fldCharType="begin"/>
      </w:r>
      <w:r w:rsidR="00C6217C" w:rsidRPr="00B247F1">
        <w:rPr>
          <w:szCs w:val="22"/>
        </w:rPr>
        <w:instrText xml:space="preserve"> REF _Ref117094655 \h </w:instrText>
      </w:r>
      <w:r w:rsidR="00B247F1">
        <w:rPr>
          <w:szCs w:val="22"/>
        </w:rPr>
        <w:instrText xml:space="preserve"> \* MERGEFORMAT </w:instrText>
      </w:r>
      <w:r w:rsidR="00C6217C" w:rsidRPr="00B247F1">
        <w:rPr>
          <w:szCs w:val="22"/>
        </w:rPr>
      </w:r>
      <w:r w:rsidR="00C6217C" w:rsidRPr="00B247F1">
        <w:rPr>
          <w:szCs w:val="22"/>
        </w:rPr>
        <w:fldChar w:fldCharType="separate"/>
      </w:r>
      <w:r w:rsidR="00296988" w:rsidRPr="00296988">
        <w:rPr>
          <w:szCs w:val="22"/>
        </w:rPr>
        <w:t xml:space="preserve">Table </w:t>
      </w:r>
      <w:r w:rsidR="00296988" w:rsidRPr="00296988">
        <w:rPr>
          <w:noProof/>
          <w:szCs w:val="22"/>
        </w:rPr>
        <w:t>13</w:t>
      </w:r>
      <w:r w:rsidR="00C6217C" w:rsidRPr="00B247F1">
        <w:rPr>
          <w:szCs w:val="22"/>
        </w:rPr>
        <w:fldChar w:fldCharType="end"/>
      </w:r>
      <w:r w:rsidR="00C6217C" w:rsidRPr="00B247F1">
        <w:rPr>
          <w:szCs w:val="22"/>
        </w:rPr>
        <w:t>).</w:t>
      </w:r>
    </w:p>
    <w:p w14:paraId="6E445343" w14:textId="4A45FBE9" w:rsidR="00AF0ADF" w:rsidRPr="001A436C" w:rsidRDefault="00AF0ADF" w:rsidP="00AF0ADF">
      <w:pPr>
        <w:pStyle w:val="Bullets"/>
        <w:ind w:left="357" w:hanging="357"/>
        <w:rPr>
          <w:rFonts w:cstheme="minorHAnsi"/>
          <w:szCs w:val="22"/>
        </w:rPr>
      </w:pPr>
      <w:r w:rsidRPr="001A436C">
        <w:rPr>
          <w:rFonts w:cstheme="minorHAnsi"/>
          <w:szCs w:val="22"/>
        </w:rPr>
        <w:t>The proportion of Indigenous women whose first antenatal care visit occurred in the first 10 weeks of pregnancy increased at a</w:t>
      </w:r>
      <w:r w:rsidR="00924F59">
        <w:rPr>
          <w:rFonts w:cstheme="minorHAnsi"/>
          <w:szCs w:val="22"/>
        </w:rPr>
        <w:t xml:space="preserve"> slightly higher rate than non-I</w:t>
      </w:r>
      <w:r w:rsidRPr="001A436C">
        <w:rPr>
          <w:rFonts w:cstheme="minorHAnsi"/>
          <w:szCs w:val="22"/>
        </w:rPr>
        <w:t xml:space="preserve">ndigenous mothers, although </w:t>
      </w:r>
      <w:r w:rsidR="00B674BA">
        <w:rPr>
          <w:rFonts w:cstheme="minorHAnsi"/>
          <w:szCs w:val="22"/>
        </w:rPr>
        <w:t xml:space="preserve">it </w:t>
      </w:r>
      <w:r w:rsidRPr="001A436C">
        <w:rPr>
          <w:rFonts w:cstheme="minorHAnsi"/>
          <w:szCs w:val="22"/>
        </w:rPr>
        <w:t>remained below 50% across the period (28%</w:t>
      </w:r>
      <w:r w:rsidR="00FB0C38">
        <w:rPr>
          <w:rFonts w:cstheme="minorHAnsi"/>
          <w:szCs w:val="22"/>
        </w:rPr>
        <w:t xml:space="preserve"> </w:t>
      </w:r>
      <w:r w:rsidRPr="001A436C">
        <w:rPr>
          <w:rFonts w:cstheme="minorHAnsi"/>
          <w:szCs w:val="22"/>
        </w:rPr>
        <w:t xml:space="preserve">vs </w:t>
      </w:r>
      <w:r w:rsidR="00B674BA">
        <w:rPr>
          <w:rFonts w:cstheme="minorHAnsi"/>
          <w:szCs w:val="22"/>
        </w:rPr>
        <w:t>37</w:t>
      </w:r>
      <w:r w:rsidRPr="001A436C">
        <w:rPr>
          <w:rFonts w:cstheme="minorHAnsi"/>
          <w:szCs w:val="22"/>
        </w:rPr>
        <w:t>%</w:t>
      </w:r>
      <w:r w:rsidR="00395D9A">
        <w:rPr>
          <w:rFonts w:cstheme="minorHAnsi"/>
          <w:szCs w:val="22"/>
        </w:rPr>
        <w:t xml:space="preserve"> </w:t>
      </w:r>
      <w:r w:rsidRPr="001A436C">
        <w:rPr>
          <w:rFonts w:cstheme="minorHAnsi"/>
          <w:szCs w:val="22"/>
        </w:rPr>
        <w:t>in 2011</w:t>
      </w:r>
      <w:r>
        <w:rPr>
          <w:rFonts w:cstheme="minorHAnsi"/>
          <w:szCs w:val="22"/>
        </w:rPr>
        <w:t>,</w:t>
      </w:r>
      <w:r w:rsidRPr="001A436C">
        <w:rPr>
          <w:rFonts w:cstheme="minorHAnsi"/>
          <w:szCs w:val="22"/>
        </w:rPr>
        <w:t xml:space="preserve"> and 47% vs 54% in 2019, respectively</w:t>
      </w:r>
      <w:r w:rsidR="00526EF7">
        <w:rPr>
          <w:rFonts w:cstheme="minorHAnsi"/>
          <w:szCs w:val="22"/>
        </w:rPr>
        <w:t>)</w:t>
      </w:r>
      <w:r w:rsidRPr="001A436C">
        <w:rPr>
          <w:rFonts w:cstheme="minorHAnsi"/>
          <w:szCs w:val="22"/>
        </w:rPr>
        <w:t>.</w:t>
      </w:r>
    </w:p>
    <w:p w14:paraId="25938276" w14:textId="21340B8C" w:rsidR="00E5125B" w:rsidRDefault="00AF0ADF" w:rsidP="00AF0ADF">
      <w:pPr>
        <w:pStyle w:val="Bullets"/>
        <w:ind w:left="357" w:hanging="357"/>
        <w:rPr>
          <w:rFonts w:cstheme="minorHAnsi"/>
          <w:szCs w:val="22"/>
        </w:rPr>
      </w:pPr>
      <w:r w:rsidRPr="001A436C">
        <w:rPr>
          <w:rFonts w:cstheme="minorHAnsi"/>
          <w:szCs w:val="22"/>
        </w:rPr>
        <w:t xml:space="preserve">Among women who gave birth in the public sector, </w:t>
      </w:r>
      <w:r w:rsidR="00BA49F6">
        <w:rPr>
          <w:rFonts w:cstheme="minorHAnsi"/>
          <w:szCs w:val="22"/>
        </w:rPr>
        <w:t xml:space="preserve">the proportion receiving </w:t>
      </w:r>
      <w:r w:rsidRPr="001A436C">
        <w:rPr>
          <w:rFonts w:cstheme="minorHAnsi"/>
          <w:szCs w:val="22"/>
        </w:rPr>
        <w:t xml:space="preserve">antenatal care in the first 10 weeks of pregnancy </w:t>
      </w:r>
      <w:r w:rsidR="00EF4A31">
        <w:rPr>
          <w:rFonts w:cstheme="minorHAnsi"/>
          <w:szCs w:val="22"/>
        </w:rPr>
        <w:t>more than doubled</w:t>
      </w:r>
      <w:r w:rsidR="00EF4A31" w:rsidRPr="001A436C">
        <w:rPr>
          <w:rFonts w:cstheme="minorHAnsi"/>
          <w:szCs w:val="22"/>
        </w:rPr>
        <w:t xml:space="preserve"> </w:t>
      </w:r>
      <w:r w:rsidRPr="001A436C">
        <w:rPr>
          <w:rFonts w:cstheme="minorHAnsi"/>
          <w:szCs w:val="22"/>
        </w:rPr>
        <w:t>from 28%</w:t>
      </w:r>
      <w:r w:rsidR="00EF4A31">
        <w:rPr>
          <w:rFonts w:cstheme="minorHAnsi"/>
          <w:szCs w:val="22"/>
        </w:rPr>
        <w:t xml:space="preserve"> in </w:t>
      </w:r>
      <w:r w:rsidR="00EF4A31" w:rsidRPr="001A436C">
        <w:rPr>
          <w:rFonts w:cstheme="minorHAnsi"/>
          <w:szCs w:val="22"/>
        </w:rPr>
        <w:t>2013</w:t>
      </w:r>
      <w:r w:rsidRPr="001A436C">
        <w:rPr>
          <w:rFonts w:cstheme="minorHAnsi"/>
          <w:szCs w:val="22"/>
        </w:rPr>
        <w:t xml:space="preserve"> to 57% </w:t>
      </w:r>
      <w:r w:rsidR="00EF4A31">
        <w:rPr>
          <w:rFonts w:cstheme="minorHAnsi"/>
          <w:szCs w:val="22"/>
        </w:rPr>
        <w:t>in</w:t>
      </w:r>
      <w:r w:rsidR="00FB0C38">
        <w:rPr>
          <w:rFonts w:cstheme="minorHAnsi"/>
          <w:szCs w:val="22"/>
        </w:rPr>
        <w:t xml:space="preserve"> </w:t>
      </w:r>
      <w:r w:rsidRPr="001A436C">
        <w:rPr>
          <w:rFonts w:cstheme="minorHAnsi"/>
          <w:szCs w:val="22"/>
        </w:rPr>
        <w:t xml:space="preserve">2019 </w:t>
      </w:r>
      <w:r w:rsidR="006E335E">
        <w:rPr>
          <w:rFonts w:cstheme="minorHAnsi"/>
          <w:szCs w:val="22"/>
        </w:rPr>
        <w:t>(</w:t>
      </w:r>
      <w:r w:rsidR="006E335E" w:rsidRPr="00C47521">
        <w:rPr>
          <w:rFonts w:cstheme="minorHAnsi"/>
          <w:szCs w:val="22"/>
        </w:rPr>
        <w:fldChar w:fldCharType="begin"/>
      </w:r>
      <w:r w:rsidR="006E335E" w:rsidRPr="00C47521">
        <w:rPr>
          <w:rFonts w:cstheme="minorHAnsi"/>
          <w:szCs w:val="22"/>
        </w:rPr>
        <w:instrText xml:space="preserve"> REF _Ref118298745 \h </w:instrText>
      </w:r>
      <w:r w:rsidR="00C47521">
        <w:rPr>
          <w:rFonts w:cstheme="minorHAnsi"/>
          <w:szCs w:val="22"/>
        </w:rPr>
        <w:instrText xml:space="preserve"> \* MERGEFORMAT </w:instrText>
      </w:r>
      <w:r w:rsidR="006E335E" w:rsidRPr="00C47521">
        <w:rPr>
          <w:rFonts w:cstheme="minorHAnsi"/>
          <w:szCs w:val="22"/>
        </w:rPr>
      </w:r>
      <w:r w:rsidR="006E335E" w:rsidRPr="00C47521">
        <w:rPr>
          <w:rFonts w:cstheme="minorHAnsi"/>
          <w:szCs w:val="22"/>
        </w:rPr>
        <w:fldChar w:fldCharType="separate"/>
      </w:r>
      <w:r w:rsidR="00296988" w:rsidRPr="00296988">
        <w:rPr>
          <w:szCs w:val="22"/>
        </w:rPr>
        <w:t xml:space="preserve">Figure </w:t>
      </w:r>
      <w:r w:rsidR="00296988" w:rsidRPr="00296988">
        <w:rPr>
          <w:noProof/>
          <w:szCs w:val="22"/>
        </w:rPr>
        <w:t>9</w:t>
      </w:r>
      <w:r w:rsidR="006E335E" w:rsidRPr="00C47521">
        <w:rPr>
          <w:rFonts w:cstheme="minorHAnsi"/>
          <w:szCs w:val="22"/>
        </w:rPr>
        <w:fldChar w:fldCharType="end"/>
      </w:r>
      <w:r w:rsidR="006E335E">
        <w:rPr>
          <w:rFonts w:cstheme="minorHAnsi"/>
          <w:szCs w:val="22"/>
        </w:rPr>
        <w:t>)</w:t>
      </w:r>
      <w:r w:rsidR="00395D9A">
        <w:rPr>
          <w:rFonts w:cstheme="minorHAnsi"/>
          <w:szCs w:val="22"/>
        </w:rPr>
        <w:t>.</w:t>
      </w:r>
    </w:p>
    <w:p w14:paraId="4E3B355D" w14:textId="3C3A59CB" w:rsidR="00AF0ADF" w:rsidRDefault="00AF0ADF" w:rsidP="00C24842">
      <w:pPr>
        <w:pStyle w:val="Bullets"/>
        <w:numPr>
          <w:ilvl w:val="0"/>
          <w:numId w:val="0"/>
        </w:numPr>
        <w:ind w:left="357"/>
        <w:rPr>
          <w:rFonts w:cstheme="minorHAnsi"/>
          <w:szCs w:val="22"/>
        </w:rPr>
      </w:pPr>
      <w:r w:rsidRPr="001A436C">
        <w:rPr>
          <w:rFonts w:cstheme="minorHAnsi"/>
          <w:szCs w:val="22"/>
        </w:rPr>
        <w:t xml:space="preserve"> </w:t>
      </w:r>
    </w:p>
    <w:p w14:paraId="1BA3EA2E" w14:textId="53232BFB" w:rsidR="00AF0ADF" w:rsidRPr="00A4418C" w:rsidRDefault="00AF0ADF" w:rsidP="00AF0ADF">
      <w:pPr>
        <w:pStyle w:val="Caption"/>
        <w:rPr>
          <w:sz w:val="20"/>
          <w:szCs w:val="20"/>
        </w:rPr>
      </w:pPr>
      <w:bookmarkStart w:id="306" w:name="_Ref118298745"/>
      <w:bookmarkStart w:id="307" w:name="_Toc121415175"/>
      <w:r w:rsidRPr="00A4418C">
        <w:rPr>
          <w:sz w:val="20"/>
          <w:szCs w:val="20"/>
        </w:rPr>
        <w:t xml:space="preserve">Figure </w:t>
      </w:r>
      <w:r w:rsidR="00A64FC5" w:rsidRPr="00A4418C">
        <w:rPr>
          <w:sz w:val="20"/>
          <w:szCs w:val="20"/>
        </w:rPr>
        <w:fldChar w:fldCharType="begin"/>
      </w:r>
      <w:r w:rsidR="00A64FC5" w:rsidRPr="00A4418C">
        <w:rPr>
          <w:sz w:val="20"/>
          <w:szCs w:val="20"/>
        </w:rPr>
        <w:instrText xml:space="preserve"> SEQ Figure \* ARABIC </w:instrText>
      </w:r>
      <w:r w:rsidR="00A64FC5" w:rsidRPr="00A4418C">
        <w:rPr>
          <w:sz w:val="20"/>
          <w:szCs w:val="20"/>
        </w:rPr>
        <w:fldChar w:fldCharType="separate"/>
      </w:r>
      <w:r w:rsidR="00296988">
        <w:rPr>
          <w:noProof/>
          <w:sz w:val="20"/>
          <w:szCs w:val="20"/>
        </w:rPr>
        <w:t>9</w:t>
      </w:r>
      <w:r w:rsidR="00A64FC5" w:rsidRPr="00A4418C">
        <w:rPr>
          <w:noProof/>
          <w:sz w:val="20"/>
          <w:szCs w:val="20"/>
        </w:rPr>
        <w:fldChar w:fldCharType="end"/>
      </w:r>
      <w:bookmarkEnd w:id="306"/>
      <w:r w:rsidRPr="00A4418C">
        <w:rPr>
          <w:sz w:val="20"/>
          <w:szCs w:val="20"/>
        </w:rPr>
        <w:tab/>
        <w:t>Antenatal care visits</w:t>
      </w:r>
      <w:r w:rsidR="00DB0D9A">
        <w:rPr>
          <w:sz w:val="20"/>
          <w:szCs w:val="20"/>
        </w:rPr>
        <w:t xml:space="preserve"> in the</w:t>
      </w:r>
      <w:r w:rsidRPr="00A4418C">
        <w:rPr>
          <w:sz w:val="20"/>
          <w:szCs w:val="20"/>
        </w:rPr>
        <w:t xml:space="preserve"> first 10 weeks</w:t>
      </w:r>
      <w:r w:rsidR="00DB0D9A">
        <w:rPr>
          <w:sz w:val="20"/>
          <w:szCs w:val="20"/>
        </w:rPr>
        <w:t xml:space="preserve"> of pregnancy</w:t>
      </w:r>
      <w:r w:rsidR="009C23FB">
        <w:rPr>
          <w:sz w:val="20"/>
          <w:szCs w:val="20"/>
        </w:rPr>
        <w:t>,</w:t>
      </w:r>
      <w:r w:rsidRPr="00A4418C">
        <w:rPr>
          <w:sz w:val="20"/>
          <w:szCs w:val="20"/>
        </w:rPr>
        <w:t xml:space="preserve"> all women giving birth (PI02b), by hospital sector, 2011–2019</w:t>
      </w:r>
      <w:bookmarkEnd w:id="307"/>
    </w:p>
    <w:p w14:paraId="7A5B996F" w14:textId="6A2FA2E1" w:rsidR="00AF0ADF" w:rsidRPr="009D1271" w:rsidRDefault="00CE2FC8" w:rsidP="00AF0ADF">
      <w:r>
        <w:rPr>
          <w:noProof/>
        </w:rPr>
        <w:drawing>
          <wp:inline distT="0" distB="0" distL="0" distR="0" wp14:anchorId="40887671" wp14:editId="745D14BC">
            <wp:extent cx="6040895" cy="1828800"/>
            <wp:effectExtent l="0" t="0" r="17145" b="0"/>
            <wp:docPr id="53" name="Chart 53" descr="Chart showing percentage of women who gave birth in years 2011 - 2019 who had an antenatal visit recorded in the first 10 weeks of pregnancy.  By public and private hospital sector.">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71A3668" w14:textId="31BF15FC" w:rsidR="00AF0ADF" w:rsidRDefault="00E134EA" w:rsidP="00AF0ADF">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33A5E9A8" w14:textId="77777777" w:rsidR="00AF0ADF" w:rsidRDefault="00AF0ADF" w:rsidP="001044C9"/>
    <w:p w14:paraId="7F019C82" w14:textId="308F3292" w:rsidR="00AF0ADF" w:rsidRPr="00785C8D" w:rsidRDefault="00AF0ADF" w:rsidP="00AF0ADF">
      <w:pPr>
        <w:rPr>
          <w:b/>
          <w:i/>
          <w:szCs w:val="22"/>
        </w:rPr>
      </w:pPr>
      <w:r w:rsidRPr="00785C8D">
        <w:rPr>
          <w:b/>
          <w:i/>
          <w:color w:val="0398D7"/>
          <w:szCs w:val="22"/>
        </w:rPr>
        <w:t>Five or more antenatal care visits for women giving birth</w:t>
      </w:r>
    </w:p>
    <w:p w14:paraId="7BDE1631" w14:textId="5FEAE735" w:rsidR="00AF0ADF" w:rsidRPr="000C3F9A" w:rsidRDefault="00AF0ADF" w:rsidP="00924850">
      <w:pPr>
        <w:pStyle w:val="Bullets"/>
        <w:numPr>
          <w:ilvl w:val="0"/>
          <w:numId w:val="0"/>
        </w:numPr>
        <w:rPr>
          <w:szCs w:val="22"/>
        </w:rPr>
      </w:pPr>
      <w:r w:rsidRPr="000C3F9A">
        <w:rPr>
          <w:szCs w:val="22"/>
        </w:rPr>
        <w:t xml:space="preserve">At a national level, the proportion of women who had five or more antenatal care visits was consistently around 95-96% between 2012 and </w:t>
      </w:r>
      <w:r w:rsidR="008744D9" w:rsidRPr="00EA5E3B">
        <w:rPr>
          <w:szCs w:val="22"/>
        </w:rPr>
        <w:t>20</w:t>
      </w:r>
      <w:r w:rsidR="008744D9" w:rsidRPr="008744D9">
        <w:rPr>
          <w:szCs w:val="22"/>
        </w:rPr>
        <w:t>19</w:t>
      </w:r>
      <w:r w:rsidR="008744D9" w:rsidRPr="00924F59">
        <w:rPr>
          <w:szCs w:val="22"/>
        </w:rPr>
        <w:t xml:space="preserve"> </w:t>
      </w:r>
      <w:r w:rsidRPr="00924F59">
        <w:rPr>
          <w:szCs w:val="22"/>
        </w:rPr>
        <w:t>(</w:t>
      </w:r>
      <w:r w:rsidR="00C6217C">
        <w:rPr>
          <w:szCs w:val="22"/>
        </w:rPr>
        <w:t xml:space="preserve">see </w:t>
      </w:r>
      <w:r w:rsidR="00B247F1">
        <w:rPr>
          <w:szCs w:val="22"/>
        </w:rPr>
        <w:t>also</w:t>
      </w:r>
      <w:r w:rsidR="00C6217C">
        <w:rPr>
          <w:szCs w:val="22"/>
        </w:rPr>
        <w:t xml:space="preserve"> </w:t>
      </w:r>
      <w:r w:rsidRPr="00924F59">
        <w:rPr>
          <w:szCs w:val="22"/>
          <w:shd w:val="clear" w:color="auto" w:fill="FCFCFC"/>
        </w:rPr>
        <w:fldChar w:fldCharType="begin"/>
      </w:r>
      <w:r w:rsidRPr="00924F59">
        <w:rPr>
          <w:szCs w:val="22"/>
          <w:shd w:val="clear" w:color="auto" w:fill="FCFCFC"/>
        </w:rPr>
        <w:instrText xml:space="preserve"> REF _Ref117072518 \h  \* MERGEFORMAT </w:instrText>
      </w:r>
      <w:r w:rsidRPr="00924F59">
        <w:rPr>
          <w:szCs w:val="22"/>
          <w:shd w:val="clear" w:color="auto" w:fill="FCFCFC"/>
        </w:rPr>
      </w:r>
      <w:r w:rsidRPr="00924F59">
        <w:rPr>
          <w:szCs w:val="22"/>
          <w:shd w:val="clear" w:color="auto" w:fill="FCFCFC"/>
        </w:rPr>
        <w:fldChar w:fldCharType="separate"/>
      </w:r>
      <w:r w:rsidR="00296988" w:rsidRPr="00296988">
        <w:rPr>
          <w:szCs w:val="22"/>
        </w:rPr>
        <w:t xml:space="preserve">Table </w:t>
      </w:r>
      <w:r w:rsidR="00296988" w:rsidRPr="00296988">
        <w:rPr>
          <w:noProof/>
          <w:szCs w:val="22"/>
        </w:rPr>
        <w:t>14</w:t>
      </w:r>
      <w:r w:rsidRPr="00924F59">
        <w:rPr>
          <w:szCs w:val="22"/>
          <w:shd w:val="clear" w:color="auto" w:fill="FCFCFC"/>
        </w:rPr>
        <w:fldChar w:fldCharType="end"/>
      </w:r>
      <w:r w:rsidRPr="00924F59">
        <w:rPr>
          <w:szCs w:val="22"/>
          <w:shd w:val="clear" w:color="auto" w:fill="FCFCFC"/>
        </w:rPr>
        <w:t>).</w:t>
      </w:r>
    </w:p>
    <w:p w14:paraId="12065675" w14:textId="4F74C2F4" w:rsidR="00AF0ADF" w:rsidRDefault="00A4418C" w:rsidP="00AF0ADF">
      <w:pPr>
        <w:pStyle w:val="Bullets"/>
        <w:ind w:left="357" w:hanging="357"/>
        <w:rPr>
          <w:szCs w:val="22"/>
        </w:rPr>
      </w:pPr>
      <w:r>
        <w:rPr>
          <w:rFonts w:cstheme="minorHAnsi"/>
          <w:szCs w:val="22"/>
          <w:shd w:val="clear" w:color="auto" w:fill="FCFCFC"/>
        </w:rPr>
        <w:t>The proportion of younger women</w:t>
      </w:r>
      <w:r w:rsidR="00AF0ADF" w:rsidRPr="000C3F9A">
        <w:rPr>
          <w:rFonts w:cstheme="minorHAnsi"/>
          <w:szCs w:val="22"/>
          <w:shd w:val="clear" w:color="auto" w:fill="FCFCFC"/>
        </w:rPr>
        <w:t xml:space="preserve"> </w:t>
      </w:r>
      <w:r>
        <w:rPr>
          <w:rFonts w:cstheme="minorHAnsi"/>
          <w:szCs w:val="22"/>
          <w:shd w:val="clear" w:color="auto" w:fill="FCFCFC"/>
        </w:rPr>
        <w:t xml:space="preserve">who </w:t>
      </w:r>
      <w:r w:rsidR="00AF0ADF" w:rsidRPr="000C3F9A">
        <w:rPr>
          <w:rFonts w:cstheme="minorHAnsi"/>
          <w:szCs w:val="22"/>
          <w:shd w:val="clear" w:color="auto" w:fill="FCFCFC"/>
        </w:rPr>
        <w:t>had five or more antenatal care visits was lower; 90</w:t>
      </w:r>
      <w:r>
        <w:rPr>
          <w:rFonts w:cstheme="minorHAnsi"/>
          <w:szCs w:val="22"/>
          <w:shd w:val="clear" w:color="auto" w:fill="FCFCFC"/>
        </w:rPr>
        <w:t>-</w:t>
      </w:r>
      <w:r w:rsidR="001C7B92" w:rsidRPr="000C3F9A">
        <w:rPr>
          <w:rFonts w:cstheme="minorHAnsi"/>
          <w:szCs w:val="22"/>
          <w:shd w:val="clear" w:color="auto" w:fill="FCFCFC"/>
        </w:rPr>
        <w:t>9</w:t>
      </w:r>
      <w:r w:rsidR="001C7B92">
        <w:rPr>
          <w:rFonts w:cstheme="minorHAnsi"/>
          <w:szCs w:val="22"/>
          <w:shd w:val="clear" w:color="auto" w:fill="FCFCFC"/>
        </w:rPr>
        <w:t>2</w:t>
      </w:r>
      <w:r w:rsidR="00AF0ADF" w:rsidRPr="000C3F9A">
        <w:rPr>
          <w:rFonts w:cstheme="minorHAnsi"/>
          <w:szCs w:val="22"/>
          <w:shd w:val="clear" w:color="auto" w:fill="FCFCFC"/>
        </w:rPr>
        <w:t>% for women younger than 20 years and 93</w:t>
      </w:r>
      <w:r>
        <w:rPr>
          <w:rFonts w:cstheme="minorHAnsi"/>
          <w:szCs w:val="22"/>
          <w:shd w:val="clear" w:color="auto" w:fill="FCFCFC"/>
        </w:rPr>
        <w:t>-</w:t>
      </w:r>
      <w:r w:rsidR="00AF0ADF" w:rsidRPr="000C3F9A">
        <w:rPr>
          <w:rFonts w:cstheme="minorHAnsi"/>
          <w:szCs w:val="22"/>
          <w:shd w:val="clear" w:color="auto" w:fill="FCFCFC"/>
        </w:rPr>
        <w:t>94%</w:t>
      </w:r>
      <w:r w:rsidR="00AF0ADF">
        <w:rPr>
          <w:rFonts w:cstheme="minorHAnsi"/>
          <w:szCs w:val="22"/>
          <w:shd w:val="clear" w:color="auto" w:fill="FCFCFC"/>
        </w:rPr>
        <w:t xml:space="preserve"> </w:t>
      </w:r>
      <w:r w:rsidR="00AF0ADF" w:rsidRPr="000C3F9A">
        <w:rPr>
          <w:rFonts w:cstheme="minorHAnsi"/>
          <w:szCs w:val="22"/>
          <w:shd w:val="clear" w:color="auto" w:fill="FCFCFC"/>
        </w:rPr>
        <w:t>for mothers aged 20 – 24 years</w:t>
      </w:r>
      <w:r w:rsidR="00AF0ADF" w:rsidRPr="000C3F9A">
        <w:rPr>
          <w:szCs w:val="22"/>
        </w:rPr>
        <w:t xml:space="preserve"> (</w:t>
      </w:r>
      <w:r w:rsidR="00AF0ADF" w:rsidRPr="000C3F9A">
        <w:rPr>
          <w:szCs w:val="22"/>
        </w:rPr>
        <w:fldChar w:fldCharType="begin"/>
      </w:r>
      <w:r w:rsidR="00AF0ADF" w:rsidRPr="000C3F9A">
        <w:rPr>
          <w:szCs w:val="22"/>
        </w:rPr>
        <w:instrText xml:space="preserve"> REF _Ref117075692 \h  \* MERGEFORMAT </w:instrText>
      </w:r>
      <w:r w:rsidR="00AF0ADF" w:rsidRPr="000C3F9A">
        <w:rPr>
          <w:szCs w:val="22"/>
        </w:rPr>
      </w:r>
      <w:r w:rsidR="00AF0ADF" w:rsidRPr="000C3F9A">
        <w:rPr>
          <w:szCs w:val="22"/>
        </w:rPr>
        <w:fldChar w:fldCharType="separate"/>
      </w:r>
      <w:r w:rsidR="00296988" w:rsidRPr="00296988">
        <w:rPr>
          <w:szCs w:val="22"/>
        </w:rPr>
        <w:t xml:space="preserve">Figure </w:t>
      </w:r>
      <w:r w:rsidR="00296988" w:rsidRPr="00296988">
        <w:rPr>
          <w:noProof/>
          <w:szCs w:val="22"/>
        </w:rPr>
        <w:t>10</w:t>
      </w:r>
      <w:r w:rsidR="00AF0ADF" w:rsidRPr="000C3F9A">
        <w:rPr>
          <w:szCs w:val="22"/>
        </w:rPr>
        <w:fldChar w:fldCharType="end"/>
      </w:r>
      <w:r w:rsidR="00AF0ADF" w:rsidRPr="000C3F9A">
        <w:rPr>
          <w:szCs w:val="22"/>
        </w:rPr>
        <w:t>).</w:t>
      </w:r>
    </w:p>
    <w:p w14:paraId="182F7556" w14:textId="51C19A01" w:rsidR="00AF0ADF" w:rsidRDefault="00AF0ADF" w:rsidP="00AF0ADF">
      <w:pPr>
        <w:pStyle w:val="Bullets"/>
        <w:ind w:left="357" w:hanging="357"/>
        <w:rPr>
          <w:szCs w:val="22"/>
          <w:shd w:val="clear" w:color="auto" w:fill="FCFCFC"/>
        </w:rPr>
      </w:pPr>
      <w:r w:rsidRPr="000F44CD">
        <w:rPr>
          <w:szCs w:val="22"/>
          <w:shd w:val="clear" w:color="auto" w:fill="FCFCFC"/>
        </w:rPr>
        <w:lastRenderedPageBreak/>
        <w:t xml:space="preserve">No difference </w:t>
      </w:r>
      <w:r>
        <w:rPr>
          <w:szCs w:val="22"/>
          <w:shd w:val="clear" w:color="auto" w:fill="FCFCFC"/>
        </w:rPr>
        <w:t>in</w:t>
      </w:r>
      <w:r w:rsidRPr="005A3430">
        <w:rPr>
          <w:szCs w:val="22"/>
        </w:rPr>
        <w:t xml:space="preserve"> </w:t>
      </w:r>
      <w:r w:rsidRPr="000C3F9A">
        <w:rPr>
          <w:szCs w:val="22"/>
        </w:rPr>
        <w:t xml:space="preserve">the proportion of women who had five or more antenatal care visits </w:t>
      </w:r>
      <w:r>
        <w:rPr>
          <w:szCs w:val="22"/>
        </w:rPr>
        <w:t>w</w:t>
      </w:r>
      <w:r>
        <w:rPr>
          <w:szCs w:val="22"/>
          <w:shd w:val="clear" w:color="auto" w:fill="FCFCFC"/>
        </w:rPr>
        <w:t>as</w:t>
      </w:r>
      <w:r w:rsidRPr="000F44CD">
        <w:rPr>
          <w:szCs w:val="22"/>
          <w:shd w:val="clear" w:color="auto" w:fill="FCFCFC"/>
        </w:rPr>
        <w:t xml:space="preserve"> observed based on the mother’s country of birth.</w:t>
      </w:r>
    </w:p>
    <w:p w14:paraId="6FB52BDF" w14:textId="0B3DF9B3" w:rsidR="00AF0ADF" w:rsidRPr="000F44CD" w:rsidRDefault="00AF0ADF" w:rsidP="00AF0ADF">
      <w:pPr>
        <w:pStyle w:val="Bullets"/>
        <w:ind w:left="357" w:hanging="357"/>
        <w:rPr>
          <w:szCs w:val="22"/>
          <w:shd w:val="clear" w:color="auto" w:fill="FCFCFC"/>
        </w:rPr>
      </w:pPr>
      <w:r w:rsidRPr="000F44CD">
        <w:rPr>
          <w:szCs w:val="22"/>
          <w:shd w:val="clear" w:color="auto" w:fill="FCFCFC"/>
        </w:rPr>
        <w:t xml:space="preserve">While the proportion of Indigenous women was lower compared to non-Indigenous women, it increased slightly from 86% </w:t>
      </w:r>
      <w:r w:rsidR="001044C9">
        <w:rPr>
          <w:szCs w:val="22"/>
          <w:shd w:val="clear" w:color="auto" w:fill="FCFCFC"/>
        </w:rPr>
        <w:t xml:space="preserve">in 2013 </w:t>
      </w:r>
      <w:r w:rsidRPr="000F44CD">
        <w:rPr>
          <w:szCs w:val="22"/>
          <w:shd w:val="clear" w:color="auto" w:fill="FCFCFC"/>
        </w:rPr>
        <w:t>to 89%</w:t>
      </w:r>
      <w:r w:rsidRPr="000F44CD">
        <w:rPr>
          <w:szCs w:val="22"/>
        </w:rPr>
        <w:t xml:space="preserve"> </w:t>
      </w:r>
      <w:r w:rsidR="001044C9">
        <w:rPr>
          <w:szCs w:val="22"/>
        </w:rPr>
        <w:t xml:space="preserve">in </w:t>
      </w:r>
      <w:r w:rsidR="008744D9" w:rsidRPr="001014F1">
        <w:rPr>
          <w:szCs w:val="22"/>
        </w:rPr>
        <w:t>2019</w:t>
      </w:r>
      <w:r w:rsidRPr="001014F1">
        <w:rPr>
          <w:szCs w:val="22"/>
        </w:rPr>
        <w:t>.</w:t>
      </w:r>
    </w:p>
    <w:p w14:paraId="1460FCBB" w14:textId="63A0F9A1" w:rsidR="00AF0ADF" w:rsidRDefault="00AF0ADF" w:rsidP="00AF0ADF">
      <w:pPr>
        <w:pStyle w:val="Bullets"/>
        <w:ind w:left="357" w:hanging="357"/>
        <w:rPr>
          <w:szCs w:val="22"/>
          <w:shd w:val="clear" w:color="auto" w:fill="FCFCFC"/>
        </w:rPr>
      </w:pPr>
      <w:r w:rsidRPr="000F44CD">
        <w:rPr>
          <w:szCs w:val="22"/>
        </w:rPr>
        <w:t>V</w:t>
      </w:r>
      <w:r w:rsidRPr="000F44CD">
        <w:rPr>
          <w:szCs w:val="22"/>
          <w:shd w:val="clear" w:color="auto" w:fill="FCFCFC"/>
        </w:rPr>
        <w:t xml:space="preserve">ery remote areas had the lowest proportion of </w:t>
      </w:r>
      <w:r>
        <w:rPr>
          <w:szCs w:val="22"/>
        </w:rPr>
        <w:t>women</w:t>
      </w:r>
      <w:r w:rsidRPr="000F44CD">
        <w:rPr>
          <w:szCs w:val="22"/>
        </w:rPr>
        <w:t xml:space="preserve"> who had five or more antenatal care visits</w:t>
      </w:r>
      <w:r w:rsidRPr="000F44CD">
        <w:rPr>
          <w:szCs w:val="22"/>
          <w:shd w:val="clear" w:color="auto" w:fill="FCFCFC"/>
        </w:rPr>
        <w:t xml:space="preserve">; slightly increasing from 89% in 2012 to 93% in </w:t>
      </w:r>
      <w:r w:rsidR="001044C9">
        <w:rPr>
          <w:szCs w:val="22"/>
          <w:shd w:val="clear" w:color="auto" w:fill="FCFCFC"/>
        </w:rPr>
        <w:t>2019</w:t>
      </w:r>
      <w:r w:rsidRPr="000F44CD">
        <w:rPr>
          <w:szCs w:val="22"/>
          <w:shd w:val="clear" w:color="auto" w:fill="FCFCFC"/>
        </w:rPr>
        <w:t>. The proportion of women from outer regional and remote areas who attended five or more antenatal care visits was also slightly lower (by two to three percentage points) compared to women whose usual residence was in major cities or inner regional areas.</w:t>
      </w:r>
    </w:p>
    <w:p w14:paraId="67CC4901" w14:textId="319578C5" w:rsidR="00AF0ADF" w:rsidRPr="000F44CD" w:rsidRDefault="00AF0ADF" w:rsidP="00AF0ADF">
      <w:pPr>
        <w:pStyle w:val="Bullets"/>
        <w:ind w:left="357" w:hanging="357"/>
        <w:rPr>
          <w:szCs w:val="22"/>
          <w:shd w:val="clear" w:color="auto" w:fill="FCFCFC"/>
        </w:rPr>
      </w:pPr>
      <w:r>
        <w:rPr>
          <w:szCs w:val="22"/>
          <w:shd w:val="clear" w:color="auto" w:fill="FCFCFC"/>
        </w:rPr>
        <w:t xml:space="preserve">In the most disadvantaged areas, </w:t>
      </w:r>
      <w:r w:rsidRPr="000F44CD">
        <w:rPr>
          <w:szCs w:val="22"/>
          <w:shd w:val="clear" w:color="auto" w:fill="FCFCFC"/>
        </w:rPr>
        <w:t>the proportion</w:t>
      </w:r>
      <w:r>
        <w:rPr>
          <w:szCs w:val="22"/>
          <w:shd w:val="clear" w:color="auto" w:fill="FCFCFC"/>
        </w:rPr>
        <w:t>s</w:t>
      </w:r>
      <w:r w:rsidRPr="000F44CD">
        <w:rPr>
          <w:szCs w:val="22"/>
          <w:shd w:val="clear" w:color="auto" w:fill="FCFCFC"/>
        </w:rPr>
        <w:t xml:space="preserve"> of women with five or more antenatal care visits was slightly lower</w:t>
      </w:r>
      <w:r>
        <w:rPr>
          <w:szCs w:val="22"/>
          <w:shd w:val="clear" w:color="auto" w:fill="FCFCFC"/>
        </w:rPr>
        <w:t xml:space="preserve"> over time</w:t>
      </w:r>
      <w:r w:rsidRPr="000F44CD">
        <w:rPr>
          <w:szCs w:val="22"/>
          <w:shd w:val="clear" w:color="auto" w:fill="FCFCFC"/>
        </w:rPr>
        <w:t xml:space="preserve"> (93-94%).</w:t>
      </w:r>
    </w:p>
    <w:p w14:paraId="28006C12" w14:textId="32D99F32" w:rsidR="00AF0ADF" w:rsidRPr="00A4418C" w:rsidRDefault="00AF0ADF" w:rsidP="00AF0ADF">
      <w:pPr>
        <w:pStyle w:val="Caption"/>
        <w:rPr>
          <w:sz w:val="20"/>
          <w:szCs w:val="20"/>
        </w:rPr>
      </w:pPr>
      <w:bookmarkStart w:id="308" w:name="_Ref117075692"/>
      <w:bookmarkStart w:id="309" w:name="_Toc121415176"/>
      <w:r w:rsidRPr="00A4418C">
        <w:rPr>
          <w:sz w:val="20"/>
          <w:szCs w:val="20"/>
        </w:rPr>
        <w:t xml:space="preserve">Figure </w:t>
      </w:r>
      <w:r w:rsidR="006B1CF4" w:rsidRPr="00A4418C">
        <w:rPr>
          <w:sz w:val="20"/>
          <w:szCs w:val="20"/>
        </w:rPr>
        <w:fldChar w:fldCharType="begin"/>
      </w:r>
      <w:r w:rsidR="006B1CF4" w:rsidRPr="00A4418C">
        <w:rPr>
          <w:sz w:val="20"/>
          <w:szCs w:val="20"/>
        </w:rPr>
        <w:instrText xml:space="preserve"> SEQ Figure \* ARABIC </w:instrText>
      </w:r>
      <w:r w:rsidR="006B1CF4" w:rsidRPr="00A4418C">
        <w:rPr>
          <w:sz w:val="20"/>
          <w:szCs w:val="20"/>
        </w:rPr>
        <w:fldChar w:fldCharType="separate"/>
      </w:r>
      <w:r w:rsidR="00296988">
        <w:rPr>
          <w:noProof/>
          <w:sz w:val="20"/>
          <w:szCs w:val="20"/>
        </w:rPr>
        <w:t>10</w:t>
      </w:r>
      <w:r w:rsidR="006B1CF4" w:rsidRPr="00A4418C">
        <w:rPr>
          <w:sz w:val="20"/>
          <w:szCs w:val="20"/>
        </w:rPr>
        <w:fldChar w:fldCharType="end"/>
      </w:r>
      <w:bookmarkEnd w:id="308"/>
      <w:r w:rsidRPr="00A4418C">
        <w:rPr>
          <w:sz w:val="20"/>
          <w:szCs w:val="20"/>
        </w:rPr>
        <w:tab/>
        <w:t>Women who had five or more antenatal care visits, by age at birth, 2012–</w:t>
      </w:r>
      <w:r w:rsidR="001014F1" w:rsidRPr="00A4418C">
        <w:rPr>
          <w:sz w:val="20"/>
          <w:szCs w:val="20"/>
        </w:rPr>
        <w:t>2019</w:t>
      </w:r>
      <w:bookmarkEnd w:id="309"/>
    </w:p>
    <w:p w14:paraId="4E275C5F" w14:textId="77777777" w:rsidR="00BE7590" w:rsidRDefault="00BE7590" w:rsidP="00751711">
      <w:pPr>
        <w:rPr>
          <w:sz w:val="18"/>
          <w:szCs w:val="18"/>
        </w:rPr>
      </w:pPr>
      <w:r>
        <w:rPr>
          <w:noProof/>
        </w:rPr>
        <w:drawing>
          <wp:inline distT="0" distB="0" distL="0" distR="0" wp14:anchorId="0A0DC6CE" wp14:editId="26BBD73D">
            <wp:extent cx="5860800" cy="1980000"/>
            <wp:effectExtent l="0" t="0" r="6985" b="1270"/>
            <wp:docPr id="25" name="Chart 25" descr="Chart showing Women who had five or more antenatal care visits, by maternal age at birth, for years 2012–2019.  Age cohorts for Total, Younger than 20 years, 20-24 years, 25-29 years, 30-34 years, 35-39 years and 40 years and over.">
              <a:extLst xmlns:a="http://schemas.openxmlformats.org/drawingml/2006/main">
                <a:ext uri="{FF2B5EF4-FFF2-40B4-BE49-F238E27FC236}">
                  <a16:creationId xmlns:a16="http://schemas.microsoft.com/office/drawing/2014/main" id="{94363C87-CEF6-875A-B9EC-8B068AC05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58A1BAD" w14:textId="7247F8F9" w:rsidR="00751711" w:rsidRPr="00E8746E" w:rsidRDefault="00751711" w:rsidP="00751711">
      <w:r w:rsidRPr="00751711">
        <w:rPr>
          <w:sz w:val="18"/>
          <w:szCs w:val="18"/>
        </w:rPr>
        <w:t>Source: AIHW analysis of National Perinatal Data Collection. National Perinatal Data Collection annual update 2020—data tables</w:t>
      </w:r>
    </w:p>
    <w:p w14:paraId="61FBDEB8" w14:textId="77777777" w:rsidR="00AF0ADF" w:rsidRDefault="00AF0ADF" w:rsidP="001044C9"/>
    <w:p w14:paraId="7F8DB253" w14:textId="77777777" w:rsidR="00AF0ADF" w:rsidRDefault="00AF0ADF" w:rsidP="00AF0ADF">
      <w:pPr>
        <w:pStyle w:val="Heading2"/>
      </w:pPr>
      <w:bookmarkStart w:id="310" w:name="_Toc117524416"/>
      <w:bookmarkStart w:id="311" w:name="_Toc121415071"/>
      <w:r>
        <w:t>Onset of labour</w:t>
      </w:r>
      <w:bookmarkEnd w:id="310"/>
      <w:bookmarkEnd w:id="311"/>
    </w:p>
    <w:p w14:paraId="79FF19C1" w14:textId="77777777" w:rsidR="00AF0ADF" w:rsidRPr="00785C8D" w:rsidRDefault="00AF0ADF" w:rsidP="00AF0ADF">
      <w:pPr>
        <w:rPr>
          <w:b/>
          <w:i/>
          <w:color w:val="0398D7"/>
          <w:szCs w:val="22"/>
        </w:rPr>
      </w:pPr>
      <w:r w:rsidRPr="00785C8D">
        <w:rPr>
          <w:b/>
          <w:i/>
          <w:color w:val="0398D7"/>
          <w:szCs w:val="22"/>
        </w:rPr>
        <w:t>Onset of labour for all women giving birth</w:t>
      </w:r>
    </w:p>
    <w:p w14:paraId="4A8BE7D7" w14:textId="33E4AC3A" w:rsidR="00AF0ADF" w:rsidRDefault="00141C9A" w:rsidP="00141C9A">
      <w:pPr>
        <w:pStyle w:val="Bullets"/>
        <w:numPr>
          <w:ilvl w:val="0"/>
          <w:numId w:val="0"/>
        </w:numPr>
        <w:rPr>
          <w:szCs w:val="22"/>
        </w:rPr>
      </w:pPr>
      <w:r>
        <w:rPr>
          <w:szCs w:val="22"/>
        </w:rPr>
        <w:t xml:space="preserve">Nationally, there have been </w:t>
      </w:r>
      <w:r w:rsidR="00AF0ADF" w:rsidRPr="00785C8D">
        <w:rPr>
          <w:szCs w:val="22"/>
        </w:rPr>
        <w:t>substantial shift</w:t>
      </w:r>
      <w:r>
        <w:rPr>
          <w:szCs w:val="22"/>
        </w:rPr>
        <w:t>s</w:t>
      </w:r>
      <w:r w:rsidR="00AF0ADF" w:rsidRPr="00785C8D">
        <w:rPr>
          <w:szCs w:val="22"/>
        </w:rPr>
        <w:t xml:space="preserve"> in the onset of labour </w:t>
      </w:r>
      <w:r w:rsidR="00AF0ADF">
        <w:rPr>
          <w:szCs w:val="22"/>
        </w:rPr>
        <w:t xml:space="preserve">for all women giving birth </w:t>
      </w:r>
      <w:r w:rsidR="00AF0ADF" w:rsidRPr="00785C8D">
        <w:rPr>
          <w:szCs w:val="22"/>
        </w:rPr>
        <w:t xml:space="preserve">in the </w:t>
      </w:r>
      <w:r w:rsidR="00A4418C">
        <w:rPr>
          <w:szCs w:val="22"/>
        </w:rPr>
        <w:t>p</w:t>
      </w:r>
      <w:r w:rsidR="00AF0ADF" w:rsidRPr="00785C8D">
        <w:rPr>
          <w:szCs w:val="22"/>
        </w:rPr>
        <w:t xml:space="preserve">ast decade. In 2010, 56% of mothers had spontaneous labour, 25% had induced labour and 19% had no labour. Over time, the proportion of mothers with spontaneous labour has reduced </w:t>
      </w:r>
      <w:r w:rsidR="00AF0ADF">
        <w:rPr>
          <w:szCs w:val="22"/>
        </w:rPr>
        <w:t>by</w:t>
      </w:r>
      <w:r w:rsidR="00AF0ADF" w:rsidRPr="00785C8D">
        <w:rPr>
          <w:szCs w:val="22"/>
        </w:rPr>
        <w:t xml:space="preserve"> </w:t>
      </w:r>
      <w:r w:rsidR="001C7B92">
        <w:rPr>
          <w:szCs w:val="22"/>
        </w:rPr>
        <w:t>13</w:t>
      </w:r>
      <w:r w:rsidR="001C7B92" w:rsidRPr="00785C8D">
        <w:rPr>
          <w:szCs w:val="22"/>
        </w:rPr>
        <w:t xml:space="preserve"> </w:t>
      </w:r>
      <w:r w:rsidR="00AF0ADF" w:rsidRPr="00785C8D">
        <w:rPr>
          <w:szCs w:val="22"/>
        </w:rPr>
        <w:t xml:space="preserve">percentage points to </w:t>
      </w:r>
      <w:r w:rsidR="001C7B92" w:rsidRPr="00785C8D">
        <w:rPr>
          <w:szCs w:val="22"/>
        </w:rPr>
        <w:t>4</w:t>
      </w:r>
      <w:r w:rsidR="001C7B92">
        <w:rPr>
          <w:szCs w:val="22"/>
        </w:rPr>
        <w:t>3</w:t>
      </w:r>
      <w:r w:rsidR="00AF0ADF" w:rsidRPr="00785C8D">
        <w:rPr>
          <w:szCs w:val="22"/>
        </w:rPr>
        <w:t xml:space="preserve">%, induced labour increased by 10 percentage points to </w:t>
      </w:r>
      <w:r w:rsidR="001C7B92" w:rsidRPr="00785C8D">
        <w:rPr>
          <w:szCs w:val="22"/>
        </w:rPr>
        <w:t>3</w:t>
      </w:r>
      <w:r w:rsidR="001C7B92">
        <w:rPr>
          <w:szCs w:val="22"/>
        </w:rPr>
        <w:t>5</w:t>
      </w:r>
      <w:r w:rsidR="00AF0ADF" w:rsidRPr="00785C8D">
        <w:rPr>
          <w:szCs w:val="22"/>
        </w:rPr>
        <w:t xml:space="preserve">% and no labour </w:t>
      </w:r>
      <w:r w:rsidR="00AF0ADF">
        <w:rPr>
          <w:szCs w:val="22"/>
        </w:rPr>
        <w:t xml:space="preserve">increased </w:t>
      </w:r>
      <w:r w:rsidR="00AF0ADF" w:rsidRPr="00785C8D">
        <w:rPr>
          <w:szCs w:val="22"/>
        </w:rPr>
        <w:t xml:space="preserve">by 5 percentage points to </w:t>
      </w:r>
      <w:r w:rsidR="001C7B92" w:rsidRPr="00785C8D">
        <w:rPr>
          <w:szCs w:val="22"/>
        </w:rPr>
        <w:t>2</w:t>
      </w:r>
      <w:r w:rsidR="001C7B92">
        <w:rPr>
          <w:szCs w:val="22"/>
        </w:rPr>
        <w:t>3</w:t>
      </w:r>
      <w:r w:rsidR="00AF0ADF" w:rsidRPr="00785C8D">
        <w:rPr>
          <w:szCs w:val="22"/>
        </w:rPr>
        <w:t>% (</w:t>
      </w:r>
      <w:r w:rsidR="00AF0ADF" w:rsidRPr="00785C8D">
        <w:rPr>
          <w:szCs w:val="22"/>
        </w:rPr>
        <w:fldChar w:fldCharType="begin"/>
      </w:r>
      <w:r w:rsidR="00AF0ADF" w:rsidRPr="00785C8D">
        <w:rPr>
          <w:szCs w:val="22"/>
        </w:rPr>
        <w:instrText xml:space="preserve"> REF _Ref117105124 \h  \* MERGEFORMAT </w:instrText>
      </w:r>
      <w:r w:rsidR="00AF0ADF" w:rsidRPr="00785C8D">
        <w:rPr>
          <w:szCs w:val="22"/>
        </w:rPr>
      </w:r>
      <w:r w:rsidR="00AF0ADF" w:rsidRPr="00785C8D">
        <w:rPr>
          <w:szCs w:val="22"/>
        </w:rPr>
        <w:fldChar w:fldCharType="separate"/>
      </w:r>
      <w:r w:rsidR="00296988" w:rsidRPr="00296988">
        <w:rPr>
          <w:szCs w:val="22"/>
        </w:rPr>
        <w:t xml:space="preserve">Figure </w:t>
      </w:r>
      <w:r w:rsidR="00296988" w:rsidRPr="00296988">
        <w:rPr>
          <w:noProof/>
          <w:szCs w:val="22"/>
        </w:rPr>
        <w:t>11</w:t>
      </w:r>
      <w:r w:rsidR="00AF0ADF" w:rsidRPr="00785C8D">
        <w:rPr>
          <w:szCs w:val="22"/>
        </w:rPr>
        <w:fldChar w:fldCharType="end"/>
      </w:r>
      <w:r w:rsidR="00AF0ADF" w:rsidRPr="00785C8D">
        <w:rPr>
          <w:szCs w:val="22"/>
        </w:rPr>
        <w:t>).</w:t>
      </w:r>
    </w:p>
    <w:p w14:paraId="066C347A" w14:textId="11AE180E" w:rsidR="00141C9A" w:rsidRPr="005A3430" w:rsidRDefault="00141C9A" w:rsidP="00141C9A">
      <w:pPr>
        <w:pStyle w:val="Bullets"/>
        <w:ind w:left="357" w:hanging="357"/>
        <w:rPr>
          <w:szCs w:val="22"/>
        </w:rPr>
      </w:pPr>
      <w:r w:rsidRPr="005A3430">
        <w:rPr>
          <w:szCs w:val="22"/>
        </w:rPr>
        <w:t xml:space="preserve">In 2010, 24% to 26% of labour was induced </w:t>
      </w:r>
      <w:r>
        <w:rPr>
          <w:szCs w:val="22"/>
        </w:rPr>
        <w:t xml:space="preserve">across all </w:t>
      </w:r>
      <w:r w:rsidRPr="003B2A42">
        <w:rPr>
          <w:szCs w:val="22"/>
        </w:rPr>
        <w:t xml:space="preserve">age groups. </w:t>
      </w:r>
      <w:r w:rsidRPr="00EA5E3B">
        <w:rPr>
          <w:szCs w:val="22"/>
        </w:rPr>
        <w:t xml:space="preserve">By </w:t>
      </w:r>
      <w:r w:rsidR="000E65C4" w:rsidRPr="00EA5E3B">
        <w:rPr>
          <w:szCs w:val="22"/>
        </w:rPr>
        <w:t>2019</w:t>
      </w:r>
      <w:r w:rsidRPr="00EA5E3B">
        <w:rPr>
          <w:szCs w:val="22"/>
        </w:rPr>
        <w:t>,</w:t>
      </w:r>
      <w:r w:rsidRPr="003B2A42">
        <w:rPr>
          <w:szCs w:val="22"/>
        </w:rPr>
        <w:t xml:space="preserve"> induction of labour had increased to </w:t>
      </w:r>
      <w:r w:rsidR="00326BCC" w:rsidRPr="003B2A42">
        <w:rPr>
          <w:szCs w:val="22"/>
        </w:rPr>
        <w:t>approximately</w:t>
      </w:r>
      <w:r w:rsidRPr="003B2A42">
        <w:rPr>
          <w:szCs w:val="22"/>
        </w:rPr>
        <w:t xml:space="preserve"> </w:t>
      </w:r>
      <w:r w:rsidR="000E5697" w:rsidRPr="003B2A42">
        <w:rPr>
          <w:szCs w:val="22"/>
        </w:rPr>
        <w:t>38</w:t>
      </w:r>
      <w:r w:rsidRPr="003B2A42">
        <w:rPr>
          <w:szCs w:val="22"/>
        </w:rPr>
        <w:t>% for younger women (aged 24 years or</w:t>
      </w:r>
      <w:r>
        <w:rPr>
          <w:szCs w:val="22"/>
        </w:rPr>
        <w:t xml:space="preserve"> less) and to between 3</w:t>
      </w:r>
      <w:r w:rsidR="000E5697">
        <w:rPr>
          <w:szCs w:val="22"/>
        </w:rPr>
        <w:t>2</w:t>
      </w:r>
      <w:r>
        <w:rPr>
          <w:szCs w:val="22"/>
        </w:rPr>
        <w:t>% and 37% for women aged 25 years or older.</w:t>
      </w:r>
    </w:p>
    <w:p w14:paraId="0025D469" w14:textId="72C8FEC4" w:rsidR="00141C9A" w:rsidRPr="00806EB6" w:rsidRDefault="00806EB6" w:rsidP="00806EB6">
      <w:pPr>
        <w:pStyle w:val="Bullets"/>
        <w:rPr>
          <w:rFonts w:ascii="Calibri" w:hAnsi="Calibri"/>
          <w:sz w:val="20"/>
          <w:szCs w:val="20"/>
        </w:rPr>
      </w:pPr>
      <w:r>
        <w:t>In 2010, Indigenous mothers (59%</w:t>
      </w:r>
      <w:r w:rsidR="001C7B92">
        <w:t>, age standardised</w:t>
      </w:r>
      <w:r>
        <w:t>) and mothers born overseas (59%) had a higher proportion of spontaneous labour than non-Indigenous women (56%</w:t>
      </w:r>
      <w:r w:rsidR="001C7B92">
        <w:t>, age standardised</w:t>
      </w:r>
      <w:r>
        <w:t>) and women born in Australia (55%). In 2019, the split between spontaneous, induced and no labour was similar for Indigenous and non-Indigenous women, and women born both in Australia and overseas.</w:t>
      </w:r>
    </w:p>
    <w:p w14:paraId="46527A70" w14:textId="23E2A3FC" w:rsidR="00141C9A" w:rsidRPr="003B2A42" w:rsidRDefault="00141C9A" w:rsidP="00141C9A">
      <w:pPr>
        <w:pStyle w:val="Bullets"/>
        <w:ind w:left="357" w:hanging="357"/>
        <w:rPr>
          <w:szCs w:val="22"/>
        </w:rPr>
      </w:pPr>
      <w:r w:rsidRPr="003B2A42">
        <w:rPr>
          <w:szCs w:val="22"/>
        </w:rPr>
        <w:t>When considering the remoteness areas of the mothers’ usual residence, the largest shift</w:t>
      </w:r>
      <w:r w:rsidR="00A4418C">
        <w:rPr>
          <w:szCs w:val="22"/>
        </w:rPr>
        <w:t>s</w:t>
      </w:r>
      <w:r w:rsidRPr="003B2A42">
        <w:rPr>
          <w:szCs w:val="22"/>
        </w:rPr>
        <w:t xml:space="preserve"> away from spontaneous labour towards induced and no labour can be observed in very remote areas, major cities and inner regional areas.</w:t>
      </w:r>
    </w:p>
    <w:p w14:paraId="653000AA" w14:textId="48B9BAE9" w:rsidR="00141C9A" w:rsidRPr="003B2A42" w:rsidRDefault="00141C9A" w:rsidP="00141C9A">
      <w:pPr>
        <w:pStyle w:val="Bullets"/>
        <w:ind w:left="357" w:hanging="357"/>
        <w:rPr>
          <w:szCs w:val="22"/>
        </w:rPr>
      </w:pPr>
      <w:r w:rsidRPr="003B2A42">
        <w:rPr>
          <w:szCs w:val="22"/>
        </w:rPr>
        <w:t xml:space="preserve">In 2010, spontaneous labour was </w:t>
      </w:r>
      <w:r w:rsidR="00A4418C">
        <w:rPr>
          <w:szCs w:val="22"/>
        </w:rPr>
        <w:t>more</w:t>
      </w:r>
      <w:r w:rsidRPr="003B2A42">
        <w:rPr>
          <w:szCs w:val="22"/>
        </w:rPr>
        <w:t xml:space="preserve"> common in both public (</w:t>
      </w:r>
      <w:r w:rsidR="00A21BD3" w:rsidRPr="003B2A42">
        <w:rPr>
          <w:szCs w:val="22"/>
        </w:rPr>
        <w:t>60</w:t>
      </w:r>
      <w:r w:rsidRPr="003B2A42">
        <w:rPr>
          <w:szCs w:val="22"/>
        </w:rPr>
        <w:t>%) and private sector (4</w:t>
      </w:r>
      <w:r w:rsidR="00255C82" w:rsidRPr="003B2A42">
        <w:rPr>
          <w:szCs w:val="22"/>
        </w:rPr>
        <w:t>3</w:t>
      </w:r>
      <w:r w:rsidRPr="003B2A42">
        <w:rPr>
          <w:szCs w:val="22"/>
        </w:rPr>
        <w:t>%)</w:t>
      </w:r>
      <w:r w:rsidR="00A4418C">
        <w:rPr>
          <w:szCs w:val="22"/>
        </w:rPr>
        <w:t xml:space="preserve"> than it was in 2019, having decreased to</w:t>
      </w:r>
      <w:r w:rsidRPr="003B2A42">
        <w:rPr>
          <w:szCs w:val="22"/>
        </w:rPr>
        <w:t xml:space="preserve"> </w:t>
      </w:r>
      <w:r w:rsidR="00BE4A9B" w:rsidRPr="003B2A42">
        <w:rPr>
          <w:szCs w:val="22"/>
        </w:rPr>
        <w:t>45</w:t>
      </w:r>
      <w:r w:rsidRPr="003B2A42">
        <w:rPr>
          <w:szCs w:val="22"/>
        </w:rPr>
        <w:t xml:space="preserve">% and </w:t>
      </w:r>
      <w:r w:rsidR="00BE4A9B" w:rsidRPr="003B2A42">
        <w:rPr>
          <w:szCs w:val="22"/>
        </w:rPr>
        <w:t>30</w:t>
      </w:r>
      <w:r w:rsidRPr="003B2A42">
        <w:rPr>
          <w:szCs w:val="22"/>
        </w:rPr>
        <w:t xml:space="preserve">%, </w:t>
      </w:r>
      <w:r w:rsidRPr="00EA5E3B">
        <w:rPr>
          <w:szCs w:val="22"/>
        </w:rPr>
        <w:t>respectively.</w:t>
      </w:r>
    </w:p>
    <w:p w14:paraId="7D966A26" w14:textId="0FF2D6EF" w:rsidR="00141C9A" w:rsidRPr="00EA717F" w:rsidRDefault="00141C9A" w:rsidP="00141C9A">
      <w:pPr>
        <w:pStyle w:val="Bullets"/>
        <w:ind w:left="357" w:hanging="357"/>
        <w:rPr>
          <w:szCs w:val="22"/>
        </w:rPr>
      </w:pPr>
      <w:r w:rsidRPr="00EA717F">
        <w:rPr>
          <w:szCs w:val="22"/>
        </w:rPr>
        <w:t xml:space="preserve">Further findings are </w:t>
      </w:r>
      <w:r w:rsidRPr="00B247F1">
        <w:rPr>
          <w:szCs w:val="22"/>
        </w:rPr>
        <w:t>available in</w:t>
      </w:r>
      <w:r w:rsidR="00C6217C" w:rsidRPr="00B247F1">
        <w:rPr>
          <w:szCs w:val="22"/>
        </w:rPr>
        <w:t xml:space="preserve"> </w:t>
      </w:r>
      <w:r w:rsidR="00C6217C" w:rsidRPr="00B247F1">
        <w:rPr>
          <w:szCs w:val="22"/>
        </w:rPr>
        <w:fldChar w:fldCharType="begin"/>
      </w:r>
      <w:r w:rsidR="00C6217C" w:rsidRPr="00B247F1">
        <w:rPr>
          <w:szCs w:val="22"/>
        </w:rPr>
        <w:instrText xml:space="preserve"> REF _Ref117123120 \h </w:instrText>
      </w:r>
      <w:r w:rsidR="00B247F1">
        <w:rPr>
          <w:szCs w:val="22"/>
        </w:rPr>
        <w:instrText xml:space="preserve"> \* MERGEFORMAT </w:instrText>
      </w:r>
      <w:r w:rsidR="00C6217C" w:rsidRPr="00B247F1">
        <w:rPr>
          <w:szCs w:val="22"/>
        </w:rPr>
      </w:r>
      <w:r w:rsidR="00C6217C" w:rsidRPr="00B247F1">
        <w:rPr>
          <w:szCs w:val="22"/>
        </w:rPr>
        <w:fldChar w:fldCharType="separate"/>
      </w:r>
      <w:r w:rsidR="00296988" w:rsidRPr="00296988">
        <w:rPr>
          <w:szCs w:val="22"/>
        </w:rPr>
        <w:t xml:space="preserve">Table </w:t>
      </w:r>
      <w:r w:rsidR="00296988" w:rsidRPr="00296988">
        <w:rPr>
          <w:noProof/>
          <w:szCs w:val="22"/>
        </w:rPr>
        <w:t>15</w:t>
      </w:r>
      <w:r w:rsidR="00C6217C" w:rsidRPr="00B247F1">
        <w:rPr>
          <w:szCs w:val="22"/>
        </w:rPr>
        <w:fldChar w:fldCharType="end"/>
      </w:r>
      <w:r w:rsidR="00C6217C" w:rsidRPr="00B247F1">
        <w:rPr>
          <w:szCs w:val="22"/>
        </w:rPr>
        <w:t xml:space="preserve"> to </w:t>
      </w:r>
      <w:r w:rsidR="00C6217C" w:rsidRPr="00B247F1">
        <w:rPr>
          <w:szCs w:val="22"/>
        </w:rPr>
        <w:fldChar w:fldCharType="begin"/>
      </w:r>
      <w:r w:rsidR="00C6217C" w:rsidRPr="00B247F1">
        <w:rPr>
          <w:szCs w:val="22"/>
        </w:rPr>
        <w:instrText xml:space="preserve"> REF _Ref117927732 \h </w:instrText>
      </w:r>
      <w:r w:rsidR="00B247F1">
        <w:rPr>
          <w:szCs w:val="22"/>
        </w:rPr>
        <w:instrText xml:space="preserve"> \* MERGEFORMAT </w:instrText>
      </w:r>
      <w:r w:rsidR="00C6217C" w:rsidRPr="00B247F1">
        <w:rPr>
          <w:szCs w:val="22"/>
        </w:rPr>
      </w:r>
      <w:r w:rsidR="00C6217C" w:rsidRPr="00B247F1">
        <w:rPr>
          <w:szCs w:val="22"/>
        </w:rPr>
        <w:fldChar w:fldCharType="separate"/>
      </w:r>
      <w:r w:rsidR="00296988" w:rsidRPr="00296988">
        <w:rPr>
          <w:szCs w:val="22"/>
        </w:rPr>
        <w:t xml:space="preserve">Table </w:t>
      </w:r>
      <w:r w:rsidR="00296988" w:rsidRPr="00296988">
        <w:rPr>
          <w:noProof/>
          <w:szCs w:val="22"/>
        </w:rPr>
        <w:t>17</w:t>
      </w:r>
      <w:r w:rsidR="00C6217C" w:rsidRPr="00B247F1">
        <w:rPr>
          <w:szCs w:val="22"/>
        </w:rPr>
        <w:fldChar w:fldCharType="end"/>
      </w:r>
      <w:r w:rsidR="00C6217C" w:rsidRPr="00B247F1">
        <w:rPr>
          <w:szCs w:val="22"/>
        </w:rPr>
        <w:t>.</w:t>
      </w:r>
    </w:p>
    <w:p w14:paraId="7449FE24" w14:textId="77777777" w:rsidR="00AF0ADF" w:rsidRPr="00785C8D" w:rsidRDefault="00AF0ADF" w:rsidP="00EA5E3B"/>
    <w:p w14:paraId="55A79F84" w14:textId="588B2E6D" w:rsidR="00AF0ADF" w:rsidRPr="00A4418C" w:rsidRDefault="00AF0ADF" w:rsidP="00AF0ADF">
      <w:pPr>
        <w:pStyle w:val="Caption"/>
        <w:rPr>
          <w:sz w:val="20"/>
          <w:szCs w:val="20"/>
        </w:rPr>
      </w:pPr>
      <w:bookmarkStart w:id="312" w:name="_Ref117105124"/>
      <w:bookmarkStart w:id="313" w:name="_Toc121415177"/>
      <w:r w:rsidRPr="00A4418C">
        <w:rPr>
          <w:sz w:val="20"/>
          <w:szCs w:val="20"/>
        </w:rPr>
        <w:t xml:space="preserve">Figure </w:t>
      </w:r>
      <w:r w:rsidR="00A64FC5" w:rsidRPr="00A4418C">
        <w:rPr>
          <w:sz w:val="20"/>
          <w:szCs w:val="20"/>
        </w:rPr>
        <w:fldChar w:fldCharType="begin"/>
      </w:r>
      <w:r w:rsidR="00A64FC5" w:rsidRPr="00A4418C">
        <w:rPr>
          <w:sz w:val="20"/>
          <w:szCs w:val="20"/>
        </w:rPr>
        <w:instrText xml:space="preserve"> SEQ Figure \* ARABIC </w:instrText>
      </w:r>
      <w:r w:rsidR="00A64FC5" w:rsidRPr="00A4418C">
        <w:rPr>
          <w:sz w:val="20"/>
          <w:szCs w:val="20"/>
        </w:rPr>
        <w:fldChar w:fldCharType="separate"/>
      </w:r>
      <w:r w:rsidR="00296988">
        <w:rPr>
          <w:noProof/>
          <w:sz w:val="20"/>
          <w:szCs w:val="20"/>
        </w:rPr>
        <w:t>11</w:t>
      </w:r>
      <w:r w:rsidR="00A64FC5" w:rsidRPr="00A4418C">
        <w:rPr>
          <w:noProof/>
          <w:sz w:val="20"/>
          <w:szCs w:val="20"/>
        </w:rPr>
        <w:fldChar w:fldCharType="end"/>
      </w:r>
      <w:bookmarkEnd w:id="312"/>
      <w:r w:rsidRPr="00A4418C">
        <w:rPr>
          <w:sz w:val="20"/>
          <w:szCs w:val="20"/>
        </w:rPr>
        <w:tab/>
        <w:t>Onset of labour</w:t>
      </w:r>
      <w:r w:rsidR="009C23FB">
        <w:rPr>
          <w:sz w:val="20"/>
          <w:szCs w:val="20"/>
        </w:rPr>
        <w:t>,</w:t>
      </w:r>
      <w:r w:rsidRPr="00A4418C">
        <w:rPr>
          <w:sz w:val="20"/>
          <w:szCs w:val="20"/>
        </w:rPr>
        <w:t xml:space="preserve"> all women giving birth, 2010–20</w:t>
      </w:r>
      <w:r w:rsidR="000E65C4" w:rsidRPr="00A4418C">
        <w:rPr>
          <w:sz w:val="20"/>
          <w:szCs w:val="20"/>
        </w:rPr>
        <w:t>19</w:t>
      </w:r>
      <w:bookmarkEnd w:id="313"/>
    </w:p>
    <w:p w14:paraId="1A9F6F49" w14:textId="26273CEC" w:rsidR="00AF0ADF" w:rsidRDefault="00FF62EE" w:rsidP="00AF0ADF">
      <w:r>
        <w:rPr>
          <w:noProof/>
        </w:rPr>
        <w:drawing>
          <wp:inline distT="0" distB="0" distL="0" distR="0" wp14:anchorId="4A58F9D5" wp14:editId="63038A52">
            <wp:extent cx="5860800" cy="1980000"/>
            <wp:effectExtent l="0" t="0" r="6985" b="1270"/>
            <wp:docPr id="26" name="Chart 26" descr="Chart showing onset of labour for all women giving birth between the years 2010 to 2019. Over time, the proportion of mothers with spontaneous labour has reduced ">
              <a:extLst xmlns:a="http://schemas.openxmlformats.org/drawingml/2006/main">
                <a:ext uri="{FF2B5EF4-FFF2-40B4-BE49-F238E27FC236}">
                  <a16:creationId xmlns:a16="http://schemas.microsoft.com/office/drawing/2014/main" id="{01803055-B496-0A59-7EDF-3B4BBB420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601EA05" w14:textId="77777777" w:rsidR="00751711" w:rsidRPr="00E8746E" w:rsidRDefault="00751711" w:rsidP="00751711">
      <w:r w:rsidRPr="00751711">
        <w:rPr>
          <w:sz w:val="18"/>
          <w:szCs w:val="18"/>
        </w:rPr>
        <w:t>Source: AIHW analysis of National Perinatal Data Collection. National Perinatal Data Collection annual update 2020—data tables</w:t>
      </w:r>
    </w:p>
    <w:p w14:paraId="635B77F4" w14:textId="77777777" w:rsidR="00AF0ADF" w:rsidRDefault="00AF0ADF" w:rsidP="001044C9"/>
    <w:p w14:paraId="090CA683" w14:textId="6EA195D5" w:rsidR="00AF0ADF" w:rsidRPr="00614AA3" w:rsidRDefault="00AF0ADF" w:rsidP="00AF0ADF">
      <w:pPr>
        <w:rPr>
          <w:b/>
          <w:i/>
          <w:color w:val="0398D7"/>
          <w:szCs w:val="22"/>
        </w:rPr>
      </w:pPr>
      <w:r w:rsidRPr="00614AA3">
        <w:rPr>
          <w:b/>
          <w:i/>
          <w:color w:val="0398D7"/>
          <w:szCs w:val="22"/>
        </w:rPr>
        <w:t>Induction of labour for selected women giving birth for the first time</w:t>
      </w:r>
      <w:r w:rsidR="001044C9">
        <w:rPr>
          <w:b/>
          <w:i/>
          <w:color w:val="0398D7"/>
          <w:szCs w:val="22"/>
        </w:rPr>
        <w:t xml:space="preserve"> (PI05)</w:t>
      </w:r>
    </w:p>
    <w:p w14:paraId="455CACE2" w14:textId="1E5E673D" w:rsidR="00AF0ADF" w:rsidRPr="00717583" w:rsidRDefault="00AF0ADF" w:rsidP="00F66749">
      <w:pPr>
        <w:pStyle w:val="Bullets"/>
        <w:numPr>
          <w:ilvl w:val="0"/>
          <w:numId w:val="0"/>
        </w:numPr>
        <w:rPr>
          <w:szCs w:val="22"/>
        </w:rPr>
      </w:pPr>
      <w:r w:rsidRPr="00717583">
        <w:rPr>
          <w:szCs w:val="22"/>
        </w:rPr>
        <w:t xml:space="preserve">At a national level, induction of labour has increased </w:t>
      </w:r>
      <w:r w:rsidR="00BE7C89">
        <w:rPr>
          <w:szCs w:val="22"/>
        </w:rPr>
        <w:t>year on year</w:t>
      </w:r>
      <w:r w:rsidRPr="00717583">
        <w:rPr>
          <w:szCs w:val="22"/>
        </w:rPr>
        <w:t xml:space="preserve"> since 2011 for </w:t>
      </w:r>
      <w:r w:rsidRPr="00C24842">
        <w:rPr>
          <w:b/>
          <w:szCs w:val="22"/>
        </w:rPr>
        <w:t>selected women</w:t>
      </w:r>
      <w:r w:rsidR="00E83160">
        <w:rPr>
          <w:rStyle w:val="FootnoteReference"/>
          <w:b/>
          <w:szCs w:val="22"/>
        </w:rPr>
        <w:footnoteReference w:id="5"/>
      </w:r>
      <w:r w:rsidRPr="00717583">
        <w:rPr>
          <w:szCs w:val="22"/>
        </w:rPr>
        <w:t xml:space="preserve">  giving birth for the first time, from </w:t>
      </w:r>
      <w:r w:rsidR="00D7082F">
        <w:rPr>
          <w:szCs w:val="22"/>
        </w:rPr>
        <w:t>34</w:t>
      </w:r>
      <w:r w:rsidRPr="00717583">
        <w:rPr>
          <w:szCs w:val="22"/>
        </w:rPr>
        <w:t xml:space="preserve">% in 2011 to </w:t>
      </w:r>
      <w:r w:rsidR="00D7082F">
        <w:rPr>
          <w:szCs w:val="22"/>
        </w:rPr>
        <w:t>47</w:t>
      </w:r>
      <w:r w:rsidRPr="00717583">
        <w:rPr>
          <w:szCs w:val="22"/>
        </w:rPr>
        <w:t>% in 2019 (</w:t>
      </w:r>
      <w:r w:rsidRPr="00717583">
        <w:rPr>
          <w:szCs w:val="22"/>
        </w:rPr>
        <w:fldChar w:fldCharType="begin"/>
      </w:r>
      <w:r w:rsidRPr="00717583">
        <w:rPr>
          <w:szCs w:val="22"/>
        </w:rPr>
        <w:instrText xml:space="preserve"> REF _Ref117095071 \h  \* MERGEFORMAT </w:instrText>
      </w:r>
      <w:r w:rsidRPr="00717583">
        <w:rPr>
          <w:szCs w:val="22"/>
        </w:rPr>
      </w:r>
      <w:r w:rsidRPr="00717583">
        <w:rPr>
          <w:szCs w:val="22"/>
        </w:rPr>
        <w:fldChar w:fldCharType="separate"/>
      </w:r>
      <w:r w:rsidR="00296988" w:rsidRPr="00296988">
        <w:rPr>
          <w:szCs w:val="22"/>
        </w:rPr>
        <w:t xml:space="preserve">Figure </w:t>
      </w:r>
      <w:r w:rsidR="00296988" w:rsidRPr="00296988">
        <w:rPr>
          <w:noProof/>
          <w:szCs w:val="22"/>
        </w:rPr>
        <w:t>12</w:t>
      </w:r>
      <w:r w:rsidRPr="00717583">
        <w:rPr>
          <w:szCs w:val="22"/>
        </w:rPr>
        <w:fldChar w:fldCharType="end"/>
      </w:r>
      <w:r w:rsidR="00C6217C">
        <w:rPr>
          <w:szCs w:val="22"/>
        </w:rPr>
        <w:t xml:space="preserve">; see </w:t>
      </w:r>
      <w:r w:rsidR="00C6217C" w:rsidRPr="00B247F1">
        <w:rPr>
          <w:szCs w:val="22"/>
        </w:rPr>
        <w:t xml:space="preserve">also </w:t>
      </w:r>
      <w:r w:rsidR="00C6217C" w:rsidRPr="00B247F1">
        <w:rPr>
          <w:szCs w:val="22"/>
        </w:rPr>
        <w:fldChar w:fldCharType="begin"/>
      </w:r>
      <w:r w:rsidR="00C6217C" w:rsidRPr="00B247F1">
        <w:rPr>
          <w:szCs w:val="22"/>
        </w:rPr>
        <w:instrText xml:space="preserve"> REF _Ref117927933 \h </w:instrText>
      </w:r>
      <w:r w:rsidR="00B247F1">
        <w:rPr>
          <w:szCs w:val="22"/>
        </w:rPr>
        <w:instrText xml:space="preserve"> \* MERGEFORMAT </w:instrText>
      </w:r>
      <w:r w:rsidR="00C6217C" w:rsidRPr="00B247F1">
        <w:rPr>
          <w:szCs w:val="22"/>
        </w:rPr>
      </w:r>
      <w:r w:rsidR="00C6217C" w:rsidRPr="00B247F1">
        <w:rPr>
          <w:szCs w:val="22"/>
        </w:rPr>
        <w:fldChar w:fldCharType="separate"/>
      </w:r>
      <w:r w:rsidR="00296988" w:rsidRPr="00296988">
        <w:rPr>
          <w:szCs w:val="22"/>
        </w:rPr>
        <w:t xml:space="preserve">Table </w:t>
      </w:r>
      <w:r w:rsidR="00296988" w:rsidRPr="00296988">
        <w:rPr>
          <w:noProof/>
          <w:szCs w:val="22"/>
        </w:rPr>
        <w:t>18</w:t>
      </w:r>
      <w:r w:rsidR="00C6217C" w:rsidRPr="00B247F1">
        <w:rPr>
          <w:szCs w:val="22"/>
        </w:rPr>
        <w:fldChar w:fldCharType="end"/>
      </w:r>
      <w:r w:rsidR="00C6217C" w:rsidRPr="00B247F1">
        <w:rPr>
          <w:szCs w:val="22"/>
        </w:rPr>
        <w:t>).</w:t>
      </w:r>
    </w:p>
    <w:p w14:paraId="0F6123E9" w14:textId="4D10FFB4" w:rsidR="00AF0ADF" w:rsidRPr="00717583" w:rsidRDefault="00AF0ADF" w:rsidP="00A4418C">
      <w:pPr>
        <w:pStyle w:val="Bullets"/>
        <w:numPr>
          <w:ilvl w:val="0"/>
          <w:numId w:val="0"/>
        </w:numPr>
        <w:rPr>
          <w:szCs w:val="22"/>
        </w:rPr>
      </w:pPr>
      <w:r w:rsidRPr="00717583">
        <w:rPr>
          <w:szCs w:val="22"/>
        </w:rPr>
        <w:t>This increasing national trend was observed among Indigenous and non-</w:t>
      </w:r>
      <w:r w:rsidR="001044C9">
        <w:rPr>
          <w:szCs w:val="22"/>
        </w:rPr>
        <w:t>I</w:t>
      </w:r>
      <w:r w:rsidRPr="00717583">
        <w:rPr>
          <w:szCs w:val="22"/>
        </w:rPr>
        <w:t>ndigenous women, and across different areas of residence and hospital sectors. An exception was seen among women who gave birth in hospitals with 100 births or less per year (</w:t>
      </w:r>
      <w:r w:rsidR="00D7082F">
        <w:rPr>
          <w:szCs w:val="22"/>
        </w:rPr>
        <w:t>23</w:t>
      </w:r>
      <w:r w:rsidRPr="00717583">
        <w:rPr>
          <w:szCs w:val="22"/>
        </w:rPr>
        <w:t>% in 2011 and 24% in 2019), however absolute numbers of women in this group remained small over time.</w:t>
      </w:r>
    </w:p>
    <w:p w14:paraId="1CAB51E7" w14:textId="17C94205" w:rsidR="00AF0ADF" w:rsidRPr="00A4418C" w:rsidRDefault="00AF0ADF" w:rsidP="00AF0ADF">
      <w:pPr>
        <w:pStyle w:val="Caption"/>
        <w:rPr>
          <w:sz w:val="20"/>
          <w:szCs w:val="20"/>
        </w:rPr>
      </w:pPr>
      <w:bookmarkStart w:id="314" w:name="_Ref117095071"/>
      <w:bookmarkStart w:id="315" w:name="_Toc121415178"/>
      <w:r w:rsidRPr="00A4418C">
        <w:rPr>
          <w:sz w:val="20"/>
          <w:szCs w:val="20"/>
        </w:rPr>
        <w:t xml:space="preserve">Figure </w:t>
      </w:r>
      <w:r w:rsidR="00A64FC5" w:rsidRPr="00A4418C">
        <w:rPr>
          <w:sz w:val="20"/>
          <w:szCs w:val="20"/>
        </w:rPr>
        <w:fldChar w:fldCharType="begin"/>
      </w:r>
      <w:r w:rsidR="00A64FC5" w:rsidRPr="00A4418C">
        <w:rPr>
          <w:sz w:val="20"/>
          <w:szCs w:val="20"/>
        </w:rPr>
        <w:instrText xml:space="preserve"> SEQ Figure \* ARABIC </w:instrText>
      </w:r>
      <w:r w:rsidR="00A64FC5" w:rsidRPr="00A4418C">
        <w:rPr>
          <w:sz w:val="20"/>
          <w:szCs w:val="20"/>
        </w:rPr>
        <w:fldChar w:fldCharType="separate"/>
      </w:r>
      <w:r w:rsidR="00296988">
        <w:rPr>
          <w:noProof/>
          <w:sz w:val="20"/>
          <w:szCs w:val="20"/>
        </w:rPr>
        <w:t>12</w:t>
      </w:r>
      <w:r w:rsidR="00A64FC5" w:rsidRPr="00A4418C">
        <w:rPr>
          <w:noProof/>
          <w:sz w:val="20"/>
          <w:szCs w:val="20"/>
        </w:rPr>
        <w:fldChar w:fldCharType="end"/>
      </w:r>
      <w:bookmarkEnd w:id="314"/>
      <w:r w:rsidRPr="00A4418C">
        <w:rPr>
          <w:sz w:val="20"/>
          <w:szCs w:val="20"/>
        </w:rPr>
        <w:tab/>
        <w:t>Induction of labour</w:t>
      </w:r>
      <w:r w:rsidR="009C23FB">
        <w:rPr>
          <w:sz w:val="20"/>
          <w:szCs w:val="20"/>
        </w:rPr>
        <w:t>,</w:t>
      </w:r>
      <w:r w:rsidRPr="00A4418C">
        <w:rPr>
          <w:sz w:val="20"/>
          <w:szCs w:val="20"/>
        </w:rPr>
        <w:t xml:space="preserve"> selected women</w:t>
      </w:r>
      <w:r w:rsidR="00BC27C1">
        <w:rPr>
          <w:sz w:val="20"/>
          <w:szCs w:val="20"/>
        </w:rPr>
        <w:t>, first birth</w:t>
      </w:r>
      <w:r w:rsidRPr="00A4418C">
        <w:rPr>
          <w:sz w:val="20"/>
          <w:szCs w:val="20"/>
        </w:rPr>
        <w:t xml:space="preserve"> (PI05), 2011–2019</w:t>
      </w:r>
      <w:bookmarkEnd w:id="315"/>
    </w:p>
    <w:p w14:paraId="7371BD7E" w14:textId="57CC85BD" w:rsidR="00AF0ADF" w:rsidRPr="004E3C4F" w:rsidRDefault="009F44B0" w:rsidP="00AF0ADF">
      <w:r>
        <w:rPr>
          <w:noProof/>
        </w:rPr>
        <w:drawing>
          <wp:inline distT="0" distB="0" distL="0" distR="0" wp14:anchorId="5C337CF9" wp14:editId="7C3558B1">
            <wp:extent cx="5929770" cy="1845945"/>
            <wp:effectExtent l="0" t="0" r="13970" b="1905"/>
            <wp:docPr id="28" name="Chart 28" descr="Percentage of selected women giving birth for the first time, year 2022 to 2019, who had an induction of labour. Selected women are defined as ‘aged between 20 and 34 years, where gestational age at birth was between 37 and 41 completed weeks, with a singleton baby in the vertex presentation’.">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EC1A4A3" w14:textId="53840464" w:rsidR="00AF0ADF" w:rsidRDefault="00E134EA" w:rsidP="00AF0ADF">
      <w:pPr>
        <w:rPr>
          <w:rFonts w:cstheme="minorHAnsi"/>
          <w:color w:val="000000"/>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0AA95662" w14:textId="77777777" w:rsidR="001044C9" w:rsidRDefault="001044C9" w:rsidP="001044C9"/>
    <w:p w14:paraId="27F0FD61" w14:textId="77777777" w:rsidR="00AF0ADF" w:rsidRDefault="00AF0ADF" w:rsidP="00AF0ADF">
      <w:pPr>
        <w:pStyle w:val="Heading2"/>
      </w:pPr>
      <w:bookmarkStart w:id="316" w:name="_Toc117524417"/>
      <w:bookmarkStart w:id="317" w:name="_Toc121415072"/>
      <w:r>
        <w:t>Method of birth, birth interventions and birth complications</w:t>
      </w:r>
      <w:bookmarkEnd w:id="316"/>
      <w:bookmarkEnd w:id="317"/>
    </w:p>
    <w:p w14:paraId="63354C13" w14:textId="77777777" w:rsidR="00AF0ADF" w:rsidRPr="00463415" w:rsidRDefault="00AF0ADF" w:rsidP="00AF0ADF">
      <w:pPr>
        <w:rPr>
          <w:b/>
          <w:i/>
          <w:szCs w:val="22"/>
        </w:rPr>
      </w:pPr>
      <w:r w:rsidRPr="00463415">
        <w:rPr>
          <w:b/>
          <w:i/>
          <w:color w:val="0398D7"/>
          <w:szCs w:val="22"/>
        </w:rPr>
        <w:t>Method of birth</w:t>
      </w:r>
      <w:r>
        <w:rPr>
          <w:b/>
          <w:i/>
          <w:color w:val="0398D7"/>
          <w:szCs w:val="22"/>
        </w:rPr>
        <w:t xml:space="preserve"> for all women</w:t>
      </w:r>
    </w:p>
    <w:p w14:paraId="0EB46CF1" w14:textId="3C7E2CBA" w:rsidR="00AF0ADF" w:rsidRPr="00463415" w:rsidRDefault="00AF0ADF" w:rsidP="00F66749">
      <w:pPr>
        <w:pStyle w:val="Bullets"/>
        <w:numPr>
          <w:ilvl w:val="0"/>
          <w:numId w:val="0"/>
        </w:numPr>
        <w:rPr>
          <w:szCs w:val="22"/>
        </w:rPr>
      </w:pPr>
      <w:r w:rsidRPr="00463415">
        <w:rPr>
          <w:szCs w:val="22"/>
        </w:rPr>
        <w:t xml:space="preserve">Between 2010 and </w:t>
      </w:r>
      <w:r w:rsidR="001A700D" w:rsidRPr="00EA5E3B">
        <w:rPr>
          <w:szCs w:val="22"/>
        </w:rPr>
        <w:t>2019</w:t>
      </w:r>
      <w:r w:rsidRPr="00EA5E3B">
        <w:rPr>
          <w:szCs w:val="22"/>
        </w:rPr>
        <w:t>,</w:t>
      </w:r>
      <w:r w:rsidRPr="001A700D">
        <w:rPr>
          <w:szCs w:val="22"/>
        </w:rPr>
        <w:t xml:space="preserve"> the</w:t>
      </w:r>
      <w:r w:rsidRPr="00463415">
        <w:rPr>
          <w:szCs w:val="22"/>
        </w:rPr>
        <w:t xml:space="preserve"> proportion of non-instrumental vaginal birth decreased from 56% to </w:t>
      </w:r>
      <w:r w:rsidR="001044C9" w:rsidRPr="00463415">
        <w:rPr>
          <w:szCs w:val="22"/>
        </w:rPr>
        <w:t>5</w:t>
      </w:r>
      <w:r w:rsidR="001044C9">
        <w:rPr>
          <w:szCs w:val="22"/>
        </w:rPr>
        <w:t>1</w:t>
      </w:r>
      <w:r w:rsidRPr="00463415">
        <w:rPr>
          <w:szCs w:val="22"/>
        </w:rPr>
        <w:t xml:space="preserve">%. Over the same time, the proportion of births by caesarean section increased from 32% to </w:t>
      </w:r>
      <w:r w:rsidR="009B0A04" w:rsidRPr="00463415">
        <w:rPr>
          <w:szCs w:val="22"/>
        </w:rPr>
        <w:t>3</w:t>
      </w:r>
      <w:r w:rsidR="009B0A04">
        <w:rPr>
          <w:szCs w:val="22"/>
        </w:rPr>
        <w:t>6</w:t>
      </w:r>
      <w:r w:rsidRPr="00463415">
        <w:rPr>
          <w:szCs w:val="22"/>
        </w:rPr>
        <w:t>% (</w:t>
      </w:r>
      <w:r w:rsidRPr="00463415">
        <w:rPr>
          <w:szCs w:val="22"/>
        </w:rPr>
        <w:fldChar w:fldCharType="begin"/>
      </w:r>
      <w:r w:rsidRPr="00463415">
        <w:rPr>
          <w:szCs w:val="22"/>
        </w:rPr>
        <w:instrText xml:space="preserve"> REF _Ref117123893 \h  \* MERGEFORMAT </w:instrText>
      </w:r>
      <w:r w:rsidRPr="00463415">
        <w:rPr>
          <w:szCs w:val="22"/>
        </w:rPr>
      </w:r>
      <w:r w:rsidRPr="00463415">
        <w:rPr>
          <w:szCs w:val="22"/>
        </w:rPr>
        <w:fldChar w:fldCharType="separate"/>
      </w:r>
      <w:r w:rsidR="00296988" w:rsidRPr="00296988">
        <w:rPr>
          <w:szCs w:val="22"/>
        </w:rPr>
        <w:t xml:space="preserve">Figure </w:t>
      </w:r>
      <w:r w:rsidR="00296988" w:rsidRPr="00296988">
        <w:rPr>
          <w:noProof/>
          <w:szCs w:val="22"/>
        </w:rPr>
        <w:t>13</w:t>
      </w:r>
      <w:r w:rsidRPr="00463415">
        <w:rPr>
          <w:szCs w:val="22"/>
        </w:rPr>
        <w:fldChar w:fldCharType="end"/>
      </w:r>
      <w:r w:rsidRPr="00463415">
        <w:rPr>
          <w:szCs w:val="22"/>
        </w:rPr>
        <w:t>).</w:t>
      </w:r>
    </w:p>
    <w:p w14:paraId="3AC40C94" w14:textId="3FFA3498" w:rsidR="00AF0ADF" w:rsidRPr="00463415" w:rsidRDefault="00AF0ADF" w:rsidP="00AF0ADF">
      <w:pPr>
        <w:pStyle w:val="Bullets"/>
        <w:ind w:left="357" w:hanging="357"/>
        <w:rPr>
          <w:szCs w:val="22"/>
        </w:rPr>
      </w:pPr>
      <w:r w:rsidRPr="00463415">
        <w:rPr>
          <w:szCs w:val="22"/>
        </w:rPr>
        <w:lastRenderedPageBreak/>
        <w:t>There was a trend away from non-</w:t>
      </w:r>
      <w:r w:rsidRPr="00B67104">
        <w:rPr>
          <w:szCs w:val="22"/>
        </w:rPr>
        <w:t xml:space="preserve">instrumental vaginal birth towards caesarean section from 2010 to </w:t>
      </w:r>
      <w:r w:rsidR="009B0A04" w:rsidRPr="00B67104">
        <w:rPr>
          <w:szCs w:val="22"/>
        </w:rPr>
        <w:t>2019</w:t>
      </w:r>
      <w:r w:rsidRPr="00B67104">
        <w:rPr>
          <w:szCs w:val="22"/>
        </w:rPr>
        <w:t xml:space="preserve">. This trend was stronger in women aged 40 and over, resulting in </w:t>
      </w:r>
      <w:r w:rsidR="004362C1" w:rsidRPr="00B67104">
        <w:rPr>
          <w:szCs w:val="22"/>
        </w:rPr>
        <w:t>55</w:t>
      </w:r>
      <w:r w:rsidRPr="00B67104">
        <w:rPr>
          <w:szCs w:val="22"/>
        </w:rPr>
        <w:t>% caesarean section</w:t>
      </w:r>
      <w:r w:rsidR="00B67104" w:rsidRPr="00B67104">
        <w:rPr>
          <w:szCs w:val="22"/>
        </w:rPr>
        <w:t>s</w:t>
      </w:r>
      <w:r w:rsidRPr="00B67104">
        <w:rPr>
          <w:szCs w:val="22"/>
        </w:rPr>
        <w:t xml:space="preserve"> and </w:t>
      </w:r>
      <w:r w:rsidR="00B67104" w:rsidRPr="00B67104">
        <w:rPr>
          <w:szCs w:val="22"/>
        </w:rPr>
        <w:t>38</w:t>
      </w:r>
      <w:r w:rsidRPr="00B67104">
        <w:rPr>
          <w:szCs w:val="22"/>
        </w:rPr>
        <w:t xml:space="preserve">% non-instrumental vaginal birth </w:t>
      </w:r>
      <w:r w:rsidRPr="00EA5E3B">
        <w:rPr>
          <w:szCs w:val="22"/>
        </w:rPr>
        <w:t xml:space="preserve">in </w:t>
      </w:r>
      <w:r w:rsidR="00B67104" w:rsidRPr="00EA5E3B">
        <w:rPr>
          <w:szCs w:val="22"/>
        </w:rPr>
        <w:t>20</w:t>
      </w:r>
      <w:r w:rsidR="00B67104" w:rsidRPr="00B67104">
        <w:rPr>
          <w:szCs w:val="22"/>
        </w:rPr>
        <w:t>19</w:t>
      </w:r>
      <w:r w:rsidR="00B67104" w:rsidRPr="00463415">
        <w:rPr>
          <w:szCs w:val="22"/>
        </w:rPr>
        <w:t xml:space="preserve"> </w:t>
      </w:r>
      <w:r w:rsidRPr="00463415">
        <w:rPr>
          <w:szCs w:val="22"/>
        </w:rPr>
        <w:t>(compared to 48% and 43% in 2010, respectively).</w:t>
      </w:r>
    </w:p>
    <w:p w14:paraId="0E2357FE" w14:textId="1AFE98CA" w:rsidR="00AF0ADF" w:rsidRPr="00463415" w:rsidRDefault="00AF0ADF" w:rsidP="00AF0ADF">
      <w:pPr>
        <w:pStyle w:val="Bullets"/>
        <w:ind w:left="357" w:hanging="357"/>
        <w:rPr>
          <w:szCs w:val="22"/>
        </w:rPr>
      </w:pPr>
      <w:r w:rsidRPr="00463415">
        <w:rPr>
          <w:szCs w:val="22"/>
        </w:rPr>
        <w:t xml:space="preserve">In the private sector, caesarean sections have increased to </w:t>
      </w:r>
      <w:r w:rsidR="00EA0D13">
        <w:rPr>
          <w:szCs w:val="22"/>
        </w:rPr>
        <w:t>48</w:t>
      </w:r>
      <w:r w:rsidRPr="00463415">
        <w:rPr>
          <w:szCs w:val="22"/>
        </w:rPr>
        <w:t>% and non-instrumental vaginal birth</w:t>
      </w:r>
      <w:r w:rsidR="00A4418C">
        <w:rPr>
          <w:szCs w:val="22"/>
        </w:rPr>
        <w:t>s</w:t>
      </w:r>
      <w:r w:rsidRPr="00463415">
        <w:rPr>
          <w:szCs w:val="22"/>
        </w:rPr>
        <w:t xml:space="preserve"> have decreased to </w:t>
      </w:r>
      <w:r w:rsidR="00A94CD3" w:rsidRPr="00463415">
        <w:rPr>
          <w:szCs w:val="22"/>
        </w:rPr>
        <w:t>3</w:t>
      </w:r>
      <w:r w:rsidR="00A94CD3">
        <w:rPr>
          <w:szCs w:val="22"/>
        </w:rPr>
        <w:t>7</w:t>
      </w:r>
      <w:r w:rsidRPr="00463415">
        <w:rPr>
          <w:szCs w:val="22"/>
        </w:rPr>
        <w:t>%. In the public sector, caesarean sections account</w:t>
      </w:r>
      <w:r w:rsidR="009C23FB">
        <w:rPr>
          <w:szCs w:val="22"/>
        </w:rPr>
        <w:t>ed</w:t>
      </w:r>
      <w:r w:rsidRPr="00463415">
        <w:rPr>
          <w:szCs w:val="22"/>
        </w:rPr>
        <w:t xml:space="preserve"> for </w:t>
      </w:r>
      <w:r w:rsidR="00A94CD3" w:rsidRPr="00463415">
        <w:rPr>
          <w:szCs w:val="22"/>
        </w:rPr>
        <w:t>3</w:t>
      </w:r>
      <w:r w:rsidR="00A94CD3">
        <w:rPr>
          <w:szCs w:val="22"/>
        </w:rPr>
        <w:t>4</w:t>
      </w:r>
      <w:r w:rsidRPr="00463415">
        <w:rPr>
          <w:szCs w:val="22"/>
        </w:rPr>
        <w:t xml:space="preserve">% and non-instrumental vaginal birth for </w:t>
      </w:r>
      <w:r w:rsidR="00A94CD3" w:rsidRPr="00463415">
        <w:rPr>
          <w:szCs w:val="22"/>
        </w:rPr>
        <w:t>5</w:t>
      </w:r>
      <w:r w:rsidR="00A94CD3">
        <w:rPr>
          <w:szCs w:val="22"/>
        </w:rPr>
        <w:t>4</w:t>
      </w:r>
      <w:r w:rsidRPr="00463415">
        <w:rPr>
          <w:szCs w:val="22"/>
        </w:rPr>
        <w:t>% of births</w:t>
      </w:r>
      <w:r w:rsidR="001044C9">
        <w:rPr>
          <w:szCs w:val="22"/>
        </w:rPr>
        <w:t xml:space="preserve"> in 2019</w:t>
      </w:r>
      <w:r w:rsidRPr="00463415">
        <w:rPr>
          <w:szCs w:val="22"/>
        </w:rPr>
        <w:t>.</w:t>
      </w:r>
    </w:p>
    <w:p w14:paraId="7CF37706" w14:textId="5AA5D26F" w:rsidR="00AF0ADF" w:rsidRPr="00463415" w:rsidRDefault="00AF0ADF" w:rsidP="00AF0ADF">
      <w:pPr>
        <w:pStyle w:val="Bullets"/>
        <w:ind w:left="357" w:hanging="357"/>
        <w:rPr>
          <w:szCs w:val="22"/>
        </w:rPr>
      </w:pPr>
      <w:r w:rsidRPr="00463415">
        <w:rPr>
          <w:szCs w:val="22"/>
        </w:rPr>
        <w:t xml:space="preserve">In </w:t>
      </w:r>
      <w:r w:rsidR="00A94CD3" w:rsidRPr="00EA5E3B">
        <w:rPr>
          <w:szCs w:val="22"/>
        </w:rPr>
        <w:t>20</w:t>
      </w:r>
      <w:r w:rsidR="00A94CD3" w:rsidRPr="00A94CD3">
        <w:rPr>
          <w:szCs w:val="22"/>
        </w:rPr>
        <w:t>19</w:t>
      </w:r>
      <w:r w:rsidRPr="00A94CD3">
        <w:rPr>
          <w:szCs w:val="22"/>
        </w:rPr>
        <w:t>,</w:t>
      </w:r>
      <w:r w:rsidRPr="00463415">
        <w:rPr>
          <w:szCs w:val="22"/>
        </w:rPr>
        <w:t xml:space="preserve"> the proportion of non-instrumental vaginal birth</w:t>
      </w:r>
      <w:r w:rsidR="009C23FB">
        <w:rPr>
          <w:szCs w:val="22"/>
        </w:rPr>
        <w:t>s</w:t>
      </w:r>
      <w:r w:rsidRPr="00463415">
        <w:rPr>
          <w:szCs w:val="22"/>
        </w:rPr>
        <w:t xml:space="preserve"> remained higher for Indigenous women (</w:t>
      </w:r>
      <w:r w:rsidR="00100CFE">
        <w:rPr>
          <w:szCs w:val="22"/>
        </w:rPr>
        <w:t>60</w:t>
      </w:r>
      <w:r w:rsidRPr="00463415">
        <w:rPr>
          <w:szCs w:val="22"/>
        </w:rPr>
        <w:t>%</w:t>
      </w:r>
      <w:r w:rsidR="00DB41FA">
        <w:t>, age standardised</w:t>
      </w:r>
      <w:r w:rsidRPr="00463415">
        <w:rPr>
          <w:szCs w:val="22"/>
        </w:rPr>
        <w:t>) and women who were born in Australia (5</w:t>
      </w:r>
      <w:r w:rsidR="001044C9">
        <w:rPr>
          <w:szCs w:val="22"/>
        </w:rPr>
        <w:t>3</w:t>
      </w:r>
      <w:r w:rsidRPr="00463415">
        <w:rPr>
          <w:szCs w:val="22"/>
        </w:rPr>
        <w:t>%) than for women born overseas (48%), although the trend towards birth by caesarean section occurs at similar rates across groups.</w:t>
      </w:r>
    </w:p>
    <w:p w14:paraId="232A1386" w14:textId="7CC07F0F" w:rsidR="00AF0ADF" w:rsidRPr="00463415" w:rsidRDefault="00AF0ADF" w:rsidP="00AF0ADF">
      <w:pPr>
        <w:pStyle w:val="Bullets"/>
        <w:ind w:left="357" w:hanging="357"/>
        <w:rPr>
          <w:szCs w:val="22"/>
        </w:rPr>
      </w:pPr>
      <w:r w:rsidRPr="00463415">
        <w:rPr>
          <w:szCs w:val="22"/>
        </w:rPr>
        <w:t xml:space="preserve">Between </w:t>
      </w:r>
      <w:r w:rsidRPr="00004522">
        <w:rPr>
          <w:szCs w:val="22"/>
        </w:rPr>
        <w:t xml:space="preserve">2010 </w:t>
      </w:r>
      <w:r w:rsidRPr="00EA5E3B">
        <w:rPr>
          <w:szCs w:val="22"/>
        </w:rPr>
        <w:t xml:space="preserve">and </w:t>
      </w:r>
      <w:r w:rsidR="00004522" w:rsidRPr="00EA5E3B">
        <w:rPr>
          <w:szCs w:val="22"/>
        </w:rPr>
        <w:t>2019</w:t>
      </w:r>
      <w:r w:rsidRPr="00EA5E3B">
        <w:rPr>
          <w:szCs w:val="22"/>
        </w:rPr>
        <w:t>,</w:t>
      </w:r>
      <w:r w:rsidRPr="00463415">
        <w:rPr>
          <w:szCs w:val="22"/>
        </w:rPr>
        <w:t xml:space="preserve"> the shift from non-instrumental vaginal birth to caesarean section was similar (around </w:t>
      </w:r>
      <w:r w:rsidR="00DB41FA">
        <w:rPr>
          <w:szCs w:val="22"/>
        </w:rPr>
        <w:t>two</w:t>
      </w:r>
      <w:r w:rsidR="00DB41FA" w:rsidRPr="00463415">
        <w:rPr>
          <w:szCs w:val="22"/>
        </w:rPr>
        <w:t xml:space="preserve"> </w:t>
      </w:r>
      <w:r w:rsidRPr="00463415">
        <w:rPr>
          <w:szCs w:val="22"/>
        </w:rPr>
        <w:t xml:space="preserve">to </w:t>
      </w:r>
      <w:r w:rsidR="00DB41FA">
        <w:rPr>
          <w:szCs w:val="22"/>
        </w:rPr>
        <w:t>five</w:t>
      </w:r>
      <w:r w:rsidR="00DB41FA" w:rsidRPr="00463415">
        <w:rPr>
          <w:szCs w:val="22"/>
        </w:rPr>
        <w:t xml:space="preserve"> </w:t>
      </w:r>
      <w:r w:rsidRPr="00463415">
        <w:rPr>
          <w:szCs w:val="22"/>
        </w:rPr>
        <w:t>percentage points) in all geographical locations and across all socioeconomic areas.</w:t>
      </w:r>
    </w:p>
    <w:p w14:paraId="203BB65A" w14:textId="7FD76C77" w:rsidR="00AF0ADF" w:rsidRPr="00B247F1" w:rsidRDefault="00AF0ADF" w:rsidP="00AF0ADF">
      <w:pPr>
        <w:pStyle w:val="Bullets"/>
        <w:ind w:left="357" w:hanging="357"/>
        <w:rPr>
          <w:szCs w:val="22"/>
        </w:rPr>
      </w:pPr>
      <w:r w:rsidRPr="00463415">
        <w:rPr>
          <w:szCs w:val="22"/>
        </w:rPr>
        <w:t xml:space="preserve">Instrumental vaginal birth remained constant at 12% to 13% over time. However, some differences between groups can be observed. For example, the observed proportion of instrumental vaginal birth decreased with increasing rurality; 13-14% in major cities and 8-9% in very remote areas. Additionally, instrumental vaginal birth </w:t>
      </w:r>
      <w:r w:rsidRPr="00B247F1">
        <w:rPr>
          <w:szCs w:val="22"/>
        </w:rPr>
        <w:t>increase</w:t>
      </w:r>
      <w:r w:rsidR="00C6118D" w:rsidRPr="00B247F1">
        <w:rPr>
          <w:szCs w:val="22"/>
        </w:rPr>
        <w:t>d</w:t>
      </w:r>
      <w:r w:rsidRPr="00B247F1">
        <w:rPr>
          <w:szCs w:val="22"/>
        </w:rPr>
        <w:t xml:space="preserve"> with socioeconomic status, from 10% in most disadvantaged areas to 14-15% in the least disadvantaged areas.</w:t>
      </w:r>
    </w:p>
    <w:p w14:paraId="2DCF56CA" w14:textId="23FF2F37" w:rsidR="00AF0ADF" w:rsidRPr="00B247F1" w:rsidRDefault="006B7997" w:rsidP="006B7997">
      <w:pPr>
        <w:pStyle w:val="Bullets"/>
        <w:ind w:left="357" w:hanging="357"/>
        <w:rPr>
          <w:szCs w:val="22"/>
        </w:rPr>
      </w:pPr>
      <w:r w:rsidRPr="00B247F1">
        <w:rPr>
          <w:szCs w:val="22"/>
        </w:rPr>
        <w:t xml:space="preserve">Further findings are available in </w:t>
      </w:r>
      <w:r w:rsidRPr="00B247F1">
        <w:rPr>
          <w:szCs w:val="22"/>
        </w:rPr>
        <w:fldChar w:fldCharType="begin"/>
      </w:r>
      <w:r w:rsidRPr="00B247F1">
        <w:rPr>
          <w:szCs w:val="22"/>
        </w:rPr>
        <w:instrText xml:space="preserve"> REF _Ref117928069 \h </w:instrText>
      </w:r>
      <w:r w:rsidR="00B247F1">
        <w:rPr>
          <w:szCs w:val="22"/>
        </w:rPr>
        <w:instrText xml:space="preserve"> \* MERGEFORMAT </w:instrText>
      </w:r>
      <w:r w:rsidRPr="00B247F1">
        <w:rPr>
          <w:szCs w:val="22"/>
        </w:rPr>
      </w:r>
      <w:r w:rsidRPr="00B247F1">
        <w:rPr>
          <w:szCs w:val="22"/>
        </w:rPr>
        <w:fldChar w:fldCharType="separate"/>
      </w:r>
      <w:r w:rsidR="00296988" w:rsidRPr="00296988">
        <w:rPr>
          <w:szCs w:val="22"/>
        </w:rPr>
        <w:t xml:space="preserve">Table </w:t>
      </w:r>
      <w:r w:rsidR="00296988" w:rsidRPr="00296988">
        <w:rPr>
          <w:noProof/>
          <w:szCs w:val="22"/>
        </w:rPr>
        <w:t>19</w:t>
      </w:r>
      <w:r w:rsidRPr="00B247F1">
        <w:rPr>
          <w:szCs w:val="22"/>
        </w:rPr>
        <w:fldChar w:fldCharType="end"/>
      </w:r>
      <w:r w:rsidRPr="00B247F1">
        <w:rPr>
          <w:szCs w:val="22"/>
        </w:rPr>
        <w:t xml:space="preserve"> to </w:t>
      </w:r>
      <w:r w:rsidRPr="00B247F1">
        <w:rPr>
          <w:szCs w:val="22"/>
        </w:rPr>
        <w:fldChar w:fldCharType="begin"/>
      </w:r>
      <w:r w:rsidRPr="00B247F1">
        <w:rPr>
          <w:szCs w:val="22"/>
        </w:rPr>
        <w:instrText xml:space="preserve"> REF _Ref117126322 \h </w:instrText>
      </w:r>
      <w:r w:rsidR="00B247F1">
        <w:rPr>
          <w:szCs w:val="22"/>
        </w:rPr>
        <w:instrText xml:space="preserve"> \* MERGEFORMAT </w:instrText>
      </w:r>
      <w:r w:rsidRPr="00B247F1">
        <w:rPr>
          <w:szCs w:val="22"/>
        </w:rPr>
      </w:r>
      <w:r w:rsidRPr="00B247F1">
        <w:rPr>
          <w:szCs w:val="22"/>
        </w:rPr>
        <w:fldChar w:fldCharType="separate"/>
      </w:r>
      <w:r w:rsidR="00296988" w:rsidRPr="00296988">
        <w:rPr>
          <w:szCs w:val="22"/>
        </w:rPr>
        <w:t xml:space="preserve">Table </w:t>
      </w:r>
      <w:r w:rsidR="00296988" w:rsidRPr="00296988">
        <w:rPr>
          <w:noProof/>
          <w:szCs w:val="22"/>
        </w:rPr>
        <w:t>21</w:t>
      </w:r>
      <w:r w:rsidRPr="00B247F1">
        <w:rPr>
          <w:szCs w:val="22"/>
        </w:rPr>
        <w:fldChar w:fldCharType="end"/>
      </w:r>
      <w:r w:rsidRPr="00B247F1">
        <w:rPr>
          <w:szCs w:val="22"/>
        </w:rPr>
        <w:t>.</w:t>
      </w:r>
    </w:p>
    <w:p w14:paraId="12C4FADA" w14:textId="0547B189" w:rsidR="00AF0ADF" w:rsidRPr="009C23FB" w:rsidRDefault="00AF0ADF" w:rsidP="00AF0ADF">
      <w:pPr>
        <w:pStyle w:val="Caption"/>
        <w:rPr>
          <w:sz w:val="20"/>
          <w:szCs w:val="20"/>
        </w:rPr>
      </w:pPr>
      <w:bookmarkStart w:id="318" w:name="_Ref117123893"/>
      <w:bookmarkStart w:id="319" w:name="_Toc121415179"/>
      <w:r w:rsidRPr="009C23FB">
        <w:rPr>
          <w:sz w:val="20"/>
          <w:szCs w:val="20"/>
        </w:rPr>
        <w:t xml:space="preserve">Figure </w:t>
      </w:r>
      <w:r w:rsidR="006B1CF4" w:rsidRPr="009C23FB">
        <w:rPr>
          <w:sz w:val="20"/>
          <w:szCs w:val="20"/>
        </w:rPr>
        <w:fldChar w:fldCharType="begin"/>
      </w:r>
      <w:r w:rsidR="006B1CF4" w:rsidRPr="009C23FB">
        <w:rPr>
          <w:sz w:val="20"/>
          <w:szCs w:val="20"/>
        </w:rPr>
        <w:instrText xml:space="preserve"> SEQ Figure \* ARABIC </w:instrText>
      </w:r>
      <w:r w:rsidR="006B1CF4" w:rsidRPr="009C23FB">
        <w:rPr>
          <w:sz w:val="20"/>
          <w:szCs w:val="20"/>
        </w:rPr>
        <w:fldChar w:fldCharType="separate"/>
      </w:r>
      <w:r w:rsidR="00296988">
        <w:rPr>
          <w:noProof/>
          <w:sz w:val="20"/>
          <w:szCs w:val="20"/>
        </w:rPr>
        <w:t>13</w:t>
      </w:r>
      <w:r w:rsidR="006B1CF4" w:rsidRPr="009C23FB">
        <w:rPr>
          <w:sz w:val="20"/>
          <w:szCs w:val="20"/>
        </w:rPr>
        <w:fldChar w:fldCharType="end"/>
      </w:r>
      <w:bookmarkEnd w:id="318"/>
      <w:r w:rsidRPr="009C23FB">
        <w:rPr>
          <w:sz w:val="20"/>
          <w:szCs w:val="20"/>
        </w:rPr>
        <w:tab/>
        <w:t>Method of birth</w:t>
      </w:r>
      <w:r w:rsidR="009C23FB">
        <w:rPr>
          <w:sz w:val="20"/>
          <w:szCs w:val="20"/>
        </w:rPr>
        <w:t>,</w:t>
      </w:r>
      <w:r w:rsidRPr="009C23FB">
        <w:rPr>
          <w:sz w:val="20"/>
          <w:szCs w:val="20"/>
        </w:rPr>
        <w:t xml:space="preserve"> all women, 2010–</w:t>
      </w:r>
      <w:r w:rsidR="00467F93" w:rsidRPr="009C23FB">
        <w:rPr>
          <w:sz w:val="20"/>
          <w:szCs w:val="20"/>
        </w:rPr>
        <w:t>2019</w:t>
      </w:r>
      <w:bookmarkEnd w:id="319"/>
    </w:p>
    <w:p w14:paraId="29D829C8" w14:textId="10AFC541" w:rsidR="00AF0ADF" w:rsidRDefault="00C036E7" w:rsidP="00AF0ADF">
      <w:r>
        <w:rPr>
          <w:noProof/>
        </w:rPr>
        <w:drawing>
          <wp:inline distT="0" distB="0" distL="0" distR="0" wp14:anchorId="422F0935" wp14:editId="4A169181">
            <wp:extent cx="5336925" cy="1980000"/>
            <wp:effectExtent l="0" t="0" r="16510" b="1270"/>
            <wp:docPr id="32" name="Chart 32" descr="Chart showing method of birth for all women during the time period from 2010 to 2019. Between 2010 and 2019, the proportion of non-instrumental vaginal birth decreased from 56% to 51% and the proportion of births by caesarean section increased from 32% to 36% ">
              <a:extLst xmlns:a="http://schemas.openxmlformats.org/drawingml/2006/main">
                <a:ext uri="{FF2B5EF4-FFF2-40B4-BE49-F238E27FC236}">
                  <a16:creationId xmlns:a16="http://schemas.microsoft.com/office/drawing/2014/main" id="{7C75F626-B526-2F1A-9365-4DD116675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4C7940D" w14:textId="4F18D811" w:rsidR="00AF0ADF" w:rsidRPr="00751711" w:rsidRDefault="00751711" w:rsidP="00AF0ADF">
      <w:r w:rsidRPr="00751711">
        <w:rPr>
          <w:sz w:val="18"/>
          <w:szCs w:val="18"/>
        </w:rPr>
        <w:t>Source: AIHW analysis of National Perinatal Data Collection. National Perinatal Data Collection annual update 2020—data tables</w:t>
      </w:r>
    </w:p>
    <w:p w14:paraId="0BC3BC4F" w14:textId="77777777" w:rsidR="00AF0ADF" w:rsidRDefault="00AF0ADF" w:rsidP="00AF0ADF"/>
    <w:p w14:paraId="6F1BD92B" w14:textId="610F9969" w:rsidR="00AF0ADF" w:rsidRPr="00B32793" w:rsidRDefault="00AF0ADF" w:rsidP="00AF0ADF">
      <w:pPr>
        <w:rPr>
          <w:b/>
          <w:i/>
          <w:color w:val="0398D7"/>
          <w:szCs w:val="22"/>
        </w:rPr>
      </w:pPr>
      <w:r w:rsidRPr="00B32793">
        <w:rPr>
          <w:b/>
          <w:i/>
          <w:color w:val="0398D7"/>
          <w:szCs w:val="22"/>
        </w:rPr>
        <w:t>Caesarean section for selected women giving birth for the first time</w:t>
      </w:r>
      <w:r w:rsidR="001044C9">
        <w:rPr>
          <w:b/>
          <w:i/>
          <w:color w:val="0398D7"/>
          <w:szCs w:val="22"/>
        </w:rPr>
        <w:t xml:space="preserve"> (PI06)</w:t>
      </w:r>
    </w:p>
    <w:p w14:paraId="6C58012C" w14:textId="164D6140" w:rsidR="00141C9A" w:rsidRPr="00B247F1" w:rsidRDefault="00AF0ADF" w:rsidP="00924850">
      <w:pPr>
        <w:pStyle w:val="Bullets"/>
        <w:numPr>
          <w:ilvl w:val="0"/>
          <w:numId w:val="0"/>
        </w:numPr>
        <w:rPr>
          <w:szCs w:val="22"/>
        </w:rPr>
      </w:pPr>
      <w:r w:rsidRPr="00672D59">
        <w:rPr>
          <w:szCs w:val="22"/>
        </w:rPr>
        <w:t xml:space="preserve">At a national level, the proportion of </w:t>
      </w:r>
      <w:r w:rsidRPr="00C24842">
        <w:rPr>
          <w:b/>
          <w:szCs w:val="22"/>
        </w:rPr>
        <w:t>selected women</w:t>
      </w:r>
      <w:r w:rsidRPr="00672D59">
        <w:rPr>
          <w:szCs w:val="22"/>
        </w:rPr>
        <w:t xml:space="preserve"> </w:t>
      </w:r>
      <w:r w:rsidRPr="00B247F1">
        <w:rPr>
          <w:szCs w:val="22"/>
        </w:rPr>
        <w:t xml:space="preserve">giving birth for the first time who had a caesarean section increased from </w:t>
      </w:r>
      <w:r w:rsidR="00412553" w:rsidRPr="00B247F1">
        <w:rPr>
          <w:szCs w:val="22"/>
        </w:rPr>
        <w:t>2</w:t>
      </w:r>
      <w:r w:rsidR="001044C9" w:rsidRPr="00B247F1">
        <w:rPr>
          <w:szCs w:val="22"/>
        </w:rPr>
        <w:t>7</w:t>
      </w:r>
      <w:r w:rsidRPr="00B247F1">
        <w:rPr>
          <w:szCs w:val="22"/>
        </w:rPr>
        <w:t>% in 2011 to 3</w:t>
      </w:r>
      <w:r w:rsidR="00412553" w:rsidRPr="00B247F1">
        <w:rPr>
          <w:szCs w:val="22"/>
        </w:rPr>
        <w:t>1</w:t>
      </w:r>
      <w:r w:rsidRPr="00B247F1">
        <w:rPr>
          <w:szCs w:val="22"/>
        </w:rPr>
        <w:t>% in 2019</w:t>
      </w:r>
      <w:r w:rsidR="006B7997" w:rsidRPr="00B247F1">
        <w:rPr>
          <w:szCs w:val="22"/>
        </w:rPr>
        <w:t xml:space="preserve"> (see also </w:t>
      </w:r>
      <w:r w:rsidR="006B7997" w:rsidRPr="00B247F1">
        <w:rPr>
          <w:szCs w:val="22"/>
        </w:rPr>
        <w:fldChar w:fldCharType="begin"/>
      </w:r>
      <w:r w:rsidR="006B7997" w:rsidRPr="00B247F1">
        <w:rPr>
          <w:szCs w:val="22"/>
        </w:rPr>
        <w:instrText xml:space="preserve"> REF _Ref117928171 \h </w:instrText>
      </w:r>
      <w:r w:rsidR="00B247F1">
        <w:rPr>
          <w:szCs w:val="22"/>
        </w:rPr>
        <w:instrText xml:space="preserve"> \* MERGEFORMAT </w:instrText>
      </w:r>
      <w:r w:rsidR="006B7997" w:rsidRPr="00B247F1">
        <w:rPr>
          <w:szCs w:val="22"/>
        </w:rPr>
      </w:r>
      <w:r w:rsidR="006B7997" w:rsidRPr="00B247F1">
        <w:rPr>
          <w:szCs w:val="22"/>
        </w:rPr>
        <w:fldChar w:fldCharType="separate"/>
      </w:r>
      <w:r w:rsidR="00296988" w:rsidRPr="00296988">
        <w:rPr>
          <w:szCs w:val="22"/>
        </w:rPr>
        <w:t xml:space="preserve">Table </w:t>
      </w:r>
      <w:r w:rsidR="00296988" w:rsidRPr="00296988">
        <w:rPr>
          <w:noProof/>
          <w:szCs w:val="22"/>
        </w:rPr>
        <w:t>22</w:t>
      </w:r>
      <w:r w:rsidR="006B7997" w:rsidRPr="00B247F1">
        <w:rPr>
          <w:szCs w:val="22"/>
        </w:rPr>
        <w:fldChar w:fldCharType="end"/>
      </w:r>
      <w:r w:rsidR="006B7997" w:rsidRPr="00B247F1">
        <w:rPr>
          <w:szCs w:val="22"/>
          <w:shd w:val="clear" w:color="auto" w:fill="FCFCFC"/>
        </w:rPr>
        <w:t>).</w:t>
      </w:r>
    </w:p>
    <w:p w14:paraId="11F7ADED" w14:textId="0AFD69FD" w:rsidR="00924850" w:rsidRPr="004D47B7" w:rsidRDefault="00924850" w:rsidP="00924850">
      <w:pPr>
        <w:pStyle w:val="Bullets"/>
        <w:ind w:left="357" w:hanging="357"/>
        <w:rPr>
          <w:szCs w:val="22"/>
        </w:rPr>
      </w:pPr>
      <w:r w:rsidRPr="004D47B7">
        <w:rPr>
          <w:szCs w:val="22"/>
        </w:rPr>
        <w:t>Selected women g</w:t>
      </w:r>
      <w:r w:rsidRPr="004D47B7">
        <w:rPr>
          <w:szCs w:val="22"/>
          <w:shd w:val="clear" w:color="auto" w:fill="FCFCFC"/>
        </w:rPr>
        <w:t>iving birth for the first time in the private sector have had a higher rate of caesarean sections since 2011, with 41% of women giving birth by caesarean section in 2019 compared to 28% of women in the public sector</w:t>
      </w:r>
      <w:r w:rsidR="006B7997">
        <w:rPr>
          <w:szCs w:val="22"/>
        </w:rPr>
        <w:t xml:space="preserve"> (</w:t>
      </w:r>
      <w:r w:rsidR="006B1CF4" w:rsidRPr="00611A04">
        <w:rPr>
          <w:szCs w:val="22"/>
        </w:rPr>
        <w:fldChar w:fldCharType="begin"/>
      </w:r>
      <w:r w:rsidR="006B1CF4" w:rsidRPr="00611A04">
        <w:rPr>
          <w:szCs w:val="22"/>
        </w:rPr>
        <w:instrText xml:space="preserve"> REF _Ref118299204 \h </w:instrText>
      </w:r>
      <w:r w:rsidR="00611A04">
        <w:rPr>
          <w:szCs w:val="22"/>
        </w:rPr>
        <w:instrText xml:space="preserve"> \* MERGEFORMAT </w:instrText>
      </w:r>
      <w:r w:rsidR="006B1CF4" w:rsidRPr="00611A04">
        <w:rPr>
          <w:szCs w:val="22"/>
        </w:rPr>
      </w:r>
      <w:r w:rsidR="006B1CF4" w:rsidRPr="00611A04">
        <w:rPr>
          <w:szCs w:val="22"/>
        </w:rPr>
        <w:fldChar w:fldCharType="separate"/>
      </w:r>
      <w:r w:rsidR="00296988" w:rsidRPr="00296988">
        <w:rPr>
          <w:szCs w:val="22"/>
        </w:rPr>
        <w:t xml:space="preserve">Figure </w:t>
      </w:r>
      <w:r w:rsidR="00296988" w:rsidRPr="00296988">
        <w:rPr>
          <w:noProof/>
          <w:szCs w:val="22"/>
        </w:rPr>
        <w:t>14</w:t>
      </w:r>
      <w:r w:rsidR="006B1CF4" w:rsidRPr="00611A04">
        <w:rPr>
          <w:szCs w:val="22"/>
        </w:rPr>
        <w:fldChar w:fldCharType="end"/>
      </w:r>
      <w:r w:rsidR="006B7997">
        <w:rPr>
          <w:szCs w:val="22"/>
        </w:rPr>
        <w:t>).</w:t>
      </w:r>
    </w:p>
    <w:p w14:paraId="2EEF6B25" w14:textId="056D3C7E" w:rsidR="006B7997" w:rsidRPr="006B7997" w:rsidRDefault="00924850" w:rsidP="006B7997">
      <w:pPr>
        <w:pStyle w:val="Bullets"/>
      </w:pPr>
      <w:r w:rsidRPr="006B7997">
        <w:t xml:space="preserve">Indigenous women </w:t>
      </w:r>
      <w:r w:rsidR="009C23FB">
        <w:t xml:space="preserve">in this selected group </w:t>
      </w:r>
      <w:r w:rsidRPr="006B7997">
        <w:t>had a higher rate of caesarean section</w:t>
      </w:r>
      <w:r w:rsidR="00C3133F">
        <w:t>s</w:t>
      </w:r>
      <w:r w:rsidRPr="006B7997">
        <w:t xml:space="preserve"> across years than non-Indigenous women, however the rate showed a marginal decrease over time, from 3</w:t>
      </w:r>
      <w:r w:rsidR="0087024B">
        <w:t>3</w:t>
      </w:r>
      <w:r w:rsidRPr="006B7997">
        <w:t>% in 2011 to 32% in 2019, contrary to the overall national trend.</w:t>
      </w:r>
    </w:p>
    <w:p w14:paraId="77C778C3" w14:textId="4E1E39F2" w:rsidR="006B1CF4" w:rsidRPr="00C459D0" w:rsidRDefault="00924850" w:rsidP="001044C9">
      <w:pPr>
        <w:pStyle w:val="Bullets"/>
      </w:pPr>
      <w:r w:rsidRPr="006B7997">
        <w:t>Across remoteness area groups, women from inner regional areas showed the greatest increase in caesarean section</w:t>
      </w:r>
      <w:r w:rsidR="001044C9">
        <w:t>s</w:t>
      </w:r>
      <w:r w:rsidRPr="006B7997">
        <w:t>, from the lowest proportion in 2012 (2</w:t>
      </w:r>
      <w:r w:rsidR="001044C9">
        <w:t>5</w:t>
      </w:r>
      <w:r w:rsidRPr="006B7997">
        <w:t>%) to the second highest in 2019 (</w:t>
      </w:r>
      <w:r w:rsidR="00C3133F">
        <w:t>30</w:t>
      </w:r>
      <w:r w:rsidRPr="006B7997">
        <w:t>%).</w:t>
      </w:r>
    </w:p>
    <w:p w14:paraId="2819B141" w14:textId="221DDACA" w:rsidR="006B1CF4" w:rsidRPr="009C23FB" w:rsidRDefault="006B1CF4" w:rsidP="006B1CF4">
      <w:pPr>
        <w:pStyle w:val="Caption"/>
        <w:rPr>
          <w:sz w:val="20"/>
          <w:szCs w:val="20"/>
        </w:rPr>
      </w:pPr>
      <w:bookmarkStart w:id="320" w:name="_Ref118299204"/>
      <w:bookmarkStart w:id="321" w:name="_Toc121415180"/>
      <w:r w:rsidRPr="009C23FB">
        <w:rPr>
          <w:sz w:val="20"/>
          <w:szCs w:val="20"/>
        </w:rPr>
        <w:lastRenderedPageBreak/>
        <w:t xml:space="preserve">Figure </w:t>
      </w:r>
      <w:r w:rsidR="00A64FC5" w:rsidRPr="009C23FB">
        <w:rPr>
          <w:sz w:val="20"/>
          <w:szCs w:val="20"/>
        </w:rPr>
        <w:fldChar w:fldCharType="begin"/>
      </w:r>
      <w:r w:rsidR="00A64FC5" w:rsidRPr="009C23FB">
        <w:rPr>
          <w:sz w:val="20"/>
          <w:szCs w:val="20"/>
        </w:rPr>
        <w:instrText xml:space="preserve"> SEQ Figure \* ARABIC </w:instrText>
      </w:r>
      <w:r w:rsidR="00A64FC5" w:rsidRPr="009C23FB">
        <w:rPr>
          <w:sz w:val="20"/>
          <w:szCs w:val="20"/>
        </w:rPr>
        <w:fldChar w:fldCharType="separate"/>
      </w:r>
      <w:r w:rsidR="00296988">
        <w:rPr>
          <w:noProof/>
          <w:sz w:val="20"/>
          <w:szCs w:val="20"/>
        </w:rPr>
        <w:t>14</w:t>
      </w:r>
      <w:r w:rsidR="00A64FC5" w:rsidRPr="009C23FB">
        <w:rPr>
          <w:noProof/>
          <w:sz w:val="20"/>
          <w:szCs w:val="20"/>
        </w:rPr>
        <w:fldChar w:fldCharType="end"/>
      </w:r>
      <w:bookmarkEnd w:id="320"/>
      <w:r w:rsidRPr="009C23FB">
        <w:rPr>
          <w:sz w:val="20"/>
          <w:szCs w:val="20"/>
        </w:rPr>
        <w:tab/>
        <w:t>Caesarean section</w:t>
      </w:r>
      <w:r w:rsidR="009C23FB">
        <w:rPr>
          <w:sz w:val="20"/>
          <w:szCs w:val="20"/>
        </w:rPr>
        <w:t>,</w:t>
      </w:r>
      <w:r w:rsidRPr="009C23FB">
        <w:rPr>
          <w:sz w:val="20"/>
          <w:szCs w:val="20"/>
        </w:rPr>
        <w:t xml:space="preserve"> selected women</w:t>
      </w:r>
      <w:r w:rsidR="00BC27C1">
        <w:rPr>
          <w:sz w:val="20"/>
          <w:szCs w:val="20"/>
        </w:rPr>
        <w:t>, first birth</w:t>
      </w:r>
      <w:r w:rsidRPr="009C23FB">
        <w:rPr>
          <w:sz w:val="20"/>
          <w:szCs w:val="20"/>
        </w:rPr>
        <w:t xml:space="preserve"> (PI06), by hospital sector, 2011–2019</w:t>
      </w:r>
      <w:bookmarkEnd w:id="321"/>
    </w:p>
    <w:p w14:paraId="1210E733" w14:textId="5B784807" w:rsidR="006B1CF4" w:rsidRDefault="006B1CF4" w:rsidP="001044C9">
      <w:pPr>
        <w:rPr>
          <w:szCs w:val="22"/>
        </w:rPr>
      </w:pPr>
      <w:r>
        <w:rPr>
          <w:noProof/>
        </w:rPr>
        <w:drawing>
          <wp:inline distT="0" distB="0" distL="0" distR="0" wp14:anchorId="30700AB6" wp14:editId="7DE4781A">
            <wp:extent cx="5936120" cy="1832539"/>
            <wp:effectExtent l="0" t="0" r="7620" b="15875"/>
            <wp:docPr id="3" name="Chart 3" descr="Chart showing the proportion of selected women giving birth for the first time who had a caesarean section, for years 2011 - 2019 by hospital sector (public or private)">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D2B42AC" w14:textId="77777777" w:rsidR="006B1CF4" w:rsidRDefault="006B1CF4" w:rsidP="001044C9">
      <w:pPr>
        <w:rPr>
          <w:szCs w:val="22"/>
        </w:rPr>
      </w:pPr>
    </w:p>
    <w:p w14:paraId="5B5538FD" w14:textId="032257FB" w:rsidR="00141C9A" w:rsidRPr="00165760" w:rsidRDefault="00E134EA" w:rsidP="001044C9">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7E59E2D5" w14:textId="451EF434" w:rsidR="00AF0ADF" w:rsidRDefault="00AF0ADF" w:rsidP="001044C9"/>
    <w:p w14:paraId="59600847" w14:textId="06D15E3F" w:rsidR="00AF0ADF" w:rsidRPr="007B0019" w:rsidRDefault="00AF0ADF" w:rsidP="00AF0ADF">
      <w:pPr>
        <w:rPr>
          <w:b/>
          <w:i/>
          <w:szCs w:val="22"/>
        </w:rPr>
      </w:pPr>
      <w:r w:rsidRPr="007B0019">
        <w:rPr>
          <w:b/>
          <w:i/>
          <w:color w:val="0398D7"/>
          <w:szCs w:val="22"/>
        </w:rPr>
        <w:t>Non-instrumental vaginal birth for selected women giving birth for the first time</w:t>
      </w:r>
      <w:r w:rsidR="001044C9">
        <w:rPr>
          <w:b/>
          <w:i/>
          <w:color w:val="0398D7"/>
          <w:szCs w:val="22"/>
        </w:rPr>
        <w:t xml:space="preserve"> (PI07)</w:t>
      </w:r>
    </w:p>
    <w:p w14:paraId="542A7238" w14:textId="1C0835E2" w:rsidR="00AF0ADF" w:rsidRPr="00DA1031" w:rsidRDefault="00AF0ADF" w:rsidP="006B7997">
      <w:pPr>
        <w:pStyle w:val="Bullets"/>
        <w:numPr>
          <w:ilvl w:val="0"/>
          <w:numId w:val="0"/>
        </w:numPr>
        <w:rPr>
          <w:szCs w:val="22"/>
        </w:rPr>
      </w:pPr>
      <w:r w:rsidRPr="00DA1031">
        <w:rPr>
          <w:szCs w:val="22"/>
        </w:rPr>
        <w:t xml:space="preserve">Non-instrumental vaginal births for </w:t>
      </w:r>
      <w:r w:rsidRPr="00C24842">
        <w:rPr>
          <w:b/>
          <w:szCs w:val="22"/>
        </w:rPr>
        <w:t>selected women</w:t>
      </w:r>
      <w:r w:rsidR="006576EE">
        <w:rPr>
          <w:szCs w:val="22"/>
        </w:rPr>
        <w:t xml:space="preserve"> </w:t>
      </w:r>
      <w:r w:rsidRPr="00DA1031">
        <w:rPr>
          <w:szCs w:val="22"/>
        </w:rPr>
        <w:t xml:space="preserve">giving birth for the first time has decreased </w:t>
      </w:r>
      <w:r w:rsidR="00E5125B">
        <w:rPr>
          <w:szCs w:val="22"/>
        </w:rPr>
        <w:t xml:space="preserve">five percentage points </w:t>
      </w:r>
      <w:r w:rsidR="00DB41FA">
        <w:rPr>
          <w:szCs w:val="22"/>
        </w:rPr>
        <w:t xml:space="preserve">from 48% in 2012 </w:t>
      </w:r>
      <w:r w:rsidR="00E5125B">
        <w:rPr>
          <w:szCs w:val="22"/>
        </w:rPr>
        <w:t>to</w:t>
      </w:r>
      <w:r w:rsidRPr="00DA1031">
        <w:rPr>
          <w:szCs w:val="22"/>
        </w:rPr>
        <w:t xml:space="preserve"> 43% in 2019 (</w:t>
      </w:r>
      <w:r w:rsidRPr="00DA1031">
        <w:rPr>
          <w:szCs w:val="22"/>
        </w:rPr>
        <w:fldChar w:fldCharType="begin"/>
      </w:r>
      <w:r w:rsidRPr="00DA1031">
        <w:rPr>
          <w:szCs w:val="22"/>
        </w:rPr>
        <w:instrText xml:space="preserve"> REF _Ref117096174 \h  \* MERGEFORMAT </w:instrText>
      </w:r>
      <w:r w:rsidRPr="00DA1031">
        <w:rPr>
          <w:szCs w:val="22"/>
        </w:rPr>
      </w:r>
      <w:r w:rsidRPr="00DA1031">
        <w:rPr>
          <w:szCs w:val="22"/>
        </w:rPr>
        <w:fldChar w:fldCharType="separate"/>
      </w:r>
      <w:r w:rsidR="00296988" w:rsidRPr="00296988">
        <w:rPr>
          <w:szCs w:val="22"/>
        </w:rPr>
        <w:t>Figure 15</w:t>
      </w:r>
      <w:r w:rsidRPr="00DA1031">
        <w:rPr>
          <w:szCs w:val="22"/>
        </w:rPr>
        <w:fldChar w:fldCharType="end"/>
      </w:r>
      <w:r w:rsidR="006B7997">
        <w:rPr>
          <w:szCs w:val="22"/>
        </w:rPr>
        <w:t xml:space="preserve">; see </w:t>
      </w:r>
      <w:r w:rsidR="006B7997" w:rsidRPr="00B247F1">
        <w:rPr>
          <w:szCs w:val="22"/>
        </w:rPr>
        <w:t xml:space="preserve">also </w:t>
      </w:r>
      <w:r w:rsidR="006B7997" w:rsidRPr="00B247F1">
        <w:rPr>
          <w:szCs w:val="22"/>
        </w:rPr>
        <w:fldChar w:fldCharType="begin"/>
      </w:r>
      <w:r w:rsidR="006B7997" w:rsidRPr="00B247F1">
        <w:rPr>
          <w:szCs w:val="22"/>
        </w:rPr>
        <w:instrText xml:space="preserve"> REF _Ref117928263 \h </w:instrText>
      </w:r>
      <w:r w:rsidR="00B247F1">
        <w:rPr>
          <w:szCs w:val="22"/>
        </w:rPr>
        <w:instrText xml:space="preserve"> \* MERGEFORMAT </w:instrText>
      </w:r>
      <w:r w:rsidR="006B7997" w:rsidRPr="00B247F1">
        <w:rPr>
          <w:szCs w:val="22"/>
        </w:rPr>
      </w:r>
      <w:r w:rsidR="006B7997" w:rsidRPr="00B247F1">
        <w:rPr>
          <w:szCs w:val="22"/>
        </w:rPr>
        <w:fldChar w:fldCharType="separate"/>
      </w:r>
      <w:r w:rsidR="00296988" w:rsidRPr="00296988">
        <w:rPr>
          <w:szCs w:val="22"/>
        </w:rPr>
        <w:t xml:space="preserve">Table </w:t>
      </w:r>
      <w:r w:rsidR="00296988" w:rsidRPr="00296988">
        <w:rPr>
          <w:noProof/>
          <w:szCs w:val="22"/>
        </w:rPr>
        <w:t>23</w:t>
      </w:r>
      <w:r w:rsidR="006B7997" w:rsidRPr="00B247F1">
        <w:rPr>
          <w:szCs w:val="22"/>
        </w:rPr>
        <w:fldChar w:fldCharType="end"/>
      </w:r>
      <w:r w:rsidRPr="00B247F1">
        <w:rPr>
          <w:szCs w:val="22"/>
        </w:rPr>
        <w:t>).</w:t>
      </w:r>
    </w:p>
    <w:p w14:paraId="7B6CB3CB" w14:textId="75282695" w:rsidR="00AF0ADF" w:rsidRPr="00DA1031" w:rsidRDefault="00AF0ADF" w:rsidP="00AF0ADF">
      <w:pPr>
        <w:pStyle w:val="Bullets"/>
        <w:ind w:left="357" w:hanging="357"/>
        <w:rPr>
          <w:szCs w:val="22"/>
        </w:rPr>
      </w:pPr>
      <w:r w:rsidRPr="00DA1031">
        <w:rPr>
          <w:szCs w:val="22"/>
        </w:rPr>
        <w:t>Among this group of women, the highest proportion of non-instrumental first births occurred for women residing in either remote or very remote regions (5</w:t>
      </w:r>
      <w:r w:rsidR="00D57662">
        <w:rPr>
          <w:szCs w:val="22"/>
        </w:rPr>
        <w:t>2</w:t>
      </w:r>
      <w:r w:rsidR="00E5125B">
        <w:rPr>
          <w:szCs w:val="22"/>
        </w:rPr>
        <w:t>%</w:t>
      </w:r>
      <w:r w:rsidRPr="00DA1031">
        <w:rPr>
          <w:szCs w:val="22"/>
        </w:rPr>
        <w:t xml:space="preserve"> in 2012 and 2019), remaining relatively stable over time.</w:t>
      </w:r>
      <w:r w:rsidR="00FB0C38">
        <w:rPr>
          <w:szCs w:val="22"/>
        </w:rPr>
        <w:t xml:space="preserve"> </w:t>
      </w:r>
      <w:r w:rsidRPr="00DA1031">
        <w:rPr>
          <w:szCs w:val="22"/>
        </w:rPr>
        <w:t>Women residing in the most disadvantaged areas also had higher rates of non-instrumental births over time.</w:t>
      </w:r>
    </w:p>
    <w:p w14:paraId="74A5ABD1" w14:textId="516A49AC" w:rsidR="00AF0ADF" w:rsidRPr="006B7997" w:rsidRDefault="00AF0ADF" w:rsidP="00AF0ADF">
      <w:pPr>
        <w:pStyle w:val="Bullets"/>
        <w:ind w:left="357" w:hanging="357"/>
        <w:rPr>
          <w:szCs w:val="22"/>
        </w:rPr>
      </w:pPr>
      <w:r w:rsidRPr="00DA1031">
        <w:rPr>
          <w:szCs w:val="22"/>
        </w:rPr>
        <w:t xml:space="preserve">Women who gave birth in the public sector had a significantly higher proportion of non-instrumental births for all years (51% in 2011 and </w:t>
      </w:r>
      <w:r w:rsidR="00FB7513">
        <w:rPr>
          <w:szCs w:val="22"/>
        </w:rPr>
        <w:t>4</w:t>
      </w:r>
      <w:r w:rsidRPr="00DA1031">
        <w:rPr>
          <w:szCs w:val="22"/>
        </w:rPr>
        <w:t xml:space="preserve">6% in 2019) compared to women who gave birth in the private sector (35% in 2011 and </w:t>
      </w:r>
      <w:r w:rsidR="00FB7513">
        <w:rPr>
          <w:szCs w:val="22"/>
        </w:rPr>
        <w:t>31</w:t>
      </w:r>
      <w:r w:rsidRPr="00DA1031">
        <w:rPr>
          <w:szCs w:val="22"/>
        </w:rPr>
        <w:t>% in 2019</w:t>
      </w:r>
      <w:r>
        <w:rPr>
          <w:szCs w:val="22"/>
        </w:rPr>
        <w:t>).</w:t>
      </w:r>
    </w:p>
    <w:p w14:paraId="12BD5628" w14:textId="3ED00E80" w:rsidR="00AF0ADF" w:rsidRPr="009C23FB" w:rsidRDefault="00AF0ADF" w:rsidP="00AF0ADF">
      <w:pPr>
        <w:pStyle w:val="Caption"/>
        <w:rPr>
          <w:sz w:val="20"/>
          <w:szCs w:val="20"/>
        </w:rPr>
      </w:pPr>
      <w:bookmarkStart w:id="322" w:name="_Ref117096174"/>
      <w:bookmarkStart w:id="323" w:name="_Toc121415181"/>
      <w:r w:rsidRPr="009C23FB">
        <w:rPr>
          <w:sz w:val="20"/>
          <w:szCs w:val="20"/>
        </w:rPr>
        <w:t xml:space="preserve">Figure </w:t>
      </w:r>
      <w:r w:rsidR="006B1CF4" w:rsidRPr="009C23FB">
        <w:rPr>
          <w:sz w:val="20"/>
          <w:szCs w:val="20"/>
        </w:rPr>
        <w:fldChar w:fldCharType="begin"/>
      </w:r>
      <w:r w:rsidR="006B1CF4" w:rsidRPr="009C23FB">
        <w:rPr>
          <w:sz w:val="20"/>
          <w:szCs w:val="20"/>
        </w:rPr>
        <w:instrText xml:space="preserve"> SEQ Figure \* ARABIC </w:instrText>
      </w:r>
      <w:r w:rsidR="006B1CF4" w:rsidRPr="009C23FB">
        <w:rPr>
          <w:sz w:val="20"/>
          <w:szCs w:val="20"/>
        </w:rPr>
        <w:fldChar w:fldCharType="separate"/>
      </w:r>
      <w:r w:rsidR="00296988">
        <w:rPr>
          <w:noProof/>
          <w:sz w:val="20"/>
          <w:szCs w:val="20"/>
        </w:rPr>
        <w:t>15</w:t>
      </w:r>
      <w:r w:rsidR="006B1CF4" w:rsidRPr="009C23FB">
        <w:rPr>
          <w:sz w:val="20"/>
          <w:szCs w:val="20"/>
        </w:rPr>
        <w:fldChar w:fldCharType="end"/>
      </w:r>
      <w:bookmarkEnd w:id="322"/>
      <w:r w:rsidRPr="009C23FB">
        <w:rPr>
          <w:sz w:val="20"/>
          <w:szCs w:val="20"/>
        </w:rPr>
        <w:tab/>
        <w:t>Non-instrumental vaginal birth</w:t>
      </w:r>
      <w:r w:rsidR="009C23FB" w:rsidRPr="009C23FB">
        <w:rPr>
          <w:sz w:val="20"/>
          <w:szCs w:val="20"/>
        </w:rPr>
        <w:t>,</w:t>
      </w:r>
      <w:r w:rsidRPr="009C23FB">
        <w:rPr>
          <w:sz w:val="20"/>
          <w:szCs w:val="20"/>
        </w:rPr>
        <w:t xml:space="preserve"> selected women</w:t>
      </w:r>
      <w:r w:rsidR="00BC27C1">
        <w:rPr>
          <w:sz w:val="20"/>
          <w:szCs w:val="20"/>
        </w:rPr>
        <w:t>, first birth</w:t>
      </w:r>
      <w:r w:rsidRPr="009C23FB">
        <w:rPr>
          <w:sz w:val="20"/>
          <w:szCs w:val="20"/>
        </w:rPr>
        <w:t xml:space="preserve"> (PI07), 2011–2019</w:t>
      </w:r>
      <w:bookmarkEnd w:id="323"/>
    </w:p>
    <w:p w14:paraId="049EFF4C" w14:textId="1B02D9D5" w:rsidR="00AF0ADF" w:rsidRDefault="009D40BD" w:rsidP="00AF0ADF">
      <w:r>
        <w:rPr>
          <w:noProof/>
        </w:rPr>
        <w:drawing>
          <wp:inline distT="0" distB="0" distL="0" distR="0" wp14:anchorId="576B6FBC" wp14:editId="7C59901B">
            <wp:extent cx="5936120" cy="1833245"/>
            <wp:effectExtent l="0" t="0" r="7620" b="14605"/>
            <wp:docPr id="37" name="Chart 37" descr="Chart shows the percentage of women giving birth for the first time who had a non-instrumental vaginal birth.  From 2012 to 2019, non-instrumental vaginal births for women giving birth for the first time has decreased by five percent, from 48 percent in 2012 to 43 percent in 2019. ">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D4C5C25" w14:textId="77777777" w:rsidR="00924850" w:rsidRPr="00165760" w:rsidRDefault="00924850" w:rsidP="00924850">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233F6501" w14:textId="658EAC72" w:rsidR="00AF0ADF" w:rsidRPr="0013312C" w:rsidRDefault="00AF0ADF" w:rsidP="001044C9"/>
    <w:p w14:paraId="5212AD9B" w14:textId="240712F9" w:rsidR="00AF0ADF" w:rsidRPr="006C4109" w:rsidRDefault="00AF0ADF" w:rsidP="00AF0ADF">
      <w:pPr>
        <w:rPr>
          <w:b/>
          <w:i/>
          <w:color w:val="0398D7"/>
          <w:szCs w:val="22"/>
        </w:rPr>
      </w:pPr>
      <w:r w:rsidRPr="006C4109">
        <w:rPr>
          <w:b/>
          <w:i/>
          <w:color w:val="0398D7"/>
          <w:szCs w:val="22"/>
        </w:rPr>
        <w:t>Instrumental vaginal birth for selected women giving birth for the first time</w:t>
      </w:r>
      <w:r w:rsidR="001044C9">
        <w:rPr>
          <w:b/>
          <w:i/>
          <w:color w:val="0398D7"/>
          <w:szCs w:val="22"/>
        </w:rPr>
        <w:t xml:space="preserve"> (PI08)</w:t>
      </w:r>
    </w:p>
    <w:p w14:paraId="319AEFC5" w14:textId="6FF5DC89" w:rsidR="00AF0ADF" w:rsidRPr="0026020D" w:rsidRDefault="00AF0ADF" w:rsidP="006B7997">
      <w:pPr>
        <w:pStyle w:val="Bullets"/>
        <w:numPr>
          <w:ilvl w:val="0"/>
          <w:numId w:val="0"/>
        </w:numPr>
        <w:rPr>
          <w:szCs w:val="22"/>
        </w:rPr>
      </w:pPr>
      <w:r w:rsidRPr="006C4109">
        <w:rPr>
          <w:szCs w:val="22"/>
        </w:rPr>
        <w:t xml:space="preserve">At a national level, instrumental vaginal birth for </w:t>
      </w:r>
      <w:r w:rsidRPr="00C24842">
        <w:rPr>
          <w:b/>
          <w:szCs w:val="22"/>
        </w:rPr>
        <w:t>selected women</w:t>
      </w:r>
      <w:r w:rsidRPr="006C4109">
        <w:rPr>
          <w:szCs w:val="22"/>
        </w:rPr>
        <w:t xml:space="preserve"> giving birth for the first time has </w:t>
      </w:r>
      <w:r w:rsidR="006576EE">
        <w:rPr>
          <w:szCs w:val="22"/>
        </w:rPr>
        <w:t xml:space="preserve">shown a gradual, slight increase </w:t>
      </w:r>
      <w:r w:rsidRPr="006C4109">
        <w:rPr>
          <w:szCs w:val="22"/>
        </w:rPr>
        <w:t xml:space="preserve">year on year, from </w:t>
      </w:r>
      <w:r w:rsidR="00363BAE">
        <w:rPr>
          <w:szCs w:val="22"/>
        </w:rPr>
        <w:t>25</w:t>
      </w:r>
      <w:r w:rsidRPr="006C4109">
        <w:rPr>
          <w:szCs w:val="22"/>
        </w:rPr>
        <w:t xml:space="preserve">% in 2011 to </w:t>
      </w:r>
      <w:r w:rsidRPr="006576EE">
        <w:rPr>
          <w:szCs w:val="22"/>
        </w:rPr>
        <w:t>26%</w:t>
      </w:r>
      <w:r w:rsidRPr="006C4109">
        <w:rPr>
          <w:szCs w:val="22"/>
        </w:rPr>
        <w:t xml:space="preserve"> in </w:t>
      </w:r>
      <w:r w:rsidRPr="0026020D">
        <w:rPr>
          <w:szCs w:val="22"/>
        </w:rPr>
        <w:t xml:space="preserve">2019 </w:t>
      </w:r>
      <w:r w:rsidR="006B7997" w:rsidRPr="0026020D">
        <w:rPr>
          <w:szCs w:val="22"/>
        </w:rPr>
        <w:t xml:space="preserve">(see </w:t>
      </w:r>
      <w:r w:rsidR="006B7997" w:rsidRPr="0026020D">
        <w:rPr>
          <w:szCs w:val="22"/>
        </w:rPr>
        <w:fldChar w:fldCharType="begin"/>
      </w:r>
      <w:r w:rsidR="006B7997" w:rsidRPr="0026020D">
        <w:rPr>
          <w:szCs w:val="22"/>
        </w:rPr>
        <w:instrText xml:space="preserve"> REF _Ref117096612 \h </w:instrText>
      </w:r>
      <w:r w:rsidR="0026020D">
        <w:rPr>
          <w:szCs w:val="22"/>
        </w:rPr>
        <w:instrText xml:space="preserve"> \* MERGEFORMAT </w:instrText>
      </w:r>
      <w:r w:rsidR="006B7997" w:rsidRPr="0026020D">
        <w:rPr>
          <w:szCs w:val="22"/>
        </w:rPr>
      </w:r>
      <w:r w:rsidR="006B7997" w:rsidRPr="0026020D">
        <w:rPr>
          <w:szCs w:val="22"/>
        </w:rPr>
        <w:fldChar w:fldCharType="separate"/>
      </w:r>
      <w:r w:rsidR="00296988" w:rsidRPr="00296988">
        <w:rPr>
          <w:szCs w:val="22"/>
        </w:rPr>
        <w:t xml:space="preserve">Table </w:t>
      </w:r>
      <w:r w:rsidR="00296988" w:rsidRPr="00296988">
        <w:rPr>
          <w:noProof/>
          <w:szCs w:val="22"/>
        </w:rPr>
        <w:t>24</w:t>
      </w:r>
      <w:r w:rsidR="006B7997" w:rsidRPr="0026020D">
        <w:rPr>
          <w:szCs w:val="22"/>
        </w:rPr>
        <w:fldChar w:fldCharType="end"/>
      </w:r>
      <w:r w:rsidR="006B7997" w:rsidRPr="0026020D">
        <w:rPr>
          <w:szCs w:val="22"/>
        </w:rPr>
        <w:t>).</w:t>
      </w:r>
    </w:p>
    <w:p w14:paraId="1FED37F4" w14:textId="2313D8CF" w:rsidR="00AF0ADF" w:rsidRPr="0026020D" w:rsidRDefault="00AF0ADF" w:rsidP="00AF0ADF">
      <w:pPr>
        <w:pStyle w:val="Bullets"/>
        <w:ind w:left="357" w:hanging="357"/>
        <w:rPr>
          <w:szCs w:val="22"/>
        </w:rPr>
      </w:pPr>
      <w:r w:rsidRPr="0026020D">
        <w:rPr>
          <w:szCs w:val="22"/>
        </w:rPr>
        <w:t xml:space="preserve">Over time, Indigenous women had a lower rate of instrumental </w:t>
      </w:r>
      <w:r w:rsidR="006B7997" w:rsidRPr="0026020D">
        <w:rPr>
          <w:szCs w:val="22"/>
        </w:rPr>
        <w:t xml:space="preserve">vaginal </w:t>
      </w:r>
      <w:r w:rsidRPr="0026020D">
        <w:rPr>
          <w:szCs w:val="22"/>
        </w:rPr>
        <w:t>first births (</w:t>
      </w:r>
      <w:r w:rsidR="00E173C8" w:rsidRPr="0026020D">
        <w:rPr>
          <w:szCs w:val="22"/>
        </w:rPr>
        <w:t>15</w:t>
      </w:r>
      <w:r w:rsidRPr="0026020D">
        <w:rPr>
          <w:szCs w:val="22"/>
        </w:rPr>
        <w:t xml:space="preserve">% in 2011 and </w:t>
      </w:r>
      <w:r w:rsidR="00E173C8" w:rsidRPr="0026020D">
        <w:rPr>
          <w:szCs w:val="22"/>
        </w:rPr>
        <w:t>21</w:t>
      </w:r>
      <w:r w:rsidRPr="0026020D">
        <w:rPr>
          <w:szCs w:val="22"/>
        </w:rPr>
        <w:t>% in 2019), compared to non-</w:t>
      </w:r>
      <w:r w:rsidR="00FB0C38" w:rsidRPr="0026020D">
        <w:rPr>
          <w:szCs w:val="22"/>
        </w:rPr>
        <w:t>Indig</w:t>
      </w:r>
      <w:r w:rsidRPr="0026020D">
        <w:rPr>
          <w:szCs w:val="22"/>
        </w:rPr>
        <w:t xml:space="preserve">enous women (24% in 2011 and </w:t>
      </w:r>
      <w:r w:rsidR="00E173C8" w:rsidRPr="0026020D">
        <w:rPr>
          <w:szCs w:val="22"/>
        </w:rPr>
        <w:t>26</w:t>
      </w:r>
      <w:r w:rsidRPr="0026020D">
        <w:rPr>
          <w:szCs w:val="22"/>
        </w:rPr>
        <w:t>% in 2019).</w:t>
      </w:r>
    </w:p>
    <w:p w14:paraId="6A8847E1" w14:textId="7599294B" w:rsidR="00AF0ADF" w:rsidRPr="006C4109" w:rsidRDefault="00AF0ADF" w:rsidP="00AF0ADF">
      <w:pPr>
        <w:pStyle w:val="Bullets"/>
        <w:ind w:left="357" w:hanging="357"/>
        <w:rPr>
          <w:szCs w:val="22"/>
        </w:rPr>
      </w:pPr>
      <w:r w:rsidRPr="006C4109">
        <w:rPr>
          <w:szCs w:val="22"/>
        </w:rPr>
        <w:lastRenderedPageBreak/>
        <w:t xml:space="preserve">The lowest proportion of instrumental first births occurred for women residing in either remote (20% in </w:t>
      </w:r>
      <w:r w:rsidR="00691BE7">
        <w:rPr>
          <w:szCs w:val="22"/>
        </w:rPr>
        <w:t xml:space="preserve">both </w:t>
      </w:r>
      <w:r w:rsidRPr="006C4109">
        <w:rPr>
          <w:szCs w:val="22"/>
        </w:rPr>
        <w:t>2012 and 2019) or very remote regions (</w:t>
      </w:r>
      <w:r w:rsidR="00E173C8">
        <w:rPr>
          <w:szCs w:val="22"/>
        </w:rPr>
        <w:t>20</w:t>
      </w:r>
      <w:r w:rsidRPr="006C4109">
        <w:rPr>
          <w:szCs w:val="22"/>
        </w:rPr>
        <w:t xml:space="preserve">% in 2012 and </w:t>
      </w:r>
      <w:r w:rsidR="00E173C8">
        <w:rPr>
          <w:szCs w:val="22"/>
        </w:rPr>
        <w:t>22</w:t>
      </w:r>
      <w:r w:rsidRPr="006C4109">
        <w:rPr>
          <w:szCs w:val="22"/>
        </w:rPr>
        <w:t xml:space="preserve">% in 2019). However, these regions had </w:t>
      </w:r>
      <w:r w:rsidR="00717E2E">
        <w:rPr>
          <w:szCs w:val="22"/>
        </w:rPr>
        <w:t>some</w:t>
      </w:r>
      <w:r w:rsidR="00717E2E" w:rsidRPr="006C4109">
        <w:rPr>
          <w:szCs w:val="22"/>
        </w:rPr>
        <w:t xml:space="preserve"> </w:t>
      </w:r>
      <w:r w:rsidRPr="006C4109">
        <w:rPr>
          <w:szCs w:val="22"/>
        </w:rPr>
        <w:t>variability year on year in contrast to the national trend.</w:t>
      </w:r>
    </w:p>
    <w:p w14:paraId="093A8471" w14:textId="0FD20BF9" w:rsidR="00AF0ADF" w:rsidRPr="00E44DDA" w:rsidRDefault="00AF0ADF" w:rsidP="00AF0ADF">
      <w:pPr>
        <w:pStyle w:val="Bullets"/>
        <w:ind w:left="357" w:hanging="357"/>
        <w:rPr>
          <w:szCs w:val="22"/>
        </w:rPr>
      </w:pPr>
      <w:r w:rsidRPr="006C4109">
        <w:rPr>
          <w:szCs w:val="22"/>
        </w:rPr>
        <w:t xml:space="preserve">Over a quarter of women residing in the least disadvantaged areas had an </w:t>
      </w:r>
      <w:r w:rsidRPr="00E44DDA">
        <w:rPr>
          <w:szCs w:val="22"/>
        </w:rPr>
        <w:t xml:space="preserve">instrumental birth, higher than the national figure and more variable </w:t>
      </w:r>
      <w:r w:rsidR="00BE7C89" w:rsidRPr="00E44DDA">
        <w:rPr>
          <w:szCs w:val="22"/>
        </w:rPr>
        <w:t>year on year</w:t>
      </w:r>
      <w:r w:rsidRPr="00E44DDA">
        <w:rPr>
          <w:szCs w:val="22"/>
        </w:rPr>
        <w:t xml:space="preserve"> (27% in 2012 and 28% in 2019).</w:t>
      </w:r>
    </w:p>
    <w:p w14:paraId="24F7A6A3" w14:textId="0D7964DC" w:rsidR="00AF0ADF" w:rsidRPr="00E44DDA" w:rsidRDefault="00AF0ADF" w:rsidP="00AF0ADF">
      <w:pPr>
        <w:pStyle w:val="Bullets"/>
        <w:ind w:left="357" w:hanging="357"/>
        <w:rPr>
          <w:szCs w:val="22"/>
        </w:rPr>
      </w:pPr>
      <w:r w:rsidRPr="00E44DDA">
        <w:rPr>
          <w:szCs w:val="22"/>
        </w:rPr>
        <w:t>Women who gave birth in the private sector had the highest proportion of instrumental first births, which decreased marginally year</w:t>
      </w:r>
      <w:r w:rsidR="00717E2E" w:rsidRPr="00E44DDA">
        <w:rPr>
          <w:szCs w:val="22"/>
        </w:rPr>
        <w:t xml:space="preserve"> </w:t>
      </w:r>
      <w:r w:rsidRPr="00E44DDA">
        <w:rPr>
          <w:szCs w:val="22"/>
        </w:rPr>
        <w:t xml:space="preserve">on year from 2015, against the national trend (29% in 2011 and 28% in 2019). Conversely, for women who gave birth in the public sector, the proportion of instrumental births increased at a </w:t>
      </w:r>
      <w:r w:rsidR="00717E2E" w:rsidRPr="00E44DDA">
        <w:rPr>
          <w:szCs w:val="22"/>
        </w:rPr>
        <w:t xml:space="preserve">slightly </w:t>
      </w:r>
      <w:r w:rsidRPr="00E44DDA">
        <w:rPr>
          <w:szCs w:val="22"/>
        </w:rPr>
        <w:t>faster rate than the national trend (</w:t>
      </w:r>
      <w:r w:rsidR="00E173C8" w:rsidRPr="00E44DDA">
        <w:rPr>
          <w:szCs w:val="22"/>
        </w:rPr>
        <w:t>24</w:t>
      </w:r>
      <w:r w:rsidRPr="00E44DDA">
        <w:rPr>
          <w:szCs w:val="22"/>
        </w:rPr>
        <w:t>% in 2011 and 26% in 2019).</w:t>
      </w:r>
    </w:p>
    <w:p w14:paraId="2C46974B" w14:textId="77777777" w:rsidR="00AF0ADF" w:rsidRDefault="00AF0ADF" w:rsidP="00AF0ADF"/>
    <w:p w14:paraId="26F8FFD5" w14:textId="5E871D4C" w:rsidR="00AF0ADF" w:rsidRPr="00B272C5" w:rsidRDefault="00AF0ADF" w:rsidP="00AF0ADF">
      <w:pPr>
        <w:rPr>
          <w:b/>
          <w:i/>
          <w:color w:val="0398D7"/>
          <w:szCs w:val="22"/>
        </w:rPr>
      </w:pPr>
      <w:r w:rsidRPr="00B272C5">
        <w:rPr>
          <w:b/>
          <w:i/>
          <w:color w:val="0398D7"/>
          <w:szCs w:val="22"/>
        </w:rPr>
        <w:t>Women having their second birth vaginally whose first birth was by caesarean section</w:t>
      </w:r>
      <w:r w:rsidR="00717E2E">
        <w:rPr>
          <w:b/>
          <w:i/>
          <w:color w:val="0398D7"/>
          <w:szCs w:val="22"/>
        </w:rPr>
        <w:t xml:space="preserve"> (PI15)</w:t>
      </w:r>
    </w:p>
    <w:p w14:paraId="4DC1A4DF" w14:textId="3F0D0F6C" w:rsidR="00AF0ADF" w:rsidRDefault="00AF0ADF" w:rsidP="006B7997">
      <w:pPr>
        <w:spacing w:before="120" w:after="120"/>
        <w:rPr>
          <w:szCs w:val="22"/>
        </w:rPr>
      </w:pPr>
      <w:r w:rsidRPr="00F67C43">
        <w:rPr>
          <w:szCs w:val="22"/>
        </w:rPr>
        <w:t xml:space="preserve">Nationally, the proportion </w:t>
      </w:r>
      <w:r w:rsidRPr="0026020D">
        <w:rPr>
          <w:szCs w:val="22"/>
        </w:rPr>
        <w:t xml:space="preserve">of women giving birth vaginally whose first birth was by caesarean section decreased over time with some variability </w:t>
      </w:r>
      <w:r w:rsidR="00BE7C89" w:rsidRPr="0026020D">
        <w:rPr>
          <w:szCs w:val="22"/>
        </w:rPr>
        <w:t>year on year</w:t>
      </w:r>
      <w:r w:rsidRPr="0026020D">
        <w:rPr>
          <w:szCs w:val="22"/>
        </w:rPr>
        <w:t xml:space="preserve"> until 2017 where it remained steady </w:t>
      </w:r>
      <w:r w:rsidR="006B7997" w:rsidRPr="0026020D">
        <w:rPr>
          <w:szCs w:val="22"/>
        </w:rPr>
        <w:t>at 12% (</w:t>
      </w:r>
      <w:r w:rsidR="006B7997" w:rsidRPr="0026020D">
        <w:rPr>
          <w:szCs w:val="22"/>
        </w:rPr>
        <w:fldChar w:fldCharType="begin"/>
      </w:r>
      <w:r w:rsidR="006B7997" w:rsidRPr="0026020D">
        <w:rPr>
          <w:szCs w:val="22"/>
        </w:rPr>
        <w:instrText xml:space="preserve"> REF _Ref117928441 \h </w:instrText>
      </w:r>
      <w:r w:rsidR="0026020D">
        <w:rPr>
          <w:szCs w:val="22"/>
        </w:rPr>
        <w:instrText xml:space="preserve"> \* MERGEFORMAT </w:instrText>
      </w:r>
      <w:r w:rsidR="006B7997" w:rsidRPr="0026020D">
        <w:rPr>
          <w:szCs w:val="22"/>
        </w:rPr>
      </w:r>
      <w:r w:rsidR="006B7997" w:rsidRPr="0026020D">
        <w:rPr>
          <w:szCs w:val="22"/>
        </w:rPr>
        <w:fldChar w:fldCharType="separate"/>
      </w:r>
      <w:r w:rsidR="00296988" w:rsidRPr="00296988">
        <w:rPr>
          <w:szCs w:val="22"/>
        </w:rPr>
        <w:t xml:space="preserve">Table </w:t>
      </w:r>
      <w:r w:rsidR="00296988" w:rsidRPr="00296988">
        <w:rPr>
          <w:noProof/>
          <w:szCs w:val="22"/>
        </w:rPr>
        <w:t>25</w:t>
      </w:r>
      <w:r w:rsidR="006B7997" w:rsidRPr="0026020D">
        <w:rPr>
          <w:szCs w:val="22"/>
        </w:rPr>
        <w:fldChar w:fldCharType="end"/>
      </w:r>
      <w:r w:rsidR="006B7997" w:rsidRPr="0026020D">
        <w:rPr>
          <w:szCs w:val="22"/>
        </w:rPr>
        <w:t>)</w:t>
      </w:r>
      <w:r w:rsidR="0026020D" w:rsidRPr="0026020D">
        <w:rPr>
          <w:szCs w:val="22"/>
        </w:rPr>
        <w:t>.</w:t>
      </w:r>
    </w:p>
    <w:p w14:paraId="18DECCA4" w14:textId="5DE7C20A" w:rsidR="00AF0ADF" w:rsidRPr="001A4BD8" w:rsidRDefault="00AF0ADF" w:rsidP="00AF0ADF">
      <w:pPr>
        <w:pStyle w:val="Bullets"/>
        <w:ind w:left="357" w:hanging="357"/>
        <w:rPr>
          <w:szCs w:val="22"/>
        </w:rPr>
      </w:pPr>
      <w:r w:rsidRPr="001A4BD8">
        <w:rPr>
          <w:szCs w:val="22"/>
        </w:rPr>
        <w:t>The proportion of women giving birth vaginally to their second child after a caesarean decreased as age increased, for mothers aged 20 years and over. The rate of decrease was similar for Indigenous and non-</w:t>
      </w:r>
      <w:r w:rsidR="00717E2E">
        <w:rPr>
          <w:szCs w:val="22"/>
        </w:rPr>
        <w:t>I</w:t>
      </w:r>
      <w:r w:rsidRPr="001A4BD8">
        <w:rPr>
          <w:szCs w:val="22"/>
        </w:rPr>
        <w:t>ndigenous women, and by remoteness area,</w:t>
      </w:r>
      <w:r w:rsidR="001937D8">
        <w:rPr>
          <w:szCs w:val="22"/>
        </w:rPr>
        <w:t xml:space="preserve"> with</w:t>
      </w:r>
      <w:r w:rsidRPr="001A4BD8">
        <w:rPr>
          <w:szCs w:val="22"/>
        </w:rPr>
        <w:t xml:space="preserve"> most regions in line with the national decreasing trend.</w:t>
      </w:r>
    </w:p>
    <w:p w14:paraId="2A8BA1B1" w14:textId="1A86E1F7" w:rsidR="004823E7" w:rsidRDefault="00AF0ADF" w:rsidP="006B7997">
      <w:pPr>
        <w:pStyle w:val="Bullets"/>
        <w:ind w:left="357" w:hanging="357"/>
        <w:rPr>
          <w:szCs w:val="22"/>
        </w:rPr>
      </w:pPr>
      <w:r w:rsidRPr="001A4BD8">
        <w:rPr>
          <w:szCs w:val="22"/>
        </w:rPr>
        <w:t>A greater proportion of women giving birth to their second child in the public sector had a vaginal birth after a caesarean section, by more than 9</w:t>
      </w:r>
      <w:r w:rsidR="009C23FB">
        <w:rPr>
          <w:szCs w:val="22"/>
        </w:rPr>
        <w:t xml:space="preserve"> percentage points</w:t>
      </w:r>
      <w:r w:rsidRPr="001A4BD8">
        <w:rPr>
          <w:szCs w:val="22"/>
        </w:rPr>
        <w:t xml:space="preserve"> compared to private sector births </w:t>
      </w:r>
      <w:r w:rsidR="00BE7C89">
        <w:rPr>
          <w:szCs w:val="22"/>
        </w:rPr>
        <w:t>year on year</w:t>
      </w:r>
      <w:r w:rsidRPr="001A4BD8">
        <w:rPr>
          <w:szCs w:val="22"/>
        </w:rPr>
        <w:t xml:space="preserve"> (17%</w:t>
      </w:r>
      <w:r w:rsidR="00781F71">
        <w:rPr>
          <w:szCs w:val="22"/>
        </w:rPr>
        <w:t xml:space="preserve"> vs. 8%</w:t>
      </w:r>
      <w:r w:rsidRPr="001A4BD8">
        <w:rPr>
          <w:szCs w:val="22"/>
        </w:rPr>
        <w:t xml:space="preserve"> in 2011 and 15%</w:t>
      </w:r>
      <w:r w:rsidR="009C23FB">
        <w:rPr>
          <w:szCs w:val="22"/>
        </w:rPr>
        <w:t xml:space="preserve"> </w:t>
      </w:r>
      <w:r w:rsidR="00781F71">
        <w:rPr>
          <w:szCs w:val="22"/>
        </w:rPr>
        <w:t>vs.</w:t>
      </w:r>
      <w:r w:rsidR="00B4735F">
        <w:rPr>
          <w:szCs w:val="22"/>
        </w:rPr>
        <w:t xml:space="preserve"> 6%</w:t>
      </w:r>
      <w:r w:rsidRPr="001A4BD8">
        <w:rPr>
          <w:szCs w:val="22"/>
        </w:rPr>
        <w:t xml:space="preserve"> in 2019, </w:t>
      </w:r>
      <w:r w:rsidRPr="001A4BD8">
        <w:rPr>
          <w:szCs w:val="22"/>
        </w:rPr>
        <w:fldChar w:fldCharType="begin"/>
      </w:r>
      <w:r w:rsidRPr="001A4BD8">
        <w:rPr>
          <w:szCs w:val="22"/>
        </w:rPr>
        <w:instrText xml:space="preserve"> REF _Ref117523255 \h  \* MERGEFORMAT </w:instrText>
      </w:r>
      <w:r w:rsidRPr="001A4BD8">
        <w:rPr>
          <w:szCs w:val="22"/>
        </w:rPr>
      </w:r>
      <w:r w:rsidRPr="001A4BD8">
        <w:rPr>
          <w:szCs w:val="22"/>
        </w:rPr>
        <w:fldChar w:fldCharType="separate"/>
      </w:r>
      <w:r w:rsidR="00296988" w:rsidRPr="00296988">
        <w:rPr>
          <w:szCs w:val="22"/>
        </w:rPr>
        <w:t xml:space="preserve">Figure </w:t>
      </w:r>
      <w:r w:rsidR="00296988" w:rsidRPr="00296988">
        <w:rPr>
          <w:noProof/>
          <w:szCs w:val="22"/>
        </w:rPr>
        <w:t>16</w:t>
      </w:r>
      <w:r w:rsidRPr="001A4BD8">
        <w:rPr>
          <w:szCs w:val="22"/>
        </w:rPr>
        <w:fldChar w:fldCharType="end"/>
      </w:r>
      <w:r w:rsidRPr="001A4BD8">
        <w:rPr>
          <w:szCs w:val="22"/>
        </w:rPr>
        <w:t>)</w:t>
      </w:r>
      <w:r w:rsidR="008222C0">
        <w:rPr>
          <w:szCs w:val="22"/>
        </w:rPr>
        <w:t>.</w:t>
      </w:r>
    </w:p>
    <w:p w14:paraId="60C05E74" w14:textId="77777777" w:rsidR="008222C0" w:rsidRDefault="008222C0" w:rsidP="00C24842">
      <w:pPr>
        <w:pStyle w:val="Bullets"/>
        <w:numPr>
          <w:ilvl w:val="0"/>
          <w:numId w:val="0"/>
        </w:numPr>
        <w:ind w:left="357"/>
        <w:rPr>
          <w:szCs w:val="22"/>
        </w:rPr>
      </w:pPr>
    </w:p>
    <w:p w14:paraId="5759ED87" w14:textId="596FC59C" w:rsidR="00AF0ADF" w:rsidRPr="009C23FB" w:rsidRDefault="00AF0ADF" w:rsidP="00AF0ADF">
      <w:pPr>
        <w:pStyle w:val="Caption"/>
        <w:rPr>
          <w:sz w:val="20"/>
          <w:szCs w:val="20"/>
        </w:rPr>
      </w:pPr>
      <w:bookmarkStart w:id="324" w:name="_Ref117523255"/>
      <w:bookmarkStart w:id="325" w:name="_Toc121415182"/>
      <w:bookmarkStart w:id="326" w:name="_Ref117109553"/>
      <w:r w:rsidRPr="009C23FB">
        <w:rPr>
          <w:sz w:val="20"/>
          <w:szCs w:val="20"/>
        </w:rPr>
        <w:t xml:space="preserve">Figure </w:t>
      </w:r>
      <w:r w:rsidR="006B1CF4" w:rsidRPr="009C23FB">
        <w:rPr>
          <w:sz w:val="20"/>
          <w:szCs w:val="20"/>
        </w:rPr>
        <w:fldChar w:fldCharType="begin"/>
      </w:r>
      <w:r w:rsidR="006B1CF4" w:rsidRPr="009C23FB">
        <w:rPr>
          <w:sz w:val="20"/>
          <w:szCs w:val="20"/>
        </w:rPr>
        <w:instrText xml:space="preserve"> SEQ Figure \* ARABIC </w:instrText>
      </w:r>
      <w:r w:rsidR="006B1CF4" w:rsidRPr="009C23FB">
        <w:rPr>
          <w:sz w:val="20"/>
          <w:szCs w:val="20"/>
        </w:rPr>
        <w:fldChar w:fldCharType="separate"/>
      </w:r>
      <w:r w:rsidR="00296988">
        <w:rPr>
          <w:noProof/>
          <w:sz w:val="20"/>
          <w:szCs w:val="20"/>
        </w:rPr>
        <w:t>16</w:t>
      </w:r>
      <w:r w:rsidR="006B1CF4" w:rsidRPr="009C23FB">
        <w:rPr>
          <w:sz w:val="20"/>
          <w:szCs w:val="20"/>
        </w:rPr>
        <w:fldChar w:fldCharType="end"/>
      </w:r>
      <w:bookmarkEnd w:id="324"/>
      <w:r w:rsidRPr="009C23FB">
        <w:rPr>
          <w:sz w:val="20"/>
          <w:szCs w:val="20"/>
        </w:rPr>
        <w:tab/>
        <w:t xml:space="preserve">Women having </w:t>
      </w:r>
      <w:r w:rsidR="00DB0D9A">
        <w:rPr>
          <w:sz w:val="20"/>
          <w:szCs w:val="20"/>
        </w:rPr>
        <w:t xml:space="preserve">their </w:t>
      </w:r>
      <w:r w:rsidRPr="009C23FB">
        <w:rPr>
          <w:sz w:val="20"/>
          <w:szCs w:val="20"/>
        </w:rPr>
        <w:t>second birth vaginally</w:t>
      </w:r>
      <w:r w:rsidR="00DB0D9A">
        <w:rPr>
          <w:sz w:val="20"/>
          <w:szCs w:val="20"/>
        </w:rPr>
        <w:t xml:space="preserve"> whose first birth was</w:t>
      </w:r>
      <w:r w:rsidRPr="009C23FB">
        <w:rPr>
          <w:sz w:val="20"/>
          <w:szCs w:val="20"/>
        </w:rPr>
        <w:t xml:space="preserve"> by caesarean section (PI15), by hospital sector, 2011–2019</w:t>
      </w:r>
      <w:bookmarkEnd w:id="325"/>
    </w:p>
    <w:p w14:paraId="2FFA3514" w14:textId="002CD69B" w:rsidR="00AF0ADF" w:rsidRPr="00A9492B" w:rsidRDefault="00B0572C" w:rsidP="00AF0ADF">
      <w:r>
        <w:rPr>
          <w:noProof/>
        </w:rPr>
        <w:drawing>
          <wp:inline distT="0" distB="0" distL="0" distR="0" wp14:anchorId="5721082D" wp14:editId="36338F1D">
            <wp:extent cx="5920950" cy="1823719"/>
            <wp:effectExtent l="0" t="0" r="3810" b="5715"/>
            <wp:docPr id="39" name="Chart 39" descr="Chart shows the percentage of women having their second birth vaginally after their first birth was by caesarean section by hospital sector.  A great proportion of women giving birth to their second child in the public sector had a vaginal birth after a caesarean section. ">
              <a:extLst xmlns:a="http://schemas.openxmlformats.org/drawingml/2006/main">
                <a:ext uri="{FF2B5EF4-FFF2-40B4-BE49-F238E27FC236}">
                  <a16:creationId xmlns:a16="http://schemas.microsoft.com/office/drawing/2014/main" id="{00000000-0008-0000-1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874E51E" w14:textId="77777777" w:rsidR="00924850" w:rsidRPr="00165760" w:rsidRDefault="00924850" w:rsidP="00924850">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bookmarkEnd w:id="326"/>
    <w:p w14:paraId="138F114C" w14:textId="77777777" w:rsidR="004823E7" w:rsidRDefault="004823E7" w:rsidP="00717E2E"/>
    <w:p w14:paraId="4D9A75A1" w14:textId="21D5C3B4" w:rsidR="00AF0ADF" w:rsidRPr="00717583" w:rsidRDefault="00AF0ADF" w:rsidP="00AF0ADF">
      <w:pPr>
        <w:rPr>
          <w:b/>
          <w:i/>
          <w:color w:val="0398D7"/>
          <w:szCs w:val="22"/>
        </w:rPr>
      </w:pPr>
      <w:r w:rsidRPr="00717583">
        <w:rPr>
          <w:b/>
          <w:i/>
          <w:color w:val="0398D7"/>
          <w:szCs w:val="22"/>
        </w:rPr>
        <w:t>Episiotomy for women having their first baby and giving birth vaginally (non-instrumental) (PI03a)</w:t>
      </w:r>
    </w:p>
    <w:p w14:paraId="399F7E40" w14:textId="7B0A43D3" w:rsidR="00AF0ADF" w:rsidRPr="0026020D" w:rsidRDefault="00AF0ADF" w:rsidP="00F66749">
      <w:pPr>
        <w:pStyle w:val="Bullets"/>
        <w:numPr>
          <w:ilvl w:val="0"/>
          <w:numId w:val="0"/>
        </w:numPr>
        <w:rPr>
          <w:szCs w:val="22"/>
        </w:rPr>
      </w:pPr>
      <w:r>
        <w:rPr>
          <w:szCs w:val="22"/>
        </w:rPr>
        <w:t>The</w:t>
      </w:r>
      <w:r w:rsidRPr="00965A8D">
        <w:rPr>
          <w:szCs w:val="22"/>
        </w:rPr>
        <w:t xml:space="preserve"> proportion of women giving birth for the first time (non-</w:t>
      </w:r>
      <w:r w:rsidRPr="0026020D">
        <w:rPr>
          <w:szCs w:val="22"/>
        </w:rPr>
        <w:t xml:space="preserve">instrumental) who had an episiotomy has increased from </w:t>
      </w:r>
      <w:r w:rsidR="00915458" w:rsidRPr="0026020D">
        <w:rPr>
          <w:szCs w:val="22"/>
        </w:rPr>
        <w:t>17</w:t>
      </w:r>
      <w:r w:rsidRPr="0026020D">
        <w:rPr>
          <w:szCs w:val="22"/>
        </w:rPr>
        <w:t>% in 2011 to 23% in 2019 (</w:t>
      </w:r>
      <w:r w:rsidRPr="0026020D">
        <w:rPr>
          <w:szCs w:val="22"/>
        </w:rPr>
        <w:fldChar w:fldCharType="begin"/>
      </w:r>
      <w:r w:rsidRPr="0026020D">
        <w:rPr>
          <w:szCs w:val="22"/>
        </w:rPr>
        <w:instrText xml:space="preserve"> REF _Ref117097124 \h  \* MERGEFORMAT </w:instrText>
      </w:r>
      <w:r w:rsidRPr="0026020D">
        <w:rPr>
          <w:szCs w:val="22"/>
        </w:rPr>
      </w:r>
      <w:r w:rsidRPr="0026020D">
        <w:rPr>
          <w:szCs w:val="22"/>
        </w:rPr>
        <w:fldChar w:fldCharType="separate"/>
      </w:r>
      <w:r w:rsidR="00296988" w:rsidRPr="00296988">
        <w:rPr>
          <w:szCs w:val="22"/>
        </w:rPr>
        <w:t xml:space="preserve">Figure </w:t>
      </w:r>
      <w:r w:rsidR="00296988" w:rsidRPr="00296988">
        <w:rPr>
          <w:noProof/>
          <w:szCs w:val="22"/>
        </w:rPr>
        <w:t>17</w:t>
      </w:r>
      <w:r w:rsidRPr="0026020D">
        <w:rPr>
          <w:szCs w:val="22"/>
        </w:rPr>
        <w:fldChar w:fldCharType="end"/>
      </w:r>
      <w:r w:rsidR="006B7997" w:rsidRPr="0026020D">
        <w:rPr>
          <w:szCs w:val="22"/>
        </w:rPr>
        <w:t xml:space="preserve">; see also </w:t>
      </w:r>
      <w:r w:rsidR="006B7997" w:rsidRPr="00BE7642">
        <w:rPr>
          <w:szCs w:val="22"/>
        </w:rPr>
        <w:fldChar w:fldCharType="begin"/>
      </w:r>
      <w:r w:rsidR="006B7997" w:rsidRPr="008222C0">
        <w:rPr>
          <w:szCs w:val="22"/>
        </w:rPr>
        <w:instrText xml:space="preserve"> REF _Ref117928596 \h </w:instrText>
      </w:r>
      <w:r w:rsidR="008222C0">
        <w:rPr>
          <w:szCs w:val="22"/>
        </w:rPr>
        <w:instrText xml:space="preserve"> \* MERGEFORMAT </w:instrText>
      </w:r>
      <w:r w:rsidR="006B7997" w:rsidRPr="00BE7642">
        <w:rPr>
          <w:szCs w:val="22"/>
        </w:rPr>
      </w:r>
      <w:r w:rsidR="006B7997" w:rsidRPr="00BE7642">
        <w:rPr>
          <w:szCs w:val="22"/>
        </w:rPr>
        <w:fldChar w:fldCharType="separate"/>
      </w:r>
      <w:r w:rsidR="00296988" w:rsidRPr="00296988">
        <w:rPr>
          <w:szCs w:val="22"/>
        </w:rPr>
        <w:t xml:space="preserve">Table </w:t>
      </w:r>
      <w:r w:rsidR="00296988" w:rsidRPr="00296988">
        <w:rPr>
          <w:noProof/>
          <w:szCs w:val="22"/>
        </w:rPr>
        <w:t>26</w:t>
      </w:r>
      <w:r w:rsidR="006B7997" w:rsidRPr="00BE7642">
        <w:rPr>
          <w:szCs w:val="22"/>
        </w:rPr>
        <w:fldChar w:fldCharType="end"/>
      </w:r>
      <w:r w:rsidR="006B7997" w:rsidRPr="0026020D">
        <w:rPr>
          <w:szCs w:val="22"/>
        </w:rPr>
        <w:t>).</w:t>
      </w:r>
    </w:p>
    <w:p w14:paraId="5DCD37A6" w14:textId="77777777" w:rsidR="006B7997" w:rsidRDefault="006B7997" w:rsidP="006B7997">
      <w:pPr>
        <w:pStyle w:val="Bullets"/>
        <w:ind w:left="357" w:hanging="357"/>
        <w:rPr>
          <w:szCs w:val="22"/>
        </w:rPr>
      </w:pPr>
      <w:r w:rsidRPr="0026020D">
        <w:rPr>
          <w:szCs w:val="22"/>
        </w:rPr>
        <w:t>While all age groups had an incremental increase in episiotomies</w:t>
      </w:r>
      <w:r w:rsidRPr="00965A8D">
        <w:rPr>
          <w:szCs w:val="22"/>
        </w:rPr>
        <w:t xml:space="preserve"> for non-instrumental first births, in line with the national trend</w:t>
      </w:r>
      <w:r>
        <w:rPr>
          <w:szCs w:val="22"/>
        </w:rPr>
        <w:t>, the</w:t>
      </w:r>
      <w:r w:rsidRPr="00965A8D">
        <w:rPr>
          <w:szCs w:val="22"/>
        </w:rPr>
        <w:t xml:space="preserve"> proportions of episiotomies for non-instrumental first births </w:t>
      </w:r>
      <w:r>
        <w:rPr>
          <w:szCs w:val="22"/>
        </w:rPr>
        <w:t>among</w:t>
      </w:r>
      <w:r w:rsidRPr="00965A8D">
        <w:rPr>
          <w:szCs w:val="22"/>
        </w:rPr>
        <w:t xml:space="preserve"> women aged 25 years and older were consistently higher than the national rate</w:t>
      </w:r>
      <w:r>
        <w:rPr>
          <w:szCs w:val="22"/>
        </w:rPr>
        <w:t>.</w:t>
      </w:r>
    </w:p>
    <w:p w14:paraId="24DCB392" w14:textId="1C4181EE" w:rsidR="006B7997" w:rsidRPr="002A5A54" w:rsidRDefault="006B7997" w:rsidP="006B7997">
      <w:pPr>
        <w:pStyle w:val="Bullets"/>
        <w:ind w:left="357" w:hanging="357"/>
        <w:rPr>
          <w:szCs w:val="22"/>
        </w:rPr>
      </w:pPr>
      <w:r w:rsidRPr="00A82492">
        <w:rPr>
          <w:szCs w:val="22"/>
        </w:rPr>
        <w:t>Women who had a non-instrumental birth in the private sector had a consistently higher proportion of episiotomies over time (from 25% to 29%)</w:t>
      </w:r>
      <w:r w:rsidR="00717E2E">
        <w:rPr>
          <w:szCs w:val="22"/>
        </w:rPr>
        <w:t>.</w:t>
      </w:r>
      <w:r w:rsidRPr="00A82492">
        <w:rPr>
          <w:szCs w:val="22"/>
        </w:rPr>
        <w:t xml:space="preserve"> </w:t>
      </w:r>
      <w:r w:rsidR="00717E2E">
        <w:rPr>
          <w:szCs w:val="22"/>
        </w:rPr>
        <w:t>H</w:t>
      </w:r>
      <w:r>
        <w:rPr>
          <w:szCs w:val="22"/>
        </w:rPr>
        <w:t>owever</w:t>
      </w:r>
      <w:r w:rsidR="00717E2E">
        <w:rPr>
          <w:szCs w:val="22"/>
        </w:rPr>
        <w:t>,</w:t>
      </w:r>
      <w:r w:rsidRPr="00A82492">
        <w:rPr>
          <w:szCs w:val="22"/>
        </w:rPr>
        <w:t xml:space="preserve"> episiotomies for non-instrumental first births women in the public sector increased at a faster rate than the national trend (from </w:t>
      </w:r>
      <w:r w:rsidR="00933118">
        <w:rPr>
          <w:szCs w:val="22"/>
        </w:rPr>
        <w:t>15</w:t>
      </w:r>
      <w:r w:rsidRPr="00A82492">
        <w:rPr>
          <w:szCs w:val="22"/>
        </w:rPr>
        <w:t xml:space="preserve">% to </w:t>
      </w:r>
      <w:r w:rsidR="00933118">
        <w:rPr>
          <w:szCs w:val="22"/>
        </w:rPr>
        <w:t>23</w:t>
      </w:r>
      <w:r w:rsidRPr="00A82492">
        <w:rPr>
          <w:szCs w:val="22"/>
        </w:rPr>
        <w:t>%</w:t>
      </w:r>
      <w:r>
        <w:rPr>
          <w:szCs w:val="22"/>
        </w:rPr>
        <w:t>).</w:t>
      </w:r>
    </w:p>
    <w:p w14:paraId="07DC43A3" w14:textId="77777777" w:rsidR="00611A04" w:rsidRDefault="006B7997" w:rsidP="006B7997">
      <w:pPr>
        <w:pStyle w:val="Bullets"/>
        <w:ind w:left="357" w:hanging="357"/>
        <w:rPr>
          <w:szCs w:val="22"/>
        </w:rPr>
      </w:pPr>
      <w:r w:rsidRPr="002A5A54">
        <w:rPr>
          <w:szCs w:val="22"/>
        </w:rPr>
        <w:lastRenderedPageBreak/>
        <w:t>The proportion of women who gave birth in a hospital with less than 50</w:t>
      </w:r>
      <w:r w:rsidR="00717E2E">
        <w:rPr>
          <w:szCs w:val="22"/>
        </w:rPr>
        <w:t>0</w:t>
      </w:r>
      <w:r w:rsidRPr="002A5A54">
        <w:rPr>
          <w:szCs w:val="22"/>
        </w:rPr>
        <w:t xml:space="preserve"> annual births who received an episiotomy was less than 15% for any year, with a more variable </w:t>
      </w:r>
      <w:r w:rsidR="00BE7C89">
        <w:rPr>
          <w:szCs w:val="22"/>
        </w:rPr>
        <w:t>year on year</w:t>
      </w:r>
      <w:r w:rsidRPr="002A5A54">
        <w:rPr>
          <w:szCs w:val="22"/>
        </w:rPr>
        <w:t xml:space="preserve"> trend than the national figures. Women who had a non-instrumental first birth in the largest hospitals </w:t>
      </w:r>
      <w:r w:rsidR="00717E2E">
        <w:rPr>
          <w:szCs w:val="22"/>
        </w:rPr>
        <w:t xml:space="preserve">(by number of </w:t>
      </w:r>
      <w:r w:rsidRPr="002A5A54">
        <w:rPr>
          <w:szCs w:val="22"/>
        </w:rPr>
        <w:t>births</w:t>
      </w:r>
      <w:r w:rsidR="00717E2E">
        <w:rPr>
          <w:szCs w:val="22"/>
        </w:rPr>
        <w:t>)</w:t>
      </w:r>
      <w:r w:rsidRPr="002A5A54">
        <w:rPr>
          <w:szCs w:val="22"/>
        </w:rPr>
        <w:t xml:space="preserve"> had </w:t>
      </w:r>
      <w:r w:rsidR="00933118">
        <w:rPr>
          <w:szCs w:val="22"/>
        </w:rPr>
        <w:t xml:space="preserve">a </w:t>
      </w:r>
      <w:r w:rsidRPr="002A5A54">
        <w:rPr>
          <w:szCs w:val="22"/>
        </w:rPr>
        <w:t>higher proportion of episiotomies than women who gave birth in smaller hospitals</w:t>
      </w:r>
      <w:r>
        <w:rPr>
          <w:szCs w:val="22"/>
        </w:rPr>
        <w:t>.</w:t>
      </w:r>
    </w:p>
    <w:p w14:paraId="41E1C0D4" w14:textId="6D6CF412" w:rsidR="006B7997" w:rsidRPr="002A5A54" w:rsidRDefault="006B7997" w:rsidP="00611A04">
      <w:pPr>
        <w:pStyle w:val="Bullets"/>
        <w:numPr>
          <w:ilvl w:val="0"/>
          <w:numId w:val="0"/>
        </w:numPr>
        <w:rPr>
          <w:szCs w:val="22"/>
        </w:rPr>
      </w:pPr>
      <w:r w:rsidRPr="002A5A54">
        <w:rPr>
          <w:szCs w:val="22"/>
        </w:rPr>
        <w:t xml:space="preserve"> </w:t>
      </w:r>
    </w:p>
    <w:p w14:paraId="467F8790" w14:textId="27F9B676" w:rsidR="00AF0ADF" w:rsidRPr="009C23FB" w:rsidRDefault="00AF0ADF" w:rsidP="00AF0ADF">
      <w:pPr>
        <w:pStyle w:val="Caption"/>
        <w:rPr>
          <w:sz w:val="20"/>
          <w:szCs w:val="20"/>
        </w:rPr>
      </w:pPr>
      <w:bookmarkStart w:id="327" w:name="_Ref117097124"/>
      <w:bookmarkStart w:id="328" w:name="_Toc121415183"/>
      <w:r w:rsidRPr="009C23FB">
        <w:rPr>
          <w:sz w:val="20"/>
          <w:szCs w:val="20"/>
        </w:rPr>
        <w:t xml:space="preserve">Figure </w:t>
      </w:r>
      <w:r w:rsidR="006B1CF4" w:rsidRPr="009C23FB">
        <w:rPr>
          <w:sz w:val="20"/>
          <w:szCs w:val="20"/>
        </w:rPr>
        <w:fldChar w:fldCharType="begin"/>
      </w:r>
      <w:r w:rsidR="006B1CF4" w:rsidRPr="009C23FB">
        <w:rPr>
          <w:sz w:val="20"/>
          <w:szCs w:val="20"/>
        </w:rPr>
        <w:instrText xml:space="preserve"> SEQ Figure \* ARABIC </w:instrText>
      </w:r>
      <w:r w:rsidR="006B1CF4" w:rsidRPr="009C23FB">
        <w:rPr>
          <w:sz w:val="20"/>
          <w:szCs w:val="20"/>
        </w:rPr>
        <w:fldChar w:fldCharType="separate"/>
      </w:r>
      <w:r w:rsidR="00296988">
        <w:rPr>
          <w:noProof/>
          <w:sz w:val="20"/>
          <w:szCs w:val="20"/>
        </w:rPr>
        <w:t>17</w:t>
      </w:r>
      <w:r w:rsidR="006B1CF4" w:rsidRPr="009C23FB">
        <w:rPr>
          <w:sz w:val="20"/>
          <w:szCs w:val="20"/>
        </w:rPr>
        <w:fldChar w:fldCharType="end"/>
      </w:r>
      <w:bookmarkEnd w:id="327"/>
      <w:r w:rsidRPr="009C23FB">
        <w:rPr>
          <w:sz w:val="20"/>
          <w:szCs w:val="20"/>
        </w:rPr>
        <w:tab/>
        <w:t>Episiotomy</w:t>
      </w:r>
      <w:r w:rsidR="009C23FB">
        <w:rPr>
          <w:sz w:val="20"/>
          <w:szCs w:val="20"/>
        </w:rPr>
        <w:t>,</w:t>
      </w:r>
      <w:r w:rsidRPr="009C23FB">
        <w:rPr>
          <w:sz w:val="20"/>
          <w:szCs w:val="20"/>
        </w:rPr>
        <w:t xml:space="preserve"> first baby</w:t>
      </w:r>
      <w:r w:rsidR="000B34B9">
        <w:rPr>
          <w:sz w:val="20"/>
          <w:szCs w:val="20"/>
        </w:rPr>
        <w:t>, women</w:t>
      </w:r>
      <w:r w:rsidRPr="009C23FB">
        <w:rPr>
          <w:sz w:val="20"/>
          <w:szCs w:val="20"/>
        </w:rPr>
        <w:t xml:space="preserve"> giving birth vaginally (non-instrumental) (PI03a), 2011–2019</w:t>
      </w:r>
      <w:bookmarkEnd w:id="328"/>
    </w:p>
    <w:p w14:paraId="52F84256" w14:textId="5561B060" w:rsidR="00924850" w:rsidRPr="00165760" w:rsidRDefault="00C94920" w:rsidP="00924850">
      <w:pPr>
        <w:rPr>
          <w:sz w:val="18"/>
          <w:szCs w:val="18"/>
        </w:rPr>
      </w:pPr>
      <w:r>
        <w:rPr>
          <w:noProof/>
        </w:rPr>
        <w:drawing>
          <wp:inline distT="0" distB="0" distL="0" distR="0" wp14:anchorId="1FB83B41" wp14:editId="7FC525A5">
            <wp:extent cx="5926595" cy="1833245"/>
            <wp:effectExtent l="0" t="0" r="17145" b="14605"/>
            <wp:docPr id="40" name="Chart 40" descr="Chart showing the proportion of women giving birth for the first time (non-instrumental delivery) who had an episiotomy, for years 2011 - 2019.  The number has increased from 17% in 2011 to 23% in 2019 ">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924850" w:rsidRPr="00E134EA">
        <w:rPr>
          <w:rFonts w:cstheme="minorHAnsi"/>
          <w:sz w:val="18"/>
          <w:szCs w:val="18"/>
        </w:rPr>
        <w:t xml:space="preserve">Source: </w:t>
      </w:r>
      <w:r w:rsidR="00924850"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5E4127F6" w14:textId="77777777" w:rsidR="00AF0ADF" w:rsidRDefault="00AF0ADF" w:rsidP="00717E2E"/>
    <w:p w14:paraId="04A6F431" w14:textId="74A56863" w:rsidR="00AF0ADF" w:rsidRPr="00717583" w:rsidRDefault="00AF0ADF" w:rsidP="00AF0ADF">
      <w:pPr>
        <w:rPr>
          <w:b/>
          <w:i/>
          <w:color w:val="0398D7"/>
          <w:szCs w:val="22"/>
        </w:rPr>
      </w:pPr>
      <w:r w:rsidRPr="00717583">
        <w:rPr>
          <w:b/>
          <w:i/>
          <w:color w:val="0398D7"/>
          <w:szCs w:val="22"/>
        </w:rPr>
        <w:t>Episiotomy for women having their first baby and giving birth vaginally (instrumental)</w:t>
      </w:r>
      <w:r w:rsidR="00717E2E">
        <w:rPr>
          <w:b/>
          <w:i/>
          <w:color w:val="0398D7"/>
          <w:szCs w:val="22"/>
        </w:rPr>
        <w:t xml:space="preserve"> (PI03b)</w:t>
      </w:r>
    </w:p>
    <w:p w14:paraId="13F2BDE4" w14:textId="4B1A2A26" w:rsidR="00AF0ADF" w:rsidRPr="002A5A54" w:rsidRDefault="00AF0ADF" w:rsidP="00141C9A">
      <w:pPr>
        <w:pStyle w:val="Bullets"/>
        <w:numPr>
          <w:ilvl w:val="0"/>
          <w:numId w:val="0"/>
        </w:numPr>
        <w:rPr>
          <w:szCs w:val="22"/>
        </w:rPr>
      </w:pPr>
      <w:r w:rsidRPr="002A5A54">
        <w:rPr>
          <w:szCs w:val="22"/>
        </w:rPr>
        <w:t xml:space="preserve">Episiotomies for instrumental first births increased </w:t>
      </w:r>
      <w:r w:rsidRPr="0026020D">
        <w:rPr>
          <w:szCs w:val="22"/>
        </w:rPr>
        <w:t xml:space="preserve">by more than twice the rate of non-instrumental first births (PI03a), from to </w:t>
      </w:r>
      <w:r w:rsidR="0006621D" w:rsidRPr="0026020D">
        <w:rPr>
          <w:szCs w:val="22"/>
        </w:rPr>
        <w:t>62</w:t>
      </w:r>
      <w:r w:rsidRPr="0026020D">
        <w:rPr>
          <w:szCs w:val="22"/>
        </w:rPr>
        <w:t xml:space="preserve">% in 2011 to </w:t>
      </w:r>
      <w:r w:rsidR="0006621D" w:rsidRPr="0026020D">
        <w:rPr>
          <w:szCs w:val="22"/>
        </w:rPr>
        <w:t>80</w:t>
      </w:r>
      <w:r w:rsidRPr="0026020D">
        <w:rPr>
          <w:szCs w:val="22"/>
        </w:rPr>
        <w:t>% in 2019</w:t>
      </w:r>
      <w:r w:rsidR="00270389" w:rsidRPr="0026020D">
        <w:rPr>
          <w:szCs w:val="22"/>
        </w:rPr>
        <w:t xml:space="preserve"> (</w:t>
      </w:r>
      <w:r w:rsidR="00270389" w:rsidRPr="0026020D">
        <w:rPr>
          <w:szCs w:val="22"/>
        </w:rPr>
        <w:fldChar w:fldCharType="begin"/>
      </w:r>
      <w:r w:rsidR="00270389" w:rsidRPr="0026020D">
        <w:rPr>
          <w:szCs w:val="22"/>
        </w:rPr>
        <w:instrText xml:space="preserve"> REF _Ref117110287 \h </w:instrText>
      </w:r>
      <w:r w:rsidR="00611A04" w:rsidRPr="0026020D">
        <w:rPr>
          <w:szCs w:val="22"/>
        </w:rPr>
        <w:instrText xml:space="preserve"> \* MERGEFORMAT </w:instrText>
      </w:r>
      <w:r w:rsidR="00270389" w:rsidRPr="0026020D">
        <w:rPr>
          <w:szCs w:val="22"/>
        </w:rPr>
      </w:r>
      <w:r w:rsidR="00270389" w:rsidRPr="0026020D">
        <w:rPr>
          <w:szCs w:val="22"/>
        </w:rPr>
        <w:fldChar w:fldCharType="separate"/>
      </w:r>
      <w:r w:rsidR="00296988" w:rsidRPr="00296988">
        <w:rPr>
          <w:szCs w:val="22"/>
        </w:rPr>
        <w:t xml:space="preserve">Figure </w:t>
      </w:r>
      <w:r w:rsidR="00296988" w:rsidRPr="00296988">
        <w:rPr>
          <w:noProof/>
          <w:szCs w:val="22"/>
        </w:rPr>
        <w:t>18</w:t>
      </w:r>
      <w:r w:rsidR="00270389" w:rsidRPr="0026020D">
        <w:rPr>
          <w:szCs w:val="22"/>
        </w:rPr>
        <w:fldChar w:fldCharType="end"/>
      </w:r>
      <w:r w:rsidR="00270389" w:rsidRPr="0026020D">
        <w:rPr>
          <w:szCs w:val="22"/>
        </w:rPr>
        <w:t xml:space="preserve">; see also </w:t>
      </w:r>
      <w:r w:rsidR="00270389" w:rsidRPr="0026020D">
        <w:rPr>
          <w:szCs w:val="22"/>
        </w:rPr>
        <w:fldChar w:fldCharType="begin"/>
      </w:r>
      <w:r w:rsidR="00270389" w:rsidRPr="0026020D">
        <w:rPr>
          <w:szCs w:val="22"/>
        </w:rPr>
        <w:instrText xml:space="preserve"> REF _Ref117928635 \h </w:instrText>
      </w:r>
      <w:r w:rsidR="0026020D">
        <w:rPr>
          <w:szCs w:val="22"/>
        </w:rPr>
        <w:instrText xml:space="preserve"> \* MERGEFORMAT </w:instrText>
      </w:r>
      <w:r w:rsidR="00270389" w:rsidRPr="0026020D">
        <w:rPr>
          <w:szCs w:val="22"/>
        </w:rPr>
      </w:r>
      <w:r w:rsidR="00270389" w:rsidRPr="0026020D">
        <w:rPr>
          <w:szCs w:val="22"/>
        </w:rPr>
        <w:fldChar w:fldCharType="separate"/>
      </w:r>
      <w:r w:rsidR="00296988" w:rsidRPr="00296988">
        <w:rPr>
          <w:szCs w:val="22"/>
        </w:rPr>
        <w:t xml:space="preserve">Table </w:t>
      </w:r>
      <w:r w:rsidR="00296988" w:rsidRPr="00296988">
        <w:rPr>
          <w:noProof/>
          <w:szCs w:val="22"/>
        </w:rPr>
        <w:t>27</w:t>
      </w:r>
      <w:r w:rsidR="00270389" w:rsidRPr="0026020D">
        <w:rPr>
          <w:szCs w:val="22"/>
        </w:rPr>
        <w:fldChar w:fldCharType="end"/>
      </w:r>
      <w:r w:rsidR="00270389" w:rsidRPr="0026020D">
        <w:rPr>
          <w:szCs w:val="22"/>
        </w:rPr>
        <w:t>).</w:t>
      </w:r>
    </w:p>
    <w:p w14:paraId="626B8F3F" w14:textId="7601CEBA" w:rsidR="00AF0ADF" w:rsidRPr="00DC0996" w:rsidRDefault="00AF0ADF" w:rsidP="00DC0996">
      <w:pPr>
        <w:pStyle w:val="Bullets"/>
        <w:numPr>
          <w:ilvl w:val="0"/>
          <w:numId w:val="0"/>
        </w:numPr>
      </w:pPr>
      <w:r w:rsidRPr="00DC0996">
        <w:t>The increase for women who gave birth in the public sector</w:t>
      </w:r>
      <w:r w:rsidR="00DC0996">
        <w:t xml:space="preserve"> was 20 percentage points</w:t>
      </w:r>
      <w:r w:rsidRPr="00DC0996">
        <w:t>, from 6</w:t>
      </w:r>
      <w:r w:rsidR="0006621D" w:rsidRPr="00DC0996">
        <w:t>4</w:t>
      </w:r>
      <w:r w:rsidRPr="00DC0996">
        <w:t xml:space="preserve">% to 84%. The corresponding change for women in the private sector was </w:t>
      </w:r>
      <w:r w:rsidR="006576EE">
        <w:t>seven</w:t>
      </w:r>
      <w:r w:rsidR="00DC0996">
        <w:t xml:space="preserve"> percentage points</w:t>
      </w:r>
      <w:r w:rsidRPr="00DC0996">
        <w:t xml:space="preserve"> (from </w:t>
      </w:r>
      <w:r w:rsidR="00323920" w:rsidRPr="00DC0996">
        <w:t>59</w:t>
      </w:r>
      <w:r w:rsidRPr="00DC0996">
        <w:t>% to 66%).</w:t>
      </w:r>
    </w:p>
    <w:p w14:paraId="21803787" w14:textId="75C3160C" w:rsidR="00AF0ADF" w:rsidRPr="00DC0996" w:rsidRDefault="00AF0ADF" w:rsidP="00AF0ADF">
      <w:pPr>
        <w:pStyle w:val="Caption"/>
        <w:rPr>
          <w:sz w:val="20"/>
          <w:szCs w:val="20"/>
        </w:rPr>
      </w:pPr>
      <w:bookmarkStart w:id="329" w:name="_Ref117110287"/>
      <w:bookmarkStart w:id="330" w:name="_Toc121415184"/>
      <w:r w:rsidRPr="00DC0996">
        <w:rPr>
          <w:sz w:val="20"/>
          <w:szCs w:val="20"/>
        </w:rPr>
        <w:t xml:space="preserve">Figure </w:t>
      </w:r>
      <w:r w:rsidR="006B1CF4" w:rsidRPr="00DC0996">
        <w:rPr>
          <w:sz w:val="20"/>
          <w:szCs w:val="20"/>
        </w:rPr>
        <w:fldChar w:fldCharType="begin"/>
      </w:r>
      <w:r w:rsidR="006B1CF4" w:rsidRPr="00DC0996">
        <w:rPr>
          <w:sz w:val="20"/>
          <w:szCs w:val="20"/>
        </w:rPr>
        <w:instrText xml:space="preserve"> SEQ Figure \* ARABIC </w:instrText>
      </w:r>
      <w:r w:rsidR="006B1CF4" w:rsidRPr="00DC0996">
        <w:rPr>
          <w:sz w:val="20"/>
          <w:szCs w:val="20"/>
        </w:rPr>
        <w:fldChar w:fldCharType="separate"/>
      </w:r>
      <w:r w:rsidR="00296988">
        <w:rPr>
          <w:noProof/>
          <w:sz w:val="20"/>
          <w:szCs w:val="20"/>
        </w:rPr>
        <w:t>18</w:t>
      </w:r>
      <w:r w:rsidR="006B1CF4" w:rsidRPr="00DC0996">
        <w:rPr>
          <w:sz w:val="20"/>
          <w:szCs w:val="20"/>
        </w:rPr>
        <w:fldChar w:fldCharType="end"/>
      </w:r>
      <w:bookmarkEnd w:id="329"/>
      <w:r w:rsidRPr="00DC0996">
        <w:rPr>
          <w:sz w:val="20"/>
          <w:szCs w:val="20"/>
        </w:rPr>
        <w:tab/>
        <w:t>Episiotomy</w:t>
      </w:r>
      <w:r w:rsidR="00DC0996">
        <w:rPr>
          <w:sz w:val="20"/>
          <w:szCs w:val="20"/>
        </w:rPr>
        <w:t>,</w:t>
      </w:r>
      <w:r w:rsidRPr="00DC0996">
        <w:rPr>
          <w:sz w:val="20"/>
          <w:szCs w:val="20"/>
        </w:rPr>
        <w:t xml:space="preserve"> first baby</w:t>
      </w:r>
      <w:r w:rsidR="000B34B9">
        <w:rPr>
          <w:sz w:val="20"/>
          <w:szCs w:val="20"/>
        </w:rPr>
        <w:t>, women</w:t>
      </w:r>
      <w:r w:rsidRPr="00DC0996">
        <w:rPr>
          <w:sz w:val="20"/>
          <w:szCs w:val="20"/>
        </w:rPr>
        <w:t xml:space="preserve"> giving birth vaginally (instrumental) (PI03b), 2011–2019</w:t>
      </w:r>
      <w:bookmarkEnd w:id="330"/>
    </w:p>
    <w:p w14:paraId="4EDF059E" w14:textId="2FF7899A" w:rsidR="00AF0ADF" w:rsidRPr="00CB6C90" w:rsidRDefault="00713ED1" w:rsidP="00AF0ADF">
      <w:r>
        <w:rPr>
          <w:noProof/>
        </w:rPr>
        <w:drawing>
          <wp:inline distT="0" distB="0" distL="0" distR="0" wp14:anchorId="3EEF4691" wp14:editId="23D97C6F">
            <wp:extent cx="5923420" cy="1833245"/>
            <wp:effectExtent l="0" t="0" r="1270" b="14605"/>
            <wp:docPr id="42" name="Chart 42" descr="Chart showing percentage of births that included an episiotomy for women having their first baby and giving birth vaginally (instrumental) (PI03b)&#10;Episiotomies for instrumental first births increased from to 62% in 2011 to 80% in 2019.&#10;">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3412C03" w14:textId="77777777" w:rsidR="00924850" w:rsidRPr="00165760" w:rsidRDefault="00924850" w:rsidP="00924850">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10602F3D" w14:textId="77777777" w:rsidR="00AF0ADF" w:rsidRDefault="00AF0ADF" w:rsidP="00717E2E"/>
    <w:p w14:paraId="5500F2A7" w14:textId="268259C1" w:rsidR="00AF0ADF" w:rsidRPr="001A4BD8" w:rsidRDefault="00AF0ADF" w:rsidP="00AF0ADF">
      <w:pPr>
        <w:rPr>
          <w:b/>
          <w:i/>
          <w:color w:val="0398D7"/>
          <w:szCs w:val="22"/>
        </w:rPr>
      </w:pPr>
      <w:r w:rsidRPr="001A4BD8">
        <w:rPr>
          <w:b/>
          <w:i/>
          <w:color w:val="0398D7"/>
          <w:szCs w:val="22"/>
        </w:rPr>
        <w:t>General anaesthetic for women giving birth by caesarean section</w:t>
      </w:r>
      <w:r w:rsidR="00717E2E">
        <w:rPr>
          <w:b/>
          <w:i/>
          <w:color w:val="0398D7"/>
          <w:szCs w:val="22"/>
        </w:rPr>
        <w:t xml:space="preserve"> (PI09)</w:t>
      </w:r>
    </w:p>
    <w:p w14:paraId="4CDCF34C" w14:textId="6F9E3DAB" w:rsidR="00270389" w:rsidRDefault="00AF0ADF" w:rsidP="00270389">
      <w:pPr>
        <w:rPr>
          <w:szCs w:val="22"/>
        </w:rPr>
      </w:pPr>
      <w:r w:rsidRPr="00270389">
        <w:rPr>
          <w:szCs w:val="22"/>
        </w:rPr>
        <w:t xml:space="preserve">Overall, the proportion of women giving birth by caesarean section who had a general anaesthetic has decreased over time, from 7% in 2011 to </w:t>
      </w:r>
      <w:r w:rsidR="007A299A">
        <w:rPr>
          <w:szCs w:val="22"/>
        </w:rPr>
        <w:t>6</w:t>
      </w:r>
      <w:r w:rsidRPr="00270389">
        <w:rPr>
          <w:szCs w:val="22"/>
        </w:rPr>
        <w:t xml:space="preserve">% </w:t>
      </w:r>
      <w:r w:rsidRPr="0026020D">
        <w:rPr>
          <w:szCs w:val="22"/>
        </w:rPr>
        <w:t>in 2019</w:t>
      </w:r>
      <w:r w:rsidR="00270389" w:rsidRPr="0026020D">
        <w:rPr>
          <w:szCs w:val="22"/>
        </w:rPr>
        <w:t xml:space="preserve"> (see </w:t>
      </w:r>
      <w:r w:rsidR="00270389" w:rsidRPr="0026020D">
        <w:rPr>
          <w:szCs w:val="22"/>
        </w:rPr>
        <w:fldChar w:fldCharType="begin"/>
      </w:r>
      <w:r w:rsidR="00270389" w:rsidRPr="0026020D">
        <w:rPr>
          <w:szCs w:val="22"/>
        </w:rPr>
        <w:instrText xml:space="preserve"> REF _Ref117928756 \h </w:instrText>
      </w:r>
      <w:r w:rsidR="0026020D">
        <w:rPr>
          <w:szCs w:val="22"/>
        </w:rPr>
        <w:instrText xml:space="preserve"> \* MERGEFORMAT </w:instrText>
      </w:r>
      <w:r w:rsidR="00270389" w:rsidRPr="0026020D">
        <w:rPr>
          <w:szCs w:val="22"/>
        </w:rPr>
      </w:r>
      <w:r w:rsidR="00270389" w:rsidRPr="0026020D">
        <w:rPr>
          <w:szCs w:val="22"/>
        </w:rPr>
        <w:fldChar w:fldCharType="separate"/>
      </w:r>
      <w:r w:rsidR="00296988" w:rsidRPr="00296988">
        <w:rPr>
          <w:szCs w:val="22"/>
        </w:rPr>
        <w:t xml:space="preserve">Table </w:t>
      </w:r>
      <w:r w:rsidR="00296988" w:rsidRPr="00296988">
        <w:rPr>
          <w:noProof/>
          <w:szCs w:val="22"/>
        </w:rPr>
        <w:t>28</w:t>
      </w:r>
      <w:r w:rsidR="00270389" w:rsidRPr="0026020D">
        <w:rPr>
          <w:szCs w:val="22"/>
        </w:rPr>
        <w:fldChar w:fldCharType="end"/>
      </w:r>
      <w:r w:rsidR="00270389" w:rsidRPr="0026020D">
        <w:rPr>
          <w:szCs w:val="22"/>
        </w:rPr>
        <w:t>).</w:t>
      </w:r>
    </w:p>
    <w:p w14:paraId="7C3742CB" w14:textId="528EE463" w:rsidR="00270389" w:rsidRDefault="00270389" w:rsidP="00611A04">
      <w:pPr>
        <w:pStyle w:val="Bullets"/>
        <w:numPr>
          <w:ilvl w:val="0"/>
          <w:numId w:val="0"/>
        </w:numPr>
      </w:pPr>
      <w:r w:rsidRPr="00270389">
        <w:t xml:space="preserve">There was some decrease for all age groups, although younger women </w:t>
      </w:r>
      <w:r>
        <w:t xml:space="preserve">giving birth by caesarean section </w:t>
      </w:r>
      <w:r w:rsidRPr="00270389">
        <w:t xml:space="preserve">had the highest rates of </w:t>
      </w:r>
      <w:r w:rsidR="00DC0996">
        <w:t>general anaesthetic</w:t>
      </w:r>
      <w:r w:rsidRPr="00270389">
        <w:t xml:space="preserve"> administration</w:t>
      </w:r>
      <w:r>
        <w:t>,</w:t>
      </w:r>
      <w:r w:rsidRPr="00270389">
        <w:t xml:space="preserve"> at 15% </w:t>
      </w:r>
      <w:r w:rsidR="007A299A">
        <w:t xml:space="preserve">or </w:t>
      </w:r>
      <w:r w:rsidR="004D526C">
        <w:t xml:space="preserve">greater </w:t>
      </w:r>
      <w:r w:rsidRPr="00270389">
        <w:t>for the period (</w:t>
      </w:r>
      <w:r w:rsidR="007A299A">
        <w:t>17</w:t>
      </w:r>
      <w:r w:rsidRPr="00270389">
        <w:t>% in 2011, 15% in 2019</w:t>
      </w:r>
      <w:r>
        <w:t xml:space="preserve">; </w:t>
      </w:r>
      <w:r w:rsidRPr="00611A04">
        <w:rPr>
          <w:szCs w:val="22"/>
        </w:rPr>
        <w:fldChar w:fldCharType="begin"/>
      </w:r>
      <w:r w:rsidRPr="00611A04">
        <w:rPr>
          <w:szCs w:val="22"/>
        </w:rPr>
        <w:instrText xml:space="preserve"> REF _Ref117928855 \h </w:instrText>
      </w:r>
      <w:r w:rsidR="00611A04">
        <w:rPr>
          <w:szCs w:val="22"/>
        </w:rPr>
        <w:instrText xml:space="preserve"> \* MERGEFORMAT </w:instrText>
      </w:r>
      <w:r w:rsidRPr="00611A04">
        <w:rPr>
          <w:szCs w:val="22"/>
        </w:rPr>
      </w:r>
      <w:r w:rsidRPr="00611A04">
        <w:rPr>
          <w:szCs w:val="22"/>
        </w:rPr>
        <w:fldChar w:fldCharType="separate"/>
      </w:r>
      <w:r w:rsidR="00296988" w:rsidRPr="00296988">
        <w:rPr>
          <w:szCs w:val="22"/>
        </w:rPr>
        <w:t xml:space="preserve">Figure </w:t>
      </w:r>
      <w:r w:rsidR="00296988" w:rsidRPr="00296988">
        <w:rPr>
          <w:noProof/>
          <w:szCs w:val="22"/>
        </w:rPr>
        <w:t>19</w:t>
      </w:r>
      <w:r w:rsidRPr="00611A04">
        <w:rPr>
          <w:szCs w:val="22"/>
        </w:rPr>
        <w:fldChar w:fldCharType="end"/>
      </w:r>
      <w:r w:rsidRPr="00270389">
        <w:t>).</w:t>
      </w:r>
    </w:p>
    <w:p w14:paraId="1FBFAE7B" w14:textId="2435C051" w:rsidR="00AF0ADF" w:rsidRPr="00DC0996" w:rsidRDefault="00AF0ADF" w:rsidP="00AF0ADF">
      <w:pPr>
        <w:pStyle w:val="Caption"/>
        <w:rPr>
          <w:sz w:val="20"/>
          <w:szCs w:val="20"/>
        </w:rPr>
      </w:pPr>
      <w:bookmarkStart w:id="331" w:name="_Ref117928855"/>
      <w:bookmarkStart w:id="332" w:name="_Toc121415185"/>
      <w:r w:rsidRPr="00DC0996">
        <w:rPr>
          <w:sz w:val="20"/>
          <w:szCs w:val="20"/>
        </w:rPr>
        <w:lastRenderedPageBreak/>
        <w:t xml:space="preserve">Figure </w:t>
      </w:r>
      <w:r w:rsidR="006B1CF4" w:rsidRPr="00DC0996">
        <w:rPr>
          <w:sz w:val="20"/>
          <w:szCs w:val="20"/>
        </w:rPr>
        <w:fldChar w:fldCharType="begin"/>
      </w:r>
      <w:r w:rsidR="006B1CF4" w:rsidRPr="00DC0996">
        <w:rPr>
          <w:sz w:val="20"/>
          <w:szCs w:val="20"/>
        </w:rPr>
        <w:instrText xml:space="preserve"> SEQ Figure \* ARABIC </w:instrText>
      </w:r>
      <w:r w:rsidR="006B1CF4" w:rsidRPr="00DC0996">
        <w:rPr>
          <w:sz w:val="20"/>
          <w:szCs w:val="20"/>
        </w:rPr>
        <w:fldChar w:fldCharType="separate"/>
      </w:r>
      <w:r w:rsidR="00296988">
        <w:rPr>
          <w:noProof/>
          <w:sz w:val="20"/>
          <w:szCs w:val="20"/>
        </w:rPr>
        <w:t>19</w:t>
      </w:r>
      <w:r w:rsidR="006B1CF4" w:rsidRPr="00DC0996">
        <w:rPr>
          <w:sz w:val="20"/>
          <w:szCs w:val="20"/>
        </w:rPr>
        <w:fldChar w:fldCharType="end"/>
      </w:r>
      <w:bookmarkEnd w:id="331"/>
      <w:r w:rsidRPr="00DC0996">
        <w:rPr>
          <w:sz w:val="20"/>
          <w:szCs w:val="20"/>
        </w:rPr>
        <w:tab/>
        <w:t>General anaesthetic</w:t>
      </w:r>
      <w:r w:rsidR="007100DB">
        <w:rPr>
          <w:sz w:val="20"/>
          <w:szCs w:val="20"/>
        </w:rPr>
        <w:t xml:space="preserve"> administered to </w:t>
      </w:r>
      <w:r w:rsidRPr="00DC0996">
        <w:rPr>
          <w:sz w:val="20"/>
          <w:szCs w:val="20"/>
        </w:rPr>
        <w:t>women giving birth by caesarean section (PI09), by age at birth, 2011</w:t>
      </w:r>
      <w:r w:rsidR="00DC0996">
        <w:rPr>
          <w:sz w:val="20"/>
          <w:szCs w:val="20"/>
        </w:rPr>
        <w:t>–2</w:t>
      </w:r>
      <w:r w:rsidRPr="00DC0996">
        <w:rPr>
          <w:sz w:val="20"/>
          <w:szCs w:val="20"/>
        </w:rPr>
        <w:t>019</w:t>
      </w:r>
      <w:bookmarkEnd w:id="332"/>
    </w:p>
    <w:p w14:paraId="17957742" w14:textId="3654DED7" w:rsidR="00AF0ADF" w:rsidRPr="00EF2D2A" w:rsidRDefault="002B1249" w:rsidP="00AF0ADF">
      <w:r>
        <w:rPr>
          <w:noProof/>
        </w:rPr>
        <w:drawing>
          <wp:inline distT="0" distB="0" distL="0" distR="0" wp14:anchorId="2EF9CF4E" wp14:editId="06506679">
            <wp:extent cx="5886450" cy="1809750"/>
            <wp:effectExtent l="0" t="0" r="0" b="0"/>
            <wp:docPr id="43" name="Chart 43" descr="Chart shows general anaesthetic administered to women giving birth by caesarean section by age at birth for the time period between 2011 to 2019.  The Chart shows there was some decrease for all age groups, but younger women giving birth by caesarean section had the highest rates of general anaesthetic.  ">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504776F" w14:textId="77777777" w:rsidR="00924850" w:rsidRPr="00165760" w:rsidRDefault="00924850" w:rsidP="00924850">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31351668" w14:textId="77777777" w:rsidR="00270389" w:rsidRDefault="00270389" w:rsidP="00717E2E"/>
    <w:p w14:paraId="5F3A7E57" w14:textId="7AE357CD" w:rsidR="00AF0ADF" w:rsidRPr="00AC1964" w:rsidRDefault="00BE465C" w:rsidP="00AF0ADF">
      <w:pPr>
        <w:pStyle w:val="Heading2"/>
      </w:pPr>
      <w:bookmarkStart w:id="333" w:name="_Toc121415073"/>
      <w:r w:rsidRPr="00AC1964">
        <w:t>Birth outcomes</w:t>
      </w:r>
      <w:bookmarkEnd w:id="333"/>
    </w:p>
    <w:p w14:paraId="620DB728" w14:textId="77777777" w:rsidR="00AF0ADF" w:rsidRPr="00B272C5" w:rsidRDefault="00AF0ADF" w:rsidP="00AF0ADF">
      <w:pPr>
        <w:rPr>
          <w:b/>
          <w:i/>
          <w:color w:val="0398D7"/>
          <w:szCs w:val="22"/>
        </w:rPr>
      </w:pPr>
      <w:r w:rsidRPr="00B272C5">
        <w:rPr>
          <w:b/>
          <w:i/>
          <w:color w:val="0398D7"/>
          <w:szCs w:val="22"/>
        </w:rPr>
        <w:t>Gestational age</w:t>
      </w:r>
    </w:p>
    <w:p w14:paraId="4338546B" w14:textId="1D8C48D7" w:rsidR="00AF0ADF" w:rsidRPr="00E8746E" w:rsidRDefault="00AF0ADF" w:rsidP="00270389">
      <w:pPr>
        <w:pStyle w:val="Bullets"/>
        <w:numPr>
          <w:ilvl w:val="0"/>
          <w:numId w:val="0"/>
        </w:numPr>
        <w:rPr>
          <w:szCs w:val="22"/>
        </w:rPr>
      </w:pPr>
      <w:r w:rsidRPr="00E8746E">
        <w:rPr>
          <w:szCs w:val="22"/>
        </w:rPr>
        <w:t xml:space="preserve">Data on the percentage of babies born by gestational age in completed weeks is limited to a national snapshot </w:t>
      </w:r>
      <w:r w:rsidRPr="003D6184">
        <w:rPr>
          <w:szCs w:val="22"/>
        </w:rPr>
        <w:t xml:space="preserve">for </w:t>
      </w:r>
      <w:r w:rsidRPr="00E44DDA">
        <w:rPr>
          <w:szCs w:val="22"/>
        </w:rPr>
        <w:t>2010 and 20</w:t>
      </w:r>
      <w:r w:rsidR="003D6184" w:rsidRPr="00E44DDA">
        <w:rPr>
          <w:szCs w:val="22"/>
        </w:rPr>
        <w:t>19</w:t>
      </w:r>
      <w:r w:rsidRPr="00E44DDA">
        <w:rPr>
          <w:szCs w:val="22"/>
        </w:rPr>
        <w:t>.</w:t>
      </w:r>
    </w:p>
    <w:p w14:paraId="630B735F" w14:textId="29D32CE9" w:rsidR="00AF0ADF" w:rsidRPr="00E8746E" w:rsidRDefault="00AF0ADF" w:rsidP="00AF0ADF">
      <w:pPr>
        <w:pStyle w:val="Bullets"/>
        <w:ind w:left="357" w:hanging="357"/>
        <w:rPr>
          <w:szCs w:val="22"/>
        </w:rPr>
      </w:pPr>
      <w:r w:rsidRPr="00E8746E">
        <w:rPr>
          <w:szCs w:val="22"/>
        </w:rPr>
        <w:t>In both years, 8</w:t>
      </w:r>
      <w:r w:rsidR="008222C0">
        <w:rPr>
          <w:szCs w:val="22"/>
        </w:rPr>
        <w:t>-</w:t>
      </w:r>
      <w:r w:rsidR="00EC4D6B">
        <w:rPr>
          <w:szCs w:val="22"/>
        </w:rPr>
        <w:t>9</w:t>
      </w:r>
      <w:r w:rsidRPr="00E8746E">
        <w:rPr>
          <w:szCs w:val="22"/>
        </w:rPr>
        <w:t xml:space="preserve">% of babies were born pre-term (36 weeks or less) and less than 1% </w:t>
      </w:r>
      <w:r w:rsidR="00664934">
        <w:rPr>
          <w:szCs w:val="22"/>
        </w:rPr>
        <w:t xml:space="preserve">were born </w:t>
      </w:r>
      <w:r w:rsidRPr="00E8746E">
        <w:rPr>
          <w:szCs w:val="22"/>
        </w:rPr>
        <w:t>post-term (42 weeks or more).</w:t>
      </w:r>
    </w:p>
    <w:p w14:paraId="4955EFEF" w14:textId="256EA117" w:rsidR="00AF0ADF" w:rsidRPr="00E8746E" w:rsidRDefault="00AF0ADF" w:rsidP="00AF0ADF">
      <w:pPr>
        <w:pStyle w:val="Bullets"/>
        <w:ind w:left="357" w:hanging="357"/>
        <w:rPr>
          <w:szCs w:val="22"/>
        </w:rPr>
      </w:pPr>
      <w:r w:rsidRPr="00E8746E">
        <w:rPr>
          <w:szCs w:val="22"/>
        </w:rPr>
        <w:t xml:space="preserve">However, there was a substantial shift in gestational age for babies born at term when examining the </w:t>
      </w:r>
      <w:r w:rsidRPr="00493495">
        <w:rPr>
          <w:szCs w:val="22"/>
        </w:rPr>
        <w:t xml:space="preserve">number of completed weeks. In 2010, 52% of babies were born between 37 to 39 completed weeks, while in </w:t>
      </w:r>
      <w:r w:rsidRPr="00E44DDA">
        <w:rPr>
          <w:szCs w:val="22"/>
        </w:rPr>
        <w:t>20</w:t>
      </w:r>
      <w:r w:rsidR="007E7F68" w:rsidRPr="00E44DDA">
        <w:rPr>
          <w:szCs w:val="22"/>
        </w:rPr>
        <w:t>19</w:t>
      </w:r>
      <w:r w:rsidRPr="00493495">
        <w:rPr>
          <w:szCs w:val="22"/>
        </w:rPr>
        <w:t xml:space="preserve"> this proportion had</w:t>
      </w:r>
      <w:r w:rsidRPr="00E8746E">
        <w:rPr>
          <w:szCs w:val="22"/>
        </w:rPr>
        <w:t xml:space="preserve"> increased by 1</w:t>
      </w:r>
      <w:r w:rsidR="007E7F68">
        <w:rPr>
          <w:szCs w:val="22"/>
        </w:rPr>
        <w:t>0</w:t>
      </w:r>
      <w:r w:rsidRPr="00E8746E">
        <w:rPr>
          <w:szCs w:val="22"/>
        </w:rPr>
        <w:t xml:space="preserve"> percentage points to 6</w:t>
      </w:r>
      <w:r w:rsidR="00F366B9">
        <w:rPr>
          <w:szCs w:val="22"/>
        </w:rPr>
        <w:t>2</w:t>
      </w:r>
      <w:r w:rsidRPr="00E8746E">
        <w:rPr>
          <w:szCs w:val="22"/>
        </w:rPr>
        <w:t>%.</w:t>
      </w:r>
    </w:p>
    <w:p w14:paraId="00E2774C" w14:textId="1A209E26" w:rsidR="00AF0ADF" w:rsidRDefault="00755481" w:rsidP="00AF0ADF">
      <w:pPr>
        <w:pStyle w:val="Bullets"/>
        <w:ind w:left="357" w:hanging="357"/>
        <w:rPr>
          <w:szCs w:val="22"/>
        </w:rPr>
      </w:pPr>
      <w:r>
        <w:rPr>
          <w:szCs w:val="22"/>
        </w:rPr>
        <w:t>Over the same period</w:t>
      </w:r>
      <w:r w:rsidR="00AF0ADF" w:rsidRPr="00E8746E">
        <w:rPr>
          <w:szCs w:val="22"/>
        </w:rPr>
        <w:t xml:space="preserve">, the percentage of babies born at 40 or 41 weeks reduced </w:t>
      </w:r>
      <w:r w:rsidR="00E4095E">
        <w:rPr>
          <w:szCs w:val="22"/>
        </w:rPr>
        <w:t xml:space="preserve">by 10 percentage points </w:t>
      </w:r>
      <w:r w:rsidR="00AF0ADF" w:rsidRPr="00E8746E">
        <w:rPr>
          <w:szCs w:val="22"/>
        </w:rPr>
        <w:t>from 39% to 2</w:t>
      </w:r>
      <w:r w:rsidR="00E4095E">
        <w:rPr>
          <w:szCs w:val="22"/>
        </w:rPr>
        <w:t>9</w:t>
      </w:r>
      <w:r w:rsidR="00AF0ADF" w:rsidRPr="00E8746E">
        <w:rPr>
          <w:szCs w:val="22"/>
        </w:rPr>
        <w:t>% (</w:t>
      </w:r>
      <w:r w:rsidR="00AF0ADF" w:rsidRPr="00E8746E">
        <w:rPr>
          <w:szCs w:val="22"/>
        </w:rPr>
        <w:fldChar w:fldCharType="begin"/>
      </w:r>
      <w:r w:rsidR="00AF0ADF" w:rsidRPr="00E8746E">
        <w:rPr>
          <w:szCs w:val="22"/>
        </w:rPr>
        <w:instrText xml:space="preserve"> REF _Ref117080137 \h  \* MERGEFORMAT </w:instrText>
      </w:r>
      <w:r w:rsidR="00AF0ADF" w:rsidRPr="00E8746E">
        <w:rPr>
          <w:szCs w:val="22"/>
        </w:rPr>
      </w:r>
      <w:r w:rsidR="00AF0ADF" w:rsidRPr="00E8746E">
        <w:rPr>
          <w:szCs w:val="22"/>
        </w:rPr>
        <w:fldChar w:fldCharType="separate"/>
      </w:r>
      <w:r w:rsidR="00296988" w:rsidRPr="00296988">
        <w:rPr>
          <w:szCs w:val="22"/>
        </w:rPr>
        <w:t xml:space="preserve">Table </w:t>
      </w:r>
      <w:r w:rsidR="00296988" w:rsidRPr="00296988">
        <w:rPr>
          <w:noProof/>
          <w:szCs w:val="22"/>
        </w:rPr>
        <w:t>4</w:t>
      </w:r>
      <w:r w:rsidR="00AF0ADF" w:rsidRPr="00E8746E">
        <w:rPr>
          <w:szCs w:val="22"/>
        </w:rPr>
        <w:fldChar w:fldCharType="end"/>
      </w:r>
      <w:r w:rsidR="00AF0ADF" w:rsidRPr="00E8746E">
        <w:rPr>
          <w:szCs w:val="22"/>
        </w:rPr>
        <w:t>).</w:t>
      </w:r>
    </w:p>
    <w:p w14:paraId="0B075F6D" w14:textId="77777777" w:rsidR="00AF0ADF" w:rsidRPr="00E8746E" w:rsidRDefault="00AF0ADF" w:rsidP="00AF0ADF">
      <w:pPr>
        <w:pStyle w:val="Bullets"/>
        <w:numPr>
          <w:ilvl w:val="0"/>
          <w:numId w:val="0"/>
        </w:numPr>
        <w:ind w:left="357"/>
        <w:rPr>
          <w:szCs w:val="22"/>
        </w:rPr>
      </w:pPr>
    </w:p>
    <w:p w14:paraId="34E490A5" w14:textId="6120F5C6" w:rsidR="00AF0ADF" w:rsidRPr="008D3FB5" w:rsidRDefault="00AF0ADF" w:rsidP="00AF0ADF">
      <w:pPr>
        <w:pStyle w:val="Caption"/>
        <w:rPr>
          <w:sz w:val="20"/>
          <w:szCs w:val="20"/>
        </w:rPr>
      </w:pPr>
      <w:bookmarkStart w:id="334" w:name="_Ref117080137"/>
      <w:bookmarkStart w:id="335" w:name="_Toc121429180"/>
      <w:r w:rsidRPr="008D3FB5">
        <w:rPr>
          <w:sz w:val="20"/>
          <w:szCs w:val="20"/>
        </w:rPr>
        <w:t xml:space="preserve">Table </w:t>
      </w:r>
      <w:r w:rsidRPr="008D3FB5">
        <w:rPr>
          <w:sz w:val="20"/>
          <w:szCs w:val="20"/>
        </w:rPr>
        <w:fldChar w:fldCharType="begin"/>
      </w:r>
      <w:r w:rsidRPr="008D3FB5">
        <w:rPr>
          <w:sz w:val="20"/>
          <w:szCs w:val="20"/>
        </w:rPr>
        <w:instrText xml:space="preserve"> SEQ Table \* ARABIC </w:instrText>
      </w:r>
      <w:r w:rsidRPr="008D3FB5">
        <w:rPr>
          <w:sz w:val="20"/>
          <w:szCs w:val="20"/>
        </w:rPr>
        <w:fldChar w:fldCharType="separate"/>
      </w:r>
      <w:r w:rsidR="00296988">
        <w:rPr>
          <w:noProof/>
          <w:sz w:val="20"/>
          <w:szCs w:val="20"/>
        </w:rPr>
        <w:t>4</w:t>
      </w:r>
      <w:r w:rsidRPr="008D3FB5">
        <w:rPr>
          <w:noProof/>
          <w:sz w:val="20"/>
          <w:szCs w:val="20"/>
        </w:rPr>
        <w:fldChar w:fldCharType="end"/>
      </w:r>
      <w:bookmarkEnd w:id="334"/>
      <w:r w:rsidRPr="008D3FB5">
        <w:rPr>
          <w:sz w:val="20"/>
          <w:szCs w:val="20"/>
        </w:rPr>
        <w:tab/>
        <w:t>Percentage of babies, by gestational age grouped by term and completed weeks, 2010–20</w:t>
      </w:r>
      <w:r w:rsidR="009C7026" w:rsidRPr="008D3FB5">
        <w:rPr>
          <w:sz w:val="20"/>
          <w:szCs w:val="20"/>
        </w:rPr>
        <w:t>19</w:t>
      </w:r>
      <w:bookmarkEnd w:id="335"/>
    </w:p>
    <w:tbl>
      <w:tblPr>
        <w:tblStyle w:val="TableGrid"/>
        <w:tblW w:w="5000" w:type="pct"/>
        <w:tblLook w:val="04A0" w:firstRow="1" w:lastRow="0" w:firstColumn="1" w:lastColumn="0" w:noHBand="0" w:noVBand="1"/>
      </w:tblPr>
      <w:tblGrid>
        <w:gridCol w:w="3253"/>
        <w:gridCol w:w="3254"/>
        <w:gridCol w:w="1673"/>
        <w:gridCol w:w="1675"/>
      </w:tblGrid>
      <w:tr w:rsidR="00AF0ADF" w:rsidRPr="00553D51" w14:paraId="36657615" w14:textId="77777777" w:rsidTr="00E44DDA">
        <w:trPr>
          <w:cantSplit/>
          <w:trHeight w:val="20"/>
        </w:trPr>
        <w:tc>
          <w:tcPr>
            <w:tcW w:w="1650" w:type="pct"/>
            <w:noWrap/>
            <w:vAlign w:val="center"/>
            <w:hideMark/>
          </w:tcPr>
          <w:p w14:paraId="3F8DEA30" w14:textId="77777777" w:rsidR="00AF0ADF" w:rsidRPr="0058622D" w:rsidRDefault="00AF0ADF" w:rsidP="00AF0ADF">
            <w:pPr>
              <w:rPr>
                <w:rFonts w:cstheme="minorHAnsi"/>
                <w:b/>
                <w:bCs/>
                <w:sz w:val="20"/>
                <w:szCs w:val="20"/>
              </w:rPr>
            </w:pPr>
          </w:p>
        </w:tc>
        <w:tc>
          <w:tcPr>
            <w:tcW w:w="1651" w:type="pct"/>
            <w:noWrap/>
            <w:vAlign w:val="center"/>
            <w:hideMark/>
          </w:tcPr>
          <w:p w14:paraId="425E0645" w14:textId="77777777" w:rsidR="00AF0ADF" w:rsidRPr="0058622D" w:rsidRDefault="00AF0ADF" w:rsidP="009C2449">
            <w:pPr>
              <w:rPr>
                <w:rFonts w:cstheme="minorHAnsi"/>
                <w:b/>
                <w:bCs/>
                <w:sz w:val="20"/>
                <w:szCs w:val="20"/>
              </w:rPr>
            </w:pPr>
            <w:r>
              <w:rPr>
                <w:rFonts w:cstheme="minorHAnsi"/>
                <w:b/>
                <w:bCs/>
                <w:sz w:val="20"/>
                <w:szCs w:val="20"/>
              </w:rPr>
              <w:t>Gestational age at birth</w:t>
            </w:r>
          </w:p>
        </w:tc>
        <w:tc>
          <w:tcPr>
            <w:tcW w:w="849" w:type="pct"/>
            <w:noWrap/>
            <w:vAlign w:val="center"/>
            <w:hideMark/>
          </w:tcPr>
          <w:p w14:paraId="2C236A85" w14:textId="77777777" w:rsidR="00AF0ADF" w:rsidRPr="00493495" w:rsidRDefault="00AF0ADF" w:rsidP="009C2449">
            <w:pPr>
              <w:jc w:val="right"/>
              <w:rPr>
                <w:rFonts w:cstheme="minorHAnsi"/>
                <w:b/>
                <w:bCs/>
                <w:color w:val="000000"/>
                <w:sz w:val="20"/>
                <w:szCs w:val="20"/>
              </w:rPr>
            </w:pPr>
            <w:r w:rsidRPr="00493495">
              <w:rPr>
                <w:rFonts w:cstheme="minorHAnsi"/>
                <w:b/>
                <w:bCs/>
                <w:color w:val="000000"/>
                <w:sz w:val="20"/>
                <w:szCs w:val="20"/>
              </w:rPr>
              <w:t>2010</w:t>
            </w:r>
          </w:p>
        </w:tc>
        <w:tc>
          <w:tcPr>
            <w:tcW w:w="850" w:type="pct"/>
            <w:noWrap/>
            <w:vAlign w:val="center"/>
            <w:hideMark/>
          </w:tcPr>
          <w:p w14:paraId="65BA47E8" w14:textId="4281FB8A" w:rsidR="00AF0ADF" w:rsidRPr="00E44DDA" w:rsidRDefault="00493495" w:rsidP="009C2449">
            <w:pPr>
              <w:jc w:val="right"/>
              <w:rPr>
                <w:rFonts w:cstheme="minorHAnsi"/>
                <w:b/>
                <w:bCs/>
                <w:color w:val="000000"/>
                <w:sz w:val="20"/>
                <w:szCs w:val="20"/>
              </w:rPr>
            </w:pPr>
            <w:r w:rsidRPr="00E44DDA">
              <w:rPr>
                <w:rFonts w:cstheme="minorHAnsi"/>
                <w:b/>
                <w:bCs/>
                <w:color w:val="000000"/>
                <w:sz w:val="20"/>
                <w:szCs w:val="20"/>
              </w:rPr>
              <w:t>2019</w:t>
            </w:r>
          </w:p>
        </w:tc>
      </w:tr>
      <w:tr w:rsidR="00953523" w:rsidRPr="00553D51" w14:paraId="6C81E4A8" w14:textId="77777777" w:rsidTr="00953523">
        <w:trPr>
          <w:cantSplit/>
          <w:trHeight w:val="20"/>
        </w:trPr>
        <w:tc>
          <w:tcPr>
            <w:tcW w:w="3301" w:type="pct"/>
            <w:gridSpan w:val="2"/>
            <w:noWrap/>
            <w:vAlign w:val="center"/>
          </w:tcPr>
          <w:p w14:paraId="78C6884C" w14:textId="77777777" w:rsidR="00953523" w:rsidRPr="00553D51" w:rsidRDefault="00953523" w:rsidP="009C2449">
            <w:pPr>
              <w:rPr>
                <w:rFonts w:cstheme="minorHAnsi"/>
                <w:b/>
                <w:bCs/>
                <w:sz w:val="20"/>
                <w:szCs w:val="20"/>
              </w:rPr>
            </w:pPr>
          </w:p>
        </w:tc>
        <w:tc>
          <w:tcPr>
            <w:tcW w:w="1699" w:type="pct"/>
            <w:gridSpan w:val="2"/>
            <w:noWrap/>
            <w:vAlign w:val="center"/>
          </w:tcPr>
          <w:p w14:paraId="7367B46E" w14:textId="77777777" w:rsidR="00953523" w:rsidRPr="00E44DDA" w:rsidRDefault="00953523" w:rsidP="009C2449">
            <w:pPr>
              <w:jc w:val="center"/>
              <w:rPr>
                <w:rFonts w:cstheme="minorHAnsi"/>
                <w:b/>
                <w:bCs/>
                <w:color w:val="000000"/>
                <w:sz w:val="20"/>
                <w:szCs w:val="20"/>
              </w:rPr>
            </w:pPr>
            <w:r w:rsidRPr="00E44DDA">
              <w:rPr>
                <w:rFonts w:cstheme="minorHAnsi"/>
                <w:b/>
                <w:bCs/>
                <w:color w:val="000000"/>
                <w:sz w:val="20"/>
                <w:szCs w:val="20"/>
              </w:rPr>
              <w:t>In per cent (%)</w:t>
            </w:r>
          </w:p>
        </w:tc>
      </w:tr>
      <w:tr w:rsidR="00AF0ADF" w:rsidRPr="0058622D" w14:paraId="3AA829D9" w14:textId="77777777" w:rsidTr="00E44DDA">
        <w:trPr>
          <w:cantSplit/>
          <w:trHeight w:val="20"/>
        </w:trPr>
        <w:tc>
          <w:tcPr>
            <w:tcW w:w="1650" w:type="pct"/>
            <w:noWrap/>
            <w:vAlign w:val="center"/>
            <w:hideMark/>
          </w:tcPr>
          <w:p w14:paraId="4E2DF53F" w14:textId="77777777" w:rsidR="00AF0ADF" w:rsidRPr="00E44DDA" w:rsidRDefault="00AF0ADF" w:rsidP="00AF0ADF">
            <w:pPr>
              <w:rPr>
                <w:rFonts w:cstheme="minorHAnsi"/>
                <w:color w:val="000000"/>
                <w:sz w:val="20"/>
                <w:szCs w:val="20"/>
              </w:rPr>
            </w:pPr>
            <w:r w:rsidRPr="00E44DDA">
              <w:rPr>
                <w:rFonts w:cstheme="minorHAnsi"/>
                <w:color w:val="000000"/>
                <w:sz w:val="20"/>
                <w:szCs w:val="20"/>
              </w:rPr>
              <w:t>Pre-term</w:t>
            </w:r>
          </w:p>
        </w:tc>
        <w:tc>
          <w:tcPr>
            <w:tcW w:w="1651" w:type="pct"/>
            <w:noWrap/>
            <w:vAlign w:val="center"/>
            <w:hideMark/>
          </w:tcPr>
          <w:p w14:paraId="5426413C" w14:textId="77777777" w:rsidR="00AF0ADF" w:rsidRPr="00E44DDA" w:rsidRDefault="00AF0ADF" w:rsidP="009C2449">
            <w:pPr>
              <w:rPr>
                <w:rFonts w:cstheme="minorHAnsi"/>
                <w:color w:val="000000"/>
                <w:sz w:val="20"/>
                <w:szCs w:val="20"/>
              </w:rPr>
            </w:pPr>
            <w:r w:rsidRPr="00E44DDA">
              <w:rPr>
                <w:rFonts w:cstheme="minorHAnsi"/>
                <w:color w:val="000000"/>
                <w:sz w:val="20"/>
                <w:szCs w:val="20"/>
              </w:rPr>
              <w:t>20-36 weeks</w:t>
            </w:r>
          </w:p>
        </w:tc>
        <w:tc>
          <w:tcPr>
            <w:tcW w:w="849" w:type="pct"/>
            <w:noWrap/>
            <w:vAlign w:val="center"/>
            <w:hideMark/>
          </w:tcPr>
          <w:p w14:paraId="5AA18259" w14:textId="0AB49223" w:rsidR="00AF0ADF" w:rsidRPr="00493495" w:rsidRDefault="00AF0ADF" w:rsidP="00DB41FA">
            <w:pPr>
              <w:jc w:val="right"/>
              <w:rPr>
                <w:rFonts w:cstheme="minorHAnsi"/>
                <w:color w:val="000000"/>
                <w:sz w:val="20"/>
                <w:szCs w:val="20"/>
              </w:rPr>
            </w:pPr>
            <w:r w:rsidRPr="00493495">
              <w:rPr>
                <w:rFonts w:cstheme="minorHAnsi"/>
                <w:color w:val="000000"/>
                <w:sz w:val="20"/>
                <w:szCs w:val="20"/>
              </w:rPr>
              <w:t>8.</w:t>
            </w:r>
            <w:r w:rsidR="00DB41FA">
              <w:rPr>
                <w:rFonts w:cstheme="minorHAnsi"/>
                <w:color w:val="000000"/>
                <w:sz w:val="20"/>
                <w:szCs w:val="20"/>
              </w:rPr>
              <w:t>2</w:t>
            </w:r>
          </w:p>
        </w:tc>
        <w:tc>
          <w:tcPr>
            <w:tcW w:w="849" w:type="pct"/>
            <w:noWrap/>
            <w:vAlign w:val="center"/>
            <w:hideMark/>
          </w:tcPr>
          <w:p w14:paraId="01126B39" w14:textId="782A07C7" w:rsidR="00AF0ADF" w:rsidRPr="00E44DDA" w:rsidRDefault="00AF0ADF" w:rsidP="009C2449">
            <w:pPr>
              <w:jc w:val="right"/>
              <w:rPr>
                <w:rFonts w:cstheme="minorHAnsi"/>
                <w:color w:val="000000"/>
                <w:sz w:val="20"/>
                <w:szCs w:val="20"/>
              </w:rPr>
            </w:pPr>
            <w:r w:rsidRPr="00E44DDA">
              <w:rPr>
                <w:rFonts w:cstheme="minorHAnsi"/>
                <w:color w:val="000000"/>
                <w:sz w:val="20"/>
                <w:szCs w:val="20"/>
              </w:rPr>
              <w:t>8.</w:t>
            </w:r>
            <w:r w:rsidR="00951BE3" w:rsidRPr="00E44DDA">
              <w:rPr>
                <w:rFonts w:cstheme="minorHAnsi"/>
                <w:color w:val="000000"/>
                <w:sz w:val="20"/>
                <w:szCs w:val="20"/>
              </w:rPr>
              <w:t>6</w:t>
            </w:r>
          </w:p>
        </w:tc>
      </w:tr>
      <w:tr w:rsidR="00AF0ADF" w:rsidRPr="0058622D" w14:paraId="29835779" w14:textId="77777777" w:rsidTr="00E44DDA">
        <w:trPr>
          <w:cantSplit/>
          <w:trHeight w:val="20"/>
        </w:trPr>
        <w:tc>
          <w:tcPr>
            <w:tcW w:w="1650" w:type="pct"/>
            <w:vMerge w:val="restart"/>
            <w:noWrap/>
            <w:vAlign w:val="center"/>
            <w:hideMark/>
          </w:tcPr>
          <w:p w14:paraId="605A2FE4" w14:textId="77777777" w:rsidR="00AF0ADF" w:rsidRPr="00E44DDA" w:rsidRDefault="00AF0ADF" w:rsidP="00AF0ADF">
            <w:pPr>
              <w:rPr>
                <w:rFonts w:cstheme="minorHAnsi"/>
                <w:color w:val="000000"/>
                <w:sz w:val="20"/>
                <w:szCs w:val="20"/>
              </w:rPr>
            </w:pPr>
            <w:r w:rsidRPr="00E44DDA">
              <w:rPr>
                <w:rFonts w:cstheme="minorHAnsi"/>
                <w:color w:val="000000"/>
                <w:sz w:val="20"/>
                <w:szCs w:val="20"/>
              </w:rPr>
              <w:t>Term</w:t>
            </w:r>
          </w:p>
        </w:tc>
        <w:tc>
          <w:tcPr>
            <w:tcW w:w="1651" w:type="pct"/>
            <w:noWrap/>
            <w:vAlign w:val="center"/>
            <w:hideMark/>
          </w:tcPr>
          <w:p w14:paraId="7EEC1CC2" w14:textId="77777777" w:rsidR="00AF0ADF" w:rsidRPr="00E44DDA" w:rsidRDefault="00AF0ADF" w:rsidP="009C2449">
            <w:pPr>
              <w:rPr>
                <w:rFonts w:cstheme="minorHAnsi"/>
                <w:color w:val="000000"/>
                <w:sz w:val="20"/>
                <w:szCs w:val="20"/>
              </w:rPr>
            </w:pPr>
            <w:r w:rsidRPr="00E44DDA">
              <w:rPr>
                <w:rFonts w:cstheme="minorHAnsi"/>
                <w:color w:val="000000"/>
                <w:sz w:val="20"/>
                <w:szCs w:val="20"/>
              </w:rPr>
              <w:t>37 weeks</w:t>
            </w:r>
          </w:p>
        </w:tc>
        <w:tc>
          <w:tcPr>
            <w:tcW w:w="849" w:type="pct"/>
            <w:noWrap/>
            <w:vAlign w:val="center"/>
            <w:hideMark/>
          </w:tcPr>
          <w:p w14:paraId="43184400" w14:textId="4C5703FC" w:rsidR="00AF0ADF" w:rsidRPr="00493495" w:rsidRDefault="00AF0ADF" w:rsidP="00DB41FA">
            <w:pPr>
              <w:jc w:val="right"/>
              <w:rPr>
                <w:rFonts w:cstheme="minorHAnsi"/>
                <w:color w:val="000000"/>
                <w:sz w:val="20"/>
                <w:szCs w:val="20"/>
              </w:rPr>
            </w:pPr>
            <w:r w:rsidRPr="00493495">
              <w:rPr>
                <w:rFonts w:cstheme="minorHAnsi"/>
                <w:color w:val="000000"/>
                <w:sz w:val="20"/>
                <w:szCs w:val="20"/>
              </w:rPr>
              <w:t>6.</w:t>
            </w:r>
            <w:r w:rsidR="00DB41FA">
              <w:rPr>
                <w:rFonts w:cstheme="minorHAnsi"/>
                <w:color w:val="000000"/>
                <w:sz w:val="20"/>
                <w:szCs w:val="20"/>
              </w:rPr>
              <w:t>8</w:t>
            </w:r>
          </w:p>
        </w:tc>
        <w:tc>
          <w:tcPr>
            <w:tcW w:w="849" w:type="pct"/>
            <w:noWrap/>
            <w:vAlign w:val="center"/>
            <w:hideMark/>
          </w:tcPr>
          <w:p w14:paraId="14F581DA" w14:textId="08995227" w:rsidR="00AF0ADF" w:rsidRPr="00E44DDA" w:rsidRDefault="00951BE3" w:rsidP="009C2449">
            <w:pPr>
              <w:jc w:val="right"/>
              <w:rPr>
                <w:rFonts w:cstheme="minorHAnsi"/>
                <w:color w:val="000000"/>
                <w:sz w:val="20"/>
                <w:szCs w:val="20"/>
              </w:rPr>
            </w:pPr>
            <w:r w:rsidRPr="00E44DDA">
              <w:rPr>
                <w:rFonts w:cstheme="minorHAnsi"/>
                <w:color w:val="000000"/>
                <w:sz w:val="20"/>
                <w:szCs w:val="20"/>
              </w:rPr>
              <w:t>9.3</w:t>
            </w:r>
          </w:p>
        </w:tc>
      </w:tr>
      <w:tr w:rsidR="00AF0ADF" w:rsidRPr="0058622D" w14:paraId="52C79088" w14:textId="77777777" w:rsidTr="00E44DDA">
        <w:trPr>
          <w:cantSplit/>
          <w:trHeight w:val="20"/>
        </w:trPr>
        <w:tc>
          <w:tcPr>
            <w:tcW w:w="1650" w:type="pct"/>
            <w:vMerge/>
            <w:noWrap/>
            <w:vAlign w:val="center"/>
            <w:hideMark/>
          </w:tcPr>
          <w:p w14:paraId="2EBF772D" w14:textId="77777777" w:rsidR="00AF0ADF" w:rsidRPr="00E44DDA" w:rsidRDefault="00AF0ADF" w:rsidP="00AF0ADF">
            <w:pPr>
              <w:jc w:val="right"/>
              <w:rPr>
                <w:rFonts w:cstheme="minorHAnsi"/>
                <w:color w:val="000000"/>
                <w:sz w:val="20"/>
                <w:szCs w:val="20"/>
              </w:rPr>
            </w:pPr>
          </w:p>
        </w:tc>
        <w:tc>
          <w:tcPr>
            <w:tcW w:w="1651" w:type="pct"/>
            <w:noWrap/>
            <w:vAlign w:val="center"/>
            <w:hideMark/>
          </w:tcPr>
          <w:p w14:paraId="024BD85C" w14:textId="77777777" w:rsidR="00AF0ADF" w:rsidRPr="00E44DDA" w:rsidRDefault="00AF0ADF" w:rsidP="009C2449">
            <w:pPr>
              <w:rPr>
                <w:rFonts w:cstheme="minorHAnsi"/>
                <w:color w:val="000000"/>
                <w:sz w:val="20"/>
                <w:szCs w:val="20"/>
              </w:rPr>
            </w:pPr>
            <w:r w:rsidRPr="00E44DDA">
              <w:rPr>
                <w:rFonts w:cstheme="minorHAnsi"/>
                <w:color w:val="000000"/>
                <w:sz w:val="20"/>
                <w:szCs w:val="20"/>
              </w:rPr>
              <w:t>38 weeks</w:t>
            </w:r>
          </w:p>
        </w:tc>
        <w:tc>
          <w:tcPr>
            <w:tcW w:w="849" w:type="pct"/>
            <w:noWrap/>
            <w:vAlign w:val="center"/>
            <w:hideMark/>
          </w:tcPr>
          <w:p w14:paraId="32B80130" w14:textId="77777777" w:rsidR="00AF0ADF" w:rsidRPr="00493495" w:rsidRDefault="00AF0ADF" w:rsidP="009C2449">
            <w:pPr>
              <w:jc w:val="right"/>
              <w:rPr>
                <w:rFonts w:cstheme="minorHAnsi"/>
                <w:color w:val="000000"/>
                <w:sz w:val="20"/>
                <w:szCs w:val="20"/>
              </w:rPr>
            </w:pPr>
            <w:r w:rsidRPr="00493495">
              <w:rPr>
                <w:rFonts w:cstheme="minorHAnsi"/>
                <w:color w:val="000000"/>
                <w:sz w:val="20"/>
                <w:szCs w:val="20"/>
              </w:rPr>
              <w:t>19.0</w:t>
            </w:r>
          </w:p>
        </w:tc>
        <w:tc>
          <w:tcPr>
            <w:tcW w:w="849" w:type="pct"/>
            <w:noWrap/>
            <w:vAlign w:val="center"/>
            <w:hideMark/>
          </w:tcPr>
          <w:p w14:paraId="58125805" w14:textId="7CF14741" w:rsidR="00AF0ADF" w:rsidRPr="00E44DDA" w:rsidRDefault="00AF0ADF" w:rsidP="009C2449">
            <w:pPr>
              <w:jc w:val="right"/>
              <w:rPr>
                <w:rFonts w:cstheme="minorHAnsi"/>
                <w:color w:val="000000"/>
                <w:sz w:val="20"/>
                <w:szCs w:val="20"/>
              </w:rPr>
            </w:pPr>
            <w:r w:rsidRPr="00E44DDA">
              <w:rPr>
                <w:rFonts w:cstheme="minorHAnsi"/>
                <w:color w:val="000000"/>
                <w:sz w:val="20"/>
                <w:szCs w:val="20"/>
              </w:rPr>
              <w:t>23</w:t>
            </w:r>
            <w:r w:rsidR="00951BE3" w:rsidRPr="00E44DDA">
              <w:rPr>
                <w:rFonts w:cstheme="minorHAnsi"/>
                <w:color w:val="000000"/>
                <w:sz w:val="20"/>
                <w:szCs w:val="20"/>
              </w:rPr>
              <w:t>.1</w:t>
            </w:r>
          </w:p>
        </w:tc>
      </w:tr>
      <w:tr w:rsidR="00AF0ADF" w:rsidRPr="0058622D" w14:paraId="794741F0" w14:textId="77777777" w:rsidTr="00E44DDA">
        <w:trPr>
          <w:cantSplit/>
          <w:trHeight w:val="20"/>
        </w:trPr>
        <w:tc>
          <w:tcPr>
            <w:tcW w:w="1650" w:type="pct"/>
            <w:vMerge/>
            <w:noWrap/>
            <w:vAlign w:val="center"/>
            <w:hideMark/>
          </w:tcPr>
          <w:p w14:paraId="4D008DA4" w14:textId="77777777" w:rsidR="00AF0ADF" w:rsidRPr="00E44DDA" w:rsidRDefault="00AF0ADF" w:rsidP="00AF0ADF">
            <w:pPr>
              <w:jc w:val="right"/>
              <w:rPr>
                <w:rFonts w:cstheme="minorHAnsi"/>
                <w:color w:val="000000"/>
                <w:sz w:val="20"/>
                <w:szCs w:val="20"/>
              </w:rPr>
            </w:pPr>
          </w:p>
        </w:tc>
        <w:tc>
          <w:tcPr>
            <w:tcW w:w="1651" w:type="pct"/>
            <w:noWrap/>
            <w:vAlign w:val="center"/>
            <w:hideMark/>
          </w:tcPr>
          <w:p w14:paraId="2946BD6C" w14:textId="77777777" w:rsidR="00AF0ADF" w:rsidRPr="00E44DDA" w:rsidRDefault="00AF0ADF" w:rsidP="009C2449">
            <w:pPr>
              <w:rPr>
                <w:rFonts w:cstheme="minorHAnsi"/>
                <w:color w:val="000000"/>
                <w:sz w:val="20"/>
                <w:szCs w:val="20"/>
              </w:rPr>
            </w:pPr>
            <w:r w:rsidRPr="00E44DDA">
              <w:rPr>
                <w:rFonts w:cstheme="minorHAnsi"/>
                <w:color w:val="000000"/>
                <w:sz w:val="20"/>
                <w:szCs w:val="20"/>
              </w:rPr>
              <w:t>39 weeks</w:t>
            </w:r>
          </w:p>
        </w:tc>
        <w:tc>
          <w:tcPr>
            <w:tcW w:w="849" w:type="pct"/>
            <w:noWrap/>
            <w:vAlign w:val="center"/>
            <w:hideMark/>
          </w:tcPr>
          <w:p w14:paraId="19DDA0D8" w14:textId="77777777" w:rsidR="00AF0ADF" w:rsidRPr="00493495" w:rsidRDefault="00AF0ADF" w:rsidP="009C2449">
            <w:pPr>
              <w:jc w:val="right"/>
              <w:rPr>
                <w:rFonts w:cstheme="minorHAnsi"/>
                <w:color w:val="000000"/>
                <w:sz w:val="20"/>
                <w:szCs w:val="20"/>
              </w:rPr>
            </w:pPr>
            <w:r w:rsidRPr="00493495">
              <w:rPr>
                <w:rFonts w:cstheme="minorHAnsi"/>
                <w:color w:val="000000"/>
                <w:sz w:val="20"/>
                <w:szCs w:val="20"/>
              </w:rPr>
              <w:t>26.1</w:t>
            </w:r>
          </w:p>
        </w:tc>
        <w:tc>
          <w:tcPr>
            <w:tcW w:w="849" w:type="pct"/>
            <w:noWrap/>
            <w:vAlign w:val="center"/>
            <w:hideMark/>
          </w:tcPr>
          <w:p w14:paraId="66703251" w14:textId="05D73192" w:rsidR="00AF0ADF" w:rsidRPr="00E44DDA" w:rsidRDefault="00951BE3" w:rsidP="009C2449">
            <w:pPr>
              <w:jc w:val="right"/>
              <w:rPr>
                <w:rFonts w:cstheme="minorHAnsi"/>
                <w:color w:val="000000"/>
                <w:sz w:val="20"/>
                <w:szCs w:val="20"/>
              </w:rPr>
            </w:pPr>
            <w:r w:rsidRPr="00E44DDA">
              <w:rPr>
                <w:rFonts w:cstheme="minorHAnsi"/>
                <w:color w:val="000000"/>
                <w:sz w:val="20"/>
                <w:szCs w:val="20"/>
              </w:rPr>
              <w:t>29</w:t>
            </w:r>
            <w:r w:rsidR="00AF0ADF" w:rsidRPr="00E44DDA">
              <w:rPr>
                <w:rFonts w:cstheme="minorHAnsi"/>
                <w:color w:val="000000"/>
                <w:sz w:val="20"/>
                <w:szCs w:val="20"/>
              </w:rPr>
              <w:t>.</w:t>
            </w:r>
            <w:r w:rsidRPr="00E44DDA">
              <w:rPr>
                <w:rFonts w:cstheme="minorHAnsi"/>
                <w:color w:val="000000"/>
                <w:sz w:val="20"/>
                <w:szCs w:val="20"/>
              </w:rPr>
              <w:t>8</w:t>
            </w:r>
          </w:p>
        </w:tc>
      </w:tr>
      <w:tr w:rsidR="00AF0ADF" w:rsidRPr="0058622D" w14:paraId="0E16EA22" w14:textId="77777777" w:rsidTr="00E44DDA">
        <w:trPr>
          <w:cantSplit/>
          <w:trHeight w:val="20"/>
        </w:trPr>
        <w:tc>
          <w:tcPr>
            <w:tcW w:w="1650" w:type="pct"/>
            <w:vMerge/>
            <w:noWrap/>
            <w:vAlign w:val="center"/>
            <w:hideMark/>
          </w:tcPr>
          <w:p w14:paraId="3DB97F56" w14:textId="77777777" w:rsidR="00AF0ADF" w:rsidRPr="00E44DDA" w:rsidRDefault="00AF0ADF" w:rsidP="00AF0ADF">
            <w:pPr>
              <w:jc w:val="right"/>
              <w:rPr>
                <w:rFonts w:cstheme="minorHAnsi"/>
                <w:color w:val="000000"/>
                <w:sz w:val="20"/>
                <w:szCs w:val="20"/>
              </w:rPr>
            </w:pPr>
          </w:p>
        </w:tc>
        <w:tc>
          <w:tcPr>
            <w:tcW w:w="1651" w:type="pct"/>
            <w:noWrap/>
            <w:vAlign w:val="center"/>
            <w:hideMark/>
          </w:tcPr>
          <w:p w14:paraId="1056D67E" w14:textId="77777777" w:rsidR="00AF0ADF" w:rsidRPr="00E44DDA" w:rsidRDefault="00AF0ADF" w:rsidP="009C2449">
            <w:pPr>
              <w:rPr>
                <w:rFonts w:cstheme="minorHAnsi"/>
                <w:color w:val="000000"/>
                <w:sz w:val="20"/>
                <w:szCs w:val="20"/>
              </w:rPr>
            </w:pPr>
            <w:r w:rsidRPr="00E44DDA">
              <w:rPr>
                <w:rFonts w:cstheme="minorHAnsi"/>
                <w:color w:val="000000"/>
                <w:sz w:val="20"/>
                <w:szCs w:val="20"/>
              </w:rPr>
              <w:t>40 weeks</w:t>
            </w:r>
          </w:p>
        </w:tc>
        <w:tc>
          <w:tcPr>
            <w:tcW w:w="849" w:type="pct"/>
            <w:noWrap/>
            <w:vAlign w:val="center"/>
            <w:hideMark/>
          </w:tcPr>
          <w:p w14:paraId="6E6F67DA" w14:textId="77777777" w:rsidR="00AF0ADF" w:rsidRPr="00493495" w:rsidRDefault="00AF0ADF" w:rsidP="009C2449">
            <w:pPr>
              <w:jc w:val="right"/>
              <w:rPr>
                <w:rFonts w:cstheme="minorHAnsi"/>
                <w:color w:val="000000"/>
                <w:sz w:val="20"/>
                <w:szCs w:val="20"/>
              </w:rPr>
            </w:pPr>
            <w:r w:rsidRPr="00493495">
              <w:rPr>
                <w:rFonts w:cstheme="minorHAnsi"/>
                <w:color w:val="000000"/>
                <w:sz w:val="20"/>
                <w:szCs w:val="20"/>
              </w:rPr>
              <w:t>25.9</w:t>
            </w:r>
          </w:p>
        </w:tc>
        <w:tc>
          <w:tcPr>
            <w:tcW w:w="849" w:type="pct"/>
            <w:noWrap/>
            <w:vAlign w:val="center"/>
            <w:hideMark/>
          </w:tcPr>
          <w:p w14:paraId="42F00C5B" w14:textId="2B9568A2" w:rsidR="00AF0ADF" w:rsidRPr="00E44DDA" w:rsidRDefault="00AF0ADF" w:rsidP="009C2449">
            <w:pPr>
              <w:jc w:val="right"/>
              <w:rPr>
                <w:rFonts w:cstheme="minorHAnsi"/>
                <w:color w:val="000000"/>
                <w:sz w:val="20"/>
                <w:szCs w:val="20"/>
              </w:rPr>
            </w:pPr>
            <w:r w:rsidRPr="00E44DDA">
              <w:rPr>
                <w:rFonts w:cstheme="minorHAnsi"/>
                <w:color w:val="000000"/>
                <w:sz w:val="20"/>
                <w:szCs w:val="20"/>
              </w:rPr>
              <w:t>20.</w:t>
            </w:r>
            <w:r w:rsidR="00951BE3" w:rsidRPr="00E44DDA">
              <w:rPr>
                <w:rFonts w:cstheme="minorHAnsi"/>
                <w:color w:val="000000"/>
                <w:sz w:val="20"/>
                <w:szCs w:val="20"/>
              </w:rPr>
              <w:t>5</w:t>
            </w:r>
          </w:p>
        </w:tc>
      </w:tr>
      <w:tr w:rsidR="00AF0ADF" w:rsidRPr="0058622D" w14:paraId="0DFFC67E" w14:textId="77777777" w:rsidTr="00E44DDA">
        <w:trPr>
          <w:cantSplit/>
          <w:trHeight w:val="20"/>
        </w:trPr>
        <w:tc>
          <w:tcPr>
            <w:tcW w:w="1650" w:type="pct"/>
            <w:vMerge/>
            <w:noWrap/>
            <w:vAlign w:val="center"/>
            <w:hideMark/>
          </w:tcPr>
          <w:p w14:paraId="2020E37C" w14:textId="77777777" w:rsidR="00AF0ADF" w:rsidRPr="00E44DDA" w:rsidRDefault="00AF0ADF" w:rsidP="00AF0ADF">
            <w:pPr>
              <w:jc w:val="right"/>
              <w:rPr>
                <w:rFonts w:cstheme="minorHAnsi"/>
                <w:color w:val="000000"/>
                <w:sz w:val="20"/>
                <w:szCs w:val="20"/>
              </w:rPr>
            </w:pPr>
          </w:p>
        </w:tc>
        <w:tc>
          <w:tcPr>
            <w:tcW w:w="1651" w:type="pct"/>
            <w:noWrap/>
            <w:vAlign w:val="center"/>
            <w:hideMark/>
          </w:tcPr>
          <w:p w14:paraId="28C3CA50" w14:textId="77777777" w:rsidR="00AF0ADF" w:rsidRPr="00E44DDA" w:rsidRDefault="00AF0ADF" w:rsidP="009C2449">
            <w:pPr>
              <w:rPr>
                <w:rFonts w:cstheme="minorHAnsi"/>
                <w:color w:val="000000"/>
                <w:sz w:val="20"/>
                <w:szCs w:val="20"/>
              </w:rPr>
            </w:pPr>
            <w:r w:rsidRPr="00E44DDA">
              <w:rPr>
                <w:rFonts w:cstheme="minorHAnsi"/>
                <w:color w:val="000000"/>
                <w:sz w:val="20"/>
                <w:szCs w:val="20"/>
              </w:rPr>
              <w:t>41 weeks</w:t>
            </w:r>
          </w:p>
        </w:tc>
        <w:tc>
          <w:tcPr>
            <w:tcW w:w="849" w:type="pct"/>
            <w:noWrap/>
            <w:vAlign w:val="center"/>
            <w:hideMark/>
          </w:tcPr>
          <w:p w14:paraId="7A3536BA" w14:textId="77777777" w:rsidR="00AF0ADF" w:rsidRPr="00493495" w:rsidRDefault="00AF0ADF" w:rsidP="009C2449">
            <w:pPr>
              <w:jc w:val="right"/>
              <w:rPr>
                <w:rFonts w:cstheme="minorHAnsi"/>
                <w:color w:val="000000"/>
                <w:sz w:val="20"/>
                <w:szCs w:val="20"/>
              </w:rPr>
            </w:pPr>
            <w:r w:rsidRPr="00493495">
              <w:rPr>
                <w:rFonts w:cstheme="minorHAnsi"/>
                <w:color w:val="000000"/>
                <w:sz w:val="20"/>
                <w:szCs w:val="20"/>
              </w:rPr>
              <w:t>13.1</w:t>
            </w:r>
          </w:p>
        </w:tc>
        <w:tc>
          <w:tcPr>
            <w:tcW w:w="849" w:type="pct"/>
            <w:noWrap/>
            <w:vAlign w:val="center"/>
            <w:hideMark/>
          </w:tcPr>
          <w:p w14:paraId="66816B57" w14:textId="1DDBEA57" w:rsidR="00AF0ADF" w:rsidRPr="00E44DDA" w:rsidRDefault="00AF0ADF" w:rsidP="009C2449">
            <w:pPr>
              <w:jc w:val="right"/>
              <w:rPr>
                <w:rFonts w:cstheme="minorHAnsi"/>
                <w:color w:val="000000"/>
                <w:sz w:val="20"/>
                <w:szCs w:val="20"/>
              </w:rPr>
            </w:pPr>
            <w:r w:rsidRPr="00E44DDA">
              <w:rPr>
                <w:rFonts w:cstheme="minorHAnsi"/>
                <w:color w:val="000000"/>
                <w:sz w:val="20"/>
                <w:szCs w:val="20"/>
              </w:rPr>
              <w:t>8.</w:t>
            </w:r>
            <w:r w:rsidR="00951BE3" w:rsidRPr="00E44DDA">
              <w:rPr>
                <w:rFonts w:cstheme="minorHAnsi"/>
                <w:color w:val="000000"/>
                <w:sz w:val="20"/>
                <w:szCs w:val="20"/>
              </w:rPr>
              <w:t>4</w:t>
            </w:r>
          </w:p>
        </w:tc>
      </w:tr>
      <w:tr w:rsidR="00AF0ADF" w:rsidRPr="0058622D" w14:paraId="06FCCD7F" w14:textId="77777777" w:rsidTr="00E44DDA">
        <w:trPr>
          <w:cantSplit/>
          <w:trHeight w:val="20"/>
        </w:trPr>
        <w:tc>
          <w:tcPr>
            <w:tcW w:w="1650" w:type="pct"/>
            <w:noWrap/>
            <w:vAlign w:val="center"/>
            <w:hideMark/>
          </w:tcPr>
          <w:p w14:paraId="286E9A1B" w14:textId="77777777" w:rsidR="00AF0ADF" w:rsidRPr="00E44DDA" w:rsidRDefault="00AF0ADF" w:rsidP="00AF0ADF">
            <w:pPr>
              <w:rPr>
                <w:rFonts w:cstheme="minorHAnsi"/>
                <w:color w:val="000000"/>
                <w:sz w:val="20"/>
                <w:szCs w:val="20"/>
              </w:rPr>
            </w:pPr>
            <w:r w:rsidRPr="00E44DDA">
              <w:rPr>
                <w:rFonts w:cstheme="minorHAnsi"/>
                <w:color w:val="000000"/>
                <w:sz w:val="20"/>
                <w:szCs w:val="20"/>
              </w:rPr>
              <w:t>Post-term</w:t>
            </w:r>
          </w:p>
        </w:tc>
        <w:tc>
          <w:tcPr>
            <w:tcW w:w="1651" w:type="pct"/>
            <w:noWrap/>
            <w:vAlign w:val="center"/>
            <w:hideMark/>
          </w:tcPr>
          <w:p w14:paraId="361AB87A" w14:textId="77777777" w:rsidR="00AF0ADF" w:rsidRPr="00E44DDA" w:rsidRDefault="00AF0ADF" w:rsidP="009C2449">
            <w:pPr>
              <w:rPr>
                <w:rFonts w:cstheme="minorHAnsi"/>
                <w:color w:val="000000"/>
                <w:sz w:val="20"/>
                <w:szCs w:val="20"/>
              </w:rPr>
            </w:pPr>
            <w:r w:rsidRPr="00E44DDA">
              <w:rPr>
                <w:rFonts w:cstheme="minorHAnsi"/>
                <w:color w:val="000000"/>
                <w:sz w:val="20"/>
                <w:szCs w:val="20"/>
              </w:rPr>
              <w:t>42 weeks and over</w:t>
            </w:r>
          </w:p>
        </w:tc>
        <w:tc>
          <w:tcPr>
            <w:tcW w:w="849" w:type="pct"/>
            <w:noWrap/>
            <w:vAlign w:val="center"/>
            <w:hideMark/>
          </w:tcPr>
          <w:p w14:paraId="3A2402C7" w14:textId="77777777" w:rsidR="00AF0ADF" w:rsidRPr="00493495" w:rsidRDefault="00AF0ADF" w:rsidP="009C2449">
            <w:pPr>
              <w:jc w:val="right"/>
              <w:rPr>
                <w:rFonts w:cstheme="minorHAnsi"/>
                <w:color w:val="000000"/>
                <w:sz w:val="20"/>
                <w:szCs w:val="20"/>
              </w:rPr>
            </w:pPr>
            <w:r w:rsidRPr="00493495">
              <w:rPr>
                <w:rFonts w:cstheme="minorHAnsi"/>
                <w:color w:val="000000"/>
                <w:sz w:val="20"/>
                <w:szCs w:val="20"/>
              </w:rPr>
              <w:t>0.8</w:t>
            </w:r>
          </w:p>
        </w:tc>
        <w:tc>
          <w:tcPr>
            <w:tcW w:w="849" w:type="pct"/>
            <w:noWrap/>
            <w:vAlign w:val="center"/>
            <w:hideMark/>
          </w:tcPr>
          <w:p w14:paraId="128B59B2" w14:textId="77777777" w:rsidR="00AF0ADF" w:rsidRPr="00E44DDA" w:rsidRDefault="00AF0ADF" w:rsidP="009C2449">
            <w:pPr>
              <w:jc w:val="right"/>
              <w:rPr>
                <w:rFonts w:cstheme="minorHAnsi"/>
                <w:color w:val="000000"/>
                <w:sz w:val="20"/>
                <w:szCs w:val="20"/>
              </w:rPr>
            </w:pPr>
            <w:r w:rsidRPr="00E44DDA">
              <w:rPr>
                <w:rFonts w:cstheme="minorHAnsi"/>
                <w:color w:val="000000"/>
                <w:sz w:val="20"/>
                <w:szCs w:val="20"/>
              </w:rPr>
              <w:t>0.4</w:t>
            </w:r>
          </w:p>
        </w:tc>
      </w:tr>
    </w:tbl>
    <w:p w14:paraId="2B642DB8" w14:textId="77777777" w:rsidR="00AF0ADF" w:rsidRPr="00E8746E" w:rsidRDefault="00AF0ADF" w:rsidP="00AF0ADF">
      <w:pPr>
        <w:pStyle w:val="pf0"/>
        <w:spacing w:before="0" w:beforeAutospacing="0" w:after="0" w:afterAutospacing="0"/>
        <w:rPr>
          <w:rFonts w:asciiTheme="minorHAnsi" w:hAnsiTheme="minorHAnsi"/>
          <w:sz w:val="18"/>
          <w:szCs w:val="18"/>
        </w:rPr>
      </w:pPr>
      <w:r w:rsidRPr="00E8746E">
        <w:rPr>
          <w:rFonts w:asciiTheme="minorHAnsi" w:hAnsiTheme="minorHAnsi"/>
          <w:sz w:val="18"/>
          <w:szCs w:val="18"/>
        </w:rPr>
        <w:t>Source: AIHW analysis of National Perinatal Data Collection.</w:t>
      </w:r>
    </w:p>
    <w:p w14:paraId="3D3AC89B" w14:textId="77777777" w:rsidR="00AF0ADF" w:rsidRDefault="00AF0ADF" w:rsidP="00AF0ADF">
      <w:pPr>
        <w:rPr>
          <w:szCs w:val="22"/>
        </w:rPr>
      </w:pPr>
      <w:r w:rsidRPr="00E8746E">
        <w:rPr>
          <w:bCs/>
          <w:sz w:val="18"/>
          <w:szCs w:val="18"/>
        </w:rPr>
        <w:t xml:space="preserve">Data notes: </w:t>
      </w:r>
      <w:r w:rsidRPr="00E8746E">
        <w:rPr>
          <w:sz w:val="18"/>
          <w:szCs w:val="18"/>
        </w:rPr>
        <w:t>Pre-term births may include a small number of births of less than 20 weeks gestation.</w:t>
      </w:r>
    </w:p>
    <w:p w14:paraId="132EB735" w14:textId="77777777" w:rsidR="00AF0ADF" w:rsidRDefault="00AF0ADF" w:rsidP="00717E2E"/>
    <w:p w14:paraId="16A107EE" w14:textId="48F53748" w:rsidR="00AF0ADF" w:rsidRPr="00806EB6" w:rsidRDefault="00AF0ADF" w:rsidP="00AF0ADF">
      <w:pPr>
        <w:rPr>
          <w:b/>
          <w:i/>
          <w:color w:val="0398D7"/>
          <w:szCs w:val="22"/>
        </w:rPr>
      </w:pPr>
      <w:r w:rsidRPr="00755481">
        <w:rPr>
          <w:b/>
          <w:i/>
          <w:color w:val="0398D7"/>
          <w:szCs w:val="22"/>
        </w:rPr>
        <w:t xml:space="preserve">Apgar score of less than </w:t>
      </w:r>
      <w:r w:rsidRPr="00806EB6">
        <w:rPr>
          <w:b/>
          <w:i/>
          <w:color w:val="0398D7"/>
          <w:szCs w:val="22"/>
        </w:rPr>
        <w:t>7 at 5 minutes for births at or after term</w:t>
      </w:r>
      <w:r w:rsidR="00717E2E" w:rsidRPr="00806EB6">
        <w:rPr>
          <w:b/>
          <w:i/>
          <w:color w:val="0398D7"/>
          <w:szCs w:val="22"/>
        </w:rPr>
        <w:t xml:space="preserve"> (PI04)</w:t>
      </w:r>
    </w:p>
    <w:p w14:paraId="76F55985" w14:textId="03CF67E6" w:rsidR="00270389" w:rsidRPr="00755481" w:rsidRDefault="00AF0ADF" w:rsidP="00755481">
      <w:pPr>
        <w:pStyle w:val="Bullets"/>
        <w:numPr>
          <w:ilvl w:val="0"/>
          <w:numId w:val="0"/>
        </w:numPr>
        <w:rPr>
          <w:szCs w:val="22"/>
        </w:rPr>
      </w:pPr>
      <w:r w:rsidRPr="00806EB6">
        <w:rPr>
          <w:szCs w:val="22"/>
        </w:rPr>
        <w:t xml:space="preserve">Babies born with an Apgar score of less than 7 </w:t>
      </w:r>
      <w:r w:rsidR="00806EB6" w:rsidRPr="00806EB6">
        <w:rPr>
          <w:szCs w:val="22"/>
        </w:rPr>
        <w:t xml:space="preserve">at five minutes </w:t>
      </w:r>
      <w:r w:rsidRPr="00806EB6">
        <w:rPr>
          <w:szCs w:val="22"/>
        </w:rPr>
        <w:t>accounted for 1.3% of all babies born in 2019, a fractional increase of 0.1% from 2011</w:t>
      </w:r>
      <w:r w:rsidR="005E75A8" w:rsidRPr="00806EB6">
        <w:rPr>
          <w:szCs w:val="22"/>
        </w:rPr>
        <w:t xml:space="preserve"> (see </w:t>
      </w:r>
      <w:r w:rsidR="005E75A8" w:rsidRPr="00806EB6">
        <w:rPr>
          <w:szCs w:val="22"/>
        </w:rPr>
        <w:fldChar w:fldCharType="begin"/>
      </w:r>
      <w:r w:rsidR="005E75A8" w:rsidRPr="00806EB6">
        <w:rPr>
          <w:szCs w:val="22"/>
        </w:rPr>
        <w:instrText xml:space="preserve"> REF _Ref117109405 \h </w:instrText>
      </w:r>
      <w:r w:rsidR="00755481" w:rsidRPr="00806EB6">
        <w:rPr>
          <w:szCs w:val="22"/>
        </w:rPr>
        <w:instrText xml:space="preserve"> \* MERGEFORMAT </w:instrText>
      </w:r>
      <w:r w:rsidR="005E75A8" w:rsidRPr="00806EB6">
        <w:rPr>
          <w:szCs w:val="22"/>
        </w:rPr>
      </w:r>
      <w:r w:rsidR="005E75A8" w:rsidRPr="00806EB6">
        <w:rPr>
          <w:szCs w:val="22"/>
        </w:rPr>
        <w:fldChar w:fldCharType="separate"/>
      </w:r>
      <w:r w:rsidR="00296988" w:rsidRPr="00296988">
        <w:rPr>
          <w:szCs w:val="22"/>
        </w:rPr>
        <w:t>Table 29</w:t>
      </w:r>
      <w:r w:rsidR="005E75A8" w:rsidRPr="00806EB6">
        <w:rPr>
          <w:szCs w:val="22"/>
        </w:rPr>
        <w:fldChar w:fldCharType="end"/>
      </w:r>
      <w:r w:rsidR="005E75A8" w:rsidRPr="00806EB6">
        <w:rPr>
          <w:szCs w:val="22"/>
        </w:rPr>
        <w:t>)</w:t>
      </w:r>
      <w:r w:rsidR="00141C9A" w:rsidRPr="00806EB6">
        <w:rPr>
          <w:szCs w:val="22"/>
        </w:rPr>
        <w:t>.</w:t>
      </w:r>
    </w:p>
    <w:p w14:paraId="1DCBF0E7" w14:textId="6930128E" w:rsidR="00270389" w:rsidRDefault="00BA3D17" w:rsidP="00270389">
      <w:pPr>
        <w:pStyle w:val="Bullets"/>
      </w:pPr>
      <w:r w:rsidRPr="00141C9A">
        <w:t>Over time, Indigenous women had a consistently higher proportion of babies with an Apgar score below 7</w:t>
      </w:r>
      <w:r w:rsidR="00717E2E">
        <w:t>;</w:t>
      </w:r>
      <w:r w:rsidRPr="00141C9A">
        <w:t xml:space="preserve"> 0.5% or more above the national figures (1.7% in 2011 to 1.9% in 2019</w:t>
      </w:r>
      <w:r w:rsidR="00141C9A" w:rsidRPr="00141C9A">
        <w:t xml:space="preserve">, </w:t>
      </w:r>
      <w:r w:rsidR="00141C9A" w:rsidRPr="00141C9A">
        <w:fldChar w:fldCharType="begin"/>
      </w:r>
      <w:r w:rsidR="00141C9A" w:rsidRPr="00141C9A">
        <w:instrText xml:space="preserve"> REF _Ref117109360 \h </w:instrText>
      </w:r>
      <w:r w:rsidR="00270389">
        <w:instrText xml:space="preserve"> \* MERGEFORMAT </w:instrText>
      </w:r>
      <w:r w:rsidR="00141C9A" w:rsidRPr="00141C9A">
        <w:fldChar w:fldCharType="separate"/>
      </w:r>
      <w:r w:rsidR="00296988" w:rsidRPr="00296988">
        <w:t xml:space="preserve">Figure </w:t>
      </w:r>
      <w:r w:rsidR="00296988" w:rsidRPr="00296988">
        <w:rPr>
          <w:noProof/>
        </w:rPr>
        <w:t>20</w:t>
      </w:r>
      <w:r w:rsidR="00141C9A" w:rsidRPr="00141C9A">
        <w:fldChar w:fldCharType="end"/>
      </w:r>
      <w:r w:rsidRPr="00141C9A">
        <w:t>).</w:t>
      </w:r>
    </w:p>
    <w:p w14:paraId="5739891D" w14:textId="28049911" w:rsidR="00270389" w:rsidRDefault="00BA3D17" w:rsidP="00270389">
      <w:pPr>
        <w:pStyle w:val="Bullets"/>
      </w:pPr>
      <w:r w:rsidRPr="00141C9A">
        <w:lastRenderedPageBreak/>
        <w:t xml:space="preserve">Women younger than 20 years had the highest proportion of babies with an Apgar score below 7 </w:t>
      </w:r>
      <w:r w:rsidR="00806EB6">
        <w:t xml:space="preserve">at five minutes </w:t>
      </w:r>
      <w:r w:rsidR="00E03C32">
        <w:t>compared to any</w:t>
      </w:r>
      <w:r w:rsidR="00E03C32" w:rsidRPr="00141C9A">
        <w:t xml:space="preserve"> </w:t>
      </w:r>
      <w:r w:rsidRPr="00141C9A">
        <w:t>other age group for all years.</w:t>
      </w:r>
    </w:p>
    <w:p w14:paraId="024E65DC" w14:textId="5370D852" w:rsidR="00BA3D17" w:rsidRDefault="00BA3D17" w:rsidP="00AF0ADF">
      <w:pPr>
        <w:pStyle w:val="Bullets"/>
      </w:pPr>
      <w:r w:rsidRPr="00141C9A">
        <w:t>In 2019, 1.5% of babies born in public hospitals</w:t>
      </w:r>
      <w:r w:rsidR="00806EB6">
        <w:t xml:space="preserve"> had an Apgar score less than 7 at five minutes,</w:t>
      </w:r>
      <w:r w:rsidRPr="00141C9A">
        <w:t xml:space="preserve"> compared to 0.9% in private hospitals.</w:t>
      </w:r>
    </w:p>
    <w:p w14:paraId="6319B6B5" w14:textId="7F53D9A5" w:rsidR="00AF0ADF" w:rsidRPr="00755481" w:rsidRDefault="00AF0ADF" w:rsidP="00AF0ADF">
      <w:pPr>
        <w:pStyle w:val="Caption"/>
        <w:rPr>
          <w:sz w:val="20"/>
          <w:szCs w:val="20"/>
        </w:rPr>
      </w:pPr>
      <w:bookmarkStart w:id="336" w:name="_Ref117109360"/>
      <w:bookmarkStart w:id="337" w:name="_Toc121415186"/>
      <w:r w:rsidRPr="00755481">
        <w:rPr>
          <w:sz w:val="20"/>
          <w:szCs w:val="20"/>
        </w:rPr>
        <w:t xml:space="preserve">Figure </w:t>
      </w:r>
      <w:r w:rsidR="00A64FC5" w:rsidRPr="00755481">
        <w:rPr>
          <w:sz w:val="20"/>
          <w:szCs w:val="20"/>
        </w:rPr>
        <w:fldChar w:fldCharType="begin"/>
      </w:r>
      <w:r w:rsidR="00A64FC5" w:rsidRPr="00755481">
        <w:rPr>
          <w:sz w:val="20"/>
          <w:szCs w:val="20"/>
        </w:rPr>
        <w:instrText xml:space="preserve"> SEQ Figure \* ARABIC </w:instrText>
      </w:r>
      <w:r w:rsidR="00A64FC5" w:rsidRPr="00755481">
        <w:rPr>
          <w:sz w:val="20"/>
          <w:szCs w:val="20"/>
        </w:rPr>
        <w:fldChar w:fldCharType="separate"/>
      </w:r>
      <w:r w:rsidR="00296988">
        <w:rPr>
          <w:noProof/>
          <w:sz w:val="20"/>
          <w:szCs w:val="20"/>
        </w:rPr>
        <w:t>20</w:t>
      </w:r>
      <w:r w:rsidR="00A64FC5" w:rsidRPr="00755481">
        <w:rPr>
          <w:noProof/>
          <w:sz w:val="20"/>
          <w:szCs w:val="20"/>
        </w:rPr>
        <w:fldChar w:fldCharType="end"/>
      </w:r>
      <w:bookmarkEnd w:id="336"/>
      <w:r w:rsidRPr="00755481">
        <w:rPr>
          <w:sz w:val="20"/>
          <w:szCs w:val="20"/>
        </w:rPr>
        <w:tab/>
      </w:r>
      <w:r w:rsidR="007100DB">
        <w:rPr>
          <w:sz w:val="20"/>
          <w:szCs w:val="20"/>
        </w:rPr>
        <w:t xml:space="preserve">Babies’ </w:t>
      </w:r>
      <w:r w:rsidRPr="00755481">
        <w:rPr>
          <w:sz w:val="20"/>
          <w:szCs w:val="20"/>
        </w:rPr>
        <w:t>Apgar score</w:t>
      </w:r>
      <w:r w:rsidR="007100DB">
        <w:rPr>
          <w:sz w:val="20"/>
          <w:szCs w:val="20"/>
        </w:rPr>
        <w:t>s of</w:t>
      </w:r>
      <w:r w:rsidRPr="00755481">
        <w:rPr>
          <w:sz w:val="20"/>
          <w:szCs w:val="20"/>
        </w:rPr>
        <w:t xml:space="preserve"> </w:t>
      </w:r>
      <w:r w:rsidR="007100DB">
        <w:rPr>
          <w:sz w:val="20"/>
          <w:szCs w:val="20"/>
        </w:rPr>
        <w:t>less than</w:t>
      </w:r>
      <w:r w:rsidRPr="00755481">
        <w:rPr>
          <w:sz w:val="20"/>
          <w:szCs w:val="20"/>
        </w:rPr>
        <w:t xml:space="preserve"> 7 at 5 minutes</w:t>
      </w:r>
      <w:r w:rsidR="00755481">
        <w:rPr>
          <w:sz w:val="20"/>
          <w:szCs w:val="20"/>
        </w:rPr>
        <w:t>,</w:t>
      </w:r>
      <w:r w:rsidRPr="00755481">
        <w:rPr>
          <w:sz w:val="20"/>
          <w:szCs w:val="20"/>
        </w:rPr>
        <w:t xml:space="preserve"> births at or after term (PI04), by mother's </w:t>
      </w:r>
      <w:r w:rsidR="00FB0C38" w:rsidRPr="00755481">
        <w:rPr>
          <w:sz w:val="20"/>
          <w:szCs w:val="20"/>
        </w:rPr>
        <w:t>Indig</w:t>
      </w:r>
      <w:r w:rsidRPr="00755481">
        <w:rPr>
          <w:sz w:val="20"/>
          <w:szCs w:val="20"/>
        </w:rPr>
        <w:t>enous status, 2011</w:t>
      </w:r>
      <w:r w:rsidR="00755481">
        <w:rPr>
          <w:sz w:val="20"/>
          <w:szCs w:val="20"/>
        </w:rPr>
        <w:t>–</w:t>
      </w:r>
      <w:r w:rsidRPr="00755481">
        <w:rPr>
          <w:sz w:val="20"/>
          <w:szCs w:val="20"/>
        </w:rPr>
        <w:t>2019</w:t>
      </w:r>
      <w:bookmarkEnd w:id="337"/>
    </w:p>
    <w:p w14:paraId="6C831E42" w14:textId="77777777" w:rsidR="00AF0ADF" w:rsidRPr="00CB6C90" w:rsidRDefault="00AF0ADF" w:rsidP="00AF0ADF">
      <w:r>
        <w:rPr>
          <w:noProof/>
        </w:rPr>
        <w:drawing>
          <wp:inline distT="0" distB="0" distL="0" distR="0" wp14:anchorId="2740ED08" wp14:editId="7CBA5A61">
            <wp:extent cx="5939790" cy="1832610"/>
            <wp:effectExtent l="0" t="0" r="3810" b="15240"/>
            <wp:docPr id="41" name="Chart 41" descr="Chart shows babies Apgar scores which were less than 7 at 5 minutes by mothers indigenous status between 2011 to 2019.  The chart shows that between 2011 to 2019, Indigenous women had a consistently higher proportion of babies with an Apgar score less than 7. ">
              <a:extLst xmlns:a="http://schemas.openxmlformats.org/drawingml/2006/main">
                <a:ext uri="{FF2B5EF4-FFF2-40B4-BE49-F238E27FC236}">
                  <a16:creationId xmlns:a16="http://schemas.microsoft.com/office/drawing/2014/main" id="{440AE2AF-58DE-4D30-A625-A6396B055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537D4D9" w14:textId="77777777" w:rsidR="00924850" w:rsidRPr="00165760" w:rsidRDefault="00924850" w:rsidP="00924850">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7D2CC861" w14:textId="77777777" w:rsidR="00AF0ADF" w:rsidRDefault="00AF0ADF" w:rsidP="00E44DDA"/>
    <w:p w14:paraId="16FE3390" w14:textId="798E15E5" w:rsidR="00AF0ADF" w:rsidRDefault="00AF0ADF" w:rsidP="00AF0ADF">
      <w:pPr>
        <w:rPr>
          <w:b/>
          <w:i/>
          <w:color w:val="0398D7"/>
          <w:szCs w:val="22"/>
        </w:rPr>
      </w:pPr>
      <w:r w:rsidRPr="00B272C5">
        <w:rPr>
          <w:b/>
          <w:i/>
          <w:color w:val="0398D7"/>
          <w:szCs w:val="22"/>
        </w:rPr>
        <w:t>Small babies among births at or after 40 weeks</w:t>
      </w:r>
      <w:r w:rsidR="00C05F22">
        <w:rPr>
          <w:b/>
          <w:i/>
          <w:color w:val="0398D7"/>
          <w:szCs w:val="22"/>
        </w:rPr>
        <w:t>’</w:t>
      </w:r>
      <w:r w:rsidRPr="00B272C5">
        <w:rPr>
          <w:b/>
          <w:i/>
          <w:color w:val="0398D7"/>
          <w:szCs w:val="22"/>
        </w:rPr>
        <w:t xml:space="preserve"> gestation</w:t>
      </w:r>
      <w:r w:rsidR="00717E2E">
        <w:rPr>
          <w:b/>
          <w:i/>
          <w:color w:val="0398D7"/>
          <w:szCs w:val="22"/>
        </w:rPr>
        <w:t xml:space="preserve"> (PI10)</w:t>
      </w:r>
    </w:p>
    <w:p w14:paraId="5798FF25" w14:textId="2839836C" w:rsidR="005E75A8" w:rsidRPr="005E75A8" w:rsidRDefault="00AF0ADF" w:rsidP="00C05F22">
      <w:pPr>
        <w:pStyle w:val="Bullets"/>
        <w:numPr>
          <w:ilvl w:val="0"/>
          <w:numId w:val="0"/>
        </w:numPr>
        <w:rPr>
          <w:szCs w:val="22"/>
        </w:rPr>
      </w:pPr>
      <w:r w:rsidRPr="00C05F22">
        <w:rPr>
          <w:szCs w:val="22"/>
        </w:rPr>
        <w:t xml:space="preserve">At </w:t>
      </w:r>
      <w:r w:rsidR="00EC4D7F" w:rsidRPr="00C05F22">
        <w:rPr>
          <w:szCs w:val="22"/>
        </w:rPr>
        <w:t xml:space="preserve">a </w:t>
      </w:r>
      <w:r w:rsidRPr="00C05F22">
        <w:rPr>
          <w:szCs w:val="22"/>
        </w:rPr>
        <w:t xml:space="preserve">national level, the proportion of small babies </w:t>
      </w:r>
      <w:r w:rsidR="00EC4D7F" w:rsidRPr="00C05F22">
        <w:rPr>
          <w:szCs w:val="22"/>
        </w:rPr>
        <w:t xml:space="preserve">among births at or after 40 weeks </w:t>
      </w:r>
      <w:r w:rsidRPr="00C05F22">
        <w:rPr>
          <w:szCs w:val="22"/>
        </w:rPr>
        <w:t>has decreased fractionally most years</w:t>
      </w:r>
      <w:r w:rsidR="00EC4D7F" w:rsidRPr="00C05F22">
        <w:rPr>
          <w:szCs w:val="22"/>
        </w:rPr>
        <w:t xml:space="preserve">, from 1.7% in 2011 to </w:t>
      </w:r>
      <w:r w:rsidRPr="00C05F22">
        <w:rPr>
          <w:szCs w:val="22"/>
        </w:rPr>
        <w:t xml:space="preserve">1.2% in 2019 (see </w:t>
      </w:r>
      <w:r w:rsidRPr="00C05F22">
        <w:rPr>
          <w:szCs w:val="22"/>
        </w:rPr>
        <w:fldChar w:fldCharType="begin"/>
      </w:r>
      <w:r w:rsidRPr="00C05F22">
        <w:rPr>
          <w:szCs w:val="22"/>
        </w:rPr>
        <w:instrText xml:space="preserve"> REF _Ref117109071 \h </w:instrText>
      </w:r>
      <w:r w:rsidR="00C05F22">
        <w:rPr>
          <w:szCs w:val="22"/>
        </w:rPr>
        <w:instrText xml:space="preserve"> \* MERGEFORMAT </w:instrText>
      </w:r>
      <w:r w:rsidRPr="00C05F22">
        <w:rPr>
          <w:szCs w:val="22"/>
        </w:rPr>
      </w:r>
      <w:r w:rsidRPr="00C05F22">
        <w:rPr>
          <w:szCs w:val="22"/>
        </w:rPr>
        <w:fldChar w:fldCharType="separate"/>
      </w:r>
      <w:r w:rsidR="00296988" w:rsidRPr="00296988">
        <w:rPr>
          <w:szCs w:val="22"/>
        </w:rPr>
        <w:t>Figure 21</w:t>
      </w:r>
      <w:r w:rsidRPr="00C05F22">
        <w:rPr>
          <w:szCs w:val="22"/>
        </w:rPr>
        <w:fldChar w:fldCharType="end"/>
      </w:r>
      <w:r w:rsidR="005E75A8" w:rsidRPr="00C05F22">
        <w:rPr>
          <w:szCs w:val="22"/>
        </w:rPr>
        <w:t xml:space="preserve">; </w:t>
      </w:r>
      <w:r w:rsidR="005E75A8" w:rsidRPr="00270389">
        <w:rPr>
          <w:szCs w:val="22"/>
        </w:rPr>
        <w:t xml:space="preserve">see </w:t>
      </w:r>
      <w:r w:rsidR="005E75A8">
        <w:rPr>
          <w:szCs w:val="22"/>
        </w:rPr>
        <w:t xml:space="preserve">also </w:t>
      </w:r>
      <w:r w:rsidR="005E75A8">
        <w:rPr>
          <w:szCs w:val="22"/>
        </w:rPr>
        <w:fldChar w:fldCharType="begin"/>
      </w:r>
      <w:r w:rsidR="005E75A8">
        <w:rPr>
          <w:szCs w:val="22"/>
        </w:rPr>
        <w:instrText xml:space="preserve"> REF _Ref117929301 \h </w:instrText>
      </w:r>
      <w:r w:rsidR="00C05F22">
        <w:rPr>
          <w:szCs w:val="22"/>
        </w:rPr>
        <w:instrText xml:space="preserve"> \* MERGEFORMAT </w:instrText>
      </w:r>
      <w:r w:rsidR="005E75A8">
        <w:rPr>
          <w:szCs w:val="22"/>
        </w:rPr>
      </w:r>
      <w:r w:rsidR="005E75A8">
        <w:rPr>
          <w:szCs w:val="22"/>
        </w:rPr>
        <w:fldChar w:fldCharType="separate"/>
      </w:r>
      <w:r w:rsidR="00296988" w:rsidRPr="00296988">
        <w:rPr>
          <w:szCs w:val="22"/>
        </w:rPr>
        <w:t>Table 30</w:t>
      </w:r>
      <w:r w:rsidR="005E75A8">
        <w:rPr>
          <w:szCs w:val="22"/>
        </w:rPr>
        <w:fldChar w:fldCharType="end"/>
      </w:r>
      <w:r w:rsidR="005E75A8">
        <w:rPr>
          <w:szCs w:val="22"/>
        </w:rPr>
        <w:t xml:space="preserve">). </w:t>
      </w:r>
      <w:r w:rsidR="005E75A8" w:rsidRPr="00C05F22">
        <w:rPr>
          <w:szCs w:val="22"/>
        </w:rPr>
        <w:t>Over time, Indigenous women had the highest proportion of small babies born at or after 40 weeks, in some years more than twice that of non-Indigenous women. This difference decreased sharply between 2018 and 2019.</w:t>
      </w:r>
    </w:p>
    <w:p w14:paraId="40733D4E" w14:textId="3C8A7D10" w:rsidR="00AF0ADF" w:rsidRPr="00C05F22" w:rsidRDefault="00AF0ADF" w:rsidP="00AF0ADF">
      <w:pPr>
        <w:pStyle w:val="Caption"/>
        <w:rPr>
          <w:sz w:val="20"/>
          <w:szCs w:val="20"/>
        </w:rPr>
      </w:pPr>
      <w:bookmarkStart w:id="338" w:name="_Ref117109071"/>
      <w:bookmarkStart w:id="339" w:name="_Toc121415187"/>
      <w:r w:rsidRPr="00C05F22">
        <w:rPr>
          <w:sz w:val="20"/>
          <w:szCs w:val="20"/>
        </w:rPr>
        <w:t xml:space="preserve">Figure </w:t>
      </w:r>
      <w:r w:rsidR="00A64FC5" w:rsidRPr="00C05F22">
        <w:rPr>
          <w:sz w:val="20"/>
          <w:szCs w:val="20"/>
        </w:rPr>
        <w:fldChar w:fldCharType="begin"/>
      </w:r>
      <w:r w:rsidR="00A64FC5" w:rsidRPr="00C05F22">
        <w:rPr>
          <w:sz w:val="20"/>
          <w:szCs w:val="20"/>
        </w:rPr>
        <w:instrText xml:space="preserve"> SEQ Figure \* ARABIC </w:instrText>
      </w:r>
      <w:r w:rsidR="00A64FC5" w:rsidRPr="00C05F22">
        <w:rPr>
          <w:sz w:val="20"/>
          <w:szCs w:val="20"/>
        </w:rPr>
        <w:fldChar w:fldCharType="separate"/>
      </w:r>
      <w:r w:rsidR="00296988">
        <w:rPr>
          <w:noProof/>
          <w:sz w:val="20"/>
          <w:szCs w:val="20"/>
        </w:rPr>
        <w:t>21</w:t>
      </w:r>
      <w:r w:rsidR="00A64FC5" w:rsidRPr="00C05F22">
        <w:rPr>
          <w:noProof/>
          <w:sz w:val="20"/>
          <w:szCs w:val="20"/>
        </w:rPr>
        <w:fldChar w:fldCharType="end"/>
      </w:r>
      <w:bookmarkEnd w:id="338"/>
      <w:r w:rsidRPr="00C05F22">
        <w:rPr>
          <w:sz w:val="20"/>
          <w:szCs w:val="20"/>
        </w:rPr>
        <w:tab/>
        <w:t>Small babies among births at or after 40 weeks</w:t>
      </w:r>
      <w:r w:rsidR="00C05F22">
        <w:rPr>
          <w:sz w:val="20"/>
          <w:szCs w:val="20"/>
        </w:rPr>
        <w:t>’</w:t>
      </w:r>
      <w:r w:rsidRPr="00C05F22">
        <w:rPr>
          <w:sz w:val="20"/>
          <w:szCs w:val="20"/>
        </w:rPr>
        <w:t xml:space="preserve"> gestation (PI10), 2011–2019</w:t>
      </w:r>
      <w:bookmarkEnd w:id="339"/>
    </w:p>
    <w:p w14:paraId="2003C22A" w14:textId="4EDC6DCB" w:rsidR="00AF0ADF" w:rsidRDefault="00AF0ADF" w:rsidP="00AF0ADF">
      <w:r>
        <w:rPr>
          <w:noProof/>
        </w:rPr>
        <w:drawing>
          <wp:inline distT="0" distB="0" distL="0" distR="0" wp14:anchorId="178C12BF" wp14:editId="11130D4E">
            <wp:extent cx="5939790" cy="1833245"/>
            <wp:effectExtent l="0" t="0" r="3810" b="14605"/>
            <wp:docPr id="74" name="Chart 74" descr="Chart shows the proportion of small babies born at or after 40 weeks gestation during 2011 to 2019.  The chart shows a decrease over time from 1.7 percent in 2011 to 1.2 per cent in 2019 for these babies. ">
              <a:extLst xmlns:a="http://schemas.openxmlformats.org/drawingml/2006/main">
                <a:ext uri="{FF2B5EF4-FFF2-40B4-BE49-F238E27FC236}">
                  <a16:creationId xmlns:a16="http://schemas.microsoft.com/office/drawing/2014/main" id="{F4F2C7FA-A467-F527-C784-0BF7E2C11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4C870F4" w14:textId="77777777" w:rsidR="00924850" w:rsidRPr="00165760" w:rsidRDefault="00924850" w:rsidP="00924850">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0E381071" w14:textId="77777777" w:rsidR="00BE465C" w:rsidRDefault="00BE465C" w:rsidP="00717E2E">
      <w:pPr>
        <w:rPr>
          <w:rFonts w:cstheme="minorHAnsi"/>
        </w:rPr>
      </w:pPr>
    </w:p>
    <w:p w14:paraId="17DB68F1" w14:textId="06B39A8C" w:rsidR="00BE465C" w:rsidRDefault="00BE465C" w:rsidP="00BE465C">
      <w:pPr>
        <w:rPr>
          <w:b/>
          <w:i/>
          <w:color w:val="0398D7"/>
        </w:rPr>
      </w:pPr>
      <w:r w:rsidRPr="00E8640D">
        <w:rPr>
          <w:b/>
          <w:i/>
          <w:color w:val="0398D7"/>
        </w:rPr>
        <w:t>Third- and fourth-degree tears for vaginal births</w:t>
      </w:r>
      <w:r w:rsidR="00717E2E">
        <w:rPr>
          <w:b/>
          <w:i/>
          <w:color w:val="0398D7"/>
        </w:rPr>
        <w:t xml:space="preserve"> (PI13a &amp;PI13b)</w:t>
      </w:r>
    </w:p>
    <w:p w14:paraId="0AA5AA2A" w14:textId="4A8331C6" w:rsidR="00BE465C" w:rsidRPr="00C05F22" w:rsidRDefault="00BE3071" w:rsidP="00C05F22">
      <w:pPr>
        <w:pStyle w:val="Bullets"/>
        <w:numPr>
          <w:ilvl w:val="0"/>
          <w:numId w:val="0"/>
        </w:numPr>
        <w:rPr>
          <w:szCs w:val="22"/>
        </w:rPr>
      </w:pPr>
      <w:r w:rsidRPr="00C05F22">
        <w:rPr>
          <w:szCs w:val="22"/>
        </w:rPr>
        <w:t xml:space="preserve">The proportion of women who gave birth for the first time vaginally and who had a third- or fourth-degree vaginal tear </w:t>
      </w:r>
      <w:r w:rsidR="00BE465C" w:rsidRPr="00C05F22">
        <w:rPr>
          <w:szCs w:val="22"/>
        </w:rPr>
        <w:t xml:space="preserve">decreased fractionally from </w:t>
      </w:r>
      <w:r w:rsidR="005E75A8" w:rsidRPr="00C05F22">
        <w:rPr>
          <w:szCs w:val="22"/>
        </w:rPr>
        <w:t xml:space="preserve">5.6% in </w:t>
      </w:r>
      <w:r w:rsidR="00BE465C" w:rsidRPr="00C05F22">
        <w:rPr>
          <w:szCs w:val="22"/>
        </w:rPr>
        <w:t xml:space="preserve">2015 to 5.0% in 2017 </w:t>
      </w:r>
      <w:r w:rsidR="005E75A8" w:rsidRPr="00C05F22">
        <w:rPr>
          <w:szCs w:val="22"/>
        </w:rPr>
        <w:t xml:space="preserve">and has remained stable since </w:t>
      </w:r>
      <w:r w:rsidR="00BE465C" w:rsidRPr="00C05F22">
        <w:rPr>
          <w:szCs w:val="22"/>
        </w:rPr>
        <w:t>(</w:t>
      </w:r>
      <w:r w:rsidR="00B225CF" w:rsidRPr="00C05F22">
        <w:rPr>
          <w:szCs w:val="22"/>
        </w:rPr>
        <w:t xml:space="preserve">see </w:t>
      </w:r>
      <w:r w:rsidR="00B225CF" w:rsidRPr="00BE3071">
        <w:rPr>
          <w:szCs w:val="22"/>
        </w:rPr>
        <w:fldChar w:fldCharType="begin"/>
      </w:r>
      <w:r w:rsidR="00B225CF" w:rsidRPr="00BE3071">
        <w:rPr>
          <w:szCs w:val="22"/>
        </w:rPr>
        <w:instrText xml:space="preserve"> REF _Ref117929945 \h </w:instrText>
      </w:r>
      <w:r w:rsidR="00C05F22">
        <w:rPr>
          <w:szCs w:val="22"/>
        </w:rPr>
        <w:instrText xml:space="preserve"> \* MERGEFORMAT </w:instrText>
      </w:r>
      <w:r w:rsidR="00B225CF" w:rsidRPr="00BE3071">
        <w:rPr>
          <w:szCs w:val="22"/>
        </w:rPr>
      </w:r>
      <w:r w:rsidR="00B225CF" w:rsidRPr="00BE3071">
        <w:rPr>
          <w:szCs w:val="22"/>
        </w:rPr>
        <w:fldChar w:fldCharType="separate"/>
      </w:r>
      <w:r w:rsidR="00296988" w:rsidRPr="00296988">
        <w:rPr>
          <w:szCs w:val="22"/>
        </w:rPr>
        <w:t>Table 31</w:t>
      </w:r>
      <w:r w:rsidR="00B225CF" w:rsidRPr="00BE3071">
        <w:rPr>
          <w:szCs w:val="22"/>
        </w:rPr>
        <w:fldChar w:fldCharType="end"/>
      </w:r>
      <w:r w:rsidRPr="00C05F22">
        <w:rPr>
          <w:szCs w:val="22"/>
        </w:rPr>
        <w:t>).</w:t>
      </w:r>
      <w:r w:rsidR="00B225CF" w:rsidRPr="00C05F22">
        <w:rPr>
          <w:szCs w:val="22"/>
        </w:rPr>
        <w:t xml:space="preserve"> However, t</w:t>
      </w:r>
      <w:r w:rsidRPr="00C05F22">
        <w:rPr>
          <w:szCs w:val="22"/>
        </w:rPr>
        <w:t>here have been some variations in this trend, including for I</w:t>
      </w:r>
      <w:r w:rsidR="00B225CF" w:rsidRPr="00C05F22">
        <w:rPr>
          <w:szCs w:val="22"/>
        </w:rPr>
        <w:t>ndigenous women</w:t>
      </w:r>
      <w:r w:rsidR="0006071B" w:rsidRPr="00C05F22">
        <w:rPr>
          <w:szCs w:val="22"/>
        </w:rPr>
        <w:t xml:space="preserve"> (</w:t>
      </w:r>
      <w:r w:rsidR="00B225CF" w:rsidRPr="00C05F22">
        <w:rPr>
          <w:szCs w:val="22"/>
        </w:rPr>
        <w:fldChar w:fldCharType="begin"/>
      </w:r>
      <w:r w:rsidR="00B225CF" w:rsidRPr="00C05F22">
        <w:rPr>
          <w:szCs w:val="22"/>
        </w:rPr>
        <w:instrText xml:space="preserve"> REF _Ref117930577 \h </w:instrText>
      </w:r>
      <w:r w:rsidR="00C05F22">
        <w:rPr>
          <w:szCs w:val="22"/>
        </w:rPr>
        <w:instrText xml:space="preserve"> \* MERGEFORMAT </w:instrText>
      </w:r>
      <w:r w:rsidR="00B225CF" w:rsidRPr="00C05F22">
        <w:rPr>
          <w:szCs w:val="22"/>
        </w:rPr>
      </w:r>
      <w:r w:rsidR="00B225CF" w:rsidRPr="00C05F22">
        <w:rPr>
          <w:szCs w:val="22"/>
        </w:rPr>
        <w:fldChar w:fldCharType="separate"/>
      </w:r>
      <w:r w:rsidR="00296988" w:rsidRPr="00296988">
        <w:rPr>
          <w:szCs w:val="22"/>
        </w:rPr>
        <w:t>Figure 22</w:t>
      </w:r>
      <w:r w:rsidR="00B225CF" w:rsidRPr="00C05F22">
        <w:rPr>
          <w:szCs w:val="22"/>
        </w:rPr>
        <w:fldChar w:fldCharType="end"/>
      </w:r>
      <w:r w:rsidR="00B225CF" w:rsidRPr="00C05F22">
        <w:rPr>
          <w:szCs w:val="22"/>
        </w:rPr>
        <w:t>) and women living in regional or remote areas.</w:t>
      </w:r>
    </w:p>
    <w:p w14:paraId="60BFDDEB" w14:textId="5CDC7D68" w:rsidR="00BE465C" w:rsidRPr="00C05F22" w:rsidRDefault="00BE465C" w:rsidP="00BE465C">
      <w:pPr>
        <w:pStyle w:val="Caption"/>
        <w:rPr>
          <w:sz w:val="20"/>
          <w:szCs w:val="20"/>
        </w:rPr>
      </w:pPr>
      <w:bookmarkStart w:id="340" w:name="_Ref117930577"/>
      <w:bookmarkStart w:id="341" w:name="_Toc121415188"/>
      <w:r w:rsidRPr="00C05F22">
        <w:rPr>
          <w:sz w:val="20"/>
          <w:szCs w:val="20"/>
        </w:rPr>
        <w:lastRenderedPageBreak/>
        <w:t xml:space="preserve">Figure </w:t>
      </w:r>
      <w:r w:rsidR="00A64FC5" w:rsidRPr="00C05F22">
        <w:rPr>
          <w:sz w:val="20"/>
          <w:szCs w:val="20"/>
        </w:rPr>
        <w:fldChar w:fldCharType="begin"/>
      </w:r>
      <w:r w:rsidR="00A64FC5" w:rsidRPr="00C05F22">
        <w:rPr>
          <w:sz w:val="20"/>
          <w:szCs w:val="20"/>
        </w:rPr>
        <w:instrText xml:space="preserve"> SEQ Figure \* ARABIC </w:instrText>
      </w:r>
      <w:r w:rsidR="00A64FC5" w:rsidRPr="00C05F22">
        <w:rPr>
          <w:sz w:val="20"/>
          <w:szCs w:val="20"/>
        </w:rPr>
        <w:fldChar w:fldCharType="separate"/>
      </w:r>
      <w:r w:rsidR="00296988">
        <w:rPr>
          <w:noProof/>
          <w:sz w:val="20"/>
          <w:szCs w:val="20"/>
        </w:rPr>
        <w:t>22</w:t>
      </w:r>
      <w:r w:rsidR="00A64FC5" w:rsidRPr="00C05F22">
        <w:rPr>
          <w:noProof/>
          <w:sz w:val="20"/>
          <w:szCs w:val="20"/>
        </w:rPr>
        <w:fldChar w:fldCharType="end"/>
      </w:r>
      <w:bookmarkEnd w:id="340"/>
      <w:r w:rsidRPr="00C05F22">
        <w:rPr>
          <w:sz w:val="20"/>
          <w:szCs w:val="20"/>
        </w:rPr>
        <w:tab/>
        <w:t>Third and fourth degree tears</w:t>
      </w:r>
      <w:r w:rsidR="00C05F22">
        <w:rPr>
          <w:sz w:val="20"/>
          <w:szCs w:val="20"/>
        </w:rPr>
        <w:t>,</w:t>
      </w:r>
      <w:r w:rsidRPr="00C05F22">
        <w:rPr>
          <w:sz w:val="20"/>
          <w:szCs w:val="20"/>
        </w:rPr>
        <w:t xml:space="preserve"> </w:t>
      </w:r>
      <w:r w:rsidR="007100DB">
        <w:rPr>
          <w:sz w:val="20"/>
          <w:szCs w:val="20"/>
        </w:rPr>
        <w:t xml:space="preserve">women having their first baby, </w:t>
      </w:r>
      <w:r w:rsidRPr="00C05F22">
        <w:rPr>
          <w:sz w:val="20"/>
          <w:szCs w:val="20"/>
        </w:rPr>
        <w:t xml:space="preserve">vaginal births (PI13a), by mother's </w:t>
      </w:r>
      <w:r w:rsidR="00FB0C38" w:rsidRPr="00C05F22">
        <w:rPr>
          <w:sz w:val="20"/>
          <w:szCs w:val="20"/>
        </w:rPr>
        <w:t>Indig</w:t>
      </w:r>
      <w:r w:rsidRPr="00C05F22">
        <w:rPr>
          <w:sz w:val="20"/>
          <w:szCs w:val="20"/>
        </w:rPr>
        <w:t>enous status, 201</w:t>
      </w:r>
      <w:r w:rsidR="00685E96" w:rsidRPr="00C05F22">
        <w:rPr>
          <w:sz w:val="20"/>
          <w:szCs w:val="20"/>
        </w:rPr>
        <w:t>3</w:t>
      </w:r>
      <w:r w:rsidRPr="00C05F22">
        <w:rPr>
          <w:sz w:val="20"/>
          <w:szCs w:val="20"/>
        </w:rPr>
        <w:t>–2019</w:t>
      </w:r>
      <w:bookmarkEnd w:id="341"/>
    </w:p>
    <w:p w14:paraId="3BB162FA" w14:textId="1E13D4C4" w:rsidR="00BE465C" w:rsidRPr="00092F2C" w:rsidRDefault="00685E96" w:rsidP="00BE465C">
      <w:r>
        <w:rPr>
          <w:noProof/>
        </w:rPr>
        <w:drawing>
          <wp:inline distT="0" distB="0" distL="0" distR="0" wp14:anchorId="395C23F6" wp14:editId="7CBA53B2">
            <wp:extent cx="5953125" cy="1838325"/>
            <wp:effectExtent l="0" t="0" r="9525" b="9525"/>
            <wp:docPr id="45" name="Chart 45" descr="The proportion of women who gave birth for the first time vaginally and who had a third- or fourth-degree vaginal tear, years 2013 to 2019, by Indigenous status. ">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1538698" w14:textId="77777777" w:rsidR="00924850" w:rsidRPr="00165760" w:rsidRDefault="00924850" w:rsidP="00924850">
      <w:pPr>
        <w:rPr>
          <w:sz w:val="18"/>
          <w:szCs w:val="18"/>
        </w:rPr>
      </w:pPr>
      <w:r w:rsidRPr="00E134EA">
        <w:rPr>
          <w:rFonts w:cstheme="minorHAnsi"/>
          <w:sz w:val="18"/>
          <w:szCs w:val="18"/>
        </w:rPr>
        <w:t xml:space="preserve">Source: </w:t>
      </w:r>
      <w:r w:rsidRPr="00E134EA">
        <w:rPr>
          <w:rFonts w:cstheme="minorHAnsi"/>
          <w:color w:val="000000"/>
          <w:sz w:val="18"/>
          <w:szCs w:val="18"/>
        </w:rPr>
        <w:t>AIHW analysis of National Perinatal Data Collection. Australian Institute of Health and Welfare 2021. National Core Maternity Indicators. Cat no. PER 95. Canberra: AIHW</w:t>
      </w:r>
    </w:p>
    <w:p w14:paraId="4C22DB1C" w14:textId="58A4DECC" w:rsidR="00BE465C" w:rsidRDefault="00BE465C" w:rsidP="00BE465C"/>
    <w:p w14:paraId="5FA098EF" w14:textId="2F5BDEA0" w:rsidR="00BE465C" w:rsidRPr="00C05F22" w:rsidRDefault="005E75A8" w:rsidP="00C05F22">
      <w:pPr>
        <w:pStyle w:val="Bullets"/>
        <w:numPr>
          <w:ilvl w:val="0"/>
          <w:numId w:val="0"/>
        </w:numPr>
        <w:rPr>
          <w:szCs w:val="22"/>
        </w:rPr>
      </w:pPr>
      <w:r w:rsidRPr="00C05F22">
        <w:rPr>
          <w:szCs w:val="22"/>
        </w:rPr>
        <w:t>The p</w:t>
      </w:r>
      <w:r w:rsidR="00BE465C" w:rsidRPr="00C05F22">
        <w:rPr>
          <w:szCs w:val="22"/>
        </w:rPr>
        <w:t xml:space="preserve">roportion of </w:t>
      </w:r>
      <w:r w:rsidR="0006071B" w:rsidRPr="00C05F22">
        <w:rPr>
          <w:szCs w:val="22"/>
        </w:rPr>
        <w:t xml:space="preserve">all </w:t>
      </w:r>
      <w:r w:rsidR="00BE465C" w:rsidRPr="00C05F22">
        <w:rPr>
          <w:szCs w:val="22"/>
        </w:rPr>
        <w:t xml:space="preserve">women who gave birth vaginally </w:t>
      </w:r>
      <w:r w:rsidR="00BE3071" w:rsidRPr="00C05F22">
        <w:rPr>
          <w:szCs w:val="22"/>
        </w:rPr>
        <w:t>and who</w:t>
      </w:r>
      <w:r w:rsidR="00BE465C" w:rsidRPr="00C05F22">
        <w:rPr>
          <w:szCs w:val="22"/>
        </w:rPr>
        <w:t xml:space="preserve"> had a third- </w:t>
      </w:r>
      <w:r w:rsidRPr="00C05F22">
        <w:rPr>
          <w:szCs w:val="22"/>
        </w:rPr>
        <w:t>or</w:t>
      </w:r>
      <w:r w:rsidR="00BE465C" w:rsidRPr="00C05F22">
        <w:rPr>
          <w:szCs w:val="22"/>
        </w:rPr>
        <w:t xml:space="preserve"> fourth-degree vaginal tear decreased fractionally from </w:t>
      </w:r>
      <w:r w:rsidR="00691BE7">
        <w:rPr>
          <w:szCs w:val="22"/>
        </w:rPr>
        <w:t xml:space="preserve">3.2% in </w:t>
      </w:r>
      <w:r w:rsidR="00BE465C" w:rsidRPr="00C05F22">
        <w:rPr>
          <w:szCs w:val="22"/>
        </w:rPr>
        <w:t>2015 to 2.9% in 2017 remaining stable for the remainder of the period</w:t>
      </w:r>
      <w:r w:rsidR="004E1FE9" w:rsidRPr="00C05F22">
        <w:rPr>
          <w:szCs w:val="22"/>
        </w:rPr>
        <w:t xml:space="preserve">. </w:t>
      </w:r>
      <w:r w:rsidR="0006071B" w:rsidRPr="00C05F22">
        <w:rPr>
          <w:szCs w:val="22"/>
        </w:rPr>
        <w:t>Additional findings against this indicator are pre</w:t>
      </w:r>
      <w:r w:rsidR="004E1FE9" w:rsidRPr="00C05F22">
        <w:rPr>
          <w:szCs w:val="22"/>
        </w:rPr>
        <w:t xml:space="preserve">sented in </w:t>
      </w:r>
      <w:r w:rsidR="004E1FE9" w:rsidRPr="004E1FE9">
        <w:rPr>
          <w:szCs w:val="22"/>
        </w:rPr>
        <w:fldChar w:fldCharType="begin"/>
      </w:r>
      <w:r w:rsidR="004E1FE9" w:rsidRPr="004E1FE9">
        <w:rPr>
          <w:szCs w:val="22"/>
        </w:rPr>
        <w:instrText xml:space="preserve"> REF _Ref117931106 \h </w:instrText>
      </w:r>
      <w:r w:rsidR="00C05F22">
        <w:rPr>
          <w:szCs w:val="22"/>
        </w:rPr>
        <w:instrText xml:space="preserve"> \* MERGEFORMAT </w:instrText>
      </w:r>
      <w:r w:rsidR="004E1FE9" w:rsidRPr="004E1FE9">
        <w:rPr>
          <w:szCs w:val="22"/>
        </w:rPr>
      </w:r>
      <w:r w:rsidR="004E1FE9" w:rsidRPr="004E1FE9">
        <w:rPr>
          <w:szCs w:val="22"/>
        </w:rPr>
        <w:fldChar w:fldCharType="separate"/>
      </w:r>
      <w:r w:rsidR="00296988" w:rsidRPr="00296988">
        <w:rPr>
          <w:szCs w:val="22"/>
        </w:rPr>
        <w:t>Table 32</w:t>
      </w:r>
      <w:r w:rsidR="004E1FE9" w:rsidRPr="004E1FE9">
        <w:rPr>
          <w:szCs w:val="22"/>
        </w:rPr>
        <w:fldChar w:fldCharType="end"/>
      </w:r>
      <w:r w:rsidR="004E1FE9" w:rsidRPr="004E1FE9">
        <w:rPr>
          <w:szCs w:val="22"/>
        </w:rPr>
        <w:t>.</w:t>
      </w:r>
    </w:p>
    <w:p w14:paraId="10E55E0E" w14:textId="77777777" w:rsidR="00BE465C" w:rsidRDefault="00BE465C" w:rsidP="00BE465C">
      <w:pPr>
        <w:pStyle w:val="Heading2"/>
      </w:pPr>
      <w:bookmarkStart w:id="342" w:name="_Toc117524418"/>
      <w:bookmarkStart w:id="343" w:name="_Toc121415074"/>
      <w:r>
        <w:t>Length of postnatal hospital stay</w:t>
      </w:r>
      <w:bookmarkEnd w:id="342"/>
      <w:bookmarkEnd w:id="343"/>
    </w:p>
    <w:p w14:paraId="0CF98FE2" w14:textId="797AA379" w:rsidR="00BE465C" w:rsidRDefault="00BE465C" w:rsidP="00E55384">
      <w:pPr>
        <w:pStyle w:val="Bullets"/>
        <w:numPr>
          <w:ilvl w:val="0"/>
          <w:numId w:val="0"/>
        </w:numPr>
      </w:pPr>
      <w:r w:rsidRPr="00106822">
        <w:rPr>
          <w:szCs w:val="22"/>
        </w:rPr>
        <w:t xml:space="preserve">Data </w:t>
      </w:r>
      <w:r>
        <w:rPr>
          <w:szCs w:val="22"/>
        </w:rPr>
        <w:t xml:space="preserve">on the </w:t>
      </w:r>
      <w:r w:rsidRPr="008D367B">
        <w:rPr>
          <w:szCs w:val="22"/>
        </w:rPr>
        <w:t xml:space="preserve">length of postnatal </w:t>
      </w:r>
      <w:r w:rsidR="003177BF">
        <w:rPr>
          <w:szCs w:val="22"/>
        </w:rPr>
        <w:t xml:space="preserve">hospital </w:t>
      </w:r>
      <w:r w:rsidRPr="008D367B">
        <w:rPr>
          <w:szCs w:val="22"/>
        </w:rPr>
        <w:t xml:space="preserve">stay is limited to the national trend from </w:t>
      </w:r>
      <w:r w:rsidRPr="00E44DDA">
        <w:rPr>
          <w:szCs w:val="22"/>
        </w:rPr>
        <w:t xml:space="preserve">2010 to </w:t>
      </w:r>
      <w:r w:rsidR="008D367B" w:rsidRPr="00E44DDA">
        <w:rPr>
          <w:szCs w:val="22"/>
        </w:rPr>
        <w:t>2019</w:t>
      </w:r>
      <w:r w:rsidRPr="00E44DDA">
        <w:rPr>
          <w:szCs w:val="22"/>
        </w:rPr>
        <w:t>.</w:t>
      </w:r>
      <w:r w:rsidRPr="00106822">
        <w:rPr>
          <w:szCs w:val="22"/>
        </w:rPr>
        <w:t xml:space="preserve"> </w:t>
      </w:r>
      <w:r>
        <w:rPr>
          <w:szCs w:val="22"/>
        </w:rPr>
        <w:t>There has been a decrease in the length of stay over tim</w:t>
      </w:r>
      <w:r w:rsidRPr="00301900">
        <w:rPr>
          <w:szCs w:val="22"/>
        </w:rPr>
        <w:t>e</w:t>
      </w:r>
      <w:r w:rsidRPr="00E44DDA">
        <w:rPr>
          <w:szCs w:val="22"/>
        </w:rPr>
        <w:t>.</w:t>
      </w:r>
      <w:r w:rsidRPr="00301900">
        <w:rPr>
          <w:szCs w:val="22"/>
        </w:rPr>
        <w:t xml:space="preserve"> In 2010, 16% of women had a postnatal stay of less than two days, two-thirds had a stay of two to four days and 17% had a stay of five or more days. In </w:t>
      </w:r>
      <w:r w:rsidR="00897263" w:rsidRPr="00E44DDA">
        <w:rPr>
          <w:szCs w:val="22"/>
        </w:rPr>
        <w:t>2019</w:t>
      </w:r>
      <w:r w:rsidRPr="00E44DDA">
        <w:rPr>
          <w:szCs w:val="22"/>
        </w:rPr>
        <w:t>,</w:t>
      </w:r>
      <w:r w:rsidRPr="00301900">
        <w:rPr>
          <w:szCs w:val="22"/>
        </w:rPr>
        <w:t xml:space="preserve"> 2</w:t>
      </w:r>
      <w:r w:rsidR="00301900" w:rsidRPr="00301900">
        <w:rPr>
          <w:szCs w:val="22"/>
        </w:rPr>
        <w:t>2</w:t>
      </w:r>
      <w:r w:rsidRPr="00106822">
        <w:rPr>
          <w:szCs w:val="22"/>
        </w:rPr>
        <w:t xml:space="preserve">% of women had a postnatal stay </w:t>
      </w:r>
      <w:r w:rsidR="00E85641">
        <w:rPr>
          <w:szCs w:val="22"/>
        </w:rPr>
        <w:t>of</w:t>
      </w:r>
      <w:r w:rsidR="00E85641" w:rsidRPr="00106822">
        <w:rPr>
          <w:szCs w:val="22"/>
        </w:rPr>
        <w:t xml:space="preserve"> </w:t>
      </w:r>
      <w:r w:rsidRPr="00106822">
        <w:rPr>
          <w:szCs w:val="22"/>
        </w:rPr>
        <w:t>less than two days,</w:t>
      </w:r>
      <w:r w:rsidR="00343C57">
        <w:rPr>
          <w:szCs w:val="22"/>
        </w:rPr>
        <w:t xml:space="preserve"> </w:t>
      </w:r>
      <w:r w:rsidR="008A78A6">
        <w:rPr>
          <w:szCs w:val="22"/>
        </w:rPr>
        <w:t xml:space="preserve">two-thirds </w:t>
      </w:r>
      <w:r w:rsidR="00E85641">
        <w:rPr>
          <w:szCs w:val="22"/>
        </w:rPr>
        <w:t>had a stay of</w:t>
      </w:r>
      <w:r w:rsidRPr="00106822">
        <w:rPr>
          <w:szCs w:val="22"/>
        </w:rPr>
        <w:t xml:space="preserve"> two </w:t>
      </w:r>
      <w:r w:rsidR="00E85641">
        <w:rPr>
          <w:szCs w:val="22"/>
        </w:rPr>
        <w:t>to</w:t>
      </w:r>
      <w:r w:rsidR="00E85641" w:rsidRPr="00106822">
        <w:rPr>
          <w:szCs w:val="22"/>
        </w:rPr>
        <w:t xml:space="preserve"> </w:t>
      </w:r>
      <w:r w:rsidRPr="00106822">
        <w:rPr>
          <w:szCs w:val="22"/>
        </w:rPr>
        <w:t xml:space="preserve">four days and </w:t>
      </w:r>
      <w:r w:rsidR="00301900" w:rsidRPr="00106822">
        <w:rPr>
          <w:szCs w:val="22"/>
        </w:rPr>
        <w:t>1</w:t>
      </w:r>
      <w:r w:rsidR="00301900">
        <w:rPr>
          <w:szCs w:val="22"/>
        </w:rPr>
        <w:t>3</w:t>
      </w:r>
      <w:r w:rsidRPr="00106822">
        <w:rPr>
          <w:szCs w:val="22"/>
        </w:rPr>
        <w:t xml:space="preserve">% had a stay of five </w:t>
      </w:r>
      <w:r w:rsidRPr="004E1FE9">
        <w:rPr>
          <w:szCs w:val="22"/>
        </w:rPr>
        <w:t>days or more (</w:t>
      </w:r>
      <w:r w:rsidRPr="004E1FE9">
        <w:rPr>
          <w:szCs w:val="22"/>
        </w:rPr>
        <w:fldChar w:fldCharType="begin"/>
      </w:r>
      <w:r w:rsidRPr="004E1FE9">
        <w:rPr>
          <w:szCs w:val="22"/>
        </w:rPr>
        <w:instrText xml:space="preserve"> REF _Ref117076879 \h  \* MERGEFORMAT </w:instrText>
      </w:r>
      <w:r w:rsidRPr="004E1FE9">
        <w:rPr>
          <w:szCs w:val="22"/>
        </w:rPr>
      </w:r>
      <w:r w:rsidRPr="004E1FE9">
        <w:rPr>
          <w:szCs w:val="22"/>
        </w:rPr>
        <w:fldChar w:fldCharType="separate"/>
      </w:r>
      <w:r w:rsidR="00296988" w:rsidRPr="00296988">
        <w:rPr>
          <w:szCs w:val="22"/>
        </w:rPr>
        <w:t xml:space="preserve">Figure </w:t>
      </w:r>
      <w:r w:rsidR="00296988" w:rsidRPr="00296988">
        <w:rPr>
          <w:noProof/>
          <w:szCs w:val="22"/>
        </w:rPr>
        <w:t>23</w:t>
      </w:r>
      <w:r w:rsidRPr="004E1FE9">
        <w:rPr>
          <w:szCs w:val="22"/>
        </w:rPr>
        <w:fldChar w:fldCharType="end"/>
      </w:r>
      <w:r w:rsidRPr="004E1FE9">
        <w:rPr>
          <w:szCs w:val="22"/>
        </w:rPr>
        <w:t>).</w:t>
      </w:r>
    </w:p>
    <w:p w14:paraId="5D117A9C" w14:textId="6BAE2843" w:rsidR="00BE465C" w:rsidRPr="00C05F22" w:rsidRDefault="00BE465C" w:rsidP="00BE465C">
      <w:pPr>
        <w:pStyle w:val="Caption"/>
        <w:rPr>
          <w:sz w:val="20"/>
          <w:szCs w:val="20"/>
        </w:rPr>
      </w:pPr>
      <w:bookmarkStart w:id="344" w:name="_Ref117076879"/>
      <w:bookmarkStart w:id="345" w:name="_Toc121415189"/>
      <w:r w:rsidRPr="00C05F22">
        <w:rPr>
          <w:sz w:val="20"/>
          <w:szCs w:val="20"/>
        </w:rPr>
        <w:t xml:space="preserve">Figure </w:t>
      </w:r>
      <w:r w:rsidR="006B1CF4" w:rsidRPr="00C05F22">
        <w:rPr>
          <w:sz w:val="20"/>
          <w:szCs w:val="20"/>
        </w:rPr>
        <w:fldChar w:fldCharType="begin"/>
      </w:r>
      <w:r w:rsidR="006B1CF4" w:rsidRPr="00C05F22">
        <w:rPr>
          <w:sz w:val="20"/>
          <w:szCs w:val="20"/>
        </w:rPr>
        <w:instrText xml:space="preserve"> SEQ Figure \* ARABIC </w:instrText>
      </w:r>
      <w:r w:rsidR="006B1CF4" w:rsidRPr="00C05F22">
        <w:rPr>
          <w:sz w:val="20"/>
          <w:szCs w:val="20"/>
        </w:rPr>
        <w:fldChar w:fldCharType="separate"/>
      </w:r>
      <w:r w:rsidR="00296988">
        <w:rPr>
          <w:noProof/>
          <w:sz w:val="20"/>
          <w:szCs w:val="20"/>
        </w:rPr>
        <w:t>23</w:t>
      </w:r>
      <w:r w:rsidR="006B1CF4" w:rsidRPr="00C05F22">
        <w:rPr>
          <w:sz w:val="20"/>
          <w:szCs w:val="20"/>
        </w:rPr>
        <w:fldChar w:fldCharType="end"/>
      </w:r>
      <w:bookmarkEnd w:id="344"/>
      <w:r w:rsidRPr="00C05F22">
        <w:rPr>
          <w:sz w:val="20"/>
          <w:szCs w:val="20"/>
        </w:rPr>
        <w:tab/>
        <w:t xml:space="preserve">Length of postnatal stays, </w:t>
      </w:r>
      <w:r w:rsidR="00C05F22">
        <w:rPr>
          <w:sz w:val="20"/>
          <w:szCs w:val="20"/>
        </w:rPr>
        <w:t>2010</w:t>
      </w:r>
      <w:r w:rsidRPr="00C05F22">
        <w:rPr>
          <w:sz w:val="20"/>
          <w:szCs w:val="20"/>
        </w:rPr>
        <w:t>–</w:t>
      </w:r>
      <w:r w:rsidR="00731363" w:rsidRPr="00C05F22">
        <w:rPr>
          <w:sz w:val="20"/>
          <w:szCs w:val="20"/>
        </w:rPr>
        <w:t>2019</w:t>
      </w:r>
      <w:bookmarkEnd w:id="345"/>
    </w:p>
    <w:p w14:paraId="0996D9F2" w14:textId="18790493" w:rsidR="00751711" w:rsidRDefault="00731363" w:rsidP="00BE465C">
      <w:pPr>
        <w:rPr>
          <w:sz w:val="18"/>
          <w:szCs w:val="18"/>
          <w:highlight w:val="yellow"/>
        </w:rPr>
      </w:pPr>
      <w:r>
        <w:rPr>
          <w:noProof/>
        </w:rPr>
        <w:drawing>
          <wp:inline distT="0" distB="0" distL="0" distR="0" wp14:anchorId="75B1347F" wp14:editId="7A1F1B86">
            <wp:extent cx="5860800" cy="1980000"/>
            <wp:effectExtent l="0" t="0" r="6985" b="1270"/>
            <wp:docPr id="47" name="Chart 47" descr="Length of postnatal hospital stay, shown for years 2010 - 2019 as 'less than 2 days'; '2-4 days'; and '5 or more days'. There has been a decrease in the length of stay over time.">
              <a:extLst xmlns:a="http://schemas.openxmlformats.org/drawingml/2006/main">
                <a:ext uri="{FF2B5EF4-FFF2-40B4-BE49-F238E27FC236}">
                  <a16:creationId xmlns:a16="http://schemas.microsoft.com/office/drawing/2014/main" id="{9DCE00B8-B877-BDE4-DF14-3ADAFC12B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299A4A4" w14:textId="5611F2A7" w:rsidR="00BE465C" w:rsidRPr="00E8746E" w:rsidRDefault="00BE465C" w:rsidP="00BE465C">
      <w:r w:rsidRPr="00751711">
        <w:rPr>
          <w:sz w:val="18"/>
          <w:szCs w:val="18"/>
        </w:rPr>
        <w:t>Source: AIHW analysis of National Perinatal Data Collection.</w:t>
      </w:r>
      <w:r w:rsidR="00751711" w:rsidRPr="00751711">
        <w:rPr>
          <w:sz w:val="18"/>
          <w:szCs w:val="18"/>
        </w:rPr>
        <w:t xml:space="preserve"> National Perinatal Data Collection annual update 2020—data tables</w:t>
      </w:r>
    </w:p>
    <w:p w14:paraId="531891F8" w14:textId="77777777" w:rsidR="00BE465C" w:rsidRPr="00911D2F" w:rsidRDefault="00BE465C" w:rsidP="00717E2E"/>
    <w:p w14:paraId="42247E8C" w14:textId="77777777" w:rsidR="00AF0ADF" w:rsidRDefault="00AF0ADF" w:rsidP="00AF0ADF">
      <w:pPr>
        <w:pStyle w:val="Heading2"/>
      </w:pPr>
      <w:bookmarkStart w:id="346" w:name="_Toc117524420"/>
      <w:bookmarkStart w:id="347" w:name="_Toc121415075"/>
      <w:r w:rsidRPr="009F57FB">
        <w:t>Perinatal, stillbirth and neonatal death</w:t>
      </w:r>
      <w:r>
        <w:t>s</w:t>
      </w:r>
      <w:bookmarkEnd w:id="346"/>
      <w:bookmarkEnd w:id="347"/>
      <w:r w:rsidRPr="009F57FB">
        <w:t xml:space="preserve"> </w:t>
      </w:r>
    </w:p>
    <w:p w14:paraId="0D17A50B" w14:textId="74A0C153" w:rsidR="00AF0ADF" w:rsidRDefault="00AF0ADF" w:rsidP="00AF0ADF">
      <w:pPr>
        <w:pStyle w:val="Bullets"/>
        <w:numPr>
          <w:ilvl w:val="0"/>
          <w:numId w:val="0"/>
        </w:numPr>
        <w:rPr>
          <w:szCs w:val="22"/>
          <w:shd w:val="clear" w:color="auto" w:fill="FCFCFC"/>
        </w:rPr>
      </w:pPr>
      <w:bookmarkStart w:id="348" w:name="_Hlk133249455"/>
      <w:r w:rsidRPr="00E8746E">
        <w:rPr>
          <w:szCs w:val="22"/>
        </w:rPr>
        <w:t xml:space="preserve">National trend data on perinatal, stillbirth and neonatal death rates </w:t>
      </w:r>
      <w:r>
        <w:rPr>
          <w:szCs w:val="22"/>
        </w:rPr>
        <w:t>are</w:t>
      </w:r>
      <w:r w:rsidRPr="00E8746E">
        <w:rPr>
          <w:szCs w:val="22"/>
        </w:rPr>
        <w:t xml:space="preserve"> presented for 2000 to 2019</w:t>
      </w:r>
      <w:bookmarkEnd w:id="348"/>
      <w:r w:rsidRPr="00E8746E">
        <w:rPr>
          <w:szCs w:val="22"/>
        </w:rPr>
        <w:t>.</w:t>
      </w:r>
      <w:r>
        <w:rPr>
          <w:szCs w:val="22"/>
        </w:rPr>
        <w:t xml:space="preserve"> </w:t>
      </w:r>
      <w:r w:rsidRPr="00C60FD5">
        <w:rPr>
          <w:szCs w:val="22"/>
          <w:shd w:val="clear" w:color="auto" w:fill="FCFCFC"/>
        </w:rPr>
        <w:t xml:space="preserve">Additional data was available for 2019 and are shown in </w:t>
      </w:r>
      <w:r w:rsidRPr="00C60FD5">
        <w:rPr>
          <w:szCs w:val="22"/>
          <w:shd w:val="clear" w:color="auto" w:fill="FCFCFC"/>
        </w:rPr>
        <w:fldChar w:fldCharType="begin"/>
      </w:r>
      <w:r w:rsidRPr="00C60FD5">
        <w:rPr>
          <w:szCs w:val="22"/>
          <w:shd w:val="clear" w:color="auto" w:fill="FCFCFC"/>
        </w:rPr>
        <w:instrText xml:space="preserve"> REF _Ref117116851 \h  \* MERGEFORMAT </w:instrText>
      </w:r>
      <w:r w:rsidRPr="00C60FD5">
        <w:rPr>
          <w:szCs w:val="22"/>
          <w:shd w:val="clear" w:color="auto" w:fill="FCFCFC"/>
        </w:rPr>
      </w:r>
      <w:r w:rsidRPr="00C60FD5">
        <w:rPr>
          <w:szCs w:val="22"/>
          <w:shd w:val="clear" w:color="auto" w:fill="FCFCFC"/>
        </w:rPr>
        <w:fldChar w:fldCharType="separate"/>
      </w:r>
      <w:r w:rsidR="00296988" w:rsidRPr="00296988">
        <w:rPr>
          <w:szCs w:val="22"/>
        </w:rPr>
        <w:t xml:space="preserve">Table </w:t>
      </w:r>
      <w:r w:rsidR="00296988" w:rsidRPr="00296988">
        <w:rPr>
          <w:noProof/>
          <w:szCs w:val="22"/>
        </w:rPr>
        <w:t>33</w:t>
      </w:r>
      <w:r w:rsidRPr="00C60FD5">
        <w:rPr>
          <w:szCs w:val="22"/>
          <w:shd w:val="clear" w:color="auto" w:fill="FCFCFC"/>
        </w:rPr>
        <w:fldChar w:fldCharType="end"/>
      </w:r>
      <w:r w:rsidRPr="00C60FD5">
        <w:rPr>
          <w:szCs w:val="22"/>
          <w:shd w:val="clear" w:color="auto" w:fill="FCFCFC"/>
        </w:rPr>
        <w:t>.</w:t>
      </w:r>
    </w:p>
    <w:p w14:paraId="5F2344DA" w14:textId="3FA6D751" w:rsidR="00AF0ADF" w:rsidRPr="007667EF" w:rsidRDefault="00AF0ADF" w:rsidP="007667EF">
      <w:pPr>
        <w:pStyle w:val="Bullets"/>
        <w:ind w:left="357" w:hanging="357"/>
        <w:rPr>
          <w:szCs w:val="22"/>
        </w:rPr>
      </w:pPr>
      <w:r>
        <w:rPr>
          <w:szCs w:val="22"/>
        </w:rPr>
        <w:t>Between 2000 and 2019</w:t>
      </w:r>
      <w:r w:rsidRPr="00E8746E">
        <w:rPr>
          <w:szCs w:val="22"/>
        </w:rPr>
        <w:t xml:space="preserve">, the number of perinatal deaths per 1,000 </w:t>
      </w:r>
      <w:r>
        <w:rPr>
          <w:szCs w:val="22"/>
        </w:rPr>
        <w:t xml:space="preserve">total </w:t>
      </w:r>
      <w:r w:rsidRPr="00E8746E">
        <w:rPr>
          <w:szCs w:val="22"/>
        </w:rPr>
        <w:t xml:space="preserve">births has slightly decreased, from just over ten to just under ten. Stillbirths per 1,000 </w:t>
      </w:r>
      <w:r>
        <w:rPr>
          <w:szCs w:val="22"/>
        </w:rPr>
        <w:t xml:space="preserve">total </w:t>
      </w:r>
      <w:r w:rsidRPr="00E8746E">
        <w:rPr>
          <w:szCs w:val="22"/>
        </w:rPr>
        <w:t xml:space="preserve">births have fluctuated at around seven and neonatal deaths per 1,000 live births have </w:t>
      </w:r>
      <w:r>
        <w:rPr>
          <w:szCs w:val="22"/>
        </w:rPr>
        <w:t>decreased</w:t>
      </w:r>
      <w:r w:rsidRPr="00E8746E">
        <w:rPr>
          <w:szCs w:val="22"/>
        </w:rPr>
        <w:t xml:space="preserve"> from </w:t>
      </w:r>
      <w:r w:rsidR="00DB41FA">
        <w:rPr>
          <w:szCs w:val="22"/>
        </w:rPr>
        <w:t>around</w:t>
      </w:r>
      <w:r w:rsidRPr="00E8746E">
        <w:rPr>
          <w:szCs w:val="22"/>
        </w:rPr>
        <w:t xml:space="preserve"> three to just over two (</w:t>
      </w:r>
      <w:r w:rsidR="00E44DDA" w:rsidRPr="006C08F7">
        <w:rPr>
          <w:szCs w:val="22"/>
        </w:rPr>
        <w:fldChar w:fldCharType="begin"/>
      </w:r>
      <w:r w:rsidR="00E44DDA" w:rsidRPr="006C08F7">
        <w:rPr>
          <w:szCs w:val="22"/>
        </w:rPr>
        <w:instrText xml:space="preserve"> REF _Ref118297157 \h </w:instrText>
      </w:r>
      <w:r w:rsidR="006C08F7">
        <w:rPr>
          <w:szCs w:val="22"/>
        </w:rPr>
        <w:instrText xml:space="preserve"> \* MERGEFORMAT </w:instrText>
      </w:r>
      <w:r w:rsidR="00E44DDA" w:rsidRPr="006C08F7">
        <w:rPr>
          <w:szCs w:val="22"/>
        </w:rPr>
      </w:r>
      <w:r w:rsidR="00E44DDA" w:rsidRPr="006C08F7">
        <w:rPr>
          <w:szCs w:val="22"/>
        </w:rPr>
        <w:fldChar w:fldCharType="separate"/>
      </w:r>
      <w:r w:rsidR="00296988" w:rsidRPr="00296988">
        <w:rPr>
          <w:szCs w:val="22"/>
        </w:rPr>
        <w:t xml:space="preserve">Figure </w:t>
      </w:r>
      <w:r w:rsidR="00296988" w:rsidRPr="00296988">
        <w:rPr>
          <w:noProof/>
          <w:szCs w:val="22"/>
        </w:rPr>
        <w:t>24</w:t>
      </w:r>
      <w:r w:rsidR="00E44DDA" w:rsidRPr="006C08F7">
        <w:rPr>
          <w:szCs w:val="22"/>
        </w:rPr>
        <w:fldChar w:fldCharType="end"/>
      </w:r>
      <w:r w:rsidRPr="007667EF">
        <w:rPr>
          <w:szCs w:val="22"/>
        </w:rPr>
        <w:t>).</w:t>
      </w:r>
    </w:p>
    <w:p w14:paraId="623A1A31" w14:textId="58C434CC" w:rsidR="007667EF" w:rsidRPr="00C60FD5" w:rsidRDefault="007667EF" w:rsidP="007667EF">
      <w:pPr>
        <w:pStyle w:val="Bullets"/>
        <w:ind w:left="357" w:hanging="357"/>
        <w:rPr>
          <w:szCs w:val="22"/>
          <w:shd w:val="clear" w:color="auto" w:fill="FCFCFC"/>
        </w:rPr>
      </w:pPr>
      <w:bookmarkStart w:id="349" w:name="_Ref117116906"/>
      <w:r w:rsidRPr="00C60FD5">
        <w:rPr>
          <w:szCs w:val="22"/>
          <w:shd w:val="clear" w:color="auto" w:fill="FCFCFC"/>
        </w:rPr>
        <w:lastRenderedPageBreak/>
        <w:t xml:space="preserve">Perinatal death rates were higher among young </w:t>
      </w:r>
      <w:r w:rsidR="00C05F22">
        <w:rPr>
          <w:szCs w:val="22"/>
          <w:shd w:val="clear" w:color="auto" w:fill="FCFCFC"/>
        </w:rPr>
        <w:t>mothers</w:t>
      </w:r>
      <w:r w:rsidRPr="00C60FD5">
        <w:rPr>
          <w:szCs w:val="22"/>
          <w:shd w:val="clear" w:color="auto" w:fill="FCFCFC"/>
        </w:rPr>
        <w:t xml:space="preserve"> (</w:t>
      </w:r>
      <w:r w:rsidR="00C05F22">
        <w:rPr>
          <w:szCs w:val="22"/>
          <w:shd w:val="clear" w:color="auto" w:fill="FCFCFC"/>
        </w:rPr>
        <w:t>under</w:t>
      </w:r>
      <w:r w:rsidRPr="00C60FD5">
        <w:rPr>
          <w:szCs w:val="22"/>
          <w:shd w:val="clear" w:color="auto" w:fill="FCFCFC"/>
        </w:rPr>
        <w:t xml:space="preserve"> 20 years of age</w:t>
      </w:r>
      <w:r w:rsidR="00C05F22">
        <w:rPr>
          <w:szCs w:val="22"/>
          <w:shd w:val="clear" w:color="auto" w:fill="FCFCFC"/>
        </w:rPr>
        <w:t xml:space="preserve">, </w:t>
      </w:r>
      <w:r w:rsidRPr="00C60FD5">
        <w:rPr>
          <w:szCs w:val="22"/>
          <w:shd w:val="clear" w:color="auto" w:fill="FCFCFC"/>
        </w:rPr>
        <w:t>18</w:t>
      </w:r>
      <w:r>
        <w:rPr>
          <w:szCs w:val="22"/>
          <w:shd w:val="clear" w:color="auto" w:fill="FCFCFC"/>
        </w:rPr>
        <w:t>.4</w:t>
      </w:r>
      <w:r w:rsidRPr="00C60FD5">
        <w:rPr>
          <w:szCs w:val="22"/>
          <w:shd w:val="clear" w:color="auto" w:fill="FCFCFC"/>
        </w:rPr>
        <w:t xml:space="preserve"> per 1,000 total births</w:t>
      </w:r>
      <w:r w:rsidR="00C05F22">
        <w:rPr>
          <w:szCs w:val="22"/>
          <w:shd w:val="clear" w:color="auto" w:fill="FCFCFC"/>
        </w:rPr>
        <w:t>;</w:t>
      </w:r>
      <w:r w:rsidRPr="00C60FD5">
        <w:rPr>
          <w:szCs w:val="22"/>
          <w:shd w:val="clear" w:color="auto" w:fill="FCFCFC"/>
        </w:rPr>
        <w:t xml:space="preserve"> aged 20</w:t>
      </w:r>
      <w:r w:rsidR="00C05F22">
        <w:rPr>
          <w:szCs w:val="22"/>
          <w:shd w:val="clear" w:color="auto" w:fill="FCFCFC"/>
        </w:rPr>
        <w:t>-</w:t>
      </w:r>
      <w:r w:rsidRPr="00C60FD5">
        <w:rPr>
          <w:szCs w:val="22"/>
          <w:shd w:val="clear" w:color="auto" w:fill="FCFCFC"/>
        </w:rPr>
        <w:t>24 years</w:t>
      </w:r>
      <w:r w:rsidR="00C05F22">
        <w:rPr>
          <w:szCs w:val="22"/>
          <w:shd w:val="clear" w:color="auto" w:fill="FCFCFC"/>
        </w:rPr>
        <w:t xml:space="preserve">, </w:t>
      </w:r>
      <w:r w:rsidRPr="00C60FD5">
        <w:rPr>
          <w:szCs w:val="22"/>
          <w:shd w:val="clear" w:color="auto" w:fill="FCFCFC"/>
        </w:rPr>
        <w:t>11</w:t>
      </w:r>
      <w:r>
        <w:rPr>
          <w:szCs w:val="22"/>
          <w:shd w:val="clear" w:color="auto" w:fill="FCFCFC"/>
        </w:rPr>
        <w:t>.1</w:t>
      </w:r>
      <w:r w:rsidRPr="00C60FD5">
        <w:rPr>
          <w:szCs w:val="22"/>
          <w:shd w:val="clear" w:color="auto" w:fill="FCFCFC"/>
        </w:rPr>
        <w:t xml:space="preserve"> per 1,000 total births</w:t>
      </w:r>
      <w:r w:rsidR="00C05F22">
        <w:rPr>
          <w:szCs w:val="22"/>
          <w:shd w:val="clear" w:color="auto" w:fill="FCFCFC"/>
        </w:rPr>
        <w:t>)</w:t>
      </w:r>
      <w:r w:rsidRPr="00C60FD5">
        <w:rPr>
          <w:szCs w:val="22"/>
          <w:shd w:val="clear" w:color="auto" w:fill="FCFCFC"/>
        </w:rPr>
        <w:t xml:space="preserve">, and </w:t>
      </w:r>
      <w:r w:rsidR="00C05F22">
        <w:rPr>
          <w:szCs w:val="22"/>
          <w:shd w:val="clear" w:color="auto" w:fill="FCFCFC"/>
        </w:rPr>
        <w:t>older mothers (</w:t>
      </w:r>
      <w:r w:rsidRPr="00C60FD5">
        <w:rPr>
          <w:szCs w:val="22"/>
          <w:shd w:val="clear" w:color="auto" w:fill="FCFCFC"/>
        </w:rPr>
        <w:t>aged 40</w:t>
      </w:r>
      <w:r w:rsidR="00C05F22">
        <w:rPr>
          <w:szCs w:val="22"/>
          <w:shd w:val="clear" w:color="auto" w:fill="FCFCFC"/>
        </w:rPr>
        <w:t>+</w:t>
      </w:r>
      <w:r w:rsidRPr="00C60FD5">
        <w:rPr>
          <w:szCs w:val="22"/>
          <w:shd w:val="clear" w:color="auto" w:fill="FCFCFC"/>
        </w:rPr>
        <w:t xml:space="preserve"> years</w:t>
      </w:r>
      <w:r w:rsidR="00C05F22">
        <w:rPr>
          <w:szCs w:val="22"/>
          <w:shd w:val="clear" w:color="auto" w:fill="FCFCFC"/>
        </w:rPr>
        <w:t xml:space="preserve">, </w:t>
      </w:r>
      <w:r w:rsidRPr="00C60FD5">
        <w:rPr>
          <w:szCs w:val="22"/>
          <w:shd w:val="clear" w:color="auto" w:fill="FCFCFC"/>
        </w:rPr>
        <w:t>15</w:t>
      </w:r>
      <w:r>
        <w:rPr>
          <w:szCs w:val="22"/>
          <w:shd w:val="clear" w:color="auto" w:fill="FCFCFC"/>
        </w:rPr>
        <w:t>.1</w:t>
      </w:r>
      <w:r w:rsidRPr="00C60FD5">
        <w:rPr>
          <w:szCs w:val="22"/>
          <w:shd w:val="clear" w:color="auto" w:fill="FCFCFC"/>
        </w:rPr>
        <w:t xml:space="preserve"> per 1,000 total births</w:t>
      </w:r>
      <w:r w:rsidR="00C05F22">
        <w:rPr>
          <w:szCs w:val="22"/>
          <w:shd w:val="clear" w:color="auto" w:fill="FCFCFC"/>
        </w:rPr>
        <w:t>)</w:t>
      </w:r>
      <w:r w:rsidRPr="00C60FD5">
        <w:rPr>
          <w:szCs w:val="22"/>
          <w:shd w:val="clear" w:color="auto" w:fill="FCFCFC"/>
        </w:rPr>
        <w:t>.</w:t>
      </w:r>
    </w:p>
    <w:p w14:paraId="6A0BAC8E" w14:textId="7A2A551D" w:rsidR="007667EF" w:rsidRPr="00C60FD5" w:rsidRDefault="007667EF" w:rsidP="007667EF">
      <w:pPr>
        <w:pStyle w:val="Bullets"/>
        <w:ind w:left="357" w:hanging="357"/>
        <w:rPr>
          <w:szCs w:val="22"/>
          <w:shd w:val="clear" w:color="auto" w:fill="FCFCFC"/>
        </w:rPr>
      </w:pPr>
      <w:r w:rsidRPr="00C60FD5">
        <w:rPr>
          <w:szCs w:val="22"/>
          <w:shd w:val="clear" w:color="auto" w:fill="FCFCFC"/>
        </w:rPr>
        <w:t>Stillbirth and neonatal death rates were also higher among</w:t>
      </w:r>
      <w:r w:rsidR="00C05F22">
        <w:rPr>
          <w:szCs w:val="22"/>
          <w:shd w:val="clear" w:color="auto" w:fill="FCFCFC"/>
        </w:rPr>
        <w:t xml:space="preserve"> young and older mothers</w:t>
      </w:r>
      <w:r w:rsidR="008D3FB5">
        <w:rPr>
          <w:szCs w:val="22"/>
          <w:shd w:val="clear" w:color="auto" w:fill="FCFCFC"/>
        </w:rPr>
        <w:t>. For women</w:t>
      </w:r>
      <w:r w:rsidR="00C05F22">
        <w:rPr>
          <w:szCs w:val="22"/>
          <w:shd w:val="clear" w:color="auto" w:fill="FCFCFC"/>
        </w:rPr>
        <w:t xml:space="preserve"> under 20 years of age, 20-24 years</w:t>
      </w:r>
      <w:r w:rsidR="008D3FB5">
        <w:rPr>
          <w:szCs w:val="22"/>
          <w:shd w:val="clear" w:color="auto" w:fill="FCFCFC"/>
        </w:rPr>
        <w:t xml:space="preserve"> of age, and 40+ years of age, </w:t>
      </w:r>
      <w:r w:rsidR="00C05F22">
        <w:rPr>
          <w:szCs w:val="22"/>
          <w:shd w:val="clear" w:color="auto" w:fill="FCFCFC"/>
        </w:rPr>
        <w:t xml:space="preserve">stillbirth rates </w:t>
      </w:r>
      <w:r w:rsidR="008D3FB5">
        <w:rPr>
          <w:szCs w:val="22"/>
          <w:shd w:val="clear" w:color="auto" w:fill="FCFCFC"/>
        </w:rPr>
        <w:t xml:space="preserve">were </w:t>
      </w:r>
      <w:r>
        <w:rPr>
          <w:szCs w:val="22"/>
          <w:shd w:val="clear" w:color="auto" w:fill="FCFCFC"/>
        </w:rPr>
        <w:t>13.5</w:t>
      </w:r>
      <w:r w:rsidRPr="00C60FD5">
        <w:rPr>
          <w:szCs w:val="22"/>
          <w:shd w:val="clear" w:color="auto" w:fill="FCFCFC"/>
        </w:rPr>
        <w:t>, 8</w:t>
      </w:r>
      <w:r>
        <w:rPr>
          <w:szCs w:val="22"/>
          <w:shd w:val="clear" w:color="auto" w:fill="FCFCFC"/>
        </w:rPr>
        <w:t>.4</w:t>
      </w:r>
      <w:r w:rsidRPr="00C60FD5">
        <w:rPr>
          <w:szCs w:val="22"/>
          <w:shd w:val="clear" w:color="auto" w:fill="FCFCFC"/>
        </w:rPr>
        <w:t xml:space="preserve"> and 11</w:t>
      </w:r>
      <w:r>
        <w:rPr>
          <w:szCs w:val="22"/>
          <w:shd w:val="clear" w:color="auto" w:fill="FCFCFC"/>
        </w:rPr>
        <w:t>.4</w:t>
      </w:r>
      <w:r w:rsidRPr="00C60FD5">
        <w:rPr>
          <w:szCs w:val="22"/>
          <w:shd w:val="clear" w:color="auto" w:fill="FCFCFC"/>
        </w:rPr>
        <w:t xml:space="preserve"> deaths per 1</w:t>
      </w:r>
      <w:r w:rsidR="00C600C7">
        <w:rPr>
          <w:szCs w:val="22"/>
          <w:shd w:val="clear" w:color="auto" w:fill="FCFCFC"/>
        </w:rPr>
        <w:t>,</w:t>
      </w:r>
      <w:r w:rsidRPr="00C60FD5">
        <w:rPr>
          <w:szCs w:val="22"/>
          <w:shd w:val="clear" w:color="auto" w:fill="FCFCFC"/>
        </w:rPr>
        <w:t xml:space="preserve">000 births, </w:t>
      </w:r>
      <w:r w:rsidR="008D3FB5">
        <w:rPr>
          <w:szCs w:val="22"/>
          <w:shd w:val="clear" w:color="auto" w:fill="FCFCFC"/>
        </w:rPr>
        <w:t xml:space="preserve">and </w:t>
      </w:r>
      <w:r w:rsidR="00C05F22">
        <w:rPr>
          <w:szCs w:val="22"/>
          <w:shd w:val="clear" w:color="auto" w:fill="FCFCFC"/>
        </w:rPr>
        <w:t>neonatal death rates</w:t>
      </w:r>
      <w:r w:rsidRPr="00C60FD5">
        <w:rPr>
          <w:szCs w:val="22"/>
          <w:shd w:val="clear" w:color="auto" w:fill="FCFCFC"/>
        </w:rPr>
        <w:t xml:space="preserve"> </w:t>
      </w:r>
      <w:r w:rsidR="008D3FB5">
        <w:rPr>
          <w:szCs w:val="22"/>
          <w:shd w:val="clear" w:color="auto" w:fill="FCFCFC"/>
        </w:rPr>
        <w:t xml:space="preserve">were </w:t>
      </w:r>
      <w:r w:rsidRPr="00C60FD5">
        <w:rPr>
          <w:szCs w:val="22"/>
          <w:shd w:val="clear" w:color="auto" w:fill="FCFCFC"/>
        </w:rPr>
        <w:t>5</w:t>
      </w:r>
      <w:r>
        <w:rPr>
          <w:szCs w:val="22"/>
          <w:shd w:val="clear" w:color="auto" w:fill="FCFCFC"/>
        </w:rPr>
        <w:t>.0, 2.7</w:t>
      </w:r>
      <w:r w:rsidRPr="00C60FD5">
        <w:rPr>
          <w:szCs w:val="22"/>
          <w:shd w:val="clear" w:color="auto" w:fill="FCFCFC"/>
        </w:rPr>
        <w:t xml:space="preserve"> and</w:t>
      </w:r>
      <w:r>
        <w:rPr>
          <w:szCs w:val="22"/>
          <w:shd w:val="clear" w:color="auto" w:fill="FCFCFC"/>
        </w:rPr>
        <w:t xml:space="preserve"> 3.7</w:t>
      </w:r>
      <w:r w:rsidRPr="00C60FD5">
        <w:rPr>
          <w:szCs w:val="22"/>
          <w:shd w:val="clear" w:color="auto" w:fill="FCFCFC"/>
        </w:rPr>
        <w:t xml:space="preserve"> deaths per 1</w:t>
      </w:r>
      <w:r w:rsidR="00C600C7">
        <w:rPr>
          <w:szCs w:val="22"/>
          <w:shd w:val="clear" w:color="auto" w:fill="FCFCFC"/>
        </w:rPr>
        <w:t>,</w:t>
      </w:r>
      <w:r w:rsidRPr="00C60FD5">
        <w:rPr>
          <w:szCs w:val="22"/>
          <w:shd w:val="clear" w:color="auto" w:fill="FCFCFC"/>
        </w:rPr>
        <w:t xml:space="preserve">000 </w:t>
      </w:r>
      <w:r w:rsidR="00DB41FA">
        <w:rPr>
          <w:szCs w:val="22"/>
          <w:shd w:val="clear" w:color="auto" w:fill="FCFCFC"/>
        </w:rPr>
        <w:t xml:space="preserve">live </w:t>
      </w:r>
      <w:r w:rsidRPr="00C60FD5">
        <w:rPr>
          <w:szCs w:val="22"/>
          <w:shd w:val="clear" w:color="auto" w:fill="FCFCFC"/>
        </w:rPr>
        <w:t>births, respectively.</w:t>
      </w:r>
    </w:p>
    <w:p w14:paraId="5CE7ACDC" w14:textId="45104607" w:rsidR="007667EF" w:rsidRPr="00C60FD5" w:rsidRDefault="007667EF" w:rsidP="007667EF">
      <w:pPr>
        <w:pStyle w:val="Bullets"/>
        <w:ind w:left="357" w:hanging="357"/>
        <w:rPr>
          <w:szCs w:val="22"/>
          <w:shd w:val="clear" w:color="auto" w:fill="FCFCFC"/>
        </w:rPr>
      </w:pPr>
      <w:r w:rsidRPr="00C60FD5">
        <w:rPr>
          <w:szCs w:val="22"/>
          <w:shd w:val="clear" w:color="auto" w:fill="FCFCFC"/>
        </w:rPr>
        <w:t xml:space="preserve">All three </w:t>
      </w:r>
      <w:r>
        <w:rPr>
          <w:szCs w:val="22"/>
          <w:shd w:val="clear" w:color="auto" w:fill="FCFCFC"/>
        </w:rPr>
        <w:t xml:space="preserve">mortality </w:t>
      </w:r>
      <w:r w:rsidRPr="00C60FD5">
        <w:rPr>
          <w:szCs w:val="22"/>
          <w:shd w:val="clear" w:color="auto" w:fill="FCFCFC"/>
        </w:rPr>
        <w:t>rates were similar when comparing the mother’s country of birth.</w:t>
      </w:r>
    </w:p>
    <w:p w14:paraId="3EDF55A1" w14:textId="1C5B4433" w:rsidR="007667EF" w:rsidRPr="00C60FD5" w:rsidRDefault="007667EF" w:rsidP="007667EF">
      <w:pPr>
        <w:pStyle w:val="Bullets"/>
        <w:ind w:left="357" w:hanging="357"/>
        <w:rPr>
          <w:szCs w:val="22"/>
          <w:shd w:val="clear" w:color="auto" w:fill="FCFCFC"/>
        </w:rPr>
      </w:pPr>
      <w:r w:rsidRPr="00C60FD5">
        <w:rPr>
          <w:szCs w:val="22"/>
          <w:shd w:val="clear" w:color="auto" w:fill="FCFCFC"/>
        </w:rPr>
        <w:t>There was a much higher mortality rate for babies of Indigenous women than non-Indigenous women: 14.8 vs 9.3 perinatal deaths per 1</w:t>
      </w:r>
      <w:r w:rsidR="00C600C7">
        <w:rPr>
          <w:szCs w:val="22"/>
          <w:shd w:val="clear" w:color="auto" w:fill="FCFCFC"/>
        </w:rPr>
        <w:t>,</w:t>
      </w:r>
      <w:r w:rsidRPr="00C60FD5">
        <w:rPr>
          <w:szCs w:val="22"/>
          <w:shd w:val="clear" w:color="auto" w:fill="FCFCFC"/>
        </w:rPr>
        <w:t>000 total births; 10.4 vs 7.1 stillbirths per 1</w:t>
      </w:r>
      <w:r w:rsidR="00C600C7">
        <w:rPr>
          <w:szCs w:val="22"/>
          <w:shd w:val="clear" w:color="auto" w:fill="FCFCFC"/>
        </w:rPr>
        <w:t>,</w:t>
      </w:r>
      <w:r w:rsidRPr="00C60FD5">
        <w:rPr>
          <w:szCs w:val="22"/>
          <w:shd w:val="clear" w:color="auto" w:fill="FCFCFC"/>
        </w:rPr>
        <w:t>000 total births; and 4.4 vs 2.3 neonatal deaths per 1</w:t>
      </w:r>
      <w:r w:rsidR="00C600C7">
        <w:rPr>
          <w:szCs w:val="22"/>
          <w:shd w:val="clear" w:color="auto" w:fill="FCFCFC"/>
        </w:rPr>
        <w:t>,</w:t>
      </w:r>
      <w:r w:rsidRPr="00C60FD5">
        <w:rPr>
          <w:szCs w:val="22"/>
          <w:shd w:val="clear" w:color="auto" w:fill="FCFCFC"/>
        </w:rPr>
        <w:t>000 live births.</w:t>
      </w:r>
    </w:p>
    <w:p w14:paraId="18E4D5EF" w14:textId="74542134" w:rsidR="007667EF" w:rsidRPr="00C60FD5" w:rsidRDefault="007667EF" w:rsidP="007667EF">
      <w:pPr>
        <w:pStyle w:val="Bullets"/>
        <w:ind w:left="357" w:hanging="357"/>
        <w:rPr>
          <w:szCs w:val="22"/>
        </w:rPr>
      </w:pPr>
      <w:r w:rsidRPr="00C60FD5">
        <w:rPr>
          <w:szCs w:val="22"/>
          <w:shd w:val="clear" w:color="auto" w:fill="FCFCFC"/>
        </w:rPr>
        <w:t>Babies born to mothers with</w:t>
      </w:r>
      <w:r w:rsidR="00C600C7">
        <w:rPr>
          <w:szCs w:val="22"/>
          <w:shd w:val="clear" w:color="auto" w:fill="FCFCFC"/>
        </w:rPr>
        <w:t xml:space="preserve"> a</w:t>
      </w:r>
      <w:r w:rsidRPr="00C60FD5">
        <w:rPr>
          <w:szCs w:val="22"/>
          <w:shd w:val="clear" w:color="auto" w:fill="FCFCFC"/>
        </w:rPr>
        <w:t xml:space="preserve"> usual residence in very remote areas had around twice </w:t>
      </w:r>
      <w:r>
        <w:rPr>
          <w:szCs w:val="22"/>
          <w:shd w:val="clear" w:color="auto" w:fill="FCFCFC"/>
        </w:rPr>
        <w:t>the rate of pe</w:t>
      </w:r>
      <w:r w:rsidRPr="00C60FD5">
        <w:rPr>
          <w:szCs w:val="22"/>
          <w:shd w:val="clear" w:color="auto" w:fill="FCFCFC"/>
        </w:rPr>
        <w:t xml:space="preserve">rinatal </w:t>
      </w:r>
      <w:r>
        <w:rPr>
          <w:szCs w:val="22"/>
          <w:shd w:val="clear" w:color="auto" w:fill="FCFCFC"/>
        </w:rPr>
        <w:t xml:space="preserve">deaths </w:t>
      </w:r>
      <w:r w:rsidR="00DB41FA">
        <w:rPr>
          <w:szCs w:val="22"/>
          <w:shd w:val="clear" w:color="auto" w:fill="FCFCFC"/>
        </w:rPr>
        <w:t xml:space="preserve">per 1,000 births </w:t>
      </w:r>
      <w:r w:rsidRPr="00C60FD5">
        <w:rPr>
          <w:szCs w:val="22"/>
          <w:shd w:val="clear" w:color="auto" w:fill="FCFCFC"/>
        </w:rPr>
        <w:t>(</w:t>
      </w:r>
      <w:r>
        <w:rPr>
          <w:szCs w:val="22"/>
          <w:shd w:val="clear" w:color="auto" w:fill="FCFCFC"/>
        </w:rPr>
        <w:t>19.6),</w:t>
      </w:r>
      <w:r w:rsidRPr="00C60FD5">
        <w:rPr>
          <w:szCs w:val="22"/>
          <w:shd w:val="clear" w:color="auto" w:fill="FCFCFC"/>
        </w:rPr>
        <w:t xml:space="preserve"> stillbirth </w:t>
      </w:r>
      <w:r>
        <w:rPr>
          <w:szCs w:val="22"/>
          <w:shd w:val="clear" w:color="auto" w:fill="FCFCFC"/>
        </w:rPr>
        <w:t>(14.6</w:t>
      </w:r>
      <w:r w:rsidRPr="00C60FD5">
        <w:rPr>
          <w:szCs w:val="22"/>
          <w:shd w:val="clear" w:color="auto" w:fill="FCFCFC"/>
        </w:rPr>
        <w:t xml:space="preserve">) and neonatal </w:t>
      </w:r>
      <w:r>
        <w:rPr>
          <w:szCs w:val="22"/>
          <w:shd w:val="clear" w:color="auto" w:fill="FCFCFC"/>
        </w:rPr>
        <w:t xml:space="preserve">deaths </w:t>
      </w:r>
      <w:r w:rsidR="00DB41FA">
        <w:rPr>
          <w:szCs w:val="22"/>
          <w:shd w:val="clear" w:color="auto" w:fill="FCFCFC"/>
        </w:rPr>
        <w:t xml:space="preserve">per 1,000 live births </w:t>
      </w:r>
      <w:r>
        <w:rPr>
          <w:szCs w:val="22"/>
          <w:shd w:val="clear" w:color="auto" w:fill="FCFCFC"/>
        </w:rPr>
        <w:t>(5.1)</w:t>
      </w:r>
      <w:r w:rsidRPr="00C60FD5">
        <w:rPr>
          <w:szCs w:val="22"/>
          <w:shd w:val="clear" w:color="auto" w:fill="FCFCFC"/>
        </w:rPr>
        <w:t xml:space="preserve"> compared to all other areas.</w:t>
      </w:r>
    </w:p>
    <w:p w14:paraId="1DF00080" w14:textId="7BB12ABD" w:rsidR="007667EF" w:rsidRDefault="007667EF" w:rsidP="007667EF">
      <w:pPr>
        <w:pStyle w:val="Bullets"/>
        <w:ind w:left="357" w:hanging="357"/>
        <w:rPr>
          <w:szCs w:val="22"/>
        </w:rPr>
      </w:pPr>
      <w:r w:rsidRPr="00C60FD5">
        <w:rPr>
          <w:szCs w:val="22"/>
        </w:rPr>
        <w:t xml:space="preserve">Perinatal, stillbirth and neonatal death rates were lower for </w:t>
      </w:r>
      <w:r w:rsidR="00717E2E">
        <w:rPr>
          <w:szCs w:val="22"/>
        </w:rPr>
        <w:t>mothers</w:t>
      </w:r>
      <w:r w:rsidRPr="00C60FD5">
        <w:rPr>
          <w:szCs w:val="22"/>
        </w:rPr>
        <w:t xml:space="preserve"> in the least disadvantage</w:t>
      </w:r>
      <w:r w:rsidR="00C600C7">
        <w:rPr>
          <w:szCs w:val="22"/>
        </w:rPr>
        <w:t>d</w:t>
      </w:r>
      <w:r w:rsidRPr="00C60FD5">
        <w:rPr>
          <w:szCs w:val="22"/>
        </w:rPr>
        <w:t xml:space="preserve"> areas but were elevated in the most disadvantaged areas.</w:t>
      </w:r>
    </w:p>
    <w:p w14:paraId="352B5514" w14:textId="7A952F62" w:rsidR="00AF0ADF" w:rsidRPr="008D3FB5" w:rsidRDefault="00AF0ADF" w:rsidP="00AF0ADF">
      <w:pPr>
        <w:pStyle w:val="Caption"/>
        <w:rPr>
          <w:sz w:val="20"/>
          <w:szCs w:val="20"/>
        </w:rPr>
      </w:pPr>
      <w:bookmarkStart w:id="350" w:name="_Ref118297157"/>
      <w:bookmarkStart w:id="351" w:name="_Toc121415190"/>
      <w:r w:rsidRPr="008D3FB5">
        <w:rPr>
          <w:sz w:val="20"/>
          <w:szCs w:val="20"/>
        </w:rPr>
        <w:t xml:space="preserve">Figure </w:t>
      </w:r>
      <w:r w:rsidR="00A64FC5" w:rsidRPr="008D3FB5">
        <w:rPr>
          <w:sz w:val="20"/>
          <w:szCs w:val="20"/>
        </w:rPr>
        <w:fldChar w:fldCharType="begin"/>
      </w:r>
      <w:r w:rsidR="00A64FC5" w:rsidRPr="008D3FB5">
        <w:rPr>
          <w:sz w:val="20"/>
          <w:szCs w:val="20"/>
        </w:rPr>
        <w:instrText xml:space="preserve"> SEQ Figure \* ARABIC </w:instrText>
      </w:r>
      <w:r w:rsidR="00A64FC5" w:rsidRPr="008D3FB5">
        <w:rPr>
          <w:sz w:val="20"/>
          <w:szCs w:val="20"/>
        </w:rPr>
        <w:fldChar w:fldCharType="separate"/>
      </w:r>
      <w:r w:rsidR="00296988">
        <w:rPr>
          <w:noProof/>
          <w:sz w:val="20"/>
          <w:szCs w:val="20"/>
        </w:rPr>
        <w:t>24</w:t>
      </w:r>
      <w:r w:rsidR="00A64FC5" w:rsidRPr="008D3FB5">
        <w:rPr>
          <w:noProof/>
          <w:sz w:val="20"/>
          <w:szCs w:val="20"/>
        </w:rPr>
        <w:fldChar w:fldCharType="end"/>
      </w:r>
      <w:bookmarkEnd w:id="349"/>
      <w:bookmarkEnd w:id="350"/>
      <w:r w:rsidRPr="008D3FB5">
        <w:rPr>
          <w:sz w:val="20"/>
          <w:szCs w:val="20"/>
        </w:rPr>
        <w:tab/>
        <w:t>Perinatal, stillbirth and neonatal death rates, 2000–2019</w:t>
      </w:r>
      <w:bookmarkEnd w:id="351"/>
    </w:p>
    <w:p w14:paraId="5A6BB8C1" w14:textId="04CF6483" w:rsidR="00AF0ADF" w:rsidRDefault="00CE0F49" w:rsidP="00AF0ADF">
      <w:r>
        <w:rPr>
          <w:noProof/>
        </w:rPr>
        <w:drawing>
          <wp:inline distT="0" distB="0" distL="0" distR="0" wp14:anchorId="234FA4DF" wp14:editId="2C489C66">
            <wp:extent cx="5860800" cy="1980000"/>
            <wp:effectExtent l="0" t="0" r="6985" b="1270"/>
            <wp:docPr id="51" name="Chart 51" descr="National trend data on perinatal, stillbirth and neonatal death rates for 2000 to 2019">
              <a:extLst xmlns:a="http://schemas.openxmlformats.org/drawingml/2006/main">
                <a:ext uri="{FF2B5EF4-FFF2-40B4-BE49-F238E27FC236}">
                  <a16:creationId xmlns:a16="http://schemas.microsoft.com/office/drawing/2014/main" id="{014CC3F6-93A2-D551-66B1-301EA93B8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19BB1CE" w14:textId="77777777" w:rsidR="00AF0ADF" w:rsidRDefault="00AF0ADF" w:rsidP="00AF0ADF">
      <w:pPr>
        <w:pStyle w:val="pf0"/>
        <w:spacing w:before="0" w:beforeAutospacing="0" w:after="0" w:afterAutospacing="0"/>
        <w:rPr>
          <w:rFonts w:asciiTheme="minorHAnsi" w:hAnsiTheme="minorHAnsi"/>
          <w:sz w:val="18"/>
          <w:szCs w:val="18"/>
        </w:rPr>
      </w:pPr>
      <w:r w:rsidRPr="00C60FD5">
        <w:rPr>
          <w:rFonts w:asciiTheme="minorHAnsi" w:hAnsiTheme="minorHAnsi"/>
          <w:sz w:val="18"/>
          <w:szCs w:val="18"/>
        </w:rPr>
        <w:t xml:space="preserve">Source: AIHW analysis of the National Perinatal Mortality Data Collection and the National Perinatal Data Collection. </w:t>
      </w:r>
    </w:p>
    <w:p w14:paraId="7D01290A" w14:textId="1A44C5CB" w:rsidR="00AF0ADF" w:rsidRPr="00C60FD5" w:rsidRDefault="00AF0ADF" w:rsidP="00AF0ADF">
      <w:pPr>
        <w:pStyle w:val="pf0"/>
        <w:spacing w:before="0" w:beforeAutospacing="0" w:after="0" w:afterAutospacing="0"/>
        <w:rPr>
          <w:rFonts w:asciiTheme="minorHAnsi" w:hAnsiTheme="minorHAnsi"/>
          <w:sz w:val="18"/>
          <w:szCs w:val="18"/>
        </w:rPr>
      </w:pPr>
      <w:r>
        <w:rPr>
          <w:rFonts w:asciiTheme="minorHAnsi" w:hAnsiTheme="minorHAnsi"/>
          <w:sz w:val="18"/>
          <w:szCs w:val="18"/>
        </w:rPr>
        <w:t xml:space="preserve">Data note: </w:t>
      </w:r>
      <w:r w:rsidRPr="00C60FD5">
        <w:rPr>
          <w:rFonts w:asciiTheme="minorHAnsi" w:hAnsiTheme="minorHAnsi"/>
          <w:sz w:val="18"/>
          <w:szCs w:val="18"/>
        </w:rPr>
        <w:t>The rate is the number of deaths per 1,000 births. Stillbirth and perinatal death rates were calculated using total births (live births and stillbirths). Neonatal death rates were calculated using live births.</w:t>
      </w:r>
      <w:r w:rsidR="00DB41FA">
        <w:rPr>
          <w:rFonts w:asciiTheme="minorHAnsi" w:hAnsiTheme="minorHAnsi"/>
          <w:sz w:val="18"/>
          <w:szCs w:val="18"/>
        </w:rPr>
        <w:t xml:space="preserve"> </w:t>
      </w:r>
      <w:r w:rsidR="00DB41FA" w:rsidRPr="00DB41FA">
        <w:rPr>
          <w:rFonts w:asciiTheme="minorHAnsi" w:hAnsiTheme="minorHAnsi" w:cstheme="minorHAnsi"/>
          <w:sz w:val="18"/>
          <w:szCs w:val="18"/>
        </w:rPr>
        <w:t>Data from the Northern Territory for 2000 to 2002 and from Victoria in 2009 are not available so have been excluded from the rate</w:t>
      </w:r>
      <w:r w:rsidR="001F6224">
        <w:rPr>
          <w:rFonts w:asciiTheme="minorHAnsi" w:hAnsiTheme="minorHAnsi" w:cstheme="minorHAnsi"/>
          <w:sz w:val="18"/>
          <w:szCs w:val="18"/>
        </w:rPr>
        <w:t>.</w:t>
      </w:r>
    </w:p>
    <w:p w14:paraId="122B9389" w14:textId="77777777" w:rsidR="00EC7359" w:rsidRDefault="00EC7359" w:rsidP="00717E2E"/>
    <w:p w14:paraId="2B4C206D" w14:textId="21A1B9F1" w:rsidR="009658B9" w:rsidRPr="009402E0" w:rsidRDefault="009658B9" w:rsidP="009658B9">
      <w:pPr>
        <w:pStyle w:val="Heading2"/>
      </w:pPr>
      <w:bookmarkStart w:id="352" w:name="_Toc121415076"/>
      <w:r w:rsidRPr="009402E0">
        <w:t>Maternal deaths</w:t>
      </w:r>
      <w:bookmarkEnd w:id="352"/>
    </w:p>
    <w:p w14:paraId="72B05727" w14:textId="5B64C8DF" w:rsidR="00320F74" w:rsidRPr="00C05F22" w:rsidRDefault="00400926" w:rsidP="00320F74">
      <w:pPr>
        <w:pStyle w:val="Bullets"/>
        <w:numPr>
          <w:ilvl w:val="0"/>
          <w:numId w:val="0"/>
        </w:numPr>
        <w:rPr>
          <w:szCs w:val="22"/>
        </w:rPr>
      </w:pPr>
      <w:r w:rsidRPr="00C05F22">
        <w:rPr>
          <w:szCs w:val="22"/>
        </w:rPr>
        <w:t>Although rare, maternal deaths are critical indicators of sever</w:t>
      </w:r>
      <w:r w:rsidR="00075FE5" w:rsidRPr="00C05F22">
        <w:rPr>
          <w:szCs w:val="22"/>
        </w:rPr>
        <w:t>e</w:t>
      </w:r>
      <w:r w:rsidRPr="00C05F22">
        <w:rPr>
          <w:szCs w:val="22"/>
        </w:rPr>
        <w:t xml:space="preserve"> maternal morbidity in Australia. </w:t>
      </w:r>
      <w:r w:rsidR="00B84D1F" w:rsidRPr="00C05F22">
        <w:rPr>
          <w:szCs w:val="22"/>
        </w:rPr>
        <w:t xml:space="preserve">National reporting of maternal mortality is limited to </w:t>
      </w:r>
      <w:r w:rsidR="00DA6390" w:rsidRPr="00C05F22">
        <w:rPr>
          <w:szCs w:val="22"/>
        </w:rPr>
        <w:t xml:space="preserve">deaths occurring during pregnancy up to 42 days following </w:t>
      </w:r>
      <w:r w:rsidR="00B84D1F" w:rsidRPr="00C05F22">
        <w:rPr>
          <w:szCs w:val="22"/>
        </w:rPr>
        <w:t xml:space="preserve">pregnancy. Data relating to late maternal deaths – deaths occurring between 43 days and one year following </w:t>
      </w:r>
      <w:r w:rsidR="00DB41FA">
        <w:rPr>
          <w:szCs w:val="22"/>
        </w:rPr>
        <w:t xml:space="preserve">the end of </w:t>
      </w:r>
      <w:r w:rsidR="00B84D1F" w:rsidRPr="00C05F22">
        <w:rPr>
          <w:szCs w:val="22"/>
        </w:rPr>
        <w:t xml:space="preserve">pregnancy – are not </w:t>
      </w:r>
      <w:r w:rsidR="00657D38" w:rsidRPr="00C05F22">
        <w:rPr>
          <w:szCs w:val="22"/>
        </w:rPr>
        <w:t xml:space="preserve">currently </w:t>
      </w:r>
      <w:r w:rsidR="00B84D1F" w:rsidRPr="00C05F22">
        <w:rPr>
          <w:szCs w:val="22"/>
        </w:rPr>
        <w:t>available at a national level in Australia.</w:t>
      </w:r>
    </w:p>
    <w:p w14:paraId="77830A9B" w14:textId="7E745250" w:rsidR="00A65C4E" w:rsidRDefault="009402E0" w:rsidP="009402E0">
      <w:pPr>
        <w:pStyle w:val="Bullets"/>
      </w:pPr>
      <w:r w:rsidRPr="009402E0">
        <w:t>N</w:t>
      </w:r>
      <w:r w:rsidR="00A65C4E">
        <w:t>ational</w:t>
      </w:r>
      <w:r w:rsidR="00400926" w:rsidRPr="009402E0">
        <w:t xml:space="preserve"> </w:t>
      </w:r>
      <w:r w:rsidR="004823E7" w:rsidRPr="009402E0">
        <w:t xml:space="preserve">maternal </w:t>
      </w:r>
      <w:r w:rsidR="00320F74" w:rsidRPr="009402E0">
        <w:t>mortality ratio (MMR)</w:t>
      </w:r>
      <w:r w:rsidR="004823E7" w:rsidRPr="009402E0">
        <w:t xml:space="preserve"> </w:t>
      </w:r>
      <w:r w:rsidR="00657D38">
        <w:t xml:space="preserve">data </w:t>
      </w:r>
      <w:r w:rsidR="004823E7" w:rsidRPr="009402E0">
        <w:t>for 20</w:t>
      </w:r>
      <w:r w:rsidR="00400926" w:rsidRPr="009402E0">
        <w:t>10</w:t>
      </w:r>
      <w:r w:rsidR="004823E7" w:rsidRPr="009402E0">
        <w:t xml:space="preserve"> to 2019</w:t>
      </w:r>
      <w:r w:rsidR="00657D38">
        <w:t xml:space="preserve"> are </w:t>
      </w:r>
      <w:r w:rsidRPr="009402E0">
        <w:t xml:space="preserve">shown in </w:t>
      </w:r>
      <w:r w:rsidRPr="009402E0">
        <w:rPr>
          <w:highlight w:val="yellow"/>
        </w:rPr>
        <w:fldChar w:fldCharType="begin"/>
      </w:r>
      <w:r w:rsidRPr="009402E0">
        <w:rPr>
          <w:highlight w:val="yellow"/>
        </w:rPr>
        <w:instrText xml:space="preserve"> REF _Ref117849207 \h  \* MERGEFORMAT </w:instrText>
      </w:r>
      <w:r w:rsidRPr="009402E0">
        <w:rPr>
          <w:highlight w:val="yellow"/>
        </w:rPr>
      </w:r>
      <w:r w:rsidRPr="009402E0">
        <w:rPr>
          <w:highlight w:val="yellow"/>
        </w:rPr>
        <w:fldChar w:fldCharType="separate"/>
      </w:r>
      <w:r w:rsidR="00296988" w:rsidRPr="00296988">
        <w:t>Table 5</w:t>
      </w:r>
      <w:r w:rsidRPr="009402E0">
        <w:rPr>
          <w:highlight w:val="yellow"/>
        </w:rPr>
        <w:fldChar w:fldCharType="end"/>
      </w:r>
      <w:r w:rsidR="004823E7" w:rsidRPr="009402E0">
        <w:t xml:space="preserve">. </w:t>
      </w:r>
      <w:r w:rsidR="00320F74" w:rsidRPr="009402E0">
        <w:t xml:space="preserve">The MMR </w:t>
      </w:r>
      <w:r w:rsidR="00A65C4E">
        <w:t xml:space="preserve">has varied over time, ranging from a low of 5.2 </w:t>
      </w:r>
      <w:r w:rsidR="00DB41FA">
        <w:t xml:space="preserve">deaths per 100,000 women who gave birth </w:t>
      </w:r>
      <w:r w:rsidR="00A65C4E">
        <w:t xml:space="preserve">in 2013 to over 7.5 in 2011, 2012 and 2016. </w:t>
      </w:r>
      <w:r w:rsidR="00DB41FA">
        <w:t>It is noted that fluctuations may reflect the normal variability that might be expected with rate events such as maternal deaths.</w:t>
      </w:r>
    </w:p>
    <w:p w14:paraId="5169DBDF" w14:textId="447B01D5" w:rsidR="00B84D1F" w:rsidRDefault="00B84D1F" w:rsidP="009402E0">
      <w:pPr>
        <w:pStyle w:val="Bullets"/>
      </w:pPr>
      <w:r w:rsidRPr="009402E0">
        <w:t>In 2019, there were 17 direct or indirect maternal deaths in Australia – 6.7 deaths per 100,000 women who gave birth.</w:t>
      </w:r>
    </w:p>
    <w:p w14:paraId="09CDD78B" w14:textId="074D4E46" w:rsidR="00A65C4E" w:rsidRPr="009402E0" w:rsidRDefault="00A65C4E" w:rsidP="009402E0">
      <w:pPr>
        <w:pStyle w:val="Bullets"/>
      </w:pPr>
      <w:r>
        <w:t xml:space="preserve">Between 2012 and </w:t>
      </w:r>
      <w:r w:rsidR="00DB41FA">
        <w:t>2019</w:t>
      </w:r>
      <w:r>
        <w:t>, the MMR was higher for Indigenous women than non-Indigenous women (17.5 vs. 5.5)</w:t>
      </w:r>
      <w:r w:rsidR="008D3FB5">
        <w:t>. The MMR was also elevated</w:t>
      </w:r>
      <w:r>
        <w:t xml:space="preserve"> for women who smoked during the first 20 weeks of pregnancy (16.9) and for women living in remote </w:t>
      </w:r>
      <w:r w:rsidR="00DB41FA">
        <w:t xml:space="preserve">and </w:t>
      </w:r>
      <w:r>
        <w:t>very remote areas (10.8).</w:t>
      </w:r>
    </w:p>
    <w:p w14:paraId="02D0E162" w14:textId="535069BA" w:rsidR="00075FE5" w:rsidRPr="009402E0" w:rsidRDefault="009402E0" w:rsidP="009402E0">
      <w:pPr>
        <w:pStyle w:val="Bullets"/>
      </w:pPr>
      <w:r w:rsidRPr="009402E0">
        <w:lastRenderedPageBreak/>
        <w:fldChar w:fldCharType="begin"/>
      </w:r>
      <w:r w:rsidRPr="009402E0">
        <w:instrText xml:space="preserve"> REF _Ref117849787 \h  \* MERGEFORMAT </w:instrText>
      </w:r>
      <w:r w:rsidRPr="009402E0">
        <w:fldChar w:fldCharType="separate"/>
      </w:r>
      <w:r w:rsidR="00296988" w:rsidRPr="00296988">
        <w:t>Table 6</w:t>
      </w:r>
      <w:r w:rsidRPr="009402E0">
        <w:fldChar w:fldCharType="end"/>
      </w:r>
      <w:r w:rsidRPr="009402E0">
        <w:t xml:space="preserve"> provides a summary of MMR for select causes of deaths for triennia 2000-2002 to 2015-2017. </w:t>
      </w:r>
      <w:r>
        <w:t xml:space="preserve">Over time, there has been a decrease in the MMR for </w:t>
      </w:r>
      <w:r w:rsidR="00075FE5" w:rsidRPr="009402E0">
        <w:t>deaths</w:t>
      </w:r>
      <w:r>
        <w:t xml:space="preserve"> due to obstetric complications, and an emerging trend </w:t>
      </w:r>
      <w:r w:rsidR="00075FE5" w:rsidRPr="009402E0">
        <w:t>towards increasing psychosoci</w:t>
      </w:r>
      <w:r>
        <w:t>al causes of maternal mortality.</w:t>
      </w:r>
    </w:p>
    <w:p w14:paraId="4B198EC5" w14:textId="2009FA34" w:rsidR="00B84D1F" w:rsidRPr="008D3FB5" w:rsidRDefault="00075FE5" w:rsidP="00B84D1F">
      <w:pPr>
        <w:pStyle w:val="Caption"/>
        <w:rPr>
          <w:sz w:val="20"/>
          <w:szCs w:val="20"/>
        </w:rPr>
      </w:pPr>
      <w:bookmarkStart w:id="353" w:name="_Ref117849207"/>
      <w:bookmarkStart w:id="354" w:name="_Toc121429181"/>
      <w:r w:rsidRPr="008D3FB5">
        <w:rPr>
          <w:sz w:val="20"/>
          <w:szCs w:val="20"/>
        </w:rPr>
        <w:t xml:space="preserve">Table </w:t>
      </w:r>
      <w:r w:rsidRPr="008D3FB5">
        <w:rPr>
          <w:sz w:val="20"/>
          <w:szCs w:val="20"/>
        </w:rPr>
        <w:fldChar w:fldCharType="begin"/>
      </w:r>
      <w:r w:rsidRPr="008D3FB5">
        <w:rPr>
          <w:sz w:val="20"/>
          <w:szCs w:val="20"/>
        </w:rPr>
        <w:instrText xml:space="preserve"> SEQ Table \* ARABIC </w:instrText>
      </w:r>
      <w:r w:rsidRPr="008D3FB5">
        <w:rPr>
          <w:sz w:val="20"/>
          <w:szCs w:val="20"/>
        </w:rPr>
        <w:fldChar w:fldCharType="separate"/>
      </w:r>
      <w:r w:rsidR="00296988">
        <w:rPr>
          <w:noProof/>
          <w:sz w:val="20"/>
          <w:szCs w:val="20"/>
        </w:rPr>
        <w:t>5</w:t>
      </w:r>
      <w:r w:rsidRPr="008D3FB5">
        <w:rPr>
          <w:noProof/>
          <w:sz w:val="20"/>
          <w:szCs w:val="20"/>
        </w:rPr>
        <w:fldChar w:fldCharType="end"/>
      </w:r>
      <w:bookmarkEnd w:id="353"/>
      <w:r w:rsidRPr="008D3FB5">
        <w:rPr>
          <w:sz w:val="20"/>
          <w:szCs w:val="20"/>
        </w:rPr>
        <w:tab/>
      </w:r>
      <w:r w:rsidR="00B84D1F" w:rsidRPr="008D3FB5">
        <w:rPr>
          <w:sz w:val="20"/>
          <w:szCs w:val="20"/>
        </w:rPr>
        <w:t>Maternal mortality ratio by year, 2010–2019</w:t>
      </w:r>
      <w:bookmarkEnd w:id="354"/>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527"/>
        <w:gridCol w:w="1529"/>
        <w:gridCol w:w="1529"/>
        <w:gridCol w:w="1491"/>
        <w:gridCol w:w="1491"/>
        <w:gridCol w:w="1491"/>
      </w:tblGrid>
      <w:tr w:rsidR="00B84D1F" w:rsidRPr="00842C1A" w14:paraId="724BD0A5" w14:textId="77777777" w:rsidTr="00E44DDA">
        <w:trPr>
          <w:trHeight w:val="300"/>
        </w:trPr>
        <w:tc>
          <w:tcPr>
            <w:tcW w:w="468" w:type="pct"/>
            <w:shd w:val="clear" w:color="auto" w:fill="auto"/>
            <w:vAlign w:val="center"/>
            <w:hideMark/>
          </w:tcPr>
          <w:p w14:paraId="246B2E8D" w14:textId="391B35EC" w:rsidR="00320F74" w:rsidRPr="006237B3" w:rsidRDefault="00320F74" w:rsidP="00E44DDA">
            <w:pPr>
              <w:jc w:val="center"/>
              <w:rPr>
                <w:rFonts w:cstheme="minorHAnsi"/>
                <w:b/>
                <w:bCs/>
                <w:color w:val="000000"/>
                <w:sz w:val="20"/>
                <w:szCs w:val="20"/>
              </w:rPr>
            </w:pPr>
          </w:p>
        </w:tc>
        <w:tc>
          <w:tcPr>
            <w:tcW w:w="2293" w:type="pct"/>
            <w:gridSpan w:val="3"/>
            <w:shd w:val="clear" w:color="auto" w:fill="auto"/>
            <w:vAlign w:val="center"/>
            <w:hideMark/>
          </w:tcPr>
          <w:p w14:paraId="2EFB97F8" w14:textId="77777777" w:rsidR="00320F74" w:rsidRPr="006237B3" w:rsidRDefault="00320F74" w:rsidP="006237B3">
            <w:pPr>
              <w:jc w:val="center"/>
              <w:rPr>
                <w:rFonts w:cstheme="minorHAnsi"/>
                <w:b/>
                <w:bCs/>
                <w:color w:val="000000"/>
                <w:sz w:val="20"/>
                <w:szCs w:val="20"/>
              </w:rPr>
            </w:pPr>
            <w:r w:rsidRPr="006237B3">
              <w:rPr>
                <w:rFonts w:cstheme="minorHAnsi"/>
                <w:b/>
                <w:bCs/>
                <w:color w:val="000000"/>
                <w:sz w:val="20"/>
                <w:szCs w:val="20"/>
              </w:rPr>
              <w:t>Maternal mortality ratio</w:t>
            </w:r>
            <w:r w:rsidRPr="006237B3">
              <w:rPr>
                <w:rFonts w:cstheme="minorHAnsi"/>
                <w:b/>
                <w:bCs/>
                <w:color w:val="000000"/>
                <w:sz w:val="20"/>
                <w:szCs w:val="20"/>
                <w:vertAlign w:val="superscript"/>
              </w:rPr>
              <w:t>(b)</w:t>
            </w:r>
          </w:p>
        </w:tc>
        <w:tc>
          <w:tcPr>
            <w:tcW w:w="746" w:type="pct"/>
            <w:vMerge w:val="restart"/>
            <w:shd w:val="clear" w:color="auto" w:fill="auto"/>
            <w:vAlign w:val="center"/>
            <w:hideMark/>
          </w:tcPr>
          <w:p w14:paraId="0501CE14" w14:textId="77777777" w:rsidR="00320F74" w:rsidRPr="006237B3" w:rsidRDefault="00320F74" w:rsidP="00E44DDA">
            <w:pPr>
              <w:jc w:val="center"/>
              <w:rPr>
                <w:rFonts w:cstheme="minorHAnsi"/>
                <w:b/>
                <w:bCs/>
                <w:color w:val="000000"/>
                <w:sz w:val="20"/>
                <w:szCs w:val="20"/>
              </w:rPr>
            </w:pPr>
            <w:r w:rsidRPr="006237B3">
              <w:rPr>
                <w:rFonts w:cstheme="minorHAnsi"/>
                <w:b/>
                <w:bCs/>
                <w:color w:val="000000"/>
                <w:sz w:val="20"/>
                <w:szCs w:val="20"/>
              </w:rPr>
              <w:t>Number of women who gave birth</w:t>
            </w:r>
            <w:r w:rsidRPr="006237B3">
              <w:rPr>
                <w:rFonts w:cstheme="minorHAnsi"/>
                <w:b/>
                <w:bCs/>
                <w:color w:val="000000"/>
                <w:sz w:val="20"/>
                <w:szCs w:val="20"/>
                <w:vertAlign w:val="superscript"/>
              </w:rPr>
              <w:t>(e)</w:t>
            </w:r>
          </w:p>
        </w:tc>
        <w:tc>
          <w:tcPr>
            <w:tcW w:w="746" w:type="pct"/>
            <w:vMerge w:val="restart"/>
            <w:shd w:val="clear" w:color="auto" w:fill="auto"/>
            <w:vAlign w:val="center"/>
            <w:hideMark/>
          </w:tcPr>
          <w:p w14:paraId="314B8598" w14:textId="77777777" w:rsidR="00320F74" w:rsidRPr="006237B3" w:rsidRDefault="00320F74" w:rsidP="00E44DDA">
            <w:pPr>
              <w:jc w:val="center"/>
              <w:rPr>
                <w:rFonts w:cstheme="minorHAnsi"/>
                <w:b/>
                <w:bCs/>
                <w:color w:val="000000"/>
                <w:sz w:val="20"/>
                <w:szCs w:val="20"/>
              </w:rPr>
            </w:pPr>
            <w:r w:rsidRPr="006237B3">
              <w:rPr>
                <w:rFonts w:cstheme="minorHAnsi"/>
                <w:b/>
                <w:bCs/>
                <w:color w:val="000000"/>
                <w:sz w:val="20"/>
                <w:szCs w:val="20"/>
              </w:rPr>
              <w:t>Coincidental deaths</w:t>
            </w:r>
            <w:r w:rsidRPr="006237B3">
              <w:rPr>
                <w:rFonts w:cstheme="minorHAnsi"/>
                <w:b/>
                <w:bCs/>
                <w:color w:val="000000"/>
                <w:sz w:val="20"/>
                <w:szCs w:val="20"/>
                <w:vertAlign w:val="superscript"/>
              </w:rPr>
              <w:t>(f)</w:t>
            </w:r>
          </w:p>
        </w:tc>
        <w:tc>
          <w:tcPr>
            <w:tcW w:w="746" w:type="pct"/>
            <w:vMerge w:val="restart"/>
            <w:shd w:val="clear" w:color="auto" w:fill="auto"/>
            <w:vAlign w:val="center"/>
            <w:hideMark/>
          </w:tcPr>
          <w:p w14:paraId="3950F821" w14:textId="77777777" w:rsidR="00320F74" w:rsidRPr="006237B3" w:rsidRDefault="00320F74" w:rsidP="00E44DDA">
            <w:pPr>
              <w:jc w:val="center"/>
              <w:rPr>
                <w:rFonts w:cstheme="minorHAnsi"/>
                <w:b/>
                <w:bCs/>
                <w:color w:val="000000"/>
                <w:sz w:val="20"/>
                <w:szCs w:val="20"/>
              </w:rPr>
            </w:pPr>
            <w:r w:rsidRPr="006237B3">
              <w:rPr>
                <w:rFonts w:cstheme="minorHAnsi"/>
                <w:b/>
                <w:bCs/>
                <w:color w:val="000000"/>
                <w:sz w:val="20"/>
                <w:szCs w:val="20"/>
              </w:rPr>
              <w:t>Deaths awaiting classification</w:t>
            </w:r>
            <w:r w:rsidRPr="006237B3">
              <w:rPr>
                <w:rFonts w:cstheme="minorHAnsi"/>
                <w:b/>
                <w:bCs/>
                <w:color w:val="000000"/>
                <w:sz w:val="20"/>
                <w:szCs w:val="20"/>
                <w:vertAlign w:val="superscript"/>
              </w:rPr>
              <w:t>(g)</w:t>
            </w:r>
          </w:p>
        </w:tc>
      </w:tr>
      <w:tr w:rsidR="00B84D1F" w:rsidRPr="00842C1A" w14:paraId="468AF0C7" w14:textId="77777777" w:rsidTr="00E44DDA">
        <w:trPr>
          <w:trHeight w:val="525"/>
        </w:trPr>
        <w:tc>
          <w:tcPr>
            <w:tcW w:w="468" w:type="pct"/>
            <w:shd w:val="clear" w:color="auto" w:fill="auto"/>
            <w:vAlign w:val="center"/>
            <w:hideMark/>
          </w:tcPr>
          <w:p w14:paraId="61902ECB" w14:textId="77777777" w:rsidR="00320F74" w:rsidRPr="006237B3" w:rsidRDefault="00320F74" w:rsidP="00E44DDA">
            <w:pPr>
              <w:jc w:val="center"/>
              <w:rPr>
                <w:rFonts w:cstheme="minorHAnsi"/>
                <w:b/>
                <w:bCs/>
                <w:color w:val="000000"/>
                <w:sz w:val="20"/>
                <w:szCs w:val="20"/>
              </w:rPr>
            </w:pPr>
            <w:r w:rsidRPr="006237B3">
              <w:rPr>
                <w:rFonts w:cstheme="minorHAnsi"/>
                <w:b/>
                <w:bCs/>
                <w:color w:val="000000"/>
                <w:sz w:val="20"/>
                <w:szCs w:val="20"/>
              </w:rPr>
              <w:t>Year</w:t>
            </w:r>
          </w:p>
        </w:tc>
        <w:tc>
          <w:tcPr>
            <w:tcW w:w="764" w:type="pct"/>
            <w:shd w:val="clear" w:color="auto" w:fill="auto"/>
            <w:vAlign w:val="center"/>
            <w:hideMark/>
          </w:tcPr>
          <w:p w14:paraId="0B364372" w14:textId="77777777" w:rsidR="00320F74" w:rsidRPr="006237B3" w:rsidRDefault="00320F74" w:rsidP="00E44DDA">
            <w:pPr>
              <w:jc w:val="center"/>
              <w:rPr>
                <w:rFonts w:cstheme="minorHAnsi"/>
                <w:b/>
                <w:bCs/>
                <w:color w:val="000000"/>
                <w:sz w:val="20"/>
                <w:szCs w:val="20"/>
              </w:rPr>
            </w:pPr>
            <w:r w:rsidRPr="006237B3">
              <w:rPr>
                <w:rFonts w:cstheme="minorHAnsi"/>
                <w:b/>
                <w:bCs/>
                <w:color w:val="000000"/>
                <w:sz w:val="20"/>
                <w:szCs w:val="20"/>
              </w:rPr>
              <w:t>Direct</w:t>
            </w:r>
          </w:p>
        </w:tc>
        <w:tc>
          <w:tcPr>
            <w:tcW w:w="765" w:type="pct"/>
            <w:shd w:val="clear" w:color="auto" w:fill="auto"/>
            <w:vAlign w:val="center"/>
            <w:hideMark/>
          </w:tcPr>
          <w:p w14:paraId="3BC62356" w14:textId="77777777" w:rsidR="00320F74" w:rsidRPr="006237B3" w:rsidRDefault="00320F74" w:rsidP="00E44DDA">
            <w:pPr>
              <w:jc w:val="center"/>
              <w:rPr>
                <w:rFonts w:cstheme="minorHAnsi"/>
                <w:b/>
                <w:bCs/>
                <w:color w:val="000000"/>
                <w:sz w:val="20"/>
                <w:szCs w:val="20"/>
              </w:rPr>
            </w:pPr>
            <w:r w:rsidRPr="006237B3">
              <w:rPr>
                <w:rFonts w:cstheme="minorHAnsi"/>
                <w:b/>
                <w:bCs/>
                <w:color w:val="000000"/>
                <w:sz w:val="20"/>
                <w:szCs w:val="20"/>
              </w:rPr>
              <w:t>Indirect</w:t>
            </w:r>
          </w:p>
        </w:tc>
        <w:tc>
          <w:tcPr>
            <w:tcW w:w="765" w:type="pct"/>
            <w:shd w:val="clear" w:color="auto" w:fill="auto"/>
            <w:vAlign w:val="center"/>
            <w:hideMark/>
          </w:tcPr>
          <w:p w14:paraId="3B46798D" w14:textId="46B7E484" w:rsidR="00320F74" w:rsidRPr="006237B3" w:rsidRDefault="00320F74" w:rsidP="008017FB">
            <w:pPr>
              <w:jc w:val="center"/>
              <w:rPr>
                <w:rFonts w:cstheme="minorHAnsi"/>
                <w:b/>
                <w:bCs/>
                <w:color w:val="000000"/>
                <w:sz w:val="20"/>
                <w:szCs w:val="20"/>
              </w:rPr>
            </w:pPr>
            <w:r w:rsidRPr="006237B3">
              <w:rPr>
                <w:rFonts w:cstheme="minorHAnsi"/>
                <w:b/>
                <w:bCs/>
                <w:color w:val="000000"/>
                <w:sz w:val="20"/>
                <w:szCs w:val="20"/>
              </w:rPr>
              <w:t>Total</w:t>
            </w:r>
            <w:r w:rsidRPr="006237B3">
              <w:rPr>
                <w:rFonts w:cstheme="minorHAnsi"/>
                <w:b/>
                <w:bCs/>
                <w:color w:val="000000"/>
                <w:sz w:val="20"/>
                <w:szCs w:val="20"/>
                <w:vertAlign w:val="superscript"/>
              </w:rPr>
              <w:t>(</w:t>
            </w:r>
            <w:r w:rsidR="008017FB">
              <w:rPr>
                <w:rFonts w:cstheme="minorHAnsi"/>
                <w:b/>
                <w:bCs/>
                <w:color w:val="000000"/>
                <w:sz w:val="20"/>
                <w:szCs w:val="20"/>
                <w:vertAlign w:val="superscript"/>
              </w:rPr>
              <w:t>c</w:t>
            </w:r>
            <w:r w:rsidRPr="006237B3">
              <w:rPr>
                <w:rFonts w:cstheme="minorHAnsi"/>
                <w:b/>
                <w:bCs/>
                <w:color w:val="000000"/>
                <w:sz w:val="20"/>
                <w:szCs w:val="20"/>
                <w:vertAlign w:val="superscript"/>
              </w:rPr>
              <w:t>)</w:t>
            </w:r>
            <w:r w:rsidR="008017FB" w:rsidRPr="006237B3">
              <w:rPr>
                <w:rFonts w:cstheme="minorHAnsi"/>
                <w:b/>
                <w:bCs/>
                <w:color w:val="000000"/>
                <w:sz w:val="20"/>
                <w:szCs w:val="20"/>
                <w:vertAlign w:val="superscript"/>
              </w:rPr>
              <w:t>(d)</w:t>
            </w:r>
          </w:p>
        </w:tc>
        <w:tc>
          <w:tcPr>
            <w:tcW w:w="746" w:type="pct"/>
            <w:vMerge/>
            <w:vAlign w:val="center"/>
            <w:hideMark/>
          </w:tcPr>
          <w:p w14:paraId="19B1F1DD" w14:textId="77777777" w:rsidR="00320F74" w:rsidRPr="006237B3" w:rsidRDefault="00320F74" w:rsidP="00E44DDA">
            <w:pPr>
              <w:jc w:val="center"/>
              <w:rPr>
                <w:rFonts w:cstheme="minorHAnsi"/>
                <w:b/>
                <w:bCs/>
                <w:color w:val="000000"/>
                <w:sz w:val="20"/>
                <w:szCs w:val="20"/>
              </w:rPr>
            </w:pPr>
          </w:p>
        </w:tc>
        <w:tc>
          <w:tcPr>
            <w:tcW w:w="746" w:type="pct"/>
            <w:vMerge/>
            <w:vAlign w:val="center"/>
            <w:hideMark/>
          </w:tcPr>
          <w:p w14:paraId="5A986461" w14:textId="77777777" w:rsidR="00320F74" w:rsidRPr="006237B3" w:rsidRDefault="00320F74" w:rsidP="00E44DDA">
            <w:pPr>
              <w:jc w:val="center"/>
              <w:rPr>
                <w:rFonts w:cstheme="minorHAnsi"/>
                <w:b/>
                <w:bCs/>
                <w:color w:val="000000"/>
                <w:sz w:val="20"/>
                <w:szCs w:val="20"/>
              </w:rPr>
            </w:pPr>
          </w:p>
        </w:tc>
        <w:tc>
          <w:tcPr>
            <w:tcW w:w="746" w:type="pct"/>
            <w:vMerge/>
            <w:vAlign w:val="center"/>
            <w:hideMark/>
          </w:tcPr>
          <w:p w14:paraId="234FC6D0" w14:textId="77777777" w:rsidR="00320F74" w:rsidRPr="006237B3" w:rsidRDefault="00320F74" w:rsidP="00E44DDA">
            <w:pPr>
              <w:jc w:val="center"/>
              <w:rPr>
                <w:rFonts w:cstheme="minorHAnsi"/>
                <w:b/>
                <w:bCs/>
                <w:color w:val="000000"/>
                <w:sz w:val="20"/>
                <w:szCs w:val="20"/>
              </w:rPr>
            </w:pPr>
          </w:p>
        </w:tc>
      </w:tr>
      <w:tr w:rsidR="00B84D1F" w:rsidRPr="00842C1A" w14:paraId="0E715318" w14:textId="77777777" w:rsidTr="00E44DDA">
        <w:trPr>
          <w:trHeight w:val="300"/>
        </w:trPr>
        <w:tc>
          <w:tcPr>
            <w:tcW w:w="468" w:type="pct"/>
            <w:shd w:val="clear" w:color="auto" w:fill="auto"/>
            <w:vAlign w:val="center"/>
            <w:hideMark/>
          </w:tcPr>
          <w:p w14:paraId="5B43EC9D"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2010</w:t>
            </w:r>
          </w:p>
        </w:tc>
        <w:tc>
          <w:tcPr>
            <w:tcW w:w="764" w:type="pct"/>
            <w:shd w:val="clear" w:color="auto" w:fill="auto"/>
            <w:noWrap/>
            <w:vAlign w:val="center"/>
            <w:hideMark/>
          </w:tcPr>
          <w:p w14:paraId="73CE572E"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3.7</w:t>
            </w:r>
          </w:p>
        </w:tc>
        <w:tc>
          <w:tcPr>
            <w:tcW w:w="765" w:type="pct"/>
            <w:shd w:val="clear" w:color="auto" w:fill="auto"/>
            <w:noWrap/>
            <w:vAlign w:val="center"/>
            <w:hideMark/>
          </w:tcPr>
          <w:p w14:paraId="4DF37DBD"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3.4</w:t>
            </w:r>
          </w:p>
        </w:tc>
        <w:tc>
          <w:tcPr>
            <w:tcW w:w="765" w:type="pct"/>
            <w:shd w:val="clear" w:color="auto" w:fill="auto"/>
            <w:noWrap/>
            <w:vAlign w:val="center"/>
            <w:hideMark/>
          </w:tcPr>
          <w:p w14:paraId="112BA995"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7.4</w:t>
            </w:r>
          </w:p>
        </w:tc>
        <w:tc>
          <w:tcPr>
            <w:tcW w:w="746" w:type="pct"/>
            <w:shd w:val="clear" w:color="auto" w:fill="auto"/>
            <w:noWrap/>
            <w:vAlign w:val="center"/>
            <w:hideMark/>
          </w:tcPr>
          <w:p w14:paraId="53157E83"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295,456</w:t>
            </w:r>
          </w:p>
        </w:tc>
        <w:tc>
          <w:tcPr>
            <w:tcW w:w="746" w:type="pct"/>
            <w:shd w:val="clear" w:color="000000" w:fill="FFFFFF"/>
            <w:vAlign w:val="center"/>
            <w:hideMark/>
          </w:tcPr>
          <w:p w14:paraId="7AA34911"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4</w:t>
            </w:r>
          </w:p>
        </w:tc>
        <w:tc>
          <w:tcPr>
            <w:tcW w:w="746" w:type="pct"/>
            <w:shd w:val="clear" w:color="000000" w:fill="FFFFFF"/>
            <w:vAlign w:val="center"/>
            <w:hideMark/>
          </w:tcPr>
          <w:p w14:paraId="65371D71"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0</w:t>
            </w:r>
          </w:p>
        </w:tc>
      </w:tr>
      <w:tr w:rsidR="00B84D1F" w:rsidRPr="00842C1A" w14:paraId="00B51160" w14:textId="77777777" w:rsidTr="00E44DDA">
        <w:trPr>
          <w:trHeight w:val="300"/>
        </w:trPr>
        <w:tc>
          <w:tcPr>
            <w:tcW w:w="468" w:type="pct"/>
            <w:shd w:val="clear" w:color="auto" w:fill="auto"/>
            <w:vAlign w:val="center"/>
            <w:hideMark/>
          </w:tcPr>
          <w:p w14:paraId="2C8D676F"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2011</w:t>
            </w:r>
          </w:p>
        </w:tc>
        <w:tc>
          <w:tcPr>
            <w:tcW w:w="764" w:type="pct"/>
            <w:shd w:val="clear" w:color="auto" w:fill="auto"/>
            <w:noWrap/>
            <w:vAlign w:val="center"/>
            <w:hideMark/>
          </w:tcPr>
          <w:p w14:paraId="2881CF9F"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3.0</w:t>
            </w:r>
          </w:p>
        </w:tc>
        <w:tc>
          <w:tcPr>
            <w:tcW w:w="765" w:type="pct"/>
            <w:shd w:val="clear" w:color="auto" w:fill="auto"/>
            <w:noWrap/>
            <w:vAlign w:val="center"/>
            <w:hideMark/>
          </w:tcPr>
          <w:p w14:paraId="1706D55D"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5.0</w:t>
            </w:r>
          </w:p>
        </w:tc>
        <w:tc>
          <w:tcPr>
            <w:tcW w:w="765" w:type="pct"/>
            <w:shd w:val="clear" w:color="auto" w:fill="auto"/>
            <w:noWrap/>
            <w:vAlign w:val="center"/>
            <w:hideMark/>
          </w:tcPr>
          <w:p w14:paraId="7C341903"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8.4</w:t>
            </w:r>
          </w:p>
        </w:tc>
        <w:tc>
          <w:tcPr>
            <w:tcW w:w="746" w:type="pct"/>
            <w:shd w:val="clear" w:color="auto" w:fill="auto"/>
            <w:noWrap/>
            <w:vAlign w:val="center"/>
            <w:hideMark/>
          </w:tcPr>
          <w:p w14:paraId="75B08C2F"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297,343</w:t>
            </w:r>
          </w:p>
        </w:tc>
        <w:tc>
          <w:tcPr>
            <w:tcW w:w="746" w:type="pct"/>
            <w:shd w:val="clear" w:color="000000" w:fill="FFFFFF"/>
            <w:vAlign w:val="center"/>
            <w:hideMark/>
          </w:tcPr>
          <w:p w14:paraId="10FEF045"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w:t>
            </w:r>
          </w:p>
        </w:tc>
        <w:tc>
          <w:tcPr>
            <w:tcW w:w="746" w:type="pct"/>
            <w:shd w:val="clear" w:color="000000" w:fill="FFFFFF"/>
            <w:vAlign w:val="center"/>
            <w:hideMark/>
          </w:tcPr>
          <w:p w14:paraId="1F545106"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0</w:t>
            </w:r>
          </w:p>
        </w:tc>
      </w:tr>
      <w:tr w:rsidR="00B84D1F" w:rsidRPr="00842C1A" w14:paraId="204CDEB6" w14:textId="77777777" w:rsidTr="00E44DDA">
        <w:trPr>
          <w:trHeight w:val="300"/>
        </w:trPr>
        <w:tc>
          <w:tcPr>
            <w:tcW w:w="468" w:type="pct"/>
            <w:shd w:val="clear" w:color="auto" w:fill="auto"/>
            <w:vAlign w:val="center"/>
            <w:hideMark/>
          </w:tcPr>
          <w:p w14:paraId="3D683A36"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2012</w:t>
            </w:r>
          </w:p>
        </w:tc>
        <w:tc>
          <w:tcPr>
            <w:tcW w:w="764" w:type="pct"/>
            <w:shd w:val="clear" w:color="auto" w:fill="auto"/>
            <w:noWrap/>
            <w:vAlign w:val="center"/>
            <w:hideMark/>
          </w:tcPr>
          <w:p w14:paraId="54004AB0"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5.2</w:t>
            </w:r>
          </w:p>
        </w:tc>
        <w:tc>
          <w:tcPr>
            <w:tcW w:w="765" w:type="pct"/>
            <w:shd w:val="clear" w:color="auto" w:fill="auto"/>
            <w:noWrap/>
            <w:vAlign w:val="center"/>
            <w:hideMark/>
          </w:tcPr>
          <w:p w14:paraId="2A3E1DCD"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2.9</w:t>
            </w:r>
          </w:p>
        </w:tc>
        <w:tc>
          <w:tcPr>
            <w:tcW w:w="765" w:type="pct"/>
            <w:shd w:val="clear" w:color="auto" w:fill="auto"/>
            <w:noWrap/>
            <w:vAlign w:val="center"/>
            <w:hideMark/>
          </w:tcPr>
          <w:p w14:paraId="2C0A0F79"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8.1</w:t>
            </w:r>
          </w:p>
        </w:tc>
        <w:tc>
          <w:tcPr>
            <w:tcW w:w="746" w:type="pct"/>
            <w:shd w:val="clear" w:color="auto" w:fill="auto"/>
            <w:noWrap/>
            <w:vAlign w:val="center"/>
            <w:hideMark/>
          </w:tcPr>
          <w:p w14:paraId="1900722C"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307,570</w:t>
            </w:r>
          </w:p>
        </w:tc>
        <w:tc>
          <w:tcPr>
            <w:tcW w:w="746" w:type="pct"/>
            <w:shd w:val="clear" w:color="000000" w:fill="FFFFFF"/>
            <w:vAlign w:val="center"/>
            <w:hideMark/>
          </w:tcPr>
          <w:p w14:paraId="4128B3F6"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w:t>
            </w:r>
          </w:p>
        </w:tc>
        <w:tc>
          <w:tcPr>
            <w:tcW w:w="746" w:type="pct"/>
            <w:shd w:val="clear" w:color="000000" w:fill="FFFFFF"/>
            <w:vAlign w:val="center"/>
            <w:hideMark/>
          </w:tcPr>
          <w:p w14:paraId="518CC420"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0</w:t>
            </w:r>
          </w:p>
        </w:tc>
      </w:tr>
      <w:tr w:rsidR="00B84D1F" w:rsidRPr="00842C1A" w14:paraId="48F61418" w14:textId="77777777" w:rsidTr="00E44DDA">
        <w:trPr>
          <w:trHeight w:val="300"/>
        </w:trPr>
        <w:tc>
          <w:tcPr>
            <w:tcW w:w="468" w:type="pct"/>
            <w:shd w:val="clear" w:color="auto" w:fill="auto"/>
            <w:vAlign w:val="center"/>
            <w:hideMark/>
          </w:tcPr>
          <w:p w14:paraId="4008B2DA"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2013</w:t>
            </w:r>
          </w:p>
        </w:tc>
        <w:tc>
          <w:tcPr>
            <w:tcW w:w="764" w:type="pct"/>
            <w:shd w:val="clear" w:color="auto" w:fill="auto"/>
            <w:noWrap/>
            <w:vAlign w:val="center"/>
            <w:hideMark/>
          </w:tcPr>
          <w:p w14:paraId="082305CA"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2.3</w:t>
            </w:r>
          </w:p>
        </w:tc>
        <w:tc>
          <w:tcPr>
            <w:tcW w:w="765" w:type="pct"/>
            <w:shd w:val="clear" w:color="auto" w:fill="auto"/>
            <w:noWrap/>
            <w:vAlign w:val="center"/>
            <w:hideMark/>
          </w:tcPr>
          <w:p w14:paraId="42A1C61D"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3.0</w:t>
            </w:r>
          </w:p>
        </w:tc>
        <w:tc>
          <w:tcPr>
            <w:tcW w:w="765" w:type="pct"/>
            <w:shd w:val="clear" w:color="auto" w:fill="auto"/>
            <w:noWrap/>
            <w:vAlign w:val="center"/>
            <w:hideMark/>
          </w:tcPr>
          <w:p w14:paraId="533A150F"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5.2</w:t>
            </w:r>
          </w:p>
        </w:tc>
        <w:tc>
          <w:tcPr>
            <w:tcW w:w="746" w:type="pct"/>
            <w:shd w:val="clear" w:color="auto" w:fill="auto"/>
            <w:noWrap/>
            <w:vAlign w:val="center"/>
            <w:hideMark/>
          </w:tcPr>
          <w:p w14:paraId="7646C812"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304,777</w:t>
            </w:r>
          </w:p>
        </w:tc>
        <w:tc>
          <w:tcPr>
            <w:tcW w:w="746" w:type="pct"/>
            <w:shd w:val="clear" w:color="000000" w:fill="FFFFFF"/>
            <w:vAlign w:val="center"/>
            <w:hideMark/>
          </w:tcPr>
          <w:p w14:paraId="147662C3"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w:t>
            </w:r>
          </w:p>
        </w:tc>
        <w:tc>
          <w:tcPr>
            <w:tcW w:w="746" w:type="pct"/>
            <w:shd w:val="clear" w:color="000000" w:fill="FFFFFF"/>
            <w:vAlign w:val="center"/>
            <w:hideMark/>
          </w:tcPr>
          <w:p w14:paraId="1CB78F02"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0</w:t>
            </w:r>
          </w:p>
        </w:tc>
      </w:tr>
      <w:tr w:rsidR="00B84D1F" w:rsidRPr="00842C1A" w14:paraId="34D3D791" w14:textId="77777777" w:rsidTr="00E44DDA">
        <w:trPr>
          <w:trHeight w:val="300"/>
        </w:trPr>
        <w:tc>
          <w:tcPr>
            <w:tcW w:w="468" w:type="pct"/>
            <w:shd w:val="clear" w:color="auto" w:fill="auto"/>
            <w:vAlign w:val="center"/>
            <w:hideMark/>
          </w:tcPr>
          <w:p w14:paraId="236DCACA"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2014</w:t>
            </w:r>
          </w:p>
        </w:tc>
        <w:tc>
          <w:tcPr>
            <w:tcW w:w="764" w:type="pct"/>
            <w:shd w:val="clear" w:color="auto" w:fill="auto"/>
            <w:noWrap/>
            <w:vAlign w:val="center"/>
            <w:hideMark/>
          </w:tcPr>
          <w:p w14:paraId="3E9889B2"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3.6</w:t>
            </w:r>
          </w:p>
        </w:tc>
        <w:tc>
          <w:tcPr>
            <w:tcW w:w="765" w:type="pct"/>
            <w:shd w:val="clear" w:color="auto" w:fill="auto"/>
            <w:noWrap/>
            <w:vAlign w:val="center"/>
            <w:hideMark/>
          </w:tcPr>
          <w:p w14:paraId="7CE749DA"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3.2</w:t>
            </w:r>
          </w:p>
        </w:tc>
        <w:tc>
          <w:tcPr>
            <w:tcW w:w="765" w:type="pct"/>
            <w:shd w:val="clear" w:color="auto" w:fill="auto"/>
            <w:noWrap/>
            <w:vAlign w:val="center"/>
            <w:hideMark/>
          </w:tcPr>
          <w:p w14:paraId="50092861"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7.1</w:t>
            </w:r>
          </w:p>
        </w:tc>
        <w:tc>
          <w:tcPr>
            <w:tcW w:w="746" w:type="pct"/>
            <w:shd w:val="clear" w:color="auto" w:fill="auto"/>
            <w:noWrap/>
            <w:vAlign w:val="center"/>
            <w:hideMark/>
          </w:tcPr>
          <w:p w14:paraId="0A5EF891"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307,844</w:t>
            </w:r>
          </w:p>
        </w:tc>
        <w:tc>
          <w:tcPr>
            <w:tcW w:w="746" w:type="pct"/>
            <w:shd w:val="clear" w:color="000000" w:fill="FFFFFF"/>
            <w:vAlign w:val="center"/>
            <w:hideMark/>
          </w:tcPr>
          <w:p w14:paraId="787298A8"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w:t>
            </w:r>
          </w:p>
        </w:tc>
        <w:tc>
          <w:tcPr>
            <w:tcW w:w="746" w:type="pct"/>
            <w:shd w:val="clear" w:color="000000" w:fill="FFFFFF"/>
            <w:vAlign w:val="center"/>
            <w:hideMark/>
          </w:tcPr>
          <w:p w14:paraId="5F5757E5"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0</w:t>
            </w:r>
          </w:p>
        </w:tc>
      </w:tr>
      <w:tr w:rsidR="00B84D1F" w:rsidRPr="00842C1A" w14:paraId="7693A010" w14:textId="77777777" w:rsidTr="00E44DDA">
        <w:trPr>
          <w:trHeight w:val="300"/>
        </w:trPr>
        <w:tc>
          <w:tcPr>
            <w:tcW w:w="468" w:type="pct"/>
            <w:shd w:val="clear" w:color="auto" w:fill="auto"/>
            <w:vAlign w:val="center"/>
            <w:hideMark/>
          </w:tcPr>
          <w:p w14:paraId="3E019451"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2015</w:t>
            </w:r>
          </w:p>
        </w:tc>
        <w:tc>
          <w:tcPr>
            <w:tcW w:w="764" w:type="pct"/>
            <w:shd w:val="clear" w:color="auto" w:fill="auto"/>
            <w:noWrap/>
            <w:vAlign w:val="center"/>
            <w:hideMark/>
          </w:tcPr>
          <w:p w14:paraId="60065DF5"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2.0</w:t>
            </w:r>
          </w:p>
        </w:tc>
        <w:tc>
          <w:tcPr>
            <w:tcW w:w="765" w:type="pct"/>
            <w:shd w:val="clear" w:color="auto" w:fill="auto"/>
            <w:noWrap/>
            <w:vAlign w:val="center"/>
            <w:hideMark/>
          </w:tcPr>
          <w:p w14:paraId="6F4F6C59"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3.6</w:t>
            </w:r>
          </w:p>
        </w:tc>
        <w:tc>
          <w:tcPr>
            <w:tcW w:w="765" w:type="pct"/>
            <w:shd w:val="clear" w:color="auto" w:fill="auto"/>
            <w:noWrap/>
            <w:vAlign w:val="center"/>
            <w:hideMark/>
          </w:tcPr>
          <w:p w14:paraId="54FC8532"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5.6</w:t>
            </w:r>
          </w:p>
        </w:tc>
        <w:tc>
          <w:tcPr>
            <w:tcW w:w="746" w:type="pct"/>
            <w:shd w:val="clear" w:color="auto" w:fill="auto"/>
            <w:noWrap/>
            <w:vAlign w:val="center"/>
            <w:hideMark/>
          </w:tcPr>
          <w:p w14:paraId="768EBA89"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304,268</w:t>
            </w:r>
          </w:p>
        </w:tc>
        <w:tc>
          <w:tcPr>
            <w:tcW w:w="746" w:type="pct"/>
            <w:shd w:val="clear" w:color="000000" w:fill="FFFFFF"/>
            <w:vAlign w:val="center"/>
            <w:hideMark/>
          </w:tcPr>
          <w:p w14:paraId="5C96FEC5"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w:t>
            </w:r>
          </w:p>
        </w:tc>
        <w:tc>
          <w:tcPr>
            <w:tcW w:w="746" w:type="pct"/>
            <w:shd w:val="clear" w:color="000000" w:fill="FFFFFF"/>
            <w:vAlign w:val="center"/>
            <w:hideMark/>
          </w:tcPr>
          <w:p w14:paraId="27B8C613"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0</w:t>
            </w:r>
          </w:p>
        </w:tc>
      </w:tr>
      <w:tr w:rsidR="00B84D1F" w:rsidRPr="00842C1A" w14:paraId="7EBE4B8D" w14:textId="77777777" w:rsidTr="00E44DDA">
        <w:trPr>
          <w:trHeight w:val="300"/>
        </w:trPr>
        <w:tc>
          <w:tcPr>
            <w:tcW w:w="468" w:type="pct"/>
            <w:shd w:val="clear" w:color="auto" w:fill="auto"/>
            <w:vAlign w:val="center"/>
            <w:hideMark/>
          </w:tcPr>
          <w:p w14:paraId="18708BDD"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2016</w:t>
            </w:r>
          </w:p>
        </w:tc>
        <w:tc>
          <w:tcPr>
            <w:tcW w:w="764" w:type="pct"/>
            <w:shd w:val="clear" w:color="auto" w:fill="auto"/>
            <w:noWrap/>
            <w:vAlign w:val="center"/>
            <w:hideMark/>
          </w:tcPr>
          <w:p w14:paraId="14802D98"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4.2</w:t>
            </w:r>
          </w:p>
        </w:tc>
        <w:tc>
          <w:tcPr>
            <w:tcW w:w="765" w:type="pct"/>
            <w:shd w:val="clear" w:color="auto" w:fill="auto"/>
            <w:noWrap/>
            <w:vAlign w:val="center"/>
            <w:hideMark/>
          </w:tcPr>
          <w:p w14:paraId="1461D7E5"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3.5</w:t>
            </w:r>
          </w:p>
        </w:tc>
        <w:tc>
          <w:tcPr>
            <w:tcW w:w="765" w:type="pct"/>
            <w:shd w:val="clear" w:color="auto" w:fill="auto"/>
            <w:noWrap/>
            <w:vAlign w:val="center"/>
            <w:hideMark/>
          </w:tcPr>
          <w:p w14:paraId="08A41E19"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7.7</w:t>
            </w:r>
          </w:p>
        </w:tc>
        <w:tc>
          <w:tcPr>
            <w:tcW w:w="746" w:type="pct"/>
            <w:shd w:val="clear" w:color="auto" w:fill="auto"/>
            <w:noWrap/>
            <w:vAlign w:val="center"/>
            <w:hideMark/>
          </w:tcPr>
          <w:p w14:paraId="1B235783"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310,247</w:t>
            </w:r>
          </w:p>
        </w:tc>
        <w:tc>
          <w:tcPr>
            <w:tcW w:w="746" w:type="pct"/>
            <w:shd w:val="clear" w:color="000000" w:fill="FFFFFF"/>
            <w:vAlign w:val="center"/>
            <w:hideMark/>
          </w:tcPr>
          <w:p w14:paraId="35E0F96F"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w:t>
            </w:r>
          </w:p>
        </w:tc>
        <w:tc>
          <w:tcPr>
            <w:tcW w:w="746" w:type="pct"/>
            <w:shd w:val="clear" w:color="000000" w:fill="FFFFFF"/>
            <w:vAlign w:val="center"/>
            <w:hideMark/>
          </w:tcPr>
          <w:p w14:paraId="12CDDDAF"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1</w:t>
            </w:r>
          </w:p>
        </w:tc>
      </w:tr>
      <w:tr w:rsidR="00B84D1F" w:rsidRPr="00842C1A" w14:paraId="334DABFF" w14:textId="77777777" w:rsidTr="00E44DDA">
        <w:trPr>
          <w:trHeight w:val="300"/>
        </w:trPr>
        <w:tc>
          <w:tcPr>
            <w:tcW w:w="468" w:type="pct"/>
            <w:shd w:val="clear" w:color="auto" w:fill="auto"/>
            <w:vAlign w:val="center"/>
            <w:hideMark/>
          </w:tcPr>
          <w:p w14:paraId="65655D47"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2017</w:t>
            </w:r>
          </w:p>
        </w:tc>
        <w:tc>
          <w:tcPr>
            <w:tcW w:w="764" w:type="pct"/>
            <w:shd w:val="clear" w:color="auto" w:fill="auto"/>
            <w:noWrap/>
            <w:vAlign w:val="center"/>
            <w:hideMark/>
          </w:tcPr>
          <w:p w14:paraId="7CB77F0C"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1.3</w:t>
            </w:r>
          </w:p>
        </w:tc>
        <w:tc>
          <w:tcPr>
            <w:tcW w:w="765" w:type="pct"/>
            <w:shd w:val="clear" w:color="auto" w:fill="auto"/>
            <w:noWrap/>
            <w:vAlign w:val="center"/>
            <w:hideMark/>
          </w:tcPr>
          <w:p w14:paraId="2691EE84"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4.3</w:t>
            </w:r>
          </w:p>
        </w:tc>
        <w:tc>
          <w:tcPr>
            <w:tcW w:w="765" w:type="pct"/>
            <w:shd w:val="clear" w:color="auto" w:fill="auto"/>
            <w:noWrap/>
            <w:vAlign w:val="center"/>
            <w:hideMark/>
          </w:tcPr>
          <w:p w14:paraId="4777FADF"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5.6</w:t>
            </w:r>
          </w:p>
        </w:tc>
        <w:tc>
          <w:tcPr>
            <w:tcW w:w="746" w:type="pct"/>
            <w:shd w:val="clear" w:color="auto" w:fill="auto"/>
            <w:noWrap/>
            <w:vAlign w:val="center"/>
            <w:hideMark/>
          </w:tcPr>
          <w:p w14:paraId="60E00A56"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301,095</w:t>
            </w:r>
          </w:p>
        </w:tc>
        <w:tc>
          <w:tcPr>
            <w:tcW w:w="746" w:type="pct"/>
            <w:shd w:val="clear" w:color="000000" w:fill="FFFFFF"/>
            <w:vAlign w:val="center"/>
            <w:hideMark/>
          </w:tcPr>
          <w:p w14:paraId="0DF97078"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7</w:t>
            </w:r>
          </w:p>
        </w:tc>
        <w:tc>
          <w:tcPr>
            <w:tcW w:w="746" w:type="pct"/>
            <w:shd w:val="clear" w:color="000000" w:fill="FFFFFF"/>
            <w:vAlign w:val="center"/>
            <w:hideMark/>
          </w:tcPr>
          <w:p w14:paraId="355C5C4C"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0</w:t>
            </w:r>
          </w:p>
        </w:tc>
      </w:tr>
      <w:tr w:rsidR="00B84D1F" w:rsidRPr="00842C1A" w14:paraId="129C5DF9" w14:textId="77777777" w:rsidTr="00E44DDA">
        <w:trPr>
          <w:trHeight w:val="300"/>
        </w:trPr>
        <w:tc>
          <w:tcPr>
            <w:tcW w:w="468" w:type="pct"/>
            <w:shd w:val="clear" w:color="000000" w:fill="FFFFFF"/>
            <w:vAlign w:val="center"/>
            <w:hideMark/>
          </w:tcPr>
          <w:p w14:paraId="45CC2E0D" w14:textId="77777777" w:rsidR="00320F74" w:rsidRPr="006237B3" w:rsidRDefault="00320F74" w:rsidP="00785EFF">
            <w:pPr>
              <w:rPr>
                <w:rFonts w:cstheme="minorHAnsi"/>
                <w:color w:val="000000"/>
                <w:sz w:val="20"/>
                <w:szCs w:val="20"/>
              </w:rPr>
            </w:pPr>
            <w:r w:rsidRPr="006237B3">
              <w:rPr>
                <w:rFonts w:cstheme="minorHAnsi"/>
                <w:color w:val="000000"/>
                <w:sz w:val="20"/>
                <w:szCs w:val="20"/>
              </w:rPr>
              <w:t>2018</w:t>
            </w:r>
          </w:p>
        </w:tc>
        <w:tc>
          <w:tcPr>
            <w:tcW w:w="764" w:type="pct"/>
            <w:shd w:val="clear" w:color="000000" w:fill="FFFFFF"/>
            <w:noWrap/>
            <w:vAlign w:val="center"/>
            <w:hideMark/>
          </w:tcPr>
          <w:p w14:paraId="24E65471"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3.3</w:t>
            </w:r>
          </w:p>
        </w:tc>
        <w:tc>
          <w:tcPr>
            <w:tcW w:w="765" w:type="pct"/>
            <w:shd w:val="clear" w:color="000000" w:fill="FFFFFF"/>
            <w:noWrap/>
            <w:vAlign w:val="center"/>
            <w:hideMark/>
          </w:tcPr>
          <w:p w14:paraId="33422C26"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1.7</w:t>
            </w:r>
          </w:p>
        </w:tc>
        <w:tc>
          <w:tcPr>
            <w:tcW w:w="765" w:type="pct"/>
            <w:shd w:val="clear" w:color="000000" w:fill="FFFFFF"/>
            <w:noWrap/>
            <w:vAlign w:val="center"/>
            <w:hideMark/>
          </w:tcPr>
          <w:p w14:paraId="0CA47105"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5.0</w:t>
            </w:r>
          </w:p>
        </w:tc>
        <w:tc>
          <w:tcPr>
            <w:tcW w:w="746" w:type="pct"/>
            <w:shd w:val="clear" w:color="000000" w:fill="FFFFFF"/>
            <w:noWrap/>
            <w:vAlign w:val="center"/>
            <w:hideMark/>
          </w:tcPr>
          <w:p w14:paraId="1B907DAC"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298,630</w:t>
            </w:r>
          </w:p>
        </w:tc>
        <w:tc>
          <w:tcPr>
            <w:tcW w:w="746" w:type="pct"/>
            <w:shd w:val="clear" w:color="000000" w:fill="FFFFFF"/>
            <w:vAlign w:val="center"/>
            <w:hideMark/>
          </w:tcPr>
          <w:p w14:paraId="1131F373"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w:t>
            </w:r>
          </w:p>
        </w:tc>
        <w:tc>
          <w:tcPr>
            <w:tcW w:w="746" w:type="pct"/>
            <w:shd w:val="clear" w:color="000000" w:fill="FFFFFF"/>
            <w:vAlign w:val="center"/>
            <w:hideMark/>
          </w:tcPr>
          <w:p w14:paraId="44552C96"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w:t>
            </w:r>
          </w:p>
        </w:tc>
      </w:tr>
      <w:tr w:rsidR="00B84D1F" w:rsidRPr="00842C1A" w14:paraId="18383FA2" w14:textId="77777777" w:rsidTr="00E44DDA">
        <w:trPr>
          <w:trHeight w:val="300"/>
        </w:trPr>
        <w:tc>
          <w:tcPr>
            <w:tcW w:w="468" w:type="pct"/>
            <w:shd w:val="clear" w:color="000000" w:fill="FFFFFF"/>
            <w:vAlign w:val="center"/>
            <w:hideMark/>
          </w:tcPr>
          <w:p w14:paraId="13CDC704" w14:textId="5AF192ED" w:rsidR="00320F74" w:rsidRPr="006237B3" w:rsidRDefault="00320F74" w:rsidP="00785EFF">
            <w:pPr>
              <w:rPr>
                <w:rFonts w:cstheme="minorHAnsi"/>
                <w:color w:val="000000"/>
                <w:sz w:val="20"/>
                <w:szCs w:val="20"/>
              </w:rPr>
            </w:pPr>
            <w:r w:rsidRPr="006237B3">
              <w:rPr>
                <w:rFonts w:cstheme="minorHAnsi"/>
                <w:color w:val="000000"/>
                <w:sz w:val="20"/>
                <w:szCs w:val="20"/>
              </w:rPr>
              <w:t>2019</w:t>
            </w:r>
            <w:r w:rsidR="00B84D1F" w:rsidRPr="00E44DDA">
              <w:rPr>
                <w:rFonts w:cstheme="minorHAnsi"/>
                <w:sz w:val="20"/>
                <w:szCs w:val="20"/>
                <w:vertAlign w:val="superscript"/>
              </w:rPr>
              <w:t>(a)</w:t>
            </w:r>
          </w:p>
        </w:tc>
        <w:tc>
          <w:tcPr>
            <w:tcW w:w="764" w:type="pct"/>
            <w:shd w:val="clear" w:color="000000" w:fill="FFFFFF"/>
            <w:noWrap/>
            <w:vAlign w:val="center"/>
            <w:hideMark/>
          </w:tcPr>
          <w:p w14:paraId="4231EF62"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3.8</w:t>
            </w:r>
          </w:p>
        </w:tc>
        <w:tc>
          <w:tcPr>
            <w:tcW w:w="765" w:type="pct"/>
            <w:shd w:val="clear" w:color="000000" w:fill="FFFFFF"/>
            <w:noWrap/>
            <w:vAlign w:val="center"/>
            <w:hideMark/>
          </w:tcPr>
          <w:p w14:paraId="10B9613D"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2.6</w:t>
            </w:r>
          </w:p>
        </w:tc>
        <w:tc>
          <w:tcPr>
            <w:tcW w:w="765" w:type="pct"/>
            <w:shd w:val="clear" w:color="000000" w:fill="FFFFFF"/>
            <w:noWrap/>
            <w:vAlign w:val="center"/>
            <w:hideMark/>
          </w:tcPr>
          <w:p w14:paraId="32D42472"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6.4</w:t>
            </w:r>
          </w:p>
        </w:tc>
        <w:tc>
          <w:tcPr>
            <w:tcW w:w="746" w:type="pct"/>
            <w:shd w:val="clear" w:color="000000" w:fill="FFFFFF"/>
            <w:noWrap/>
            <w:vAlign w:val="center"/>
            <w:hideMark/>
          </w:tcPr>
          <w:p w14:paraId="0F87079A"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265,699</w:t>
            </w:r>
          </w:p>
        </w:tc>
        <w:tc>
          <w:tcPr>
            <w:tcW w:w="746" w:type="pct"/>
            <w:shd w:val="clear" w:color="000000" w:fill="FFFFFF"/>
            <w:vAlign w:val="center"/>
            <w:hideMark/>
          </w:tcPr>
          <w:p w14:paraId="4A3B5EC9"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3</w:t>
            </w:r>
          </w:p>
        </w:tc>
        <w:tc>
          <w:tcPr>
            <w:tcW w:w="746" w:type="pct"/>
            <w:shd w:val="clear" w:color="000000" w:fill="FFFFFF"/>
            <w:vAlign w:val="center"/>
            <w:hideMark/>
          </w:tcPr>
          <w:p w14:paraId="62B01591" w14:textId="77777777" w:rsidR="00320F74" w:rsidRPr="006237B3" w:rsidRDefault="00320F74" w:rsidP="00785EFF">
            <w:pPr>
              <w:jc w:val="right"/>
              <w:rPr>
                <w:rFonts w:cstheme="minorHAnsi"/>
                <w:color w:val="000000"/>
                <w:sz w:val="20"/>
                <w:szCs w:val="20"/>
              </w:rPr>
            </w:pPr>
            <w:r w:rsidRPr="006237B3">
              <w:rPr>
                <w:rFonts w:cstheme="minorHAnsi"/>
                <w:color w:val="000000"/>
                <w:sz w:val="20"/>
                <w:szCs w:val="20"/>
              </w:rPr>
              <w:t>1</w:t>
            </w:r>
          </w:p>
        </w:tc>
      </w:tr>
      <w:tr w:rsidR="00B84D1F" w:rsidRPr="00842C1A" w14:paraId="17703FE6" w14:textId="77777777" w:rsidTr="00E44DDA">
        <w:trPr>
          <w:trHeight w:val="300"/>
        </w:trPr>
        <w:tc>
          <w:tcPr>
            <w:tcW w:w="468" w:type="pct"/>
            <w:shd w:val="clear" w:color="auto" w:fill="auto"/>
            <w:vAlign w:val="center"/>
            <w:hideMark/>
          </w:tcPr>
          <w:p w14:paraId="40EDE92B" w14:textId="77777777" w:rsidR="00320F74" w:rsidRPr="006237B3" w:rsidRDefault="00320F74" w:rsidP="00E44DDA">
            <w:pPr>
              <w:jc w:val="right"/>
              <w:rPr>
                <w:rFonts w:cstheme="minorHAnsi"/>
                <w:b/>
                <w:bCs/>
                <w:color w:val="000000"/>
                <w:sz w:val="20"/>
                <w:szCs w:val="20"/>
              </w:rPr>
            </w:pPr>
            <w:r w:rsidRPr="006237B3">
              <w:rPr>
                <w:rFonts w:cstheme="minorHAnsi"/>
                <w:b/>
                <w:bCs/>
                <w:color w:val="000000"/>
                <w:sz w:val="20"/>
                <w:szCs w:val="20"/>
              </w:rPr>
              <w:t>Total</w:t>
            </w:r>
          </w:p>
        </w:tc>
        <w:tc>
          <w:tcPr>
            <w:tcW w:w="764" w:type="pct"/>
            <w:shd w:val="clear" w:color="000000" w:fill="FFFFFF"/>
            <w:noWrap/>
            <w:vAlign w:val="center"/>
            <w:hideMark/>
          </w:tcPr>
          <w:p w14:paraId="68C57A49" w14:textId="77777777" w:rsidR="00320F74" w:rsidRPr="006237B3" w:rsidRDefault="00320F74" w:rsidP="00785EFF">
            <w:pPr>
              <w:jc w:val="right"/>
              <w:rPr>
                <w:rFonts w:cstheme="minorHAnsi"/>
                <w:b/>
                <w:bCs/>
                <w:color w:val="000000"/>
                <w:sz w:val="20"/>
                <w:szCs w:val="20"/>
              </w:rPr>
            </w:pPr>
            <w:r w:rsidRPr="006237B3">
              <w:rPr>
                <w:rFonts w:cstheme="minorHAnsi"/>
                <w:b/>
                <w:bCs/>
                <w:color w:val="000000"/>
                <w:sz w:val="20"/>
                <w:szCs w:val="20"/>
              </w:rPr>
              <w:t>3.2</w:t>
            </w:r>
          </w:p>
        </w:tc>
        <w:tc>
          <w:tcPr>
            <w:tcW w:w="765" w:type="pct"/>
            <w:shd w:val="clear" w:color="000000" w:fill="FFFFFF"/>
            <w:noWrap/>
            <w:vAlign w:val="center"/>
            <w:hideMark/>
          </w:tcPr>
          <w:p w14:paraId="7AF12965" w14:textId="77777777" w:rsidR="00320F74" w:rsidRPr="006237B3" w:rsidRDefault="00320F74" w:rsidP="00785EFF">
            <w:pPr>
              <w:jc w:val="right"/>
              <w:rPr>
                <w:rFonts w:cstheme="minorHAnsi"/>
                <w:b/>
                <w:bCs/>
                <w:color w:val="000000"/>
                <w:sz w:val="20"/>
                <w:szCs w:val="20"/>
              </w:rPr>
            </w:pPr>
            <w:r w:rsidRPr="006237B3">
              <w:rPr>
                <w:rFonts w:cstheme="minorHAnsi"/>
                <w:b/>
                <w:bCs/>
                <w:color w:val="000000"/>
                <w:sz w:val="20"/>
                <w:szCs w:val="20"/>
              </w:rPr>
              <w:t>3.3</w:t>
            </w:r>
          </w:p>
        </w:tc>
        <w:tc>
          <w:tcPr>
            <w:tcW w:w="765" w:type="pct"/>
            <w:shd w:val="clear" w:color="000000" w:fill="FFFFFF"/>
            <w:noWrap/>
            <w:vAlign w:val="center"/>
            <w:hideMark/>
          </w:tcPr>
          <w:p w14:paraId="10CDF098" w14:textId="77777777" w:rsidR="00320F74" w:rsidRPr="006237B3" w:rsidRDefault="00320F74" w:rsidP="00785EFF">
            <w:pPr>
              <w:jc w:val="right"/>
              <w:rPr>
                <w:rFonts w:cstheme="minorHAnsi"/>
                <w:b/>
                <w:bCs/>
                <w:color w:val="000000"/>
                <w:sz w:val="20"/>
                <w:szCs w:val="20"/>
              </w:rPr>
            </w:pPr>
            <w:r w:rsidRPr="006237B3">
              <w:rPr>
                <w:rFonts w:cstheme="minorHAnsi"/>
                <w:b/>
                <w:bCs/>
                <w:color w:val="000000"/>
                <w:sz w:val="20"/>
                <w:szCs w:val="20"/>
              </w:rPr>
              <w:t>6.7</w:t>
            </w:r>
          </w:p>
        </w:tc>
        <w:tc>
          <w:tcPr>
            <w:tcW w:w="746" w:type="pct"/>
            <w:shd w:val="clear" w:color="000000" w:fill="FFFFFF"/>
            <w:noWrap/>
            <w:vAlign w:val="center"/>
            <w:hideMark/>
          </w:tcPr>
          <w:p w14:paraId="4793B615" w14:textId="77777777" w:rsidR="00320F74" w:rsidRPr="006237B3" w:rsidRDefault="00320F74" w:rsidP="00785EFF">
            <w:pPr>
              <w:jc w:val="right"/>
              <w:rPr>
                <w:rFonts w:cstheme="minorHAnsi"/>
                <w:b/>
                <w:bCs/>
                <w:color w:val="000000"/>
                <w:sz w:val="20"/>
                <w:szCs w:val="20"/>
              </w:rPr>
            </w:pPr>
            <w:r w:rsidRPr="006237B3">
              <w:rPr>
                <w:rFonts w:cstheme="minorHAnsi"/>
                <w:b/>
                <w:bCs/>
                <w:color w:val="000000"/>
                <w:sz w:val="20"/>
                <w:szCs w:val="20"/>
              </w:rPr>
              <w:t>2,992,929</w:t>
            </w:r>
          </w:p>
        </w:tc>
        <w:tc>
          <w:tcPr>
            <w:tcW w:w="746" w:type="pct"/>
            <w:shd w:val="clear" w:color="000000" w:fill="FFFFFF"/>
            <w:noWrap/>
            <w:vAlign w:val="center"/>
            <w:hideMark/>
          </w:tcPr>
          <w:p w14:paraId="08BD2CAF" w14:textId="77777777" w:rsidR="00320F74" w:rsidRPr="006237B3" w:rsidRDefault="00320F74" w:rsidP="00785EFF">
            <w:pPr>
              <w:jc w:val="right"/>
              <w:rPr>
                <w:rFonts w:cstheme="minorHAnsi"/>
                <w:b/>
                <w:bCs/>
                <w:color w:val="000000"/>
                <w:sz w:val="20"/>
                <w:szCs w:val="20"/>
              </w:rPr>
            </w:pPr>
            <w:r w:rsidRPr="006237B3">
              <w:rPr>
                <w:rFonts w:cstheme="minorHAnsi"/>
                <w:b/>
                <w:bCs/>
                <w:color w:val="000000"/>
                <w:sz w:val="20"/>
                <w:szCs w:val="20"/>
              </w:rPr>
              <w:t>41</w:t>
            </w:r>
          </w:p>
        </w:tc>
        <w:tc>
          <w:tcPr>
            <w:tcW w:w="746" w:type="pct"/>
            <w:shd w:val="clear" w:color="000000" w:fill="FFFFFF"/>
            <w:noWrap/>
            <w:vAlign w:val="center"/>
            <w:hideMark/>
          </w:tcPr>
          <w:p w14:paraId="5C67DC03" w14:textId="77777777" w:rsidR="00320F74" w:rsidRPr="006237B3" w:rsidRDefault="00320F74" w:rsidP="00785EFF">
            <w:pPr>
              <w:jc w:val="right"/>
              <w:rPr>
                <w:rFonts w:cstheme="minorHAnsi"/>
                <w:b/>
                <w:bCs/>
                <w:color w:val="000000"/>
                <w:sz w:val="20"/>
                <w:szCs w:val="20"/>
              </w:rPr>
            </w:pPr>
            <w:r w:rsidRPr="006237B3">
              <w:rPr>
                <w:rFonts w:cstheme="minorHAnsi"/>
                <w:b/>
                <w:bCs/>
                <w:color w:val="000000"/>
                <w:sz w:val="20"/>
                <w:szCs w:val="20"/>
              </w:rPr>
              <w:t>4</w:t>
            </w:r>
          </w:p>
        </w:tc>
      </w:tr>
    </w:tbl>
    <w:p w14:paraId="42FA5912" w14:textId="77777777" w:rsidR="00320F74" w:rsidRPr="00320F74" w:rsidRDefault="00320F74" w:rsidP="00320F74">
      <w:pPr>
        <w:pStyle w:val="Bullets"/>
        <w:numPr>
          <w:ilvl w:val="0"/>
          <w:numId w:val="0"/>
        </w:numPr>
        <w:spacing w:before="0" w:after="0"/>
        <w:ind w:left="284" w:hanging="284"/>
        <w:rPr>
          <w:sz w:val="18"/>
          <w:szCs w:val="18"/>
          <w:shd w:val="clear" w:color="auto" w:fill="FCFCFC"/>
        </w:rPr>
      </w:pPr>
      <w:r w:rsidRPr="00320F74">
        <w:rPr>
          <w:sz w:val="18"/>
          <w:szCs w:val="18"/>
          <w:shd w:val="clear" w:color="auto" w:fill="FCFCFC"/>
        </w:rPr>
        <w:t>Source: AIHW National Maternal Mortality Data Collection annual update 2019—data tables</w:t>
      </w:r>
    </w:p>
    <w:p w14:paraId="0B83F9B3" w14:textId="50718B76" w:rsidR="00320F74" w:rsidRPr="00320F74" w:rsidRDefault="00B84D1F" w:rsidP="00924850">
      <w:pPr>
        <w:rPr>
          <w:sz w:val="18"/>
          <w:szCs w:val="18"/>
        </w:rPr>
      </w:pPr>
      <w:r>
        <w:rPr>
          <w:sz w:val="18"/>
          <w:szCs w:val="18"/>
        </w:rPr>
        <w:t>AIHW d</w:t>
      </w:r>
      <w:r w:rsidR="00320F74" w:rsidRPr="00320F74">
        <w:rPr>
          <w:sz w:val="18"/>
          <w:szCs w:val="18"/>
        </w:rPr>
        <w:t>ata notes: (a)   Data not available from Western Australia for</w:t>
      </w:r>
      <w:r w:rsidR="00924850">
        <w:rPr>
          <w:sz w:val="18"/>
          <w:szCs w:val="18"/>
        </w:rPr>
        <w:t xml:space="preserve"> 2</w:t>
      </w:r>
      <w:r w:rsidR="00320F74" w:rsidRPr="00320F74">
        <w:rPr>
          <w:sz w:val="18"/>
          <w:szCs w:val="18"/>
        </w:rPr>
        <w:t>019.</w:t>
      </w:r>
      <w:r w:rsidR="00924850">
        <w:rPr>
          <w:sz w:val="18"/>
          <w:szCs w:val="18"/>
        </w:rPr>
        <w:t xml:space="preserve"> </w:t>
      </w:r>
      <w:r w:rsidR="00320F74" w:rsidRPr="00320F74">
        <w:rPr>
          <w:sz w:val="18"/>
          <w:szCs w:val="18"/>
        </w:rPr>
        <w:t>(b)   Per</w:t>
      </w:r>
      <w:r w:rsidR="00924850">
        <w:rPr>
          <w:sz w:val="18"/>
          <w:szCs w:val="18"/>
        </w:rPr>
        <w:t xml:space="preserve"> 100,000 women who gave birth. </w:t>
      </w:r>
      <w:r w:rsidR="00320F74" w:rsidRPr="00320F74">
        <w:rPr>
          <w:sz w:val="18"/>
          <w:szCs w:val="18"/>
        </w:rPr>
        <w:t>(c)   Deaths ‘not classified’ are those considered to be related to the pregnancy or its management, but could not be further classified as either ‘direct’ or ‘indirect’. These deaths are included in the maternal deaths total. These do not include deaths that are awaiting classificat</w:t>
      </w:r>
      <w:r w:rsidR="00924850">
        <w:rPr>
          <w:sz w:val="18"/>
          <w:szCs w:val="18"/>
        </w:rPr>
        <w:t xml:space="preserve">ion. </w:t>
      </w:r>
      <w:r w:rsidR="00320F74" w:rsidRPr="00320F74">
        <w:rPr>
          <w:sz w:val="18"/>
          <w:szCs w:val="18"/>
        </w:rPr>
        <w:t>(d)   Includes direct deaths, indirect de</w:t>
      </w:r>
      <w:r w:rsidR="00924850">
        <w:rPr>
          <w:sz w:val="18"/>
          <w:szCs w:val="18"/>
        </w:rPr>
        <w:t xml:space="preserve">aths and not classified deaths. </w:t>
      </w:r>
      <w:r w:rsidR="00320F74" w:rsidRPr="00320F74">
        <w:rPr>
          <w:sz w:val="18"/>
          <w:szCs w:val="18"/>
        </w:rPr>
        <w:t>(e)   Number of women who gave birth to at least 1 baby (either a live birth or a stillbirth) of 20 or more weeks' completed gestation or with a birthweight of 400 grams or more. Excludes Western Australia for 2019.</w:t>
      </w:r>
      <w:r w:rsidR="00924850">
        <w:rPr>
          <w:sz w:val="18"/>
          <w:szCs w:val="18"/>
        </w:rPr>
        <w:t xml:space="preserve"> </w:t>
      </w:r>
      <w:r w:rsidR="00320F74" w:rsidRPr="00320F74">
        <w:rPr>
          <w:sz w:val="18"/>
          <w:szCs w:val="18"/>
        </w:rPr>
        <w:t>(f)   Coincidental deaths are not included in the mater</w:t>
      </w:r>
      <w:r w:rsidR="00924850">
        <w:rPr>
          <w:sz w:val="18"/>
          <w:szCs w:val="18"/>
        </w:rPr>
        <w:t xml:space="preserve">nal mortality ratio calculated. </w:t>
      </w:r>
      <w:r w:rsidR="00320F74" w:rsidRPr="00320F74">
        <w:rPr>
          <w:sz w:val="18"/>
          <w:szCs w:val="18"/>
        </w:rPr>
        <w:t>(g)   For 2016-2019 there are 4 deaths awaiting classification. Deaths awaiting classification may be classified in the future as a direct or indirect maternal death, or as a coincidental death, so are excluded from MMR calculations until they are classified.</w:t>
      </w:r>
    </w:p>
    <w:p w14:paraId="5EC2B93F" w14:textId="433C6576" w:rsidR="00320F74" w:rsidRDefault="00320F74" w:rsidP="004823E7">
      <w:pPr>
        <w:pStyle w:val="Bullets"/>
        <w:numPr>
          <w:ilvl w:val="0"/>
          <w:numId w:val="0"/>
        </w:numPr>
        <w:rPr>
          <w:szCs w:val="22"/>
          <w:shd w:val="clear" w:color="auto" w:fill="FCFCFC"/>
        </w:rPr>
      </w:pPr>
    </w:p>
    <w:p w14:paraId="7F0D49BD" w14:textId="5F7997F0" w:rsidR="00075FE5" w:rsidRPr="008D3FB5" w:rsidRDefault="00075FE5" w:rsidP="00075FE5">
      <w:pPr>
        <w:pStyle w:val="Caption"/>
        <w:rPr>
          <w:sz w:val="20"/>
          <w:szCs w:val="20"/>
          <w:shd w:val="clear" w:color="auto" w:fill="FCFCFC"/>
        </w:rPr>
      </w:pPr>
      <w:bookmarkStart w:id="355" w:name="_Ref117849787"/>
      <w:bookmarkStart w:id="356" w:name="_Toc121429182"/>
      <w:r w:rsidRPr="008D3FB5">
        <w:rPr>
          <w:sz w:val="20"/>
          <w:szCs w:val="20"/>
        </w:rPr>
        <w:t xml:space="preserve">Table </w:t>
      </w:r>
      <w:r w:rsidR="00A64FC5" w:rsidRPr="008D3FB5">
        <w:rPr>
          <w:sz w:val="20"/>
          <w:szCs w:val="20"/>
        </w:rPr>
        <w:fldChar w:fldCharType="begin"/>
      </w:r>
      <w:r w:rsidR="00A64FC5" w:rsidRPr="008D3FB5">
        <w:rPr>
          <w:sz w:val="20"/>
          <w:szCs w:val="20"/>
        </w:rPr>
        <w:instrText xml:space="preserve"> SEQ Table \* ARABIC </w:instrText>
      </w:r>
      <w:r w:rsidR="00A64FC5" w:rsidRPr="008D3FB5">
        <w:rPr>
          <w:sz w:val="20"/>
          <w:szCs w:val="20"/>
        </w:rPr>
        <w:fldChar w:fldCharType="separate"/>
      </w:r>
      <w:r w:rsidR="00296988">
        <w:rPr>
          <w:noProof/>
          <w:sz w:val="20"/>
          <w:szCs w:val="20"/>
        </w:rPr>
        <w:t>6</w:t>
      </w:r>
      <w:r w:rsidR="00A64FC5" w:rsidRPr="008D3FB5">
        <w:rPr>
          <w:noProof/>
          <w:sz w:val="20"/>
          <w:szCs w:val="20"/>
        </w:rPr>
        <w:fldChar w:fldCharType="end"/>
      </w:r>
      <w:bookmarkEnd w:id="355"/>
      <w:r w:rsidRPr="008D3FB5">
        <w:rPr>
          <w:sz w:val="20"/>
          <w:szCs w:val="20"/>
        </w:rPr>
        <w:tab/>
        <w:t>Triennial maternal mortality ratio (MMR) by select</w:t>
      </w:r>
      <w:r w:rsidR="000B34B9">
        <w:rPr>
          <w:sz w:val="20"/>
          <w:szCs w:val="20"/>
        </w:rPr>
        <w:t>ed</w:t>
      </w:r>
      <w:r w:rsidRPr="008D3FB5">
        <w:rPr>
          <w:sz w:val="20"/>
          <w:szCs w:val="20"/>
        </w:rPr>
        <w:t xml:space="preserve"> causes of death, 2000-2002 to 2015-2017</w:t>
      </w:r>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8"/>
        <w:gridCol w:w="1274"/>
        <w:gridCol w:w="1275"/>
        <w:gridCol w:w="1274"/>
        <w:gridCol w:w="1275"/>
        <w:gridCol w:w="1274"/>
        <w:gridCol w:w="1275"/>
      </w:tblGrid>
      <w:tr w:rsidR="004823E7" w:rsidRPr="007760F7" w14:paraId="7B4537D6" w14:textId="77777777" w:rsidTr="00E44DDA">
        <w:trPr>
          <w:trHeight w:val="300"/>
        </w:trPr>
        <w:tc>
          <w:tcPr>
            <w:tcW w:w="2218" w:type="dxa"/>
            <w:shd w:val="clear" w:color="000000" w:fill="FFFFFF"/>
            <w:noWrap/>
            <w:vAlign w:val="center"/>
            <w:hideMark/>
          </w:tcPr>
          <w:p w14:paraId="7155F31D" w14:textId="77777777" w:rsidR="004823E7" w:rsidRPr="00E44DDA" w:rsidRDefault="004823E7" w:rsidP="00E44DDA">
            <w:pPr>
              <w:rPr>
                <w:rFonts w:cstheme="minorHAnsi"/>
                <w:b/>
                <w:bCs/>
                <w:color w:val="000000"/>
                <w:sz w:val="20"/>
                <w:szCs w:val="20"/>
              </w:rPr>
            </w:pPr>
            <w:r w:rsidRPr="00E44DDA">
              <w:rPr>
                <w:rFonts w:cstheme="minorHAnsi"/>
                <w:b/>
                <w:bCs/>
                <w:color w:val="000000"/>
                <w:sz w:val="20"/>
                <w:szCs w:val="20"/>
              </w:rPr>
              <w:t>Cause of Death</w:t>
            </w:r>
          </w:p>
        </w:tc>
        <w:tc>
          <w:tcPr>
            <w:tcW w:w="1274" w:type="dxa"/>
            <w:shd w:val="clear" w:color="000000" w:fill="FFFFFF"/>
            <w:noWrap/>
            <w:vAlign w:val="center"/>
            <w:hideMark/>
          </w:tcPr>
          <w:p w14:paraId="5C5A3B66" w14:textId="5D05582D" w:rsidR="004823E7" w:rsidRPr="00E44DDA" w:rsidRDefault="00400926" w:rsidP="00E44DDA">
            <w:pPr>
              <w:jc w:val="right"/>
              <w:rPr>
                <w:rFonts w:cstheme="minorHAnsi"/>
                <w:b/>
                <w:bCs/>
                <w:color w:val="000000"/>
                <w:sz w:val="20"/>
                <w:szCs w:val="20"/>
              </w:rPr>
            </w:pPr>
            <w:r w:rsidRPr="00E44DDA">
              <w:rPr>
                <w:rFonts w:cstheme="minorHAnsi"/>
                <w:b/>
                <w:bCs/>
                <w:color w:val="000000"/>
                <w:sz w:val="20"/>
                <w:szCs w:val="20"/>
              </w:rPr>
              <w:t>2000</w:t>
            </w:r>
            <w:r w:rsidR="00E85641">
              <w:rPr>
                <w:rFonts w:cstheme="minorHAnsi"/>
                <w:b/>
                <w:bCs/>
                <w:color w:val="000000"/>
                <w:sz w:val="20"/>
                <w:szCs w:val="20"/>
              </w:rPr>
              <w:t xml:space="preserve"> -</w:t>
            </w:r>
            <w:r w:rsidRPr="00E44DDA">
              <w:rPr>
                <w:rFonts w:cstheme="minorHAnsi"/>
                <w:b/>
                <w:bCs/>
                <w:color w:val="000000"/>
                <w:sz w:val="20"/>
                <w:szCs w:val="20"/>
              </w:rPr>
              <w:t xml:space="preserve"> </w:t>
            </w:r>
            <w:r w:rsidR="004823E7" w:rsidRPr="00E44DDA">
              <w:rPr>
                <w:rFonts w:cstheme="minorHAnsi"/>
                <w:b/>
                <w:bCs/>
                <w:color w:val="000000"/>
                <w:sz w:val="20"/>
                <w:szCs w:val="20"/>
              </w:rPr>
              <w:t>2002</w:t>
            </w:r>
          </w:p>
        </w:tc>
        <w:tc>
          <w:tcPr>
            <w:tcW w:w="1275" w:type="dxa"/>
            <w:shd w:val="clear" w:color="000000" w:fill="FFFFFF"/>
            <w:noWrap/>
            <w:vAlign w:val="center"/>
            <w:hideMark/>
          </w:tcPr>
          <w:p w14:paraId="0CA58DED" w14:textId="1BF1B471" w:rsidR="004823E7" w:rsidRPr="00E44DDA" w:rsidRDefault="00400926" w:rsidP="00E44DDA">
            <w:pPr>
              <w:jc w:val="right"/>
              <w:rPr>
                <w:rFonts w:cstheme="minorHAnsi"/>
                <w:b/>
                <w:bCs/>
                <w:color w:val="000000"/>
                <w:sz w:val="20"/>
                <w:szCs w:val="20"/>
              </w:rPr>
            </w:pPr>
            <w:r w:rsidRPr="00E44DDA">
              <w:rPr>
                <w:rFonts w:cstheme="minorHAnsi"/>
                <w:b/>
                <w:bCs/>
                <w:color w:val="000000"/>
                <w:sz w:val="20"/>
                <w:szCs w:val="20"/>
              </w:rPr>
              <w:t>2003 -</w:t>
            </w:r>
            <w:r w:rsidR="00E85641">
              <w:rPr>
                <w:rFonts w:cstheme="minorHAnsi"/>
                <w:b/>
                <w:bCs/>
                <w:color w:val="000000"/>
                <w:sz w:val="20"/>
                <w:szCs w:val="20"/>
              </w:rPr>
              <w:t xml:space="preserve"> </w:t>
            </w:r>
            <w:r w:rsidR="004823E7" w:rsidRPr="00E44DDA">
              <w:rPr>
                <w:rFonts w:cstheme="minorHAnsi"/>
                <w:b/>
                <w:bCs/>
                <w:color w:val="000000"/>
                <w:sz w:val="20"/>
                <w:szCs w:val="20"/>
              </w:rPr>
              <w:t>2005</w:t>
            </w:r>
          </w:p>
        </w:tc>
        <w:tc>
          <w:tcPr>
            <w:tcW w:w="1274" w:type="dxa"/>
            <w:shd w:val="clear" w:color="000000" w:fill="FFFFFF"/>
            <w:noWrap/>
            <w:vAlign w:val="center"/>
            <w:hideMark/>
          </w:tcPr>
          <w:p w14:paraId="464276B8" w14:textId="77777777" w:rsidR="004823E7" w:rsidRPr="00E44DDA" w:rsidRDefault="004823E7" w:rsidP="00E44DDA">
            <w:pPr>
              <w:jc w:val="right"/>
              <w:rPr>
                <w:rFonts w:cstheme="minorHAnsi"/>
                <w:b/>
                <w:bCs/>
                <w:color w:val="000000"/>
                <w:sz w:val="20"/>
                <w:szCs w:val="20"/>
              </w:rPr>
            </w:pPr>
            <w:r w:rsidRPr="00E44DDA">
              <w:rPr>
                <w:rFonts w:cstheme="minorHAnsi"/>
                <w:b/>
                <w:bCs/>
                <w:color w:val="000000"/>
                <w:sz w:val="20"/>
                <w:szCs w:val="20"/>
              </w:rPr>
              <w:t>2006 - 2008</w:t>
            </w:r>
          </w:p>
        </w:tc>
        <w:tc>
          <w:tcPr>
            <w:tcW w:w="1275" w:type="dxa"/>
            <w:shd w:val="clear" w:color="000000" w:fill="FFFFFF"/>
            <w:noWrap/>
            <w:vAlign w:val="center"/>
            <w:hideMark/>
          </w:tcPr>
          <w:p w14:paraId="7ED13E77" w14:textId="77777777" w:rsidR="004823E7" w:rsidRPr="00E44DDA" w:rsidRDefault="004823E7" w:rsidP="00E44DDA">
            <w:pPr>
              <w:jc w:val="right"/>
              <w:rPr>
                <w:rFonts w:cstheme="minorHAnsi"/>
                <w:b/>
                <w:bCs/>
                <w:color w:val="000000"/>
                <w:sz w:val="20"/>
                <w:szCs w:val="20"/>
              </w:rPr>
            </w:pPr>
            <w:r w:rsidRPr="00E44DDA">
              <w:rPr>
                <w:rFonts w:cstheme="minorHAnsi"/>
                <w:b/>
                <w:bCs/>
                <w:color w:val="000000"/>
                <w:sz w:val="20"/>
                <w:szCs w:val="20"/>
              </w:rPr>
              <w:t>2009 - 2011</w:t>
            </w:r>
          </w:p>
        </w:tc>
        <w:tc>
          <w:tcPr>
            <w:tcW w:w="1274" w:type="dxa"/>
            <w:shd w:val="clear" w:color="000000" w:fill="FFFFFF"/>
            <w:noWrap/>
            <w:vAlign w:val="center"/>
            <w:hideMark/>
          </w:tcPr>
          <w:p w14:paraId="3C566254" w14:textId="77777777" w:rsidR="004823E7" w:rsidRPr="00E44DDA" w:rsidRDefault="004823E7" w:rsidP="00E44DDA">
            <w:pPr>
              <w:jc w:val="right"/>
              <w:rPr>
                <w:rFonts w:cstheme="minorHAnsi"/>
                <w:b/>
                <w:bCs/>
                <w:color w:val="000000"/>
                <w:sz w:val="20"/>
                <w:szCs w:val="20"/>
              </w:rPr>
            </w:pPr>
            <w:r w:rsidRPr="00E44DDA">
              <w:rPr>
                <w:rFonts w:cstheme="minorHAnsi"/>
                <w:b/>
                <w:bCs/>
                <w:color w:val="000000"/>
                <w:sz w:val="20"/>
                <w:szCs w:val="20"/>
              </w:rPr>
              <w:t>2012 - 2014</w:t>
            </w:r>
          </w:p>
        </w:tc>
        <w:tc>
          <w:tcPr>
            <w:tcW w:w="1275" w:type="dxa"/>
            <w:shd w:val="clear" w:color="000000" w:fill="FFFFFF"/>
            <w:noWrap/>
            <w:vAlign w:val="center"/>
            <w:hideMark/>
          </w:tcPr>
          <w:p w14:paraId="5906F72C" w14:textId="77777777" w:rsidR="004823E7" w:rsidRPr="00E44DDA" w:rsidRDefault="004823E7" w:rsidP="00E44DDA">
            <w:pPr>
              <w:jc w:val="right"/>
              <w:rPr>
                <w:rFonts w:cstheme="minorHAnsi"/>
                <w:b/>
                <w:bCs/>
                <w:color w:val="000000"/>
                <w:sz w:val="20"/>
                <w:szCs w:val="20"/>
              </w:rPr>
            </w:pPr>
            <w:r w:rsidRPr="00E44DDA">
              <w:rPr>
                <w:rFonts w:cstheme="minorHAnsi"/>
                <w:b/>
                <w:bCs/>
                <w:color w:val="000000"/>
                <w:sz w:val="20"/>
                <w:szCs w:val="20"/>
              </w:rPr>
              <w:t>2015 - 2017</w:t>
            </w:r>
          </w:p>
        </w:tc>
      </w:tr>
      <w:tr w:rsidR="004823E7" w:rsidRPr="007760F7" w14:paraId="245DC6A9" w14:textId="77777777" w:rsidTr="00E44DDA">
        <w:trPr>
          <w:trHeight w:val="300"/>
        </w:trPr>
        <w:tc>
          <w:tcPr>
            <w:tcW w:w="2218" w:type="dxa"/>
            <w:shd w:val="clear" w:color="000000" w:fill="FFFFFF"/>
            <w:vAlign w:val="center"/>
            <w:hideMark/>
          </w:tcPr>
          <w:p w14:paraId="297BF951" w14:textId="77777777" w:rsidR="004823E7" w:rsidRPr="00E44DDA" w:rsidRDefault="004823E7" w:rsidP="007760F7">
            <w:pPr>
              <w:rPr>
                <w:rFonts w:cstheme="minorHAnsi"/>
                <w:color w:val="000000"/>
                <w:sz w:val="20"/>
                <w:szCs w:val="20"/>
              </w:rPr>
            </w:pPr>
            <w:r w:rsidRPr="00E44DDA">
              <w:rPr>
                <w:rFonts w:cstheme="minorHAnsi"/>
                <w:color w:val="000000"/>
                <w:sz w:val="20"/>
                <w:szCs w:val="20"/>
              </w:rPr>
              <w:t>Suicide</w:t>
            </w:r>
          </w:p>
        </w:tc>
        <w:tc>
          <w:tcPr>
            <w:tcW w:w="1274" w:type="dxa"/>
            <w:shd w:val="clear" w:color="000000" w:fill="FFFFFF"/>
            <w:noWrap/>
            <w:vAlign w:val="center"/>
            <w:hideMark/>
          </w:tcPr>
          <w:p w14:paraId="53D2C4B3"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1.1</w:t>
            </w:r>
          </w:p>
        </w:tc>
        <w:tc>
          <w:tcPr>
            <w:tcW w:w="1275" w:type="dxa"/>
            <w:shd w:val="clear" w:color="000000" w:fill="FFFFFF"/>
            <w:noWrap/>
            <w:vAlign w:val="center"/>
            <w:hideMark/>
          </w:tcPr>
          <w:p w14:paraId="57D0FBFD"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0.5</w:t>
            </w:r>
          </w:p>
        </w:tc>
        <w:tc>
          <w:tcPr>
            <w:tcW w:w="1274" w:type="dxa"/>
            <w:shd w:val="clear" w:color="000000" w:fill="FFFFFF"/>
            <w:noWrap/>
            <w:vAlign w:val="center"/>
            <w:hideMark/>
          </w:tcPr>
          <w:p w14:paraId="07600782" w14:textId="77777777" w:rsidR="004823E7" w:rsidRPr="00E44DDA" w:rsidRDefault="004823E7" w:rsidP="007760F7">
            <w:pPr>
              <w:jc w:val="right"/>
              <w:rPr>
                <w:rFonts w:cstheme="minorHAnsi"/>
                <w:sz w:val="20"/>
                <w:szCs w:val="20"/>
              </w:rPr>
            </w:pPr>
            <w:r w:rsidRPr="00E44DDA">
              <w:rPr>
                <w:rFonts w:cstheme="minorHAnsi"/>
                <w:sz w:val="20"/>
                <w:szCs w:val="20"/>
              </w:rPr>
              <w:t>0.5</w:t>
            </w:r>
          </w:p>
        </w:tc>
        <w:tc>
          <w:tcPr>
            <w:tcW w:w="1275" w:type="dxa"/>
            <w:shd w:val="clear" w:color="000000" w:fill="FFFFFF"/>
            <w:noWrap/>
            <w:vAlign w:val="center"/>
            <w:hideMark/>
          </w:tcPr>
          <w:p w14:paraId="0A0CBD9A" w14:textId="77777777" w:rsidR="004823E7" w:rsidRPr="00E44DDA" w:rsidRDefault="004823E7" w:rsidP="007760F7">
            <w:pPr>
              <w:jc w:val="right"/>
              <w:rPr>
                <w:rFonts w:cstheme="minorHAnsi"/>
                <w:sz w:val="20"/>
                <w:szCs w:val="20"/>
              </w:rPr>
            </w:pPr>
            <w:r w:rsidRPr="00E44DDA">
              <w:rPr>
                <w:rFonts w:cstheme="minorHAnsi"/>
                <w:sz w:val="20"/>
                <w:szCs w:val="20"/>
              </w:rPr>
              <w:t>0.6</w:t>
            </w:r>
          </w:p>
        </w:tc>
        <w:tc>
          <w:tcPr>
            <w:tcW w:w="1274" w:type="dxa"/>
            <w:shd w:val="clear" w:color="000000" w:fill="FFFFFF"/>
            <w:noWrap/>
            <w:vAlign w:val="center"/>
            <w:hideMark/>
          </w:tcPr>
          <w:p w14:paraId="25D27957" w14:textId="77777777" w:rsidR="004823E7" w:rsidRPr="00E44DDA" w:rsidRDefault="004823E7" w:rsidP="007760F7">
            <w:pPr>
              <w:jc w:val="right"/>
              <w:rPr>
                <w:rFonts w:cstheme="minorHAnsi"/>
                <w:sz w:val="20"/>
                <w:szCs w:val="20"/>
              </w:rPr>
            </w:pPr>
            <w:r w:rsidRPr="00E44DDA">
              <w:rPr>
                <w:rFonts w:cstheme="minorHAnsi"/>
                <w:sz w:val="20"/>
                <w:szCs w:val="20"/>
              </w:rPr>
              <w:t>0.7</w:t>
            </w:r>
          </w:p>
        </w:tc>
        <w:tc>
          <w:tcPr>
            <w:tcW w:w="1275" w:type="dxa"/>
            <w:shd w:val="clear" w:color="000000" w:fill="FFFFFF"/>
            <w:noWrap/>
            <w:vAlign w:val="center"/>
            <w:hideMark/>
          </w:tcPr>
          <w:p w14:paraId="1685C185" w14:textId="77777777" w:rsidR="004823E7" w:rsidRPr="00E44DDA" w:rsidRDefault="004823E7" w:rsidP="007760F7">
            <w:pPr>
              <w:jc w:val="right"/>
              <w:rPr>
                <w:rFonts w:cstheme="minorHAnsi"/>
                <w:sz w:val="20"/>
                <w:szCs w:val="20"/>
              </w:rPr>
            </w:pPr>
            <w:r w:rsidRPr="00E44DDA">
              <w:rPr>
                <w:rFonts w:cstheme="minorHAnsi"/>
                <w:sz w:val="20"/>
                <w:szCs w:val="20"/>
              </w:rPr>
              <w:t>1.2</w:t>
            </w:r>
          </w:p>
        </w:tc>
      </w:tr>
      <w:tr w:rsidR="004823E7" w:rsidRPr="007760F7" w14:paraId="028AAC9B" w14:textId="77777777" w:rsidTr="00E44DDA">
        <w:trPr>
          <w:trHeight w:val="319"/>
        </w:trPr>
        <w:tc>
          <w:tcPr>
            <w:tcW w:w="2218" w:type="dxa"/>
            <w:shd w:val="clear" w:color="000000" w:fill="FFFFFF"/>
            <w:vAlign w:val="center"/>
            <w:hideMark/>
          </w:tcPr>
          <w:p w14:paraId="3C9B15D7" w14:textId="77777777" w:rsidR="004823E7" w:rsidRPr="00E44DDA" w:rsidRDefault="004823E7" w:rsidP="007760F7">
            <w:pPr>
              <w:rPr>
                <w:rFonts w:cstheme="minorHAnsi"/>
                <w:color w:val="000000"/>
                <w:sz w:val="20"/>
                <w:szCs w:val="20"/>
              </w:rPr>
            </w:pPr>
            <w:r w:rsidRPr="00E44DDA">
              <w:rPr>
                <w:rFonts w:cstheme="minorHAnsi"/>
                <w:color w:val="000000"/>
                <w:sz w:val="20"/>
                <w:szCs w:val="20"/>
              </w:rPr>
              <w:t>Cardiovascular disease</w:t>
            </w:r>
          </w:p>
        </w:tc>
        <w:tc>
          <w:tcPr>
            <w:tcW w:w="1274" w:type="dxa"/>
            <w:shd w:val="clear" w:color="000000" w:fill="FFFFFF"/>
            <w:noWrap/>
            <w:vAlign w:val="center"/>
            <w:hideMark/>
          </w:tcPr>
          <w:p w14:paraId="7C4A6200"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1.6</w:t>
            </w:r>
          </w:p>
        </w:tc>
        <w:tc>
          <w:tcPr>
            <w:tcW w:w="1275" w:type="dxa"/>
            <w:shd w:val="clear" w:color="000000" w:fill="FFFFFF"/>
            <w:noWrap/>
            <w:vAlign w:val="center"/>
            <w:hideMark/>
          </w:tcPr>
          <w:p w14:paraId="4C9E982E"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1.7</w:t>
            </w:r>
          </w:p>
        </w:tc>
        <w:tc>
          <w:tcPr>
            <w:tcW w:w="1274" w:type="dxa"/>
            <w:shd w:val="clear" w:color="000000" w:fill="FFFFFF"/>
            <w:noWrap/>
            <w:vAlign w:val="center"/>
            <w:hideMark/>
          </w:tcPr>
          <w:p w14:paraId="7B40F20D" w14:textId="77777777" w:rsidR="004823E7" w:rsidRPr="00E44DDA" w:rsidRDefault="004823E7" w:rsidP="007760F7">
            <w:pPr>
              <w:jc w:val="right"/>
              <w:rPr>
                <w:rFonts w:cstheme="minorHAnsi"/>
                <w:sz w:val="20"/>
                <w:szCs w:val="20"/>
              </w:rPr>
            </w:pPr>
            <w:r w:rsidRPr="00E44DDA">
              <w:rPr>
                <w:rFonts w:cstheme="minorHAnsi"/>
                <w:sz w:val="20"/>
                <w:szCs w:val="20"/>
              </w:rPr>
              <w:t>0.9</w:t>
            </w:r>
          </w:p>
        </w:tc>
        <w:tc>
          <w:tcPr>
            <w:tcW w:w="1275" w:type="dxa"/>
            <w:shd w:val="clear" w:color="000000" w:fill="FFFFFF"/>
            <w:noWrap/>
            <w:vAlign w:val="center"/>
            <w:hideMark/>
          </w:tcPr>
          <w:p w14:paraId="0592D8A8" w14:textId="77777777" w:rsidR="004823E7" w:rsidRPr="00E44DDA" w:rsidRDefault="004823E7" w:rsidP="007760F7">
            <w:pPr>
              <w:jc w:val="right"/>
              <w:rPr>
                <w:rFonts w:cstheme="minorHAnsi"/>
                <w:sz w:val="20"/>
                <w:szCs w:val="20"/>
              </w:rPr>
            </w:pPr>
            <w:r w:rsidRPr="00E44DDA">
              <w:rPr>
                <w:rFonts w:cstheme="minorHAnsi"/>
                <w:sz w:val="20"/>
                <w:szCs w:val="20"/>
              </w:rPr>
              <w:t>1.0</w:t>
            </w:r>
          </w:p>
        </w:tc>
        <w:tc>
          <w:tcPr>
            <w:tcW w:w="1274" w:type="dxa"/>
            <w:shd w:val="clear" w:color="000000" w:fill="FFFFFF"/>
            <w:noWrap/>
            <w:vAlign w:val="center"/>
            <w:hideMark/>
          </w:tcPr>
          <w:p w14:paraId="6D8E694A" w14:textId="77777777" w:rsidR="004823E7" w:rsidRPr="00E44DDA" w:rsidRDefault="004823E7" w:rsidP="007760F7">
            <w:pPr>
              <w:jc w:val="right"/>
              <w:rPr>
                <w:rFonts w:cstheme="minorHAnsi"/>
                <w:sz w:val="20"/>
                <w:szCs w:val="20"/>
              </w:rPr>
            </w:pPr>
            <w:r w:rsidRPr="00E44DDA">
              <w:rPr>
                <w:rFonts w:cstheme="minorHAnsi"/>
                <w:sz w:val="20"/>
                <w:szCs w:val="20"/>
              </w:rPr>
              <w:t>1.0</w:t>
            </w:r>
          </w:p>
        </w:tc>
        <w:tc>
          <w:tcPr>
            <w:tcW w:w="1275" w:type="dxa"/>
            <w:shd w:val="clear" w:color="000000" w:fill="FFFFFF"/>
            <w:noWrap/>
            <w:vAlign w:val="center"/>
            <w:hideMark/>
          </w:tcPr>
          <w:p w14:paraId="0B6A27EF" w14:textId="77777777" w:rsidR="004823E7" w:rsidRPr="00E44DDA" w:rsidRDefault="004823E7" w:rsidP="007760F7">
            <w:pPr>
              <w:jc w:val="right"/>
              <w:rPr>
                <w:rFonts w:cstheme="minorHAnsi"/>
                <w:sz w:val="20"/>
                <w:szCs w:val="20"/>
              </w:rPr>
            </w:pPr>
            <w:r w:rsidRPr="00E44DDA">
              <w:rPr>
                <w:rFonts w:cstheme="minorHAnsi"/>
                <w:sz w:val="20"/>
                <w:szCs w:val="20"/>
              </w:rPr>
              <w:t>0.9</w:t>
            </w:r>
          </w:p>
        </w:tc>
      </w:tr>
      <w:tr w:rsidR="004823E7" w:rsidRPr="007760F7" w14:paraId="711CCC2E" w14:textId="77777777" w:rsidTr="00E44DDA">
        <w:trPr>
          <w:trHeight w:val="319"/>
        </w:trPr>
        <w:tc>
          <w:tcPr>
            <w:tcW w:w="2218" w:type="dxa"/>
            <w:shd w:val="clear" w:color="000000" w:fill="FFFFFF"/>
            <w:vAlign w:val="center"/>
            <w:hideMark/>
          </w:tcPr>
          <w:p w14:paraId="1D0C734D" w14:textId="77777777" w:rsidR="004823E7" w:rsidRPr="00E44DDA" w:rsidRDefault="004823E7" w:rsidP="007760F7">
            <w:pPr>
              <w:rPr>
                <w:rFonts w:cstheme="minorHAnsi"/>
                <w:color w:val="000000"/>
                <w:sz w:val="20"/>
                <w:szCs w:val="20"/>
              </w:rPr>
            </w:pPr>
            <w:r w:rsidRPr="00E44DDA">
              <w:rPr>
                <w:rFonts w:cstheme="minorHAnsi"/>
                <w:color w:val="000000"/>
                <w:sz w:val="20"/>
                <w:szCs w:val="20"/>
              </w:rPr>
              <w:t>Amniotic fluid embolism</w:t>
            </w:r>
          </w:p>
        </w:tc>
        <w:tc>
          <w:tcPr>
            <w:tcW w:w="1274" w:type="dxa"/>
            <w:shd w:val="clear" w:color="000000" w:fill="FFFFFF"/>
            <w:noWrap/>
            <w:vAlign w:val="center"/>
            <w:hideMark/>
          </w:tcPr>
          <w:p w14:paraId="3F860E4D"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1.3</w:t>
            </w:r>
          </w:p>
        </w:tc>
        <w:tc>
          <w:tcPr>
            <w:tcW w:w="1275" w:type="dxa"/>
            <w:shd w:val="clear" w:color="000000" w:fill="FFFFFF"/>
            <w:noWrap/>
            <w:vAlign w:val="center"/>
            <w:hideMark/>
          </w:tcPr>
          <w:p w14:paraId="14DF7552"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1.0</w:t>
            </w:r>
          </w:p>
        </w:tc>
        <w:tc>
          <w:tcPr>
            <w:tcW w:w="1274" w:type="dxa"/>
            <w:shd w:val="clear" w:color="000000" w:fill="FFFFFF"/>
            <w:noWrap/>
            <w:vAlign w:val="center"/>
            <w:hideMark/>
          </w:tcPr>
          <w:p w14:paraId="5BA479FE" w14:textId="77777777" w:rsidR="004823E7" w:rsidRPr="00E44DDA" w:rsidRDefault="004823E7" w:rsidP="007760F7">
            <w:pPr>
              <w:jc w:val="right"/>
              <w:rPr>
                <w:rFonts w:cstheme="minorHAnsi"/>
                <w:sz w:val="20"/>
                <w:szCs w:val="20"/>
              </w:rPr>
            </w:pPr>
            <w:r w:rsidRPr="00E44DDA">
              <w:rPr>
                <w:rFonts w:cstheme="minorHAnsi"/>
                <w:sz w:val="20"/>
                <w:szCs w:val="20"/>
              </w:rPr>
              <w:t>0.8</w:t>
            </w:r>
          </w:p>
        </w:tc>
        <w:tc>
          <w:tcPr>
            <w:tcW w:w="1275" w:type="dxa"/>
            <w:shd w:val="clear" w:color="000000" w:fill="FFFFFF"/>
            <w:noWrap/>
            <w:vAlign w:val="center"/>
            <w:hideMark/>
          </w:tcPr>
          <w:p w14:paraId="4FE8EFBF" w14:textId="77777777" w:rsidR="004823E7" w:rsidRPr="00E44DDA" w:rsidRDefault="004823E7" w:rsidP="007760F7">
            <w:pPr>
              <w:jc w:val="right"/>
              <w:rPr>
                <w:rFonts w:cstheme="minorHAnsi"/>
                <w:sz w:val="20"/>
                <w:szCs w:val="20"/>
              </w:rPr>
            </w:pPr>
            <w:r w:rsidRPr="00E44DDA">
              <w:rPr>
                <w:rFonts w:cstheme="minorHAnsi"/>
                <w:sz w:val="20"/>
                <w:szCs w:val="20"/>
              </w:rPr>
              <w:t>0.5</w:t>
            </w:r>
          </w:p>
        </w:tc>
        <w:tc>
          <w:tcPr>
            <w:tcW w:w="1274" w:type="dxa"/>
            <w:shd w:val="clear" w:color="000000" w:fill="FFFFFF"/>
            <w:noWrap/>
            <w:vAlign w:val="center"/>
            <w:hideMark/>
          </w:tcPr>
          <w:p w14:paraId="3642507F" w14:textId="77777777" w:rsidR="004823E7" w:rsidRPr="00E44DDA" w:rsidRDefault="004823E7" w:rsidP="007760F7">
            <w:pPr>
              <w:jc w:val="right"/>
              <w:rPr>
                <w:rFonts w:cstheme="minorHAnsi"/>
                <w:sz w:val="20"/>
                <w:szCs w:val="20"/>
              </w:rPr>
            </w:pPr>
            <w:r w:rsidRPr="00E44DDA">
              <w:rPr>
                <w:rFonts w:cstheme="minorHAnsi"/>
                <w:sz w:val="20"/>
                <w:szCs w:val="20"/>
              </w:rPr>
              <w:t>0.2</w:t>
            </w:r>
          </w:p>
        </w:tc>
        <w:tc>
          <w:tcPr>
            <w:tcW w:w="1275" w:type="dxa"/>
            <w:shd w:val="clear" w:color="000000" w:fill="FFFFFF"/>
            <w:noWrap/>
            <w:vAlign w:val="center"/>
            <w:hideMark/>
          </w:tcPr>
          <w:p w14:paraId="2916F75F" w14:textId="77777777" w:rsidR="004823E7" w:rsidRPr="00E44DDA" w:rsidRDefault="004823E7" w:rsidP="007760F7">
            <w:pPr>
              <w:jc w:val="right"/>
              <w:rPr>
                <w:rFonts w:cstheme="minorHAnsi"/>
                <w:sz w:val="20"/>
                <w:szCs w:val="20"/>
              </w:rPr>
            </w:pPr>
            <w:r w:rsidRPr="00E44DDA">
              <w:rPr>
                <w:rFonts w:cstheme="minorHAnsi"/>
                <w:sz w:val="20"/>
                <w:szCs w:val="20"/>
              </w:rPr>
              <w:t>0.5</w:t>
            </w:r>
          </w:p>
        </w:tc>
      </w:tr>
      <w:tr w:rsidR="004823E7" w:rsidRPr="007760F7" w14:paraId="5EA974FE" w14:textId="77777777" w:rsidTr="00E44DDA">
        <w:trPr>
          <w:trHeight w:val="319"/>
        </w:trPr>
        <w:tc>
          <w:tcPr>
            <w:tcW w:w="2218" w:type="dxa"/>
            <w:shd w:val="clear" w:color="000000" w:fill="FFFFFF"/>
            <w:vAlign w:val="center"/>
            <w:hideMark/>
          </w:tcPr>
          <w:p w14:paraId="78D1E44A" w14:textId="77777777" w:rsidR="004823E7" w:rsidRPr="00E44DDA" w:rsidRDefault="004823E7" w:rsidP="007760F7">
            <w:pPr>
              <w:rPr>
                <w:rFonts w:cstheme="minorHAnsi"/>
                <w:color w:val="000000"/>
                <w:sz w:val="20"/>
                <w:szCs w:val="20"/>
              </w:rPr>
            </w:pPr>
            <w:r w:rsidRPr="00E44DDA">
              <w:rPr>
                <w:rFonts w:cstheme="minorHAnsi"/>
                <w:color w:val="000000"/>
                <w:sz w:val="20"/>
                <w:szCs w:val="20"/>
              </w:rPr>
              <w:t>Thromboembolism</w:t>
            </w:r>
          </w:p>
        </w:tc>
        <w:tc>
          <w:tcPr>
            <w:tcW w:w="1274" w:type="dxa"/>
            <w:shd w:val="clear" w:color="000000" w:fill="FFFFFF"/>
            <w:noWrap/>
            <w:vAlign w:val="center"/>
            <w:hideMark/>
          </w:tcPr>
          <w:p w14:paraId="1F2C8E0E"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0.4</w:t>
            </w:r>
          </w:p>
        </w:tc>
        <w:tc>
          <w:tcPr>
            <w:tcW w:w="1275" w:type="dxa"/>
            <w:shd w:val="clear" w:color="000000" w:fill="FFFFFF"/>
            <w:noWrap/>
            <w:vAlign w:val="center"/>
            <w:hideMark/>
          </w:tcPr>
          <w:p w14:paraId="0B52705A"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0.6</w:t>
            </w:r>
          </w:p>
        </w:tc>
        <w:tc>
          <w:tcPr>
            <w:tcW w:w="1274" w:type="dxa"/>
            <w:shd w:val="clear" w:color="000000" w:fill="FFFFFF"/>
            <w:noWrap/>
            <w:vAlign w:val="center"/>
            <w:hideMark/>
          </w:tcPr>
          <w:p w14:paraId="74ACE82F" w14:textId="77777777" w:rsidR="004823E7" w:rsidRPr="00E44DDA" w:rsidRDefault="004823E7" w:rsidP="007760F7">
            <w:pPr>
              <w:jc w:val="right"/>
              <w:rPr>
                <w:rFonts w:cstheme="minorHAnsi"/>
                <w:sz w:val="20"/>
                <w:szCs w:val="20"/>
              </w:rPr>
            </w:pPr>
            <w:r w:rsidRPr="00E44DDA">
              <w:rPr>
                <w:rFonts w:cstheme="minorHAnsi"/>
                <w:sz w:val="20"/>
                <w:szCs w:val="20"/>
              </w:rPr>
              <w:t>0.6</w:t>
            </w:r>
          </w:p>
        </w:tc>
        <w:tc>
          <w:tcPr>
            <w:tcW w:w="1275" w:type="dxa"/>
            <w:shd w:val="clear" w:color="000000" w:fill="FFFFFF"/>
            <w:noWrap/>
            <w:vAlign w:val="center"/>
            <w:hideMark/>
          </w:tcPr>
          <w:p w14:paraId="28545BD2" w14:textId="77777777" w:rsidR="004823E7" w:rsidRPr="00E44DDA" w:rsidRDefault="004823E7" w:rsidP="007760F7">
            <w:pPr>
              <w:jc w:val="right"/>
              <w:rPr>
                <w:rFonts w:cstheme="minorHAnsi"/>
                <w:sz w:val="20"/>
                <w:szCs w:val="20"/>
              </w:rPr>
            </w:pPr>
            <w:r w:rsidRPr="00E44DDA">
              <w:rPr>
                <w:rFonts w:cstheme="minorHAnsi"/>
                <w:sz w:val="20"/>
                <w:szCs w:val="20"/>
              </w:rPr>
              <w:t>0.8</w:t>
            </w:r>
          </w:p>
        </w:tc>
        <w:tc>
          <w:tcPr>
            <w:tcW w:w="1274" w:type="dxa"/>
            <w:shd w:val="clear" w:color="000000" w:fill="FFFFFF"/>
            <w:noWrap/>
            <w:vAlign w:val="center"/>
            <w:hideMark/>
          </w:tcPr>
          <w:p w14:paraId="47534DCC" w14:textId="77777777" w:rsidR="004823E7" w:rsidRPr="00E44DDA" w:rsidRDefault="004823E7" w:rsidP="007760F7">
            <w:pPr>
              <w:jc w:val="right"/>
              <w:rPr>
                <w:rFonts w:cstheme="minorHAnsi"/>
                <w:sz w:val="20"/>
                <w:szCs w:val="20"/>
              </w:rPr>
            </w:pPr>
            <w:r w:rsidRPr="00E44DDA">
              <w:rPr>
                <w:rFonts w:cstheme="minorHAnsi"/>
                <w:sz w:val="20"/>
                <w:szCs w:val="20"/>
              </w:rPr>
              <w:t>0.8</w:t>
            </w:r>
          </w:p>
        </w:tc>
        <w:tc>
          <w:tcPr>
            <w:tcW w:w="1275" w:type="dxa"/>
            <w:shd w:val="clear" w:color="000000" w:fill="FFFFFF"/>
            <w:noWrap/>
            <w:vAlign w:val="center"/>
            <w:hideMark/>
          </w:tcPr>
          <w:p w14:paraId="61DC6206" w14:textId="77777777" w:rsidR="004823E7" w:rsidRPr="00E44DDA" w:rsidRDefault="004823E7" w:rsidP="007760F7">
            <w:pPr>
              <w:jc w:val="right"/>
              <w:rPr>
                <w:rFonts w:cstheme="minorHAnsi"/>
                <w:sz w:val="20"/>
                <w:szCs w:val="20"/>
              </w:rPr>
            </w:pPr>
            <w:r w:rsidRPr="00E44DDA">
              <w:rPr>
                <w:rFonts w:cstheme="minorHAnsi"/>
                <w:sz w:val="20"/>
                <w:szCs w:val="20"/>
              </w:rPr>
              <w:t>0.5</w:t>
            </w:r>
          </w:p>
        </w:tc>
      </w:tr>
      <w:tr w:rsidR="004823E7" w:rsidRPr="007760F7" w14:paraId="2B41246C" w14:textId="77777777" w:rsidTr="00E44DDA">
        <w:trPr>
          <w:trHeight w:val="319"/>
        </w:trPr>
        <w:tc>
          <w:tcPr>
            <w:tcW w:w="2218" w:type="dxa"/>
            <w:shd w:val="clear" w:color="000000" w:fill="FFFFFF"/>
            <w:vAlign w:val="center"/>
            <w:hideMark/>
          </w:tcPr>
          <w:p w14:paraId="25FA14EF" w14:textId="77777777" w:rsidR="004823E7" w:rsidRPr="00E44DDA" w:rsidRDefault="004823E7" w:rsidP="007760F7">
            <w:pPr>
              <w:rPr>
                <w:rFonts w:cstheme="minorHAnsi"/>
                <w:color w:val="000000"/>
                <w:sz w:val="20"/>
                <w:szCs w:val="20"/>
              </w:rPr>
            </w:pPr>
            <w:r w:rsidRPr="00E44DDA">
              <w:rPr>
                <w:rFonts w:cstheme="minorHAnsi"/>
                <w:color w:val="000000"/>
                <w:sz w:val="20"/>
                <w:szCs w:val="20"/>
              </w:rPr>
              <w:t>Sepsis</w:t>
            </w:r>
          </w:p>
        </w:tc>
        <w:tc>
          <w:tcPr>
            <w:tcW w:w="1274" w:type="dxa"/>
            <w:shd w:val="clear" w:color="000000" w:fill="FFFFFF"/>
            <w:noWrap/>
            <w:vAlign w:val="center"/>
            <w:hideMark/>
          </w:tcPr>
          <w:p w14:paraId="57113F4A"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2.0</w:t>
            </w:r>
          </w:p>
        </w:tc>
        <w:tc>
          <w:tcPr>
            <w:tcW w:w="1275" w:type="dxa"/>
            <w:shd w:val="clear" w:color="000000" w:fill="FFFFFF"/>
            <w:noWrap/>
            <w:vAlign w:val="center"/>
            <w:hideMark/>
          </w:tcPr>
          <w:p w14:paraId="4BB5DC6A"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0.6</w:t>
            </w:r>
          </w:p>
        </w:tc>
        <w:tc>
          <w:tcPr>
            <w:tcW w:w="1274" w:type="dxa"/>
            <w:shd w:val="clear" w:color="000000" w:fill="FFFFFF"/>
            <w:noWrap/>
            <w:vAlign w:val="center"/>
            <w:hideMark/>
          </w:tcPr>
          <w:p w14:paraId="1AD5A2E1" w14:textId="77777777" w:rsidR="004823E7" w:rsidRPr="00E44DDA" w:rsidRDefault="004823E7" w:rsidP="007760F7">
            <w:pPr>
              <w:jc w:val="right"/>
              <w:rPr>
                <w:rFonts w:cstheme="minorHAnsi"/>
                <w:sz w:val="20"/>
                <w:szCs w:val="20"/>
              </w:rPr>
            </w:pPr>
            <w:r w:rsidRPr="00E44DDA">
              <w:rPr>
                <w:rFonts w:cstheme="minorHAnsi"/>
                <w:sz w:val="20"/>
                <w:szCs w:val="20"/>
              </w:rPr>
              <w:t>0.3</w:t>
            </w:r>
          </w:p>
        </w:tc>
        <w:tc>
          <w:tcPr>
            <w:tcW w:w="1275" w:type="dxa"/>
            <w:shd w:val="clear" w:color="000000" w:fill="FFFFFF"/>
            <w:noWrap/>
            <w:vAlign w:val="center"/>
            <w:hideMark/>
          </w:tcPr>
          <w:p w14:paraId="10D65973" w14:textId="77777777" w:rsidR="004823E7" w:rsidRPr="00E44DDA" w:rsidRDefault="004823E7" w:rsidP="007760F7">
            <w:pPr>
              <w:jc w:val="right"/>
              <w:rPr>
                <w:rFonts w:cstheme="minorHAnsi"/>
                <w:sz w:val="20"/>
                <w:szCs w:val="20"/>
              </w:rPr>
            </w:pPr>
            <w:r w:rsidRPr="00E44DDA">
              <w:rPr>
                <w:rFonts w:cstheme="minorHAnsi"/>
                <w:sz w:val="20"/>
                <w:szCs w:val="20"/>
              </w:rPr>
              <w:t>1.1</w:t>
            </w:r>
          </w:p>
        </w:tc>
        <w:tc>
          <w:tcPr>
            <w:tcW w:w="1274" w:type="dxa"/>
            <w:shd w:val="clear" w:color="000000" w:fill="FFFFFF"/>
            <w:noWrap/>
            <w:vAlign w:val="center"/>
            <w:hideMark/>
          </w:tcPr>
          <w:p w14:paraId="0A323DBD" w14:textId="77777777" w:rsidR="004823E7" w:rsidRPr="00E44DDA" w:rsidRDefault="004823E7" w:rsidP="007760F7">
            <w:pPr>
              <w:jc w:val="right"/>
              <w:rPr>
                <w:rFonts w:cstheme="minorHAnsi"/>
                <w:sz w:val="20"/>
                <w:szCs w:val="20"/>
              </w:rPr>
            </w:pPr>
            <w:r w:rsidRPr="00E44DDA">
              <w:rPr>
                <w:rFonts w:cstheme="minorHAnsi"/>
                <w:sz w:val="20"/>
                <w:szCs w:val="20"/>
              </w:rPr>
              <w:t>0.5</w:t>
            </w:r>
          </w:p>
        </w:tc>
        <w:tc>
          <w:tcPr>
            <w:tcW w:w="1275" w:type="dxa"/>
            <w:shd w:val="clear" w:color="000000" w:fill="FFFFFF"/>
            <w:noWrap/>
            <w:vAlign w:val="center"/>
            <w:hideMark/>
          </w:tcPr>
          <w:p w14:paraId="44772E89" w14:textId="77777777" w:rsidR="004823E7" w:rsidRPr="00E44DDA" w:rsidRDefault="004823E7" w:rsidP="007760F7">
            <w:pPr>
              <w:jc w:val="right"/>
              <w:rPr>
                <w:rFonts w:cstheme="minorHAnsi"/>
                <w:sz w:val="20"/>
                <w:szCs w:val="20"/>
              </w:rPr>
            </w:pPr>
            <w:r w:rsidRPr="00E44DDA">
              <w:rPr>
                <w:rFonts w:cstheme="minorHAnsi"/>
                <w:sz w:val="20"/>
                <w:szCs w:val="20"/>
              </w:rPr>
              <w:t>0.7</w:t>
            </w:r>
          </w:p>
        </w:tc>
      </w:tr>
      <w:tr w:rsidR="004823E7" w:rsidRPr="007760F7" w14:paraId="7CD0A159" w14:textId="77777777" w:rsidTr="00E44DDA">
        <w:trPr>
          <w:trHeight w:val="319"/>
        </w:trPr>
        <w:tc>
          <w:tcPr>
            <w:tcW w:w="2218" w:type="dxa"/>
            <w:shd w:val="clear" w:color="000000" w:fill="FFFFFF"/>
            <w:vAlign w:val="center"/>
            <w:hideMark/>
          </w:tcPr>
          <w:p w14:paraId="7D1F173A" w14:textId="77777777" w:rsidR="004823E7" w:rsidRPr="00E44DDA" w:rsidRDefault="004823E7" w:rsidP="007760F7">
            <w:pPr>
              <w:rPr>
                <w:rFonts w:cstheme="minorHAnsi"/>
                <w:color w:val="000000"/>
                <w:sz w:val="20"/>
                <w:szCs w:val="20"/>
              </w:rPr>
            </w:pPr>
            <w:r w:rsidRPr="00E44DDA">
              <w:rPr>
                <w:rFonts w:cstheme="minorHAnsi"/>
                <w:color w:val="000000"/>
                <w:sz w:val="20"/>
                <w:szCs w:val="20"/>
              </w:rPr>
              <w:t>Non-obstetric haemorrhage</w:t>
            </w:r>
          </w:p>
        </w:tc>
        <w:tc>
          <w:tcPr>
            <w:tcW w:w="1274" w:type="dxa"/>
            <w:shd w:val="clear" w:color="000000" w:fill="FFFFFF"/>
            <w:noWrap/>
            <w:vAlign w:val="center"/>
            <w:hideMark/>
          </w:tcPr>
          <w:p w14:paraId="5E8AC851"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1.2</w:t>
            </w:r>
          </w:p>
        </w:tc>
        <w:tc>
          <w:tcPr>
            <w:tcW w:w="1275" w:type="dxa"/>
            <w:shd w:val="clear" w:color="000000" w:fill="FFFFFF"/>
            <w:noWrap/>
            <w:vAlign w:val="center"/>
            <w:hideMark/>
          </w:tcPr>
          <w:p w14:paraId="0D33B8F9"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0.6</w:t>
            </w:r>
          </w:p>
        </w:tc>
        <w:tc>
          <w:tcPr>
            <w:tcW w:w="1274" w:type="dxa"/>
            <w:shd w:val="clear" w:color="000000" w:fill="FFFFFF"/>
            <w:noWrap/>
            <w:vAlign w:val="center"/>
            <w:hideMark/>
          </w:tcPr>
          <w:p w14:paraId="144BF15E" w14:textId="77777777" w:rsidR="004823E7" w:rsidRPr="00E44DDA" w:rsidRDefault="004823E7" w:rsidP="007760F7">
            <w:pPr>
              <w:jc w:val="right"/>
              <w:rPr>
                <w:rFonts w:cstheme="minorHAnsi"/>
                <w:sz w:val="20"/>
                <w:szCs w:val="20"/>
              </w:rPr>
            </w:pPr>
            <w:r w:rsidRPr="00E44DDA">
              <w:rPr>
                <w:rFonts w:cstheme="minorHAnsi"/>
                <w:sz w:val="20"/>
                <w:szCs w:val="20"/>
              </w:rPr>
              <w:t>1.0</w:t>
            </w:r>
          </w:p>
        </w:tc>
        <w:tc>
          <w:tcPr>
            <w:tcW w:w="1275" w:type="dxa"/>
            <w:shd w:val="clear" w:color="000000" w:fill="FFFFFF"/>
            <w:noWrap/>
            <w:vAlign w:val="center"/>
            <w:hideMark/>
          </w:tcPr>
          <w:p w14:paraId="40774C82" w14:textId="77777777" w:rsidR="004823E7" w:rsidRPr="00E44DDA" w:rsidRDefault="004823E7" w:rsidP="007760F7">
            <w:pPr>
              <w:jc w:val="right"/>
              <w:rPr>
                <w:rFonts w:cstheme="minorHAnsi"/>
                <w:sz w:val="20"/>
                <w:szCs w:val="20"/>
              </w:rPr>
            </w:pPr>
            <w:r w:rsidRPr="00E44DDA">
              <w:rPr>
                <w:rFonts w:cstheme="minorHAnsi"/>
                <w:sz w:val="20"/>
                <w:szCs w:val="20"/>
              </w:rPr>
              <w:t>1.1</w:t>
            </w:r>
          </w:p>
        </w:tc>
        <w:tc>
          <w:tcPr>
            <w:tcW w:w="1274" w:type="dxa"/>
            <w:shd w:val="clear" w:color="000000" w:fill="FFFFFF"/>
            <w:noWrap/>
            <w:vAlign w:val="center"/>
            <w:hideMark/>
          </w:tcPr>
          <w:p w14:paraId="3BBEFB42" w14:textId="77777777" w:rsidR="004823E7" w:rsidRPr="00E44DDA" w:rsidRDefault="004823E7" w:rsidP="007760F7">
            <w:pPr>
              <w:jc w:val="right"/>
              <w:rPr>
                <w:rFonts w:cstheme="minorHAnsi"/>
                <w:sz w:val="20"/>
                <w:szCs w:val="20"/>
              </w:rPr>
            </w:pPr>
            <w:r w:rsidRPr="00E44DDA">
              <w:rPr>
                <w:rFonts w:cstheme="minorHAnsi"/>
                <w:sz w:val="20"/>
                <w:szCs w:val="20"/>
              </w:rPr>
              <w:t>1.1</w:t>
            </w:r>
          </w:p>
        </w:tc>
        <w:tc>
          <w:tcPr>
            <w:tcW w:w="1275" w:type="dxa"/>
            <w:shd w:val="clear" w:color="000000" w:fill="FFFFFF"/>
            <w:noWrap/>
            <w:vAlign w:val="center"/>
            <w:hideMark/>
          </w:tcPr>
          <w:p w14:paraId="28B9D943" w14:textId="77777777" w:rsidR="004823E7" w:rsidRPr="00E44DDA" w:rsidRDefault="004823E7" w:rsidP="007760F7">
            <w:pPr>
              <w:jc w:val="right"/>
              <w:rPr>
                <w:rFonts w:cstheme="minorHAnsi"/>
                <w:sz w:val="20"/>
                <w:szCs w:val="20"/>
              </w:rPr>
            </w:pPr>
            <w:r w:rsidRPr="00E44DDA">
              <w:rPr>
                <w:rFonts w:cstheme="minorHAnsi"/>
                <w:sz w:val="20"/>
                <w:szCs w:val="20"/>
              </w:rPr>
              <w:t>0.3</w:t>
            </w:r>
          </w:p>
        </w:tc>
      </w:tr>
      <w:tr w:rsidR="004823E7" w:rsidRPr="007760F7" w14:paraId="2FEA9909" w14:textId="77777777" w:rsidTr="00E44DDA">
        <w:trPr>
          <w:trHeight w:val="319"/>
        </w:trPr>
        <w:tc>
          <w:tcPr>
            <w:tcW w:w="2218" w:type="dxa"/>
            <w:shd w:val="clear" w:color="000000" w:fill="FFFFFF"/>
            <w:vAlign w:val="center"/>
            <w:hideMark/>
          </w:tcPr>
          <w:p w14:paraId="6ACAD482" w14:textId="77777777" w:rsidR="004823E7" w:rsidRPr="00E44DDA" w:rsidRDefault="004823E7" w:rsidP="007760F7">
            <w:pPr>
              <w:rPr>
                <w:rFonts w:cstheme="minorHAnsi"/>
                <w:color w:val="000000"/>
                <w:sz w:val="20"/>
                <w:szCs w:val="20"/>
              </w:rPr>
            </w:pPr>
            <w:r w:rsidRPr="00E44DDA">
              <w:rPr>
                <w:rFonts w:cstheme="minorHAnsi"/>
                <w:color w:val="000000"/>
                <w:sz w:val="20"/>
                <w:szCs w:val="20"/>
              </w:rPr>
              <w:t>Hypertensive disorders</w:t>
            </w:r>
          </w:p>
        </w:tc>
        <w:tc>
          <w:tcPr>
            <w:tcW w:w="1274" w:type="dxa"/>
            <w:shd w:val="clear" w:color="000000" w:fill="FFFFFF"/>
            <w:noWrap/>
            <w:vAlign w:val="center"/>
            <w:hideMark/>
          </w:tcPr>
          <w:p w14:paraId="132AEC62"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0.7</w:t>
            </w:r>
          </w:p>
        </w:tc>
        <w:tc>
          <w:tcPr>
            <w:tcW w:w="1275" w:type="dxa"/>
            <w:shd w:val="clear" w:color="000000" w:fill="FFFFFF"/>
            <w:noWrap/>
            <w:vAlign w:val="center"/>
            <w:hideMark/>
          </w:tcPr>
          <w:p w14:paraId="70BB394D"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0.8</w:t>
            </w:r>
          </w:p>
        </w:tc>
        <w:tc>
          <w:tcPr>
            <w:tcW w:w="1274" w:type="dxa"/>
            <w:shd w:val="clear" w:color="000000" w:fill="FFFFFF"/>
            <w:noWrap/>
            <w:vAlign w:val="center"/>
            <w:hideMark/>
          </w:tcPr>
          <w:p w14:paraId="5992350A" w14:textId="77777777" w:rsidR="004823E7" w:rsidRPr="00E44DDA" w:rsidRDefault="004823E7" w:rsidP="007760F7">
            <w:pPr>
              <w:jc w:val="right"/>
              <w:rPr>
                <w:rFonts w:cstheme="minorHAnsi"/>
                <w:sz w:val="20"/>
                <w:szCs w:val="20"/>
              </w:rPr>
            </w:pPr>
            <w:r w:rsidRPr="00E44DDA">
              <w:rPr>
                <w:rFonts w:cstheme="minorHAnsi"/>
                <w:sz w:val="20"/>
                <w:szCs w:val="20"/>
              </w:rPr>
              <w:t>0.3</w:t>
            </w:r>
          </w:p>
        </w:tc>
        <w:tc>
          <w:tcPr>
            <w:tcW w:w="1275" w:type="dxa"/>
            <w:shd w:val="clear" w:color="000000" w:fill="FFFFFF"/>
            <w:noWrap/>
            <w:vAlign w:val="center"/>
            <w:hideMark/>
          </w:tcPr>
          <w:p w14:paraId="5909AC9A" w14:textId="77777777" w:rsidR="004823E7" w:rsidRPr="00E44DDA" w:rsidRDefault="004823E7" w:rsidP="007760F7">
            <w:pPr>
              <w:jc w:val="right"/>
              <w:rPr>
                <w:rFonts w:cstheme="minorHAnsi"/>
                <w:sz w:val="20"/>
                <w:szCs w:val="20"/>
              </w:rPr>
            </w:pPr>
            <w:r w:rsidRPr="00E44DDA">
              <w:rPr>
                <w:rFonts w:cstheme="minorHAnsi"/>
                <w:sz w:val="20"/>
                <w:szCs w:val="20"/>
              </w:rPr>
              <w:t>0.5</w:t>
            </w:r>
          </w:p>
        </w:tc>
        <w:tc>
          <w:tcPr>
            <w:tcW w:w="1274" w:type="dxa"/>
            <w:shd w:val="clear" w:color="000000" w:fill="FFFFFF"/>
            <w:noWrap/>
            <w:vAlign w:val="center"/>
            <w:hideMark/>
          </w:tcPr>
          <w:p w14:paraId="632F8655" w14:textId="77777777" w:rsidR="004823E7" w:rsidRPr="00E44DDA" w:rsidRDefault="004823E7" w:rsidP="007760F7">
            <w:pPr>
              <w:jc w:val="right"/>
              <w:rPr>
                <w:rFonts w:cstheme="minorHAnsi"/>
                <w:sz w:val="20"/>
                <w:szCs w:val="20"/>
              </w:rPr>
            </w:pPr>
            <w:r w:rsidRPr="00E44DDA">
              <w:rPr>
                <w:rFonts w:cstheme="minorHAnsi"/>
                <w:sz w:val="20"/>
                <w:szCs w:val="20"/>
              </w:rPr>
              <w:t>0.4</w:t>
            </w:r>
          </w:p>
        </w:tc>
        <w:tc>
          <w:tcPr>
            <w:tcW w:w="1275" w:type="dxa"/>
            <w:shd w:val="clear" w:color="000000" w:fill="FFFFFF"/>
            <w:noWrap/>
            <w:vAlign w:val="center"/>
            <w:hideMark/>
          </w:tcPr>
          <w:p w14:paraId="3141446B" w14:textId="77777777" w:rsidR="004823E7" w:rsidRPr="00E44DDA" w:rsidRDefault="004823E7" w:rsidP="007760F7">
            <w:pPr>
              <w:jc w:val="right"/>
              <w:rPr>
                <w:rFonts w:cstheme="minorHAnsi"/>
                <w:sz w:val="20"/>
                <w:szCs w:val="20"/>
              </w:rPr>
            </w:pPr>
            <w:r w:rsidRPr="00E44DDA">
              <w:rPr>
                <w:rFonts w:cstheme="minorHAnsi"/>
                <w:sz w:val="20"/>
                <w:szCs w:val="20"/>
              </w:rPr>
              <w:t>0.2</w:t>
            </w:r>
          </w:p>
        </w:tc>
      </w:tr>
      <w:tr w:rsidR="004823E7" w:rsidRPr="007760F7" w14:paraId="4A1FA9B6" w14:textId="77777777" w:rsidTr="00E44DDA">
        <w:trPr>
          <w:trHeight w:val="319"/>
        </w:trPr>
        <w:tc>
          <w:tcPr>
            <w:tcW w:w="2218" w:type="dxa"/>
            <w:shd w:val="clear" w:color="000000" w:fill="FFFFFF"/>
            <w:vAlign w:val="center"/>
            <w:hideMark/>
          </w:tcPr>
          <w:p w14:paraId="55FDB1C7" w14:textId="77777777" w:rsidR="004823E7" w:rsidRPr="00E44DDA" w:rsidRDefault="004823E7" w:rsidP="007760F7">
            <w:pPr>
              <w:rPr>
                <w:rFonts w:cstheme="minorHAnsi"/>
                <w:color w:val="000000"/>
                <w:sz w:val="20"/>
                <w:szCs w:val="20"/>
              </w:rPr>
            </w:pPr>
            <w:r w:rsidRPr="00E44DDA">
              <w:rPr>
                <w:rFonts w:cstheme="minorHAnsi"/>
                <w:color w:val="000000"/>
                <w:sz w:val="20"/>
                <w:szCs w:val="20"/>
              </w:rPr>
              <w:t>Obstetric haemorrhage</w:t>
            </w:r>
          </w:p>
        </w:tc>
        <w:tc>
          <w:tcPr>
            <w:tcW w:w="1274" w:type="dxa"/>
            <w:shd w:val="clear" w:color="000000" w:fill="FFFFFF"/>
            <w:noWrap/>
            <w:vAlign w:val="center"/>
            <w:hideMark/>
          </w:tcPr>
          <w:p w14:paraId="03282298"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1.2</w:t>
            </w:r>
          </w:p>
        </w:tc>
        <w:tc>
          <w:tcPr>
            <w:tcW w:w="1275" w:type="dxa"/>
            <w:shd w:val="clear" w:color="000000" w:fill="FFFFFF"/>
            <w:noWrap/>
            <w:vAlign w:val="center"/>
            <w:hideMark/>
          </w:tcPr>
          <w:p w14:paraId="35C3D8F7"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0.5</w:t>
            </w:r>
          </w:p>
        </w:tc>
        <w:tc>
          <w:tcPr>
            <w:tcW w:w="1274" w:type="dxa"/>
            <w:shd w:val="clear" w:color="000000" w:fill="FFFFFF"/>
            <w:noWrap/>
            <w:vAlign w:val="center"/>
            <w:hideMark/>
          </w:tcPr>
          <w:p w14:paraId="35675AF8" w14:textId="77777777" w:rsidR="004823E7" w:rsidRPr="00E44DDA" w:rsidRDefault="004823E7" w:rsidP="007760F7">
            <w:pPr>
              <w:jc w:val="right"/>
              <w:rPr>
                <w:rFonts w:cstheme="minorHAnsi"/>
                <w:sz w:val="20"/>
                <w:szCs w:val="20"/>
              </w:rPr>
            </w:pPr>
            <w:r w:rsidRPr="00E44DDA">
              <w:rPr>
                <w:rFonts w:cstheme="minorHAnsi"/>
                <w:sz w:val="20"/>
                <w:szCs w:val="20"/>
              </w:rPr>
              <w:t>0.5</w:t>
            </w:r>
          </w:p>
        </w:tc>
        <w:tc>
          <w:tcPr>
            <w:tcW w:w="1275" w:type="dxa"/>
            <w:shd w:val="clear" w:color="000000" w:fill="FFFFFF"/>
            <w:noWrap/>
            <w:vAlign w:val="center"/>
            <w:hideMark/>
          </w:tcPr>
          <w:p w14:paraId="5919A167" w14:textId="77777777" w:rsidR="004823E7" w:rsidRPr="00E44DDA" w:rsidRDefault="004823E7" w:rsidP="007760F7">
            <w:pPr>
              <w:jc w:val="right"/>
              <w:rPr>
                <w:rFonts w:cstheme="minorHAnsi"/>
                <w:sz w:val="20"/>
                <w:szCs w:val="20"/>
              </w:rPr>
            </w:pPr>
            <w:r w:rsidRPr="00E44DDA">
              <w:rPr>
                <w:rFonts w:cstheme="minorHAnsi"/>
                <w:sz w:val="20"/>
                <w:szCs w:val="20"/>
              </w:rPr>
              <w:t>0.8</w:t>
            </w:r>
          </w:p>
        </w:tc>
        <w:tc>
          <w:tcPr>
            <w:tcW w:w="1274" w:type="dxa"/>
            <w:shd w:val="clear" w:color="000000" w:fill="FFFFFF"/>
            <w:noWrap/>
            <w:vAlign w:val="center"/>
            <w:hideMark/>
          </w:tcPr>
          <w:p w14:paraId="4751C6EE" w14:textId="77777777" w:rsidR="004823E7" w:rsidRPr="00E44DDA" w:rsidRDefault="004823E7" w:rsidP="007760F7">
            <w:pPr>
              <w:jc w:val="right"/>
              <w:rPr>
                <w:rFonts w:cstheme="minorHAnsi"/>
                <w:sz w:val="20"/>
                <w:szCs w:val="20"/>
              </w:rPr>
            </w:pPr>
            <w:r w:rsidRPr="00E44DDA">
              <w:rPr>
                <w:rFonts w:cstheme="minorHAnsi"/>
                <w:sz w:val="20"/>
                <w:szCs w:val="20"/>
              </w:rPr>
              <w:t>0.7</w:t>
            </w:r>
          </w:p>
        </w:tc>
        <w:tc>
          <w:tcPr>
            <w:tcW w:w="1275" w:type="dxa"/>
            <w:shd w:val="clear" w:color="000000" w:fill="FFFFFF"/>
            <w:noWrap/>
            <w:vAlign w:val="center"/>
            <w:hideMark/>
          </w:tcPr>
          <w:p w14:paraId="2749827C" w14:textId="77777777" w:rsidR="004823E7" w:rsidRPr="00E44DDA" w:rsidRDefault="004823E7" w:rsidP="007760F7">
            <w:pPr>
              <w:jc w:val="right"/>
              <w:rPr>
                <w:rFonts w:cstheme="minorHAnsi"/>
                <w:sz w:val="20"/>
                <w:szCs w:val="20"/>
              </w:rPr>
            </w:pPr>
            <w:r w:rsidRPr="00E44DDA">
              <w:rPr>
                <w:rFonts w:cstheme="minorHAnsi"/>
                <w:sz w:val="20"/>
                <w:szCs w:val="20"/>
              </w:rPr>
              <w:t>0.2</w:t>
            </w:r>
          </w:p>
        </w:tc>
      </w:tr>
      <w:tr w:rsidR="004823E7" w:rsidRPr="007760F7" w14:paraId="798959DA" w14:textId="77777777" w:rsidTr="00E44DDA">
        <w:trPr>
          <w:trHeight w:val="319"/>
        </w:trPr>
        <w:tc>
          <w:tcPr>
            <w:tcW w:w="2218" w:type="dxa"/>
            <w:shd w:val="clear" w:color="000000" w:fill="FFFFFF"/>
            <w:vAlign w:val="center"/>
            <w:hideMark/>
          </w:tcPr>
          <w:p w14:paraId="3BBE7CB7" w14:textId="3E6B0530" w:rsidR="004823E7" w:rsidRPr="00E44DDA" w:rsidRDefault="004823E7" w:rsidP="007760F7">
            <w:pPr>
              <w:rPr>
                <w:rFonts w:cstheme="minorHAnsi"/>
                <w:color w:val="000000"/>
                <w:sz w:val="20"/>
                <w:szCs w:val="20"/>
              </w:rPr>
            </w:pPr>
            <w:r w:rsidRPr="00E44DDA">
              <w:rPr>
                <w:rFonts w:cstheme="minorHAnsi"/>
                <w:color w:val="000000"/>
                <w:sz w:val="20"/>
                <w:szCs w:val="20"/>
              </w:rPr>
              <w:t>Early pregnancy</w:t>
            </w:r>
            <w:r w:rsidR="00075FE5" w:rsidRPr="00E44DDA">
              <w:rPr>
                <w:rFonts w:cstheme="minorHAnsi"/>
                <w:color w:val="000000"/>
                <w:sz w:val="20"/>
                <w:szCs w:val="20"/>
                <w:vertAlign w:val="superscript"/>
              </w:rPr>
              <w:t>(b</w:t>
            </w:r>
            <w:r w:rsidRPr="00E44DDA">
              <w:rPr>
                <w:rFonts w:cstheme="minorHAnsi"/>
                <w:color w:val="000000"/>
                <w:sz w:val="20"/>
                <w:szCs w:val="20"/>
                <w:vertAlign w:val="superscript"/>
              </w:rPr>
              <w:t>)</w:t>
            </w:r>
          </w:p>
        </w:tc>
        <w:tc>
          <w:tcPr>
            <w:tcW w:w="1274" w:type="dxa"/>
            <w:shd w:val="clear" w:color="000000" w:fill="FFFFFF"/>
            <w:noWrap/>
            <w:vAlign w:val="center"/>
            <w:hideMark/>
          </w:tcPr>
          <w:p w14:paraId="077C9499"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0.1</w:t>
            </w:r>
          </w:p>
        </w:tc>
        <w:tc>
          <w:tcPr>
            <w:tcW w:w="1275" w:type="dxa"/>
            <w:shd w:val="clear" w:color="000000" w:fill="FFFFFF"/>
            <w:noWrap/>
            <w:vAlign w:val="center"/>
            <w:hideMark/>
          </w:tcPr>
          <w:p w14:paraId="515D56AC" w14:textId="77777777" w:rsidR="004823E7" w:rsidRPr="00E44DDA" w:rsidRDefault="004823E7" w:rsidP="007760F7">
            <w:pPr>
              <w:jc w:val="right"/>
              <w:rPr>
                <w:rFonts w:cstheme="minorHAnsi"/>
                <w:color w:val="000000"/>
                <w:sz w:val="20"/>
                <w:szCs w:val="20"/>
              </w:rPr>
            </w:pPr>
            <w:r w:rsidRPr="00E44DDA">
              <w:rPr>
                <w:rFonts w:cstheme="minorHAnsi"/>
                <w:color w:val="000000"/>
                <w:sz w:val="20"/>
                <w:szCs w:val="20"/>
              </w:rPr>
              <w:t>1.0</w:t>
            </w:r>
          </w:p>
        </w:tc>
        <w:tc>
          <w:tcPr>
            <w:tcW w:w="1274" w:type="dxa"/>
            <w:shd w:val="clear" w:color="000000" w:fill="FFFFFF"/>
            <w:noWrap/>
            <w:vAlign w:val="center"/>
            <w:hideMark/>
          </w:tcPr>
          <w:p w14:paraId="04D2DAF5" w14:textId="77777777" w:rsidR="004823E7" w:rsidRPr="00E44DDA" w:rsidRDefault="004823E7" w:rsidP="007760F7">
            <w:pPr>
              <w:jc w:val="right"/>
              <w:rPr>
                <w:rFonts w:cstheme="minorHAnsi"/>
                <w:sz w:val="20"/>
                <w:szCs w:val="20"/>
              </w:rPr>
            </w:pPr>
            <w:r w:rsidRPr="00E44DDA">
              <w:rPr>
                <w:rFonts w:cstheme="minorHAnsi"/>
                <w:sz w:val="20"/>
                <w:szCs w:val="20"/>
              </w:rPr>
              <w:t>0.2</w:t>
            </w:r>
          </w:p>
        </w:tc>
        <w:tc>
          <w:tcPr>
            <w:tcW w:w="1275" w:type="dxa"/>
            <w:shd w:val="clear" w:color="000000" w:fill="FFFFFF"/>
            <w:noWrap/>
            <w:vAlign w:val="center"/>
            <w:hideMark/>
          </w:tcPr>
          <w:p w14:paraId="28268DA5" w14:textId="77777777" w:rsidR="004823E7" w:rsidRPr="00E44DDA" w:rsidRDefault="004823E7" w:rsidP="007760F7">
            <w:pPr>
              <w:jc w:val="right"/>
              <w:rPr>
                <w:rFonts w:cstheme="minorHAnsi"/>
                <w:sz w:val="20"/>
                <w:szCs w:val="20"/>
              </w:rPr>
            </w:pPr>
            <w:r w:rsidRPr="00E44DDA">
              <w:rPr>
                <w:rFonts w:cstheme="minorHAnsi"/>
                <w:sz w:val="20"/>
                <w:szCs w:val="20"/>
              </w:rPr>
              <w:t>0.1</w:t>
            </w:r>
          </w:p>
        </w:tc>
        <w:tc>
          <w:tcPr>
            <w:tcW w:w="1274" w:type="dxa"/>
            <w:shd w:val="clear" w:color="000000" w:fill="FFFFFF"/>
            <w:noWrap/>
            <w:vAlign w:val="center"/>
            <w:hideMark/>
          </w:tcPr>
          <w:p w14:paraId="6A14C5F6" w14:textId="77777777" w:rsidR="004823E7" w:rsidRPr="00E44DDA" w:rsidRDefault="004823E7" w:rsidP="007760F7">
            <w:pPr>
              <w:jc w:val="right"/>
              <w:rPr>
                <w:rFonts w:cstheme="minorHAnsi"/>
                <w:sz w:val="20"/>
                <w:szCs w:val="20"/>
              </w:rPr>
            </w:pPr>
            <w:r w:rsidRPr="00E44DDA">
              <w:rPr>
                <w:rFonts w:cstheme="minorHAnsi"/>
                <w:sz w:val="20"/>
                <w:szCs w:val="20"/>
              </w:rPr>
              <w:t>0.2</w:t>
            </w:r>
          </w:p>
        </w:tc>
        <w:tc>
          <w:tcPr>
            <w:tcW w:w="1275" w:type="dxa"/>
            <w:shd w:val="clear" w:color="000000" w:fill="FFFFFF"/>
            <w:noWrap/>
            <w:vAlign w:val="center"/>
            <w:hideMark/>
          </w:tcPr>
          <w:p w14:paraId="39FB5219" w14:textId="77777777" w:rsidR="004823E7" w:rsidRPr="00E44DDA" w:rsidRDefault="004823E7" w:rsidP="007760F7">
            <w:pPr>
              <w:jc w:val="right"/>
              <w:rPr>
                <w:rFonts w:cstheme="minorHAnsi"/>
                <w:sz w:val="20"/>
                <w:szCs w:val="20"/>
              </w:rPr>
            </w:pPr>
            <w:r w:rsidRPr="00E44DDA">
              <w:rPr>
                <w:rFonts w:cstheme="minorHAnsi"/>
                <w:sz w:val="20"/>
                <w:szCs w:val="20"/>
              </w:rPr>
              <w:t>0.1</w:t>
            </w:r>
          </w:p>
        </w:tc>
      </w:tr>
      <w:tr w:rsidR="004823E7" w:rsidRPr="007760F7" w14:paraId="2A5AC1BA" w14:textId="77777777" w:rsidTr="00E44DDA">
        <w:trPr>
          <w:trHeight w:val="300"/>
        </w:trPr>
        <w:tc>
          <w:tcPr>
            <w:tcW w:w="2218" w:type="dxa"/>
            <w:shd w:val="clear" w:color="000000" w:fill="FFFFFF"/>
            <w:vAlign w:val="center"/>
            <w:hideMark/>
          </w:tcPr>
          <w:p w14:paraId="2548F90E" w14:textId="42D58D7F" w:rsidR="004823E7" w:rsidRPr="00E44DDA" w:rsidRDefault="004823E7" w:rsidP="007760F7">
            <w:pPr>
              <w:rPr>
                <w:rFonts w:cstheme="minorHAnsi"/>
                <w:b/>
                <w:bCs/>
                <w:color w:val="000000"/>
                <w:sz w:val="20"/>
                <w:szCs w:val="20"/>
              </w:rPr>
            </w:pPr>
            <w:r w:rsidRPr="00E44DDA">
              <w:rPr>
                <w:rFonts w:cstheme="minorHAnsi"/>
                <w:b/>
                <w:bCs/>
                <w:color w:val="000000"/>
                <w:sz w:val="20"/>
                <w:szCs w:val="20"/>
              </w:rPr>
              <w:t>Total MMR</w:t>
            </w:r>
            <w:r w:rsidR="00075FE5" w:rsidRPr="00E44DDA">
              <w:rPr>
                <w:rFonts w:cstheme="minorHAnsi"/>
                <w:b/>
                <w:bCs/>
                <w:color w:val="000000"/>
                <w:sz w:val="20"/>
                <w:szCs w:val="20"/>
                <w:vertAlign w:val="superscript"/>
              </w:rPr>
              <w:t>(a)</w:t>
            </w:r>
          </w:p>
        </w:tc>
        <w:tc>
          <w:tcPr>
            <w:tcW w:w="1274" w:type="dxa"/>
            <w:shd w:val="clear" w:color="000000" w:fill="FFFFFF"/>
            <w:noWrap/>
            <w:vAlign w:val="center"/>
            <w:hideMark/>
          </w:tcPr>
          <w:p w14:paraId="3BB9009F" w14:textId="77777777" w:rsidR="004823E7" w:rsidRPr="00E44DDA" w:rsidRDefault="004823E7" w:rsidP="007760F7">
            <w:pPr>
              <w:jc w:val="right"/>
              <w:rPr>
                <w:rFonts w:cstheme="minorHAnsi"/>
                <w:b/>
                <w:bCs/>
                <w:color w:val="000000"/>
                <w:sz w:val="20"/>
                <w:szCs w:val="20"/>
              </w:rPr>
            </w:pPr>
            <w:r w:rsidRPr="00E44DDA">
              <w:rPr>
                <w:rFonts w:cstheme="minorHAnsi"/>
                <w:b/>
                <w:bCs/>
                <w:color w:val="000000"/>
                <w:sz w:val="20"/>
                <w:szCs w:val="20"/>
              </w:rPr>
              <w:t>11.1</w:t>
            </w:r>
          </w:p>
        </w:tc>
        <w:tc>
          <w:tcPr>
            <w:tcW w:w="1275" w:type="dxa"/>
            <w:shd w:val="clear" w:color="000000" w:fill="FFFFFF"/>
            <w:noWrap/>
            <w:vAlign w:val="center"/>
            <w:hideMark/>
          </w:tcPr>
          <w:p w14:paraId="4359ABE1" w14:textId="77777777" w:rsidR="004823E7" w:rsidRPr="00E44DDA" w:rsidRDefault="004823E7" w:rsidP="007760F7">
            <w:pPr>
              <w:jc w:val="right"/>
              <w:rPr>
                <w:rFonts w:cstheme="minorHAnsi"/>
                <w:b/>
                <w:bCs/>
                <w:color w:val="000000"/>
                <w:sz w:val="20"/>
                <w:szCs w:val="20"/>
              </w:rPr>
            </w:pPr>
            <w:r w:rsidRPr="00E44DDA">
              <w:rPr>
                <w:rFonts w:cstheme="minorHAnsi"/>
                <w:b/>
                <w:bCs/>
                <w:color w:val="000000"/>
                <w:sz w:val="20"/>
                <w:szCs w:val="20"/>
              </w:rPr>
              <w:t>8.4</w:t>
            </w:r>
          </w:p>
        </w:tc>
        <w:tc>
          <w:tcPr>
            <w:tcW w:w="1274" w:type="dxa"/>
            <w:shd w:val="clear" w:color="000000" w:fill="FFFFFF"/>
            <w:noWrap/>
            <w:vAlign w:val="center"/>
            <w:hideMark/>
          </w:tcPr>
          <w:p w14:paraId="6223A197" w14:textId="77777777" w:rsidR="004823E7" w:rsidRPr="00E44DDA" w:rsidRDefault="004823E7" w:rsidP="007760F7">
            <w:pPr>
              <w:jc w:val="right"/>
              <w:rPr>
                <w:rFonts w:cstheme="minorHAnsi"/>
                <w:b/>
                <w:bCs/>
                <w:sz w:val="20"/>
                <w:szCs w:val="20"/>
              </w:rPr>
            </w:pPr>
            <w:r w:rsidRPr="00E44DDA">
              <w:rPr>
                <w:rFonts w:cstheme="minorHAnsi"/>
                <w:b/>
                <w:bCs/>
                <w:sz w:val="20"/>
                <w:szCs w:val="20"/>
              </w:rPr>
              <w:t>6.9</w:t>
            </w:r>
          </w:p>
        </w:tc>
        <w:tc>
          <w:tcPr>
            <w:tcW w:w="1275" w:type="dxa"/>
            <w:shd w:val="clear" w:color="000000" w:fill="FFFFFF"/>
            <w:noWrap/>
            <w:vAlign w:val="center"/>
            <w:hideMark/>
          </w:tcPr>
          <w:p w14:paraId="0BFB094E" w14:textId="77777777" w:rsidR="004823E7" w:rsidRPr="00E44DDA" w:rsidRDefault="004823E7" w:rsidP="007760F7">
            <w:pPr>
              <w:jc w:val="right"/>
              <w:rPr>
                <w:rFonts w:cstheme="minorHAnsi"/>
                <w:b/>
                <w:bCs/>
                <w:sz w:val="20"/>
                <w:szCs w:val="20"/>
              </w:rPr>
            </w:pPr>
            <w:r w:rsidRPr="00E44DDA">
              <w:rPr>
                <w:rFonts w:cstheme="minorHAnsi"/>
                <w:b/>
                <w:bCs/>
                <w:sz w:val="20"/>
                <w:szCs w:val="20"/>
              </w:rPr>
              <w:t>7.4</w:t>
            </w:r>
          </w:p>
        </w:tc>
        <w:tc>
          <w:tcPr>
            <w:tcW w:w="1274" w:type="dxa"/>
            <w:shd w:val="clear" w:color="000000" w:fill="FFFFFF"/>
            <w:noWrap/>
            <w:vAlign w:val="center"/>
            <w:hideMark/>
          </w:tcPr>
          <w:p w14:paraId="38A0BAF2" w14:textId="77777777" w:rsidR="004823E7" w:rsidRPr="00E44DDA" w:rsidRDefault="004823E7" w:rsidP="007760F7">
            <w:pPr>
              <w:jc w:val="right"/>
              <w:rPr>
                <w:rFonts w:cstheme="minorHAnsi"/>
                <w:b/>
                <w:bCs/>
                <w:sz w:val="20"/>
                <w:szCs w:val="20"/>
              </w:rPr>
            </w:pPr>
            <w:r w:rsidRPr="00E44DDA">
              <w:rPr>
                <w:rFonts w:cstheme="minorHAnsi"/>
                <w:b/>
                <w:bCs/>
                <w:sz w:val="20"/>
                <w:szCs w:val="20"/>
              </w:rPr>
              <w:t>6.8</w:t>
            </w:r>
          </w:p>
        </w:tc>
        <w:tc>
          <w:tcPr>
            <w:tcW w:w="1275" w:type="dxa"/>
            <w:shd w:val="clear" w:color="000000" w:fill="FFFFFF"/>
            <w:noWrap/>
            <w:vAlign w:val="center"/>
            <w:hideMark/>
          </w:tcPr>
          <w:p w14:paraId="0930A5F1" w14:textId="77777777" w:rsidR="004823E7" w:rsidRPr="00E44DDA" w:rsidRDefault="004823E7" w:rsidP="007760F7">
            <w:pPr>
              <w:jc w:val="right"/>
              <w:rPr>
                <w:rFonts w:cstheme="minorHAnsi"/>
                <w:b/>
                <w:bCs/>
                <w:sz w:val="20"/>
                <w:szCs w:val="20"/>
              </w:rPr>
            </w:pPr>
            <w:r w:rsidRPr="00E44DDA">
              <w:rPr>
                <w:rFonts w:cstheme="minorHAnsi"/>
                <w:b/>
                <w:bCs/>
                <w:sz w:val="20"/>
                <w:szCs w:val="20"/>
              </w:rPr>
              <w:t>6.4</w:t>
            </w:r>
          </w:p>
        </w:tc>
      </w:tr>
    </w:tbl>
    <w:p w14:paraId="074206DC" w14:textId="0CB4CABB" w:rsidR="00075FE5" w:rsidRPr="00320F74" w:rsidRDefault="00075FE5" w:rsidP="00924850">
      <w:pPr>
        <w:pStyle w:val="Bullets"/>
        <w:numPr>
          <w:ilvl w:val="0"/>
          <w:numId w:val="0"/>
        </w:numPr>
        <w:spacing w:before="0" w:after="0"/>
        <w:rPr>
          <w:sz w:val="18"/>
          <w:szCs w:val="18"/>
          <w:shd w:val="clear" w:color="auto" w:fill="FCFCFC"/>
        </w:rPr>
      </w:pPr>
      <w:r w:rsidRPr="00320F74">
        <w:rPr>
          <w:sz w:val="18"/>
          <w:szCs w:val="18"/>
          <w:shd w:val="clear" w:color="auto" w:fill="FCFCFC"/>
        </w:rPr>
        <w:t xml:space="preserve">Source: AIHW </w:t>
      </w:r>
      <w:r w:rsidRPr="00075FE5">
        <w:rPr>
          <w:sz w:val="18"/>
          <w:szCs w:val="18"/>
          <w:shd w:val="clear" w:color="auto" w:fill="FCFCFC"/>
        </w:rPr>
        <w:t>Supplementary data tables for the Maternal deaths in Australia 2015–2017 report</w:t>
      </w:r>
    </w:p>
    <w:p w14:paraId="25D668BA" w14:textId="29231ECD" w:rsidR="004311D8" w:rsidRPr="00C459D0" w:rsidRDefault="00075FE5" w:rsidP="00785026">
      <w:pPr>
        <w:rPr>
          <w:rFonts w:cstheme="minorHAnsi"/>
          <w:color w:val="000000"/>
          <w:sz w:val="18"/>
          <w:szCs w:val="18"/>
        </w:rPr>
      </w:pPr>
      <w:r>
        <w:rPr>
          <w:sz w:val="18"/>
          <w:szCs w:val="18"/>
        </w:rPr>
        <w:t>AIHW d</w:t>
      </w:r>
      <w:r w:rsidRPr="00320F74">
        <w:rPr>
          <w:sz w:val="18"/>
          <w:szCs w:val="18"/>
        </w:rPr>
        <w:t xml:space="preserve">ata notes: </w:t>
      </w:r>
      <w:r w:rsidRPr="004823E7">
        <w:rPr>
          <w:rFonts w:cstheme="minorHAnsi"/>
          <w:color w:val="000000"/>
          <w:sz w:val="18"/>
          <w:szCs w:val="18"/>
        </w:rPr>
        <w:t>(a)</w:t>
      </w:r>
      <w:r w:rsidR="00FB0C38">
        <w:rPr>
          <w:rFonts w:cstheme="minorHAnsi"/>
          <w:color w:val="000000"/>
          <w:sz w:val="18"/>
          <w:szCs w:val="18"/>
        </w:rPr>
        <w:t xml:space="preserve"> </w:t>
      </w:r>
      <w:r w:rsidRPr="004823E7">
        <w:rPr>
          <w:rFonts w:cstheme="minorHAnsi"/>
          <w:color w:val="000000"/>
          <w:sz w:val="18"/>
          <w:szCs w:val="18"/>
        </w:rPr>
        <w:t>MMR p</w:t>
      </w:r>
      <w:r w:rsidR="00924850">
        <w:rPr>
          <w:rFonts w:cstheme="minorHAnsi"/>
          <w:color w:val="000000"/>
          <w:sz w:val="18"/>
          <w:szCs w:val="18"/>
        </w:rPr>
        <w:t xml:space="preserve">er 100,000 women who gave birth.  </w:t>
      </w:r>
      <w:r w:rsidRPr="004823E7">
        <w:rPr>
          <w:rFonts w:cstheme="minorHAnsi"/>
          <w:color w:val="000000"/>
          <w:sz w:val="18"/>
          <w:szCs w:val="18"/>
        </w:rPr>
        <w:t>(</w:t>
      </w:r>
      <w:r>
        <w:rPr>
          <w:rFonts w:cstheme="minorHAnsi"/>
          <w:color w:val="000000"/>
          <w:sz w:val="18"/>
          <w:szCs w:val="18"/>
        </w:rPr>
        <w:t>b</w:t>
      </w:r>
      <w:r w:rsidRPr="004823E7">
        <w:rPr>
          <w:rFonts w:cstheme="minorHAnsi"/>
          <w:color w:val="000000"/>
          <w:sz w:val="18"/>
          <w:szCs w:val="18"/>
        </w:rPr>
        <w:t>) Includes deaths related to miscarriage, termination of pregnancy, ectopic pregnancy and gestational trophoblastic disease.</w:t>
      </w:r>
      <w:r w:rsidR="00924850">
        <w:rPr>
          <w:rFonts w:cstheme="minorHAnsi"/>
          <w:color w:val="000000"/>
          <w:sz w:val="18"/>
          <w:szCs w:val="18"/>
        </w:rPr>
        <w:t xml:space="preserve">  </w:t>
      </w:r>
      <w:r w:rsidRPr="00075FE5">
        <w:rPr>
          <w:rFonts w:cstheme="minorHAnsi"/>
          <w:color w:val="000000"/>
          <w:sz w:val="18"/>
          <w:szCs w:val="18"/>
        </w:rPr>
        <w:t>For</w:t>
      </w:r>
      <w:r w:rsidRPr="004823E7">
        <w:rPr>
          <w:rFonts w:cstheme="minorHAnsi"/>
          <w:color w:val="000000"/>
          <w:sz w:val="18"/>
          <w:szCs w:val="18"/>
        </w:rPr>
        <w:t xml:space="preserve"> periods prior to 2006, data are sourced from historical reports as published in </w:t>
      </w:r>
      <w:r w:rsidRPr="004823E7">
        <w:rPr>
          <w:rFonts w:cstheme="minorHAnsi"/>
          <w:i/>
          <w:iCs/>
          <w:color w:val="000000"/>
          <w:sz w:val="18"/>
          <w:szCs w:val="18"/>
        </w:rPr>
        <w:t>Maternal deaths in Australia 2012–2014</w:t>
      </w:r>
      <w:r w:rsidRPr="004823E7">
        <w:rPr>
          <w:rFonts w:cstheme="minorHAnsi"/>
          <w:color w:val="000000"/>
          <w:sz w:val="18"/>
          <w:szCs w:val="18"/>
        </w:rPr>
        <w:t>. For 2006 onwards, data elements may not align with that previously published as a result of updated or revised information or classifications being provided to the National Maternal Mortality Data Collection.</w:t>
      </w:r>
    </w:p>
    <w:p w14:paraId="7CAC87A5" w14:textId="73D4F9EA" w:rsidR="00BE465C" w:rsidRPr="004E1FE9" w:rsidRDefault="00BE465C" w:rsidP="00BE465C">
      <w:pPr>
        <w:pStyle w:val="Heading2"/>
      </w:pPr>
      <w:bookmarkStart w:id="357" w:name="_Toc121415077"/>
      <w:r w:rsidRPr="004E1FE9">
        <w:lastRenderedPageBreak/>
        <w:t>Maternity models of care</w:t>
      </w:r>
      <w:bookmarkEnd w:id="357"/>
      <w:r w:rsidRPr="004E1FE9">
        <w:t xml:space="preserve"> </w:t>
      </w:r>
    </w:p>
    <w:p w14:paraId="20ADE700" w14:textId="70DF476C" w:rsidR="004E1FE9" w:rsidRPr="008D3FB5" w:rsidRDefault="00BE465C" w:rsidP="002A689D">
      <w:pPr>
        <w:shd w:val="clear" w:color="auto" w:fill="FFFFFF"/>
        <w:spacing w:after="120"/>
        <w:rPr>
          <w:rFonts w:cstheme="minorHAnsi"/>
          <w:szCs w:val="22"/>
          <w:shd w:val="clear" w:color="auto" w:fill="FFFFFF"/>
        </w:rPr>
      </w:pPr>
      <w:r w:rsidRPr="008D3FB5">
        <w:rPr>
          <w:rFonts w:cstheme="minorHAnsi"/>
          <w:szCs w:val="22"/>
          <w:shd w:val="clear" w:color="auto" w:fill="FFFFFF"/>
        </w:rPr>
        <w:t xml:space="preserve">The Maternity Care Classification System (MaCCS) is a </w:t>
      </w:r>
      <w:r w:rsidRPr="008D3FB5">
        <w:rPr>
          <w:rFonts w:cstheme="minorHAnsi"/>
          <w:b/>
          <w:szCs w:val="22"/>
          <w:shd w:val="clear" w:color="auto" w:fill="FFFFFF"/>
        </w:rPr>
        <w:t>service-level</w:t>
      </w:r>
      <w:r w:rsidRPr="008D3FB5">
        <w:rPr>
          <w:rFonts w:cstheme="minorHAnsi"/>
          <w:szCs w:val="22"/>
          <w:shd w:val="clear" w:color="auto" w:fill="FFFFFF"/>
        </w:rPr>
        <w:t xml:space="preserve"> data collection on the active maternity models of care available to women in Australia. </w:t>
      </w:r>
      <w:r w:rsidRPr="008D3FB5">
        <w:rPr>
          <w:rFonts w:cstheme="minorHAnsi"/>
          <w:szCs w:val="22"/>
        </w:rPr>
        <w:t xml:space="preserve">It is a national system for classifying models of care based on characteristics </w:t>
      </w:r>
      <w:r w:rsidRPr="008D3FB5">
        <w:rPr>
          <w:rFonts w:cstheme="minorHAnsi"/>
          <w:szCs w:val="22"/>
          <w:shd w:val="clear" w:color="auto" w:fill="FFFFFF"/>
        </w:rPr>
        <w:t xml:space="preserve">around </w:t>
      </w:r>
      <w:r w:rsidR="00E85641">
        <w:rPr>
          <w:rFonts w:cstheme="minorHAnsi"/>
          <w:szCs w:val="22"/>
          <w:shd w:val="clear" w:color="auto" w:fill="FFFFFF"/>
        </w:rPr>
        <w:t>three</w:t>
      </w:r>
      <w:r w:rsidR="00E85641" w:rsidRPr="008D3FB5">
        <w:rPr>
          <w:rFonts w:cstheme="minorHAnsi"/>
          <w:szCs w:val="22"/>
          <w:shd w:val="clear" w:color="auto" w:fill="FFFFFF"/>
        </w:rPr>
        <w:t xml:space="preserve"> </w:t>
      </w:r>
      <w:r w:rsidRPr="008D3FB5">
        <w:rPr>
          <w:rFonts w:cstheme="minorHAnsi"/>
          <w:szCs w:val="22"/>
          <w:shd w:val="clear" w:color="auto" w:fill="FFFFFF"/>
        </w:rPr>
        <w:t xml:space="preserve">domains: the women </w:t>
      </w:r>
      <w:r w:rsidR="00E85641">
        <w:rPr>
          <w:rFonts w:cstheme="minorHAnsi"/>
          <w:szCs w:val="22"/>
          <w:shd w:val="clear" w:color="auto" w:fill="FFFFFF"/>
        </w:rPr>
        <w:t xml:space="preserve">for whom </w:t>
      </w:r>
      <w:r w:rsidRPr="008D3FB5">
        <w:rPr>
          <w:rFonts w:cstheme="minorHAnsi"/>
          <w:szCs w:val="22"/>
          <w:shd w:val="clear" w:color="auto" w:fill="FFFFFF"/>
        </w:rPr>
        <w:t xml:space="preserve">a model is designed; the carers working within the model; </w:t>
      </w:r>
      <w:r w:rsidR="002B757F" w:rsidRPr="008D3FB5">
        <w:rPr>
          <w:rFonts w:cstheme="minorHAnsi"/>
          <w:szCs w:val="22"/>
          <w:shd w:val="clear" w:color="auto" w:fill="FFFFFF"/>
        </w:rPr>
        <w:t>and</w:t>
      </w:r>
      <w:r w:rsidRPr="008D3FB5">
        <w:rPr>
          <w:rFonts w:cstheme="minorHAnsi"/>
          <w:szCs w:val="22"/>
          <w:shd w:val="clear" w:color="auto" w:fill="FFFFFF"/>
        </w:rPr>
        <w:t xml:space="preserve"> aspects of how care is provided. The scope of the MaCCS includes antenatal, </w:t>
      </w:r>
      <w:r w:rsidR="002B757F" w:rsidRPr="008D3FB5">
        <w:rPr>
          <w:rFonts w:cstheme="minorHAnsi"/>
          <w:szCs w:val="22"/>
          <w:shd w:val="clear" w:color="auto" w:fill="FFFFFF"/>
        </w:rPr>
        <w:t>intrapartum,</w:t>
      </w:r>
      <w:r w:rsidRPr="008D3FB5">
        <w:rPr>
          <w:rFonts w:cstheme="minorHAnsi"/>
          <w:szCs w:val="22"/>
          <w:shd w:val="clear" w:color="auto" w:fill="FFFFFF"/>
        </w:rPr>
        <w:t xml:space="preserve"> and postnatal care. Each model of care classified has a unique model of care number and can also be categorised into one of eleven major model categories</w:t>
      </w:r>
      <w:r w:rsidR="004E1FE9" w:rsidRPr="008D3FB5">
        <w:rPr>
          <w:rFonts w:cstheme="minorHAnsi"/>
          <w:szCs w:val="22"/>
          <w:shd w:val="clear" w:color="auto" w:fill="FFFFFF"/>
        </w:rPr>
        <w:t>.</w:t>
      </w:r>
    </w:p>
    <w:p w14:paraId="33E53932" w14:textId="0D5189E1" w:rsidR="002A689D" w:rsidRPr="008D3FB5" w:rsidRDefault="00BE465C" w:rsidP="002A689D">
      <w:pPr>
        <w:shd w:val="clear" w:color="auto" w:fill="FFFFFF"/>
        <w:spacing w:after="120"/>
        <w:rPr>
          <w:rFonts w:cstheme="minorHAnsi"/>
          <w:szCs w:val="22"/>
        </w:rPr>
      </w:pPr>
      <w:r w:rsidRPr="008D3FB5">
        <w:rPr>
          <w:rFonts w:cstheme="minorHAnsi"/>
          <w:szCs w:val="22"/>
        </w:rPr>
        <w:t>I</w:t>
      </w:r>
      <w:r w:rsidRPr="008D3FB5">
        <w:rPr>
          <w:rFonts w:cstheme="minorHAnsi"/>
          <w:szCs w:val="22"/>
          <w:shd w:val="clear" w:color="auto" w:fill="FFFFFF"/>
        </w:rPr>
        <w:t>nformation entered about each model forms the basis of the</w:t>
      </w:r>
      <w:r w:rsidR="00FB0C38" w:rsidRPr="008D3FB5">
        <w:rPr>
          <w:rFonts w:cstheme="minorHAnsi"/>
          <w:szCs w:val="22"/>
          <w:shd w:val="clear" w:color="auto" w:fill="FFFFFF"/>
        </w:rPr>
        <w:t xml:space="preserve"> </w:t>
      </w:r>
      <w:r w:rsidRPr="008D3FB5">
        <w:rPr>
          <w:rFonts w:cstheme="minorHAnsi"/>
          <w:iCs/>
          <w:szCs w:val="22"/>
          <w:shd w:val="clear" w:color="auto" w:fill="FFFFFF"/>
        </w:rPr>
        <w:t>Model of Care National Best Practice Data Set</w:t>
      </w:r>
      <w:r w:rsidR="00FB0C38" w:rsidRPr="008D3FB5">
        <w:rPr>
          <w:rFonts w:cstheme="minorHAnsi"/>
          <w:szCs w:val="22"/>
          <w:shd w:val="clear" w:color="auto" w:fill="FFFFFF"/>
        </w:rPr>
        <w:t xml:space="preserve"> </w:t>
      </w:r>
      <w:r w:rsidRPr="008D3FB5">
        <w:rPr>
          <w:rFonts w:cstheme="minorHAnsi"/>
          <w:szCs w:val="22"/>
          <w:shd w:val="clear" w:color="auto" w:fill="FFFFFF"/>
        </w:rPr>
        <w:t xml:space="preserve">(MoC NBPDS). Collection of data relating to models of care is supported by the MaCCS Data Collection Tool (DCT). </w:t>
      </w:r>
      <w:r w:rsidRPr="008D3FB5">
        <w:rPr>
          <w:rFonts w:cstheme="minorHAnsi"/>
          <w:szCs w:val="22"/>
        </w:rPr>
        <w:t>A report on maternity models of care using the MoC NBPDS was published for the first time in 2021 and updated in 2022</w:t>
      </w:r>
      <w:r w:rsidR="004E1FE9" w:rsidRPr="008D3FB5">
        <w:rPr>
          <w:rFonts w:cstheme="minorHAnsi"/>
          <w:szCs w:val="22"/>
        </w:rPr>
        <w:t>.</w:t>
      </w:r>
    </w:p>
    <w:p w14:paraId="2FA321B5" w14:textId="0F2F758C" w:rsidR="004E1FE9" w:rsidRPr="008D3FB5" w:rsidRDefault="002A689D" w:rsidP="002A689D">
      <w:pPr>
        <w:spacing w:after="120"/>
        <w:rPr>
          <w:rFonts w:cstheme="minorHAnsi"/>
          <w:szCs w:val="22"/>
        </w:rPr>
      </w:pPr>
      <w:r w:rsidRPr="008D3FB5">
        <w:rPr>
          <w:rFonts w:cstheme="minorHAnsi"/>
          <w:szCs w:val="22"/>
        </w:rPr>
        <w:t>F</w:t>
      </w:r>
      <w:r w:rsidR="00BE465C" w:rsidRPr="008D3FB5">
        <w:rPr>
          <w:rFonts w:cstheme="minorHAnsi"/>
          <w:szCs w:val="22"/>
        </w:rPr>
        <w:t xml:space="preserve">indings </w:t>
      </w:r>
      <w:r w:rsidRPr="008D3FB5">
        <w:rPr>
          <w:rFonts w:cstheme="minorHAnsi"/>
          <w:szCs w:val="22"/>
        </w:rPr>
        <w:t xml:space="preserve">from this update </w:t>
      </w:r>
      <w:r w:rsidR="00BE465C" w:rsidRPr="008D3FB5">
        <w:rPr>
          <w:rFonts w:cstheme="minorHAnsi"/>
          <w:szCs w:val="22"/>
        </w:rPr>
        <w:t xml:space="preserve">have been prioritised for inclusion in this Baseline Report because there was strong interest in models of care among stakeholders consulted as part of this project, and because the importance of continuity of care is emphasised in the Strategy. </w:t>
      </w:r>
      <w:r w:rsidRPr="008D3FB5">
        <w:rPr>
          <w:rFonts w:cstheme="minorHAnsi"/>
          <w:szCs w:val="22"/>
        </w:rPr>
        <w:t xml:space="preserve">However, it is important to note that a </w:t>
      </w:r>
      <w:r w:rsidRPr="008D3FB5">
        <w:rPr>
          <w:rFonts w:cstheme="minorHAnsi"/>
          <w:b/>
          <w:szCs w:val="22"/>
          <w:shd w:val="clear" w:color="auto" w:fill="FFFFFF"/>
        </w:rPr>
        <w:t>national</w:t>
      </w:r>
      <w:r w:rsidR="00FB0C38" w:rsidRPr="008D3FB5">
        <w:rPr>
          <w:rFonts w:cstheme="minorHAnsi"/>
          <w:b/>
          <w:szCs w:val="22"/>
          <w:shd w:val="clear" w:color="auto" w:fill="FFFFFF"/>
        </w:rPr>
        <w:t xml:space="preserve"> </w:t>
      </w:r>
      <w:r w:rsidRPr="008D3FB5">
        <w:rPr>
          <w:rFonts w:cstheme="minorHAnsi"/>
          <w:b/>
          <w:szCs w:val="22"/>
          <w:lang w:val="en-US"/>
        </w:rPr>
        <w:t xml:space="preserve">baseline for all available maternity models of care is not yet available </w:t>
      </w:r>
      <w:r w:rsidRPr="008D3FB5">
        <w:rPr>
          <w:rFonts w:cstheme="minorHAnsi"/>
          <w:szCs w:val="22"/>
          <w:lang w:val="en-US"/>
        </w:rPr>
        <w:t>because reporting into the MaCCS is not mandatory, it is not known whether</w:t>
      </w:r>
      <w:r w:rsidR="00FB0C38" w:rsidRPr="008D3FB5">
        <w:rPr>
          <w:rFonts w:cstheme="minorHAnsi"/>
          <w:szCs w:val="22"/>
          <w:lang w:val="en-US"/>
        </w:rPr>
        <w:t xml:space="preserve"> </w:t>
      </w:r>
      <w:r w:rsidRPr="008D3FB5">
        <w:rPr>
          <w:rFonts w:cstheme="minorHAnsi"/>
          <w:iCs/>
          <w:szCs w:val="22"/>
          <w:lang w:val="en-US"/>
        </w:rPr>
        <w:t>all</w:t>
      </w:r>
      <w:r w:rsidR="00FB0C38" w:rsidRPr="008D3FB5">
        <w:rPr>
          <w:rFonts w:cstheme="minorHAnsi"/>
          <w:szCs w:val="22"/>
          <w:lang w:val="en-US"/>
        </w:rPr>
        <w:t xml:space="preserve"> </w:t>
      </w:r>
      <w:r w:rsidRPr="008D3FB5">
        <w:rPr>
          <w:rFonts w:cstheme="minorHAnsi"/>
          <w:szCs w:val="22"/>
          <w:lang w:val="en-US"/>
        </w:rPr>
        <w:t xml:space="preserve">available models of care have been entered by services with at least one active model, and there is poorer coverage of </w:t>
      </w:r>
      <w:r w:rsidRPr="008D3FB5">
        <w:rPr>
          <w:rFonts w:cstheme="minorHAnsi"/>
          <w:iCs/>
          <w:szCs w:val="22"/>
          <w:lang w:val="en-US"/>
        </w:rPr>
        <w:t>private midwifery care</w:t>
      </w:r>
      <w:r w:rsidRPr="008D3FB5">
        <w:rPr>
          <w:rFonts w:cstheme="minorHAnsi"/>
          <w:szCs w:val="22"/>
          <w:lang w:val="en-US"/>
        </w:rPr>
        <w:t xml:space="preserve"> than other major categories.</w:t>
      </w:r>
      <w:r w:rsidRPr="008D3FB5">
        <w:rPr>
          <w:rFonts w:cstheme="minorHAnsi"/>
          <w:szCs w:val="22"/>
          <w:lang w:val="en-US"/>
        </w:rPr>
        <w:fldChar w:fldCharType="begin"/>
      </w:r>
      <w:r w:rsidR="00267BD0" w:rsidRPr="008D3FB5">
        <w:rPr>
          <w:rFonts w:cstheme="minorHAnsi"/>
          <w:szCs w:val="22"/>
          <w:lang w:val="en-US"/>
        </w:rPr>
        <w:instrText xml:space="preserve"> ADDIN EN.CITE &lt;EndNote&gt;&lt;Cite&gt;&lt;Author&gt;AIHW&lt;/Author&gt;&lt;Year&gt;2021&lt;/Year&gt;&lt;RecNum&gt;161&lt;/RecNum&gt;&lt;DisplayText&gt;&lt;style face="superscript"&gt;78,79&lt;/style&gt;&lt;/DisplayText&gt;&lt;record&gt;&lt;rec-number&gt;161&lt;/rec-number&gt;&lt;foreign-keys&gt;&lt;key app="EN" db-id="ewrsr2203a2a0veserrv55dezzwsepr5psw2" timestamp="1663656152"&gt;161&lt;/key&gt;&lt;/foreign-keys&gt;&lt;ref-type name="Report"&gt;27&lt;/ref-type&gt;&lt;contributors&gt;&lt;authors&gt;&lt;author&gt;AIHW,&lt;/author&gt;&lt;/authors&gt;&lt;/contributors&gt;&lt;titles&gt;&lt;title&gt;Maternity care in Australia: first national report on models of care&lt;/title&gt;&lt;/titles&gt;&lt;dates&gt;&lt;year&gt;2021&lt;/year&gt;&lt;/dates&gt;&lt;pub-location&gt;Canberra&lt;/pub-location&gt;&lt;publisher&gt;Australian Institute of Health and Welfare&lt;/publisher&gt;&lt;urls&gt;&lt;/urls&gt;&lt;/record&gt;&lt;/Cite&gt;&lt;Cite&gt;&lt;Author&gt;AIHW&lt;/Author&gt;&lt;Year&gt;2022&lt;/Year&gt;&lt;RecNum&gt;250&lt;/RecNum&gt;&lt;record&gt;&lt;rec-number&gt;250&lt;/rec-number&gt;&lt;foreign-keys&gt;&lt;key app="EN" db-id="ewrsr2203a2a0veserrv55dezzwsepr5psw2" timestamp="1666999386"&gt;250&lt;/key&gt;&lt;/foreign-keys&gt;&lt;ref-type name="Report"&gt;27&lt;/ref-type&gt;&lt;contributors&gt;&lt;authors&gt;&lt;author&gt;AIHW,&lt;/author&gt;&lt;/authors&gt;&lt;/contributors&gt;&lt;titles&gt;&lt;title&gt;Maternity models of care in Australia, 2022&lt;/title&gt;&lt;/titles&gt;&lt;dates&gt;&lt;year&gt;2022&lt;/year&gt;&lt;/dates&gt;&lt;pub-location&gt;Canberra&lt;/pub-location&gt;&lt;publisher&gt;Australian Institute of Health and Welfare&lt;/publisher&gt;&lt;urls&gt;&lt;/urls&gt;&lt;/record&gt;&lt;/Cite&gt;&lt;/EndNote&gt;</w:instrText>
      </w:r>
      <w:r w:rsidRPr="008D3FB5">
        <w:rPr>
          <w:rFonts w:cstheme="minorHAnsi"/>
          <w:szCs w:val="22"/>
          <w:lang w:val="en-US"/>
        </w:rPr>
        <w:fldChar w:fldCharType="separate"/>
      </w:r>
      <w:r w:rsidR="00267BD0" w:rsidRPr="008D3FB5">
        <w:rPr>
          <w:rFonts w:cstheme="minorHAnsi"/>
          <w:noProof/>
          <w:szCs w:val="22"/>
          <w:vertAlign w:val="superscript"/>
          <w:lang w:val="en-US"/>
        </w:rPr>
        <w:t>78,79</w:t>
      </w:r>
      <w:r w:rsidRPr="008D3FB5">
        <w:rPr>
          <w:rFonts w:cstheme="minorHAnsi"/>
          <w:szCs w:val="22"/>
          <w:lang w:val="en-US"/>
        </w:rPr>
        <w:fldChar w:fldCharType="end"/>
      </w:r>
    </w:p>
    <w:p w14:paraId="78E31A8F" w14:textId="6A8D0E77" w:rsidR="00254161" w:rsidRPr="008D3FB5" w:rsidRDefault="002A689D" w:rsidP="002A689D">
      <w:pPr>
        <w:spacing w:after="120"/>
      </w:pPr>
      <w:r w:rsidRPr="008D3FB5">
        <w:rPr>
          <w:iCs/>
        </w:rPr>
        <w:t xml:space="preserve">As shown in </w:t>
      </w:r>
      <w:r w:rsidRPr="00BE7642">
        <w:rPr>
          <w:iCs/>
          <w:szCs w:val="22"/>
        </w:rPr>
        <w:fldChar w:fldCharType="begin"/>
      </w:r>
      <w:r w:rsidRPr="00C24842">
        <w:rPr>
          <w:iCs/>
          <w:szCs w:val="22"/>
        </w:rPr>
        <w:instrText xml:space="preserve"> REF _Ref117932556 \h </w:instrText>
      </w:r>
      <w:r w:rsidR="00E85641">
        <w:rPr>
          <w:iCs/>
          <w:szCs w:val="22"/>
        </w:rPr>
        <w:instrText xml:space="preserve"> \* MERGEFORMAT </w:instrText>
      </w:r>
      <w:r w:rsidRPr="00BE7642">
        <w:rPr>
          <w:iCs/>
          <w:szCs w:val="22"/>
        </w:rPr>
      </w:r>
      <w:r w:rsidRPr="00BE7642">
        <w:rPr>
          <w:iCs/>
          <w:szCs w:val="22"/>
        </w:rPr>
        <w:fldChar w:fldCharType="separate"/>
      </w:r>
      <w:r w:rsidR="00296988" w:rsidRPr="00296988">
        <w:rPr>
          <w:rFonts w:cstheme="minorHAnsi"/>
          <w:szCs w:val="22"/>
        </w:rPr>
        <w:t xml:space="preserve">Table </w:t>
      </w:r>
      <w:r w:rsidR="00296988" w:rsidRPr="00296988">
        <w:rPr>
          <w:rFonts w:cstheme="minorHAnsi"/>
          <w:noProof/>
          <w:szCs w:val="22"/>
        </w:rPr>
        <w:t>7</w:t>
      </w:r>
      <w:r w:rsidRPr="00BE7642">
        <w:rPr>
          <w:iCs/>
          <w:szCs w:val="22"/>
        </w:rPr>
        <w:fldChar w:fldCharType="end"/>
      </w:r>
      <w:r w:rsidRPr="008D3FB5">
        <w:rPr>
          <w:iCs/>
        </w:rPr>
        <w:t>, at a national level p</w:t>
      </w:r>
      <w:r w:rsidR="00254161" w:rsidRPr="008D3FB5">
        <w:rPr>
          <w:iCs/>
        </w:rPr>
        <w:t xml:space="preserve">ublic hospital maternity care was the most common active </w:t>
      </w:r>
      <w:r w:rsidRPr="008D3FB5">
        <w:t>model</w:t>
      </w:r>
      <w:r w:rsidR="00254161" w:rsidRPr="008D3FB5">
        <w:t xml:space="preserve"> of care reported in the MoC NBPDS, followed by Shared Care, midwifery group practice caseload care and private obstetrician care. </w:t>
      </w:r>
      <w:r w:rsidRPr="008D3FB5">
        <w:t xml:space="preserve">Overall, 37% of the </w:t>
      </w:r>
      <w:r w:rsidRPr="008D3FB5">
        <w:rPr>
          <w:iCs/>
        </w:rPr>
        <w:t xml:space="preserve">active </w:t>
      </w:r>
      <w:r w:rsidRPr="008D3FB5">
        <w:t xml:space="preserve">models of care reported in 2022 had </w:t>
      </w:r>
      <w:r w:rsidRPr="008D3FB5">
        <w:rPr>
          <w:b/>
        </w:rPr>
        <w:t>no</w:t>
      </w:r>
      <w:r w:rsidRPr="008D3FB5">
        <w:t xml:space="preserve"> continuity of care</w:t>
      </w:r>
      <w:r w:rsidR="00754FCE" w:rsidRPr="008D3FB5">
        <w:t>r</w:t>
      </w:r>
      <w:r w:rsidRPr="008D3FB5">
        <w:t xml:space="preserve"> during the antenatal, </w:t>
      </w:r>
      <w:r w:rsidR="00B93EA4" w:rsidRPr="008D3FB5">
        <w:t>intrapartum,</w:t>
      </w:r>
      <w:r w:rsidRPr="008D3FB5">
        <w:t xml:space="preserve"> or postpartum periods (</w:t>
      </w:r>
      <w:r w:rsidR="007F7825" w:rsidRPr="00BE7642">
        <w:rPr>
          <w:szCs w:val="22"/>
        </w:rPr>
        <w:fldChar w:fldCharType="begin"/>
      </w:r>
      <w:r w:rsidR="007F7825" w:rsidRPr="00C24842">
        <w:rPr>
          <w:szCs w:val="22"/>
        </w:rPr>
        <w:instrText xml:space="preserve"> REF _Ref117932941 \h </w:instrText>
      </w:r>
      <w:r w:rsidR="00E85641">
        <w:rPr>
          <w:szCs w:val="22"/>
        </w:rPr>
        <w:instrText xml:space="preserve"> \* MERGEFORMAT </w:instrText>
      </w:r>
      <w:r w:rsidR="007F7825" w:rsidRPr="00BE7642">
        <w:rPr>
          <w:szCs w:val="22"/>
        </w:rPr>
      </w:r>
      <w:r w:rsidR="007F7825" w:rsidRPr="00BE7642">
        <w:rPr>
          <w:szCs w:val="22"/>
        </w:rPr>
        <w:fldChar w:fldCharType="separate"/>
      </w:r>
      <w:r w:rsidR="00296988" w:rsidRPr="00296988">
        <w:rPr>
          <w:rFonts w:cstheme="minorHAnsi"/>
          <w:szCs w:val="22"/>
        </w:rPr>
        <w:t xml:space="preserve">Table </w:t>
      </w:r>
      <w:r w:rsidR="00296988" w:rsidRPr="00296988">
        <w:rPr>
          <w:rFonts w:cstheme="minorHAnsi"/>
          <w:noProof/>
          <w:szCs w:val="22"/>
        </w:rPr>
        <w:t>8</w:t>
      </w:r>
      <w:r w:rsidR="007F7825" w:rsidRPr="00BE7642">
        <w:rPr>
          <w:szCs w:val="22"/>
        </w:rPr>
        <w:fldChar w:fldCharType="end"/>
      </w:r>
      <w:r w:rsidR="007F7825" w:rsidRPr="008D3FB5">
        <w:t>).</w:t>
      </w:r>
    </w:p>
    <w:p w14:paraId="66CD551B" w14:textId="178E56C5" w:rsidR="00254161" w:rsidRPr="008D3FB5" w:rsidRDefault="002A689D" w:rsidP="002A689D">
      <w:pPr>
        <w:pStyle w:val="Caption"/>
        <w:rPr>
          <w:rFonts w:cstheme="minorHAnsi"/>
          <w:color w:val="212529"/>
          <w:sz w:val="20"/>
          <w:szCs w:val="20"/>
          <w:lang w:val="en-US"/>
        </w:rPr>
      </w:pPr>
      <w:bookmarkStart w:id="358" w:name="_Ref117932556"/>
      <w:bookmarkStart w:id="359" w:name="_Toc121429183"/>
      <w:r w:rsidRPr="008D3FB5">
        <w:rPr>
          <w:rFonts w:cstheme="minorHAnsi"/>
          <w:sz w:val="20"/>
          <w:szCs w:val="20"/>
        </w:rPr>
        <w:t xml:space="preserve">Table </w:t>
      </w:r>
      <w:r w:rsidRPr="008D3FB5">
        <w:rPr>
          <w:rFonts w:cstheme="minorHAnsi"/>
          <w:sz w:val="20"/>
          <w:szCs w:val="20"/>
        </w:rPr>
        <w:fldChar w:fldCharType="begin"/>
      </w:r>
      <w:r w:rsidRPr="008D3FB5">
        <w:rPr>
          <w:rFonts w:cstheme="minorHAnsi"/>
          <w:sz w:val="20"/>
          <w:szCs w:val="20"/>
        </w:rPr>
        <w:instrText xml:space="preserve"> SEQ Table \* ARABIC </w:instrText>
      </w:r>
      <w:r w:rsidRPr="008D3FB5">
        <w:rPr>
          <w:rFonts w:cstheme="minorHAnsi"/>
          <w:sz w:val="20"/>
          <w:szCs w:val="20"/>
        </w:rPr>
        <w:fldChar w:fldCharType="separate"/>
      </w:r>
      <w:r w:rsidR="00296988">
        <w:rPr>
          <w:rFonts w:cstheme="minorHAnsi"/>
          <w:noProof/>
          <w:sz w:val="20"/>
          <w:szCs w:val="20"/>
        </w:rPr>
        <w:t>7</w:t>
      </w:r>
      <w:r w:rsidRPr="008D3FB5">
        <w:rPr>
          <w:rFonts w:cstheme="minorHAnsi"/>
          <w:sz w:val="20"/>
          <w:szCs w:val="20"/>
        </w:rPr>
        <w:fldChar w:fldCharType="end"/>
      </w:r>
      <w:bookmarkEnd w:id="358"/>
      <w:r w:rsidRPr="008D3FB5">
        <w:rPr>
          <w:rFonts w:cstheme="minorHAnsi"/>
          <w:sz w:val="20"/>
          <w:szCs w:val="20"/>
        </w:rPr>
        <w:tab/>
      </w:r>
      <w:r w:rsidR="00254161" w:rsidRPr="008D3FB5">
        <w:rPr>
          <w:rFonts w:cstheme="minorHAnsi"/>
          <w:bCs w:val="0"/>
          <w:sz w:val="20"/>
          <w:szCs w:val="20"/>
        </w:rPr>
        <w:t>Proportion of models of care, by major model category and jurisdiction, 2022</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797"/>
        <w:gridCol w:w="797"/>
        <w:gridCol w:w="797"/>
        <w:gridCol w:w="796"/>
        <w:gridCol w:w="798"/>
        <w:gridCol w:w="796"/>
        <w:gridCol w:w="796"/>
        <w:gridCol w:w="796"/>
        <w:gridCol w:w="798"/>
      </w:tblGrid>
      <w:tr w:rsidR="00A45B71" w:rsidRPr="00A45B71" w14:paraId="51D01C7F" w14:textId="77777777" w:rsidTr="00E44DDA">
        <w:trPr>
          <w:trHeight w:val="315"/>
        </w:trPr>
        <w:tc>
          <w:tcPr>
            <w:tcW w:w="1360" w:type="pct"/>
            <w:shd w:val="clear" w:color="auto" w:fill="auto"/>
            <w:vAlign w:val="center"/>
            <w:hideMark/>
          </w:tcPr>
          <w:p w14:paraId="14BBA4B2" w14:textId="77777777" w:rsidR="00254161" w:rsidRPr="00E44DDA" w:rsidRDefault="00254161" w:rsidP="00E44DDA">
            <w:pPr>
              <w:rPr>
                <w:rFonts w:cstheme="minorHAnsi"/>
                <w:b/>
                <w:bCs/>
                <w:sz w:val="20"/>
                <w:szCs w:val="20"/>
              </w:rPr>
            </w:pPr>
            <w:r w:rsidRPr="00E44DDA">
              <w:rPr>
                <w:rFonts w:cstheme="minorHAnsi"/>
                <w:b/>
                <w:bCs/>
                <w:sz w:val="20"/>
                <w:szCs w:val="20"/>
              </w:rPr>
              <w:t>Major model category</w:t>
            </w:r>
          </w:p>
        </w:tc>
        <w:tc>
          <w:tcPr>
            <w:tcW w:w="404" w:type="pct"/>
            <w:shd w:val="clear" w:color="auto" w:fill="auto"/>
            <w:vAlign w:val="center"/>
            <w:hideMark/>
          </w:tcPr>
          <w:p w14:paraId="7DAA0D89" w14:textId="77777777" w:rsidR="00254161" w:rsidRPr="00E44DDA" w:rsidRDefault="00254161" w:rsidP="00E44DDA">
            <w:pPr>
              <w:jc w:val="right"/>
              <w:rPr>
                <w:rFonts w:cstheme="minorHAnsi"/>
                <w:b/>
                <w:bCs/>
                <w:sz w:val="20"/>
                <w:szCs w:val="20"/>
              </w:rPr>
            </w:pPr>
            <w:r w:rsidRPr="00E44DDA">
              <w:rPr>
                <w:rFonts w:cstheme="minorHAnsi"/>
                <w:b/>
                <w:bCs/>
                <w:sz w:val="20"/>
                <w:szCs w:val="20"/>
              </w:rPr>
              <w:t>NSW</w:t>
            </w:r>
          </w:p>
        </w:tc>
        <w:tc>
          <w:tcPr>
            <w:tcW w:w="404" w:type="pct"/>
            <w:shd w:val="clear" w:color="auto" w:fill="auto"/>
            <w:vAlign w:val="center"/>
            <w:hideMark/>
          </w:tcPr>
          <w:p w14:paraId="7FD64EE8" w14:textId="77777777" w:rsidR="00254161" w:rsidRPr="00E44DDA" w:rsidRDefault="00254161" w:rsidP="00E44DDA">
            <w:pPr>
              <w:jc w:val="right"/>
              <w:rPr>
                <w:rFonts w:cstheme="minorHAnsi"/>
                <w:b/>
                <w:bCs/>
                <w:sz w:val="20"/>
                <w:szCs w:val="20"/>
              </w:rPr>
            </w:pPr>
            <w:r w:rsidRPr="00E44DDA">
              <w:rPr>
                <w:rFonts w:cstheme="minorHAnsi"/>
                <w:b/>
                <w:bCs/>
                <w:sz w:val="20"/>
                <w:szCs w:val="20"/>
              </w:rPr>
              <w:t>Vic</w:t>
            </w:r>
          </w:p>
        </w:tc>
        <w:tc>
          <w:tcPr>
            <w:tcW w:w="404" w:type="pct"/>
            <w:shd w:val="clear" w:color="auto" w:fill="auto"/>
            <w:vAlign w:val="center"/>
            <w:hideMark/>
          </w:tcPr>
          <w:p w14:paraId="5B9E0A26" w14:textId="49E28E93" w:rsidR="00254161" w:rsidRPr="00E44DDA" w:rsidRDefault="00254161" w:rsidP="00E44DDA">
            <w:pPr>
              <w:jc w:val="right"/>
              <w:rPr>
                <w:rFonts w:cstheme="minorHAnsi"/>
                <w:b/>
                <w:bCs/>
                <w:sz w:val="20"/>
                <w:szCs w:val="20"/>
              </w:rPr>
            </w:pPr>
            <w:r w:rsidRPr="00E44DDA">
              <w:rPr>
                <w:rFonts w:cstheme="minorHAnsi"/>
                <w:b/>
                <w:bCs/>
                <w:sz w:val="20"/>
                <w:szCs w:val="20"/>
              </w:rPr>
              <w:t>Qld</w:t>
            </w:r>
          </w:p>
        </w:tc>
        <w:tc>
          <w:tcPr>
            <w:tcW w:w="404" w:type="pct"/>
            <w:shd w:val="clear" w:color="auto" w:fill="auto"/>
            <w:vAlign w:val="center"/>
            <w:hideMark/>
          </w:tcPr>
          <w:p w14:paraId="58F834FC" w14:textId="77777777" w:rsidR="00254161" w:rsidRPr="00E44DDA" w:rsidRDefault="00254161" w:rsidP="00E44DDA">
            <w:pPr>
              <w:jc w:val="right"/>
              <w:rPr>
                <w:rFonts w:cstheme="minorHAnsi"/>
                <w:b/>
                <w:bCs/>
                <w:sz w:val="20"/>
                <w:szCs w:val="20"/>
              </w:rPr>
            </w:pPr>
            <w:r w:rsidRPr="00E44DDA">
              <w:rPr>
                <w:rFonts w:cstheme="minorHAnsi"/>
                <w:b/>
                <w:bCs/>
                <w:sz w:val="20"/>
                <w:szCs w:val="20"/>
              </w:rPr>
              <w:t>WA</w:t>
            </w:r>
          </w:p>
        </w:tc>
        <w:tc>
          <w:tcPr>
            <w:tcW w:w="405" w:type="pct"/>
            <w:shd w:val="clear" w:color="auto" w:fill="auto"/>
            <w:vAlign w:val="center"/>
            <w:hideMark/>
          </w:tcPr>
          <w:p w14:paraId="451597F0" w14:textId="77777777" w:rsidR="00254161" w:rsidRPr="00E44DDA" w:rsidRDefault="00254161" w:rsidP="00E44DDA">
            <w:pPr>
              <w:jc w:val="right"/>
              <w:rPr>
                <w:rFonts w:cstheme="minorHAnsi"/>
                <w:b/>
                <w:bCs/>
                <w:sz w:val="20"/>
                <w:szCs w:val="20"/>
              </w:rPr>
            </w:pPr>
            <w:r w:rsidRPr="00E44DDA">
              <w:rPr>
                <w:rFonts w:cstheme="minorHAnsi"/>
                <w:b/>
                <w:bCs/>
                <w:sz w:val="20"/>
                <w:szCs w:val="20"/>
              </w:rPr>
              <w:t>SA</w:t>
            </w:r>
          </w:p>
        </w:tc>
        <w:tc>
          <w:tcPr>
            <w:tcW w:w="404" w:type="pct"/>
            <w:shd w:val="clear" w:color="auto" w:fill="auto"/>
            <w:vAlign w:val="center"/>
            <w:hideMark/>
          </w:tcPr>
          <w:p w14:paraId="6872BDB5" w14:textId="77777777" w:rsidR="00254161" w:rsidRPr="00E44DDA" w:rsidRDefault="00254161" w:rsidP="00E44DDA">
            <w:pPr>
              <w:jc w:val="right"/>
              <w:rPr>
                <w:rFonts w:cstheme="minorHAnsi"/>
                <w:b/>
                <w:bCs/>
                <w:sz w:val="20"/>
                <w:szCs w:val="20"/>
              </w:rPr>
            </w:pPr>
            <w:r w:rsidRPr="00E44DDA">
              <w:rPr>
                <w:rFonts w:cstheme="minorHAnsi"/>
                <w:b/>
                <w:bCs/>
                <w:sz w:val="20"/>
                <w:szCs w:val="20"/>
              </w:rPr>
              <w:t>Tas</w:t>
            </w:r>
          </w:p>
        </w:tc>
        <w:tc>
          <w:tcPr>
            <w:tcW w:w="404" w:type="pct"/>
            <w:shd w:val="clear" w:color="auto" w:fill="auto"/>
            <w:vAlign w:val="center"/>
            <w:hideMark/>
          </w:tcPr>
          <w:p w14:paraId="14E4BBB2" w14:textId="77777777" w:rsidR="00254161" w:rsidRPr="00E44DDA" w:rsidRDefault="00254161" w:rsidP="00E44DDA">
            <w:pPr>
              <w:jc w:val="right"/>
              <w:rPr>
                <w:rFonts w:cstheme="minorHAnsi"/>
                <w:b/>
                <w:bCs/>
                <w:sz w:val="20"/>
                <w:szCs w:val="20"/>
              </w:rPr>
            </w:pPr>
            <w:r w:rsidRPr="00E44DDA">
              <w:rPr>
                <w:rFonts w:cstheme="minorHAnsi"/>
                <w:b/>
                <w:bCs/>
                <w:sz w:val="20"/>
                <w:szCs w:val="20"/>
              </w:rPr>
              <w:t>ACT</w:t>
            </w:r>
          </w:p>
        </w:tc>
        <w:tc>
          <w:tcPr>
            <w:tcW w:w="404" w:type="pct"/>
            <w:shd w:val="clear" w:color="auto" w:fill="auto"/>
            <w:vAlign w:val="center"/>
            <w:hideMark/>
          </w:tcPr>
          <w:p w14:paraId="26016791" w14:textId="77777777" w:rsidR="00254161" w:rsidRPr="00E44DDA" w:rsidRDefault="00254161" w:rsidP="00E44DDA">
            <w:pPr>
              <w:jc w:val="right"/>
              <w:rPr>
                <w:rFonts w:cstheme="minorHAnsi"/>
                <w:b/>
                <w:bCs/>
                <w:sz w:val="20"/>
                <w:szCs w:val="20"/>
              </w:rPr>
            </w:pPr>
            <w:r w:rsidRPr="00E44DDA">
              <w:rPr>
                <w:rFonts w:cstheme="minorHAnsi"/>
                <w:b/>
                <w:bCs/>
                <w:sz w:val="20"/>
                <w:szCs w:val="20"/>
              </w:rPr>
              <w:t>NT</w:t>
            </w:r>
          </w:p>
        </w:tc>
        <w:tc>
          <w:tcPr>
            <w:tcW w:w="405" w:type="pct"/>
            <w:shd w:val="clear" w:color="auto" w:fill="auto"/>
            <w:vAlign w:val="center"/>
            <w:hideMark/>
          </w:tcPr>
          <w:p w14:paraId="1EEEFF98" w14:textId="138482C9" w:rsidR="00254161" w:rsidRPr="00E44DDA" w:rsidRDefault="00254161" w:rsidP="00E44DDA">
            <w:pPr>
              <w:jc w:val="right"/>
              <w:rPr>
                <w:rFonts w:cstheme="minorHAnsi"/>
                <w:b/>
                <w:bCs/>
                <w:sz w:val="20"/>
                <w:szCs w:val="20"/>
              </w:rPr>
            </w:pPr>
            <w:r w:rsidRPr="00E44DDA">
              <w:rPr>
                <w:rFonts w:cstheme="minorHAnsi"/>
                <w:b/>
                <w:bCs/>
                <w:sz w:val="20"/>
                <w:szCs w:val="20"/>
              </w:rPr>
              <w:t>Total</w:t>
            </w:r>
          </w:p>
        </w:tc>
      </w:tr>
      <w:tr w:rsidR="00A45B71" w:rsidRPr="00A45B71" w14:paraId="1C5D1B4A" w14:textId="77777777" w:rsidTr="00E44DDA">
        <w:trPr>
          <w:trHeight w:val="420"/>
        </w:trPr>
        <w:tc>
          <w:tcPr>
            <w:tcW w:w="1360" w:type="pct"/>
            <w:shd w:val="clear" w:color="auto" w:fill="auto"/>
            <w:vAlign w:val="center"/>
            <w:hideMark/>
          </w:tcPr>
          <w:p w14:paraId="470DE6C5" w14:textId="77777777" w:rsidR="00254161" w:rsidRPr="00E44DDA" w:rsidRDefault="00254161" w:rsidP="0043705A">
            <w:pPr>
              <w:rPr>
                <w:rFonts w:cstheme="minorHAnsi"/>
                <w:color w:val="262626"/>
                <w:sz w:val="20"/>
                <w:szCs w:val="20"/>
              </w:rPr>
            </w:pPr>
            <w:r w:rsidRPr="00E44DDA">
              <w:rPr>
                <w:rFonts w:cstheme="minorHAnsi"/>
                <w:color w:val="262626"/>
                <w:sz w:val="20"/>
                <w:szCs w:val="20"/>
              </w:rPr>
              <w:t>Public hospital maternity care</w:t>
            </w:r>
          </w:p>
        </w:tc>
        <w:tc>
          <w:tcPr>
            <w:tcW w:w="404" w:type="pct"/>
            <w:shd w:val="clear" w:color="auto" w:fill="auto"/>
            <w:vAlign w:val="center"/>
            <w:hideMark/>
          </w:tcPr>
          <w:p w14:paraId="7B5AEE00" w14:textId="77777777" w:rsidR="00254161" w:rsidRPr="00E44DDA" w:rsidRDefault="00254161" w:rsidP="0043705A">
            <w:pPr>
              <w:jc w:val="right"/>
              <w:rPr>
                <w:rFonts w:cstheme="minorHAnsi"/>
                <w:sz w:val="20"/>
                <w:szCs w:val="20"/>
              </w:rPr>
            </w:pPr>
            <w:r w:rsidRPr="00E44DDA">
              <w:rPr>
                <w:rFonts w:cstheme="minorHAnsi"/>
                <w:sz w:val="20"/>
                <w:szCs w:val="20"/>
              </w:rPr>
              <w:t>52.6</w:t>
            </w:r>
          </w:p>
        </w:tc>
        <w:tc>
          <w:tcPr>
            <w:tcW w:w="404" w:type="pct"/>
            <w:shd w:val="clear" w:color="auto" w:fill="auto"/>
            <w:vAlign w:val="center"/>
            <w:hideMark/>
          </w:tcPr>
          <w:p w14:paraId="6A697F6B" w14:textId="77777777" w:rsidR="00254161" w:rsidRPr="00E44DDA" w:rsidRDefault="00254161" w:rsidP="0043705A">
            <w:pPr>
              <w:jc w:val="right"/>
              <w:rPr>
                <w:rFonts w:cstheme="minorHAnsi"/>
                <w:sz w:val="20"/>
                <w:szCs w:val="20"/>
              </w:rPr>
            </w:pPr>
            <w:r w:rsidRPr="00E44DDA">
              <w:rPr>
                <w:rFonts w:cstheme="minorHAnsi"/>
                <w:sz w:val="20"/>
                <w:szCs w:val="20"/>
              </w:rPr>
              <w:t>40.0</w:t>
            </w:r>
          </w:p>
        </w:tc>
        <w:tc>
          <w:tcPr>
            <w:tcW w:w="404" w:type="pct"/>
            <w:shd w:val="clear" w:color="auto" w:fill="auto"/>
            <w:vAlign w:val="center"/>
            <w:hideMark/>
          </w:tcPr>
          <w:p w14:paraId="6C4A0ACE" w14:textId="77777777" w:rsidR="00254161" w:rsidRPr="00E44DDA" w:rsidRDefault="00254161" w:rsidP="0043705A">
            <w:pPr>
              <w:jc w:val="right"/>
              <w:rPr>
                <w:rFonts w:cstheme="minorHAnsi"/>
                <w:sz w:val="20"/>
                <w:szCs w:val="20"/>
              </w:rPr>
            </w:pPr>
            <w:r w:rsidRPr="00E44DDA">
              <w:rPr>
                <w:rFonts w:cstheme="minorHAnsi"/>
                <w:sz w:val="20"/>
                <w:szCs w:val="20"/>
              </w:rPr>
              <w:t>31.2</w:t>
            </w:r>
          </w:p>
        </w:tc>
        <w:tc>
          <w:tcPr>
            <w:tcW w:w="404" w:type="pct"/>
            <w:shd w:val="clear" w:color="auto" w:fill="auto"/>
            <w:noWrap/>
            <w:vAlign w:val="center"/>
            <w:hideMark/>
          </w:tcPr>
          <w:p w14:paraId="6F8D5FFE"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32.5</w:t>
            </w:r>
          </w:p>
        </w:tc>
        <w:tc>
          <w:tcPr>
            <w:tcW w:w="405" w:type="pct"/>
            <w:shd w:val="clear" w:color="auto" w:fill="auto"/>
            <w:noWrap/>
            <w:vAlign w:val="center"/>
            <w:hideMark/>
          </w:tcPr>
          <w:p w14:paraId="1DA8877D"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30.0</w:t>
            </w:r>
          </w:p>
        </w:tc>
        <w:tc>
          <w:tcPr>
            <w:tcW w:w="404" w:type="pct"/>
            <w:shd w:val="clear" w:color="auto" w:fill="auto"/>
            <w:noWrap/>
            <w:vAlign w:val="center"/>
            <w:hideMark/>
          </w:tcPr>
          <w:p w14:paraId="656295C2"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52.2</w:t>
            </w:r>
          </w:p>
        </w:tc>
        <w:tc>
          <w:tcPr>
            <w:tcW w:w="404" w:type="pct"/>
            <w:shd w:val="clear" w:color="auto" w:fill="auto"/>
            <w:noWrap/>
            <w:vAlign w:val="center"/>
            <w:hideMark/>
          </w:tcPr>
          <w:p w14:paraId="12181B08"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42.9</w:t>
            </w:r>
          </w:p>
        </w:tc>
        <w:tc>
          <w:tcPr>
            <w:tcW w:w="404" w:type="pct"/>
            <w:shd w:val="clear" w:color="auto" w:fill="auto"/>
            <w:noWrap/>
            <w:vAlign w:val="center"/>
            <w:hideMark/>
          </w:tcPr>
          <w:p w14:paraId="41D1B66E"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20.8</w:t>
            </w:r>
          </w:p>
        </w:tc>
        <w:tc>
          <w:tcPr>
            <w:tcW w:w="405" w:type="pct"/>
            <w:shd w:val="clear" w:color="auto" w:fill="auto"/>
            <w:noWrap/>
            <w:vAlign w:val="center"/>
            <w:hideMark/>
          </w:tcPr>
          <w:p w14:paraId="25508077"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40.4</w:t>
            </w:r>
          </w:p>
        </w:tc>
      </w:tr>
      <w:tr w:rsidR="00A45B71" w:rsidRPr="00A45B71" w14:paraId="5ADC6A16" w14:textId="77777777" w:rsidTr="00E44DDA">
        <w:trPr>
          <w:trHeight w:val="420"/>
        </w:trPr>
        <w:tc>
          <w:tcPr>
            <w:tcW w:w="1360" w:type="pct"/>
            <w:shd w:val="clear" w:color="auto" w:fill="auto"/>
            <w:vAlign w:val="center"/>
            <w:hideMark/>
          </w:tcPr>
          <w:p w14:paraId="3AECB95B" w14:textId="77777777" w:rsidR="00254161" w:rsidRPr="00E44DDA" w:rsidRDefault="00254161" w:rsidP="0043705A">
            <w:pPr>
              <w:rPr>
                <w:rFonts w:cstheme="minorHAnsi"/>
                <w:color w:val="262626"/>
                <w:sz w:val="20"/>
                <w:szCs w:val="20"/>
              </w:rPr>
            </w:pPr>
            <w:r w:rsidRPr="00E44DDA">
              <w:rPr>
                <w:rFonts w:cstheme="minorHAnsi"/>
                <w:color w:val="262626"/>
                <w:sz w:val="20"/>
                <w:szCs w:val="20"/>
              </w:rPr>
              <w:t>Shared care</w:t>
            </w:r>
          </w:p>
        </w:tc>
        <w:tc>
          <w:tcPr>
            <w:tcW w:w="404" w:type="pct"/>
            <w:shd w:val="clear" w:color="auto" w:fill="auto"/>
            <w:vAlign w:val="center"/>
            <w:hideMark/>
          </w:tcPr>
          <w:p w14:paraId="268F98E0" w14:textId="77777777" w:rsidR="00254161" w:rsidRPr="00E44DDA" w:rsidRDefault="00254161" w:rsidP="0043705A">
            <w:pPr>
              <w:jc w:val="right"/>
              <w:rPr>
                <w:rFonts w:cstheme="minorHAnsi"/>
                <w:sz w:val="20"/>
                <w:szCs w:val="20"/>
              </w:rPr>
            </w:pPr>
            <w:r w:rsidRPr="00E44DDA">
              <w:rPr>
                <w:rFonts w:cstheme="minorHAnsi"/>
                <w:sz w:val="20"/>
                <w:szCs w:val="20"/>
              </w:rPr>
              <w:t>12.7</w:t>
            </w:r>
          </w:p>
        </w:tc>
        <w:tc>
          <w:tcPr>
            <w:tcW w:w="404" w:type="pct"/>
            <w:shd w:val="clear" w:color="auto" w:fill="auto"/>
            <w:vAlign w:val="center"/>
            <w:hideMark/>
          </w:tcPr>
          <w:p w14:paraId="6DE8816B" w14:textId="77777777" w:rsidR="00254161" w:rsidRPr="00E44DDA" w:rsidRDefault="00254161" w:rsidP="0043705A">
            <w:pPr>
              <w:jc w:val="right"/>
              <w:rPr>
                <w:rFonts w:cstheme="minorHAnsi"/>
                <w:sz w:val="20"/>
                <w:szCs w:val="20"/>
              </w:rPr>
            </w:pPr>
            <w:r w:rsidRPr="00E44DDA">
              <w:rPr>
                <w:rFonts w:cstheme="minorHAnsi"/>
                <w:sz w:val="20"/>
                <w:szCs w:val="20"/>
              </w:rPr>
              <w:t>18.7</w:t>
            </w:r>
          </w:p>
        </w:tc>
        <w:tc>
          <w:tcPr>
            <w:tcW w:w="404" w:type="pct"/>
            <w:shd w:val="clear" w:color="auto" w:fill="auto"/>
            <w:vAlign w:val="center"/>
            <w:hideMark/>
          </w:tcPr>
          <w:p w14:paraId="0BB9E0FB" w14:textId="77777777" w:rsidR="00254161" w:rsidRPr="00E44DDA" w:rsidRDefault="00254161" w:rsidP="0043705A">
            <w:pPr>
              <w:jc w:val="right"/>
              <w:rPr>
                <w:rFonts w:cstheme="minorHAnsi"/>
                <w:sz w:val="20"/>
                <w:szCs w:val="20"/>
              </w:rPr>
            </w:pPr>
            <w:r w:rsidRPr="00E44DDA">
              <w:rPr>
                <w:rFonts w:cstheme="minorHAnsi"/>
                <w:sz w:val="20"/>
                <w:szCs w:val="20"/>
              </w:rPr>
              <w:t>13.9</w:t>
            </w:r>
          </w:p>
        </w:tc>
        <w:tc>
          <w:tcPr>
            <w:tcW w:w="404" w:type="pct"/>
            <w:shd w:val="clear" w:color="auto" w:fill="auto"/>
            <w:noWrap/>
            <w:vAlign w:val="center"/>
            <w:hideMark/>
          </w:tcPr>
          <w:p w14:paraId="74F8C171"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21.4</w:t>
            </w:r>
          </w:p>
        </w:tc>
        <w:tc>
          <w:tcPr>
            <w:tcW w:w="405" w:type="pct"/>
            <w:shd w:val="clear" w:color="auto" w:fill="auto"/>
            <w:noWrap/>
            <w:vAlign w:val="center"/>
            <w:hideMark/>
          </w:tcPr>
          <w:p w14:paraId="0621F81A"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16.0</w:t>
            </w:r>
          </w:p>
        </w:tc>
        <w:tc>
          <w:tcPr>
            <w:tcW w:w="404" w:type="pct"/>
            <w:shd w:val="clear" w:color="auto" w:fill="auto"/>
            <w:noWrap/>
            <w:vAlign w:val="center"/>
            <w:hideMark/>
          </w:tcPr>
          <w:p w14:paraId="6037AE39"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5323A410"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9.5</w:t>
            </w:r>
          </w:p>
        </w:tc>
        <w:tc>
          <w:tcPr>
            <w:tcW w:w="404" w:type="pct"/>
            <w:shd w:val="clear" w:color="auto" w:fill="auto"/>
            <w:noWrap/>
            <w:vAlign w:val="center"/>
            <w:hideMark/>
          </w:tcPr>
          <w:p w14:paraId="1959CE1C"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25.0</w:t>
            </w:r>
          </w:p>
        </w:tc>
        <w:tc>
          <w:tcPr>
            <w:tcW w:w="405" w:type="pct"/>
            <w:shd w:val="clear" w:color="auto" w:fill="auto"/>
            <w:noWrap/>
            <w:vAlign w:val="center"/>
            <w:hideMark/>
          </w:tcPr>
          <w:p w14:paraId="2544C8E9"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15.3</w:t>
            </w:r>
          </w:p>
        </w:tc>
      </w:tr>
      <w:tr w:rsidR="00A45B71" w:rsidRPr="00A45B71" w14:paraId="7121CB1E" w14:textId="77777777" w:rsidTr="00E44DDA">
        <w:trPr>
          <w:trHeight w:val="420"/>
        </w:trPr>
        <w:tc>
          <w:tcPr>
            <w:tcW w:w="1360" w:type="pct"/>
            <w:shd w:val="clear" w:color="auto" w:fill="auto"/>
            <w:vAlign w:val="center"/>
            <w:hideMark/>
          </w:tcPr>
          <w:p w14:paraId="54DEA6DB" w14:textId="77777777" w:rsidR="00254161" w:rsidRPr="00E44DDA" w:rsidRDefault="00254161" w:rsidP="0043705A">
            <w:pPr>
              <w:rPr>
                <w:rFonts w:cstheme="minorHAnsi"/>
                <w:color w:val="262626"/>
                <w:sz w:val="20"/>
                <w:szCs w:val="20"/>
              </w:rPr>
            </w:pPr>
            <w:r w:rsidRPr="00E44DDA">
              <w:rPr>
                <w:rFonts w:cstheme="minorHAnsi"/>
                <w:color w:val="262626"/>
                <w:sz w:val="20"/>
                <w:szCs w:val="20"/>
              </w:rPr>
              <w:t>Midwifery group practice caseload care</w:t>
            </w:r>
          </w:p>
        </w:tc>
        <w:tc>
          <w:tcPr>
            <w:tcW w:w="404" w:type="pct"/>
            <w:shd w:val="clear" w:color="auto" w:fill="auto"/>
            <w:vAlign w:val="center"/>
            <w:hideMark/>
          </w:tcPr>
          <w:p w14:paraId="7CB409BB" w14:textId="77777777" w:rsidR="00254161" w:rsidRPr="00E44DDA" w:rsidRDefault="00254161" w:rsidP="0043705A">
            <w:pPr>
              <w:jc w:val="right"/>
              <w:rPr>
                <w:rFonts w:cstheme="minorHAnsi"/>
                <w:sz w:val="20"/>
                <w:szCs w:val="20"/>
              </w:rPr>
            </w:pPr>
            <w:r w:rsidRPr="00E44DDA">
              <w:rPr>
                <w:rFonts w:cstheme="minorHAnsi"/>
                <w:sz w:val="20"/>
                <w:szCs w:val="20"/>
              </w:rPr>
              <w:t>13.1</w:t>
            </w:r>
          </w:p>
        </w:tc>
        <w:tc>
          <w:tcPr>
            <w:tcW w:w="404" w:type="pct"/>
            <w:shd w:val="clear" w:color="auto" w:fill="auto"/>
            <w:vAlign w:val="center"/>
            <w:hideMark/>
          </w:tcPr>
          <w:p w14:paraId="21E63389" w14:textId="77777777" w:rsidR="00254161" w:rsidRPr="00E44DDA" w:rsidRDefault="00254161" w:rsidP="0043705A">
            <w:pPr>
              <w:jc w:val="right"/>
              <w:rPr>
                <w:rFonts w:cstheme="minorHAnsi"/>
                <w:sz w:val="20"/>
                <w:szCs w:val="20"/>
              </w:rPr>
            </w:pPr>
            <w:r w:rsidRPr="00E44DDA">
              <w:rPr>
                <w:rFonts w:cstheme="minorHAnsi"/>
                <w:sz w:val="20"/>
                <w:szCs w:val="20"/>
              </w:rPr>
              <w:t>8.0</w:t>
            </w:r>
          </w:p>
        </w:tc>
        <w:tc>
          <w:tcPr>
            <w:tcW w:w="404" w:type="pct"/>
            <w:shd w:val="clear" w:color="auto" w:fill="auto"/>
            <w:vAlign w:val="center"/>
            <w:hideMark/>
          </w:tcPr>
          <w:p w14:paraId="1753D821" w14:textId="77777777" w:rsidR="00254161" w:rsidRPr="00E44DDA" w:rsidRDefault="00254161" w:rsidP="0043705A">
            <w:pPr>
              <w:jc w:val="right"/>
              <w:rPr>
                <w:rFonts w:cstheme="minorHAnsi"/>
                <w:sz w:val="20"/>
                <w:szCs w:val="20"/>
              </w:rPr>
            </w:pPr>
            <w:r w:rsidRPr="00E44DDA">
              <w:rPr>
                <w:rFonts w:cstheme="minorHAnsi"/>
                <w:sz w:val="20"/>
                <w:szCs w:val="20"/>
              </w:rPr>
              <w:t>25.7</w:t>
            </w:r>
          </w:p>
        </w:tc>
        <w:tc>
          <w:tcPr>
            <w:tcW w:w="404" w:type="pct"/>
            <w:shd w:val="clear" w:color="auto" w:fill="auto"/>
            <w:noWrap/>
            <w:vAlign w:val="center"/>
            <w:hideMark/>
          </w:tcPr>
          <w:p w14:paraId="069716CD"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6.3</w:t>
            </w:r>
          </w:p>
        </w:tc>
        <w:tc>
          <w:tcPr>
            <w:tcW w:w="405" w:type="pct"/>
            <w:shd w:val="clear" w:color="auto" w:fill="auto"/>
            <w:noWrap/>
            <w:vAlign w:val="center"/>
            <w:hideMark/>
          </w:tcPr>
          <w:p w14:paraId="6D525B69"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22.0</w:t>
            </w:r>
          </w:p>
        </w:tc>
        <w:tc>
          <w:tcPr>
            <w:tcW w:w="404" w:type="pct"/>
            <w:shd w:val="clear" w:color="auto" w:fill="auto"/>
            <w:noWrap/>
            <w:vAlign w:val="center"/>
            <w:hideMark/>
          </w:tcPr>
          <w:p w14:paraId="0B89BA0B"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17.4</w:t>
            </w:r>
          </w:p>
        </w:tc>
        <w:tc>
          <w:tcPr>
            <w:tcW w:w="404" w:type="pct"/>
            <w:shd w:val="clear" w:color="auto" w:fill="auto"/>
            <w:noWrap/>
            <w:vAlign w:val="center"/>
            <w:hideMark/>
          </w:tcPr>
          <w:p w14:paraId="3DB2E4E1"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19.0</w:t>
            </w:r>
          </w:p>
        </w:tc>
        <w:tc>
          <w:tcPr>
            <w:tcW w:w="404" w:type="pct"/>
            <w:shd w:val="clear" w:color="auto" w:fill="auto"/>
            <w:noWrap/>
            <w:vAlign w:val="center"/>
            <w:hideMark/>
          </w:tcPr>
          <w:p w14:paraId="13035E03"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8.3</w:t>
            </w:r>
          </w:p>
        </w:tc>
        <w:tc>
          <w:tcPr>
            <w:tcW w:w="405" w:type="pct"/>
            <w:shd w:val="clear" w:color="auto" w:fill="auto"/>
            <w:noWrap/>
            <w:vAlign w:val="center"/>
            <w:hideMark/>
          </w:tcPr>
          <w:p w14:paraId="033A5D81"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14.8</w:t>
            </w:r>
          </w:p>
        </w:tc>
      </w:tr>
      <w:tr w:rsidR="00A45B71" w:rsidRPr="00A45B71" w14:paraId="5C10328B" w14:textId="77777777" w:rsidTr="00E44DDA">
        <w:trPr>
          <w:trHeight w:val="420"/>
        </w:trPr>
        <w:tc>
          <w:tcPr>
            <w:tcW w:w="1360" w:type="pct"/>
            <w:shd w:val="clear" w:color="auto" w:fill="auto"/>
            <w:vAlign w:val="center"/>
            <w:hideMark/>
          </w:tcPr>
          <w:p w14:paraId="387A3304" w14:textId="77777777" w:rsidR="00254161" w:rsidRPr="00E44DDA" w:rsidRDefault="00254161" w:rsidP="0043705A">
            <w:pPr>
              <w:rPr>
                <w:rFonts w:cstheme="minorHAnsi"/>
                <w:color w:val="262626"/>
                <w:sz w:val="20"/>
                <w:szCs w:val="20"/>
              </w:rPr>
            </w:pPr>
            <w:r w:rsidRPr="00E44DDA">
              <w:rPr>
                <w:rFonts w:cstheme="minorHAnsi"/>
                <w:color w:val="262626"/>
                <w:sz w:val="20"/>
                <w:szCs w:val="20"/>
              </w:rPr>
              <w:t>Private obstetrician (specialist) care</w:t>
            </w:r>
          </w:p>
        </w:tc>
        <w:tc>
          <w:tcPr>
            <w:tcW w:w="404" w:type="pct"/>
            <w:shd w:val="clear" w:color="auto" w:fill="auto"/>
            <w:vAlign w:val="center"/>
            <w:hideMark/>
          </w:tcPr>
          <w:p w14:paraId="4303E743" w14:textId="77777777" w:rsidR="00254161" w:rsidRPr="00E44DDA" w:rsidRDefault="00254161" w:rsidP="0043705A">
            <w:pPr>
              <w:jc w:val="right"/>
              <w:rPr>
                <w:rFonts w:cstheme="minorHAnsi"/>
                <w:sz w:val="20"/>
                <w:szCs w:val="20"/>
              </w:rPr>
            </w:pPr>
            <w:r w:rsidRPr="00E44DDA">
              <w:rPr>
                <w:rFonts w:cstheme="minorHAnsi"/>
                <w:sz w:val="20"/>
                <w:szCs w:val="20"/>
              </w:rPr>
              <w:t>8.6</w:t>
            </w:r>
          </w:p>
        </w:tc>
        <w:tc>
          <w:tcPr>
            <w:tcW w:w="404" w:type="pct"/>
            <w:shd w:val="clear" w:color="auto" w:fill="auto"/>
            <w:vAlign w:val="center"/>
            <w:hideMark/>
          </w:tcPr>
          <w:p w14:paraId="07CBC1C5" w14:textId="77777777" w:rsidR="00254161" w:rsidRPr="00E44DDA" w:rsidRDefault="00254161" w:rsidP="0043705A">
            <w:pPr>
              <w:jc w:val="right"/>
              <w:rPr>
                <w:rFonts w:cstheme="minorHAnsi"/>
                <w:sz w:val="20"/>
                <w:szCs w:val="20"/>
              </w:rPr>
            </w:pPr>
            <w:r w:rsidRPr="00E44DDA">
              <w:rPr>
                <w:rFonts w:cstheme="minorHAnsi"/>
                <w:sz w:val="20"/>
                <w:szCs w:val="20"/>
              </w:rPr>
              <w:t>18.0</w:t>
            </w:r>
          </w:p>
        </w:tc>
        <w:tc>
          <w:tcPr>
            <w:tcW w:w="404" w:type="pct"/>
            <w:shd w:val="clear" w:color="auto" w:fill="auto"/>
            <w:vAlign w:val="center"/>
            <w:hideMark/>
          </w:tcPr>
          <w:p w14:paraId="2ED56089" w14:textId="77777777" w:rsidR="00254161" w:rsidRPr="00E44DDA" w:rsidRDefault="00254161" w:rsidP="0043705A">
            <w:pPr>
              <w:jc w:val="right"/>
              <w:rPr>
                <w:rFonts w:cstheme="minorHAnsi"/>
                <w:sz w:val="20"/>
                <w:szCs w:val="20"/>
              </w:rPr>
            </w:pPr>
            <w:r w:rsidRPr="00E44DDA">
              <w:rPr>
                <w:rFonts w:cstheme="minorHAnsi"/>
                <w:sz w:val="20"/>
                <w:szCs w:val="20"/>
              </w:rPr>
              <w:t>10.9</w:t>
            </w:r>
          </w:p>
        </w:tc>
        <w:tc>
          <w:tcPr>
            <w:tcW w:w="404" w:type="pct"/>
            <w:shd w:val="clear" w:color="auto" w:fill="auto"/>
            <w:noWrap/>
            <w:vAlign w:val="center"/>
            <w:hideMark/>
          </w:tcPr>
          <w:p w14:paraId="4AE52390"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7.9</w:t>
            </w:r>
          </w:p>
        </w:tc>
        <w:tc>
          <w:tcPr>
            <w:tcW w:w="405" w:type="pct"/>
            <w:shd w:val="clear" w:color="auto" w:fill="auto"/>
            <w:noWrap/>
            <w:vAlign w:val="center"/>
            <w:hideMark/>
          </w:tcPr>
          <w:p w14:paraId="53922334"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14.0</w:t>
            </w:r>
          </w:p>
        </w:tc>
        <w:tc>
          <w:tcPr>
            <w:tcW w:w="404" w:type="pct"/>
            <w:shd w:val="clear" w:color="auto" w:fill="auto"/>
            <w:noWrap/>
            <w:vAlign w:val="center"/>
            <w:hideMark/>
          </w:tcPr>
          <w:p w14:paraId="285D5E34"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13.0</w:t>
            </w:r>
          </w:p>
        </w:tc>
        <w:tc>
          <w:tcPr>
            <w:tcW w:w="404" w:type="pct"/>
            <w:shd w:val="clear" w:color="auto" w:fill="auto"/>
            <w:noWrap/>
            <w:vAlign w:val="center"/>
            <w:hideMark/>
          </w:tcPr>
          <w:p w14:paraId="20F3C257"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19.0</w:t>
            </w:r>
          </w:p>
        </w:tc>
        <w:tc>
          <w:tcPr>
            <w:tcW w:w="404" w:type="pct"/>
            <w:shd w:val="clear" w:color="auto" w:fill="auto"/>
            <w:noWrap/>
            <w:vAlign w:val="center"/>
            <w:hideMark/>
          </w:tcPr>
          <w:p w14:paraId="42734817"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4.2</w:t>
            </w:r>
          </w:p>
        </w:tc>
        <w:tc>
          <w:tcPr>
            <w:tcW w:w="405" w:type="pct"/>
            <w:shd w:val="clear" w:color="auto" w:fill="auto"/>
            <w:noWrap/>
            <w:vAlign w:val="center"/>
            <w:hideMark/>
          </w:tcPr>
          <w:p w14:paraId="5BA174F1"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11.2</w:t>
            </w:r>
          </w:p>
        </w:tc>
      </w:tr>
      <w:tr w:rsidR="00A45B71" w:rsidRPr="00A45B71" w14:paraId="344ED63A" w14:textId="77777777" w:rsidTr="00E44DDA">
        <w:trPr>
          <w:trHeight w:val="420"/>
        </w:trPr>
        <w:tc>
          <w:tcPr>
            <w:tcW w:w="1360" w:type="pct"/>
            <w:shd w:val="clear" w:color="auto" w:fill="auto"/>
            <w:vAlign w:val="center"/>
            <w:hideMark/>
          </w:tcPr>
          <w:p w14:paraId="746FD509" w14:textId="77777777" w:rsidR="00254161" w:rsidRPr="00E44DDA" w:rsidRDefault="00254161" w:rsidP="0043705A">
            <w:pPr>
              <w:rPr>
                <w:rFonts w:cstheme="minorHAnsi"/>
                <w:color w:val="262626"/>
                <w:sz w:val="20"/>
                <w:szCs w:val="20"/>
              </w:rPr>
            </w:pPr>
            <w:r w:rsidRPr="00E44DDA">
              <w:rPr>
                <w:rFonts w:cstheme="minorHAnsi"/>
                <w:color w:val="262626"/>
                <w:sz w:val="20"/>
                <w:szCs w:val="20"/>
              </w:rPr>
              <w:t>Public hospital high risk maternity care</w:t>
            </w:r>
          </w:p>
        </w:tc>
        <w:tc>
          <w:tcPr>
            <w:tcW w:w="404" w:type="pct"/>
            <w:shd w:val="clear" w:color="auto" w:fill="auto"/>
            <w:vAlign w:val="center"/>
            <w:hideMark/>
          </w:tcPr>
          <w:p w14:paraId="014CB29C" w14:textId="77777777" w:rsidR="00254161" w:rsidRPr="00E44DDA" w:rsidRDefault="00254161" w:rsidP="0043705A">
            <w:pPr>
              <w:jc w:val="right"/>
              <w:rPr>
                <w:rFonts w:cstheme="minorHAnsi"/>
                <w:sz w:val="20"/>
                <w:szCs w:val="20"/>
              </w:rPr>
            </w:pPr>
            <w:r w:rsidRPr="00E44DDA">
              <w:rPr>
                <w:rFonts w:cstheme="minorHAnsi"/>
                <w:sz w:val="20"/>
                <w:szCs w:val="20"/>
              </w:rPr>
              <w:t>5.8</w:t>
            </w:r>
          </w:p>
        </w:tc>
        <w:tc>
          <w:tcPr>
            <w:tcW w:w="404" w:type="pct"/>
            <w:shd w:val="clear" w:color="auto" w:fill="auto"/>
            <w:vAlign w:val="center"/>
            <w:hideMark/>
          </w:tcPr>
          <w:p w14:paraId="766CB35B" w14:textId="77777777" w:rsidR="00254161" w:rsidRPr="00E44DDA" w:rsidRDefault="00254161" w:rsidP="0043705A">
            <w:pPr>
              <w:jc w:val="right"/>
              <w:rPr>
                <w:rFonts w:cstheme="minorHAnsi"/>
                <w:sz w:val="20"/>
                <w:szCs w:val="20"/>
              </w:rPr>
            </w:pPr>
            <w:r w:rsidRPr="00E44DDA">
              <w:rPr>
                <w:rFonts w:cstheme="minorHAnsi"/>
                <w:sz w:val="20"/>
                <w:szCs w:val="20"/>
              </w:rPr>
              <w:t>2.7</w:t>
            </w:r>
          </w:p>
        </w:tc>
        <w:tc>
          <w:tcPr>
            <w:tcW w:w="404" w:type="pct"/>
            <w:shd w:val="clear" w:color="auto" w:fill="auto"/>
            <w:vAlign w:val="center"/>
            <w:hideMark/>
          </w:tcPr>
          <w:p w14:paraId="43299C1A" w14:textId="77777777" w:rsidR="00254161" w:rsidRPr="00E44DDA" w:rsidRDefault="00254161" w:rsidP="0043705A">
            <w:pPr>
              <w:jc w:val="right"/>
              <w:rPr>
                <w:rFonts w:cstheme="minorHAnsi"/>
                <w:sz w:val="20"/>
                <w:szCs w:val="20"/>
              </w:rPr>
            </w:pPr>
            <w:r w:rsidRPr="00E44DDA">
              <w:rPr>
                <w:rFonts w:cstheme="minorHAnsi"/>
                <w:sz w:val="20"/>
                <w:szCs w:val="20"/>
              </w:rPr>
              <w:t>5.0</w:t>
            </w:r>
          </w:p>
        </w:tc>
        <w:tc>
          <w:tcPr>
            <w:tcW w:w="404" w:type="pct"/>
            <w:shd w:val="clear" w:color="auto" w:fill="auto"/>
            <w:noWrap/>
            <w:vAlign w:val="center"/>
            <w:hideMark/>
          </w:tcPr>
          <w:p w14:paraId="2E5661FF"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4.0</w:t>
            </w:r>
          </w:p>
        </w:tc>
        <w:tc>
          <w:tcPr>
            <w:tcW w:w="405" w:type="pct"/>
            <w:shd w:val="clear" w:color="auto" w:fill="auto"/>
            <w:noWrap/>
            <w:vAlign w:val="center"/>
            <w:hideMark/>
          </w:tcPr>
          <w:p w14:paraId="42FA313A"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6.0</w:t>
            </w:r>
          </w:p>
        </w:tc>
        <w:tc>
          <w:tcPr>
            <w:tcW w:w="404" w:type="pct"/>
            <w:shd w:val="clear" w:color="auto" w:fill="auto"/>
            <w:noWrap/>
            <w:vAlign w:val="center"/>
            <w:hideMark/>
          </w:tcPr>
          <w:p w14:paraId="133F63C0"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4.3</w:t>
            </w:r>
          </w:p>
        </w:tc>
        <w:tc>
          <w:tcPr>
            <w:tcW w:w="404" w:type="pct"/>
            <w:shd w:val="clear" w:color="auto" w:fill="auto"/>
            <w:noWrap/>
            <w:vAlign w:val="center"/>
            <w:hideMark/>
          </w:tcPr>
          <w:p w14:paraId="01E282E3"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4.8</w:t>
            </w:r>
          </w:p>
        </w:tc>
        <w:tc>
          <w:tcPr>
            <w:tcW w:w="404" w:type="pct"/>
            <w:shd w:val="clear" w:color="auto" w:fill="auto"/>
            <w:noWrap/>
            <w:vAlign w:val="center"/>
            <w:hideMark/>
          </w:tcPr>
          <w:p w14:paraId="69C3F28A"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4.2</w:t>
            </w:r>
          </w:p>
        </w:tc>
        <w:tc>
          <w:tcPr>
            <w:tcW w:w="405" w:type="pct"/>
            <w:shd w:val="clear" w:color="auto" w:fill="auto"/>
            <w:noWrap/>
            <w:vAlign w:val="center"/>
            <w:hideMark/>
          </w:tcPr>
          <w:p w14:paraId="1D3C7B31"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4.7</w:t>
            </w:r>
          </w:p>
        </w:tc>
      </w:tr>
      <w:tr w:rsidR="00A45B71" w:rsidRPr="00A45B71" w14:paraId="1C89A029" w14:textId="77777777" w:rsidTr="00E44DDA">
        <w:trPr>
          <w:trHeight w:val="420"/>
        </w:trPr>
        <w:tc>
          <w:tcPr>
            <w:tcW w:w="1360" w:type="pct"/>
            <w:shd w:val="clear" w:color="auto" w:fill="auto"/>
            <w:vAlign w:val="center"/>
            <w:hideMark/>
          </w:tcPr>
          <w:p w14:paraId="4F7D373A" w14:textId="77777777" w:rsidR="00254161" w:rsidRPr="00E44DDA" w:rsidRDefault="00254161" w:rsidP="0043705A">
            <w:pPr>
              <w:rPr>
                <w:rFonts w:cstheme="minorHAnsi"/>
                <w:color w:val="262626"/>
                <w:sz w:val="20"/>
                <w:szCs w:val="20"/>
              </w:rPr>
            </w:pPr>
            <w:r w:rsidRPr="00E44DDA">
              <w:rPr>
                <w:rFonts w:cstheme="minorHAnsi"/>
                <w:color w:val="262626"/>
                <w:sz w:val="20"/>
                <w:szCs w:val="20"/>
              </w:rPr>
              <w:t>General Practitioner obstetrician care</w:t>
            </w:r>
          </w:p>
        </w:tc>
        <w:tc>
          <w:tcPr>
            <w:tcW w:w="404" w:type="pct"/>
            <w:shd w:val="clear" w:color="auto" w:fill="auto"/>
            <w:vAlign w:val="center"/>
            <w:hideMark/>
          </w:tcPr>
          <w:p w14:paraId="11BC82D7" w14:textId="77777777" w:rsidR="00254161" w:rsidRPr="00E44DDA" w:rsidRDefault="00254161" w:rsidP="0043705A">
            <w:pPr>
              <w:jc w:val="right"/>
              <w:rPr>
                <w:rFonts w:cstheme="minorHAnsi"/>
                <w:sz w:val="20"/>
                <w:szCs w:val="20"/>
              </w:rPr>
            </w:pPr>
            <w:r w:rsidRPr="00E44DDA">
              <w:rPr>
                <w:rFonts w:cstheme="minorHAnsi"/>
                <w:sz w:val="20"/>
                <w:szCs w:val="20"/>
              </w:rPr>
              <w:t>3.4</w:t>
            </w:r>
          </w:p>
        </w:tc>
        <w:tc>
          <w:tcPr>
            <w:tcW w:w="404" w:type="pct"/>
            <w:shd w:val="clear" w:color="auto" w:fill="auto"/>
            <w:vAlign w:val="center"/>
            <w:hideMark/>
          </w:tcPr>
          <w:p w14:paraId="07F4329F" w14:textId="77777777" w:rsidR="00254161" w:rsidRPr="00E44DDA" w:rsidRDefault="00254161" w:rsidP="0043705A">
            <w:pPr>
              <w:jc w:val="right"/>
              <w:rPr>
                <w:rFonts w:cstheme="minorHAnsi"/>
                <w:sz w:val="20"/>
                <w:szCs w:val="20"/>
              </w:rPr>
            </w:pPr>
            <w:r w:rsidRPr="00E44DDA">
              <w:rPr>
                <w:rFonts w:cstheme="minorHAnsi"/>
                <w:sz w:val="20"/>
                <w:szCs w:val="20"/>
              </w:rPr>
              <w:t>2.7</w:t>
            </w:r>
          </w:p>
        </w:tc>
        <w:tc>
          <w:tcPr>
            <w:tcW w:w="404" w:type="pct"/>
            <w:shd w:val="clear" w:color="auto" w:fill="auto"/>
            <w:vAlign w:val="center"/>
            <w:hideMark/>
          </w:tcPr>
          <w:p w14:paraId="3E46C04C" w14:textId="77777777" w:rsidR="00254161" w:rsidRPr="00E44DDA" w:rsidRDefault="00254161" w:rsidP="0043705A">
            <w:pPr>
              <w:jc w:val="right"/>
              <w:rPr>
                <w:rFonts w:cstheme="minorHAnsi"/>
                <w:sz w:val="20"/>
                <w:szCs w:val="20"/>
              </w:rPr>
            </w:pPr>
            <w:r w:rsidRPr="00E44DDA">
              <w:rPr>
                <w:rFonts w:cstheme="minorHAnsi"/>
                <w:sz w:val="20"/>
                <w:szCs w:val="20"/>
              </w:rPr>
              <w:t>1.5</w:t>
            </w:r>
          </w:p>
        </w:tc>
        <w:tc>
          <w:tcPr>
            <w:tcW w:w="404" w:type="pct"/>
            <w:shd w:val="clear" w:color="auto" w:fill="auto"/>
            <w:noWrap/>
            <w:vAlign w:val="center"/>
            <w:hideMark/>
          </w:tcPr>
          <w:p w14:paraId="3B4C08D7"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10.3</w:t>
            </w:r>
          </w:p>
        </w:tc>
        <w:tc>
          <w:tcPr>
            <w:tcW w:w="405" w:type="pct"/>
            <w:shd w:val="clear" w:color="auto" w:fill="auto"/>
            <w:noWrap/>
            <w:vAlign w:val="center"/>
            <w:hideMark/>
          </w:tcPr>
          <w:p w14:paraId="6EFBE2CA"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8.0</w:t>
            </w:r>
          </w:p>
        </w:tc>
        <w:tc>
          <w:tcPr>
            <w:tcW w:w="404" w:type="pct"/>
            <w:shd w:val="clear" w:color="auto" w:fill="auto"/>
            <w:noWrap/>
            <w:vAlign w:val="center"/>
            <w:hideMark/>
          </w:tcPr>
          <w:p w14:paraId="5038528C"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1BC3A5BF"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3BBA3E8B"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5" w:type="pct"/>
            <w:shd w:val="clear" w:color="auto" w:fill="auto"/>
            <w:noWrap/>
            <w:vAlign w:val="center"/>
            <w:hideMark/>
          </w:tcPr>
          <w:p w14:paraId="72FE3023"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3.8</w:t>
            </w:r>
          </w:p>
        </w:tc>
      </w:tr>
      <w:tr w:rsidR="00A45B71" w:rsidRPr="00A45B71" w14:paraId="55B9BAFA" w14:textId="77777777" w:rsidTr="00E44DDA">
        <w:trPr>
          <w:trHeight w:val="420"/>
        </w:trPr>
        <w:tc>
          <w:tcPr>
            <w:tcW w:w="1360" w:type="pct"/>
            <w:shd w:val="clear" w:color="auto" w:fill="auto"/>
            <w:vAlign w:val="center"/>
            <w:hideMark/>
          </w:tcPr>
          <w:p w14:paraId="66D1F8AB" w14:textId="77777777" w:rsidR="00254161" w:rsidRPr="00E44DDA" w:rsidRDefault="00254161" w:rsidP="0043705A">
            <w:pPr>
              <w:rPr>
                <w:rFonts w:cstheme="minorHAnsi"/>
                <w:color w:val="262626"/>
                <w:sz w:val="20"/>
                <w:szCs w:val="20"/>
              </w:rPr>
            </w:pPr>
            <w:r w:rsidRPr="00E44DDA">
              <w:rPr>
                <w:rFonts w:cstheme="minorHAnsi"/>
                <w:color w:val="262626"/>
                <w:sz w:val="20"/>
                <w:szCs w:val="20"/>
              </w:rPr>
              <w:t>Remote area maternity care</w:t>
            </w:r>
          </w:p>
        </w:tc>
        <w:tc>
          <w:tcPr>
            <w:tcW w:w="404" w:type="pct"/>
            <w:shd w:val="clear" w:color="auto" w:fill="auto"/>
            <w:vAlign w:val="center"/>
            <w:hideMark/>
          </w:tcPr>
          <w:p w14:paraId="203DA5AB" w14:textId="77777777" w:rsidR="00254161" w:rsidRPr="00E44DDA" w:rsidRDefault="00254161" w:rsidP="0043705A">
            <w:pPr>
              <w:jc w:val="right"/>
              <w:rPr>
                <w:rFonts w:cstheme="minorHAnsi"/>
                <w:sz w:val="20"/>
                <w:szCs w:val="20"/>
              </w:rPr>
            </w:pPr>
            <w:r w:rsidRPr="00E44DDA">
              <w:rPr>
                <w:rFonts w:cstheme="minorHAnsi"/>
                <w:sz w:val="20"/>
                <w:szCs w:val="20"/>
              </w:rPr>
              <w:t>1.4</w:t>
            </w:r>
          </w:p>
        </w:tc>
        <w:tc>
          <w:tcPr>
            <w:tcW w:w="404" w:type="pct"/>
            <w:shd w:val="clear" w:color="auto" w:fill="auto"/>
            <w:vAlign w:val="center"/>
            <w:hideMark/>
          </w:tcPr>
          <w:p w14:paraId="78095A06" w14:textId="77777777" w:rsidR="00254161" w:rsidRPr="00E44DDA" w:rsidRDefault="00254161" w:rsidP="0043705A">
            <w:pPr>
              <w:jc w:val="right"/>
              <w:rPr>
                <w:rFonts w:cstheme="minorHAnsi"/>
                <w:sz w:val="20"/>
                <w:szCs w:val="20"/>
              </w:rPr>
            </w:pPr>
            <w:r w:rsidRPr="00E44DDA">
              <w:rPr>
                <w:rFonts w:cstheme="minorHAnsi"/>
                <w:sz w:val="20"/>
                <w:szCs w:val="20"/>
              </w:rPr>
              <w:t>0.0</w:t>
            </w:r>
          </w:p>
        </w:tc>
        <w:tc>
          <w:tcPr>
            <w:tcW w:w="404" w:type="pct"/>
            <w:shd w:val="clear" w:color="auto" w:fill="auto"/>
            <w:vAlign w:val="center"/>
            <w:hideMark/>
          </w:tcPr>
          <w:p w14:paraId="19CF8E45" w14:textId="77777777" w:rsidR="00254161" w:rsidRPr="00E44DDA" w:rsidRDefault="00254161" w:rsidP="0043705A">
            <w:pPr>
              <w:jc w:val="right"/>
              <w:rPr>
                <w:rFonts w:cstheme="minorHAnsi"/>
                <w:sz w:val="20"/>
                <w:szCs w:val="20"/>
              </w:rPr>
            </w:pPr>
            <w:r w:rsidRPr="00E44DDA">
              <w:rPr>
                <w:rFonts w:cstheme="minorHAnsi"/>
                <w:sz w:val="20"/>
                <w:szCs w:val="20"/>
              </w:rPr>
              <w:t>3.5</w:t>
            </w:r>
          </w:p>
        </w:tc>
        <w:tc>
          <w:tcPr>
            <w:tcW w:w="404" w:type="pct"/>
            <w:shd w:val="clear" w:color="auto" w:fill="auto"/>
            <w:noWrap/>
            <w:vAlign w:val="center"/>
            <w:hideMark/>
          </w:tcPr>
          <w:p w14:paraId="4A91AABB"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4.8</w:t>
            </w:r>
          </w:p>
        </w:tc>
        <w:tc>
          <w:tcPr>
            <w:tcW w:w="405" w:type="pct"/>
            <w:shd w:val="clear" w:color="auto" w:fill="auto"/>
            <w:noWrap/>
            <w:vAlign w:val="center"/>
            <w:hideMark/>
          </w:tcPr>
          <w:p w14:paraId="514FB494"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79CF7A23"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13.0</w:t>
            </w:r>
          </w:p>
        </w:tc>
        <w:tc>
          <w:tcPr>
            <w:tcW w:w="404" w:type="pct"/>
            <w:shd w:val="clear" w:color="auto" w:fill="auto"/>
            <w:noWrap/>
            <w:vAlign w:val="center"/>
            <w:hideMark/>
          </w:tcPr>
          <w:p w14:paraId="278D91E5"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7D22B75C"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25.0</w:t>
            </w:r>
          </w:p>
        </w:tc>
        <w:tc>
          <w:tcPr>
            <w:tcW w:w="405" w:type="pct"/>
            <w:shd w:val="clear" w:color="auto" w:fill="auto"/>
            <w:noWrap/>
            <w:vAlign w:val="center"/>
            <w:hideMark/>
          </w:tcPr>
          <w:p w14:paraId="37E134F7"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2.9</w:t>
            </w:r>
          </w:p>
        </w:tc>
      </w:tr>
      <w:tr w:rsidR="00A45B71" w:rsidRPr="00A45B71" w14:paraId="67F28F88" w14:textId="77777777" w:rsidTr="00E44DDA">
        <w:trPr>
          <w:trHeight w:val="420"/>
        </w:trPr>
        <w:tc>
          <w:tcPr>
            <w:tcW w:w="1360" w:type="pct"/>
            <w:shd w:val="clear" w:color="auto" w:fill="auto"/>
            <w:vAlign w:val="center"/>
            <w:hideMark/>
          </w:tcPr>
          <w:p w14:paraId="5146DB17" w14:textId="77777777" w:rsidR="00254161" w:rsidRPr="00E44DDA" w:rsidRDefault="00254161" w:rsidP="0043705A">
            <w:pPr>
              <w:rPr>
                <w:rFonts w:cstheme="minorHAnsi"/>
                <w:color w:val="262626"/>
                <w:sz w:val="20"/>
                <w:szCs w:val="20"/>
              </w:rPr>
            </w:pPr>
            <w:r w:rsidRPr="00E44DDA">
              <w:rPr>
                <w:rFonts w:cstheme="minorHAnsi"/>
                <w:color w:val="262626"/>
                <w:sz w:val="20"/>
                <w:szCs w:val="20"/>
              </w:rPr>
              <w:t>Combined care</w:t>
            </w:r>
          </w:p>
        </w:tc>
        <w:tc>
          <w:tcPr>
            <w:tcW w:w="404" w:type="pct"/>
            <w:shd w:val="clear" w:color="auto" w:fill="auto"/>
            <w:vAlign w:val="center"/>
            <w:hideMark/>
          </w:tcPr>
          <w:p w14:paraId="264FEC21" w14:textId="77777777" w:rsidR="00254161" w:rsidRPr="00E44DDA" w:rsidRDefault="00254161" w:rsidP="0043705A">
            <w:pPr>
              <w:jc w:val="right"/>
              <w:rPr>
                <w:rFonts w:cstheme="minorHAnsi"/>
                <w:sz w:val="20"/>
                <w:szCs w:val="20"/>
              </w:rPr>
            </w:pPr>
            <w:r w:rsidRPr="00E44DDA">
              <w:rPr>
                <w:rFonts w:cstheme="minorHAnsi"/>
                <w:sz w:val="20"/>
                <w:szCs w:val="20"/>
              </w:rPr>
              <w:t>1.4</w:t>
            </w:r>
          </w:p>
        </w:tc>
        <w:tc>
          <w:tcPr>
            <w:tcW w:w="404" w:type="pct"/>
            <w:shd w:val="clear" w:color="auto" w:fill="auto"/>
            <w:vAlign w:val="center"/>
            <w:hideMark/>
          </w:tcPr>
          <w:p w14:paraId="6322819B" w14:textId="77777777" w:rsidR="00254161" w:rsidRPr="00E44DDA" w:rsidRDefault="00254161" w:rsidP="0043705A">
            <w:pPr>
              <w:jc w:val="right"/>
              <w:rPr>
                <w:rFonts w:cstheme="minorHAnsi"/>
                <w:sz w:val="20"/>
                <w:szCs w:val="20"/>
              </w:rPr>
            </w:pPr>
            <w:r w:rsidRPr="00E44DDA">
              <w:rPr>
                <w:rFonts w:cstheme="minorHAnsi"/>
                <w:sz w:val="20"/>
                <w:szCs w:val="20"/>
              </w:rPr>
              <w:t>3.3</w:t>
            </w:r>
          </w:p>
        </w:tc>
        <w:tc>
          <w:tcPr>
            <w:tcW w:w="404" w:type="pct"/>
            <w:shd w:val="clear" w:color="auto" w:fill="auto"/>
            <w:vAlign w:val="center"/>
            <w:hideMark/>
          </w:tcPr>
          <w:p w14:paraId="3DD30C6C" w14:textId="77777777" w:rsidR="00254161" w:rsidRPr="00E44DDA" w:rsidRDefault="00254161" w:rsidP="0043705A">
            <w:pPr>
              <w:jc w:val="right"/>
              <w:rPr>
                <w:rFonts w:cstheme="minorHAnsi"/>
                <w:sz w:val="20"/>
                <w:szCs w:val="20"/>
              </w:rPr>
            </w:pPr>
            <w:r w:rsidRPr="00E44DDA">
              <w:rPr>
                <w:rFonts w:cstheme="minorHAnsi"/>
                <w:sz w:val="20"/>
                <w:szCs w:val="20"/>
              </w:rPr>
              <w:t>2.0</w:t>
            </w:r>
          </w:p>
        </w:tc>
        <w:tc>
          <w:tcPr>
            <w:tcW w:w="404" w:type="pct"/>
            <w:shd w:val="clear" w:color="auto" w:fill="auto"/>
            <w:noWrap/>
            <w:vAlign w:val="center"/>
            <w:hideMark/>
          </w:tcPr>
          <w:p w14:paraId="64906166"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6.3</w:t>
            </w:r>
          </w:p>
        </w:tc>
        <w:tc>
          <w:tcPr>
            <w:tcW w:w="405" w:type="pct"/>
            <w:shd w:val="clear" w:color="auto" w:fill="auto"/>
            <w:noWrap/>
            <w:vAlign w:val="center"/>
            <w:hideMark/>
          </w:tcPr>
          <w:p w14:paraId="11F581EA"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2.0</w:t>
            </w:r>
          </w:p>
        </w:tc>
        <w:tc>
          <w:tcPr>
            <w:tcW w:w="404" w:type="pct"/>
            <w:shd w:val="clear" w:color="auto" w:fill="auto"/>
            <w:noWrap/>
            <w:vAlign w:val="center"/>
            <w:hideMark/>
          </w:tcPr>
          <w:p w14:paraId="1285AB27"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2D03B30A"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4.8</w:t>
            </w:r>
          </w:p>
        </w:tc>
        <w:tc>
          <w:tcPr>
            <w:tcW w:w="404" w:type="pct"/>
            <w:shd w:val="clear" w:color="auto" w:fill="auto"/>
            <w:noWrap/>
            <w:vAlign w:val="center"/>
            <w:hideMark/>
          </w:tcPr>
          <w:p w14:paraId="01F83F22"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5" w:type="pct"/>
            <w:shd w:val="clear" w:color="auto" w:fill="auto"/>
            <w:noWrap/>
            <w:vAlign w:val="center"/>
            <w:hideMark/>
          </w:tcPr>
          <w:p w14:paraId="2B9AAD2E"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2.6</w:t>
            </w:r>
          </w:p>
        </w:tc>
      </w:tr>
      <w:tr w:rsidR="00A45B71" w:rsidRPr="00A45B71" w14:paraId="1D5361AB" w14:textId="77777777" w:rsidTr="00E44DDA">
        <w:trPr>
          <w:trHeight w:val="420"/>
        </w:trPr>
        <w:tc>
          <w:tcPr>
            <w:tcW w:w="1360" w:type="pct"/>
            <w:shd w:val="clear" w:color="auto" w:fill="auto"/>
            <w:vAlign w:val="center"/>
            <w:hideMark/>
          </w:tcPr>
          <w:p w14:paraId="5F7952BC" w14:textId="77777777" w:rsidR="00254161" w:rsidRPr="00E44DDA" w:rsidRDefault="00254161" w:rsidP="0043705A">
            <w:pPr>
              <w:rPr>
                <w:rFonts w:cstheme="minorHAnsi"/>
                <w:color w:val="262626"/>
                <w:sz w:val="20"/>
                <w:szCs w:val="20"/>
              </w:rPr>
            </w:pPr>
            <w:r w:rsidRPr="00E44DDA">
              <w:rPr>
                <w:rFonts w:cstheme="minorHAnsi"/>
                <w:color w:val="262626"/>
                <w:sz w:val="20"/>
                <w:szCs w:val="20"/>
              </w:rPr>
              <w:t>Private midwifery care</w:t>
            </w:r>
          </w:p>
        </w:tc>
        <w:tc>
          <w:tcPr>
            <w:tcW w:w="404" w:type="pct"/>
            <w:shd w:val="clear" w:color="auto" w:fill="auto"/>
            <w:vAlign w:val="center"/>
            <w:hideMark/>
          </w:tcPr>
          <w:p w14:paraId="4C67D994" w14:textId="77777777" w:rsidR="00254161" w:rsidRPr="00E44DDA" w:rsidRDefault="00254161" w:rsidP="0043705A">
            <w:pPr>
              <w:jc w:val="right"/>
              <w:rPr>
                <w:rFonts w:cstheme="minorHAnsi"/>
                <w:sz w:val="20"/>
                <w:szCs w:val="20"/>
              </w:rPr>
            </w:pPr>
            <w:r w:rsidRPr="00E44DDA">
              <w:rPr>
                <w:rFonts w:cstheme="minorHAnsi"/>
                <w:sz w:val="20"/>
                <w:szCs w:val="20"/>
              </w:rPr>
              <w:t>0.0</w:t>
            </w:r>
          </w:p>
        </w:tc>
        <w:tc>
          <w:tcPr>
            <w:tcW w:w="404" w:type="pct"/>
            <w:shd w:val="clear" w:color="auto" w:fill="auto"/>
            <w:vAlign w:val="center"/>
            <w:hideMark/>
          </w:tcPr>
          <w:p w14:paraId="4712D017" w14:textId="77777777" w:rsidR="00254161" w:rsidRPr="00E44DDA" w:rsidRDefault="00254161" w:rsidP="0043705A">
            <w:pPr>
              <w:jc w:val="right"/>
              <w:rPr>
                <w:rFonts w:cstheme="minorHAnsi"/>
                <w:sz w:val="20"/>
                <w:szCs w:val="20"/>
              </w:rPr>
            </w:pPr>
            <w:r w:rsidRPr="00E44DDA">
              <w:rPr>
                <w:rFonts w:cstheme="minorHAnsi"/>
                <w:sz w:val="20"/>
                <w:szCs w:val="20"/>
              </w:rPr>
              <w:t>2.0</w:t>
            </w:r>
          </w:p>
        </w:tc>
        <w:tc>
          <w:tcPr>
            <w:tcW w:w="404" w:type="pct"/>
            <w:shd w:val="clear" w:color="auto" w:fill="auto"/>
            <w:vAlign w:val="center"/>
            <w:hideMark/>
          </w:tcPr>
          <w:p w14:paraId="37C5ED94" w14:textId="77777777" w:rsidR="00254161" w:rsidRPr="00E44DDA" w:rsidRDefault="00254161" w:rsidP="0043705A">
            <w:pPr>
              <w:jc w:val="right"/>
              <w:rPr>
                <w:rFonts w:cstheme="minorHAnsi"/>
                <w:sz w:val="20"/>
                <w:szCs w:val="20"/>
              </w:rPr>
            </w:pPr>
            <w:r w:rsidRPr="00E44DDA">
              <w:rPr>
                <w:rFonts w:cstheme="minorHAnsi"/>
                <w:sz w:val="20"/>
                <w:szCs w:val="20"/>
              </w:rPr>
              <w:t>5.0</w:t>
            </w:r>
          </w:p>
        </w:tc>
        <w:tc>
          <w:tcPr>
            <w:tcW w:w="404" w:type="pct"/>
            <w:shd w:val="clear" w:color="auto" w:fill="auto"/>
            <w:noWrap/>
            <w:vAlign w:val="center"/>
            <w:hideMark/>
          </w:tcPr>
          <w:p w14:paraId="3F381DD5"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4.8</w:t>
            </w:r>
          </w:p>
        </w:tc>
        <w:tc>
          <w:tcPr>
            <w:tcW w:w="405" w:type="pct"/>
            <w:shd w:val="clear" w:color="auto" w:fill="auto"/>
            <w:noWrap/>
            <w:vAlign w:val="center"/>
            <w:hideMark/>
          </w:tcPr>
          <w:p w14:paraId="66DD50C3"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5370479E"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15785F21"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45E62997"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5" w:type="pct"/>
            <w:shd w:val="clear" w:color="auto" w:fill="auto"/>
            <w:noWrap/>
            <w:vAlign w:val="center"/>
            <w:hideMark/>
          </w:tcPr>
          <w:p w14:paraId="29D64CF7"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2.1</w:t>
            </w:r>
          </w:p>
        </w:tc>
      </w:tr>
      <w:tr w:rsidR="00A45B71" w:rsidRPr="00A45B71" w14:paraId="35B05773" w14:textId="77777777" w:rsidTr="00E44DDA">
        <w:trPr>
          <w:trHeight w:val="420"/>
        </w:trPr>
        <w:tc>
          <w:tcPr>
            <w:tcW w:w="1360" w:type="pct"/>
            <w:shd w:val="clear" w:color="auto" w:fill="auto"/>
            <w:vAlign w:val="center"/>
            <w:hideMark/>
          </w:tcPr>
          <w:p w14:paraId="22D6B0F8" w14:textId="77777777" w:rsidR="00254161" w:rsidRPr="00E44DDA" w:rsidRDefault="00254161" w:rsidP="0043705A">
            <w:pPr>
              <w:rPr>
                <w:rFonts w:cstheme="minorHAnsi"/>
                <w:color w:val="262626"/>
                <w:sz w:val="20"/>
                <w:szCs w:val="20"/>
              </w:rPr>
            </w:pPr>
            <w:r w:rsidRPr="00E44DDA">
              <w:rPr>
                <w:rFonts w:cstheme="minorHAnsi"/>
                <w:color w:val="262626"/>
                <w:sz w:val="20"/>
                <w:szCs w:val="20"/>
              </w:rPr>
              <w:t>Team midwifery care</w:t>
            </w:r>
          </w:p>
        </w:tc>
        <w:tc>
          <w:tcPr>
            <w:tcW w:w="404" w:type="pct"/>
            <w:shd w:val="clear" w:color="auto" w:fill="auto"/>
            <w:vAlign w:val="center"/>
            <w:hideMark/>
          </w:tcPr>
          <w:p w14:paraId="214FD763" w14:textId="77777777" w:rsidR="00254161" w:rsidRPr="00E44DDA" w:rsidRDefault="00254161" w:rsidP="0043705A">
            <w:pPr>
              <w:jc w:val="right"/>
              <w:rPr>
                <w:rFonts w:cstheme="minorHAnsi"/>
                <w:sz w:val="20"/>
                <w:szCs w:val="20"/>
              </w:rPr>
            </w:pPr>
            <w:r w:rsidRPr="00E44DDA">
              <w:rPr>
                <w:rFonts w:cstheme="minorHAnsi"/>
                <w:sz w:val="20"/>
                <w:szCs w:val="20"/>
              </w:rPr>
              <w:t>0.7</w:t>
            </w:r>
          </w:p>
        </w:tc>
        <w:tc>
          <w:tcPr>
            <w:tcW w:w="404" w:type="pct"/>
            <w:shd w:val="clear" w:color="auto" w:fill="auto"/>
            <w:vAlign w:val="center"/>
            <w:hideMark/>
          </w:tcPr>
          <w:p w14:paraId="0F06BAC6" w14:textId="77777777" w:rsidR="00254161" w:rsidRPr="00E44DDA" w:rsidRDefault="00254161" w:rsidP="0043705A">
            <w:pPr>
              <w:jc w:val="right"/>
              <w:rPr>
                <w:rFonts w:cstheme="minorHAnsi"/>
                <w:sz w:val="20"/>
                <w:szCs w:val="20"/>
              </w:rPr>
            </w:pPr>
            <w:r w:rsidRPr="00E44DDA">
              <w:rPr>
                <w:rFonts w:cstheme="minorHAnsi"/>
                <w:sz w:val="20"/>
                <w:szCs w:val="20"/>
              </w:rPr>
              <w:t>4.0</w:t>
            </w:r>
          </w:p>
        </w:tc>
        <w:tc>
          <w:tcPr>
            <w:tcW w:w="404" w:type="pct"/>
            <w:shd w:val="clear" w:color="auto" w:fill="auto"/>
            <w:vAlign w:val="center"/>
            <w:hideMark/>
          </w:tcPr>
          <w:p w14:paraId="1037EE30" w14:textId="77777777" w:rsidR="00254161" w:rsidRPr="00E44DDA" w:rsidRDefault="00254161" w:rsidP="0043705A">
            <w:pPr>
              <w:jc w:val="right"/>
              <w:rPr>
                <w:rFonts w:cstheme="minorHAnsi"/>
                <w:sz w:val="20"/>
                <w:szCs w:val="20"/>
              </w:rPr>
            </w:pPr>
            <w:r w:rsidRPr="00E44DDA">
              <w:rPr>
                <w:rFonts w:cstheme="minorHAnsi"/>
                <w:sz w:val="20"/>
                <w:szCs w:val="20"/>
              </w:rPr>
              <w:t>1.0</w:t>
            </w:r>
          </w:p>
        </w:tc>
        <w:tc>
          <w:tcPr>
            <w:tcW w:w="404" w:type="pct"/>
            <w:shd w:val="clear" w:color="auto" w:fill="auto"/>
            <w:noWrap/>
            <w:vAlign w:val="center"/>
            <w:hideMark/>
          </w:tcPr>
          <w:p w14:paraId="4CB95A03"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1.6</w:t>
            </w:r>
          </w:p>
        </w:tc>
        <w:tc>
          <w:tcPr>
            <w:tcW w:w="405" w:type="pct"/>
            <w:shd w:val="clear" w:color="auto" w:fill="auto"/>
            <w:noWrap/>
            <w:vAlign w:val="center"/>
            <w:hideMark/>
          </w:tcPr>
          <w:p w14:paraId="7DBF163A"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2.0</w:t>
            </w:r>
          </w:p>
        </w:tc>
        <w:tc>
          <w:tcPr>
            <w:tcW w:w="404" w:type="pct"/>
            <w:shd w:val="clear" w:color="auto" w:fill="auto"/>
            <w:noWrap/>
            <w:vAlign w:val="center"/>
            <w:hideMark/>
          </w:tcPr>
          <w:p w14:paraId="26C4B9EA"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641D0FCF"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49F4752E"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12.5</w:t>
            </w:r>
          </w:p>
        </w:tc>
        <w:tc>
          <w:tcPr>
            <w:tcW w:w="405" w:type="pct"/>
            <w:shd w:val="clear" w:color="auto" w:fill="auto"/>
            <w:noWrap/>
            <w:vAlign w:val="center"/>
            <w:hideMark/>
          </w:tcPr>
          <w:p w14:paraId="42403EA7"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1.8</w:t>
            </w:r>
          </w:p>
        </w:tc>
      </w:tr>
      <w:tr w:rsidR="00A45B71" w:rsidRPr="00A45B71" w14:paraId="4DED7BD9" w14:textId="77777777" w:rsidTr="00E44DDA">
        <w:trPr>
          <w:trHeight w:val="420"/>
        </w:trPr>
        <w:tc>
          <w:tcPr>
            <w:tcW w:w="1360" w:type="pct"/>
            <w:shd w:val="clear" w:color="auto" w:fill="auto"/>
            <w:vAlign w:val="center"/>
            <w:hideMark/>
          </w:tcPr>
          <w:p w14:paraId="491794E5" w14:textId="0D30078A" w:rsidR="00254161" w:rsidRPr="00E44DDA" w:rsidRDefault="00254161" w:rsidP="0043705A">
            <w:pPr>
              <w:rPr>
                <w:rFonts w:cstheme="minorHAnsi"/>
                <w:color w:val="262626"/>
                <w:sz w:val="20"/>
                <w:szCs w:val="20"/>
              </w:rPr>
            </w:pPr>
            <w:r w:rsidRPr="00E44DDA">
              <w:rPr>
                <w:rFonts w:cstheme="minorHAnsi"/>
                <w:color w:val="262626"/>
                <w:sz w:val="20"/>
                <w:szCs w:val="20"/>
              </w:rPr>
              <w:t>Private obstetrician and privately practising midwife joint care</w:t>
            </w:r>
          </w:p>
        </w:tc>
        <w:tc>
          <w:tcPr>
            <w:tcW w:w="404" w:type="pct"/>
            <w:shd w:val="clear" w:color="auto" w:fill="auto"/>
            <w:vAlign w:val="center"/>
            <w:hideMark/>
          </w:tcPr>
          <w:p w14:paraId="28B7DEEC" w14:textId="77777777" w:rsidR="00254161" w:rsidRPr="00E44DDA" w:rsidRDefault="00254161" w:rsidP="0043705A">
            <w:pPr>
              <w:jc w:val="right"/>
              <w:rPr>
                <w:rFonts w:cstheme="minorHAnsi"/>
                <w:sz w:val="20"/>
                <w:szCs w:val="20"/>
              </w:rPr>
            </w:pPr>
            <w:r w:rsidRPr="00E44DDA">
              <w:rPr>
                <w:rFonts w:cstheme="minorHAnsi"/>
                <w:sz w:val="20"/>
                <w:szCs w:val="20"/>
              </w:rPr>
              <w:t>0.3</w:t>
            </w:r>
          </w:p>
        </w:tc>
        <w:tc>
          <w:tcPr>
            <w:tcW w:w="404" w:type="pct"/>
            <w:shd w:val="clear" w:color="auto" w:fill="auto"/>
            <w:vAlign w:val="center"/>
            <w:hideMark/>
          </w:tcPr>
          <w:p w14:paraId="30EFD362" w14:textId="77777777" w:rsidR="00254161" w:rsidRPr="00E44DDA" w:rsidRDefault="00254161" w:rsidP="0043705A">
            <w:pPr>
              <w:jc w:val="right"/>
              <w:rPr>
                <w:rFonts w:cstheme="minorHAnsi"/>
                <w:sz w:val="20"/>
                <w:szCs w:val="20"/>
              </w:rPr>
            </w:pPr>
            <w:r w:rsidRPr="00E44DDA">
              <w:rPr>
                <w:rFonts w:cstheme="minorHAnsi"/>
                <w:sz w:val="20"/>
                <w:szCs w:val="20"/>
              </w:rPr>
              <w:t>0.7</w:t>
            </w:r>
          </w:p>
        </w:tc>
        <w:tc>
          <w:tcPr>
            <w:tcW w:w="404" w:type="pct"/>
            <w:shd w:val="clear" w:color="auto" w:fill="auto"/>
            <w:vAlign w:val="center"/>
            <w:hideMark/>
          </w:tcPr>
          <w:p w14:paraId="7B8D33A9" w14:textId="77777777" w:rsidR="00254161" w:rsidRPr="00E44DDA" w:rsidRDefault="00254161" w:rsidP="0043705A">
            <w:pPr>
              <w:jc w:val="right"/>
              <w:rPr>
                <w:rFonts w:cstheme="minorHAnsi"/>
                <w:sz w:val="20"/>
                <w:szCs w:val="20"/>
              </w:rPr>
            </w:pPr>
            <w:r w:rsidRPr="00E44DDA">
              <w:rPr>
                <w:rFonts w:cstheme="minorHAnsi"/>
                <w:sz w:val="20"/>
                <w:szCs w:val="20"/>
              </w:rPr>
              <w:t>0.5</w:t>
            </w:r>
          </w:p>
        </w:tc>
        <w:tc>
          <w:tcPr>
            <w:tcW w:w="404" w:type="pct"/>
            <w:shd w:val="clear" w:color="auto" w:fill="auto"/>
            <w:noWrap/>
            <w:vAlign w:val="center"/>
            <w:hideMark/>
          </w:tcPr>
          <w:p w14:paraId="7303CB29"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5" w:type="pct"/>
            <w:shd w:val="clear" w:color="auto" w:fill="auto"/>
            <w:noWrap/>
            <w:vAlign w:val="center"/>
            <w:hideMark/>
          </w:tcPr>
          <w:p w14:paraId="7395CBF8"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54BECE79"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3703C8A8"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4" w:type="pct"/>
            <w:shd w:val="clear" w:color="auto" w:fill="auto"/>
            <w:noWrap/>
            <w:vAlign w:val="center"/>
            <w:hideMark/>
          </w:tcPr>
          <w:p w14:paraId="2735A090" w14:textId="77777777" w:rsidR="00254161" w:rsidRPr="00E44DDA" w:rsidRDefault="00254161" w:rsidP="0043705A">
            <w:pPr>
              <w:jc w:val="right"/>
              <w:rPr>
                <w:rFonts w:cstheme="minorHAnsi"/>
                <w:color w:val="262626"/>
                <w:sz w:val="20"/>
                <w:szCs w:val="20"/>
              </w:rPr>
            </w:pPr>
            <w:r w:rsidRPr="00E44DDA">
              <w:rPr>
                <w:rFonts w:cstheme="minorHAnsi"/>
                <w:color w:val="262626"/>
                <w:sz w:val="20"/>
                <w:szCs w:val="20"/>
              </w:rPr>
              <w:t>0.0</w:t>
            </w:r>
          </w:p>
        </w:tc>
        <w:tc>
          <w:tcPr>
            <w:tcW w:w="405" w:type="pct"/>
            <w:shd w:val="clear" w:color="auto" w:fill="auto"/>
            <w:noWrap/>
            <w:vAlign w:val="center"/>
            <w:hideMark/>
          </w:tcPr>
          <w:p w14:paraId="4F5D6B62" w14:textId="77777777" w:rsidR="00254161" w:rsidRPr="00E44DDA" w:rsidRDefault="00254161" w:rsidP="0043705A">
            <w:pPr>
              <w:jc w:val="right"/>
              <w:rPr>
                <w:rFonts w:cstheme="minorHAnsi"/>
                <w:b/>
                <w:bCs/>
                <w:color w:val="262626"/>
                <w:sz w:val="20"/>
                <w:szCs w:val="20"/>
              </w:rPr>
            </w:pPr>
            <w:r w:rsidRPr="00E44DDA">
              <w:rPr>
                <w:rFonts w:cstheme="minorHAnsi"/>
                <w:b/>
                <w:bCs/>
                <w:color w:val="262626"/>
                <w:sz w:val="20"/>
                <w:szCs w:val="20"/>
              </w:rPr>
              <w:t>0.3</w:t>
            </w:r>
          </w:p>
        </w:tc>
      </w:tr>
      <w:tr w:rsidR="00A45B71" w:rsidRPr="00A45B71" w14:paraId="6ED5B084" w14:textId="77777777" w:rsidTr="00E44DDA">
        <w:trPr>
          <w:trHeight w:val="420"/>
        </w:trPr>
        <w:tc>
          <w:tcPr>
            <w:tcW w:w="1360" w:type="pct"/>
            <w:shd w:val="clear" w:color="auto" w:fill="auto"/>
            <w:vAlign w:val="center"/>
            <w:hideMark/>
          </w:tcPr>
          <w:p w14:paraId="2AB5073B" w14:textId="77777777" w:rsidR="00254161" w:rsidRPr="00E44DDA" w:rsidRDefault="00254161" w:rsidP="00254161">
            <w:pPr>
              <w:rPr>
                <w:rFonts w:cstheme="minorHAnsi"/>
                <w:b/>
                <w:bCs/>
                <w:color w:val="262626"/>
                <w:sz w:val="20"/>
                <w:szCs w:val="20"/>
              </w:rPr>
            </w:pPr>
            <w:r w:rsidRPr="00E44DDA">
              <w:rPr>
                <w:rFonts w:cstheme="minorHAnsi"/>
                <w:b/>
                <w:bCs/>
                <w:color w:val="262626"/>
                <w:sz w:val="20"/>
                <w:szCs w:val="20"/>
              </w:rPr>
              <w:t xml:space="preserve">Total </w:t>
            </w:r>
          </w:p>
        </w:tc>
        <w:tc>
          <w:tcPr>
            <w:tcW w:w="404" w:type="pct"/>
            <w:shd w:val="clear" w:color="auto" w:fill="auto"/>
            <w:vAlign w:val="center"/>
            <w:hideMark/>
          </w:tcPr>
          <w:p w14:paraId="7DE31C46"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c>
          <w:tcPr>
            <w:tcW w:w="404" w:type="pct"/>
            <w:shd w:val="clear" w:color="auto" w:fill="auto"/>
            <w:vAlign w:val="center"/>
            <w:hideMark/>
          </w:tcPr>
          <w:p w14:paraId="0CC0B254"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c>
          <w:tcPr>
            <w:tcW w:w="404" w:type="pct"/>
            <w:shd w:val="clear" w:color="auto" w:fill="auto"/>
            <w:vAlign w:val="center"/>
            <w:hideMark/>
          </w:tcPr>
          <w:p w14:paraId="5785EE98"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c>
          <w:tcPr>
            <w:tcW w:w="404" w:type="pct"/>
            <w:shd w:val="clear" w:color="auto" w:fill="auto"/>
            <w:vAlign w:val="center"/>
            <w:hideMark/>
          </w:tcPr>
          <w:p w14:paraId="481F3242"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c>
          <w:tcPr>
            <w:tcW w:w="405" w:type="pct"/>
            <w:shd w:val="clear" w:color="auto" w:fill="auto"/>
            <w:vAlign w:val="center"/>
            <w:hideMark/>
          </w:tcPr>
          <w:p w14:paraId="6FD7DD2C"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c>
          <w:tcPr>
            <w:tcW w:w="404" w:type="pct"/>
            <w:shd w:val="clear" w:color="auto" w:fill="auto"/>
            <w:vAlign w:val="center"/>
            <w:hideMark/>
          </w:tcPr>
          <w:p w14:paraId="474CE0F6"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c>
          <w:tcPr>
            <w:tcW w:w="404" w:type="pct"/>
            <w:shd w:val="clear" w:color="auto" w:fill="auto"/>
            <w:vAlign w:val="center"/>
            <w:hideMark/>
          </w:tcPr>
          <w:p w14:paraId="6B5F207F"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c>
          <w:tcPr>
            <w:tcW w:w="404" w:type="pct"/>
            <w:shd w:val="clear" w:color="auto" w:fill="auto"/>
            <w:vAlign w:val="center"/>
            <w:hideMark/>
          </w:tcPr>
          <w:p w14:paraId="3B6E8DE4"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c>
          <w:tcPr>
            <w:tcW w:w="405" w:type="pct"/>
            <w:shd w:val="clear" w:color="auto" w:fill="auto"/>
            <w:vAlign w:val="center"/>
            <w:hideMark/>
          </w:tcPr>
          <w:p w14:paraId="1B463115" w14:textId="77777777" w:rsidR="00254161" w:rsidRPr="00E44DDA" w:rsidRDefault="00254161" w:rsidP="0043705A">
            <w:pPr>
              <w:jc w:val="right"/>
              <w:rPr>
                <w:rFonts w:cstheme="minorHAnsi"/>
                <w:b/>
                <w:bCs/>
                <w:sz w:val="20"/>
                <w:szCs w:val="20"/>
              </w:rPr>
            </w:pPr>
            <w:r w:rsidRPr="00E44DDA">
              <w:rPr>
                <w:rFonts w:cstheme="minorHAnsi"/>
                <w:b/>
                <w:bCs/>
                <w:sz w:val="20"/>
                <w:szCs w:val="20"/>
              </w:rPr>
              <w:t>100.0</w:t>
            </w:r>
          </w:p>
        </w:tc>
      </w:tr>
    </w:tbl>
    <w:p w14:paraId="722CA100" w14:textId="727A85B3" w:rsidR="00254161" w:rsidRPr="00254161" w:rsidRDefault="00254161">
      <w:pPr>
        <w:rPr>
          <w:rFonts w:cstheme="minorHAnsi"/>
          <w:sz w:val="18"/>
          <w:szCs w:val="18"/>
        </w:rPr>
      </w:pPr>
      <w:r>
        <w:rPr>
          <w:rFonts w:cstheme="minorHAnsi"/>
          <w:iCs/>
          <w:sz w:val="18"/>
          <w:szCs w:val="18"/>
        </w:rPr>
        <w:t>Data s</w:t>
      </w:r>
      <w:r w:rsidRPr="00254161">
        <w:rPr>
          <w:rFonts w:cstheme="minorHAnsi"/>
          <w:iCs/>
          <w:sz w:val="18"/>
          <w:szCs w:val="18"/>
        </w:rPr>
        <w:t>ource:</w:t>
      </w:r>
      <w:r w:rsidRPr="00254161">
        <w:rPr>
          <w:rFonts w:cstheme="minorHAnsi"/>
          <w:sz w:val="18"/>
          <w:szCs w:val="18"/>
        </w:rPr>
        <w:t xml:space="preserve"> AIHW—MoC NBPDS.</w:t>
      </w:r>
      <w:r>
        <w:rPr>
          <w:rFonts w:cstheme="minorHAnsi"/>
          <w:iCs/>
          <w:sz w:val="18"/>
          <w:szCs w:val="18"/>
        </w:rPr>
        <w:t xml:space="preserve"> </w:t>
      </w:r>
      <w:r w:rsidRPr="00254161">
        <w:rPr>
          <w:rFonts w:cstheme="minorHAnsi"/>
          <w:iCs/>
          <w:sz w:val="18"/>
          <w:szCs w:val="18"/>
        </w:rPr>
        <w:t>Data tables for Maternity models of care in Australia, 2022</w:t>
      </w:r>
      <w:r w:rsidRPr="00254161">
        <w:rPr>
          <w:rFonts w:cstheme="minorHAnsi"/>
          <w:iCs/>
          <w:sz w:val="18"/>
          <w:szCs w:val="18"/>
        </w:rPr>
        <w:tab/>
      </w:r>
    </w:p>
    <w:p w14:paraId="73CC9811" w14:textId="4D42EE60" w:rsidR="00285DAE" w:rsidRDefault="00254161" w:rsidP="00254161">
      <w:pPr>
        <w:tabs>
          <w:tab w:val="left" w:pos="2622"/>
          <w:tab w:val="left" w:pos="3514"/>
          <w:tab w:val="left" w:pos="4406"/>
          <w:tab w:val="left" w:pos="5300"/>
          <w:tab w:val="left" w:pos="6190"/>
          <w:tab w:val="left" w:pos="7079"/>
          <w:tab w:val="left" w:pos="7968"/>
          <w:tab w:val="left" w:pos="8857"/>
          <w:tab w:val="left" w:pos="9752"/>
        </w:tabs>
        <w:rPr>
          <w:rFonts w:cstheme="minorHAnsi"/>
          <w:sz w:val="18"/>
          <w:szCs w:val="18"/>
        </w:rPr>
      </w:pPr>
      <w:r>
        <w:rPr>
          <w:rFonts w:cstheme="minorHAnsi"/>
          <w:iCs/>
          <w:sz w:val="18"/>
          <w:szCs w:val="18"/>
        </w:rPr>
        <w:t xml:space="preserve">AIHW </w:t>
      </w:r>
      <w:r w:rsidRPr="00254161">
        <w:rPr>
          <w:rFonts w:cstheme="minorHAnsi"/>
          <w:iCs/>
          <w:sz w:val="18"/>
          <w:szCs w:val="18"/>
        </w:rPr>
        <w:t>Data notes</w:t>
      </w:r>
      <w:r>
        <w:rPr>
          <w:rFonts w:cstheme="minorHAnsi"/>
          <w:iCs/>
          <w:sz w:val="18"/>
          <w:szCs w:val="18"/>
        </w:rPr>
        <w:t xml:space="preserve">: </w:t>
      </w:r>
      <w:r w:rsidRPr="00254161">
        <w:rPr>
          <w:rFonts w:cstheme="minorHAnsi"/>
          <w:sz w:val="18"/>
          <w:szCs w:val="18"/>
        </w:rPr>
        <w:t xml:space="preserve">Analyses are based on the number of </w:t>
      </w:r>
      <w:r w:rsidRPr="00254161">
        <w:rPr>
          <w:rFonts w:cstheme="minorHAnsi"/>
          <w:iCs/>
          <w:sz w:val="18"/>
          <w:szCs w:val="18"/>
        </w:rPr>
        <w:t xml:space="preserve">active </w:t>
      </w:r>
      <w:r w:rsidRPr="00254161">
        <w:rPr>
          <w:rFonts w:cstheme="minorHAnsi"/>
          <w:sz w:val="18"/>
          <w:szCs w:val="18"/>
        </w:rPr>
        <w:t xml:space="preserve">models of care in the MoC NBPDS, at 30 April 2022. </w:t>
      </w:r>
      <w:r w:rsidRPr="00254161">
        <w:rPr>
          <w:rFonts w:cstheme="minorHAnsi"/>
          <w:iCs/>
          <w:sz w:val="18"/>
          <w:szCs w:val="18"/>
        </w:rPr>
        <w:t xml:space="preserve">Active </w:t>
      </w:r>
      <w:r w:rsidRPr="00254161">
        <w:rPr>
          <w:rFonts w:cstheme="minorHAnsi"/>
          <w:sz w:val="18"/>
          <w:szCs w:val="18"/>
        </w:rPr>
        <w:t>models are those</w:t>
      </w:r>
      <w:r>
        <w:rPr>
          <w:rFonts w:cstheme="minorHAnsi"/>
          <w:sz w:val="18"/>
          <w:szCs w:val="18"/>
        </w:rPr>
        <w:t xml:space="preserve"> in use at a maternity service; </w:t>
      </w:r>
      <w:r w:rsidRPr="00254161">
        <w:rPr>
          <w:rFonts w:cstheme="minorHAnsi"/>
          <w:sz w:val="18"/>
          <w:szCs w:val="18"/>
        </w:rPr>
        <w:t>Some major model categories are not represented in some jurisdictions. This may be because these models of care have not yet been classified by maternity servic</w:t>
      </w:r>
      <w:r>
        <w:rPr>
          <w:rFonts w:cstheme="minorHAnsi"/>
          <w:sz w:val="18"/>
          <w:szCs w:val="18"/>
        </w:rPr>
        <w:t>e</w:t>
      </w:r>
      <w:r w:rsidRPr="00254161">
        <w:rPr>
          <w:rFonts w:cstheme="minorHAnsi"/>
          <w:sz w:val="18"/>
          <w:szCs w:val="18"/>
        </w:rPr>
        <w:t>s in these jurisdictions, or because health system structures and care frameworks differ between jurisdictions.</w:t>
      </w:r>
    </w:p>
    <w:p w14:paraId="22313527" w14:textId="4E6FBF07" w:rsidR="00254161" w:rsidRPr="000B34B9" w:rsidRDefault="002A689D" w:rsidP="002A689D">
      <w:pPr>
        <w:pStyle w:val="Caption"/>
        <w:rPr>
          <w:rFonts w:cstheme="minorHAnsi"/>
          <w:color w:val="212529"/>
          <w:sz w:val="20"/>
          <w:szCs w:val="20"/>
          <w:lang w:val="en-US"/>
        </w:rPr>
      </w:pPr>
      <w:bookmarkStart w:id="360" w:name="_Ref117932941"/>
      <w:bookmarkStart w:id="361" w:name="_Toc121429184"/>
      <w:r w:rsidRPr="000B34B9">
        <w:rPr>
          <w:rFonts w:cstheme="minorHAnsi"/>
          <w:sz w:val="20"/>
          <w:szCs w:val="20"/>
        </w:rPr>
        <w:lastRenderedPageBreak/>
        <w:t xml:space="preserve">Table </w:t>
      </w:r>
      <w:r w:rsidRPr="000B34B9">
        <w:rPr>
          <w:rFonts w:cstheme="minorHAnsi"/>
          <w:sz w:val="20"/>
          <w:szCs w:val="20"/>
        </w:rPr>
        <w:fldChar w:fldCharType="begin"/>
      </w:r>
      <w:r w:rsidRPr="000B34B9">
        <w:rPr>
          <w:rFonts w:cstheme="minorHAnsi"/>
          <w:sz w:val="20"/>
          <w:szCs w:val="20"/>
        </w:rPr>
        <w:instrText xml:space="preserve"> SEQ Table \* ARABIC </w:instrText>
      </w:r>
      <w:r w:rsidRPr="000B34B9">
        <w:rPr>
          <w:rFonts w:cstheme="minorHAnsi"/>
          <w:sz w:val="20"/>
          <w:szCs w:val="20"/>
        </w:rPr>
        <w:fldChar w:fldCharType="separate"/>
      </w:r>
      <w:r w:rsidR="00296988">
        <w:rPr>
          <w:rFonts w:cstheme="minorHAnsi"/>
          <w:noProof/>
          <w:sz w:val="20"/>
          <w:szCs w:val="20"/>
        </w:rPr>
        <w:t>8</w:t>
      </w:r>
      <w:r w:rsidRPr="000B34B9">
        <w:rPr>
          <w:rFonts w:cstheme="minorHAnsi"/>
          <w:sz w:val="20"/>
          <w:szCs w:val="20"/>
        </w:rPr>
        <w:fldChar w:fldCharType="end"/>
      </w:r>
      <w:bookmarkEnd w:id="360"/>
      <w:r w:rsidRPr="000B34B9">
        <w:rPr>
          <w:rFonts w:cstheme="minorHAnsi"/>
          <w:sz w:val="20"/>
          <w:szCs w:val="20"/>
        </w:rPr>
        <w:tab/>
      </w:r>
      <w:r w:rsidR="007F7825" w:rsidRPr="000B34B9">
        <w:rPr>
          <w:rFonts w:cstheme="minorHAnsi"/>
          <w:sz w:val="20"/>
          <w:szCs w:val="20"/>
        </w:rPr>
        <w:t>P</w:t>
      </w:r>
      <w:r w:rsidR="00254161" w:rsidRPr="000B34B9">
        <w:rPr>
          <w:rFonts w:cstheme="minorHAnsi"/>
          <w:bCs w:val="0"/>
          <w:sz w:val="20"/>
          <w:szCs w:val="20"/>
        </w:rPr>
        <w:t>roportion of models of care, by continuity of carer and jurisdiction, 2022</w:t>
      </w:r>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713"/>
        <w:gridCol w:w="713"/>
        <w:gridCol w:w="713"/>
        <w:gridCol w:w="714"/>
        <w:gridCol w:w="714"/>
        <w:gridCol w:w="714"/>
        <w:gridCol w:w="714"/>
        <w:gridCol w:w="714"/>
        <w:gridCol w:w="714"/>
      </w:tblGrid>
      <w:tr w:rsidR="00822A20" w:rsidRPr="00254161" w14:paraId="6438F829" w14:textId="77777777" w:rsidTr="00E44DDA">
        <w:trPr>
          <w:trHeight w:val="315"/>
        </w:trPr>
        <w:tc>
          <w:tcPr>
            <w:tcW w:w="1742" w:type="pct"/>
            <w:shd w:val="clear" w:color="auto" w:fill="auto"/>
            <w:vAlign w:val="center"/>
            <w:hideMark/>
          </w:tcPr>
          <w:p w14:paraId="414F214D" w14:textId="1599E86D" w:rsidR="00254161" w:rsidRPr="00E44DDA" w:rsidRDefault="00254161" w:rsidP="00E44DDA">
            <w:pPr>
              <w:rPr>
                <w:rFonts w:cstheme="minorHAnsi"/>
                <w:b/>
                <w:bCs/>
                <w:sz w:val="20"/>
                <w:szCs w:val="20"/>
              </w:rPr>
            </w:pPr>
            <w:r w:rsidRPr="00E44DDA">
              <w:rPr>
                <w:rFonts w:cstheme="minorHAnsi"/>
                <w:b/>
                <w:bCs/>
                <w:sz w:val="20"/>
                <w:szCs w:val="20"/>
              </w:rPr>
              <w:t>Extent of continuity of carer</w:t>
            </w:r>
          </w:p>
        </w:tc>
        <w:tc>
          <w:tcPr>
            <w:tcW w:w="362" w:type="pct"/>
            <w:shd w:val="clear" w:color="auto" w:fill="auto"/>
            <w:vAlign w:val="center"/>
            <w:hideMark/>
          </w:tcPr>
          <w:p w14:paraId="13BD5DAB" w14:textId="77777777" w:rsidR="00254161" w:rsidRPr="00E44DDA" w:rsidRDefault="00254161" w:rsidP="00E44DDA">
            <w:pPr>
              <w:jc w:val="right"/>
              <w:rPr>
                <w:rFonts w:cstheme="minorHAnsi"/>
                <w:b/>
                <w:bCs/>
                <w:sz w:val="20"/>
                <w:szCs w:val="20"/>
              </w:rPr>
            </w:pPr>
            <w:r w:rsidRPr="00E44DDA">
              <w:rPr>
                <w:rFonts w:cstheme="minorHAnsi"/>
                <w:b/>
                <w:bCs/>
                <w:sz w:val="20"/>
                <w:szCs w:val="20"/>
              </w:rPr>
              <w:t>NSW</w:t>
            </w:r>
          </w:p>
        </w:tc>
        <w:tc>
          <w:tcPr>
            <w:tcW w:w="362" w:type="pct"/>
            <w:shd w:val="clear" w:color="auto" w:fill="auto"/>
            <w:vAlign w:val="center"/>
            <w:hideMark/>
          </w:tcPr>
          <w:p w14:paraId="62BF22AA" w14:textId="77777777" w:rsidR="00254161" w:rsidRPr="00E44DDA" w:rsidRDefault="00254161" w:rsidP="00E44DDA">
            <w:pPr>
              <w:jc w:val="right"/>
              <w:rPr>
                <w:rFonts w:cstheme="minorHAnsi"/>
                <w:b/>
                <w:bCs/>
                <w:sz w:val="20"/>
                <w:szCs w:val="20"/>
              </w:rPr>
            </w:pPr>
            <w:r w:rsidRPr="00E44DDA">
              <w:rPr>
                <w:rFonts w:cstheme="minorHAnsi"/>
                <w:b/>
                <w:bCs/>
                <w:sz w:val="20"/>
                <w:szCs w:val="20"/>
              </w:rPr>
              <w:t>Vic</w:t>
            </w:r>
          </w:p>
        </w:tc>
        <w:tc>
          <w:tcPr>
            <w:tcW w:w="362" w:type="pct"/>
            <w:shd w:val="clear" w:color="auto" w:fill="auto"/>
            <w:vAlign w:val="center"/>
            <w:hideMark/>
          </w:tcPr>
          <w:p w14:paraId="59A1C0C7" w14:textId="4C764BAE" w:rsidR="00254161" w:rsidRPr="00E44DDA" w:rsidRDefault="00254161" w:rsidP="00E44DDA">
            <w:pPr>
              <w:jc w:val="right"/>
              <w:rPr>
                <w:rFonts w:cstheme="minorHAnsi"/>
                <w:b/>
                <w:bCs/>
                <w:sz w:val="20"/>
                <w:szCs w:val="20"/>
              </w:rPr>
            </w:pPr>
            <w:r w:rsidRPr="00E44DDA">
              <w:rPr>
                <w:rFonts w:cstheme="minorHAnsi"/>
                <w:b/>
                <w:bCs/>
                <w:sz w:val="20"/>
                <w:szCs w:val="20"/>
              </w:rPr>
              <w:t>Qld</w:t>
            </w:r>
          </w:p>
        </w:tc>
        <w:tc>
          <w:tcPr>
            <w:tcW w:w="362" w:type="pct"/>
            <w:shd w:val="clear" w:color="auto" w:fill="auto"/>
            <w:vAlign w:val="center"/>
            <w:hideMark/>
          </w:tcPr>
          <w:p w14:paraId="2D6D7726" w14:textId="77777777" w:rsidR="00254161" w:rsidRPr="00E44DDA" w:rsidRDefault="00254161" w:rsidP="00E44DDA">
            <w:pPr>
              <w:jc w:val="right"/>
              <w:rPr>
                <w:rFonts w:cstheme="minorHAnsi"/>
                <w:b/>
                <w:bCs/>
                <w:sz w:val="20"/>
                <w:szCs w:val="20"/>
              </w:rPr>
            </w:pPr>
            <w:r w:rsidRPr="00E44DDA">
              <w:rPr>
                <w:rFonts w:cstheme="minorHAnsi"/>
                <w:b/>
                <w:bCs/>
                <w:sz w:val="20"/>
                <w:szCs w:val="20"/>
              </w:rPr>
              <w:t>WA</w:t>
            </w:r>
          </w:p>
        </w:tc>
        <w:tc>
          <w:tcPr>
            <w:tcW w:w="362" w:type="pct"/>
            <w:shd w:val="clear" w:color="auto" w:fill="auto"/>
            <w:vAlign w:val="center"/>
            <w:hideMark/>
          </w:tcPr>
          <w:p w14:paraId="5B80B303" w14:textId="77777777" w:rsidR="00254161" w:rsidRPr="00E44DDA" w:rsidRDefault="00254161" w:rsidP="00E44DDA">
            <w:pPr>
              <w:jc w:val="right"/>
              <w:rPr>
                <w:rFonts w:cstheme="minorHAnsi"/>
                <w:b/>
                <w:bCs/>
                <w:sz w:val="20"/>
                <w:szCs w:val="20"/>
              </w:rPr>
            </w:pPr>
            <w:r w:rsidRPr="00E44DDA">
              <w:rPr>
                <w:rFonts w:cstheme="minorHAnsi"/>
                <w:b/>
                <w:bCs/>
                <w:sz w:val="20"/>
                <w:szCs w:val="20"/>
              </w:rPr>
              <w:t>SA</w:t>
            </w:r>
          </w:p>
        </w:tc>
        <w:tc>
          <w:tcPr>
            <w:tcW w:w="362" w:type="pct"/>
            <w:shd w:val="clear" w:color="auto" w:fill="auto"/>
            <w:vAlign w:val="center"/>
            <w:hideMark/>
          </w:tcPr>
          <w:p w14:paraId="73605B7E" w14:textId="77777777" w:rsidR="00254161" w:rsidRPr="00E44DDA" w:rsidRDefault="00254161" w:rsidP="00E44DDA">
            <w:pPr>
              <w:jc w:val="right"/>
              <w:rPr>
                <w:rFonts w:cstheme="minorHAnsi"/>
                <w:b/>
                <w:bCs/>
                <w:sz w:val="20"/>
                <w:szCs w:val="20"/>
              </w:rPr>
            </w:pPr>
            <w:r w:rsidRPr="00E44DDA">
              <w:rPr>
                <w:rFonts w:cstheme="minorHAnsi"/>
                <w:b/>
                <w:bCs/>
                <w:sz w:val="20"/>
                <w:szCs w:val="20"/>
              </w:rPr>
              <w:t>Tas</w:t>
            </w:r>
          </w:p>
        </w:tc>
        <w:tc>
          <w:tcPr>
            <w:tcW w:w="362" w:type="pct"/>
            <w:shd w:val="clear" w:color="auto" w:fill="auto"/>
            <w:vAlign w:val="center"/>
            <w:hideMark/>
          </w:tcPr>
          <w:p w14:paraId="52A2F612" w14:textId="77777777" w:rsidR="00254161" w:rsidRPr="00E44DDA" w:rsidRDefault="00254161" w:rsidP="00E44DDA">
            <w:pPr>
              <w:jc w:val="right"/>
              <w:rPr>
                <w:rFonts w:cstheme="minorHAnsi"/>
                <w:b/>
                <w:bCs/>
                <w:sz w:val="20"/>
                <w:szCs w:val="20"/>
              </w:rPr>
            </w:pPr>
            <w:r w:rsidRPr="00E44DDA">
              <w:rPr>
                <w:rFonts w:cstheme="minorHAnsi"/>
                <w:b/>
                <w:bCs/>
                <w:sz w:val="20"/>
                <w:szCs w:val="20"/>
              </w:rPr>
              <w:t>ACT</w:t>
            </w:r>
          </w:p>
        </w:tc>
        <w:tc>
          <w:tcPr>
            <w:tcW w:w="362" w:type="pct"/>
            <w:shd w:val="clear" w:color="auto" w:fill="auto"/>
            <w:vAlign w:val="center"/>
            <w:hideMark/>
          </w:tcPr>
          <w:p w14:paraId="50C6EFC6" w14:textId="77777777" w:rsidR="00254161" w:rsidRPr="00E44DDA" w:rsidRDefault="00254161" w:rsidP="00E44DDA">
            <w:pPr>
              <w:jc w:val="right"/>
              <w:rPr>
                <w:rFonts w:cstheme="minorHAnsi"/>
                <w:b/>
                <w:bCs/>
                <w:sz w:val="20"/>
                <w:szCs w:val="20"/>
              </w:rPr>
            </w:pPr>
            <w:r w:rsidRPr="00E44DDA">
              <w:rPr>
                <w:rFonts w:cstheme="minorHAnsi"/>
                <w:b/>
                <w:bCs/>
                <w:sz w:val="20"/>
                <w:szCs w:val="20"/>
              </w:rPr>
              <w:t>NT</w:t>
            </w:r>
          </w:p>
        </w:tc>
        <w:tc>
          <w:tcPr>
            <w:tcW w:w="362" w:type="pct"/>
            <w:shd w:val="clear" w:color="auto" w:fill="auto"/>
            <w:vAlign w:val="center"/>
            <w:hideMark/>
          </w:tcPr>
          <w:p w14:paraId="7AE95398" w14:textId="714220E2" w:rsidR="00254161" w:rsidRPr="00E44DDA" w:rsidRDefault="00254161" w:rsidP="00E44DDA">
            <w:pPr>
              <w:jc w:val="right"/>
              <w:rPr>
                <w:rFonts w:cstheme="minorHAnsi"/>
                <w:b/>
                <w:bCs/>
                <w:sz w:val="20"/>
                <w:szCs w:val="20"/>
              </w:rPr>
            </w:pPr>
            <w:r w:rsidRPr="00E44DDA">
              <w:rPr>
                <w:rFonts w:cstheme="minorHAnsi"/>
                <w:b/>
                <w:bCs/>
                <w:sz w:val="20"/>
                <w:szCs w:val="20"/>
              </w:rPr>
              <w:t>Total</w:t>
            </w:r>
          </w:p>
        </w:tc>
      </w:tr>
      <w:tr w:rsidR="00822A20" w:rsidRPr="00254161" w14:paraId="2ACD3F39" w14:textId="77777777" w:rsidTr="00822A20">
        <w:trPr>
          <w:trHeight w:val="420"/>
        </w:trPr>
        <w:tc>
          <w:tcPr>
            <w:tcW w:w="1742" w:type="pct"/>
            <w:shd w:val="clear" w:color="auto" w:fill="auto"/>
            <w:vAlign w:val="center"/>
            <w:hideMark/>
          </w:tcPr>
          <w:p w14:paraId="0BF40E5E" w14:textId="77777777" w:rsidR="00254161" w:rsidRPr="00E44DDA" w:rsidRDefault="00254161" w:rsidP="00390FB3">
            <w:pPr>
              <w:rPr>
                <w:rFonts w:cstheme="minorHAnsi"/>
                <w:color w:val="262626"/>
                <w:sz w:val="20"/>
                <w:szCs w:val="20"/>
              </w:rPr>
            </w:pPr>
            <w:r w:rsidRPr="00E44DDA">
              <w:rPr>
                <w:rFonts w:cstheme="minorHAnsi"/>
                <w:color w:val="262626"/>
                <w:sz w:val="20"/>
                <w:szCs w:val="20"/>
              </w:rPr>
              <w:t>No continuity of carer</w:t>
            </w:r>
          </w:p>
        </w:tc>
        <w:tc>
          <w:tcPr>
            <w:tcW w:w="362" w:type="pct"/>
            <w:shd w:val="clear" w:color="auto" w:fill="auto"/>
            <w:vAlign w:val="center"/>
            <w:hideMark/>
          </w:tcPr>
          <w:p w14:paraId="2CD7D882" w14:textId="77777777" w:rsidR="00254161" w:rsidRPr="00E44DDA" w:rsidRDefault="00254161" w:rsidP="00390FB3">
            <w:pPr>
              <w:jc w:val="right"/>
              <w:rPr>
                <w:rFonts w:cstheme="minorHAnsi"/>
                <w:sz w:val="20"/>
                <w:szCs w:val="20"/>
              </w:rPr>
            </w:pPr>
            <w:r w:rsidRPr="00E44DDA">
              <w:rPr>
                <w:rFonts w:cstheme="minorHAnsi"/>
                <w:sz w:val="20"/>
                <w:szCs w:val="20"/>
              </w:rPr>
              <w:t>34.4</w:t>
            </w:r>
          </w:p>
        </w:tc>
        <w:tc>
          <w:tcPr>
            <w:tcW w:w="362" w:type="pct"/>
            <w:shd w:val="clear" w:color="auto" w:fill="auto"/>
            <w:vAlign w:val="center"/>
            <w:hideMark/>
          </w:tcPr>
          <w:p w14:paraId="6F99BB15" w14:textId="77777777" w:rsidR="00254161" w:rsidRPr="00E44DDA" w:rsidRDefault="00254161" w:rsidP="00390FB3">
            <w:pPr>
              <w:jc w:val="right"/>
              <w:rPr>
                <w:rFonts w:cstheme="minorHAnsi"/>
                <w:sz w:val="20"/>
                <w:szCs w:val="20"/>
              </w:rPr>
            </w:pPr>
            <w:r w:rsidRPr="00E44DDA">
              <w:rPr>
                <w:rFonts w:cstheme="minorHAnsi"/>
                <w:sz w:val="20"/>
                <w:szCs w:val="20"/>
              </w:rPr>
              <w:t>40.7</w:t>
            </w:r>
          </w:p>
        </w:tc>
        <w:tc>
          <w:tcPr>
            <w:tcW w:w="362" w:type="pct"/>
            <w:shd w:val="clear" w:color="auto" w:fill="auto"/>
            <w:vAlign w:val="center"/>
            <w:hideMark/>
          </w:tcPr>
          <w:p w14:paraId="77AAF5E2" w14:textId="77777777" w:rsidR="00254161" w:rsidRPr="00E44DDA" w:rsidRDefault="00254161" w:rsidP="00390FB3">
            <w:pPr>
              <w:jc w:val="right"/>
              <w:rPr>
                <w:rFonts w:cstheme="minorHAnsi"/>
                <w:sz w:val="20"/>
                <w:szCs w:val="20"/>
              </w:rPr>
            </w:pPr>
            <w:r w:rsidRPr="00E44DDA">
              <w:rPr>
                <w:rFonts w:cstheme="minorHAnsi"/>
                <w:sz w:val="20"/>
                <w:szCs w:val="20"/>
              </w:rPr>
              <w:t>32.2</w:t>
            </w:r>
          </w:p>
        </w:tc>
        <w:tc>
          <w:tcPr>
            <w:tcW w:w="362" w:type="pct"/>
            <w:shd w:val="clear" w:color="auto" w:fill="auto"/>
            <w:noWrap/>
            <w:vAlign w:val="center"/>
            <w:hideMark/>
          </w:tcPr>
          <w:p w14:paraId="74A7D69C"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45.2</w:t>
            </w:r>
          </w:p>
        </w:tc>
        <w:tc>
          <w:tcPr>
            <w:tcW w:w="362" w:type="pct"/>
            <w:shd w:val="clear" w:color="auto" w:fill="auto"/>
            <w:noWrap/>
            <w:vAlign w:val="center"/>
            <w:hideMark/>
          </w:tcPr>
          <w:p w14:paraId="65E11415"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36.0</w:t>
            </w:r>
          </w:p>
        </w:tc>
        <w:tc>
          <w:tcPr>
            <w:tcW w:w="362" w:type="pct"/>
            <w:shd w:val="clear" w:color="auto" w:fill="auto"/>
            <w:noWrap/>
            <w:vAlign w:val="center"/>
            <w:hideMark/>
          </w:tcPr>
          <w:p w14:paraId="06CC5BC0"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39.1</w:t>
            </w:r>
          </w:p>
        </w:tc>
        <w:tc>
          <w:tcPr>
            <w:tcW w:w="362" w:type="pct"/>
            <w:shd w:val="clear" w:color="auto" w:fill="auto"/>
            <w:noWrap/>
            <w:vAlign w:val="center"/>
            <w:hideMark/>
          </w:tcPr>
          <w:p w14:paraId="68E87A5D"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19.0</w:t>
            </w:r>
          </w:p>
        </w:tc>
        <w:tc>
          <w:tcPr>
            <w:tcW w:w="362" w:type="pct"/>
            <w:shd w:val="clear" w:color="auto" w:fill="auto"/>
            <w:noWrap/>
            <w:vAlign w:val="center"/>
            <w:hideMark/>
          </w:tcPr>
          <w:p w14:paraId="39AB22AB"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70.8</w:t>
            </w:r>
          </w:p>
        </w:tc>
        <w:tc>
          <w:tcPr>
            <w:tcW w:w="362" w:type="pct"/>
            <w:shd w:val="clear" w:color="auto" w:fill="auto"/>
            <w:noWrap/>
            <w:vAlign w:val="center"/>
            <w:hideMark/>
          </w:tcPr>
          <w:p w14:paraId="755DCEA3" w14:textId="77777777" w:rsidR="00254161" w:rsidRPr="00E44DDA" w:rsidRDefault="00254161" w:rsidP="00390FB3">
            <w:pPr>
              <w:jc w:val="right"/>
              <w:rPr>
                <w:rFonts w:cstheme="minorHAnsi"/>
                <w:b/>
                <w:bCs/>
                <w:color w:val="262626"/>
                <w:sz w:val="20"/>
                <w:szCs w:val="20"/>
              </w:rPr>
            </w:pPr>
            <w:r w:rsidRPr="00E44DDA">
              <w:rPr>
                <w:rFonts w:cstheme="minorHAnsi"/>
                <w:b/>
                <w:bCs/>
                <w:color w:val="262626"/>
                <w:sz w:val="20"/>
                <w:szCs w:val="20"/>
              </w:rPr>
              <w:t>37.3</w:t>
            </w:r>
          </w:p>
        </w:tc>
      </w:tr>
      <w:tr w:rsidR="00822A20" w:rsidRPr="00254161" w14:paraId="70116234" w14:textId="77777777" w:rsidTr="00822A20">
        <w:trPr>
          <w:trHeight w:val="420"/>
        </w:trPr>
        <w:tc>
          <w:tcPr>
            <w:tcW w:w="1742" w:type="pct"/>
            <w:shd w:val="clear" w:color="auto" w:fill="auto"/>
            <w:vAlign w:val="center"/>
            <w:hideMark/>
          </w:tcPr>
          <w:p w14:paraId="1EFF38DD" w14:textId="77777777" w:rsidR="00254161" w:rsidRPr="00E44DDA" w:rsidRDefault="00254161" w:rsidP="00390FB3">
            <w:pPr>
              <w:rPr>
                <w:rFonts w:cstheme="minorHAnsi"/>
                <w:color w:val="262626"/>
                <w:sz w:val="20"/>
                <w:szCs w:val="20"/>
              </w:rPr>
            </w:pPr>
            <w:r w:rsidRPr="00E44DDA">
              <w:rPr>
                <w:rFonts w:cstheme="minorHAnsi"/>
                <w:color w:val="262626"/>
                <w:sz w:val="20"/>
                <w:szCs w:val="20"/>
              </w:rPr>
              <w:t>Antenatal period only</w:t>
            </w:r>
          </w:p>
        </w:tc>
        <w:tc>
          <w:tcPr>
            <w:tcW w:w="362" w:type="pct"/>
            <w:shd w:val="clear" w:color="auto" w:fill="auto"/>
            <w:vAlign w:val="center"/>
            <w:hideMark/>
          </w:tcPr>
          <w:p w14:paraId="403530E1" w14:textId="77777777" w:rsidR="00254161" w:rsidRPr="00E44DDA" w:rsidRDefault="00254161" w:rsidP="00390FB3">
            <w:pPr>
              <w:jc w:val="right"/>
              <w:rPr>
                <w:rFonts w:cstheme="minorHAnsi"/>
                <w:sz w:val="20"/>
                <w:szCs w:val="20"/>
              </w:rPr>
            </w:pPr>
            <w:r w:rsidRPr="00E44DDA">
              <w:rPr>
                <w:rFonts w:cstheme="minorHAnsi"/>
                <w:sz w:val="20"/>
                <w:szCs w:val="20"/>
              </w:rPr>
              <w:t>18.2</w:t>
            </w:r>
          </w:p>
        </w:tc>
        <w:tc>
          <w:tcPr>
            <w:tcW w:w="362" w:type="pct"/>
            <w:shd w:val="clear" w:color="auto" w:fill="auto"/>
            <w:vAlign w:val="center"/>
            <w:hideMark/>
          </w:tcPr>
          <w:p w14:paraId="53A1033A" w14:textId="77777777" w:rsidR="00254161" w:rsidRPr="00E44DDA" w:rsidRDefault="00254161" w:rsidP="00390FB3">
            <w:pPr>
              <w:jc w:val="right"/>
              <w:rPr>
                <w:rFonts w:cstheme="minorHAnsi"/>
                <w:sz w:val="20"/>
                <w:szCs w:val="20"/>
              </w:rPr>
            </w:pPr>
            <w:r w:rsidRPr="00E44DDA">
              <w:rPr>
                <w:rFonts w:cstheme="minorHAnsi"/>
                <w:sz w:val="20"/>
                <w:szCs w:val="20"/>
              </w:rPr>
              <w:t>22.7</w:t>
            </w:r>
          </w:p>
        </w:tc>
        <w:tc>
          <w:tcPr>
            <w:tcW w:w="362" w:type="pct"/>
            <w:shd w:val="clear" w:color="auto" w:fill="auto"/>
            <w:vAlign w:val="center"/>
            <w:hideMark/>
          </w:tcPr>
          <w:p w14:paraId="63059997" w14:textId="77777777" w:rsidR="00254161" w:rsidRPr="00E44DDA" w:rsidRDefault="00254161" w:rsidP="00390FB3">
            <w:pPr>
              <w:jc w:val="right"/>
              <w:rPr>
                <w:rFonts w:cstheme="minorHAnsi"/>
                <w:sz w:val="20"/>
                <w:szCs w:val="20"/>
              </w:rPr>
            </w:pPr>
            <w:r w:rsidRPr="00E44DDA">
              <w:rPr>
                <w:rFonts w:cstheme="minorHAnsi"/>
                <w:sz w:val="20"/>
                <w:szCs w:val="20"/>
              </w:rPr>
              <w:t>13.9</w:t>
            </w:r>
          </w:p>
        </w:tc>
        <w:tc>
          <w:tcPr>
            <w:tcW w:w="362" w:type="pct"/>
            <w:shd w:val="clear" w:color="auto" w:fill="auto"/>
            <w:noWrap/>
            <w:vAlign w:val="center"/>
            <w:hideMark/>
          </w:tcPr>
          <w:p w14:paraId="68E227AB"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13.5</w:t>
            </w:r>
          </w:p>
        </w:tc>
        <w:tc>
          <w:tcPr>
            <w:tcW w:w="362" w:type="pct"/>
            <w:shd w:val="clear" w:color="auto" w:fill="auto"/>
            <w:noWrap/>
            <w:vAlign w:val="center"/>
            <w:hideMark/>
          </w:tcPr>
          <w:p w14:paraId="4718C7F4"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12.0</w:t>
            </w:r>
          </w:p>
        </w:tc>
        <w:tc>
          <w:tcPr>
            <w:tcW w:w="362" w:type="pct"/>
            <w:shd w:val="clear" w:color="auto" w:fill="auto"/>
            <w:noWrap/>
            <w:vAlign w:val="center"/>
            <w:hideMark/>
          </w:tcPr>
          <w:p w14:paraId="1CBBA6A5"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17.4</w:t>
            </w:r>
          </w:p>
        </w:tc>
        <w:tc>
          <w:tcPr>
            <w:tcW w:w="362" w:type="pct"/>
            <w:shd w:val="clear" w:color="auto" w:fill="auto"/>
            <w:noWrap/>
            <w:vAlign w:val="center"/>
            <w:hideMark/>
          </w:tcPr>
          <w:p w14:paraId="65F4DAF6"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33.3</w:t>
            </w:r>
          </w:p>
        </w:tc>
        <w:tc>
          <w:tcPr>
            <w:tcW w:w="362" w:type="pct"/>
            <w:shd w:val="clear" w:color="auto" w:fill="auto"/>
            <w:noWrap/>
            <w:vAlign w:val="center"/>
            <w:hideMark/>
          </w:tcPr>
          <w:p w14:paraId="7D80F318"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12.5</w:t>
            </w:r>
          </w:p>
        </w:tc>
        <w:tc>
          <w:tcPr>
            <w:tcW w:w="362" w:type="pct"/>
            <w:shd w:val="clear" w:color="auto" w:fill="auto"/>
            <w:noWrap/>
            <w:vAlign w:val="center"/>
            <w:hideMark/>
          </w:tcPr>
          <w:p w14:paraId="56FAD6DB" w14:textId="77777777" w:rsidR="00254161" w:rsidRPr="00E44DDA" w:rsidRDefault="00254161" w:rsidP="00390FB3">
            <w:pPr>
              <w:jc w:val="right"/>
              <w:rPr>
                <w:rFonts w:cstheme="minorHAnsi"/>
                <w:b/>
                <w:bCs/>
                <w:color w:val="262626"/>
                <w:sz w:val="20"/>
                <w:szCs w:val="20"/>
              </w:rPr>
            </w:pPr>
            <w:r w:rsidRPr="00E44DDA">
              <w:rPr>
                <w:rFonts w:cstheme="minorHAnsi"/>
                <w:b/>
                <w:bCs/>
                <w:color w:val="262626"/>
                <w:sz w:val="20"/>
                <w:szCs w:val="20"/>
              </w:rPr>
              <w:t>17.1</w:t>
            </w:r>
          </w:p>
        </w:tc>
      </w:tr>
      <w:tr w:rsidR="00822A20" w:rsidRPr="00254161" w14:paraId="6EB43B3E" w14:textId="77777777" w:rsidTr="00822A20">
        <w:trPr>
          <w:trHeight w:val="420"/>
        </w:trPr>
        <w:tc>
          <w:tcPr>
            <w:tcW w:w="1742" w:type="pct"/>
            <w:shd w:val="clear" w:color="auto" w:fill="auto"/>
            <w:vAlign w:val="center"/>
            <w:hideMark/>
          </w:tcPr>
          <w:p w14:paraId="65F14C24" w14:textId="77777777" w:rsidR="00254161" w:rsidRPr="00E44DDA" w:rsidRDefault="00254161" w:rsidP="00390FB3">
            <w:pPr>
              <w:rPr>
                <w:rFonts w:cstheme="minorHAnsi"/>
                <w:color w:val="262626"/>
                <w:sz w:val="20"/>
                <w:szCs w:val="20"/>
              </w:rPr>
            </w:pPr>
            <w:r w:rsidRPr="00E44DDA">
              <w:rPr>
                <w:rFonts w:cstheme="minorHAnsi"/>
                <w:color w:val="262626"/>
                <w:sz w:val="20"/>
                <w:szCs w:val="20"/>
              </w:rPr>
              <w:t>Antenatal and postpartum periods</w:t>
            </w:r>
          </w:p>
        </w:tc>
        <w:tc>
          <w:tcPr>
            <w:tcW w:w="362" w:type="pct"/>
            <w:shd w:val="clear" w:color="auto" w:fill="auto"/>
            <w:noWrap/>
            <w:vAlign w:val="center"/>
            <w:hideMark/>
          </w:tcPr>
          <w:p w14:paraId="7502E69A"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19.6</w:t>
            </w:r>
          </w:p>
        </w:tc>
        <w:tc>
          <w:tcPr>
            <w:tcW w:w="362" w:type="pct"/>
            <w:shd w:val="clear" w:color="auto" w:fill="auto"/>
            <w:noWrap/>
            <w:vAlign w:val="center"/>
            <w:hideMark/>
          </w:tcPr>
          <w:p w14:paraId="0B55A6DF"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5.3</w:t>
            </w:r>
          </w:p>
        </w:tc>
        <w:tc>
          <w:tcPr>
            <w:tcW w:w="362" w:type="pct"/>
            <w:shd w:val="clear" w:color="auto" w:fill="auto"/>
            <w:noWrap/>
            <w:vAlign w:val="center"/>
            <w:hideMark/>
          </w:tcPr>
          <w:p w14:paraId="6FEF757A"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9.4</w:t>
            </w:r>
          </w:p>
        </w:tc>
        <w:tc>
          <w:tcPr>
            <w:tcW w:w="362" w:type="pct"/>
            <w:shd w:val="clear" w:color="auto" w:fill="auto"/>
            <w:noWrap/>
            <w:vAlign w:val="center"/>
            <w:hideMark/>
          </w:tcPr>
          <w:p w14:paraId="507AB990"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14.3</w:t>
            </w:r>
          </w:p>
        </w:tc>
        <w:tc>
          <w:tcPr>
            <w:tcW w:w="362" w:type="pct"/>
            <w:shd w:val="clear" w:color="auto" w:fill="auto"/>
            <w:noWrap/>
            <w:vAlign w:val="center"/>
            <w:hideMark/>
          </w:tcPr>
          <w:p w14:paraId="0F2DA70D"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12.0</w:t>
            </w:r>
          </w:p>
        </w:tc>
        <w:tc>
          <w:tcPr>
            <w:tcW w:w="362" w:type="pct"/>
            <w:shd w:val="clear" w:color="auto" w:fill="auto"/>
            <w:noWrap/>
            <w:vAlign w:val="center"/>
            <w:hideMark/>
          </w:tcPr>
          <w:p w14:paraId="656E5A1D"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13.0</w:t>
            </w:r>
          </w:p>
        </w:tc>
        <w:tc>
          <w:tcPr>
            <w:tcW w:w="362" w:type="pct"/>
            <w:shd w:val="clear" w:color="auto" w:fill="auto"/>
            <w:noWrap/>
            <w:vAlign w:val="center"/>
            <w:hideMark/>
          </w:tcPr>
          <w:p w14:paraId="5583F3CF"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4.8</w:t>
            </w:r>
          </w:p>
        </w:tc>
        <w:tc>
          <w:tcPr>
            <w:tcW w:w="362" w:type="pct"/>
            <w:shd w:val="clear" w:color="auto" w:fill="auto"/>
            <w:noWrap/>
            <w:vAlign w:val="center"/>
            <w:hideMark/>
          </w:tcPr>
          <w:p w14:paraId="422D2DE8" w14:textId="77777777" w:rsidR="00254161" w:rsidRPr="00E44DDA" w:rsidRDefault="00254161" w:rsidP="00390FB3">
            <w:pPr>
              <w:jc w:val="right"/>
              <w:rPr>
                <w:rFonts w:cstheme="minorHAnsi"/>
                <w:color w:val="262626"/>
                <w:sz w:val="20"/>
                <w:szCs w:val="20"/>
              </w:rPr>
            </w:pPr>
            <w:r w:rsidRPr="00E44DDA">
              <w:rPr>
                <w:rFonts w:cstheme="minorHAnsi"/>
                <w:color w:val="262626"/>
                <w:sz w:val="20"/>
                <w:szCs w:val="20"/>
              </w:rPr>
              <w:t>4.2</w:t>
            </w:r>
          </w:p>
        </w:tc>
        <w:tc>
          <w:tcPr>
            <w:tcW w:w="362" w:type="pct"/>
            <w:shd w:val="clear" w:color="auto" w:fill="auto"/>
            <w:noWrap/>
            <w:vAlign w:val="center"/>
            <w:hideMark/>
          </w:tcPr>
          <w:p w14:paraId="5A46F1B9" w14:textId="77777777" w:rsidR="00254161" w:rsidRPr="00E44DDA" w:rsidRDefault="00254161" w:rsidP="00390FB3">
            <w:pPr>
              <w:jc w:val="right"/>
              <w:rPr>
                <w:rFonts w:cstheme="minorHAnsi"/>
                <w:b/>
                <w:bCs/>
                <w:color w:val="262626"/>
                <w:sz w:val="20"/>
                <w:szCs w:val="20"/>
              </w:rPr>
            </w:pPr>
            <w:r w:rsidRPr="00E44DDA">
              <w:rPr>
                <w:rFonts w:cstheme="minorHAnsi"/>
                <w:b/>
                <w:bCs/>
                <w:color w:val="262626"/>
                <w:sz w:val="20"/>
                <w:szCs w:val="20"/>
              </w:rPr>
              <w:t>12.7</w:t>
            </w:r>
          </w:p>
        </w:tc>
      </w:tr>
      <w:tr w:rsidR="00822A20" w:rsidRPr="00254161" w14:paraId="0F10F99F" w14:textId="77777777" w:rsidTr="00822A20">
        <w:trPr>
          <w:trHeight w:val="420"/>
        </w:trPr>
        <w:tc>
          <w:tcPr>
            <w:tcW w:w="1742" w:type="pct"/>
            <w:shd w:val="clear" w:color="auto" w:fill="auto"/>
            <w:vAlign w:val="center"/>
            <w:hideMark/>
          </w:tcPr>
          <w:p w14:paraId="1351AF17" w14:textId="77777777" w:rsidR="00254161" w:rsidRPr="00E44DDA" w:rsidRDefault="00254161" w:rsidP="00390FB3">
            <w:pPr>
              <w:rPr>
                <w:rFonts w:cstheme="minorHAnsi"/>
                <w:color w:val="262626"/>
                <w:sz w:val="20"/>
                <w:szCs w:val="20"/>
              </w:rPr>
            </w:pPr>
            <w:r w:rsidRPr="00E44DDA">
              <w:rPr>
                <w:rFonts w:cstheme="minorHAnsi"/>
                <w:color w:val="262626"/>
                <w:sz w:val="20"/>
                <w:szCs w:val="20"/>
              </w:rPr>
              <w:t xml:space="preserve">Whole duration of maternity period—antenatal, intrapartum and postpartum </w:t>
            </w:r>
          </w:p>
        </w:tc>
        <w:tc>
          <w:tcPr>
            <w:tcW w:w="362" w:type="pct"/>
            <w:shd w:val="clear" w:color="auto" w:fill="auto"/>
            <w:noWrap/>
            <w:vAlign w:val="center"/>
            <w:hideMark/>
          </w:tcPr>
          <w:p w14:paraId="3FB6B8AF" w14:textId="77777777" w:rsidR="00254161" w:rsidRPr="00E44DDA" w:rsidRDefault="00254161" w:rsidP="00390FB3">
            <w:pPr>
              <w:jc w:val="right"/>
              <w:rPr>
                <w:rFonts w:cstheme="minorHAnsi"/>
                <w:sz w:val="20"/>
                <w:szCs w:val="20"/>
              </w:rPr>
            </w:pPr>
            <w:r w:rsidRPr="00E44DDA">
              <w:rPr>
                <w:rFonts w:cstheme="minorHAnsi"/>
                <w:sz w:val="20"/>
                <w:szCs w:val="20"/>
              </w:rPr>
              <w:t>25.8</w:t>
            </w:r>
          </w:p>
        </w:tc>
        <w:tc>
          <w:tcPr>
            <w:tcW w:w="362" w:type="pct"/>
            <w:shd w:val="clear" w:color="auto" w:fill="auto"/>
            <w:noWrap/>
            <w:vAlign w:val="center"/>
            <w:hideMark/>
          </w:tcPr>
          <w:p w14:paraId="5FD7D54F" w14:textId="77777777" w:rsidR="00254161" w:rsidRPr="00E44DDA" w:rsidRDefault="00254161" w:rsidP="00390FB3">
            <w:pPr>
              <w:jc w:val="right"/>
              <w:rPr>
                <w:rFonts w:cstheme="minorHAnsi"/>
                <w:sz w:val="20"/>
                <w:szCs w:val="20"/>
              </w:rPr>
            </w:pPr>
            <w:r w:rsidRPr="00E44DDA">
              <w:rPr>
                <w:rFonts w:cstheme="minorHAnsi"/>
                <w:sz w:val="20"/>
                <w:szCs w:val="20"/>
              </w:rPr>
              <w:t>30.0</w:t>
            </w:r>
          </w:p>
        </w:tc>
        <w:tc>
          <w:tcPr>
            <w:tcW w:w="362" w:type="pct"/>
            <w:shd w:val="clear" w:color="auto" w:fill="auto"/>
            <w:noWrap/>
            <w:vAlign w:val="center"/>
            <w:hideMark/>
          </w:tcPr>
          <w:p w14:paraId="761F1954" w14:textId="77777777" w:rsidR="00254161" w:rsidRPr="00E44DDA" w:rsidRDefault="00254161" w:rsidP="00390FB3">
            <w:pPr>
              <w:jc w:val="right"/>
              <w:rPr>
                <w:rFonts w:cstheme="minorHAnsi"/>
                <w:sz w:val="20"/>
                <w:szCs w:val="20"/>
              </w:rPr>
            </w:pPr>
            <w:r w:rsidRPr="00E44DDA">
              <w:rPr>
                <w:rFonts w:cstheme="minorHAnsi"/>
                <w:sz w:val="20"/>
                <w:szCs w:val="20"/>
              </w:rPr>
              <w:t>40.6</w:t>
            </w:r>
          </w:p>
        </w:tc>
        <w:tc>
          <w:tcPr>
            <w:tcW w:w="362" w:type="pct"/>
            <w:shd w:val="clear" w:color="auto" w:fill="auto"/>
            <w:noWrap/>
            <w:vAlign w:val="center"/>
            <w:hideMark/>
          </w:tcPr>
          <w:p w14:paraId="221B9F5B" w14:textId="77777777" w:rsidR="00254161" w:rsidRPr="00E44DDA" w:rsidRDefault="00254161" w:rsidP="00390FB3">
            <w:pPr>
              <w:jc w:val="right"/>
              <w:rPr>
                <w:rFonts w:cstheme="minorHAnsi"/>
                <w:sz w:val="20"/>
                <w:szCs w:val="20"/>
              </w:rPr>
            </w:pPr>
            <w:r w:rsidRPr="00E44DDA">
              <w:rPr>
                <w:rFonts w:cstheme="minorHAnsi"/>
                <w:sz w:val="20"/>
                <w:szCs w:val="20"/>
              </w:rPr>
              <w:t>26.2</w:t>
            </w:r>
          </w:p>
        </w:tc>
        <w:tc>
          <w:tcPr>
            <w:tcW w:w="362" w:type="pct"/>
            <w:shd w:val="clear" w:color="auto" w:fill="auto"/>
            <w:noWrap/>
            <w:vAlign w:val="center"/>
            <w:hideMark/>
          </w:tcPr>
          <w:p w14:paraId="18BD3902" w14:textId="77777777" w:rsidR="00254161" w:rsidRPr="00E44DDA" w:rsidRDefault="00254161" w:rsidP="00390FB3">
            <w:pPr>
              <w:jc w:val="right"/>
              <w:rPr>
                <w:rFonts w:cstheme="minorHAnsi"/>
                <w:sz w:val="20"/>
                <w:szCs w:val="20"/>
              </w:rPr>
            </w:pPr>
            <w:r w:rsidRPr="00E44DDA">
              <w:rPr>
                <w:rFonts w:cstheme="minorHAnsi"/>
                <w:sz w:val="20"/>
                <w:szCs w:val="20"/>
              </w:rPr>
              <w:t>40.0</w:t>
            </w:r>
          </w:p>
        </w:tc>
        <w:tc>
          <w:tcPr>
            <w:tcW w:w="362" w:type="pct"/>
            <w:shd w:val="clear" w:color="auto" w:fill="auto"/>
            <w:noWrap/>
            <w:vAlign w:val="center"/>
            <w:hideMark/>
          </w:tcPr>
          <w:p w14:paraId="2E40B820" w14:textId="77777777" w:rsidR="00254161" w:rsidRPr="00E44DDA" w:rsidRDefault="00254161" w:rsidP="00390FB3">
            <w:pPr>
              <w:jc w:val="right"/>
              <w:rPr>
                <w:rFonts w:cstheme="minorHAnsi"/>
                <w:sz w:val="20"/>
                <w:szCs w:val="20"/>
              </w:rPr>
            </w:pPr>
            <w:r w:rsidRPr="00E44DDA">
              <w:rPr>
                <w:rFonts w:cstheme="minorHAnsi"/>
                <w:sz w:val="20"/>
                <w:szCs w:val="20"/>
              </w:rPr>
              <w:t>30.4</w:t>
            </w:r>
          </w:p>
        </w:tc>
        <w:tc>
          <w:tcPr>
            <w:tcW w:w="362" w:type="pct"/>
            <w:shd w:val="clear" w:color="auto" w:fill="auto"/>
            <w:noWrap/>
            <w:vAlign w:val="center"/>
            <w:hideMark/>
          </w:tcPr>
          <w:p w14:paraId="03E47886" w14:textId="77777777" w:rsidR="00254161" w:rsidRPr="00E44DDA" w:rsidRDefault="00254161" w:rsidP="00390FB3">
            <w:pPr>
              <w:jc w:val="right"/>
              <w:rPr>
                <w:rFonts w:cstheme="minorHAnsi"/>
                <w:sz w:val="20"/>
                <w:szCs w:val="20"/>
              </w:rPr>
            </w:pPr>
            <w:r w:rsidRPr="00E44DDA">
              <w:rPr>
                <w:rFonts w:cstheme="minorHAnsi"/>
                <w:sz w:val="20"/>
                <w:szCs w:val="20"/>
              </w:rPr>
              <w:t>38.1</w:t>
            </w:r>
          </w:p>
        </w:tc>
        <w:tc>
          <w:tcPr>
            <w:tcW w:w="362" w:type="pct"/>
            <w:shd w:val="clear" w:color="auto" w:fill="auto"/>
            <w:noWrap/>
            <w:vAlign w:val="center"/>
            <w:hideMark/>
          </w:tcPr>
          <w:p w14:paraId="6EF0586F" w14:textId="77777777" w:rsidR="00254161" w:rsidRPr="00E44DDA" w:rsidRDefault="00254161" w:rsidP="00390FB3">
            <w:pPr>
              <w:jc w:val="right"/>
              <w:rPr>
                <w:rFonts w:cstheme="minorHAnsi"/>
                <w:sz w:val="20"/>
                <w:szCs w:val="20"/>
              </w:rPr>
            </w:pPr>
            <w:r w:rsidRPr="00E44DDA">
              <w:rPr>
                <w:rFonts w:cstheme="minorHAnsi"/>
                <w:sz w:val="20"/>
                <w:szCs w:val="20"/>
              </w:rPr>
              <w:t>12.5</w:t>
            </w:r>
          </w:p>
        </w:tc>
        <w:tc>
          <w:tcPr>
            <w:tcW w:w="362" w:type="pct"/>
            <w:shd w:val="clear" w:color="auto" w:fill="auto"/>
            <w:noWrap/>
            <w:vAlign w:val="center"/>
            <w:hideMark/>
          </w:tcPr>
          <w:p w14:paraId="157D9D87" w14:textId="77777777" w:rsidR="00254161" w:rsidRPr="00E44DDA" w:rsidRDefault="00254161" w:rsidP="00390FB3">
            <w:pPr>
              <w:jc w:val="right"/>
              <w:rPr>
                <w:rFonts w:cstheme="minorHAnsi"/>
                <w:b/>
                <w:bCs/>
                <w:color w:val="262626"/>
                <w:sz w:val="20"/>
                <w:szCs w:val="20"/>
              </w:rPr>
            </w:pPr>
            <w:r w:rsidRPr="00E44DDA">
              <w:rPr>
                <w:rFonts w:cstheme="minorHAnsi"/>
                <w:b/>
                <w:bCs/>
                <w:color w:val="262626"/>
                <w:sz w:val="20"/>
                <w:szCs w:val="20"/>
              </w:rPr>
              <w:t>30.8</w:t>
            </w:r>
          </w:p>
        </w:tc>
      </w:tr>
      <w:tr w:rsidR="00822A20" w:rsidRPr="00254161" w14:paraId="1EEC1DE4" w14:textId="77777777" w:rsidTr="00822A20">
        <w:trPr>
          <w:trHeight w:val="420"/>
        </w:trPr>
        <w:tc>
          <w:tcPr>
            <w:tcW w:w="1742" w:type="pct"/>
            <w:shd w:val="clear" w:color="auto" w:fill="auto"/>
            <w:noWrap/>
            <w:vAlign w:val="center"/>
            <w:hideMark/>
          </w:tcPr>
          <w:p w14:paraId="1944F75F" w14:textId="77777777" w:rsidR="00254161" w:rsidRPr="00E44DDA" w:rsidRDefault="00254161" w:rsidP="00390FB3">
            <w:pPr>
              <w:rPr>
                <w:rFonts w:cstheme="minorHAnsi"/>
                <w:color w:val="262626"/>
                <w:sz w:val="20"/>
                <w:szCs w:val="20"/>
              </w:rPr>
            </w:pPr>
            <w:r w:rsidRPr="00E44DDA">
              <w:rPr>
                <w:rFonts w:cstheme="minorHAnsi"/>
                <w:color w:val="262626"/>
                <w:sz w:val="20"/>
                <w:szCs w:val="20"/>
              </w:rPr>
              <w:t xml:space="preserve">Other </w:t>
            </w:r>
          </w:p>
        </w:tc>
        <w:tc>
          <w:tcPr>
            <w:tcW w:w="362" w:type="pct"/>
            <w:shd w:val="clear" w:color="auto" w:fill="auto"/>
            <w:noWrap/>
            <w:vAlign w:val="center"/>
            <w:hideMark/>
          </w:tcPr>
          <w:p w14:paraId="05D2AA3E" w14:textId="77777777" w:rsidR="00254161" w:rsidRPr="00E44DDA" w:rsidRDefault="00254161" w:rsidP="00390FB3">
            <w:pPr>
              <w:jc w:val="right"/>
              <w:rPr>
                <w:rFonts w:cstheme="minorHAnsi"/>
                <w:sz w:val="20"/>
                <w:szCs w:val="20"/>
              </w:rPr>
            </w:pPr>
            <w:r w:rsidRPr="00E44DDA">
              <w:rPr>
                <w:rFonts w:cstheme="minorHAnsi"/>
                <w:sz w:val="20"/>
                <w:szCs w:val="20"/>
              </w:rPr>
              <w:t>2.1</w:t>
            </w:r>
          </w:p>
        </w:tc>
        <w:tc>
          <w:tcPr>
            <w:tcW w:w="362" w:type="pct"/>
            <w:shd w:val="clear" w:color="auto" w:fill="auto"/>
            <w:noWrap/>
            <w:vAlign w:val="center"/>
            <w:hideMark/>
          </w:tcPr>
          <w:p w14:paraId="7DD9BEDF" w14:textId="77777777" w:rsidR="00254161" w:rsidRPr="00E44DDA" w:rsidRDefault="00254161" w:rsidP="00390FB3">
            <w:pPr>
              <w:jc w:val="right"/>
              <w:rPr>
                <w:rFonts w:cstheme="minorHAnsi"/>
                <w:sz w:val="20"/>
                <w:szCs w:val="20"/>
              </w:rPr>
            </w:pPr>
            <w:r w:rsidRPr="00E44DDA">
              <w:rPr>
                <w:rFonts w:cstheme="minorHAnsi"/>
                <w:sz w:val="20"/>
                <w:szCs w:val="20"/>
              </w:rPr>
              <w:t>1.3</w:t>
            </w:r>
          </w:p>
        </w:tc>
        <w:tc>
          <w:tcPr>
            <w:tcW w:w="362" w:type="pct"/>
            <w:shd w:val="clear" w:color="auto" w:fill="auto"/>
            <w:noWrap/>
            <w:vAlign w:val="center"/>
            <w:hideMark/>
          </w:tcPr>
          <w:p w14:paraId="257C739D" w14:textId="77777777" w:rsidR="00254161" w:rsidRPr="00E44DDA" w:rsidRDefault="00254161" w:rsidP="00390FB3">
            <w:pPr>
              <w:jc w:val="right"/>
              <w:rPr>
                <w:rFonts w:cstheme="minorHAnsi"/>
                <w:sz w:val="20"/>
                <w:szCs w:val="20"/>
              </w:rPr>
            </w:pPr>
            <w:r w:rsidRPr="00E44DDA">
              <w:rPr>
                <w:rFonts w:cstheme="minorHAnsi"/>
                <w:sz w:val="20"/>
                <w:szCs w:val="20"/>
              </w:rPr>
              <w:t>4.0</w:t>
            </w:r>
          </w:p>
        </w:tc>
        <w:tc>
          <w:tcPr>
            <w:tcW w:w="362" w:type="pct"/>
            <w:shd w:val="clear" w:color="auto" w:fill="auto"/>
            <w:noWrap/>
            <w:vAlign w:val="center"/>
            <w:hideMark/>
          </w:tcPr>
          <w:p w14:paraId="326C1897" w14:textId="77777777" w:rsidR="00254161" w:rsidRPr="00E44DDA" w:rsidRDefault="00254161" w:rsidP="00390FB3">
            <w:pPr>
              <w:jc w:val="right"/>
              <w:rPr>
                <w:rFonts w:cstheme="minorHAnsi"/>
                <w:sz w:val="20"/>
                <w:szCs w:val="20"/>
              </w:rPr>
            </w:pPr>
            <w:r w:rsidRPr="00E44DDA">
              <w:rPr>
                <w:rFonts w:cstheme="minorHAnsi"/>
                <w:sz w:val="20"/>
                <w:szCs w:val="20"/>
              </w:rPr>
              <w:t>0.8</w:t>
            </w:r>
          </w:p>
        </w:tc>
        <w:tc>
          <w:tcPr>
            <w:tcW w:w="362" w:type="pct"/>
            <w:shd w:val="clear" w:color="auto" w:fill="auto"/>
            <w:noWrap/>
            <w:vAlign w:val="center"/>
            <w:hideMark/>
          </w:tcPr>
          <w:p w14:paraId="77F8286D" w14:textId="77777777" w:rsidR="00254161" w:rsidRPr="00E44DDA" w:rsidRDefault="00254161" w:rsidP="00390FB3">
            <w:pPr>
              <w:jc w:val="right"/>
              <w:rPr>
                <w:rFonts w:cstheme="minorHAnsi"/>
                <w:sz w:val="20"/>
                <w:szCs w:val="20"/>
              </w:rPr>
            </w:pPr>
            <w:r w:rsidRPr="00E44DDA">
              <w:rPr>
                <w:rFonts w:cstheme="minorHAnsi"/>
                <w:sz w:val="20"/>
                <w:szCs w:val="20"/>
              </w:rPr>
              <w:t>0.0</w:t>
            </w:r>
          </w:p>
        </w:tc>
        <w:tc>
          <w:tcPr>
            <w:tcW w:w="362" w:type="pct"/>
            <w:shd w:val="clear" w:color="auto" w:fill="auto"/>
            <w:noWrap/>
            <w:vAlign w:val="center"/>
            <w:hideMark/>
          </w:tcPr>
          <w:p w14:paraId="0633DA0F" w14:textId="77777777" w:rsidR="00254161" w:rsidRPr="00E44DDA" w:rsidRDefault="00254161" w:rsidP="00390FB3">
            <w:pPr>
              <w:jc w:val="right"/>
              <w:rPr>
                <w:rFonts w:cstheme="minorHAnsi"/>
                <w:sz w:val="20"/>
                <w:szCs w:val="20"/>
              </w:rPr>
            </w:pPr>
            <w:r w:rsidRPr="00E44DDA">
              <w:rPr>
                <w:rFonts w:cstheme="minorHAnsi"/>
                <w:sz w:val="20"/>
                <w:szCs w:val="20"/>
              </w:rPr>
              <w:t>0.0</w:t>
            </w:r>
          </w:p>
        </w:tc>
        <w:tc>
          <w:tcPr>
            <w:tcW w:w="362" w:type="pct"/>
            <w:shd w:val="clear" w:color="auto" w:fill="auto"/>
            <w:noWrap/>
            <w:vAlign w:val="center"/>
            <w:hideMark/>
          </w:tcPr>
          <w:p w14:paraId="0E4119B0" w14:textId="77777777" w:rsidR="00254161" w:rsidRPr="00E44DDA" w:rsidRDefault="00254161" w:rsidP="00390FB3">
            <w:pPr>
              <w:jc w:val="right"/>
              <w:rPr>
                <w:rFonts w:cstheme="minorHAnsi"/>
                <w:sz w:val="20"/>
                <w:szCs w:val="20"/>
              </w:rPr>
            </w:pPr>
            <w:r w:rsidRPr="00E44DDA">
              <w:rPr>
                <w:rFonts w:cstheme="minorHAnsi"/>
                <w:sz w:val="20"/>
                <w:szCs w:val="20"/>
              </w:rPr>
              <w:t>4.8</w:t>
            </w:r>
          </w:p>
        </w:tc>
        <w:tc>
          <w:tcPr>
            <w:tcW w:w="362" w:type="pct"/>
            <w:shd w:val="clear" w:color="auto" w:fill="auto"/>
            <w:noWrap/>
            <w:vAlign w:val="center"/>
            <w:hideMark/>
          </w:tcPr>
          <w:p w14:paraId="72833D2A" w14:textId="77777777" w:rsidR="00254161" w:rsidRPr="00E44DDA" w:rsidRDefault="00254161" w:rsidP="00390FB3">
            <w:pPr>
              <w:jc w:val="right"/>
              <w:rPr>
                <w:rFonts w:cstheme="minorHAnsi"/>
                <w:sz w:val="20"/>
                <w:szCs w:val="20"/>
              </w:rPr>
            </w:pPr>
            <w:r w:rsidRPr="00E44DDA">
              <w:rPr>
                <w:rFonts w:cstheme="minorHAnsi"/>
                <w:sz w:val="20"/>
                <w:szCs w:val="20"/>
              </w:rPr>
              <w:t>0.0</w:t>
            </w:r>
          </w:p>
        </w:tc>
        <w:tc>
          <w:tcPr>
            <w:tcW w:w="362" w:type="pct"/>
            <w:shd w:val="clear" w:color="auto" w:fill="auto"/>
            <w:noWrap/>
            <w:vAlign w:val="center"/>
            <w:hideMark/>
          </w:tcPr>
          <w:p w14:paraId="2FCE785C" w14:textId="77777777" w:rsidR="00254161" w:rsidRPr="00E44DDA" w:rsidRDefault="00254161" w:rsidP="00390FB3">
            <w:pPr>
              <w:jc w:val="right"/>
              <w:rPr>
                <w:rFonts w:cstheme="minorHAnsi"/>
                <w:b/>
                <w:bCs/>
                <w:sz w:val="20"/>
                <w:szCs w:val="20"/>
              </w:rPr>
            </w:pPr>
            <w:r w:rsidRPr="00E44DDA">
              <w:rPr>
                <w:rFonts w:cstheme="minorHAnsi"/>
                <w:b/>
                <w:bCs/>
                <w:sz w:val="20"/>
                <w:szCs w:val="20"/>
              </w:rPr>
              <w:t>2.0</w:t>
            </w:r>
          </w:p>
        </w:tc>
      </w:tr>
      <w:tr w:rsidR="00822A20" w:rsidRPr="00254161" w14:paraId="6AB568D1" w14:textId="77777777" w:rsidTr="00822A20">
        <w:trPr>
          <w:trHeight w:val="315"/>
        </w:trPr>
        <w:tc>
          <w:tcPr>
            <w:tcW w:w="1742" w:type="pct"/>
            <w:shd w:val="clear" w:color="auto" w:fill="auto"/>
            <w:noWrap/>
            <w:vAlign w:val="center"/>
            <w:hideMark/>
          </w:tcPr>
          <w:p w14:paraId="63437DB5" w14:textId="77777777" w:rsidR="00254161" w:rsidRPr="00E44DDA" w:rsidRDefault="00254161" w:rsidP="00390FB3">
            <w:pPr>
              <w:rPr>
                <w:rFonts w:cstheme="minorHAnsi"/>
                <w:b/>
                <w:bCs/>
                <w:color w:val="262626"/>
                <w:sz w:val="20"/>
                <w:szCs w:val="20"/>
              </w:rPr>
            </w:pPr>
            <w:r w:rsidRPr="00E44DDA">
              <w:rPr>
                <w:rFonts w:cstheme="minorHAnsi"/>
                <w:b/>
                <w:bCs/>
                <w:color w:val="262626"/>
                <w:sz w:val="20"/>
                <w:szCs w:val="20"/>
              </w:rPr>
              <w:t xml:space="preserve">Total </w:t>
            </w:r>
          </w:p>
        </w:tc>
        <w:tc>
          <w:tcPr>
            <w:tcW w:w="362" w:type="pct"/>
            <w:shd w:val="clear" w:color="auto" w:fill="auto"/>
            <w:vAlign w:val="center"/>
            <w:hideMark/>
          </w:tcPr>
          <w:p w14:paraId="2F3A6657"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c>
          <w:tcPr>
            <w:tcW w:w="362" w:type="pct"/>
            <w:shd w:val="clear" w:color="auto" w:fill="auto"/>
            <w:vAlign w:val="center"/>
            <w:hideMark/>
          </w:tcPr>
          <w:p w14:paraId="6E74EC6C"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c>
          <w:tcPr>
            <w:tcW w:w="362" w:type="pct"/>
            <w:shd w:val="clear" w:color="auto" w:fill="auto"/>
            <w:vAlign w:val="center"/>
            <w:hideMark/>
          </w:tcPr>
          <w:p w14:paraId="169EDCC1"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c>
          <w:tcPr>
            <w:tcW w:w="362" w:type="pct"/>
            <w:shd w:val="clear" w:color="auto" w:fill="auto"/>
            <w:vAlign w:val="center"/>
            <w:hideMark/>
          </w:tcPr>
          <w:p w14:paraId="678792C8"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c>
          <w:tcPr>
            <w:tcW w:w="362" w:type="pct"/>
            <w:shd w:val="clear" w:color="auto" w:fill="auto"/>
            <w:vAlign w:val="center"/>
            <w:hideMark/>
          </w:tcPr>
          <w:p w14:paraId="5716E51C"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c>
          <w:tcPr>
            <w:tcW w:w="362" w:type="pct"/>
            <w:shd w:val="clear" w:color="auto" w:fill="auto"/>
            <w:vAlign w:val="center"/>
            <w:hideMark/>
          </w:tcPr>
          <w:p w14:paraId="246056F0"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c>
          <w:tcPr>
            <w:tcW w:w="362" w:type="pct"/>
            <w:shd w:val="clear" w:color="auto" w:fill="auto"/>
            <w:vAlign w:val="center"/>
            <w:hideMark/>
          </w:tcPr>
          <w:p w14:paraId="1EF40104"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c>
          <w:tcPr>
            <w:tcW w:w="362" w:type="pct"/>
            <w:shd w:val="clear" w:color="auto" w:fill="auto"/>
            <w:vAlign w:val="center"/>
            <w:hideMark/>
          </w:tcPr>
          <w:p w14:paraId="11D7C967"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c>
          <w:tcPr>
            <w:tcW w:w="362" w:type="pct"/>
            <w:shd w:val="clear" w:color="auto" w:fill="auto"/>
            <w:vAlign w:val="center"/>
            <w:hideMark/>
          </w:tcPr>
          <w:p w14:paraId="1E562AD1" w14:textId="77777777" w:rsidR="00254161" w:rsidRPr="00E44DDA" w:rsidRDefault="00254161" w:rsidP="00390FB3">
            <w:pPr>
              <w:jc w:val="right"/>
              <w:rPr>
                <w:rFonts w:cstheme="minorHAnsi"/>
                <w:b/>
                <w:bCs/>
                <w:sz w:val="20"/>
                <w:szCs w:val="20"/>
              </w:rPr>
            </w:pPr>
            <w:r w:rsidRPr="00E44DDA">
              <w:rPr>
                <w:rFonts w:cstheme="minorHAnsi"/>
                <w:b/>
                <w:bCs/>
                <w:sz w:val="20"/>
                <w:szCs w:val="20"/>
              </w:rPr>
              <w:t>100.0</w:t>
            </w:r>
          </w:p>
        </w:tc>
      </w:tr>
    </w:tbl>
    <w:p w14:paraId="42CF16A0" w14:textId="77777777" w:rsidR="00254161" w:rsidRPr="002A689D" w:rsidRDefault="00254161" w:rsidP="00254161">
      <w:pPr>
        <w:rPr>
          <w:rFonts w:cstheme="minorHAnsi"/>
          <w:sz w:val="18"/>
          <w:szCs w:val="18"/>
        </w:rPr>
      </w:pPr>
      <w:r w:rsidRPr="002A689D">
        <w:rPr>
          <w:rFonts w:cstheme="minorHAnsi"/>
          <w:iCs/>
          <w:sz w:val="18"/>
          <w:szCs w:val="18"/>
        </w:rPr>
        <w:t>Data source:</w:t>
      </w:r>
      <w:r w:rsidRPr="002A689D">
        <w:rPr>
          <w:rFonts w:cstheme="minorHAnsi"/>
          <w:sz w:val="18"/>
          <w:szCs w:val="18"/>
        </w:rPr>
        <w:t xml:space="preserve"> AIHW—MoC NBPDS.</w:t>
      </w:r>
      <w:r w:rsidRPr="002A689D">
        <w:rPr>
          <w:rFonts w:cstheme="minorHAnsi"/>
          <w:iCs/>
          <w:sz w:val="18"/>
          <w:szCs w:val="18"/>
        </w:rPr>
        <w:t xml:space="preserve"> Data tables for Maternity models of care in Australia, 2022</w:t>
      </w:r>
      <w:r w:rsidRPr="002A689D">
        <w:rPr>
          <w:rFonts w:cstheme="minorHAnsi"/>
          <w:iCs/>
          <w:sz w:val="18"/>
          <w:szCs w:val="18"/>
        </w:rPr>
        <w:tab/>
      </w:r>
    </w:p>
    <w:p w14:paraId="65DA4893" w14:textId="41753787" w:rsidR="002A689D" w:rsidRPr="002A689D" w:rsidRDefault="002A689D" w:rsidP="002A689D">
      <w:pPr>
        <w:rPr>
          <w:rFonts w:cstheme="minorHAnsi"/>
          <w:color w:val="262626"/>
          <w:sz w:val="18"/>
          <w:szCs w:val="18"/>
        </w:rPr>
      </w:pPr>
      <w:r w:rsidRPr="002A689D">
        <w:rPr>
          <w:rFonts w:cstheme="minorHAnsi"/>
          <w:iCs/>
          <w:sz w:val="18"/>
          <w:szCs w:val="18"/>
        </w:rPr>
        <w:t>AIHW Data notes:</w:t>
      </w:r>
      <w:r w:rsidRPr="002A689D">
        <w:rPr>
          <w:rFonts w:cstheme="minorHAnsi"/>
          <w:i/>
          <w:iCs/>
          <w:sz w:val="18"/>
          <w:szCs w:val="18"/>
        </w:rPr>
        <w:t xml:space="preserve"> Continuity of carer </w:t>
      </w:r>
      <w:r w:rsidRPr="002A689D">
        <w:rPr>
          <w:rFonts w:cstheme="minorHAnsi"/>
          <w:sz w:val="18"/>
          <w:szCs w:val="18"/>
        </w:rPr>
        <w:t xml:space="preserve">is a measure of the one-to-one care provided by the same named caregiver across the antenatal, intrapartum and postnatal periods; Other includes where there is continuity of carer in the antenatal and intrapartum periods only, or the intrapartum and postpartum periods only; </w:t>
      </w:r>
      <w:r w:rsidRPr="002A689D">
        <w:rPr>
          <w:rFonts w:cstheme="minorHAnsi"/>
          <w:color w:val="262626"/>
          <w:sz w:val="18"/>
          <w:szCs w:val="18"/>
        </w:rPr>
        <w:t xml:space="preserve">Analyses are based on the number of </w:t>
      </w:r>
      <w:r w:rsidRPr="002A689D">
        <w:rPr>
          <w:rFonts w:cstheme="minorHAnsi"/>
          <w:i/>
          <w:iCs/>
          <w:color w:val="262626"/>
          <w:sz w:val="18"/>
          <w:szCs w:val="18"/>
        </w:rPr>
        <w:t xml:space="preserve">active </w:t>
      </w:r>
      <w:r w:rsidRPr="002A689D">
        <w:rPr>
          <w:rFonts w:cstheme="minorHAnsi"/>
          <w:color w:val="262626"/>
          <w:sz w:val="18"/>
          <w:szCs w:val="18"/>
        </w:rPr>
        <w:t xml:space="preserve">models of care in the MoC NBPDS, </w:t>
      </w:r>
      <w:r w:rsidR="00EE1289">
        <w:rPr>
          <w:rFonts w:cstheme="minorHAnsi"/>
          <w:color w:val="262626"/>
          <w:sz w:val="18"/>
          <w:szCs w:val="18"/>
        </w:rPr>
        <w:t xml:space="preserve">as </w:t>
      </w:r>
      <w:r w:rsidRPr="002A689D">
        <w:rPr>
          <w:rFonts w:cstheme="minorHAnsi"/>
          <w:color w:val="262626"/>
          <w:sz w:val="18"/>
          <w:szCs w:val="18"/>
        </w:rPr>
        <w:t xml:space="preserve">at 30 April 2022. </w:t>
      </w:r>
      <w:r w:rsidRPr="002A689D">
        <w:rPr>
          <w:rFonts w:cstheme="minorHAnsi"/>
          <w:i/>
          <w:iCs/>
          <w:color w:val="262626"/>
          <w:sz w:val="18"/>
          <w:szCs w:val="18"/>
        </w:rPr>
        <w:t xml:space="preserve">Active </w:t>
      </w:r>
      <w:r w:rsidRPr="002A689D">
        <w:rPr>
          <w:rFonts w:cstheme="minorHAnsi"/>
          <w:color w:val="262626"/>
          <w:sz w:val="18"/>
          <w:szCs w:val="18"/>
        </w:rPr>
        <w:t xml:space="preserve">models are those in use at a maternity service. </w:t>
      </w:r>
      <w:r w:rsidRPr="002A689D">
        <w:rPr>
          <w:rFonts w:cstheme="minorHAnsi"/>
          <w:color w:val="262626"/>
          <w:sz w:val="18"/>
          <w:szCs w:val="18"/>
        </w:rPr>
        <w:tab/>
      </w:r>
    </w:p>
    <w:p w14:paraId="747AEBAE" w14:textId="77777777" w:rsidR="00B816AD" w:rsidRDefault="00B816AD" w:rsidP="004D09DA">
      <w:pPr>
        <w:tabs>
          <w:tab w:val="left" w:pos="2683"/>
          <w:tab w:val="left" w:pos="3575"/>
          <w:tab w:val="left" w:pos="4467"/>
          <w:tab w:val="left" w:pos="5359"/>
          <w:tab w:val="left" w:pos="6251"/>
          <w:tab w:val="left" w:pos="7143"/>
          <w:tab w:val="left" w:pos="8034"/>
          <w:tab w:val="left" w:pos="8935"/>
          <w:tab w:val="left" w:pos="9752"/>
        </w:tabs>
        <w:spacing w:after="120"/>
      </w:pPr>
    </w:p>
    <w:p w14:paraId="12D160E4" w14:textId="40C3E4A2" w:rsidR="007F7825" w:rsidRDefault="007F7825" w:rsidP="004D09DA">
      <w:pPr>
        <w:tabs>
          <w:tab w:val="left" w:pos="2683"/>
          <w:tab w:val="left" w:pos="3575"/>
          <w:tab w:val="left" w:pos="4467"/>
          <w:tab w:val="left" w:pos="5359"/>
          <w:tab w:val="left" w:pos="6251"/>
          <w:tab w:val="left" w:pos="7143"/>
          <w:tab w:val="left" w:pos="8034"/>
          <w:tab w:val="left" w:pos="8935"/>
          <w:tab w:val="left" w:pos="9752"/>
        </w:tabs>
        <w:spacing w:after="120"/>
      </w:pPr>
      <w:r>
        <w:t xml:space="preserve">The Medicare Benefits Schedule </w:t>
      </w:r>
      <w:r w:rsidR="00EA772B">
        <w:t xml:space="preserve">(MBS) </w:t>
      </w:r>
      <w:r>
        <w:t xml:space="preserve">includes a range of </w:t>
      </w:r>
      <w:r w:rsidR="00181653">
        <w:t>items by</w:t>
      </w:r>
      <w:r>
        <w:t xml:space="preserve"> participating midwives</w:t>
      </w:r>
      <w:r w:rsidR="00181653">
        <w:t>, that is, midwives endorsed by the Nursing and Midwifery Board of Australia who work in a collaborative arrangement as defined in legislation. These items were introduced in 2010 and a summary included in this report at the request of the Department.</w:t>
      </w:r>
    </w:p>
    <w:p w14:paraId="0C862225" w14:textId="3DFE0332" w:rsidR="006C08F7" w:rsidRDefault="00181653" w:rsidP="004D09DA">
      <w:pPr>
        <w:tabs>
          <w:tab w:val="left" w:pos="2683"/>
          <w:tab w:val="left" w:pos="3575"/>
          <w:tab w:val="left" w:pos="4467"/>
          <w:tab w:val="left" w:pos="5359"/>
          <w:tab w:val="left" w:pos="6251"/>
          <w:tab w:val="left" w:pos="7143"/>
          <w:tab w:val="left" w:pos="8034"/>
          <w:tab w:val="left" w:pos="8935"/>
          <w:tab w:val="left" w:pos="9752"/>
        </w:tabs>
        <w:spacing w:after="120"/>
      </w:pPr>
      <w:r>
        <w:t>Since 2010, the volume of services provided under the antenatal and postnatal MBS items</w:t>
      </w:r>
      <w:r w:rsidR="00D42500">
        <w:t xml:space="preserve"> for participating midwives</w:t>
      </w:r>
      <w:r>
        <w:t xml:space="preserve"> has steadily increased, most rapidly during 2020</w:t>
      </w:r>
      <w:r w:rsidR="004D09DA">
        <w:t xml:space="preserve"> (</w:t>
      </w:r>
      <w:r w:rsidR="004D09DA" w:rsidRPr="006C08F7">
        <w:rPr>
          <w:szCs w:val="22"/>
        </w:rPr>
        <w:fldChar w:fldCharType="begin"/>
      </w:r>
      <w:r w:rsidR="004D09DA" w:rsidRPr="006C08F7">
        <w:rPr>
          <w:szCs w:val="22"/>
        </w:rPr>
        <w:instrText xml:space="preserve"> REF _Ref117206451 \h </w:instrText>
      </w:r>
      <w:r w:rsidR="006C08F7">
        <w:rPr>
          <w:szCs w:val="22"/>
        </w:rPr>
        <w:instrText xml:space="preserve"> \* MERGEFORMAT </w:instrText>
      </w:r>
      <w:r w:rsidR="004D09DA" w:rsidRPr="006C08F7">
        <w:rPr>
          <w:szCs w:val="22"/>
        </w:rPr>
      </w:r>
      <w:r w:rsidR="004D09DA" w:rsidRPr="006C08F7">
        <w:rPr>
          <w:szCs w:val="22"/>
        </w:rPr>
        <w:fldChar w:fldCharType="separate"/>
      </w:r>
      <w:r w:rsidR="00296988" w:rsidRPr="00296988">
        <w:t xml:space="preserve">Figure </w:t>
      </w:r>
      <w:r w:rsidR="00296988" w:rsidRPr="00296988">
        <w:rPr>
          <w:noProof/>
        </w:rPr>
        <w:t>25</w:t>
      </w:r>
      <w:r w:rsidR="004D09DA" w:rsidRPr="006C08F7">
        <w:rPr>
          <w:szCs w:val="22"/>
        </w:rPr>
        <w:fldChar w:fldCharType="end"/>
      </w:r>
      <w:r w:rsidR="004D09DA">
        <w:t>)</w:t>
      </w:r>
      <w:r>
        <w:t>. In the financial year 2021/22 there were 114,705 antenatal services and 64,245 postnatal services</w:t>
      </w:r>
      <w:r w:rsidRPr="00AF134C">
        <w:t xml:space="preserve"> </w:t>
      </w:r>
      <w:r>
        <w:t>recorded. Other MBS items billed by participating midwives included management of labour and video consultations. These remain less frequent, amounting to 921 and 810 services respectively in 2021/22.</w:t>
      </w:r>
    </w:p>
    <w:p w14:paraId="7A815362" w14:textId="7CB9E4F8" w:rsidR="00181653" w:rsidRPr="006C08F7" w:rsidRDefault="00181653" w:rsidP="00181653">
      <w:pPr>
        <w:pStyle w:val="Caption"/>
        <w:rPr>
          <w:sz w:val="20"/>
          <w:szCs w:val="20"/>
        </w:rPr>
      </w:pPr>
      <w:bookmarkStart w:id="362" w:name="_Ref117206451"/>
      <w:bookmarkStart w:id="363" w:name="_Toc121415191"/>
      <w:r w:rsidRPr="006C08F7">
        <w:rPr>
          <w:sz w:val="20"/>
          <w:szCs w:val="20"/>
        </w:rPr>
        <w:t xml:space="preserve">Figure </w:t>
      </w:r>
      <w:r w:rsidR="00A64FC5" w:rsidRPr="006C08F7">
        <w:rPr>
          <w:sz w:val="20"/>
          <w:szCs w:val="20"/>
        </w:rPr>
        <w:fldChar w:fldCharType="begin"/>
      </w:r>
      <w:r w:rsidR="00A64FC5" w:rsidRPr="006C08F7">
        <w:rPr>
          <w:sz w:val="20"/>
          <w:szCs w:val="20"/>
        </w:rPr>
        <w:instrText xml:space="preserve"> SEQ Figure \* ARABIC </w:instrText>
      </w:r>
      <w:r w:rsidR="00A64FC5" w:rsidRPr="006C08F7">
        <w:rPr>
          <w:sz w:val="20"/>
          <w:szCs w:val="20"/>
        </w:rPr>
        <w:fldChar w:fldCharType="separate"/>
      </w:r>
      <w:r w:rsidR="00296988">
        <w:rPr>
          <w:noProof/>
          <w:sz w:val="20"/>
          <w:szCs w:val="20"/>
        </w:rPr>
        <w:t>25</w:t>
      </w:r>
      <w:r w:rsidR="00A64FC5" w:rsidRPr="006C08F7">
        <w:rPr>
          <w:noProof/>
          <w:sz w:val="20"/>
          <w:szCs w:val="20"/>
        </w:rPr>
        <w:fldChar w:fldCharType="end"/>
      </w:r>
      <w:bookmarkEnd w:id="362"/>
      <w:r w:rsidRPr="006C08F7">
        <w:rPr>
          <w:sz w:val="20"/>
          <w:szCs w:val="20"/>
        </w:rPr>
        <w:tab/>
        <w:t>Attendances by participating midwives, 2010-2022</w:t>
      </w:r>
      <w:bookmarkEnd w:id="363"/>
    </w:p>
    <w:p w14:paraId="4E68C3BC" w14:textId="77777777" w:rsidR="00181653" w:rsidRDefault="00181653" w:rsidP="00181653">
      <w:r>
        <w:rPr>
          <w:noProof/>
        </w:rPr>
        <w:drawing>
          <wp:inline distT="0" distB="0" distL="0" distR="0" wp14:anchorId="7571553F" wp14:editId="4825AC09">
            <wp:extent cx="6457950" cy="2190750"/>
            <wp:effectExtent l="0" t="0" r="0" b="0"/>
            <wp:docPr id="2" name="Chart 2" descr="Chart shows the volume of services provided under MBS items for participating midwives as steadily increased between 2010 to 2022., with a rapid increase seen during the year 2020. ">
              <a:extLst xmlns:a="http://schemas.openxmlformats.org/drawingml/2006/main">
                <a:ext uri="{FF2B5EF4-FFF2-40B4-BE49-F238E27FC236}">
                  <a16:creationId xmlns:a16="http://schemas.microsoft.com/office/drawing/2014/main" id="{5AD89344-B686-419C-8843-84C43E907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7F70674" w14:textId="60DBB07E" w:rsidR="00181653" w:rsidRDefault="00181653" w:rsidP="00181653">
      <w:pPr>
        <w:rPr>
          <w:rFonts w:cstheme="minorHAnsi"/>
          <w:iCs/>
          <w:sz w:val="18"/>
          <w:szCs w:val="18"/>
        </w:rPr>
      </w:pPr>
      <w:r>
        <w:rPr>
          <w:rFonts w:cstheme="minorHAnsi"/>
          <w:iCs/>
          <w:sz w:val="18"/>
          <w:szCs w:val="18"/>
        </w:rPr>
        <w:t>Data s</w:t>
      </w:r>
      <w:r w:rsidRPr="00254161">
        <w:rPr>
          <w:rFonts w:cstheme="minorHAnsi"/>
          <w:iCs/>
          <w:sz w:val="18"/>
          <w:szCs w:val="18"/>
        </w:rPr>
        <w:t>ource:</w:t>
      </w:r>
      <w:r w:rsidRPr="00254161">
        <w:rPr>
          <w:rFonts w:cstheme="minorHAnsi"/>
          <w:sz w:val="18"/>
          <w:szCs w:val="18"/>
        </w:rPr>
        <w:t xml:space="preserve"> </w:t>
      </w:r>
      <w:r>
        <w:rPr>
          <w:rFonts w:cstheme="minorHAnsi"/>
          <w:sz w:val="18"/>
          <w:szCs w:val="18"/>
        </w:rPr>
        <w:t>Services Australia, Medicare item reports</w:t>
      </w:r>
    </w:p>
    <w:p w14:paraId="7287A675" w14:textId="1CF9E9C1" w:rsidR="004D09DA" w:rsidRPr="00254161" w:rsidRDefault="004D09DA" w:rsidP="00181653">
      <w:pPr>
        <w:rPr>
          <w:rFonts w:cstheme="minorHAnsi"/>
          <w:sz w:val="18"/>
          <w:szCs w:val="18"/>
        </w:rPr>
      </w:pPr>
      <w:r>
        <w:rPr>
          <w:rFonts w:cstheme="minorHAnsi"/>
          <w:iCs/>
          <w:sz w:val="18"/>
          <w:szCs w:val="18"/>
        </w:rPr>
        <w:t>Data notes: Antenatal attendances include items 82100, 82105, 82110, 82115; Postnatal attendances include items 82130, 82135, 82140; management of labour attendances include items 82118, 82120, 82123, 82127; Video consultation attendances include items 82150, 82151, 82151.</w:t>
      </w:r>
    </w:p>
    <w:p w14:paraId="10832AB5" w14:textId="77777777" w:rsidR="00181653" w:rsidRDefault="00181653" w:rsidP="004E1FE9">
      <w:pPr>
        <w:pStyle w:val="Bullets"/>
        <w:numPr>
          <w:ilvl w:val="0"/>
          <w:numId w:val="0"/>
        </w:numPr>
        <w:spacing w:before="0"/>
        <w:rPr>
          <w:rFonts w:cstheme="minorHAnsi"/>
          <w:color w:val="212529"/>
          <w:szCs w:val="22"/>
          <w:lang w:val="en-US"/>
        </w:rPr>
      </w:pPr>
    </w:p>
    <w:p w14:paraId="2B213B39" w14:textId="790687CB" w:rsidR="004D09DA" w:rsidRDefault="004D09DA" w:rsidP="004D09DA">
      <w:pPr>
        <w:tabs>
          <w:tab w:val="left" w:pos="2683"/>
          <w:tab w:val="left" w:pos="3575"/>
          <w:tab w:val="left" w:pos="4467"/>
          <w:tab w:val="left" w:pos="5359"/>
          <w:tab w:val="left" w:pos="6251"/>
          <w:tab w:val="left" w:pos="7143"/>
          <w:tab w:val="left" w:pos="8034"/>
          <w:tab w:val="left" w:pos="8935"/>
          <w:tab w:val="left" w:pos="9752"/>
        </w:tabs>
      </w:pPr>
      <w:r>
        <w:t>In response to the COVID-19 pandemic, new MBS items for short (up to 40 minutes) or long (at least 40 minutes) t</w:t>
      </w:r>
      <w:r w:rsidRPr="00A65023">
        <w:t xml:space="preserve">elehealth </w:t>
      </w:r>
      <w:r>
        <w:t>or</w:t>
      </w:r>
      <w:r w:rsidRPr="00A65023">
        <w:t xml:space="preserve"> phone attendances by participating midwifes</w:t>
      </w:r>
      <w:r>
        <w:t xml:space="preserve"> were introduced. The volume of services provided under these items has increased over time. However, total numbers remain relatively low compared to the number of women giving birth annually. In 2021/22, the most services were in short antenatal t</w:t>
      </w:r>
      <w:r w:rsidRPr="00BF5F3D">
        <w:t xml:space="preserve">elehealth </w:t>
      </w:r>
      <w:r>
        <w:t xml:space="preserve">/ </w:t>
      </w:r>
      <w:r w:rsidRPr="00BF5F3D">
        <w:t xml:space="preserve">phone attendances by participating midwifes </w:t>
      </w:r>
      <w:r>
        <w:t>(17,549) and the least in long postnatal care (4,828).</w:t>
      </w:r>
    </w:p>
    <w:p w14:paraId="24A9BC88" w14:textId="1418A819" w:rsidR="004D09DA" w:rsidRPr="006C08F7" w:rsidRDefault="004D09DA" w:rsidP="004D09DA">
      <w:pPr>
        <w:pStyle w:val="Caption"/>
        <w:rPr>
          <w:sz w:val="20"/>
          <w:szCs w:val="20"/>
        </w:rPr>
      </w:pPr>
      <w:bookmarkStart w:id="364" w:name="_Toc121415192"/>
      <w:r w:rsidRPr="006C08F7">
        <w:rPr>
          <w:sz w:val="20"/>
          <w:szCs w:val="20"/>
        </w:rPr>
        <w:lastRenderedPageBreak/>
        <w:t xml:space="preserve">Figure </w:t>
      </w:r>
      <w:r w:rsidR="00A64FC5" w:rsidRPr="006C08F7">
        <w:rPr>
          <w:sz w:val="20"/>
          <w:szCs w:val="20"/>
        </w:rPr>
        <w:fldChar w:fldCharType="begin"/>
      </w:r>
      <w:r w:rsidR="00A64FC5" w:rsidRPr="006C08F7">
        <w:rPr>
          <w:sz w:val="20"/>
          <w:szCs w:val="20"/>
        </w:rPr>
        <w:instrText xml:space="preserve"> SEQ Figure \* ARABIC </w:instrText>
      </w:r>
      <w:r w:rsidR="00A64FC5" w:rsidRPr="006C08F7">
        <w:rPr>
          <w:sz w:val="20"/>
          <w:szCs w:val="20"/>
        </w:rPr>
        <w:fldChar w:fldCharType="separate"/>
      </w:r>
      <w:r w:rsidR="00296988">
        <w:rPr>
          <w:noProof/>
          <w:sz w:val="20"/>
          <w:szCs w:val="20"/>
        </w:rPr>
        <w:t>26</w:t>
      </w:r>
      <w:r w:rsidR="00A64FC5" w:rsidRPr="006C08F7">
        <w:rPr>
          <w:noProof/>
          <w:sz w:val="20"/>
          <w:szCs w:val="20"/>
        </w:rPr>
        <w:fldChar w:fldCharType="end"/>
      </w:r>
      <w:r w:rsidRPr="006C08F7">
        <w:rPr>
          <w:sz w:val="20"/>
          <w:szCs w:val="20"/>
        </w:rPr>
        <w:tab/>
      </w:r>
      <w:bookmarkStart w:id="365" w:name="_Hlk117210431"/>
      <w:r w:rsidRPr="006C08F7">
        <w:rPr>
          <w:sz w:val="20"/>
          <w:szCs w:val="20"/>
        </w:rPr>
        <w:t>Telehealth and phone attendances by participating midwives</w:t>
      </w:r>
      <w:bookmarkEnd w:id="365"/>
      <w:r w:rsidRPr="006C08F7">
        <w:rPr>
          <w:sz w:val="20"/>
          <w:szCs w:val="20"/>
        </w:rPr>
        <w:t>, 2020-2022</w:t>
      </w:r>
      <w:bookmarkEnd w:id="364"/>
    </w:p>
    <w:p w14:paraId="3BA6054C" w14:textId="77777777" w:rsidR="00BE7590" w:rsidRDefault="00BE7590" w:rsidP="004D09DA">
      <w:pPr>
        <w:rPr>
          <w:rFonts w:cstheme="minorHAnsi"/>
          <w:iCs/>
          <w:sz w:val="18"/>
          <w:szCs w:val="18"/>
        </w:rPr>
      </w:pPr>
      <w:bookmarkStart w:id="366" w:name="_Toc117765005"/>
      <w:r>
        <w:rPr>
          <w:noProof/>
        </w:rPr>
        <w:drawing>
          <wp:inline distT="0" distB="0" distL="0" distR="0" wp14:anchorId="63EC9AA4" wp14:editId="3BC9BC3A">
            <wp:extent cx="5860800" cy="1980000"/>
            <wp:effectExtent l="0" t="0" r="6985" b="1270"/>
            <wp:docPr id="29" name="Chart 29" descr="Chart shows ">
              <a:extLst xmlns:a="http://schemas.openxmlformats.org/drawingml/2006/main">
                <a:ext uri="{FF2B5EF4-FFF2-40B4-BE49-F238E27FC236}">
                  <a16:creationId xmlns:a16="http://schemas.microsoft.com/office/drawing/2014/main" id="{C7E378B3-3A76-400F-BB08-25DAB4A0F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84405A5" w14:textId="10EBA858" w:rsidR="004D09DA" w:rsidRDefault="004D09DA" w:rsidP="004D09DA">
      <w:pPr>
        <w:rPr>
          <w:rFonts w:cstheme="minorHAnsi"/>
          <w:iCs/>
          <w:sz w:val="18"/>
          <w:szCs w:val="18"/>
        </w:rPr>
      </w:pPr>
      <w:r>
        <w:rPr>
          <w:rFonts w:cstheme="minorHAnsi"/>
          <w:iCs/>
          <w:sz w:val="18"/>
          <w:szCs w:val="18"/>
        </w:rPr>
        <w:t>Data s</w:t>
      </w:r>
      <w:r w:rsidRPr="00254161">
        <w:rPr>
          <w:rFonts w:cstheme="minorHAnsi"/>
          <w:iCs/>
          <w:sz w:val="18"/>
          <w:szCs w:val="18"/>
        </w:rPr>
        <w:t>ource:</w:t>
      </w:r>
      <w:r w:rsidRPr="00254161">
        <w:rPr>
          <w:rFonts w:cstheme="minorHAnsi"/>
          <w:sz w:val="18"/>
          <w:szCs w:val="18"/>
        </w:rPr>
        <w:t xml:space="preserve"> </w:t>
      </w:r>
      <w:r>
        <w:rPr>
          <w:rFonts w:cstheme="minorHAnsi"/>
          <w:sz w:val="18"/>
          <w:szCs w:val="18"/>
        </w:rPr>
        <w:t>Services Australia, Medicare item reports</w:t>
      </w:r>
    </w:p>
    <w:p w14:paraId="141215E9" w14:textId="14F80E97" w:rsidR="00DE3A5C" w:rsidRDefault="00DE3A5C">
      <w:pPr>
        <w:rPr>
          <w:rFonts w:ascii="Calibri" w:eastAsiaTheme="majorEastAsia" w:hAnsi="Calibri" w:cstheme="majorBidi"/>
          <w:b/>
          <w:bCs/>
          <w:color w:val="0398D7"/>
          <w:sz w:val="28"/>
          <w:szCs w:val="28"/>
        </w:rPr>
      </w:pPr>
      <w:bookmarkStart w:id="367" w:name="_Toc117765001"/>
      <w:r>
        <w:br w:type="page"/>
      </w:r>
    </w:p>
    <w:p w14:paraId="7D0E51EC" w14:textId="5D07ECBE" w:rsidR="00267BD0" w:rsidRDefault="00267BD0" w:rsidP="00267BD0">
      <w:pPr>
        <w:pStyle w:val="Heading1"/>
      </w:pPr>
      <w:bookmarkStart w:id="368" w:name="_Toc121415078"/>
      <w:r>
        <w:lastRenderedPageBreak/>
        <w:t>Monitoring and evaluation of the Strategy</w:t>
      </w:r>
      <w:bookmarkEnd w:id="367"/>
      <w:bookmarkEnd w:id="368"/>
    </w:p>
    <w:p w14:paraId="2969C9BD" w14:textId="77777777" w:rsidR="00267BD0" w:rsidRPr="00650204" w:rsidRDefault="00267BD0" w:rsidP="00267BD0">
      <w:r>
        <w:t xml:space="preserve">This section reports stakeholders’ views regarding the ongoing monitoring and evaluation of the Strategy. Interviewees were asked about the strengths of the current Monitoring and Evaluation Framework (MEF) and opportunities for improvement. The interviews explored the strategic and practical considerations that will need to be considered </w:t>
      </w:r>
      <w:r w:rsidRPr="00650204">
        <w:t>when implementing the MEF</w:t>
      </w:r>
      <w:r>
        <w:t xml:space="preserve"> and priorities for action and measurement</w:t>
      </w:r>
      <w:r w:rsidRPr="00650204">
        <w:t>.</w:t>
      </w:r>
    </w:p>
    <w:p w14:paraId="5A6D2D01" w14:textId="77777777" w:rsidR="00267BD0" w:rsidRPr="00650204" w:rsidRDefault="00267BD0" w:rsidP="00131A2F">
      <w:pPr>
        <w:pStyle w:val="Heading2"/>
      </w:pPr>
      <w:bookmarkStart w:id="369" w:name="_Toc114921546"/>
      <w:bookmarkStart w:id="370" w:name="_Toc115176177"/>
      <w:bookmarkStart w:id="371" w:name="_Toc115240290"/>
      <w:bookmarkStart w:id="372" w:name="_Toc117765002"/>
      <w:bookmarkStart w:id="373" w:name="_Toc121415079"/>
      <w:bookmarkStart w:id="374" w:name="_Toc111997678"/>
      <w:r w:rsidRPr="00650204">
        <w:t>Views of the current monitoring and evaluation framework</w:t>
      </w:r>
      <w:bookmarkEnd w:id="369"/>
      <w:bookmarkEnd w:id="370"/>
      <w:bookmarkEnd w:id="371"/>
      <w:bookmarkEnd w:id="372"/>
      <w:bookmarkEnd w:id="373"/>
    </w:p>
    <w:p w14:paraId="296454EF" w14:textId="32491887" w:rsidR="00267BD0" w:rsidRPr="00650204" w:rsidRDefault="00267BD0" w:rsidP="00267BD0">
      <w:pPr>
        <w:spacing w:after="120"/>
      </w:pPr>
      <w:r w:rsidRPr="00650204">
        <w:t xml:space="preserve">The MEF was seen as having excellent potential for initiating discussions around monitoring and measurement of progress. The evaluation questions </w:t>
      </w:r>
      <w:r>
        <w:t>were</w:t>
      </w:r>
      <w:r w:rsidR="007A6B67">
        <w:t xml:space="preserve"> regarded as </w:t>
      </w:r>
      <w:r w:rsidRPr="00650204">
        <w:t>relevant</w:t>
      </w:r>
      <w:r w:rsidR="007A6B67">
        <w:t>,</w:t>
      </w:r>
      <w:r w:rsidRPr="00650204">
        <w:t xml:space="preserve"> important and comprehensive</w:t>
      </w:r>
      <w:r>
        <w:t>,</w:t>
      </w:r>
      <w:r w:rsidRPr="00650204">
        <w:t xml:space="preserve"> and monitoring regarded as essential. Because of its breadth of focus, the Strategy and accompanying MEF may help align efforts and establish priorities for action and measurement, although stakeholders emphasised the need for </w:t>
      </w:r>
      <w:r>
        <w:t xml:space="preserve">more comprehensive </w:t>
      </w:r>
      <w:r w:rsidRPr="00650204">
        <w:t>baseline data and support to implement both the Strategy and the MEF</w:t>
      </w:r>
      <w:r>
        <w:t>.</w:t>
      </w:r>
    </w:p>
    <w:p w14:paraId="091B18F0" w14:textId="77777777" w:rsidR="00267BD0" w:rsidRPr="00650204" w:rsidRDefault="00267BD0" w:rsidP="00267BD0">
      <w:pPr>
        <w:spacing w:after="120"/>
      </w:pPr>
      <w:r w:rsidRPr="00650204">
        <w:t xml:space="preserve">Numerous stakeholders felt that </w:t>
      </w:r>
      <w:r w:rsidRPr="00650204">
        <w:rPr>
          <w:b/>
        </w:rPr>
        <w:t>targets and metrics could be better defined</w:t>
      </w:r>
      <w:r w:rsidRPr="00650204">
        <w:t xml:space="preserve"> in the Strategy and MEF, along with accountabilities and timelines for responses by jurisdictions and organisations. It was difficult to know whether processes were on track, for instance, whether clinical guidelines had been adopted, whether actions had been completed, or whether sufficient training had been provided to health professionals. Having a clear, specific set of indicators (for outcomes) and thresholds to define success (for processes) would help to assess the national picture more consistently and accurately</w:t>
      </w:r>
      <w:r>
        <w:t>.</w:t>
      </w:r>
    </w:p>
    <w:p w14:paraId="6F9866EE" w14:textId="5EFED883" w:rsidR="00267BD0" w:rsidRDefault="00267BD0" w:rsidP="00267BD0">
      <w:pPr>
        <w:spacing w:after="120"/>
      </w:pPr>
      <w:r>
        <w:t>A</w:t>
      </w:r>
      <w:r w:rsidRPr="00650204">
        <w:t xml:space="preserve">ccording to some stakeholders, reaching agreement on appropriate targets would not be straightforward. Although jurisdictions might endorse the Strategy’s general direction and overarching statements of intent, it may be more difficult to pin stakeholders down to specific targets and areas of responsibility for action and monitoring. The presence of </w:t>
      </w:r>
      <w:r w:rsidRPr="00650204">
        <w:rPr>
          <w:b/>
        </w:rPr>
        <w:t xml:space="preserve">strong, divergent perspectives on what constitutes best practice </w:t>
      </w:r>
      <w:r w:rsidRPr="00650204">
        <w:t xml:space="preserve">in maternity care, and what constitutes acceptable evidence, </w:t>
      </w:r>
      <w:r w:rsidR="00E55384">
        <w:t>may</w:t>
      </w:r>
      <w:r w:rsidRPr="00650204">
        <w:t xml:space="preserve"> complicate the process further.</w:t>
      </w:r>
    </w:p>
    <w:p w14:paraId="44B1BE0F" w14:textId="08357205" w:rsidR="00267BD0" w:rsidRPr="00650204" w:rsidRDefault="00267BD0" w:rsidP="00267BD0">
      <w:pPr>
        <w:spacing w:after="120"/>
      </w:pPr>
      <w:r w:rsidRPr="00650204">
        <w:t xml:space="preserve">In addition to agreement on targets and metrics, it will be necessary to reach consensus on the </w:t>
      </w:r>
      <w:r w:rsidRPr="00650204">
        <w:rPr>
          <w:b/>
        </w:rPr>
        <w:t>transfer and use of jurisdictional data</w:t>
      </w:r>
      <w:r w:rsidRPr="00650204">
        <w:t xml:space="preserve"> in national monitoring. States and territories have differing views on the necessity of maintaining control over health service data versus sharing it freely and contributing to a national data set. </w:t>
      </w:r>
    </w:p>
    <w:p w14:paraId="71D51A31" w14:textId="77777777" w:rsidR="00267BD0" w:rsidRDefault="00267BD0" w:rsidP="00267BD0">
      <w:pPr>
        <w:spacing w:after="120"/>
      </w:pPr>
      <w:r w:rsidRPr="00650204">
        <w:t xml:space="preserve">Another concern raised by stakeholders was whether measurement of performance against the Strategy would be useful (valid) and trustworthy (reliable). This encompassed two issues. First, stakeholders want to see </w:t>
      </w:r>
      <w:r w:rsidRPr="00650204">
        <w:rPr>
          <w:b/>
        </w:rPr>
        <w:t>meaningful targets</w:t>
      </w:r>
      <w:r w:rsidRPr="00650204">
        <w:t xml:space="preserve"> that provide information to guide service development</w:t>
      </w:r>
      <w:r>
        <w:t>, using a</w:t>
      </w:r>
      <w:r w:rsidRPr="00650204">
        <w:t xml:space="preserve"> combination of quantitative and qualitative measurement approaches.</w:t>
      </w:r>
      <w:r>
        <w:t xml:space="preserve"> </w:t>
      </w:r>
      <w:r w:rsidRPr="00650204">
        <w:t xml:space="preserve">Second, stakeholders want assurance that </w:t>
      </w:r>
      <w:r w:rsidRPr="00650204">
        <w:rPr>
          <w:b/>
        </w:rPr>
        <w:t>comparisons of performance</w:t>
      </w:r>
      <w:r w:rsidRPr="00650204">
        <w:t xml:space="preserve"> against the targets will consider relevant differences among services, jurisdictions, and population characteristics.</w:t>
      </w:r>
    </w:p>
    <w:p w14:paraId="175AB45A" w14:textId="3FA7DCE8" w:rsidR="00267BD0" w:rsidRDefault="00267BD0" w:rsidP="00267BD0">
      <w:pPr>
        <w:spacing w:after="120"/>
      </w:pPr>
      <w:r>
        <w:t xml:space="preserve">Stakeholders acknowledged the challenges associated with </w:t>
      </w:r>
      <w:r w:rsidRPr="00167A17">
        <w:rPr>
          <w:b/>
        </w:rPr>
        <w:t>obtaining complete, timely data</w:t>
      </w:r>
      <w:r>
        <w:t xml:space="preserve"> for the full range of activities in the Strategy. Often, there is no single source of information on the services provided or the outcomes achieved so understanding whether services are meeting women’s needs requires piecing together data from a variety of disparate datasets. However, some of these datasets do not contain items that would indicate the consumer is pregnant or receiving care in the year after birth. This is especially the case for data related to mental health </w:t>
      </w:r>
      <w:r w:rsidR="008017FB">
        <w:t>and psychosocial risk and protective factors</w:t>
      </w:r>
      <w:r>
        <w:t xml:space="preserve">, and for outcomes that extend beyond 42 days following </w:t>
      </w:r>
      <w:r w:rsidR="008017FB">
        <w:t>the end of pregnancy</w:t>
      </w:r>
      <w:r>
        <w:t>, including maternal deaths. In order to implement the MEF, the practical challenges relating to data capture and capacity to capitalise on existing data will need to be addressed as a national priority.</w:t>
      </w:r>
    </w:p>
    <w:p w14:paraId="0DC59F90" w14:textId="77777777" w:rsidR="00267BD0" w:rsidRDefault="00267BD0" w:rsidP="00131A2F">
      <w:pPr>
        <w:pStyle w:val="Heading2"/>
      </w:pPr>
      <w:bookmarkStart w:id="375" w:name="_Toc111997679"/>
      <w:bookmarkStart w:id="376" w:name="_Toc114921547"/>
      <w:bookmarkStart w:id="377" w:name="_Toc115176178"/>
      <w:bookmarkStart w:id="378" w:name="_Toc115240291"/>
      <w:bookmarkStart w:id="379" w:name="_Toc117765003"/>
      <w:bookmarkStart w:id="380" w:name="_Toc121415080"/>
      <w:bookmarkEnd w:id="374"/>
      <w:r>
        <w:t>Strategic and practical considerations</w:t>
      </w:r>
      <w:bookmarkEnd w:id="375"/>
      <w:bookmarkEnd w:id="376"/>
      <w:bookmarkEnd w:id="377"/>
      <w:bookmarkEnd w:id="378"/>
      <w:bookmarkEnd w:id="379"/>
      <w:bookmarkEnd w:id="380"/>
    </w:p>
    <w:p w14:paraId="718719FF" w14:textId="77777777" w:rsidR="00267BD0" w:rsidRPr="00650204" w:rsidRDefault="00267BD0" w:rsidP="00131A2F">
      <w:pPr>
        <w:pStyle w:val="Heading3"/>
      </w:pPr>
      <w:r w:rsidRPr="00650204">
        <w:t>National leadership</w:t>
      </w:r>
    </w:p>
    <w:p w14:paraId="66FD3ECD" w14:textId="53864DE4" w:rsidR="00267BD0" w:rsidRDefault="00E85641" w:rsidP="00267BD0">
      <w:pPr>
        <w:spacing w:after="120"/>
      </w:pPr>
      <w:r w:rsidRPr="00C24842">
        <w:t xml:space="preserve">Stakeholders expressed a desire for national leadership </w:t>
      </w:r>
      <w:r w:rsidR="00267BD0" w:rsidRPr="00C24842">
        <w:t xml:space="preserve">in shaping and guiding the implementation of the Strategy’s MEF. </w:t>
      </w:r>
      <w:r w:rsidR="00966C4C" w:rsidRPr="00C24842">
        <w:t>There was a perceived need for discussion and agreement around r</w:t>
      </w:r>
      <w:r w:rsidR="00267BD0" w:rsidRPr="00C24842">
        <w:t xml:space="preserve">efining targets and metrics </w:t>
      </w:r>
      <w:r w:rsidR="00267BD0" w:rsidRPr="00C24842">
        <w:lastRenderedPageBreak/>
        <w:t xml:space="preserve">for monitoring and negotiating access to datasets, </w:t>
      </w:r>
      <w:r w:rsidR="00966C4C" w:rsidRPr="00C24842">
        <w:t xml:space="preserve">both to </w:t>
      </w:r>
      <w:r w:rsidR="00267BD0" w:rsidRPr="00C24842">
        <w:t>address barriers to implementation, and</w:t>
      </w:r>
      <w:r w:rsidR="00966C4C" w:rsidRPr="00C24842">
        <w:t xml:space="preserve"> to</w:t>
      </w:r>
      <w:r w:rsidR="00267BD0" w:rsidRPr="00C24842">
        <w:t xml:space="preserve"> bring the Strategy into sharper focus as a priority for action.</w:t>
      </w:r>
    </w:p>
    <w:p w14:paraId="1C5F1F5C" w14:textId="4184D394" w:rsidR="00267BD0" w:rsidRPr="00650204" w:rsidRDefault="00267BD0" w:rsidP="00267BD0">
      <w:pPr>
        <w:spacing w:after="120"/>
      </w:pPr>
      <w:r w:rsidRPr="00650204">
        <w:t>The implementation plan will need to consider the varying spheres of influence for different stakeholder groups. Another task will be to establish lines of accountability for the implementation of the MEF.</w:t>
      </w:r>
      <w:r w:rsidR="00966C4C">
        <w:t xml:space="preserve"> Guidance and oversight (for example, from a group such as the Senior Officials Group or similar) will be required to coordinate and harmonise efforts by all jurisdictions towards shared goals.</w:t>
      </w:r>
    </w:p>
    <w:p w14:paraId="0842BA95" w14:textId="0F1E80A2" w:rsidR="00267BD0" w:rsidRDefault="00267BD0" w:rsidP="00267BD0">
      <w:pPr>
        <w:spacing w:after="120"/>
      </w:pPr>
      <w:r w:rsidRPr="00650204">
        <w:t xml:space="preserve">Although jurisdictions and peak groups have agreed to the general principles of the Strategy, it does not appear to have stimulated responses </w:t>
      </w:r>
      <w:r w:rsidR="00966C4C">
        <w:t xml:space="preserve">by the states and territories </w:t>
      </w:r>
      <w:r w:rsidRPr="00650204">
        <w:t>to the extent hoped for. Stakeholders attributed this to competing priorities</w:t>
      </w:r>
      <w:r w:rsidR="00966C4C">
        <w:t>, particularly around the COVID-19 pandemic and resulting resource and workforce constraints. One action that could help build momentum for the Strategy is to agree on</w:t>
      </w:r>
      <w:r w:rsidRPr="00650204">
        <w:t xml:space="preserve"> specific, measurable targets</w:t>
      </w:r>
      <w:r w:rsidR="00966C4C">
        <w:t xml:space="preserve"> for implementation</w:t>
      </w:r>
      <w:r w:rsidRPr="00650204">
        <w:t xml:space="preserve">. </w:t>
      </w:r>
      <w:r w:rsidR="00966C4C">
        <w:t>Stakeholders expressed the view that e</w:t>
      </w:r>
      <w:r w:rsidRPr="00650204">
        <w:t xml:space="preserve">stablishing agreement around such targets – and timelines for achieving them </w:t>
      </w:r>
      <w:r>
        <w:t>–</w:t>
      </w:r>
      <w:r w:rsidRPr="00650204">
        <w:t xml:space="preserve"> </w:t>
      </w:r>
      <w:r w:rsidR="00966C4C">
        <w:t>was</w:t>
      </w:r>
      <w:r w:rsidRPr="00650204">
        <w:t xml:space="preserve"> a crucial step towards implementing the MEF.</w:t>
      </w:r>
    </w:p>
    <w:p w14:paraId="02FC956A" w14:textId="203974C9" w:rsidR="00267BD0" w:rsidRDefault="00267BD0" w:rsidP="00267BD0">
      <w:pPr>
        <w:spacing w:after="120"/>
      </w:pPr>
      <w:r>
        <w:t>S</w:t>
      </w:r>
      <w:r w:rsidRPr="00650204">
        <w:t xml:space="preserve">pecific targets may be easier to translate into concrete, operational directives and targeted investments, particularly in workforce planning, which many stakeholders agree is </w:t>
      </w:r>
      <w:r w:rsidR="00966C4C">
        <w:t>essential</w:t>
      </w:r>
      <w:r w:rsidR="00966C4C" w:rsidRPr="00650204">
        <w:t xml:space="preserve"> </w:t>
      </w:r>
      <w:r w:rsidRPr="00650204">
        <w:t>to implementation of enabling activities.</w:t>
      </w:r>
      <w:r>
        <w:t xml:space="preserve"> </w:t>
      </w:r>
      <w:r w:rsidRPr="00650204">
        <w:t xml:space="preserve">Process measures </w:t>
      </w:r>
      <w:r w:rsidR="00FD64B8">
        <w:t xml:space="preserve">for monitoring and evaluation </w:t>
      </w:r>
      <w:r w:rsidRPr="00650204">
        <w:t>could include examining how the Strategy has been embedded in policy, service planning and service delivery across jurisdictions, with clear responsibilities for implementation.</w:t>
      </w:r>
    </w:p>
    <w:p w14:paraId="2EFCA839" w14:textId="77777777" w:rsidR="00267BD0" w:rsidRPr="00650204" w:rsidRDefault="00267BD0" w:rsidP="00131A2F">
      <w:pPr>
        <w:pStyle w:val="Heading3"/>
      </w:pPr>
      <w:r w:rsidRPr="00650204">
        <w:t>Data collection</w:t>
      </w:r>
    </w:p>
    <w:p w14:paraId="2DCE6CB3" w14:textId="77777777" w:rsidR="00267BD0" w:rsidRDefault="00267BD0" w:rsidP="00267BD0">
      <w:r>
        <w:t>One of the major practical considerations is gaining access to data across jurisdictions to enable national tracking of progress towards improving service delivery and outcomes. A common view was that this will not be an easy or straightforward task. Considerable work on the development of data systems is required before ongoing monitoring and evaluation of the Strategy can be implemented successfully. In addition, jurisdictional sensitivities around the sharing of data will need to be addressed carefully and the benefits demonstrated.</w:t>
      </w:r>
    </w:p>
    <w:p w14:paraId="632CDF46" w14:textId="6BE10AF1" w:rsidR="00267BD0" w:rsidRDefault="008017FB" w:rsidP="00267BD0">
      <w:r>
        <w:t>In addition to data collections commonly used for routine reporting, such as the National Perinatal Data Collection, p</w:t>
      </w:r>
      <w:r w:rsidR="00267BD0">
        <w:t>otential data sources for the MEF identified by stakeholders included:</w:t>
      </w:r>
    </w:p>
    <w:p w14:paraId="4B7E6EE0" w14:textId="77777777" w:rsidR="00267BD0" w:rsidRPr="002160A8" w:rsidRDefault="00267BD0" w:rsidP="00267BD0">
      <w:pPr>
        <w:pStyle w:val="Bullets"/>
        <w:numPr>
          <w:ilvl w:val="0"/>
          <w:numId w:val="10"/>
        </w:numPr>
      </w:pPr>
      <w:r w:rsidRPr="002160A8">
        <w:t>The Maternity Care Classification System and the future inclusion of two of its data elements – primary model of care and model of care at birth – in the National Perinatal Data Collection.</w:t>
      </w:r>
    </w:p>
    <w:p w14:paraId="4C70572C" w14:textId="77777777" w:rsidR="00267BD0" w:rsidRPr="002160A8" w:rsidRDefault="00267BD0" w:rsidP="00267BD0">
      <w:pPr>
        <w:pStyle w:val="Bullets"/>
        <w:numPr>
          <w:ilvl w:val="0"/>
          <w:numId w:val="10"/>
        </w:numPr>
      </w:pPr>
      <w:r w:rsidRPr="002160A8">
        <w:t>Perinatal and maternal mortality collections, the National Coroners Information System, admitted and non-admitted patient collections, Medicare benefits Schedule and Pharmaceutical Benefits Scheme data.</w:t>
      </w:r>
    </w:p>
    <w:p w14:paraId="0CCD1DFC" w14:textId="77777777" w:rsidR="00267BD0" w:rsidRPr="002160A8" w:rsidRDefault="00267BD0" w:rsidP="00267BD0">
      <w:pPr>
        <w:pStyle w:val="Bullets"/>
        <w:numPr>
          <w:ilvl w:val="0"/>
          <w:numId w:val="10"/>
        </w:numPr>
      </w:pPr>
      <w:r w:rsidRPr="002160A8">
        <w:t>National surveys.</w:t>
      </w:r>
    </w:p>
    <w:p w14:paraId="34040EB6" w14:textId="77777777" w:rsidR="00267BD0" w:rsidRPr="002160A8" w:rsidRDefault="00267BD0" w:rsidP="00267BD0">
      <w:pPr>
        <w:pStyle w:val="Bullets"/>
        <w:numPr>
          <w:ilvl w:val="0"/>
          <w:numId w:val="10"/>
        </w:numPr>
      </w:pPr>
      <w:r w:rsidRPr="002160A8">
        <w:t>The proposed digital pregnancy health record and digital child and family health books, which could be used to track some child outcomes in the first few years.</w:t>
      </w:r>
    </w:p>
    <w:p w14:paraId="1AB51E82" w14:textId="77777777" w:rsidR="00267BD0" w:rsidRDefault="00267BD0" w:rsidP="00267BD0">
      <w:pPr>
        <w:spacing w:after="120"/>
      </w:pPr>
      <w:r w:rsidRPr="00650204">
        <w:t>Examining screening rates for typical antenatal tests could help encourage and monitor action, although there are acknowledged issues with the quality and completeness of MBS data which would need to be addressed. Several stakeholders advised that without linkage with primary health care (MBS) data it will be difficult to assess the extent and preventive impacts of GP shared antenatal care and pre-conception care which is likely to help address social determinants of mother and child outcomes.</w:t>
      </w:r>
    </w:p>
    <w:p w14:paraId="31601228" w14:textId="77777777" w:rsidR="00267BD0" w:rsidRDefault="00267BD0" w:rsidP="00267BD0">
      <w:pPr>
        <w:spacing w:after="120"/>
      </w:pPr>
      <w:r w:rsidRPr="00650204">
        <w:t>Wherever possible, measures chosen to implement the MEF should align with those already in use, for example</w:t>
      </w:r>
      <w:r>
        <w:t>:</w:t>
      </w:r>
    </w:p>
    <w:p w14:paraId="4DA55376" w14:textId="77777777" w:rsidR="00267BD0" w:rsidRDefault="00267BD0" w:rsidP="00267BD0">
      <w:pPr>
        <w:pStyle w:val="Bullets"/>
        <w:numPr>
          <w:ilvl w:val="0"/>
          <w:numId w:val="10"/>
        </w:numPr>
      </w:pPr>
      <w:r w:rsidRPr="00650204">
        <w:t>indicators of the ACSQHC clinical care standards</w:t>
      </w:r>
    </w:p>
    <w:p w14:paraId="5A7FA1EB" w14:textId="77777777" w:rsidR="00267BD0" w:rsidRPr="00650204" w:rsidRDefault="00267BD0" w:rsidP="00267BD0">
      <w:pPr>
        <w:pStyle w:val="Bullets"/>
        <w:numPr>
          <w:ilvl w:val="0"/>
          <w:numId w:val="10"/>
        </w:numPr>
      </w:pPr>
      <w:r w:rsidRPr="00650204">
        <w:t xml:space="preserve">indicators chosen for other relevant strategies and action plans for Australian maternity services (notably the </w:t>
      </w:r>
      <w:r w:rsidRPr="00650204">
        <w:rPr>
          <w:i/>
        </w:rPr>
        <w:t>National Stillbirth Action and Implementation Plan Monitoring and Evaluation Strategy</w:t>
      </w:r>
      <w:r w:rsidRPr="00650204">
        <w:t>).</w:t>
      </w:r>
    </w:p>
    <w:p w14:paraId="6D739C38" w14:textId="77777777" w:rsidR="00267BD0" w:rsidRPr="00650204" w:rsidRDefault="00267BD0" w:rsidP="00267BD0">
      <w:pPr>
        <w:spacing w:after="120"/>
      </w:pPr>
      <w:r w:rsidRPr="00650204">
        <w:t xml:space="preserve">To maximise the utility of existing datasets, including in data linkage, consideration should be given to the inclusion of data items which will enable researchers to examine outcomes for at-risk population groups (with appropriate provisions for the protection of privacy and confidentiality, cultural engagement, and ethical </w:t>
      </w:r>
      <w:r w:rsidRPr="00650204">
        <w:lastRenderedPageBreak/>
        <w:t>approval). For example, the national core maternity indicators do not currently allow examination of issues around equity of access for all priority populations, an important aspect of the Strategy. Consideration could be given to inclusion of additional indicators, such as mental health comorbidity and outcomes.</w:t>
      </w:r>
    </w:p>
    <w:p w14:paraId="073D071C" w14:textId="574203C2" w:rsidR="00267BD0" w:rsidRPr="00650204" w:rsidRDefault="00267BD0" w:rsidP="00267BD0">
      <w:pPr>
        <w:spacing w:after="120"/>
      </w:pPr>
      <w:r w:rsidRPr="00650204">
        <w:t>If new data collections are proposed for monitoring and evaluation, stakeholders would like to see the burden of data collection taken into consideration, so that data capture mechanisms are easy to use, accessible, and not onerous. A variety of data collection methods are seen as desirable, with attention to ensuring that data capture is representative of diverse populations</w:t>
      </w:r>
      <w:r>
        <w:t xml:space="preserve">, including </w:t>
      </w:r>
      <w:r w:rsidR="0094459C">
        <w:t xml:space="preserve">Aboriginal and Torres Strait Islander </w:t>
      </w:r>
      <w:r w:rsidRPr="00650204">
        <w:t>women</w:t>
      </w:r>
      <w:r>
        <w:t xml:space="preserve">, </w:t>
      </w:r>
      <w:r w:rsidRPr="00650204">
        <w:t xml:space="preserve">those from culturally and linguistically diverse backgrounds, </w:t>
      </w:r>
      <w:r>
        <w:t>t</w:t>
      </w:r>
      <w:r w:rsidRPr="00650204">
        <w:t xml:space="preserve">ransgender </w:t>
      </w:r>
      <w:r w:rsidR="009F3A4A">
        <w:t xml:space="preserve">and gender-diverse </w:t>
      </w:r>
      <w:r w:rsidRPr="00650204">
        <w:t>people and women living with disability or chronic illness.</w:t>
      </w:r>
    </w:p>
    <w:p w14:paraId="4B466CE7" w14:textId="77777777" w:rsidR="00267BD0" w:rsidRPr="00650204" w:rsidRDefault="00267BD0" w:rsidP="00131A2F">
      <w:pPr>
        <w:pStyle w:val="Heading3"/>
      </w:pPr>
      <w:r w:rsidRPr="00650204">
        <w:t>Patient-reported measures</w:t>
      </w:r>
    </w:p>
    <w:p w14:paraId="67CCA871" w14:textId="77777777" w:rsidR="00267BD0" w:rsidRDefault="00267BD0" w:rsidP="00267BD0">
      <w:pPr>
        <w:spacing w:after="120"/>
      </w:pPr>
      <w:r>
        <w:t>S</w:t>
      </w:r>
      <w:r w:rsidRPr="00650204">
        <w:t xml:space="preserve">takeholders </w:t>
      </w:r>
      <w:r>
        <w:t xml:space="preserve">emphasised the need for </w:t>
      </w:r>
      <w:r w:rsidRPr="00650204">
        <w:t xml:space="preserve">measures and metrics </w:t>
      </w:r>
      <w:r>
        <w:t xml:space="preserve">that </w:t>
      </w:r>
      <w:r w:rsidRPr="00650204">
        <w:t xml:space="preserve">are meaningful to women. </w:t>
      </w:r>
      <w:r w:rsidRPr="006A0ED7">
        <w:t>Including qualitative data collection in evaluations was seen by some stakeholders as essential, not just to capture women’s experiences, but also to understand nuanced issues which may not be evident in statistics.</w:t>
      </w:r>
    </w:p>
    <w:p w14:paraId="3166DEAE" w14:textId="282E08AE" w:rsidR="00267BD0" w:rsidRPr="006A0ED7" w:rsidRDefault="00267BD0" w:rsidP="00267BD0">
      <w:pPr>
        <w:spacing w:after="120"/>
      </w:pPr>
      <w:r>
        <w:t>T</w:t>
      </w:r>
      <w:r w:rsidRPr="006A0ED7">
        <w:t>here is an important place for ongoing collection of standardised PREMs and PROMs. Incorporating these into routine care could provide information to assist with shared decision making, as well as building datasets that may be reported regularly for monitoring and linked with administrative data for evaluation. Two validated PREMs referred to during consultations were the Mother’s Autonomy in Decision Making scale</w:t>
      </w:r>
      <w:r>
        <w:t>,</w:t>
      </w:r>
      <w:r>
        <w:fldChar w:fldCharType="begin"/>
      </w:r>
      <w:r>
        <w:instrText xml:space="preserve"> ADDIN EN.CITE &lt;EndNote&gt;&lt;Cite&gt;&lt;Author&gt;Vedam&lt;/Author&gt;&lt;Year&gt;2017&lt;/Year&gt;&lt;RecNum&gt;59&lt;/RecNum&gt;&lt;DisplayText&gt;&lt;style face="superscript"&gt;80&lt;/style&gt;&lt;/DisplayText&gt;&lt;record&gt;&lt;rec-number&gt;59&lt;/rec-number&gt;&lt;foreign-keys&gt;&lt;key app="EN" db-id="ewrsr2203a2a0veserrv55dezzwsepr5psw2" timestamp="1657076874"&gt;59&lt;/key&gt;&lt;/foreign-keys&gt;&lt;ref-type name="Journal Article"&gt;17&lt;/ref-type&gt;&lt;contributors&gt;&lt;authors&gt;&lt;author&gt;Vedam, Saraswathi&lt;/author&gt;&lt;author&gt;Stoll, Kathrin&lt;/author&gt;&lt;author&gt;Martin, Kelsey&lt;/author&gt;&lt;author&gt;Rubashkin, Nicholas&lt;/author&gt;&lt;author&gt;Partridge, Sarah&lt;/author&gt;&lt;author&gt;Thordarson, Dana&lt;/author&gt;&lt;author&gt;Jolicoeur, Ganga&lt;/author&gt;&lt;author&gt;the Changing Childbirth in, B. C. Steering Council&lt;/author&gt;&lt;/authors&gt;&lt;/contributors&gt;&lt;titles&gt;&lt;title&gt;The Mother’s Autonomy in Decision Making (MADM) scale: Patient-led development and psychometric testing of a new instrument to evaluate experience of maternity care&lt;/title&gt;&lt;secondary-title&gt;PLOS ONE&lt;/secondary-title&gt;&lt;/titles&gt;&lt;periodical&gt;&lt;full-title&gt;PLOS ONE&lt;/full-title&gt;&lt;/periodical&gt;&lt;pages&gt;e0171804&lt;/pages&gt;&lt;volume&gt;12&lt;/volume&gt;&lt;number&gt;2&lt;/number&gt;&lt;dates&gt;&lt;year&gt;2017&lt;/year&gt;&lt;/dates&gt;&lt;publisher&gt;Public Library of Science&lt;/publisher&gt;&lt;urls&gt;&lt;related-urls&gt;&lt;url&gt;https://doi.org/10.1371/journal.pone.0171804&lt;/url&gt;&lt;/related-urls&gt;&lt;/urls&gt;&lt;electronic-resource-num&gt;10.1371/journal.pone.0171804&lt;/electronic-resource-num&gt;&lt;/record&gt;&lt;/Cite&gt;&lt;/EndNote&gt;</w:instrText>
      </w:r>
      <w:r>
        <w:fldChar w:fldCharType="separate"/>
      </w:r>
      <w:r w:rsidRPr="00267BD0">
        <w:rPr>
          <w:noProof/>
          <w:vertAlign w:val="superscript"/>
        </w:rPr>
        <w:t>80</w:t>
      </w:r>
      <w:r>
        <w:fldChar w:fldCharType="end"/>
      </w:r>
      <w:r w:rsidRPr="006A0ED7">
        <w:t xml:space="preserve"> and the Mothers on Respect Index,</w:t>
      </w:r>
      <w:r>
        <w:fldChar w:fldCharType="begin"/>
      </w:r>
      <w:r>
        <w:instrText xml:space="preserve"> ADDIN EN.CITE &lt;EndNote&gt;&lt;Cite&gt;&lt;Author&gt;Vedam&lt;/Author&gt;&lt;Year&gt;2017&lt;/Year&gt;&lt;RecNum&gt;60&lt;/RecNum&gt;&lt;DisplayText&gt;&lt;style face="superscript"&gt;81&lt;/style&gt;&lt;/DisplayText&gt;&lt;record&gt;&lt;rec-number&gt;60&lt;/rec-number&gt;&lt;foreign-keys&gt;&lt;key app="EN" db-id="ewrsr2203a2a0veserrv55dezzwsepr5psw2" timestamp="1657077059"&gt;60&lt;/key&gt;&lt;/foreign-keys&gt;&lt;ref-type name="Journal Article"&gt;17&lt;/ref-type&gt;&lt;contributors&gt;&lt;authors&gt;&lt;author&gt;Vedam, Saraswathi&lt;/author&gt;&lt;author&gt;Stoll, Kathrin&lt;/author&gt;&lt;author&gt;Rubashkin, Nicholas&lt;/author&gt;&lt;author&gt;Martin, Kelsey&lt;/author&gt;&lt;author&gt;Miller-Vedam, Zoe&lt;/author&gt;&lt;author&gt;Hayes-Klein, Hermine&lt;/author&gt;&lt;author&gt;Jolicoeur, Ganga&lt;/author&gt;&lt;/authors&gt;&lt;/contributors&gt;&lt;titles&gt;&lt;title&gt;The Mothers on Respect (MOR) index: measuring quality, safety, and human rights in childbirth&lt;/title&gt;&lt;secondary-title&gt;SSM - Population Health&lt;/secondary-title&gt;&lt;/titles&gt;&lt;periodical&gt;&lt;full-title&gt;SSM - Population Health&lt;/full-title&gt;&lt;/periodical&gt;&lt;pages&gt;201-210&lt;/pages&gt;&lt;volume&gt;3&lt;/volume&gt;&lt;keywords&gt;&lt;keyword&gt;Childbirth&lt;/keyword&gt;&lt;keyword&gt;Human rights&lt;/keyword&gt;&lt;keyword&gt;Participatory research&lt;/keyword&gt;&lt;keyword&gt;Psychometrics&lt;/keyword&gt;&lt;keyword&gt;Scale development&lt;/keyword&gt;&lt;keyword&gt;Respectful maternity care&lt;/keyword&gt;&lt;keyword&gt;Survey research&lt;/keyword&gt;&lt;keyword&gt;Provider–patient communication&lt;/keyword&gt;&lt;/keywords&gt;&lt;dates&gt;&lt;year&gt;2017&lt;/year&gt;&lt;pub-dates&gt;&lt;date&gt;2017/12/01/&lt;/date&gt;&lt;/pub-dates&gt;&lt;/dates&gt;&lt;isbn&gt;2352-8273&lt;/isbn&gt;&lt;urls&gt;&lt;related-urls&gt;&lt;url&gt;https://www.sciencedirect.com/science/article/pii/S2352827317300174&lt;/url&gt;&lt;/related-urls&gt;&lt;/urls&gt;&lt;electronic-resource-num&gt;https://doi.org/10.1016/j.ssmph.2017.01.005&lt;/electronic-resource-num&gt;&lt;/record&gt;&lt;/Cite&gt;&lt;/EndNote&gt;</w:instrText>
      </w:r>
      <w:r>
        <w:fldChar w:fldCharType="separate"/>
      </w:r>
      <w:r w:rsidRPr="00267BD0">
        <w:rPr>
          <w:noProof/>
          <w:vertAlign w:val="superscript"/>
        </w:rPr>
        <w:t>81</w:t>
      </w:r>
      <w:r>
        <w:fldChar w:fldCharType="end"/>
      </w:r>
      <w:r w:rsidRPr="006A0ED7">
        <w:t xml:space="preserve"> which align with the Strategy’s values of </w:t>
      </w:r>
      <w:r>
        <w:t>r</w:t>
      </w:r>
      <w:r w:rsidRPr="006A0ED7">
        <w:t xml:space="preserve">espect and </w:t>
      </w:r>
      <w:r>
        <w:t>c</w:t>
      </w:r>
      <w:r w:rsidRPr="006A0ED7">
        <w:t>hoice.</w:t>
      </w:r>
    </w:p>
    <w:p w14:paraId="527974B4" w14:textId="77777777" w:rsidR="00267BD0" w:rsidRPr="006A0ED7" w:rsidRDefault="00267BD0" w:rsidP="00267BD0">
      <w:pPr>
        <w:spacing w:after="120"/>
      </w:pPr>
      <w:r w:rsidRPr="006A0ED7">
        <w:t>Linking PREMs, PROMs and clinical data could also illuminate relationships between clinical practice and outcomes from the patient’s perspective. Findings from such evaluations could be valuable in guiding quality improvement efforts to enhance women-centred care.</w:t>
      </w:r>
    </w:p>
    <w:p w14:paraId="187EFFC6" w14:textId="77777777" w:rsidR="00267BD0" w:rsidRPr="006A0ED7" w:rsidRDefault="00267BD0" w:rsidP="00131A2F">
      <w:pPr>
        <w:pStyle w:val="Heading3"/>
      </w:pPr>
      <w:r w:rsidRPr="006A0ED7">
        <w:t>Benchmarking</w:t>
      </w:r>
    </w:p>
    <w:p w14:paraId="5B27155C" w14:textId="77777777" w:rsidR="00267BD0" w:rsidRPr="006A0ED7" w:rsidRDefault="00267BD0" w:rsidP="00267BD0">
      <w:pPr>
        <w:spacing w:after="120"/>
      </w:pPr>
      <w:r w:rsidRPr="006A0ED7">
        <w:t>Several stakeholders suggested a program of benchmarking, if conducted appropriately and with stakeholder buy-in, could be a prompt to action and a mechanism for both accountability and quality improvement. Ongoing, systematic monitoring should focus on assessing the performance of services against the Strategy and highlighting effective practices and models of care. Annual reporting – in a concise and interpretable format – could enable comparisons and promote discussions about what the data mean, to build an understanding of observed differences.</w:t>
      </w:r>
    </w:p>
    <w:p w14:paraId="056B60BD" w14:textId="77777777" w:rsidR="00267BD0" w:rsidRPr="006A0ED7" w:rsidRDefault="00267BD0" w:rsidP="00267BD0">
      <w:pPr>
        <w:spacing w:after="120"/>
      </w:pPr>
      <w:r w:rsidRPr="006A0ED7">
        <w:t>To be meaningful and credible to stakeholders, reporting of benchmarked data should adjust for relevant population differences. Otherwise, there is a risk that stakeholders will not take findings seriously, or will ‘get completely lost in data that doesn’t apply’ to their situation or context.</w:t>
      </w:r>
    </w:p>
    <w:p w14:paraId="036ADEDF" w14:textId="77777777" w:rsidR="00267BD0" w:rsidRPr="006A0ED7" w:rsidRDefault="00267BD0" w:rsidP="00267BD0">
      <w:pPr>
        <w:spacing w:after="120"/>
      </w:pPr>
      <w:r w:rsidRPr="006A0ED7">
        <w:t xml:space="preserve">There was some wariness around setting pass-or-fail key performance indicators to measure progress towards the Strategy’s goals. These kinds of targets are generally seen as a negative means of driving change and can distort reporting, affecting data quality. This approach was contrasted with productive uses of benchmarked data, including existing approaches led by </w:t>
      </w:r>
      <w:r w:rsidRPr="00E53142">
        <w:t xml:space="preserve">Women's Healthcare Australasia </w:t>
      </w:r>
      <w:r w:rsidRPr="006A0ED7">
        <w:t>in partnership with member services, to understand unwarranted variation in procedures and outcomes, target and inform quality improvement efforts, and track progress towards the goals of the Strategy.</w:t>
      </w:r>
    </w:p>
    <w:p w14:paraId="35F4CAEF" w14:textId="77777777" w:rsidR="00267BD0" w:rsidRPr="006A0ED7" w:rsidRDefault="00267BD0" w:rsidP="00131A2F">
      <w:pPr>
        <w:pStyle w:val="Heading3"/>
      </w:pPr>
      <w:r w:rsidRPr="006A0ED7">
        <w:t>Analysis and reporting of outcomes</w:t>
      </w:r>
    </w:p>
    <w:p w14:paraId="0B19F5F7" w14:textId="77777777" w:rsidR="00267BD0" w:rsidRPr="006A0ED7" w:rsidRDefault="00267BD0" w:rsidP="00267BD0">
      <w:pPr>
        <w:spacing w:after="120"/>
      </w:pPr>
      <w:r w:rsidRPr="006A0ED7">
        <w:t>Considerations around outcome reporting are both strategic and practical in nature. Stakeholders would like to see succinct, transparent, timely reporting used as a driver for change. Reports should be simple to interpret and accessible to those who can act on the findings. Some suggested a dashboard or report card format, summarising the most relevant information, whereas others would prefer more detailed reporting against enabling activities. In general</w:t>
      </w:r>
      <w:r>
        <w:t>,</w:t>
      </w:r>
      <w:r w:rsidRPr="006A0ED7">
        <w:t xml:space="preserve"> it was assumed that the audience for reporting would be jurisdictions, services, and peak organisations. Public reporting was mentioned by only a few stakeholders, and there was some question about how useful this might be.</w:t>
      </w:r>
    </w:p>
    <w:p w14:paraId="7DFDAE9D" w14:textId="4C551ED2" w:rsidR="00267BD0" w:rsidRDefault="00267BD0" w:rsidP="00267BD0">
      <w:pPr>
        <w:spacing w:after="120"/>
      </w:pPr>
      <w:r>
        <w:lastRenderedPageBreak/>
        <w:t xml:space="preserve">Ideally, regular reporting against the Strategy would include private obstetrics and private midwifery practice. </w:t>
      </w:r>
      <w:r w:rsidR="00E55384">
        <w:t>Stakeholders understood that this was outside the scope of the Strategy, but</w:t>
      </w:r>
      <w:r>
        <w:t xml:space="preserve"> pointed out that more than one quarter of births in Australia take place under private obstetric care in private hospitals.</w:t>
      </w:r>
    </w:p>
    <w:p w14:paraId="0820AB7C" w14:textId="77777777" w:rsidR="00267BD0" w:rsidRPr="006A0ED7" w:rsidRDefault="00267BD0" w:rsidP="00267BD0">
      <w:pPr>
        <w:spacing w:after="120"/>
      </w:pPr>
      <w:r>
        <w:t>S</w:t>
      </w:r>
      <w:r w:rsidRPr="006A0ED7">
        <w:t>everal stakeholders nominated strategic investment in data linkage research as an essential component of evaluati</w:t>
      </w:r>
      <w:r>
        <w:t xml:space="preserve">ng </w:t>
      </w:r>
      <w:r w:rsidRPr="006A0ED7">
        <w:t>the Strategy. Currently, capacity for data linkage varies across jurisdictions, with researchers in some states experiencing significant delays in gaining access to linked data. Allowing greater access to routinely</w:t>
      </w:r>
      <w:r>
        <w:t>-</w:t>
      </w:r>
      <w:r w:rsidRPr="006A0ED7">
        <w:t xml:space="preserve">collected and linked administrative datasets could allow small, practitioner-led research projects to generate and investigate novel questions of relevance to policy and practice, such as relationships between specific patterns of service use, service user characteristics and health outcomes. One stakeholder described the current cost of data access as ‘prohibitive’ (S31); another pointed out that </w:t>
      </w:r>
      <w:r>
        <w:t xml:space="preserve">the </w:t>
      </w:r>
      <w:r w:rsidRPr="006A0ED7">
        <w:t>timeframe for small-scale data linkage studies, including the requirement for ethical approval and the time taken to access data, meant that individual studies were not feasible for quality improvement. Nevertheless, ethical issues around privacy and confidentiality would need to be considered, especially for small groups of service users where the risk of re-identification was higher.</w:t>
      </w:r>
    </w:p>
    <w:p w14:paraId="685F5DA1" w14:textId="6995A222" w:rsidR="00267BD0" w:rsidRPr="006A0ED7" w:rsidRDefault="00267BD0" w:rsidP="00267BD0">
      <w:pPr>
        <w:spacing w:after="120"/>
      </w:pPr>
      <w:r w:rsidRPr="006A0ED7">
        <w:t xml:space="preserve">Linkage could include state-based records such as </w:t>
      </w:r>
      <w:r w:rsidR="008017FB">
        <w:t xml:space="preserve">perinatal data collections, </w:t>
      </w:r>
      <w:r w:rsidRPr="006A0ED7">
        <w:t xml:space="preserve">hospital data </w:t>
      </w:r>
      <w:r w:rsidR="008017FB">
        <w:t xml:space="preserve">collections </w:t>
      </w:r>
      <w:r w:rsidRPr="006A0ED7">
        <w:t>and registries of births, deaths, and marriages, along with MBS data to capture primary care, mental health care and private midwifery and obstetrics items. Although technically straightforward, establishing a standardised, linked dataset for research and evaluation purposes would be politically sensitive and require considerable work to gain agreement and establish appropriate data governance mechanisms</w:t>
      </w:r>
      <w:r>
        <w:t>. Even though</w:t>
      </w:r>
      <w:r w:rsidRPr="006A0ED7">
        <w:t xml:space="preserve"> it aims to maximise the use of existing data, this approach was not regarded by stakeholders as ‘low-hanging fruit’ but as an aspirational goal</w:t>
      </w:r>
      <w:r>
        <w:t>.</w:t>
      </w:r>
    </w:p>
    <w:p w14:paraId="2D97E26D" w14:textId="77777777" w:rsidR="00267BD0" w:rsidRPr="006A0ED7" w:rsidRDefault="00267BD0" w:rsidP="00131A2F">
      <w:pPr>
        <w:pStyle w:val="Heading3"/>
      </w:pPr>
      <w:r w:rsidRPr="006A0ED7">
        <w:t>Research translation</w:t>
      </w:r>
    </w:p>
    <w:p w14:paraId="36D62985" w14:textId="77777777" w:rsidR="00267BD0" w:rsidRPr="006A0ED7" w:rsidRDefault="00267BD0" w:rsidP="00267BD0">
      <w:pPr>
        <w:spacing w:after="120"/>
      </w:pPr>
      <w:r w:rsidRPr="006A0ED7">
        <w:t>Another practical consideration for implementation of the MEF is how to improve access to evidence on best practice to inform quality improvement</w:t>
      </w:r>
      <w:r>
        <w:t>.</w:t>
      </w:r>
      <w:r w:rsidRPr="006A0ED7">
        <w:t xml:space="preserve"> Postpartum care was one area in which evidence-based guidance was seen as lacking. A useful outcome indicator for the Strategy in this area might be the development of care guidelines and gaining endorsement by Australian medical and nursing colleges. The first step towards understanding the baseline for improving postpartum care could be a survey of current practice and a comprehensive needs assessment.</w:t>
      </w:r>
    </w:p>
    <w:p w14:paraId="51039674" w14:textId="77777777" w:rsidR="00267BD0" w:rsidRPr="006A0ED7" w:rsidRDefault="00267BD0" w:rsidP="00267BD0">
      <w:pPr>
        <w:spacing w:after="120"/>
      </w:pPr>
      <w:r w:rsidRPr="006A0ED7">
        <w:t>Stakeholders would like to see increased support for rigorous evaluation of initiatives and models of care focusing on discrete elements of the Strategy. These studies would need to identify, not just what is working, but how and why the Strategy’s enabling activities are effective, and for whom.</w:t>
      </w:r>
    </w:p>
    <w:p w14:paraId="11AFB064" w14:textId="77777777" w:rsidR="00267BD0" w:rsidRDefault="00267BD0" w:rsidP="00267BD0">
      <w:pPr>
        <w:spacing w:after="120"/>
      </w:pPr>
      <w:r>
        <w:t>One stakeholder suggested a national research translation centre as a repository of evidence from the published literature and local evaluation studies of maternity models of care. This could assist services with understanding the processes involved in redesign, and provide case studies or examples of good practice.</w:t>
      </w:r>
    </w:p>
    <w:p w14:paraId="1C0EB469" w14:textId="3D7E4FD4" w:rsidR="00267BD0" w:rsidRDefault="00267BD0" w:rsidP="00131A2F">
      <w:pPr>
        <w:pStyle w:val="Heading2"/>
      </w:pPr>
      <w:bookmarkStart w:id="381" w:name="_Toc117765004"/>
      <w:bookmarkStart w:id="382" w:name="_Toc121415081"/>
      <w:r>
        <w:t xml:space="preserve">Priorities for </w:t>
      </w:r>
      <w:r w:rsidR="002B3AA4">
        <w:t xml:space="preserve">action and </w:t>
      </w:r>
      <w:r>
        <w:t>measurement</w:t>
      </w:r>
      <w:bookmarkEnd w:id="381"/>
      <w:bookmarkEnd w:id="382"/>
    </w:p>
    <w:p w14:paraId="7B2BEFF1" w14:textId="44C78C79" w:rsidR="001B77CC" w:rsidRDefault="00267BD0" w:rsidP="00267BD0">
      <w:pPr>
        <w:rPr>
          <w:rFonts w:eastAsiaTheme="majorEastAsia"/>
          <w:lang w:eastAsia="zh-CN" w:bidi="th-TH"/>
        </w:rPr>
      </w:pPr>
      <w:r>
        <w:rPr>
          <w:lang w:eastAsia="zh-CN" w:bidi="th-TH"/>
        </w:rPr>
        <w:t xml:space="preserve">Stakeholder interviews explored what actions are required to </w:t>
      </w:r>
      <w:r>
        <w:t xml:space="preserve">support the enablers in the Strategy and implementation of the </w:t>
      </w:r>
      <w:r>
        <w:rPr>
          <w:rFonts w:eastAsiaTheme="majorEastAsia"/>
          <w:lang w:eastAsia="zh-CN" w:bidi="th-TH"/>
        </w:rPr>
        <w:t>Strategy’s Monitoring and Evaluation Plan. The resulting ‘priorities for action and measurement’ are summarised in the following table, grouped in themes for each of the four values in the Strategy.</w:t>
      </w:r>
      <w:r w:rsidR="00FD64B8">
        <w:rPr>
          <w:rFonts w:eastAsiaTheme="majorEastAsia"/>
          <w:lang w:eastAsia="zh-CN" w:bidi="th-TH"/>
        </w:rPr>
        <w:t xml:space="preserve"> They are discussed below.</w:t>
      </w:r>
    </w:p>
    <w:p w14:paraId="1DDE4789" w14:textId="77777777" w:rsidR="001B77CC" w:rsidRDefault="001B77CC">
      <w:pPr>
        <w:rPr>
          <w:rFonts w:eastAsiaTheme="majorEastAsia"/>
          <w:lang w:eastAsia="zh-CN" w:bidi="th-TH"/>
        </w:rPr>
      </w:pPr>
      <w:r>
        <w:rPr>
          <w:rFonts w:eastAsiaTheme="majorEastAsia"/>
          <w:lang w:eastAsia="zh-CN" w:bidi="th-TH"/>
        </w:rPr>
        <w:br w:type="page"/>
      </w:r>
    </w:p>
    <w:p w14:paraId="5FA0DB8C" w14:textId="27E9401A" w:rsidR="00267BD0" w:rsidRDefault="00267BD0" w:rsidP="00267BD0">
      <w:pPr>
        <w:pStyle w:val="Caption"/>
      </w:pPr>
      <w:bookmarkStart w:id="383" w:name="_Toc121429185"/>
      <w:r>
        <w:lastRenderedPageBreak/>
        <w:t xml:space="preserve">Table </w:t>
      </w:r>
      <w:r>
        <w:fldChar w:fldCharType="begin"/>
      </w:r>
      <w:r>
        <w:instrText>SEQ Table \* ARABIC</w:instrText>
      </w:r>
      <w:r>
        <w:fldChar w:fldCharType="separate"/>
      </w:r>
      <w:r w:rsidR="00296988">
        <w:rPr>
          <w:noProof/>
        </w:rPr>
        <w:t>9</w:t>
      </w:r>
      <w:r>
        <w:fldChar w:fldCharType="end"/>
      </w:r>
      <w:r>
        <w:tab/>
        <w:t>S</w:t>
      </w:r>
      <w:r w:rsidRPr="00956128">
        <w:t>takeholder priorities</w:t>
      </w:r>
      <w:r w:rsidR="002B3AA4">
        <w:t xml:space="preserve"> for action and measurement by the Strategy’s values</w:t>
      </w:r>
      <w:bookmarkEnd w:id="383"/>
    </w:p>
    <w:tbl>
      <w:tblPr>
        <w:tblStyle w:val="TableGrid"/>
        <w:tblW w:w="0" w:type="auto"/>
        <w:tblBorders>
          <w:top w:val="single" w:sz="4" w:space="0" w:color="0398D7"/>
          <w:left w:val="single" w:sz="4" w:space="0" w:color="0398D7"/>
          <w:bottom w:val="single" w:sz="4" w:space="0" w:color="0398D7"/>
          <w:right w:val="single" w:sz="4" w:space="0" w:color="0398D7"/>
          <w:insideH w:val="single" w:sz="4" w:space="0" w:color="0398D7"/>
          <w:insideV w:val="single" w:sz="4" w:space="0" w:color="0398D7"/>
        </w:tblBorders>
        <w:tblCellMar>
          <w:top w:w="28" w:type="dxa"/>
          <w:bottom w:w="28" w:type="dxa"/>
        </w:tblCellMar>
        <w:tblLook w:val="04A0" w:firstRow="1" w:lastRow="0" w:firstColumn="1" w:lastColumn="0" w:noHBand="0" w:noVBand="1"/>
      </w:tblPr>
      <w:tblGrid>
        <w:gridCol w:w="1558"/>
        <w:gridCol w:w="4148"/>
        <w:gridCol w:w="4149"/>
      </w:tblGrid>
      <w:tr w:rsidR="0029658B" w:rsidRPr="002F5DEE" w14:paraId="56B21DDC" w14:textId="77777777" w:rsidTr="00C24842">
        <w:trPr>
          <w:tblHeader/>
        </w:trPr>
        <w:tc>
          <w:tcPr>
            <w:tcW w:w="1558" w:type="dxa"/>
            <w:shd w:val="clear" w:color="auto" w:fill="0398D7"/>
            <w:vAlign w:val="center"/>
          </w:tcPr>
          <w:p w14:paraId="7EBE46DA" w14:textId="7170FCF1" w:rsidR="0029658B" w:rsidRPr="002F5DEE" w:rsidRDefault="0029658B" w:rsidP="0029658B">
            <w:pPr>
              <w:spacing w:before="40" w:after="40"/>
              <w:rPr>
                <w:b/>
                <w:bCs/>
                <w:color w:val="FFFFFF" w:themeColor="background1"/>
                <w:sz w:val="20"/>
                <w:szCs w:val="20"/>
              </w:rPr>
            </w:pPr>
            <w:r>
              <w:rPr>
                <w:b/>
                <w:bCs/>
                <w:color w:val="FFFFFF" w:themeColor="background1"/>
                <w:sz w:val="20"/>
                <w:szCs w:val="20"/>
              </w:rPr>
              <w:t>Value &amp; themes</w:t>
            </w:r>
          </w:p>
        </w:tc>
        <w:tc>
          <w:tcPr>
            <w:tcW w:w="4148" w:type="dxa"/>
            <w:shd w:val="clear" w:color="auto" w:fill="0398D7"/>
            <w:vAlign w:val="center"/>
          </w:tcPr>
          <w:p w14:paraId="64B11ABF" w14:textId="77777777" w:rsidR="0029658B" w:rsidRPr="002F5DEE" w:rsidRDefault="0029658B" w:rsidP="005F208F">
            <w:pPr>
              <w:spacing w:before="40" w:after="40"/>
              <w:rPr>
                <w:b/>
                <w:bCs/>
                <w:color w:val="FFFFFF" w:themeColor="background1"/>
                <w:sz w:val="20"/>
                <w:szCs w:val="20"/>
              </w:rPr>
            </w:pPr>
            <w:r w:rsidRPr="002F5DEE">
              <w:rPr>
                <w:b/>
                <w:bCs/>
                <w:color w:val="FFFFFF" w:themeColor="background1"/>
                <w:sz w:val="20"/>
                <w:szCs w:val="20"/>
              </w:rPr>
              <w:t>Priorities for action &amp; measurement</w:t>
            </w:r>
          </w:p>
        </w:tc>
        <w:tc>
          <w:tcPr>
            <w:tcW w:w="4149" w:type="dxa"/>
            <w:shd w:val="clear" w:color="auto" w:fill="0398D7"/>
            <w:vAlign w:val="center"/>
          </w:tcPr>
          <w:p w14:paraId="795BED78" w14:textId="77777777" w:rsidR="0029658B" w:rsidRPr="002F5DEE" w:rsidRDefault="0029658B" w:rsidP="005F208F">
            <w:pPr>
              <w:spacing w:before="40" w:after="40"/>
              <w:rPr>
                <w:b/>
                <w:bCs/>
                <w:color w:val="FFFFFF" w:themeColor="background1"/>
                <w:sz w:val="20"/>
                <w:szCs w:val="20"/>
              </w:rPr>
            </w:pPr>
            <w:r w:rsidRPr="002F5DEE">
              <w:rPr>
                <w:b/>
                <w:bCs/>
                <w:color w:val="FFFFFF" w:themeColor="background1"/>
                <w:sz w:val="20"/>
                <w:szCs w:val="20"/>
              </w:rPr>
              <w:t>Suggested measurement approaches</w:t>
            </w:r>
          </w:p>
        </w:tc>
      </w:tr>
      <w:tr w:rsidR="0029658B" w14:paraId="754DE270" w14:textId="77777777" w:rsidTr="005F208F">
        <w:tc>
          <w:tcPr>
            <w:tcW w:w="9855" w:type="dxa"/>
            <w:gridSpan w:val="3"/>
          </w:tcPr>
          <w:p w14:paraId="4DF2C3C9" w14:textId="0FC71500" w:rsidR="0029658B" w:rsidRDefault="0029658B" w:rsidP="005F208F">
            <w:pPr>
              <w:rPr>
                <w:sz w:val="20"/>
                <w:szCs w:val="20"/>
              </w:rPr>
            </w:pPr>
            <w:r w:rsidRPr="00C24842">
              <w:rPr>
                <w:b/>
                <w:sz w:val="20"/>
                <w:szCs w:val="20"/>
              </w:rPr>
              <w:t>Safety</w:t>
            </w:r>
          </w:p>
        </w:tc>
      </w:tr>
      <w:tr w:rsidR="0029658B" w14:paraId="4F9B28E5" w14:textId="77777777" w:rsidTr="00C24842">
        <w:tc>
          <w:tcPr>
            <w:tcW w:w="1558" w:type="dxa"/>
            <w:vMerge w:val="restart"/>
          </w:tcPr>
          <w:p w14:paraId="0A307823" w14:textId="77777777" w:rsidR="0029658B" w:rsidRPr="00A66223" w:rsidRDefault="0029658B" w:rsidP="005F208F">
            <w:pPr>
              <w:rPr>
                <w:sz w:val="20"/>
                <w:szCs w:val="20"/>
              </w:rPr>
            </w:pPr>
            <w:r>
              <w:rPr>
                <w:sz w:val="20"/>
                <w:szCs w:val="20"/>
              </w:rPr>
              <w:t>Safety and quality outcomes</w:t>
            </w:r>
          </w:p>
        </w:tc>
        <w:tc>
          <w:tcPr>
            <w:tcW w:w="4148" w:type="dxa"/>
          </w:tcPr>
          <w:p w14:paraId="007D89D2" w14:textId="77777777" w:rsidR="0029658B" w:rsidRPr="00A66223" w:rsidRDefault="0029658B" w:rsidP="005F208F">
            <w:pPr>
              <w:rPr>
                <w:sz w:val="20"/>
                <w:szCs w:val="20"/>
              </w:rPr>
            </w:pPr>
            <w:r>
              <w:rPr>
                <w:sz w:val="20"/>
                <w:szCs w:val="20"/>
              </w:rPr>
              <w:t>Understand variation in practice and outcomes</w:t>
            </w:r>
          </w:p>
        </w:tc>
        <w:tc>
          <w:tcPr>
            <w:tcW w:w="4149" w:type="dxa"/>
          </w:tcPr>
          <w:p w14:paraId="6B1CEC1E" w14:textId="77777777" w:rsidR="0029658B" w:rsidRPr="00A66223" w:rsidRDefault="0029658B" w:rsidP="005F208F">
            <w:pPr>
              <w:rPr>
                <w:sz w:val="20"/>
                <w:szCs w:val="20"/>
              </w:rPr>
            </w:pPr>
            <w:r>
              <w:rPr>
                <w:sz w:val="20"/>
                <w:szCs w:val="20"/>
              </w:rPr>
              <w:t>Continue monitoring variation in practice and outcomes overall and for specific population groups</w:t>
            </w:r>
          </w:p>
        </w:tc>
      </w:tr>
      <w:tr w:rsidR="0029658B" w14:paraId="2452D57D" w14:textId="77777777" w:rsidTr="00C24842">
        <w:tc>
          <w:tcPr>
            <w:tcW w:w="1558" w:type="dxa"/>
            <w:vMerge/>
          </w:tcPr>
          <w:p w14:paraId="0E7CB116" w14:textId="77777777" w:rsidR="0029658B" w:rsidRDefault="0029658B" w:rsidP="005F208F">
            <w:pPr>
              <w:rPr>
                <w:sz w:val="20"/>
                <w:szCs w:val="20"/>
              </w:rPr>
            </w:pPr>
          </w:p>
        </w:tc>
        <w:tc>
          <w:tcPr>
            <w:tcW w:w="4148" w:type="dxa"/>
          </w:tcPr>
          <w:p w14:paraId="60A24EF0" w14:textId="77777777" w:rsidR="0029658B" w:rsidRPr="00A66223" w:rsidRDefault="0029658B" w:rsidP="005F208F">
            <w:pPr>
              <w:rPr>
                <w:sz w:val="20"/>
                <w:szCs w:val="20"/>
              </w:rPr>
            </w:pPr>
            <w:r>
              <w:rPr>
                <w:sz w:val="20"/>
                <w:szCs w:val="20"/>
              </w:rPr>
              <w:t>Understand safety impacts of interventions designed to achieve the goals of the Strategy</w:t>
            </w:r>
          </w:p>
        </w:tc>
        <w:tc>
          <w:tcPr>
            <w:tcW w:w="4149" w:type="dxa"/>
          </w:tcPr>
          <w:p w14:paraId="4DBB44FF" w14:textId="77777777" w:rsidR="0029658B" w:rsidRPr="00A66223" w:rsidRDefault="0029658B" w:rsidP="005F208F">
            <w:pPr>
              <w:rPr>
                <w:sz w:val="20"/>
                <w:szCs w:val="20"/>
              </w:rPr>
            </w:pPr>
            <w:r>
              <w:rPr>
                <w:sz w:val="20"/>
                <w:szCs w:val="20"/>
              </w:rPr>
              <w:t>Conduct evaluation studies which include assessment of safety and quality outcomes; make these available to other services considering such interventions</w:t>
            </w:r>
          </w:p>
        </w:tc>
      </w:tr>
      <w:tr w:rsidR="0029658B" w14:paraId="31D2C510" w14:textId="77777777" w:rsidTr="00C24842">
        <w:tc>
          <w:tcPr>
            <w:tcW w:w="1558" w:type="dxa"/>
            <w:vMerge/>
          </w:tcPr>
          <w:p w14:paraId="18D4D0A3" w14:textId="77777777" w:rsidR="0029658B" w:rsidRPr="00A66223" w:rsidRDefault="0029658B" w:rsidP="005F208F">
            <w:pPr>
              <w:rPr>
                <w:sz w:val="20"/>
                <w:szCs w:val="20"/>
              </w:rPr>
            </w:pPr>
          </w:p>
        </w:tc>
        <w:tc>
          <w:tcPr>
            <w:tcW w:w="4148" w:type="dxa"/>
          </w:tcPr>
          <w:p w14:paraId="3754C7D8" w14:textId="77777777" w:rsidR="0029658B" w:rsidRPr="00A66223" w:rsidRDefault="0029658B" w:rsidP="005F208F">
            <w:pPr>
              <w:rPr>
                <w:sz w:val="20"/>
                <w:szCs w:val="20"/>
              </w:rPr>
            </w:pPr>
            <w:r>
              <w:rPr>
                <w:sz w:val="20"/>
                <w:szCs w:val="20"/>
              </w:rPr>
              <w:t xml:space="preserve">Examine implementation of evidence-based practice and effects of clinical guidelines on care safety and quality </w:t>
            </w:r>
          </w:p>
        </w:tc>
        <w:tc>
          <w:tcPr>
            <w:tcW w:w="4149" w:type="dxa"/>
          </w:tcPr>
          <w:p w14:paraId="4A838003" w14:textId="77777777" w:rsidR="0029658B" w:rsidRPr="00A66223" w:rsidRDefault="0029658B" w:rsidP="005F208F">
            <w:pPr>
              <w:rPr>
                <w:sz w:val="20"/>
                <w:szCs w:val="20"/>
              </w:rPr>
            </w:pPr>
            <w:r>
              <w:rPr>
                <w:sz w:val="20"/>
                <w:szCs w:val="20"/>
              </w:rPr>
              <w:t>Develop indicators linked with new evidence-based guidelines when required</w:t>
            </w:r>
          </w:p>
        </w:tc>
      </w:tr>
      <w:tr w:rsidR="0029658B" w14:paraId="4AA90942" w14:textId="77777777" w:rsidTr="00C24842">
        <w:tc>
          <w:tcPr>
            <w:tcW w:w="1558" w:type="dxa"/>
            <w:vMerge/>
          </w:tcPr>
          <w:p w14:paraId="7DDEC5B5" w14:textId="77777777" w:rsidR="0029658B" w:rsidRPr="00A66223" w:rsidRDefault="0029658B" w:rsidP="005F208F">
            <w:pPr>
              <w:rPr>
                <w:sz w:val="20"/>
                <w:szCs w:val="20"/>
              </w:rPr>
            </w:pPr>
          </w:p>
        </w:tc>
        <w:tc>
          <w:tcPr>
            <w:tcW w:w="4148" w:type="dxa"/>
          </w:tcPr>
          <w:p w14:paraId="6653BB38" w14:textId="77777777" w:rsidR="0029658B" w:rsidRPr="00A66223" w:rsidRDefault="0029658B" w:rsidP="005F208F">
            <w:pPr>
              <w:rPr>
                <w:sz w:val="20"/>
                <w:szCs w:val="20"/>
              </w:rPr>
            </w:pPr>
            <w:r>
              <w:rPr>
                <w:sz w:val="20"/>
                <w:szCs w:val="20"/>
              </w:rPr>
              <w:t>Ensure national policy settings are appropriate in relation to the provision of safe, high-quality care across settings and populations</w:t>
            </w:r>
          </w:p>
        </w:tc>
        <w:tc>
          <w:tcPr>
            <w:tcW w:w="4149" w:type="dxa"/>
          </w:tcPr>
          <w:p w14:paraId="354246F6" w14:textId="77777777" w:rsidR="0029658B" w:rsidRPr="00A66223" w:rsidRDefault="0029658B" w:rsidP="005F208F">
            <w:pPr>
              <w:rPr>
                <w:sz w:val="20"/>
                <w:szCs w:val="20"/>
              </w:rPr>
            </w:pPr>
            <w:r>
              <w:rPr>
                <w:sz w:val="20"/>
                <w:szCs w:val="20"/>
              </w:rPr>
              <w:t>Evaluate impacts of policy and funding decisions including any perverse or adverse consequences</w:t>
            </w:r>
          </w:p>
        </w:tc>
      </w:tr>
      <w:tr w:rsidR="0029658B" w14:paraId="332A3568" w14:textId="77777777" w:rsidTr="00C24842">
        <w:tc>
          <w:tcPr>
            <w:tcW w:w="1558" w:type="dxa"/>
            <w:vMerge w:val="restart"/>
          </w:tcPr>
          <w:p w14:paraId="51D5042A" w14:textId="77777777" w:rsidR="0029658B" w:rsidRPr="00A66223" w:rsidRDefault="0029658B" w:rsidP="005F208F">
            <w:pPr>
              <w:rPr>
                <w:sz w:val="20"/>
                <w:szCs w:val="20"/>
              </w:rPr>
            </w:pPr>
            <w:r>
              <w:rPr>
                <w:sz w:val="20"/>
                <w:szCs w:val="20"/>
              </w:rPr>
              <w:t>Workforce capacity</w:t>
            </w:r>
          </w:p>
        </w:tc>
        <w:tc>
          <w:tcPr>
            <w:tcW w:w="4148" w:type="dxa"/>
          </w:tcPr>
          <w:p w14:paraId="740D9B44" w14:textId="77777777" w:rsidR="0029658B" w:rsidRPr="00A66223" w:rsidRDefault="0029658B" w:rsidP="005F208F">
            <w:pPr>
              <w:rPr>
                <w:sz w:val="20"/>
                <w:szCs w:val="20"/>
              </w:rPr>
            </w:pPr>
            <w:r>
              <w:rPr>
                <w:sz w:val="20"/>
                <w:szCs w:val="20"/>
              </w:rPr>
              <w:t>Implement and promote training and continuing professional development for specialist skills such as trauma-informed care, perinatal mental health, and postpartum care</w:t>
            </w:r>
          </w:p>
        </w:tc>
        <w:tc>
          <w:tcPr>
            <w:tcW w:w="4149" w:type="dxa"/>
          </w:tcPr>
          <w:p w14:paraId="490A8201" w14:textId="77777777" w:rsidR="0029658B" w:rsidRPr="00A66223" w:rsidRDefault="0029658B" w:rsidP="005F208F">
            <w:pPr>
              <w:rPr>
                <w:sz w:val="20"/>
                <w:szCs w:val="20"/>
              </w:rPr>
            </w:pPr>
            <w:r>
              <w:rPr>
                <w:sz w:val="20"/>
                <w:szCs w:val="20"/>
              </w:rPr>
              <w:t>Evaluate update of training and impacts on knowledge, skills and practices</w:t>
            </w:r>
          </w:p>
        </w:tc>
      </w:tr>
      <w:tr w:rsidR="0029658B" w14:paraId="7B85C767" w14:textId="77777777" w:rsidTr="00C24842">
        <w:tc>
          <w:tcPr>
            <w:tcW w:w="1558" w:type="dxa"/>
            <w:vMerge/>
          </w:tcPr>
          <w:p w14:paraId="754FB6D6" w14:textId="77777777" w:rsidR="0029658B" w:rsidRPr="00A66223" w:rsidRDefault="0029658B" w:rsidP="005F208F">
            <w:pPr>
              <w:rPr>
                <w:sz w:val="20"/>
                <w:szCs w:val="20"/>
              </w:rPr>
            </w:pPr>
          </w:p>
        </w:tc>
        <w:tc>
          <w:tcPr>
            <w:tcW w:w="4148" w:type="dxa"/>
          </w:tcPr>
          <w:p w14:paraId="0E262AB4" w14:textId="77777777" w:rsidR="0029658B" w:rsidRPr="00A66223" w:rsidRDefault="0029658B" w:rsidP="005F208F">
            <w:pPr>
              <w:rPr>
                <w:sz w:val="20"/>
                <w:szCs w:val="20"/>
              </w:rPr>
            </w:pPr>
            <w:r>
              <w:rPr>
                <w:sz w:val="20"/>
                <w:szCs w:val="20"/>
              </w:rPr>
              <w:t>Establish pathways to practice which equip rural and remote medical, nursing and midwifery staff with the skills required for those contexts</w:t>
            </w:r>
          </w:p>
        </w:tc>
        <w:tc>
          <w:tcPr>
            <w:tcW w:w="4149" w:type="dxa"/>
          </w:tcPr>
          <w:p w14:paraId="6940F1B6" w14:textId="77777777" w:rsidR="0029658B" w:rsidRPr="00A66223" w:rsidRDefault="0029658B" w:rsidP="005F208F">
            <w:pPr>
              <w:rPr>
                <w:sz w:val="20"/>
                <w:szCs w:val="20"/>
              </w:rPr>
            </w:pPr>
            <w:r>
              <w:rPr>
                <w:sz w:val="20"/>
                <w:szCs w:val="20"/>
              </w:rPr>
              <w:t>Monitor and report on progress towards gaining agreement for and recognition of dedicated rural and remote practice pathways for health professionals</w:t>
            </w:r>
          </w:p>
        </w:tc>
      </w:tr>
      <w:tr w:rsidR="0029658B" w14:paraId="643C78DD" w14:textId="77777777" w:rsidTr="00C24842">
        <w:tc>
          <w:tcPr>
            <w:tcW w:w="1558" w:type="dxa"/>
            <w:vMerge w:val="restart"/>
          </w:tcPr>
          <w:p w14:paraId="563FB706" w14:textId="77777777" w:rsidR="0029658B" w:rsidRPr="00A66223" w:rsidRDefault="0029658B" w:rsidP="005F208F">
            <w:pPr>
              <w:rPr>
                <w:sz w:val="20"/>
                <w:szCs w:val="20"/>
              </w:rPr>
            </w:pPr>
            <w:r>
              <w:rPr>
                <w:sz w:val="20"/>
                <w:szCs w:val="20"/>
              </w:rPr>
              <w:t>Cultural safety</w:t>
            </w:r>
          </w:p>
        </w:tc>
        <w:tc>
          <w:tcPr>
            <w:tcW w:w="4148" w:type="dxa"/>
          </w:tcPr>
          <w:p w14:paraId="655D3DB7" w14:textId="77777777" w:rsidR="0029658B" w:rsidRDefault="0029658B" w:rsidP="005F208F">
            <w:pPr>
              <w:rPr>
                <w:sz w:val="20"/>
                <w:szCs w:val="20"/>
              </w:rPr>
            </w:pPr>
            <w:r>
              <w:rPr>
                <w:sz w:val="20"/>
                <w:szCs w:val="20"/>
              </w:rPr>
              <w:t>Ensure national policy settings are appropriate in relation to the provision of safe, high-quality care across settings and populations</w:t>
            </w:r>
          </w:p>
        </w:tc>
        <w:tc>
          <w:tcPr>
            <w:tcW w:w="4149" w:type="dxa"/>
          </w:tcPr>
          <w:p w14:paraId="45157BD5" w14:textId="77777777" w:rsidR="0029658B" w:rsidRDefault="0029658B" w:rsidP="005F208F">
            <w:pPr>
              <w:rPr>
                <w:sz w:val="20"/>
                <w:szCs w:val="20"/>
              </w:rPr>
            </w:pPr>
            <w:r>
              <w:rPr>
                <w:sz w:val="20"/>
                <w:szCs w:val="20"/>
              </w:rPr>
              <w:t>Evaluate impacts of policy and funding decisions including any perverse or adverse consequences</w:t>
            </w:r>
          </w:p>
        </w:tc>
      </w:tr>
      <w:tr w:rsidR="0029658B" w14:paraId="4668C12A" w14:textId="77777777" w:rsidTr="00C24842">
        <w:tc>
          <w:tcPr>
            <w:tcW w:w="1558" w:type="dxa"/>
            <w:vMerge/>
          </w:tcPr>
          <w:p w14:paraId="7EF591FE" w14:textId="77777777" w:rsidR="0029658B" w:rsidRDefault="0029658B" w:rsidP="005F208F">
            <w:pPr>
              <w:rPr>
                <w:sz w:val="20"/>
                <w:szCs w:val="20"/>
              </w:rPr>
            </w:pPr>
          </w:p>
        </w:tc>
        <w:tc>
          <w:tcPr>
            <w:tcW w:w="4148" w:type="dxa"/>
          </w:tcPr>
          <w:p w14:paraId="2DEECA11" w14:textId="77777777" w:rsidR="0029658B" w:rsidRDefault="0029658B" w:rsidP="005F208F">
            <w:pPr>
              <w:rPr>
                <w:sz w:val="20"/>
                <w:szCs w:val="20"/>
              </w:rPr>
            </w:pPr>
            <w:r>
              <w:rPr>
                <w:sz w:val="20"/>
                <w:szCs w:val="20"/>
              </w:rPr>
              <w:t>Refine methods for measuring cultural safety for affected groups</w:t>
            </w:r>
          </w:p>
        </w:tc>
        <w:tc>
          <w:tcPr>
            <w:tcW w:w="4149" w:type="dxa"/>
          </w:tcPr>
          <w:p w14:paraId="3CCAAD57" w14:textId="77777777" w:rsidR="0029658B" w:rsidRDefault="0029658B" w:rsidP="005F208F">
            <w:pPr>
              <w:rPr>
                <w:sz w:val="20"/>
                <w:szCs w:val="20"/>
              </w:rPr>
            </w:pPr>
            <w:r>
              <w:rPr>
                <w:sz w:val="20"/>
                <w:szCs w:val="20"/>
              </w:rPr>
              <w:t>Co-design and test process and outcome measures around agreed operational definitions of cultural safety</w:t>
            </w:r>
          </w:p>
        </w:tc>
      </w:tr>
      <w:tr w:rsidR="0029658B" w14:paraId="587D0604" w14:textId="77777777" w:rsidTr="00C24842">
        <w:tc>
          <w:tcPr>
            <w:tcW w:w="1558" w:type="dxa"/>
            <w:vMerge/>
          </w:tcPr>
          <w:p w14:paraId="3BC74AF0" w14:textId="77777777" w:rsidR="0029658B" w:rsidRDefault="0029658B" w:rsidP="005F208F">
            <w:pPr>
              <w:rPr>
                <w:sz w:val="20"/>
                <w:szCs w:val="20"/>
              </w:rPr>
            </w:pPr>
          </w:p>
        </w:tc>
        <w:tc>
          <w:tcPr>
            <w:tcW w:w="4148" w:type="dxa"/>
          </w:tcPr>
          <w:p w14:paraId="6792BB7E" w14:textId="28CCDF93" w:rsidR="0029658B" w:rsidRDefault="0029658B" w:rsidP="0094459C">
            <w:pPr>
              <w:rPr>
                <w:sz w:val="20"/>
                <w:szCs w:val="20"/>
              </w:rPr>
            </w:pPr>
            <w:r>
              <w:rPr>
                <w:sz w:val="20"/>
                <w:szCs w:val="20"/>
              </w:rPr>
              <w:t xml:space="preserve">Increase access to culturally safe care for </w:t>
            </w:r>
            <w:r w:rsidR="0094459C">
              <w:rPr>
                <w:sz w:val="20"/>
                <w:szCs w:val="20"/>
              </w:rPr>
              <w:t>Aboriginal and Torres Strait Islander</w:t>
            </w:r>
            <w:r>
              <w:rPr>
                <w:sz w:val="20"/>
                <w:szCs w:val="20"/>
              </w:rPr>
              <w:t xml:space="preserve"> women and families</w:t>
            </w:r>
          </w:p>
        </w:tc>
        <w:tc>
          <w:tcPr>
            <w:tcW w:w="4149" w:type="dxa"/>
          </w:tcPr>
          <w:p w14:paraId="032FB69B" w14:textId="0E21CD92" w:rsidR="0029658B" w:rsidRDefault="0029658B" w:rsidP="0094459C">
            <w:pPr>
              <w:rPr>
                <w:sz w:val="20"/>
                <w:szCs w:val="20"/>
              </w:rPr>
            </w:pPr>
            <w:r>
              <w:rPr>
                <w:sz w:val="20"/>
                <w:szCs w:val="20"/>
              </w:rPr>
              <w:t xml:space="preserve">Use data from maternity service surveys to assess the extent to which </w:t>
            </w:r>
            <w:r w:rsidR="0094459C">
              <w:rPr>
                <w:sz w:val="20"/>
                <w:szCs w:val="20"/>
              </w:rPr>
              <w:t>Aboriginal and Torres Strait Islander</w:t>
            </w:r>
            <w:r>
              <w:rPr>
                <w:sz w:val="20"/>
                <w:szCs w:val="20"/>
              </w:rPr>
              <w:t xml:space="preserve"> women feel they are receiving culturally safe care; combine this in future with quantitative data about access to preferred models of care</w:t>
            </w:r>
          </w:p>
        </w:tc>
      </w:tr>
      <w:tr w:rsidR="0029658B" w14:paraId="23D901D2" w14:textId="77777777" w:rsidTr="00C14F28">
        <w:tc>
          <w:tcPr>
            <w:tcW w:w="1558" w:type="dxa"/>
            <w:vMerge/>
            <w:tcBorders>
              <w:bottom w:val="single" w:sz="4" w:space="0" w:color="0398D7"/>
            </w:tcBorders>
          </w:tcPr>
          <w:p w14:paraId="4F5C99A7" w14:textId="77777777" w:rsidR="0029658B" w:rsidRDefault="0029658B" w:rsidP="005F208F">
            <w:pPr>
              <w:rPr>
                <w:sz w:val="20"/>
                <w:szCs w:val="20"/>
              </w:rPr>
            </w:pPr>
          </w:p>
        </w:tc>
        <w:tc>
          <w:tcPr>
            <w:tcW w:w="4148" w:type="dxa"/>
            <w:tcBorders>
              <w:bottom w:val="single" w:sz="4" w:space="0" w:color="0398D7"/>
            </w:tcBorders>
          </w:tcPr>
          <w:p w14:paraId="2E7F701D" w14:textId="77777777" w:rsidR="0029658B" w:rsidRDefault="0029658B" w:rsidP="005F208F">
            <w:pPr>
              <w:rPr>
                <w:sz w:val="20"/>
                <w:szCs w:val="20"/>
              </w:rPr>
            </w:pPr>
            <w:r>
              <w:rPr>
                <w:sz w:val="20"/>
                <w:szCs w:val="20"/>
              </w:rPr>
              <w:t>Increase access to culturally safe care for women and families from CALD groups</w:t>
            </w:r>
          </w:p>
        </w:tc>
        <w:tc>
          <w:tcPr>
            <w:tcW w:w="4149" w:type="dxa"/>
            <w:tcBorders>
              <w:bottom w:val="single" w:sz="4" w:space="0" w:color="0398D7"/>
            </w:tcBorders>
          </w:tcPr>
          <w:p w14:paraId="69FCD735" w14:textId="77777777" w:rsidR="0029658B" w:rsidRDefault="0029658B" w:rsidP="005F208F">
            <w:pPr>
              <w:rPr>
                <w:sz w:val="20"/>
                <w:szCs w:val="20"/>
              </w:rPr>
            </w:pPr>
            <w:r>
              <w:rPr>
                <w:sz w:val="20"/>
                <w:szCs w:val="20"/>
              </w:rPr>
              <w:t>Use data from maternity service surveys to assess the extent to which women from CALD groups feel they are receiving culturally safe care; combine this in future with quantitative data about access to preferred models of care</w:t>
            </w:r>
          </w:p>
        </w:tc>
      </w:tr>
      <w:tr w:rsidR="00871873" w14:paraId="7190FDD5"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55" w:type="dxa"/>
            <w:gridSpan w:val="3"/>
            <w:tcBorders>
              <w:top w:val="single" w:sz="4" w:space="0" w:color="0398D7"/>
              <w:left w:val="single" w:sz="4" w:space="0" w:color="0398D7"/>
              <w:bottom w:val="single" w:sz="4" w:space="0" w:color="0398D7"/>
              <w:right w:val="single" w:sz="4" w:space="0" w:color="0398D7"/>
            </w:tcBorders>
          </w:tcPr>
          <w:p w14:paraId="493E2EAA" w14:textId="5F08C870" w:rsidR="00871873" w:rsidRDefault="00871873" w:rsidP="005F208F">
            <w:pPr>
              <w:rPr>
                <w:sz w:val="20"/>
                <w:szCs w:val="20"/>
              </w:rPr>
            </w:pPr>
            <w:r w:rsidRPr="00C24842">
              <w:rPr>
                <w:b/>
                <w:sz w:val="20"/>
                <w:szCs w:val="20"/>
              </w:rPr>
              <w:t>Respect</w:t>
            </w:r>
          </w:p>
        </w:tc>
      </w:tr>
      <w:tr w:rsidR="0029658B" w14:paraId="692D9C4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val="restart"/>
            <w:tcBorders>
              <w:top w:val="single" w:sz="4" w:space="0" w:color="0398D7"/>
              <w:left w:val="single" w:sz="4" w:space="0" w:color="0398D7"/>
              <w:bottom w:val="single" w:sz="4" w:space="0" w:color="0398D7"/>
              <w:right w:val="single" w:sz="4" w:space="0" w:color="0398D7"/>
            </w:tcBorders>
          </w:tcPr>
          <w:p w14:paraId="32A9B1A2" w14:textId="77777777" w:rsidR="0029658B" w:rsidRPr="00A66223" w:rsidRDefault="0029658B" w:rsidP="005F208F">
            <w:pPr>
              <w:rPr>
                <w:sz w:val="20"/>
                <w:szCs w:val="20"/>
              </w:rPr>
            </w:pPr>
            <w:r>
              <w:rPr>
                <w:sz w:val="20"/>
                <w:szCs w:val="20"/>
              </w:rPr>
              <w:t>Leadership which strongly promotes and supports multidisciplinary care</w:t>
            </w:r>
          </w:p>
        </w:tc>
        <w:tc>
          <w:tcPr>
            <w:tcW w:w="4148" w:type="dxa"/>
            <w:tcBorders>
              <w:top w:val="single" w:sz="4" w:space="0" w:color="0398D7"/>
              <w:left w:val="single" w:sz="4" w:space="0" w:color="0398D7"/>
              <w:bottom w:val="single" w:sz="4" w:space="0" w:color="0398D7"/>
              <w:right w:val="single" w:sz="4" w:space="0" w:color="0398D7"/>
            </w:tcBorders>
          </w:tcPr>
          <w:p w14:paraId="331054BE" w14:textId="77777777" w:rsidR="0029658B" w:rsidRPr="00A66223" w:rsidRDefault="0029658B" w:rsidP="005F208F">
            <w:pPr>
              <w:rPr>
                <w:sz w:val="20"/>
                <w:szCs w:val="20"/>
              </w:rPr>
            </w:pPr>
            <w:r>
              <w:rPr>
                <w:sz w:val="20"/>
                <w:szCs w:val="20"/>
              </w:rPr>
              <w:t>Continue existing multidisciplinary models of postpartum care for ‘at risk’ women and extend them to be available for all women</w:t>
            </w:r>
          </w:p>
        </w:tc>
        <w:tc>
          <w:tcPr>
            <w:tcW w:w="4149" w:type="dxa"/>
            <w:tcBorders>
              <w:top w:val="single" w:sz="4" w:space="0" w:color="0398D7"/>
              <w:left w:val="single" w:sz="4" w:space="0" w:color="0398D7"/>
              <w:bottom w:val="single" w:sz="4" w:space="0" w:color="0398D7"/>
              <w:right w:val="single" w:sz="4" w:space="0" w:color="0398D7"/>
            </w:tcBorders>
          </w:tcPr>
          <w:p w14:paraId="148FBC0B" w14:textId="77777777" w:rsidR="0029658B" w:rsidRPr="00A66223" w:rsidRDefault="0029658B" w:rsidP="005F208F">
            <w:pPr>
              <w:rPr>
                <w:sz w:val="20"/>
                <w:szCs w:val="20"/>
              </w:rPr>
            </w:pPr>
            <w:r>
              <w:rPr>
                <w:sz w:val="20"/>
                <w:szCs w:val="20"/>
              </w:rPr>
              <w:t>Conduct evaluation studies of postpartum care models which incorporate multidisciplinary assessment, discussion and referral to appropriate services</w:t>
            </w:r>
          </w:p>
        </w:tc>
      </w:tr>
      <w:tr w:rsidR="0029658B" w14:paraId="70849B2B"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15D0548A" w14:textId="77777777" w:rsidR="0029658B" w:rsidRDefault="0029658B"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7447ED53" w14:textId="77777777" w:rsidR="0029658B" w:rsidRPr="00A66223" w:rsidRDefault="0029658B" w:rsidP="005F208F">
            <w:pPr>
              <w:rPr>
                <w:sz w:val="20"/>
                <w:szCs w:val="20"/>
              </w:rPr>
            </w:pPr>
            <w:r>
              <w:rPr>
                <w:sz w:val="20"/>
                <w:szCs w:val="20"/>
              </w:rPr>
              <w:t>Promote early and appropriate referral to specialist services to support women and families in early pregnancy</w:t>
            </w:r>
          </w:p>
        </w:tc>
        <w:tc>
          <w:tcPr>
            <w:tcW w:w="4149" w:type="dxa"/>
            <w:tcBorders>
              <w:top w:val="single" w:sz="4" w:space="0" w:color="0398D7"/>
              <w:left w:val="single" w:sz="4" w:space="0" w:color="0398D7"/>
              <w:bottom w:val="single" w:sz="4" w:space="0" w:color="0398D7"/>
              <w:right w:val="single" w:sz="4" w:space="0" w:color="0398D7"/>
            </w:tcBorders>
          </w:tcPr>
          <w:p w14:paraId="06687607" w14:textId="77777777" w:rsidR="0029658B" w:rsidRPr="00A66223" w:rsidRDefault="0029658B" w:rsidP="005F208F">
            <w:pPr>
              <w:rPr>
                <w:sz w:val="20"/>
                <w:szCs w:val="20"/>
              </w:rPr>
            </w:pPr>
            <w:r>
              <w:rPr>
                <w:sz w:val="20"/>
                <w:szCs w:val="20"/>
              </w:rPr>
              <w:t>Conduct evaluation studies of interventions to enhance communication; i</w:t>
            </w:r>
            <w:r w:rsidRPr="00A66223">
              <w:rPr>
                <w:sz w:val="20"/>
                <w:szCs w:val="20"/>
              </w:rPr>
              <w:t>mplement process measures such as development and use of referral pathways</w:t>
            </w:r>
            <w:r>
              <w:rPr>
                <w:sz w:val="20"/>
                <w:szCs w:val="20"/>
              </w:rPr>
              <w:t xml:space="preserve"> in early pregnancy</w:t>
            </w:r>
          </w:p>
        </w:tc>
      </w:tr>
      <w:tr w:rsidR="0029658B" w14:paraId="176D5BC3"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2A41BC67" w14:textId="77777777" w:rsidR="0029658B" w:rsidRPr="00A66223" w:rsidRDefault="0029658B"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36E597F5" w14:textId="77777777" w:rsidR="0029658B" w:rsidRPr="00A66223" w:rsidRDefault="0029658B" w:rsidP="005F208F">
            <w:pPr>
              <w:rPr>
                <w:sz w:val="20"/>
                <w:szCs w:val="20"/>
              </w:rPr>
            </w:pPr>
            <w:r w:rsidRPr="00A66223">
              <w:rPr>
                <w:sz w:val="20"/>
                <w:szCs w:val="20"/>
              </w:rPr>
              <w:t xml:space="preserve">Promote effective handover of care between services (antenatal – </w:t>
            </w:r>
            <w:r>
              <w:rPr>
                <w:sz w:val="20"/>
                <w:szCs w:val="20"/>
              </w:rPr>
              <w:t xml:space="preserve">intrapartum </w:t>
            </w:r>
            <w:r w:rsidRPr="00A66223">
              <w:rPr>
                <w:sz w:val="20"/>
                <w:szCs w:val="20"/>
              </w:rPr>
              <w:t>– postpartum)</w:t>
            </w:r>
          </w:p>
        </w:tc>
        <w:tc>
          <w:tcPr>
            <w:tcW w:w="4149" w:type="dxa"/>
            <w:tcBorders>
              <w:top w:val="single" w:sz="4" w:space="0" w:color="0398D7"/>
              <w:left w:val="single" w:sz="4" w:space="0" w:color="0398D7"/>
              <w:bottom w:val="single" w:sz="4" w:space="0" w:color="0398D7"/>
              <w:right w:val="single" w:sz="4" w:space="0" w:color="0398D7"/>
            </w:tcBorders>
          </w:tcPr>
          <w:p w14:paraId="210351FF" w14:textId="77777777" w:rsidR="0029658B" w:rsidRPr="00A66223" w:rsidRDefault="0029658B" w:rsidP="005F208F">
            <w:pPr>
              <w:rPr>
                <w:sz w:val="20"/>
                <w:szCs w:val="20"/>
              </w:rPr>
            </w:pPr>
            <w:r w:rsidRPr="00A66223">
              <w:rPr>
                <w:sz w:val="20"/>
                <w:szCs w:val="20"/>
              </w:rPr>
              <w:t>Implement process measures such as development and use of referral pathways</w:t>
            </w:r>
            <w:r>
              <w:rPr>
                <w:sz w:val="20"/>
                <w:szCs w:val="20"/>
              </w:rPr>
              <w:t xml:space="preserve">; </w:t>
            </w:r>
            <w:r>
              <w:rPr>
                <w:sz w:val="20"/>
                <w:szCs w:val="20"/>
              </w:rPr>
              <w:lastRenderedPageBreak/>
              <w:t xml:space="preserve">conduct evaluation studies of interventions to enhance communication </w:t>
            </w:r>
          </w:p>
        </w:tc>
      </w:tr>
      <w:tr w:rsidR="0029658B" w14:paraId="03B9414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5965FD30" w14:textId="77777777" w:rsidR="0029658B" w:rsidRPr="00A66223" w:rsidRDefault="0029658B"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38AF00DE" w14:textId="77777777" w:rsidR="0029658B" w:rsidRPr="00A66223" w:rsidRDefault="0029658B" w:rsidP="005F208F">
            <w:pPr>
              <w:rPr>
                <w:sz w:val="20"/>
                <w:szCs w:val="20"/>
              </w:rPr>
            </w:pPr>
            <w:r>
              <w:rPr>
                <w:sz w:val="20"/>
                <w:szCs w:val="20"/>
              </w:rPr>
              <w:t>Overcome historical barriers to cooperation and communication between professions in maternity care</w:t>
            </w:r>
          </w:p>
        </w:tc>
        <w:tc>
          <w:tcPr>
            <w:tcW w:w="4149" w:type="dxa"/>
            <w:tcBorders>
              <w:top w:val="single" w:sz="4" w:space="0" w:color="0398D7"/>
              <w:left w:val="single" w:sz="4" w:space="0" w:color="0398D7"/>
              <w:bottom w:val="single" w:sz="4" w:space="0" w:color="0398D7"/>
              <w:right w:val="single" w:sz="4" w:space="0" w:color="0398D7"/>
            </w:tcBorders>
          </w:tcPr>
          <w:p w14:paraId="2CC103BD" w14:textId="77777777" w:rsidR="0029658B" w:rsidRPr="00A66223" w:rsidRDefault="0029658B" w:rsidP="005F208F">
            <w:pPr>
              <w:rPr>
                <w:sz w:val="20"/>
                <w:szCs w:val="20"/>
              </w:rPr>
            </w:pPr>
            <w:r w:rsidRPr="00A66223">
              <w:rPr>
                <w:sz w:val="20"/>
                <w:szCs w:val="20"/>
              </w:rPr>
              <w:t>Assess the training of medical, nursing and midwifery students to promote capacity for</w:t>
            </w:r>
            <w:r>
              <w:rPr>
                <w:sz w:val="20"/>
                <w:szCs w:val="20"/>
              </w:rPr>
              <w:t xml:space="preserve"> multi</w:t>
            </w:r>
            <w:r w:rsidRPr="00A66223">
              <w:rPr>
                <w:sz w:val="20"/>
                <w:szCs w:val="20"/>
              </w:rPr>
              <w:t>disciplinary cooperation</w:t>
            </w:r>
            <w:r>
              <w:rPr>
                <w:sz w:val="20"/>
                <w:szCs w:val="20"/>
              </w:rPr>
              <w:t xml:space="preserve"> and communication</w:t>
            </w:r>
          </w:p>
        </w:tc>
      </w:tr>
      <w:tr w:rsidR="0029658B" w14:paraId="1DE68D13"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val="restart"/>
            <w:tcBorders>
              <w:top w:val="single" w:sz="4" w:space="0" w:color="0398D7"/>
              <w:left w:val="single" w:sz="4" w:space="0" w:color="0398D7"/>
              <w:bottom w:val="single" w:sz="4" w:space="0" w:color="0398D7"/>
              <w:right w:val="single" w:sz="4" w:space="0" w:color="0398D7"/>
            </w:tcBorders>
          </w:tcPr>
          <w:p w14:paraId="75091B0C" w14:textId="77777777" w:rsidR="0029658B" w:rsidRPr="00A66223" w:rsidRDefault="0029658B" w:rsidP="005F208F">
            <w:pPr>
              <w:rPr>
                <w:sz w:val="20"/>
                <w:szCs w:val="20"/>
              </w:rPr>
            </w:pPr>
            <w:r>
              <w:rPr>
                <w:sz w:val="20"/>
                <w:szCs w:val="20"/>
              </w:rPr>
              <w:t>Experiences of care</w:t>
            </w:r>
          </w:p>
        </w:tc>
        <w:tc>
          <w:tcPr>
            <w:tcW w:w="4148" w:type="dxa"/>
            <w:tcBorders>
              <w:top w:val="single" w:sz="4" w:space="0" w:color="0398D7"/>
              <w:left w:val="single" w:sz="4" w:space="0" w:color="0398D7"/>
              <w:bottom w:val="single" w:sz="4" w:space="0" w:color="0398D7"/>
              <w:right w:val="single" w:sz="4" w:space="0" w:color="0398D7"/>
            </w:tcBorders>
          </w:tcPr>
          <w:p w14:paraId="795FA3A7" w14:textId="77777777" w:rsidR="0029658B" w:rsidRPr="00A66223" w:rsidRDefault="0029658B" w:rsidP="005F208F">
            <w:pPr>
              <w:rPr>
                <w:sz w:val="20"/>
                <w:szCs w:val="20"/>
              </w:rPr>
            </w:pPr>
            <w:r>
              <w:rPr>
                <w:sz w:val="20"/>
                <w:szCs w:val="20"/>
              </w:rPr>
              <w:t>Incorporate routine use of PROMs and PREMs into maternity care</w:t>
            </w:r>
          </w:p>
        </w:tc>
        <w:tc>
          <w:tcPr>
            <w:tcW w:w="4149" w:type="dxa"/>
            <w:tcBorders>
              <w:top w:val="single" w:sz="4" w:space="0" w:color="0398D7"/>
              <w:left w:val="single" w:sz="4" w:space="0" w:color="0398D7"/>
              <w:bottom w:val="single" w:sz="4" w:space="0" w:color="0398D7"/>
              <w:right w:val="single" w:sz="4" w:space="0" w:color="0398D7"/>
            </w:tcBorders>
          </w:tcPr>
          <w:p w14:paraId="65162717" w14:textId="77777777" w:rsidR="0029658B" w:rsidRPr="00A66223" w:rsidRDefault="0029658B" w:rsidP="005F208F">
            <w:pPr>
              <w:rPr>
                <w:sz w:val="20"/>
                <w:szCs w:val="20"/>
              </w:rPr>
            </w:pPr>
            <w:r>
              <w:rPr>
                <w:sz w:val="20"/>
                <w:szCs w:val="20"/>
              </w:rPr>
              <w:t>Monitor and report PROMs and PREMs at national, jurisdictional and service levels</w:t>
            </w:r>
          </w:p>
        </w:tc>
      </w:tr>
      <w:tr w:rsidR="0029658B" w14:paraId="02266445"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30BEE513" w14:textId="77777777" w:rsidR="0029658B" w:rsidRPr="00A66223" w:rsidRDefault="0029658B"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2666D535" w14:textId="4FF5746D" w:rsidR="0029658B" w:rsidRPr="00A66223" w:rsidRDefault="0029658B" w:rsidP="0094459C">
            <w:pPr>
              <w:rPr>
                <w:sz w:val="20"/>
                <w:szCs w:val="20"/>
              </w:rPr>
            </w:pPr>
            <w:r>
              <w:rPr>
                <w:sz w:val="20"/>
                <w:szCs w:val="20"/>
              </w:rPr>
              <w:t xml:space="preserve">Adapt and validate PROMs and PREMs for cultural groups including </w:t>
            </w:r>
            <w:r w:rsidR="0094459C">
              <w:rPr>
                <w:sz w:val="20"/>
                <w:szCs w:val="20"/>
              </w:rPr>
              <w:t>Aboriginal and Torres Strait Islander peoples</w:t>
            </w:r>
          </w:p>
        </w:tc>
        <w:tc>
          <w:tcPr>
            <w:tcW w:w="4149" w:type="dxa"/>
            <w:tcBorders>
              <w:top w:val="single" w:sz="4" w:space="0" w:color="0398D7"/>
              <w:left w:val="single" w:sz="4" w:space="0" w:color="0398D7"/>
              <w:bottom w:val="single" w:sz="4" w:space="0" w:color="0398D7"/>
              <w:right w:val="single" w:sz="4" w:space="0" w:color="0398D7"/>
            </w:tcBorders>
          </w:tcPr>
          <w:p w14:paraId="520E1AC9" w14:textId="77777777" w:rsidR="0029658B" w:rsidRPr="00A66223" w:rsidRDefault="0029658B" w:rsidP="005F208F">
            <w:pPr>
              <w:rPr>
                <w:sz w:val="20"/>
                <w:szCs w:val="20"/>
              </w:rPr>
            </w:pPr>
            <w:r>
              <w:rPr>
                <w:sz w:val="20"/>
                <w:szCs w:val="20"/>
              </w:rPr>
              <w:t>Conduct evaluations of efforts to develop culturally appropriate instruments</w:t>
            </w:r>
          </w:p>
        </w:tc>
      </w:tr>
      <w:tr w:rsidR="0029658B" w14:paraId="7C58802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15E156FA" w14:textId="77777777" w:rsidR="0029658B" w:rsidRPr="00A66223" w:rsidRDefault="0029658B"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00D2793D" w14:textId="77777777" w:rsidR="0029658B" w:rsidRPr="00A66223" w:rsidRDefault="0029658B" w:rsidP="005F208F">
            <w:pPr>
              <w:rPr>
                <w:sz w:val="20"/>
                <w:szCs w:val="20"/>
              </w:rPr>
            </w:pPr>
            <w:r>
              <w:rPr>
                <w:sz w:val="20"/>
                <w:szCs w:val="20"/>
              </w:rPr>
              <w:t>Build an evidence base for maternity PROMs and PREMs in Australia</w:t>
            </w:r>
          </w:p>
        </w:tc>
        <w:tc>
          <w:tcPr>
            <w:tcW w:w="4149" w:type="dxa"/>
            <w:tcBorders>
              <w:top w:val="single" w:sz="4" w:space="0" w:color="0398D7"/>
              <w:left w:val="single" w:sz="4" w:space="0" w:color="0398D7"/>
              <w:bottom w:val="single" w:sz="4" w:space="0" w:color="0398D7"/>
              <w:right w:val="single" w:sz="4" w:space="0" w:color="0398D7"/>
            </w:tcBorders>
          </w:tcPr>
          <w:p w14:paraId="2581B70F" w14:textId="77777777" w:rsidR="0029658B" w:rsidRPr="00A66223" w:rsidRDefault="0029658B" w:rsidP="005F208F">
            <w:pPr>
              <w:rPr>
                <w:sz w:val="20"/>
                <w:szCs w:val="20"/>
              </w:rPr>
            </w:pPr>
            <w:r>
              <w:rPr>
                <w:sz w:val="20"/>
                <w:szCs w:val="20"/>
              </w:rPr>
              <w:t>Conduct research; for example, examine relationships between subjective and objective outcomes of care, or impacts of changes in service delivery and care provision (in line with the Strategy) on subjective outcomes and experiences</w:t>
            </w:r>
          </w:p>
        </w:tc>
      </w:tr>
      <w:tr w:rsidR="00871873" w14:paraId="26FB7717"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55" w:type="dxa"/>
            <w:gridSpan w:val="3"/>
            <w:tcBorders>
              <w:top w:val="single" w:sz="4" w:space="0" w:color="0398D7"/>
              <w:left w:val="single" w:sz="4" w:space="0" w:color="0398D7"/>
              <w:bottom w:val="single" w:sz="4" w:space="0" w:color="0398D7"/>
              <w:right w:val="single" w:sz="4" w:space="0" w:color="0398D7"/>
            </w:tcBorders>
          </w:tcPr>
          <w:p w14:paraId="0CEACE5D" w14:textId="0148B99E" w:rsidR="00871873" w:rsidRDefault="00871873" w:rsidP="005F208F">
            <w:pPr>
              <w:rPr>
                <w:sz w:val="20"/>
                <w:szCs w:val="20"/>
              </w:rPr>
            </w:pPr>
            <w:r w:rsidRPr="00C24842">
              <w:rPr>
                <w:b/>
                <w:sz w:val="20"/>
                <w:szCs w:val="20"/>
              </w:rPr>
              <w:t>Choice</w:t>
            </w:r>
          </w:p>
        </w:tc>
      </w:tr>
      <w:tr w:rsidR="00871873" w14:paraId="70A05862"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val="restart"/>
            <w:tcBorders>
              <w:top w:val="single" w:sz="4" w:space="0" w:color="0398D7"/>
              <w:left w:val="single" w:sz="4" w:space="0" w:color="0398D7"/>
              <w:bottom w:val="single" w:sz="4" w:space="0" w:color="0398D7"/>
              <w:right w:val="single" w:sz="4" w:space="0" w:color="0398D7"/>
            </w:tcBorders>
          </w:tcPr>
          <w:p w14:paraId="3DC2C069" w14:textId="77777777" w:rsidR="00871873" w:rsidRPr="00A66223" w:rsidRDefault="00871873" w:rsidP="005F208F">
            <w:pPr>
              <w:rPr>
                <w:sz w:val="20"/>
                <w:szCs w:val="20"/>
              </w:rPr>
            </w:pPr>
            <w:r>
              <w:rPr>
                <w:sz w:val="20"/>
                <w:szCs w:val="20"/>
              </w:rPr>
              <w:t>Evidence-based information to empower women</w:t>
            </w:r>
          </w:p>
        </w:tc>
        <w:tc>
          <w:tcPr>
            <w:tcW w:w="4148" w:type="dxa"/>
            <w:tcBorders>
              <w:top w:val="single" w:sz="4" w:space="0" w:color="0398D7"/>
              <w:left w:val="single" w:sz="4" w:space="0" w:color="0398D7"/>
              <w:bottom w:val="single" w:sz="4" w:space="0" w:color="0398D7"/>
              <w:right w:val="single" w:sz="4" w:space="0" w:color="0398D7"/>
            </w:tcBorders>
          </w:tcPr>
          <w:p w14:paraId="735C5861" w14:textId="77777777" w:rsidR="00871873" w:rsidRPr="00A66223" w:rsidRDefault="00871873" w:rsidP="005F208F">
            <w:pPr>
              <w:rPr>
                <w:sz w:val="20"/>
                <w:szCs w:val="20"/>
              </w:rPr>
            </w:pPr>
            <w:r>
              <w:rPr>
                <w:sz w:val="20"/>
                <w:szCs w:val="20"/>
              </w:rPr>
              <w:t>Create a standard, accessible document (e.g., checklist) based on the pregnancy care guidelines and provide this to all Australian women in early pregnancy</w:t>
            </w:r>
          </w:p>
        </w:tc>
        <w:tc>
          <w:tcPr>
            <w:tcW w:w="4149" w:type="dxa"/>
            <w:tcBorders>
              <w:top w:val="single" w:sz="4" w:space="0" w:color="0398D7"/>
              <w:left w:val="single" w:sz="4" w:space="0" w:color="0398D7"/>
              <w:bottom w:val="single" w:sz="4" w:space="0" w:color="0398D7"/>
              <w:right w:val="single" w:sz="4" w:space="0" w:color="0398D7"/>
            </w:tcBorders>
          </w:tcPr>
          <w:p w14:paraId="38B77215" w14:textId="77777777" w:rsidR="00871873" w:rsidRPr="00A66223" w:rsidRDefault="00871873" w:rsidP="005F208F">
            <w:pPr>
              <w:rPr>
                <w:sz w:val="20"/>
                <w:szCs w:val="20"/>
              </w:rPr>
            </w:pPr>
            <w:r>
              <w:rPr>
                <w:sz w:val="20"/>
                <w:szCs w:val="20"/>
              </w:rPr>
              <w:t>Document (e.g., in the EMR) the provision of this information in early pregnancy along with items capturing evidence that the pregnancy care guidelines are followed by providers throughout antenatal care; conduct linkage studies evaluating care outcomes</w:t>
            </w:r>
          </w:p>
        </w:tc>
      </w:tr>
      <w:tr w:rsidR="00871873" w14:paraId="3E06B55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526B8FC0"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0376A52D" w14:textId="77777777" w:rsidR="00871873" w:rsidRPr="00A66223" w:rsidRDefault="00871873" w:rsidP="005F208F">
            <w:pPr>
              <w:rPr>
                <w:sz w:val="20"/>
                <w:szCs w:val="20"/>
              </w:rPr>
            </w:pPr>
            <w:r>
              <w:rPr>
                <w:sz w:val="20"/>
                <w:szCs w:val="20"/>
              </w:rPr>
              <w:t>Ensure information provided by hospitals clearly distinguishes evidence-based guidance from hospital policy</w:t>
            </w:r>
          </w:p>
        </w:tc>
        <w:tc>
          <w:tcPr>
            <w:tcW w:w="4149" w:type="dxa"/>
            <w:tcBorders>
              <w:top w:val="single" w:sz="4" w:space="0" w:color="0398D7"/>
              <w:left w:val="single" w:sz="4" w:space="0" w:color="0398D7"/>
              <w:bottom w:val="single" w:sz="4" w:space="0" w:color="0398D7"/>
              <w:right w:val="single" w:sz="4" w:space="0" w:color="0398D7"/>
            </w:tcBorders>
          </w:tcPr>
          <w:p w14:paraId="79AB5C74" w14:textId="77777777" w:rsidR="00871873" w:rsidRPr="00A66223" w:rsidRDefault="00871873" w:rsidP="005F208F">
            <w:pPr>
              <w:rPr>
                <w:sz w:val="20"/>
                <w:szCs w:val="20"/>
              </w:rPr>
            </w:pPr>
            <w:r>
              <w:rPr>
                <w:sz w:val="20"/>
                <w:szCs w:val="20"/>
              </w:rPr>
              <w:t>Evaluate materials such as handouts provided to women by services</w:t>
            </w:r>
          </w:p>
        </w:tc>
      </w:tr>
      <w:tr w:rsidR="00871873" w14:paraId="155B7F8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2266C2EA"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5B50405B" w14:textId="77777777" w:rsidR="00871873" w:rsidRDefault="00871873" w:rsidP="005F208F">
            <w:pPr>
              <w:rPr>
                <w:sz w:val="20"/>
                <w:szCs w:val="20"/>
              </w:rPr>
            </w:pPr>
            <w:r>
              <w:rPr>
                <w:sz w:val="20"/>
                <w:szCs w:val="20"/>
              </w:rPr>
              <w:t>Provide education to the public around the role and scope of practice of midwifery and its evidence base</w:t>
            </w:r>
          </w:p>
        </w:tc>
        <w:tc>
          <w:tcPr>
            <w:tcW w:w="4149" w:type="dxa"/>
            <w:tcBorders>
              <w:top w:val="single" w:sz="4" w:space="0" w:color="0398D7"/>
              <w:left w:val="single" w:sz="4" w:space="0" w:color="0398D7"/>
              <w:bottom w:val="single" w:sz="4" w:space="0" w:color="0398D7"/>
              <w:right w:val="single" w:sz="4" w:space="0" w:color="0398D7"/>
            </w:tcBorders>
          </w:tcPr>
          <w:p w14:paraId="30C1C97D" w14:textId="77777777" w:rsidR="00871873" w:rsidRDefault="00871873" w:rsidP="005F208F">
            <w:pPr>
              <w:rPr>
                <w:sz w:val="20"/>
                <w:szCs w:val="20"/>
              </w:rPr>
            </w:pPr>
            <w:r>
              <w:rPr>
                <w:sz w:val="20"/>
                <w:szCs w:val="20"/>
              </w:rPr>
              <w:t>Evaluate materials such as online resources and handouts provided to women by GPs and services</w:t>
            </w:r>
          </w:p>
        </w:tc>
      </w:tr>
      <w:tr w:rsidR="00871873" w14:paraId="14E0A638"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72372917"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49303E28" w14:textId="77777777" w:rsidR="00871873" w:rsidRPr="00A66223" w:rsidRDefault="00871873" w:rsidP="005F208F">
            <w:pPr>
              <w:rPr>
                <w:sz w:val="20"/>
                <w:szCs w:val="20"/>
              </w:rPr>
            </w:pPr>
            <w:r>
              <w:rPr>
                <w:sz w:val="20"/>
                <w:szCs w:val="20"/>
              </w:rPr>
              <w:t>Ensure women have access to information from early pregnancy onwards, including evidence around screening tests and genetic testing</w:t>
            </w:r>
          </w:p>
        </w:tc>
        <w:tc>
          <w:tcPr>
            <w:tcW w:w="4149" w:type="dxa"/>
            <w:tcBorders>
              <w:top w:val="single" w:sz="4" w:space="0" w:color="0398D7"/>
              <w:left w:val="single" w:sz="4" w:space="0" w:color="0398D7"/>
              <w:bottom w:val="single" w:sz="4" w:space="0" w:color="0398D7"/>
              <w:right w:val="single" w:sz="4" w:space="0" w:color="0398D7"/>
            </w:tcBorders>
          </w:tcPr>
          <w:p w14:paraId="5ACD6676" w14:textId="77777777" w:rsidR="00871873" w:rsidRPr="00A66223" w:rsidRDefault="00871873" w:rsidP="005F208F">
            <w:pPr>
              <w:rPr>
                <w:sz w:val="20"/>
                <w:szCs w:val="20"/>
              </w:rPr>
            </w:pPr>
            <w:r>
              <w:rPr>
                <w:sz w:val="20"/>
                <w:szCs w:val="20"/>
              </w:rPr>
              <w:t xml:space="preserve">Evaluate materials such as online resources and handouts provided to women by services </w:t>
            </w:r>
          </w:p>
        </w:tc>
      </w:tr>
      <w:tr w:rsidR="00871873" w14:paraId="0D8050DA"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val="restart"/>
            <w:tcBorders>
              <w:top w:val="single" w:sz="4" w:space="0" w:color="0398D7"/>
              <w:left w:val="single" w:sz="4" w:space="0" w:color="0398D7"/>
              <w:bottom w:val="single" w:sz="4" w:space="0" w:color="0398D7"/>
              <w:right w:val="single" w:sz="4" w:space="0" w:color="0398D7"/>
            </w:tcBorders>
          </w:tcPr>
          <w:p w14:paraId="095574A9" w14:textId="77777777" w:rsidR="00871873" w:rsidRPr="00A66223" w:rsidRDefault="00871873" w:rsidP="005F208F">
            <w:pPr>
              <w:rPr>
                <w:sz w:val="20"/>
                <w:szCs w:val="20"/>
              </w:rPr>
            </w:pPr>
            <w:r>
              <w:rPr>
                <w:sz w:val="20"/>
                <w:szCs w:val="20"/>
              </w:rPr>
              <w:t>Shared decision making</w:t>
            </w:r>
          </w:p>
        </w:tc>
        <w:tc>
          <w:tcPr>
            <w:tcW w:w="4148" w:type="dxa"/>
            <w:tcBorders>
              <w:top w:val="single" w:sz="4" w:space="0" w:color="0398D7"/>
              <w:left w:val="single" w:sz="4" w:space="0" w:color="0398D7"/>
              <w:bottom w:val="single" w:sz="4" w:space="0" w:color="0398D7"/>
              <w:right w:val="single" w:sz="4" w:space="0" w:color="0398D7"/>
            </w:tcBorders>
          </w:tcPr>
          <w:p w14:paraId="2E69215B" w14:textId="77777777" w:rsidR="00871873" w:rsidRPr="00A66223" w:rsidRDefault="00871873" w:rsidP="005F208F">
            <w:pPr>
              <w:rPr>
                <w:sz w:val="20"/>
                <w:szCs w:val="20"/>
              </w:rPr>
            </w:pPr>
            <w:r>
              <w:rPr>
                <w:sz w:val="20"/>
                <w:szCs w:val="20"/>
              </w:rPr>
              <w:t>Understand how shared decision making is undertaken by different providers and its impacts on informed choice</w:t>
            </w:r>
          </w:p>
        </w:tc>
        <w:tc>
          <w:tcPr>
            <w:tcW w:w="4149" w:type="dxa"/>
            <w:tcBorders>
              <w:top w:val="single" w:sz="4" w:space="0" w:color="0398D7"/>
              <w:left w:val="single" w:sz="4" w:space="0" w:color="0398D7"/>
              <w:bottom w:val="single" w:sz="4" w:space="0" w:color="0398D7"/>
              <w:right w:val="single" w:sz="4" w:space="0" w:color="0398D7"/>
            </w:tcBorders>
          </w:tcPr>
          <w:p w14:paraId="12316F1C" w14:textId="77777777" w:rsidR="00871873" w:rsidRPr="00A66223" w:rsidRDefault="00871873" w:rsidP="005F208F">
            <w:pPr>
              <w:rPr>
                <w:sz w:val="20"/>
                <w:szCs w:val="20"/>
              </w:rPr>
            </w:pPr>
            <w:r>
              <w:rPr>
                <w:sz w:val="20"/>
                <w:szCs w:val="20"/>
              </w:rPr>
              <w:t>Conduct mixed-methods evaluation studies of various approaches to shared decision making</w:t>
            </w:r>
          </w:p>
        </w:tc>
      </w:tr>
      <w:tr w:rsidR="00871873" w14:paraId="117D1469"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0EAA8035"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3E052FE5" w14:textId="77777777" w:rsidR="00871873" w:rsidRPr="00A66223" w:rsidRDefault="00871873" w:rsidP="005F208F">
            <w:pPr>
              <w:rPr>
                <w:sz w:val="20"/>
                <w:szCs w:val="20"/>
              </w:rPr>
            </w:pPr>
            <w:r>
              <w:rPr>
                <w:sz w:val="20"/>
                <w:szCs w:val="20"/>
              </w:rPr>
              <w:t>Ensure women are aware of their healthcare rights</w:t>
            </w:r>
          </w:p>
        </w:tc>
        <w:tc>
          <w:tcPr>
            <w:tcW w:w="4149" w:type="dxa"/>
            <w:tcBorders>
              <w:top w:val="single" w:sz="4" w:space="0" w:color="0398D7"/>
              <w:left w:val="single" w:sz="4" w:space="0" w:color="0398D7"/>
              <w:bottom w:val="single" w:sz="4" w:space="0" w:color="0398D7"/>
              <w:right w:val="single" w:sz="4" w:space="0" w:color="0398D7"/>
            </w:tcBorders>
          </w:tcPr>
          <w:p w14:paraId="680B3855" w14:textId="77777777" w:rsidR="00871873" w:rsidRPr="00A66223" w:rsidRDefault="00871873" w:rsidP="005F208F">
            <w:pPr>
              <w:rPr>
                <w:sz w:val="20"/>
                <w:szCs w:val="20"/>
              </w:rPr>
            </w:pPr>
            <w:r>
              <w:rPr>
                <w:sz w:val="20"/>
                <w:szCs w:val="20"/>
              </w:rPr>
              <w:t>Evaluate materials such as handouts provided to women by services</w:t>
            </w:r>
          </w:p>
        </w:tc>
      </w:tr>
      <w:tr w:rsidR="00871873" w14:paraId="24666586"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0684B978"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2CCBE259" w14:textId="77777777" w:rsidR="00871873" w:rsidRPr="00A66223" w:rsidRDefault="00871873" w:rsidP="005F208F">
            <w:pPr>
              <w:rPr>
                <w:sz w:val="20"/>
                <w:szCs w:val="20"/>
              </w:rPr>
            </w:pPr>
            <w:r>
              <w:rPr>
                <w:sz w:val="20"/>
                <w:szCs w:val="20"/>
              </w:rPr>
              <w:t>Support women’s autonomy of decision making about models of care and other reproductive choices</w:t>
            </w:r>
          </w:p>
        </w:tc>
        <w:tc>
          <w:tcPr>
            <w:tcW w:w="4149" w:type="dxa"/>
            <w:tcBorders>
              <w:top w:val="single" w:sz="4" w:space="0" w:color="0398D7"/>
              <w:left w:val="single" w:sz="4" w:space="0" w:color="0398D7"/>
              <w:bottom w:val="single" w:sz="4" w:space="0" w:color="0398D7"/>
              <w:right w:val="single" w:sz="4" w:space="0" w:color="0398D7"/>
            </w:tcBorders>
          </w:tcPr>
          <w:p w14:paraId="24B73B30" w14:textId="77777777" w:rsidR="00871873" w:rsidRPr="00A66223" w:rsidRDefault="00871873" w:rsidP="005F208F">
            <w:pPr>
              <w:rPr>
                <w:sz w:val="20"/>
                <w:szCs w:val="20"/>
              </w:rPr>
            </w:pPr>
            <w:r>
              <w:rPr>
                <w:sz w:val="20"/>
                <w:szCs w:val="20"/>
              </w:rPr>
              <w:t>Evaluate materials such as online resources and handouts provided to women by services</w:t>
            </w:r>
          </w:p>
        </w:tc>
      </w:tr>
      <w:tr w:rsidR="00871873" w14:paraId="6FFC1834"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55" w:type="dxa"/>
            <w:gridSpan w:val="3"/>
            <w:tcBorders>
              <w:top w:val="single" w:sz="4" w:space="0" w:color="0398D7"/>
              <w:left w:val="single" w:sz="4" w:space="0" w:color="0398D7"/>
              <w:bottom w:val="single" w:sz="4" w:space="0" w:color="0398D7"/>
              <w:right w:val="single" w:sz="4" w:space="0" w:color="0398D7"/>
            </w:tcBorders>
          </w:tcPr>
          <w:p w14:paraId="53794FED" w14:textId="6CE74848" w:rsidR="00871873" w:rsidRPr="00000403" w:rsidRDefault="00871873" w:rsidP="005F208F">
            <w:pPr>
              <w:rPr>
                <w:sz w:val="20"/>
                <w:szCs w:val="20"/>
              </w:rPr>
            </w:pPr>
            <w:r w:rsidRPr="00C24842">
              <w:rPr>
                <w:b/>
                <w:sz w:val="20"/>
                <w:szCs w:val="20"/>
              </w:rPr>
              <w:t>Access</w:t>
            </w:r>
          </w:p>
        </w:tc>
      </w:tr>
      <w:tr w:rsidR="00871873" w14:paraId="32BBDD26"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val="restart"/>
            <w:tcBorders>
              <w:top w:val="single" w:sz="4" w:space="0" w:color="0398D7"/>
              <w:left w:val="single" w:sz="4" w:space="0" w:color="0398D7"/>
              <w:bottom w:val="single" w:sz="4" w:space="0" w:color="0398D7"/>
              <w:right w:val="single" w:sz="4" w:space="0" w:color="0398D7"/>
            </w:tcBorders>
          </w:tcPr>
          <w:p w14:paraId="5AF31170" w14:textId="77777777" w:rsidR="00871873" w:rsidRPr="00A66223" w:rsidRDefault="00871873" w:rsidP="005F208F">
            <w:pPr>
              <w:rPr>
                <w:sz w:val="20"/>
                <w:szCs w:val="20"/>
              </w:rPr>
            </w:pPr>
            <w:r>
              <w:rPr>
                <w:sz w:val="20"/>
                <w:szCs w:val="20"/>
              </w:rPr>
              <w:t>Access to c</w:t>
            </w:r>
            <w:r w:rsidRPr="00A66223">
              <w:rPr>
                <w:sz w:val="20"/>
                <w:szCs w:val="20"/>
              </w:rPr>
              <w:t xml:space="preserve">ontinuity of </w:t>
            </w:r>
            <w:r>
              <w:rPr>
                <w:sz w:val="20"/>
                <w:szCs w:val="20"/>
              </w:rPr>
              <w:t>care</w:t>
            </w:r>
          </w:p>
        </w:tc>
        <w:tc>
          <w:tcPr>
            <w:tcW w:w="4148" w:type="dxa"/>
            <w:tcBorders>
              <w:top w:val="single" w:sz="4" w:space="0" w:color="0398D7"/>
              <w:left w:val="single" w:sz="4" w:space="0" w:color="0398D7"/>
              <w:bottom w:val="single" w:sz="4" w:space="0" w:color="0398D7"/>
              <w:right w:val="single" w:sz="4" w:space="0" w:color="0398D7"/>
            </w:tcBorders>
          </w:tcPr>
          <w:p w14:paraId="39F0E961" w14:textId="77777777" w:rsidR="00871873" w:rsidRPr="00000403" w:rsidRDefault="00871873" w:rsidP="005F208F">
            <w:pPr>
              <w:rPr>
                <w:sz w:val="20"/>
                <w:szCs w:val="20"/>
              </w:rPr>
            </w:pPr>
            <w:r w:rsidRPr="00000403">
              <w:rPr>
                <w:sz w:val="20"/>
                <w:szCs w:val="20"/>
              </w:rPr>
              <w:t>Evaluate access to and effectiveness of various maternity models of care</w:t>
            </w:r>
          </w:p>
        </w:tc>
        <w:tc>
          <w:tcPr>
            <w:tcW w:w="4149" w:type="dxa"/>
            <w:tcBorders>
              <w:top w:val="single" w:sz="4" w:space="0" w:color="0398D7"/>
              <w:left w:val="single" w:sz="4" w:space="0" w:color="0398D7"/>
              <w:bottom w:val="single" w:sz="4" w:space="0" w:color="0398D7"/>
              <w:right w:val="single" w:sz="4" w:space="0" w:color="0398D7"/>
            </w:tcBorders>
          </w:tcPr>
          <w:p w14:paraId="6A35F318" w14:textId="77777777" w:rsidR="00871873" w:rsidRPr="00000403" w:rsidRDefault="00871873" w:rsidP="005F208F">
            <w:pPr>
              <w:rPr>
                <w:sz w:val="20"/>
                <w:szCs w:val="20"/>
              </w:rPr>
            </w:pPr>
            <w:r w:rsidRPr="00000403">
              <w:rPr>
                <w:sz w:val="20"/>
                <w:szCs w:val="20"/>
              </w:rPr>
              <w:t>Link Primary model of care and Model of care at birth with national and jurisdictional datasets to evaluate processes and outcomes for women and babies</w:t>
            </w:r>
          </w:p>
        </w:tc>
      </w:tr>
      <w:tr w:rsidR="00871873" w14:paraId="410EF1B8"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6C1FD730"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1C8F4B38" w14:textId="77777777" w:rsidR="00871873" w:rsidRPr="00A66223" w:rsidRDefault="00871873" w:rsidP="005F208F">
            <w:pPr>
              <w:rPr>
                <w:sz w:val="20"/>
                <w:szCs w:val="20"/>
              </w:rPr>
            </w:pPr>
            <w:r w:rsidRPr="00A66223">
              <w:rPr>
                <w:sz w:val="20"/>
                <w:szCs w:val="20"/>
              </w:rPr>
              <w:t xml:space="preserve">Promote effective handover of care between services (antenatal – </w:t>
            </w:r>
            <w:r>
              <w:rPr>
                <w:sz w:val="20"/>
                <w:szCs w:val="20"/>
              </w:rPr>
              <w:t xml:space="preserve">intrapartum </w:t>
            </w:r>
            <w:r w:rsidRPr="00A66223">
              <w:rPr>
                <w:sz w:val="20"/>
                <w:szCs w:val="20"/>
              </w:rPr>
              <w:t>– postpartum)</w:t>
            </w:r>
          </w:p>
        </w:tc>
        <w:tc>
          <w:tcPr>
            <w:tcW w:w="4149" w:type="dxa"/>
            <w:tcBorders>
              <w:top w:val="single" w:sz="4" w:space="0" w:color="0398D7"/>
              <w:left w:val="single" w:sz="4" w:space="0" w:color="0398D7"/>
              <w:bottom w:val="single" w:sz="4" w:space="0" w:color="0398D7"/>
              <w:right w:val="single" w:sz="4" w:space="0" w:color="0398D7"/>
            </w:tcBorders>
          </w:tcPr>
          <w:p w14:paraId="404563B5" w14:textId="77777777" w:rsidR="00871873" w:rsidRPr="00A66223" w:rsidRDefault="00871873" w:rsidP="005F208F">
            <w:pPr>
              <w:rPr>
                <w:sz w:val="20"/>
                <w:szCs w:val="20"/>
              </w:rPr>
            </w:pPr>
            <w:r w:rsidRPr="00A66223">
              <w:rPr>
                <w:sz w:val="20"/>
                <w:szCs w:val="20"/>
              </w:rPr>
              <w:t>Implement process measures such as development and use of referral pathways</w:t>
            </w:r>
          </w:p>
        </w:tc>
      </w:tr>
      <w:tr w:rsidR="00871873" w14:paraId="42C08154"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755BE6F3"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61B7E093" w14:textId="77777777" w:rsidR="00871873" w:rsidRPr="00A66223" w:rsidRDefault="00871873" w:rsidP="005F208F">
            <w:pPr>
              <w:rPr>
                <w:sz w:val="20"/>
                <w:szCs w:val="20"/>
              </w:rPr>
            </w:pPr>
            <w:r w:rsidRPr="00A66223">
              <w:rPr>
                <w:sz w:val="20"/>
                <w:szCs w:val="20"/>
              </w:rPr>
              <w:t>Ensure availability of maternal and child health nurses or similar across and within jurisdictions; gain national agreement on required qualifications</w:t>
            </w:r>
          </w:p>
        </w:tc>
        <w:tc>
          <w:tcPr>
            <w:tcW w:w="4149" w:type="dxa"/>
            <w:tcBorders>
              <w:top w:val="single" w:sz="4" w:space="0" w:color="0398D7"/>
              <w:left w:val="single" w:sz="4" w:space="0" w:color="0398D7"/>
              <w:bottom w:val="single" w:sz="4" w:space="0" w:color="0398D7"/>
              <w:right w:val="single" w:sz="4" w:space="0" w:color="0398D7"/>
            </w:tcBorders>
          </w:tcPr>
          <w:p w14:paraId="662F619C" w14:textId="77777777" w:rsidR="00871873" w:rsidRPr="00A66223" w:rsidRDefault="00871873" w:rsidP="005F208F">
            <w:pPr>
              <w:rPr>
                <w:sz w:val="20"/>
                <w:szCs w:val="20"/>
              </w:rPr>
            </w:pPr>
            <w:r w:rsidRPr="00A66223">
              <w:rPr>
                <w:sz w:val="20"/>
                <w:szCs w:val="20"/>
              </w:rPr>
              <w:t>Improve workforce estimates and data on caseloads; study the extent and impact of differences in qualifications and skills required in this workforce across Australia</w:t>
            </w:r>
          </w:p>
        </w:tc>
      </w:tr>
      <w:tr w:rsidR="00871873" w14:paraId="6DB9CB0F"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6E2E3D51"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7EF34967" w14:textId="77777777" w:rsidR="00871873" w:rsidRPr="00A66223" w:rsidRDefault="00871873" w:rsidP="005F208F">
            <w:pPr>
              <w:rPr>
                <w:sz w:val="20"/>
                <w:szCs w:val="20"/>
              </w:rPr>
            </w:pPr>
            <w:r w:rsidRPr="00A66223">
              <w:rPr>
                <w:sz w:val="20"/>
                <w:szCs w:val="20"/>
              </w:rPr>
              <w:t>Understand differences in continuity of primary care provision throughout pregnancy, birth and postpartum period</w:t>
            </w:r>
          </w:p>
        </w:tc>
        <w:tc>
          <w:tcPr>
            <w:tcW w:w="4149" w:type="dxa"/>
            <w:tcBorders>
              <w:top w:val="single" w:sz="4" w:space="0" w:color="0398D7"/>
              <w:left w:val="single" w:sz="4" w:space="0" w:color="0398D7"/>
              <w:bottom w:val="single" w:sz="4" w:space="0" w:color="0398D7"/>
              <w:right w:val="single" w:sz="4" w:space="0" w:color="0398D7"/>
            </w:tcBorders>
          </w:tcPr>
          <w:p w14:paraId="5653F3B8" w14:textId="77777777" w:rsidR="00871873" w:rsidRPr="00A66223" w:rsidRDefault="00871873" w:rsidP="005F208F">
            <w:pPr>
              <w:rPr>
                <w:sz w:val="20"/>
                <w:szCs w:val="20"/>
              </w:rPr>
            </w:pPr>
            <w:r w:rsidRPr="00A66223">
              <w:rPr>
                <w:sz w:val="20"/>
                <w:szCs w:val="20"/>
              </w:rPr>
              <w:t>Examine and compare MBS data on number of different providers women are accessing</w:t>
            </w:r>
          </w:p>
        </w:tc>
      </w:tr>
      <w:tr w:rsidR="00871873" w14:paraId="122EB8A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val="restart"/>
            <w:tcBorders>
              <w:top w:val="single" w:sz="4" w:space="0" w:color="0398D7"/>
              <w:left w:val="single" w:sz="4" w:space="0" w:color="0398D7"/>
              <w:bottom w:val="single" w:sz="4" w:space="0" w:color="0398D7"/>
              <w:right w:val="single" w:sz="4" w:space="0" w:color="0398D7"/>
            </w:tcBorders>
          </w:tcPr>
          <w:p w14:paraId="0BAFE9E6" w14:textId="77777777" w:rsidR="00871873" w:rsidRPr="00A66223" w:rsidRDefault="00871873" w:rsidP="005F208F">
            <w:pPr>
              <w:rPr>
                <w:sz w:val="20"/>
                <w:szCs w:val="20"/>
              </w:rPr>
            </w:pPr>
            <w:r w:rsidRPr="00A66223">
              <w:rPr>
                <w:sz w:val="20"/>
                <w:szCs w:val="20"/>
              </w:rPr>
              <w:lastRenderedPageBreak/>
              <w:t>Access to perinatal mental health care</w:t>
            </w:r>
          </w:p>
        </w:tc>
        <w:tc>
          <w:tcPr>
            <w:tcW w:w="4148" w:type="dxa"/>
            <w:tcBorders>
              <w:top w:val="single" w:sz="4" w:space="0" w:color="0398D7"/>
              <w:left w:val="single" w:sz="4" w:space="0" w:color="0398D7"/>
              <w:bottom w:val="single" w:sz="4" w:space="0" w:color="0398D7"/>
              <w:right w:val="single" w:sz="4" w:space="0" w:color="0398D7"/>
            </w:tcBorders>
          </w:tcPr>
          <w:p w14:paraId="76ACE24F" w14:textId="77777777" w:rsidR="00871873" w:rsidRPr="00A66223" w:rsidRDefault="00871873" w:rsidP="005F208F">
            <w:pPr>
              <w:rPr>
                <w:sz w:val="20"/>
                <w:szCs w:val="20"/>
              </w:rPr>
            </w:pPr>
            <w:r w:rsidRPr="00A66223">
              <w:rPr>
                <w:sz w:val="20"/>
                <w:szCs w:val="20"/>
              </w:rPr>
              <w:t>Reduce variation in mental health care access and provision</w:t>
            </w:r>
          </w:p>
        </w:tc>
        <w:tc>
          <w:tcPr>
            <w:tcW w:w="4149" w:type="dxa"/>
            <w:tcBorders>
              <w:top w:val="single" w:sz="4" w:space="0" w:color="0398D7"/>
              <w:left w:val="single" w:sz="4" w:space="0" w:color="0398D7"/>
              <w:bottom w:val="single" w:sz="4" w:space="0" w:color="0398D7"/>
              <w:right w:val="single" w:sz="4" w:space="0" w:color="0398D7"/>
            </w:tcBorders>
          </w:tcPr>
          <w:p w14:paraId="6172F505" w14:textId="77777777" w:rsidR="00871873" w:rsidRPr="00A66223" w:rsidRDefault="00871873" w:rsidP="005F208F">
            <w:pPr>
              <w:rPr>
                <w:sz w:val="20"/>
                <w:szCs w:val="20"/>
              </w:rPr>
            </w:pPr>
            <w:r w:rsidRPr="00A66223">
              <w:rPr>
                <w:sz w:val="20"/>
                <w:szCs w:val="20"/>
              </w:rPr>
              <w:t xml:space="preserve">Extend mandatory maternal data collection beyond six weeks postpartum, including maternal deaths </w:t>
            </w:r>
          </w:p>
        </w:tc>
      </w:tr>
      <w:tr w:rsidR="00871873" w14:paraId="7CEAAD73"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256DBCFA"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7DF7770B" w14:textId="77777777" w:rsidR="00871873" w:rsidRPr="00A66223" w:rsidRDefault="00871873" w:rsidP="005F208F">
            <w:pPr>
              <w:rPr>
                <w:sz w:val="20"/>
                <w:szCs w:val="20"/>
              </w:rPr>
            </w:pPr>
            <w:r w:rsidRPr="00A66223">
              <w:rPr>
                <w:sz w:val="20"/>
                <w:szCs w:val="20"/>
              </w:rPr>
              <w:t>Develop systems to support perinatal mental health care in primary care settings</w:t>
            </w:r>
          </w:p>
        </w:tc>
        <w:tc>
          <w:tcPr>
            <w:tcW w:w="4149" w:type="dxa"/>
            <w:tcBorders>
              <w:top w:val="single" w:sz="4" w:space="0" w:color="0398D7"/>
              <w:left w:val="single" w:sz="4" w:space="0" w:color="0398D7"/>
              <w:bottom w:val="single" w:sz="4" w:space="0" w:color="0398D7"/>
              <w:right w:val="single" w:sz="4" w:space="0" w:color="0398D7"/>
            </w:tcBorders>
          </w:tcPr>
          <w:p w14:paraId="199ED1FE" w14:textId="77777777" w:rsidR="00871873" w:rsidRPr="00A66223" w:rsidRDefault="00871873" w:rsidP="005F208F">
            <w:pPr>
              <w:rPr>
                <w:sz w:val="20"/>
                <w:szCs w:val="20"/>
              </w:rPr>
            </w:pPr>
            <w:r w:rsidRPr="00A66223">
              <w:rPr>
                <w:sz w:val="20"/>
                <w:szCs w:val="20"/>
              </w:rPr>
              <w:t xml:space="preserve">Implement process measures such as systems for automatic prompting </w:t>
            </w:r>
            <w:r>
              <w:rPr>
                <w:sz w:val="20"/>
                <w:szCs w:val="20"/>
              </w:rPr>
              <w:t>routine mental health screening</w:t>
            </w:r>
          </w:p>
        </w:tc>
      </w:tr>
      <w:tr w:rsidR="00871873" w14:paraId="39F3AAFE"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520D0D1D"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59BCE095" w14:textId="77777777" w:rsidR="00871873" w:rsidRPr="00A66223" w:rsidRDefault="00871873" w:rsidP="005F208F">
            <w:pPr>
              <w:rPr>
                <w:sz w:val="20"/>
                <w:szCs w:val="20"/>
              </w:rPr>
            </w:pPr>
            <w:r w:rsidRPr="00A66223">
              <w:rPr>
                <w:sz w:val="20"/>
                <w:szCs w:val="20"/>
              </w:rPr>
              <w:t>Support referral to specialist services (e.g., mental health care) following a positive screening test</w:t>
            </w:r>
          </w:p>
        </w:tc>
        <w:tc>
          <w:tcPr>
            <w:tcW w:w="4149" w:type="dxa"/>
            <w:tcBorders>
              <w:top w:val="single" w:sz="4" w:space="0" w:color="0398D7"/>
              <w:left w:val="single" w:sz="4" w:space="0" w:color="0398D7"/>
              <w:bottom w:val="single" w:sz="4" w:space="0" w:color="0398D7"/>
              <w:right w:val="single" w:sz="4" w:space="0" w:color="0398D7"/>
            </w:tcBorders>
          </w:tcPr>
          <w:p w14:paraId="3E00A62C" w14:textId="77777777" w:rsidR="00871873" w:rsidRPr="00A66223" w:rsidRDefault="00871873" w:rsidP="005F208F">
            <w:pPr>
              <w:rPr>
                <w:sz w:val="20"/>
                <w:szCs w:val="20"/>
              </w:rPr>
            </w:pPr>
            <w:r w:rsidRPr="00A66223">
              <w:rPr>
                <w:sz w:val="20"/>
                <w:szCs w:val="20"/>
              </w:rPr>
              <w:t>Track links between referrals and subsequent use of specialist services; introduce maternity flag in MBS</w:t>
            </w:r>
            <w:r>
              <w:rPr>
                <w:sz w:val="20"/>
                <w:szCs w:val="20"/>
              </w:rPr>
              <w:t xml:space="preserve"> and other data collections</w:t>
            </w:r>
          </w:p>
        </w:tc>
      </w:tr>
      <w:tr w:rsidR="00871873" w14:paraId="7BB7EE60"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53F3B747"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47CAF2F0" w14:textId="77777777" w:rsidR="00871873" w:rsidRPr="00A66223" w:rsidRDefault="00871873" w:rsidP="005F208F">
            <w:pPr>
              <w:rPr>
                <w:sz w:val="20"/>
                <w:szCs w:val="20"/>
              </w:rPr>
            </w:pPr>
            <w:r w:rsidRPr="00A66223">
              <w:rPr>
                <w:sz w:val="20"/>
                <w:szCs w:val="20"/>
              </w:rPr>
              <w:t>Improve workforce capacity and skills in mental health and pregnancy care</w:t>
            </w:r>
          </w:p>
        </w:tc>
        <w:tc>
          <w:tcPr>
            <w:tcW w:w="4149" w:type="dxa"/>
            <w:tcBorders>
              <w:top w:val="single" w:sz="4" w:space="0" w:color="0398D7"/>
              <w:left w:val="single" w:sz="4" w:space="0" w:color="0398D7"/>
              <w:bottom w:val="single" w:sz="4" w:space="0" w:color="0398D7"/>
              <w:right w:val="single" w:sz="4" w:space="0" w:color="0398D7"/>
            </w:tcBorders>
          </w:tcPr>
          <w:p w14:paraId="4FD6BA5A" w14:textId="77777777" w:rsidR="00871873" w:rsidRPr="00A66223" w:rsidRDefault="00871873" w:rsidP="005F208F">
            <w:pPr>
              <w:rPr>
                <w:sz w:val="20"/>
                <w:szCs w:val="20"/>
              </w:rPr>
            </w:pPr>
            <w:r w:rsidRPr="00A66223">
              <w:rPr>
                <w:sz w:val="20"/>
                <w:szCs w:val="20"/>
              </w:rPr>
              <w:t>Audit availability of specialist mental health skills in maternity workforce</w:t>
            </w:r>
          </w:p>
        </w:tc>
      </w:tr>
      <w:tr w:rsidR="00871873" w14:paraId="52A9E454"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5A40D75A"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049288EA" w14:textId="77777777" w:rsidR="00871873" w:rsidRPr="00A66223" w:rsidRDefault="00871873" w:rsidP="005F208F">
            <w:pPr>
              <w:rPr>
                <w:sz w:val="20"/>
                <w:szCs w:val="20"/>
              </w:rPr>
            </w:pPr>
            <w:r w:rsidRPr="00A66223">
              <w:rPr>
                <w:sz w:val="20"/>
                <w:szCs w:val="20"/>
              </w:rPr>
              <w:t xml:space="preserve">Encourage </w:t>
            </w:r>
            <w:r>
              <w:rPr>
                <w:sz w:val="20"/>
                <w:szCs w:val="20"/>
              </w:rPr>
              <w:t>multi</w:t>
            </w:r>
            <w:r w:rsidRPr="00A66223">
              <w:rPr>
                <w:sz w:val="20"/>
                <w:szCs w:val="20"/>
              </w:rPr>
              <w:t>disciplinary working to support perinatal mental health</w:t>
            </w:r>
          </w:p>
        </w:tc>
        <w:tc>
          <w:tcPr>
            <w:tcW w:w="4149" w:type="dxa"/>
            <w:tcBorders>
              <w:top w:val="single" w:sz="4" w:space="0" w:color="0398D7"/>
              <w:left w:val="single" w:sz="4" w:space="0" w:color="0398D7"/>
              <w:bottom w:val="single" w:sz="4" w:space="0" w:color="0398D7"/>
              <w:right w:val="single" w:sz="4" w:space="0" w:color="0398D7"/>
            </w:tcBorders>
          </w:tcPr>
          <w:p w14:paraId="049B3E18" w14:textId="77777777" w:rsidR="00871873" w:rsidRPr="00A66223" w:rsidRDefault="00871873" w:rsidP="005F208F">
            <w:pPr>
              <w:rPr>
                <w:sz w:val="20"/>
                <w:szCs w:val="20"/>
              </w:rPr>
            </w:pPr>
            <w:r w:rsidRPr="00A66223">
              <w:rPr>
                <w:sz w:val="20"/>
                <w:szCs w:val="20"/>
              </w:rPr>
              <w:t>Assess the training of medical, nursing and midwifery students to promote capacity for</w:t>
            </w:r>
            <w:r>
              <w:rPr>
                <w:sz w:val="20"/>
                <w:szCs w:val="20"/>
              </w:rPr>
              <w:t xml:space="preserve"> multi</w:t>
            </w:r>
            <w:r w:rsidRPr="00A66223">
              <w:rPr>
                <w:sz w:val="20"/>
                <w:szCs w:val="20"/>
              </w:rPr>
              <w:t>disciplinary cooperation</w:t>
            </w:r>
          </w:p>
        </w:tc>
      </w:tr>
      <w:tr w:rsidR="00871873" w14:paraId="43D69ED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5AA93A8A"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293799AD" w14:textId="77777777" w:rsidR="00871873" w:rsidRPr="00A66223" w:rsidRDefault="00871873" w:rsidP="005F208F">
            <w:pPr>
              <w:rPr>
                <w:sz w:val="20"/>
                <w:szCs w:val="20"/>
              </w:rPr>
            </w:pPr>
            <w:r w:rsidRPr="00A66223">
              <w:rPr>
                <w:sz w:val="20"/>
                <w:szCs w:val="20"/>
              </w:rPr>
              <w:t>Evaluate effectiveness of early intervention to prevent acute or severe perinatal mental illness</w:t>
            </w:r>
          </w:p>
        </w:tc>
        <w:tc>
          <w:tcPr>
            <w:tcW w:w="4149" w:type="dxa"/>
            <w:tcBorders>
              <w:top w:val="single" w:sz="4" w:space="0" w:color="0398D7"/>
              <w:left w:val="single" w:sz="4" w:space="0" w:color="0398D7"/>
              <w:bottom w:val="single" w:sz="4" w:space="0" w:color="0398D7"/>
              <w:right w:val="single" w:sz="4" w:space="0" w:color="0398D7"/>
            </w:tcBorders>
          </w:tcPr>
          <w:p w14:paraId="550F37A5" w14:textId="77777777" w:rsidR="00871873" w:rsidRPr="00A66223" w:rsidRDefault="00871873" w:rsidP="005F208F">
            <w:pPr>
              <w:rPr>
                <w:sz w:val="20"/>
                <w:szCs w:val="20"/>
              </w:rPr>
            </w:pPr>
            <w:r w:rsidRPr="00A66223">
              <w:rPr>
                <w:sz w:val="20"/>
                <w:szCs w:val="20"/>
              </w:rPr>
              <w:t>Review existing evidence, conduct cost-benefit analysis of service redesign versus alternatives (e.g., use of MBS mental health items, inpatient mother and baby beds)</w:t>
            </w:r>
          </w:p>
        </w:tc>
      </w:tr>
      <w:tr w:rsidR="00871873" w14:paraId="5D6560F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1B9784A8"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1EC8D482" w14:textId="77777777" w:rsidR="00871873" w:rsidRPr="00A66223" w:rsidRDefault="00871873" w:rsidP="005F208F">
            <w:pPr>
              <w:rPr>
                <w:sz w:val="20"/>
                <w:szCs w:val="20"/>
              </w:rPr>
            </w:pPr>
            <w:r w:rsidRPr="00A66223">
              <w:rPr>
                <w:sz w:val="20"/>
                <w:szCs w:val="20"/>
              </w:rPr>
              <w:t>Address birth trauma and impacts on relationships with babies and on future pregnancies</w:t>
            </w:r>
          </w:p>
        </w:tc>
        <w:tc>
          <w:tcPr>
            <w:tcW w:w="4149" w:type="dxa"/>
            <w:tcBorders>
              <w:top w:val="single" w:sz="4" w:space="0" w:color="0398D7"/>
              <w:left w:val="single" w:sz="4" w:space="0" w:color="0398D7"/>
              <w:bottom w:val="single" w:sz="4" w:space="0" w:color="0398D7"/>
              <w:right w:val="single" w:sz="4" w:space="0" w:color="0398D7"/>
            </w:tcBorders>
          </w:tcPr>
          <w:p w14:paraId="198D50E7" w14:textId="77777777" w:rsidR="00871873" w:rsidRPr="00A66223" w:rsidRDefault="00871873" w:rsidP="005F208F">
            <w:pPr>
              <w:rPr>
                <w:sz w:val="20"/>
                <w:szCs w:val="20"/>
              </w:rPr>
            </w:pPr>
            <w:r w:rsidRPr="00A66223">
              <w:rPr>
                <w:sz w:val="20"/>
                <w:szCs w:val="20"/>
              </w:rPr>
              <w:t>Develop data around birth trauma including prevalence and effectiveness of service responses</w:t>
            </w:r>
          </w:p>
        </w:tc>
      </w:tr>
      <w:tr w:rsidR="00871873" w14:paraId="59A368F1"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val="restart"/>
            <w:tcBorders>
              <w:top w:val="single" w:sz="4" w:space="0" w:color="0398D7"/>
              <w:left w:val="single" w:sz="4" w:space="0" w:color="0398D7"/>
              <w:bottom w:val="single" w:sz="4" w:space="0" w:color="0398D7"/>
              <w:right w:val="single" w:sz="4" w:space="0" w:color="0398D7"/>
            </w:tcBorders>
          </w:tcPr>
          <w:p w14:paraId="1544F224" w14:textId="77777777" w:rsidR="00871873" w:rsidRPr="00A66223" w:rsidRDefault="00871873" w:rsidP="005F208F">
            <w:pPr>
              <w:rPr>
                <w:sz w:val="20"/>
                <w:szCs w:val="20"/>
              </w:rPr>
            </w:pPr>
            <w:r w:rsidRPr="00A66223">
              <w:rPr>
                <w:sz w:val="20"/>
                <w:szCs w:val="20"/>
              </w:rPr>
              <w:t>Equity of access across locations and population groups</w:t>
            </w:r>
          </w:p>
        </w:tc>
        <w:tc>
          <w:tcPr>
            <w:tcW w:w="4148" w:type="dxa"/>
            <w:tcBorders>
              <w:top w:val="single" w:sz="4" w:space="0" w:color="0398D7"/>
              <w:left w:val="single" w:sz="4" w:space="0" w:color="0398D7"/>
              <w:bottom w:val="single" w:sz="4" w:space="0" w:color="0398D7"/>
              <w:right w:val="single" w:sz="4" w:space="0" w:color="0398D7"/>
            </w:tcBorders>
          </w:tcPr>
          <w:p w14:paraId="110A1AD5" w14:textId="77777777" w:rsidR="00871873" w:rsidRPr="00A66223" w:rsidRDefault="00871873" w:rsidP="005F208F">
            <w:pPr>
              <w:rPr>
                <w:sz w:val="20"/>
                <w:szCs w:val="20"/>
              </w:rPr>
            </w:pPr>
            <w:r w:rsidRPr="00A66223">
              <w:rPr>
                <w:sz w:val="20"/>
                <w:szCs w:val="20"/>
              </w:rPr>
              <w:t>Improve workforce capacity in rural and remote areas</w:t>
            </w:r>
          </w:p>
        </w:tc>
        <w:tc>
          <w:tcPr>
            <w:tcW w:w="4149" w:type="dxa"/>
            <w:tcBorders>
              <w:top w:val="single" w:sz="4" w:space="0" w:color="0398D7"/>
              <w:left w:val="single" w:sz="4" w:space="0" w:color="0398D7"/>
              <w:bottom w:val="single" w:sz="4" w:space="0" w:color="0398D7"/>
              <w:right w:val="single" w:sz="4" w:space="0" w:color="0398D7"/>
            </w:tcBorders>
          </w:tcPr>
          <w:p w14:paraId="4BB4295B" w14:textId="77777777" w:rsidR="00871873" w:rsidRPr="00A66223" w:rsidRDefault="00871873" w:rsidP="005F208F">
            <w:pPr>
              <w:rPr>
                <w:sz w:val="20"/>
                <w:szCs w:val="20"/>
              </w:rPr>
            </w:pPr>
            <w:r w:rsidRPr="00A66223">
              <w:rPr>
                <w:sz w:val="20"/>
                <w:szCs w:val="20"/>
              </w:rPr>
              <w:t>Improve workforce estimates and data on caseloads; conduct studies to understand reasons for difficulty in recruiting and retaining staff</w:t>
            </w:r>
          </w:p>
        </w:tc>
      </w:tr>
      <w:tr w:rsidR="00871873" w14:paraId="39ECBA07"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6CFDBA11"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5CD81A2E" w14:textId="77777777" w:rsidR="00871873" w:rsidRPr="00A66223" w:rsidRDefault="00871873" w:rsidP="005F208F">
            <w:pPr>
              <w:rPr>
                <w:sz w:val="20"/>
                <w:szCs w:val="20"/>
              </w:rPr>
            </w:pPr>
            <w:r w:rsidRPr="00A66223">
              <w:rPr>
                <w:sz w:val="20"/>
                <w:szCs w:val="20"/>
              </w:rPr>
              <w:t>Understand impacts of existing policies, strategies and service provision frameworks on outcomes for women and babies in rural and remote areas</w:t>
            </w:r>
          </w:p>
        </w:tc>
        <w:tc>
          <w:tcPr>
            <w:tcW w:w="4149" w:type="dxa"/>
            <w:tcBorders>
              <w:top w:val="single" w:sz="4" w:space="0" w:color="0398D7"/>
              <w:left w:val="single" w:sz="4" w:space="0" w:color="0398D7"/>
              <w:bottom w:val="single" w:sz="4" w:space="0" w:color="0398D7"/>
              <w:right w:val="single" w:sz="4" w:space="0" w:color="0398D7"/>
            </w:tcBorders>
          </w:tcPr>
          <w:p w14:paraId="6971483A" w14:textId="77777777" w:rsidR="00871873" w:rsidRPr="00A66223" w:rsidRDefault="00871873" w:rsidP="005F208F">
            <w:pPr>
              <w:rPr>
                <w:sz w:val="20"/>
                <w:szCs w:val="20"/>
              </w:rPr>
            </w:pPr>
            <w:r w:rsidRPr="00A66223">
              <w:rPr>
                <w:sz w:val="20"/>
                <w:szCs w:val="20"/>
              </w:rPr>
              <w:t>Monitor indicators such as distance or time travelled to give birth, and time spent away from community for medical reasons before and after giving birth, as well as health outcomes for these women</w:t>
            </w:r>
          </w:p>
        </w:tc>
      </w:tr>
      <w:tr w:rsidR="00871873" w14:paraId="45DE09FA"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49A97A08"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05BB566F" w14:textId="77777777" w:rsidR="00871873" w:rsidRPr="00A66223" w:rsidRDefault="00871873" w:rsidP="005F208F">
            <w:pPr>
              <w:rPr>
                <w:sz w:val="20"/>
                <w:szCs w:val="20"/>
              </w:rPr>
            </w:pPr>
            <w:r w:rsidRPr="00A66223">
              <w:rPr>
                <w:sz w:val="20"/>
                <w:szCs w:val="20"/>
              </w:rPr>
              <w:t>Understand and improve access to information about maternity care and related services such as family planning, reproductive healthcare and sexual assault care</w:t>
            </w:r>
          </w:p>
        </w:tc>
        <w:tc>
          <w:tcPr>
            <w:tcW w:w="4149" w:type="dxa"/>
            <w:tcBorders>
              <w:top w:val="single" w:sz="4" w:space="0" w:color="0398D7"/>
              <w:left w:val="single" w:sz="4" w:space="0" w:color="0398D7"/>
              <w:bottom w:val="single" w:sz="4" w:space="0" w:color="0398D7"/>
              <w:right w:val="single" w:sz="4" w:space="0" w:color="0398D7"/>
            </w:tcBorders>
          </w:tcPr>
          <w:p w14:paraId="7EEF8569" w14:textId="77777777" w:rsidR="00871873" w:rsidRPr="00A66223" w:rsidRDefault="00871873" w:rsidP="005F208F">
            <w:pPr>
              <w:rPr>
                <w:sz w:val="20"/>
                <w:szCs w:val="20"/>
              </w:rPr>
            </w:pPr>
            <w:r w:rsidRPr="00A66223">
              <w:rPr>
                <w:sz w:val="20"/>
                <w:szCs w:val="20"/>
              </w:rPr>
              <w:t>Evaluate effectiveness of existing communication strategies (including online resources in communities with limited internet and phone coverage) in linking women with services</w:t>
            </w:r>
          </w:p>
        </w:tc>
      </w:tr>
      <w:tr w:rsidR="00871873" w14:paraId="0DF487FA"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723186F8"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7113DF69" w14:textId="22FAC622" w:rsidR="00871873" w:rsidRPr="00A66223" w:rsidRDefault="00871873" w:rsidP="0094459C">
            <w:pPr>
              <w:rPr>
                <w:sz w:val="20"/>
                <w:szCs w:val="20"/>
              </w:rPr>
            </w:pPr>
            <w:r w:rsidRPr="00A66223">
              <w:rPr>
                <w:sz w:val="20"/>
                <w:szCs w:val="20"/>
              </w:rPr>
              <w:t xml:space="preserve">Evaluate access to culturally safe and appropriate care for </w:t>
            </w:r>
            <w:r w:rsidR="0094459C">
              <w:rPr>
                <w:sz w:val="20"/>
                <w:szCs w:val="20"/>
              </w:rPr>
              <w:t>Aboriginal and Torres Strait Islander</w:t>
            </w:r>
            <w:r w:rsidRPr="00A66223">
              <w:rPr>
                <w:sz w:val="20"/>
                <w:szCs w:val="20"/>
              </w:rPr>
              <w:t xml:space="preserve"> women and those from CALD groups</w:t>
            </w:r>
          </w:p>
        </w:tc>
        <w:tc>
          <w:tcPr>
            <w:tcW w:w="4149" w:type="dxa"/>
            <w:tcBorders>
              <w:top w:val="single" w:sz="4" w:space="0" w:color="0398D7"/>
              <w:left w:val="single" w:sz="4" w:space="0" w:color="0398D7"/>
              <w:bottom w:val="single" w:sz="4" w:space="0" w:color="0398D7"/>
              <w:right w:val="single" w:sz="4" w:space="0" w:color="0398D7"/>
            </w:tcBorders>
          </w:tcPr>
          <w:p w14:paraId="226EC126" w14:textId="77777777" w:rsidR="00871873" w:rsidRPr="00A66223" w:rsidRDefault="00871873" w:rsidP="005F208F">
            <w:pPr>
              <w:rPr>
                <w:sz w:val="20"/>
                <w:szCs w:val="20"/>
              </w:rPr>
            </w:pPr>
            <w:r w:rsidRPr="00A66223">
              <w:rPr>
                <w:sz w:val="20"/>
                <w:szCs w:val="20"/>
              </w:rPr>
              <w:t>Document availability of care in preferred language (via interpreters or community language maternity care providers)</w:t>
            </w:r>
          </w:p>
        </w:tc>
      </w:tr>
      <w:tr w:rsidR="00871873" w14:paraId="0A207366"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79114BFF"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279D6F19" w14:textId="77777777" w:rsidR="00871873" w:rsidRPr="00A66223" w:rsidRDefault="00871873" w:rsidP="005F208F">
            <w:pPr>
              <w:rPr>
                <w:sz w:val="20"/>
                <w:szCs w:val="20"/>
              </w:rPr>
            </w:pPr>
            <w:r w:rsidRPr="00A66223">
              <w:rPr>
                <w:sz w:val="20"/>
                <w:szCs w:val="20"/>
              </w:rPr>
              <w:t>Strengthen primary care where needed to improve equity of access and outcomes</w:t>
            </w:r>
          </w:p>
        </w:tc>
        <w:tc>
          <w:tcPr>
            <w:tcW w:w="4149" w:type="dxa"/>
            <w:tcBorders>
              <w:top w:val="single" w:sz="4" w:space="0" w:color="0398D7"/>
              <w:left w:val="single" w:sz="4" w:space="0" w:color="0398D7"/>
              <w:bottom w:val="single" w:sz="4" w:space="0" w:color="0398D7"/>
              <w:right w:val="single" w:sz="4" w:space="0" w:color="0398D7"/>
            </w:tcBorders>
          </w:tcPr>
          <w:p w14:paraId="5DBBD67D" w14:textId="77777777" w:rsidR="00871873" w:rsidRPr="00A66223" w:rsidRDefault="00871873" w:rsidP="005F208F">
            <w:pPr>
              <w:rPr>
                <w:sz w:val="20"/>
                <w:szCs w:val="20"/>
              </w:rPr>
            </w:pPr>
            <w:r w:rsidRPr="00A66223">
              <w:rPr>
                <w:sz w:val="20"/>
                <w:szCs w:val="20"/>
              </w:rPr>
              <w:t>Monitor use of MBS items for GP shared care, postpartum care, perinatal mental health care, in rural and remote areas</w:t>
            </w:r>
            <w:r>
              <w:rPr>
                <w:sz w:val="20"/>
                <w:szCs w:val="20"/>
              </w:rPr>
              <w:t xml:space="preserve">; </w:t>
            </w:r>
            <w:r w:rsidRPr="00A66223">
              <w:rPr>
                <w:sz w:val="20"/>
                <w:szCs w:val="20"/>
              </w:rPr>
              <w:t>introduce maternity flag in MBS</w:t>
            </w:r>
            <w:r>
              <w:rPr>
                <w:sz w:val="20"/>
                <w:szCs w:val="20"/>
              </w:rPr>
              <w:t xml:space="preserve"> </w:t>
            </w:r>
          </w:p>
        </w:tc>
      </w:tr>
      <w:tr w:rsidR="00871873" w14:paraId="09BFEF40"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val="restart"/>
            <w:tcBorders>
              <w:top w:val="single" w:sz="4" w:space="0" w:color="0398D7"/>
              <w:left w:val="single" w:sz="4" w:space="0" w:color="0398D7"/>
              <w:bottom w:val="single" w:sz="4" w:space="0" w:color="0398D7"/>
              <w:right w:val="single" w:sz="4" w:space="0" w:color="0398D7"/>
            </w:tcBorders>
          </w:tcPr>
          <w:p w14:paraId="19F7B872" w14:textId="77777777" w:rsidR="00871873" w:rsidRPr="00A66223" w:rsidRDefault="00871873" w:rsidP="005F208F">
            <w:pPr>
              <w:rPr>
                <w:sz w:val="20"/>
                <w:szCs w:val="20"/>
              </w:rPr>
            </w:pPr>
            <w:r w:rsidRPr="00A66223">
              <w:rPr>
                <w:sz w:val="20"/>
                <w:szCs w:val="20"/>
              </w:rPr>
              <w:t>Access to post</w:t>
            </w:r>
            <w:r>
              <w:rPr>
                <w:sz w:val="20"/>
                <w:szCs w:val="20"/>
              </w:rPr>
              <w:t>partum</w:t>
            </w:r>
            <w:r w:rsidRPr="00A66223">
              <w:rPr>
                <w:sz w:val="20"/>
                <w:szCs w:val="20"/>
              </w:rPr>
              <w:t xml:space="preserve"> care</w:t>
            </w:r>
          </w:p>
        </w:tc>
        <w:tc>
          <w:tcPr>
            <w:tcW w:w="4148" w:type="dxa"/>
            <w:tcBorders>
              <w:top w:val="single" w:sz="4" w:space="0" w:color="0398D7"/>
              <w:left w:val="single" w:sz="4" w:space="0" w:color="0398D7"/>
              <w:bottom w:val="single" w:sz="4" w:space="0" w:color="0398D7"/>
              <w:right w:val="single" w:sz="4" w:space="0" w:color="0398D7"/>
            </w:tcBorders>
          </w:tcPr>
          <w:p w14:paraId="4F6B9D38" w14:textId="77777777" w:rsidR="00871873" w:rsidRPr="00A66223" w:rsidRDefault="00871873" w:rsidP="005F208F">
            <w:pPr>
              <w:rPr>
                <w:sz w:val="20"/>
                <w:szCs w:val="20"/>
              </w:rPr>
            </w:pPr>
            <w:r w:rsidRPr="00A66223">
              <w:rPr>
                <w:sz w:val="20"/>
                <w:szCs w:val="20"/>
              </w:rPr>
              <w:t>Understand and improve access to post</w:t>
            </w:r>
            <w:r>
              <w:rPr>
                <w:sz w:val="20"/>
                <w:szCs w:val="20"/>
              </w:rPr>
              <w:t>partum</w:t>
            </w:r>
            <w:r w:rsidRPr="00A66223">
              <w:rPr>
                <w:sz w:val="20"/>
                <w:szCs w:val="20"/>
              </w:rPr>
              <w:t xml:space="preserve"> care for all Australian women and babies</w:t>
            </w:r>
          </w:p>
        </w:tc>
        <w:tc>
          <w:tcPr>
            <w:tcW w:w="4149" w:type="dxa"/>
            <w:tcBorders>
              <w:top w:val="single" w:sz="4" w:space="0" w:color="0398D7"/>
              <w:left w:val="single" w:sz="4" w:space="0" w:color="0398D7"/>
              <w:bottom w:val="single" w:sz="4" w:space="0" w:color="0398D7"/>
              <w:right w:val="single" w:sz="4" w:space="0" w:color="0398D7"/>
            </w:tcBorders>
          </w:tcPr>
          <w:p w14:paraId="6E7B42D6" w14:textId="77777777" w:rsidR="00871873" w:rsidRPr="00A66223" w:rsidRDefault="00871873" w:rsidP="005F208F">
            <w:pPr>
              <w:rPr>
                <w:sz w:val="20"/>
                <w:szCs w:val="20"/>
              </w:rPr>
            </w:pPr>
            <w:r w:rsidRPr="00A66223">
              <w:rPr>
                <w:sz w:val="20"/>
                <w:szCs w:val="20"/>
              </w:rPr>
              <w:t>Assemble information on existing services and models of care; conduct studies of what women want and need from post</w:t>
            </w:r>
            <w:r>
              <w:rPr>
                <w:sz w:val="20"/>
                <w:szCs w:val="20"/>
              </w:rPr>
              <w:t>partum</w:t>
            </w:r>
            <w:r w:rsidRPr="00A66223">
              <w:rPr>
                <w:sz w:val="20"/>
                <w:szCs w:val="20"/>
              </w:rPr>
              <w:t xml:space="preserve"> care</w:t>
            </w:r>
          </w:p>
        </w:tc>
      </w:tr>
      <w:tr w:rsidR="00871873" w14:paraId="178A3705"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234A261F"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6EA52BC1" w14:textId="77777777" w:rsidR="00871873" w:rsidRPr="00A66223" w:rsidRDefault="00871873" w:rsidP="005F208F">
            <w:pPr>
              <w:rPr>
                <w:sz w:val="20"/>
                <w:szCs w:val="20"/>
              </w:rPr>
            </w:pPr>
            <w:r w:rsidRPr="00A66223">
              <w:rPr>
                <w:sz w:val="20"/>
                <w:szCs w:val="20"/>
              </w:rPr>
              <w:t>Establish evidence-based models of care and service provision</w:t>
            </w:r>
          </w:p>
        </w:tc>
        <w:tc>
          <w:tcPr>
            <w:tcW w:w="4149" w:type="dxa"/>
            <w:tcBorders>
              <w:top w:val="single" w:sz="4" w:space="0" w:color="0398D7"/>
              <w:left w:val="single" w:sz="4" w:space="0" w:color="0398D7"/>
              <w:bottom w:val="single" w:sz="4" w:space="0" w:color="0398D7"/>
              <w:right w:val="single" w:sz="4" w:space="0" w:color="0398D7"/>
            </w:tcBorders>
          </w:tcPr>
          <w:p w14:paraId="518C89AB" w14:textId="77777777" w:rsidR="00871873" w:rsidRPr="00A66223" w:rsidRDefault="00871873" w:rsidP="005F208F">
            <w:pPr>
              <w:rPr>
                <w:sz w:val="20"/>
                <w:szCs w:val="20"/>
              </w:rPr>
            </w:pPr>
            <w:r w:rsidRPr="00A66223">
              <w:rPr>
                <w:sz w:val="20"/>
                <w:szCs w:val="20"/>
              </w:rPr>
              <w:t>Implement process measures such as development and uptake of best-practice guidelines</w:t>
            </w:r>
          </w:p>
        </w:tc>
      </w:tr>
      <w:tr w:rsidR="00871873" w14:paraId="22AD826C"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2C6D82C0"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003DC19E" w14:textId="77777777" w:rsidR="00871873" w:rsidRPr="00A66223" w:rsidRDefault="00871873" w:rsidP="005F208F">
            <w:pPr>
              <w:rPr>
                <w:sz w:val="20"/>
                <w:szCs w:val="20"/>
              </w:rPr>
            </w:pPr>
            <w:r w:rsidRPr="00A66223">
              <w:rPr>
                <w:sz w:val="20"/>
                <w:szCs w:val="20"/>
              </w:rPr>
              <w:t>Promote effective handover of care between services (antenatal – acute – postpartum) for all women</w:t>
            </w:r>
          </w:p>
        </w:tc>
        <w:tc>
          <w:tcPr>
            <w:tcW w:w="4149" w:type="dxa"/>
            <w:tcBorders>
              <w:top w:val="single" w:sz="4" w:space="0" w:color="0398D7"/>
              <w:left w:val="single" w:sz="4" w:space="0" w:color="0398D7"/>
              <w:bottom w:val="single" w:sz="4" w:space="0" w:color="0398D7"/>
              <w:right w:val="single" w:sz="4" w:space="0" w:color="0398D7"/>
            </w:tcBorders>
          </w:tcPr>
          <w:p w14:paraId="5C3970E9" w14:textId="77777777" w:rsidR="00871873" w:rsidRPr="00A66223" w:rsidRDefault="00871873" w:rsidP="005F208F">
            <w:pPr>
              <w:rPr>
                <w:sz w:val="20"/>
                <w:szCs w:val="20"/>
              </w:rPr>
            </w:pPr>
            <w:r w:rsidRPr="00A66223">
              <w:rPr>
                <w:sz w:val="20"/>
                <w:szCs w:val="20"/>
              </w:rPr>
              <w:t>Implement process measures such as development and use of referral pathways and discharge planning</w:t>
            </w:r>
          </w:p>
        </w:tc>
      </w:tr>
      <w:tr w:rsidR="00871873" w14:paraId="7169CD5D"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7571410C"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14D96512" w14:textId="77777777" w:rsidR="00871873" w:rsidRPr="00A66223" w:rsidRDefault="00871873" w:rsidP="005F208F">
            <w:pPr>
              <w:rPr>
                <w:sz w:val="20"/>
                <w:szCs w:val="20"/>
              </w:rPr>
            </w:pPr>
            <w:r w:rsidRPr="00A66223">
              <w:rPr>
                <w:sz w:val="20"/>
                <w:szCs w:val="20"/>
              </w:rPr>
              <w:t>Promote access to breastfeeding support consistent with the national strategy</w:t>
            </w:r>
          </w:p>
        </w:tc>
        <w:tc>
          <w:tcPr>
            <w:tcW w:w="4149" w:type="dxa"/>
            <w:tcBorders>
              <w:top w:val="single" w:sz="4" w:space="0" w:color="0398D7"/>
              <w:left w:val="single" w:sz="4" w:space="0" w:color="0398D7"/>
              <w:bottom w:val="single" w:sz="4" w:space="0" w:color="0398D7"/>
              <w:right w:val="single" w:sz="4" w:space="0" w:color="0398D7"/>
            </w:tcBorders>
          </w:tcPr>
          <w:p w14:paraId="730712D1" w14:textId="77777777" w:rsidR="00871873" w:rsidRPr="00A66223" w:rsidRDefault="00871873" w:rsidP="005F208F">
            <w:pPr>
              <w:rPr>
                <w:sz w:val="20"/>
                <w:szCs w:val="20"/>
              </w:rPr>
            </w:pPr>
            <w:r w:rsidRPr="00A66223">
              <w:rPr>
                <w:sz w:val="20"/>
                <w:szCs w:val="20"/>
              </w:rPr>
              <w:t>Monitor and evaluate the implementation of the national breastfeeding strategy</w:t>
            </w:r>
          </w:p>
        </w:tc>
      </w:tr>
      <w:tr w:rsidR="00871873" w14:paraId="570BB23F"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top w:val="single" w:sz="4" w:space="0" w:color="0398D7"/>
              <w:left w:val="single" w:sz="4" w:space="0" w:color="0398D7"/>
              <w:bottom w:val="single" w:sz="4" w:space="0" w:color="0398D7"/>
              <w:right w:val="single" w:sz="4" w:space="0" w:color="0398D7"/>
            </w:tcBorders>
          </w:tcPr>
          <w:p w14:paraId="02F8694B"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0EEC0325" w14:textId="77777777" w:rsidR="00871873" w:rsidRPr="00A66223" w:rsidRDefault="00871873" w:rsidP="005F208F">
            <w:pPr>
              <w:rPr>
                <w:sz w:val="20"/>
                <w:szCs w:val="20"/>
              </w:rPr>
            </w:pPr>
            <w:r w:rsidRPr="00A66223">
              <w:rPr>
                <w:sz w:val="20"/>
                <w:szCs w:val="20"/>
              </w:rPr>
              <w:t>Understand impacts of COVID-related changes in</w:t>
            </w:r>
            <w:r>
              <w:rPr>
                <w:sz w:val="20"/>
                <w:szCs w:val="20"/>
              </w:rPr>
              <w:t xml:space="preserve"> post</w:t>
            </w:r>
            <w:r w:rsidRPr="00A66223">
              <w:rPr>
                <w:sz w:val="20"/>
                <w:szCs w:val="20"/>
              </w:rPr>
              <w:t>partum care provision and service delivery</w:t>
            </w:r>
          </w:p>
        </w:tc>
        <w:tc>
          <w:tcPr>
            <w:tcW w:w="4149" w:type="dxa"/>
            <w:tcBorders>
              <w:top w:val="single" w:sz="4" w:space="0" w:color="0398D7"/>
              <w:left w:val="single" w:sz="4" w:space="0" w:color="0398D7"/>
              <w:bottom w:val="single" w:sz="4" w:space="0" w:color="0398D7"/>
              <w:right w:val="single" w:sz="4" w:space="0" w:color="0398D7"/>
            </w:tcBorders>
          </w:tcPr>
          <w:p w14:paraId="0F414BF5" w14:textId="77777777" w:rsidR="00871873" w:rsidRPr="00A66223" w:rsidRDefault="00871873" w:rsidP="005F208F">
            <w:pPr>
              <w:rPr>
                <w:sz w:val="20"/>
                <w:szCs w:val="20"/>
              </w:rPr>
            </w:pPr>
            <w:r w:rsidRPr="00A66223">
              <w:rPr>
                <w:sz w:val="20"/>
                <w:szCs w:val="20"/>
              </w:rPr>
              <w:t>Conduct studies of outcomes for families whose care was affected by COVID</w:t>
            </w:r>
            <w:r>
              <w:rPr>
                <w:sz w:val="20"/>
                <w:szCs w:val="20"/>
              </w:rPr>
              <w:t>-related changes in service delivery</w:t>
            </w:r>
          </w:p>
        </w:tc>
      </w:tr>
      <w:tr w:rsidR="00871873" w14:paraId="5E725707" w14:textId="77777777" w:rsidTr="00C14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8" w:type="dxa"/>
            <w:vMerge/>
            <w:tcBorders>
              <w:left w:val="single" w:sz="4" w:space="0" w:color="0398D7"/>
              <w:bottom w:val="single" w:sz="4" w:space="0" w:color="0398D7"/>
              <w:right w:val="single" w:sz="4" w:space="0" w:color="0398D7"/>
            </w:tcBorders>
          </w:tcPr>
          <w:p w14:paraId="76C1F639" w14:textId="77777777" w:rsidR="00871873" w:rsidRPr="00A66223" w:rsidRDefault="00871873" w:rsidP="005F208F">
            <w:pPr>
              <w:rPr>
                <w:sz w:val="20"/>
                <w:szCs w:val="20"/>
              </w:rPr>
            </w:pPr>
          </w:p>
        </w:tc>
        <w:tc>
          <w:tcPr>
            <w:tcW w:w="4148" w:type="dxa"/>
            <w:tcBorders>
              <w:top w:val="single" w:sz="4" w:space="0" w:color="0398D7"/>
              <w:left w:val="single" w:sz="4" w:space="0" w:color="0398D7"/>
              <w:bottom w:val="single" w:sz="4" w:space="0" w:color="0398D7"/>
              <w:right w:val="single" w:sz="4" w:space="0" w:color="0398D7"/>
            </w:tcBorders>
          </w:tcPr>
          <w:p w14:paraId="0A0FD2A9" w14:textId="77777777" w:rsidR="00871873" w:rsidRPr="00A66223" w:rsidRDefault="00871873" w:rsidP="005F208F">
            <w:pPr>
              <w:rPr>
                <w:sz w:val="20"/>
                <w:szCs w:val="20"/>
              </w:rPr>
            </w:pPr>
            <w:r w:rsidRPr="00A66223">
              <w:rPr>
                <w:sz w:val="20"/>
                <w:szCs w:val="20"/>
              </w:rPr>
              <w:t>Enhance handover of care and follow-up for women at risk of chronic disease due to pregnancy complications</w:t>
            </w:r>
          </w:p>
        </w:tc>
        <w:tc>
          <w:tcPr>
            <w:tcW w:w="4149" w:type="dxa"/>
            <w:tcBorders>
              <w:top w:val="single" w:sz="4" w:space="0" w:color="0398D7"/>
              <w:left w:val="single" w:sz="4" w:space="0" w:color="0398D7"/>
              <w:bottom w:val="single" w:sz="4" w:space="0" w:color="0398D7"/>
              <w:right w:val="single" w:sz="4" w:space="0" w:color="0398D7"/>
            </w:tcBorders>
          </w:tcPr>
          <w:p w14:paraId="1C114AE1" w14:textId="77777777" w:rsidR="00871873" w:rsidRPr="00A66223" w:rsidRDefault="00871873" w:rsidP="005F208F">
            <w:pPr>
              <w:rPr>
                <w:sz w:val="20"/>
                <w:szCs w:val="20"/>
              </w:rPr>
            </w:pPr>
            <w:r w:rsidRPr="00A66223">
              <w:rPr>
                <w:sz w:val="20"/>
                <w:szCs w:val="20"/>
              </w:rPr>
              <w:t>Implement process measures such as development and uptake of best-practice guidelines, referral pathways and discharge planning</w:t>
            </w:r>
          </w:p>
        </w:tc>
      </w:tr>
    </w:tbl>
    <w:p w14:paraId="7B2A5D8C" w14:textId="7C55E16D" w:rsidR="0029658B" w:rsidRDefault="0029658B" w:rsidP="00C24842">
      <w:pPr>
        <w:rPr>
          <w:rFonts w:eastAsiaTheme="majorEastAsia"/>
        </w:rPr>
      </w:pPr>
    </w:p>
    <w:p w14:paraId="76DC6383" w14:textId="1F481467" w:rsidR="00871873" w:rsidRDefault="00871873" w:rsidP="00E55384">
      <w:pPr>
        <w:spacing w:after="120"/>
      </w:pPr>
      <w:r w:rsidRPr="00E55384">
        <w:t xml:space="preserve">For the value of </w:t>
      </w:r>
      <w:r w:rsidR="00FD64B8" w:rsidRPr="00E55384">
        <w:t>safety</w:t>
      </w:r>
      <w:r w:rsidRPr="00E55384">
        <w:t xml:space="preserve">, </w:t>
      </w:r>
      <w:r>
        <w:t>m</w:t>
      </w:r>
      <w:r w:rsidRPr="006A0ED7">
        <w:t>easurement options could include research examining the impacts of funding mechanisms and policy settings on the use and rates of intervention in pregnancy and birth; continuing to monitor and report quality and safety outcomes for specific population groups as well as all women and babies; and establishing indicators linked with new evidence-based guidelines when they are developed. Stakeholders would like improved access to evaluation findings on the effectiveness of interventions to address the goals of the Strategy, including how programs were developed and adapted to local needs, and examples of how services have used evidence-based guidelines in quality improvement (e.g., as audit standards) in areas of interest.</w:t>
      </w:r>
    </w:p>
    <w:p w14:paraId="5781A477" w14:textId="06FD2DBF" w:rsidR="00400454" w:rsidRPr="00E55384" w:rsidRDefault="00871873" w:rsidP="00E55384">
      <w:pPr>
        <w:spacing w:after="120"/>
      </w:pPr>
      <w:r>
        <w:t>Measurement of cultural safety can be challenging</w:t>
      </w:r>
      <w:r w:rsidR="00400454">
        <w:t xml:space="preserve"> as it is inherently subjective and multifaceted and cannot be neatly captured by survey questions. </w:t>
      </w:r>
      <w:r w:rsidRPr="009B45A8">
        <w:t xml:space="preserve">The Congress of Australia's Aboriginal and Torres Strait Islander Nursing and Midwifery </w:t>
      </w:r>
      <w:r>
        <w:t>(CATSINaM) is leading work on how to measure this concept. Monitoring and evaluation should be undertaken with sensitivity to cultural needs and preferences and guided by steering committees or advisory groups with consumer representatives from the affected groups.</w:t>
      </w:r>
    </w:p>
    <w:p w14:paraId="75F97452" w14:textId="2EA29154" w:rsidR="00871873" w:rsidRDefault="00871873" w:rsidP="00E55384">
      <w:pPr>
        <w:spacing w:after="120"/>
      </w:pPr>
      <w:r>
        <w:t xml:space="preserve">For the value of </w:t>
      </w:r>
      <w:r w:rsidR="00FD64B8" w:rsidRPr="00E55384">
        <w:t>respect</w:t>
      </w:r>
      <w:r>
        <w:t>, monitoring and evaluation of professional communication and collaboration could be focused around indicators of integration such as the existence and use of referral pathways and multidisciplinary team working. Evaluation studies could be conducted around interventions to improve communication or provide continuing education to health professionals, as well as the content and delivery of tertiary training programs.</w:t>
      </w:r>
    </w:p>
    <w:p w14:paraId="7DF0557D" w14:textId="77777777" w:rsidR="00871873" w:rsidRDefault="00871873" w:rsidP="00E55384">
      <w:pPr>
        <w:spacing w:after="120"/>
      </w:pPr>
      <w:r>
        <w:t>The other major focus for stakeholder comments in relation to respect was the need to monitor and evaluate women’s experiences of care. Several stakeholders made the point that health professionals tend to think they are providing ‘woman-centred care’ as long as they are kind and doing the best job they can, but this was not sufficient. In order to understand whether care is ‘woman-centred’, patients need to be asked about their experiences and outcomes as these subjective elements of care are crucial. Routine, numerical information cannot completely capture and reflect care quality from the patient’s perspective; therefore there is a need to supplement these data sources with monitoring and evaluation methods that rely on patient reports.</w:t>
      </w:r>
    </w:p>
    <w:p w14:paraId="63602D21" w14:textId="7BDDA744" w:rsidR="00871873" w:rsidRDefault="00871873" w:rsidP="00E55384">
      <w:pPr>
        <w:spacing w:after="120"/>
      </w:pPr>
      <w:r>
        <w:t xml:space="preserve">Several stakeholders suggested that incorporation of PROMs and PREMs should be a requirement of any services that receive public funding in any form, including private providers. These instruments should be co-designed with consumer organisations and adapted and validated for use with different cultural groups, including </w:t>
      </w:r>
      <w:r w:rsidR="0094459C">
        <w:t>Aboriginal and Torres Strait Islander peoples</w:t>
      </w:r>
      <w:r>
        <w:t>.</w:t>
      </w:r>
    </w:p>
    <w:p w14:paraId="705759EC" w14:textId="01A799D4" w:rsidR="00871873" w:rsidRDefault="00871873" w:rsidP="00E55384">
      <w:pPr>
        <w:spacing w:after="120"/>
      </w:pPr>
      <w:r>
        <w:t xml:space="preserve">Measurement options for the value of </w:t>
      </w:r>
      <w:r w:rsidR="00FD64B8" w:rsidRPr="00E55384">
        <w:t>choice</w:t>
      </w:r>
      <w:r>
        <w:t xml:space="preserve"> </w:t>
      </w:r>
      <w:r w:rsidR="00400454">
        <w:t>c</w:t>
      </w:r>
      <w:r>
        <w:t xml:space="preserve">ould include tracking the provision of information about the pregnancy care guidelines as well as provision of care according to the guidelines, preferably through a routine data collection mechanism such as the electronic medical record. One-off evaluations of the effectiveness of information materials such as leaflets and online resources could be conducted. To measure shared decision making, mixed-methods evaluation studies could be conducted to understand how this is ‘done’ in different contexts and with various providers, and to assess the extent to which women have access to evidence-based information and the impacts this has on their care experiences and outcomes. The </w:t>
      </w:r>
      <w:r w:rsidRPr="00F85B64">
        <w:t>Mother’s Autonomy in Decision Making (MADM) scale</w:t>
      </w:r>
      <w:r>
        <w:t xml:space="preserve"> was one measure that was suggested as potentially suitable for this purpose.</w:t>
      </w:r>
    </w:p>
    <w:p w14:paraId="4075BB46" w14:textId="1A9700EC" w:rsidR="00871873" w:rsidRDefault="00871873" w:rsidP="00E55384">
      <w:pPr>
        <w:spacing w:after="120"/>
      </w:pPr>
      <w:r>
        <w:t xml:space="preserve">Regarding the value of </w:t>
      </w:r>
      <w:r w:rsidR="00FD64B8" w:rsidRPr="00E55384">
        <w:t>access</w:t>
      </w:r>
      <w:r>
        <w:t xml:space="preserve">, some stakeholders were optimistic that the MaCCS collection will enable monitoring access to models of care but as a standalone collection could not be used to evaluate </w:t>
      </w:r>
      <w:r>
        <w:lastRenderedPageBreak/>
        <w:t xml:space="preserve">effectiveness. For the MaCCS to reach its potential, the two data elements that are scheduled for </w:t>
      </w:r>
      <w:r w:rsidRPr="007E65C5">
        <w:t xml:space="preserve">routine reporting </w:t>
      </w:r>
      <w:r w:rsidRPr="00E55384">
        <w:t xml:space="preserve">(primary maternity model of care, and model of maternity care at the onset of labour or non-labour caesarean section) will need to be populated using the model ID number, </w:t>
      </w:r>
      <w:r w:rsidRPr="007E65C5">
        <w:t>implemented in all hospital obstetric information systems and collected in each jurisdictional perinatal data collections. Linkage to other datasets will be needed to capture the level of detail required to evaluate the delivery and impacts of different models of care over the full perinatal continuum (pregnancy to 12 months following birth).</w:t>
      </w:r>
    </w:p>
    <w:p w14:paraId="742B041A" w14:textId="07BB60A1" w:rsidR="00871873" w:rsidRPr="00E55384" w:rsidRDefault="00871873" w:rsidP="00E55384">
      <w:pPr>
        <w:spacing w:after="120"/>
      </w:pPr>
      <w:r w:rsidRPr="00E55384">
        <w:t>Currently, reporting into the MaCCS remains voluntary, and while coverage rates are above 80% in all jurisdictions, these rates still vary across jurisdiction and type of service. The next phase of models of care reporting from the AIHW will include an in-focus report providing scoping and initial analysis of the data quality of the models of care data collection, and initial analysis of outcomes for mothers and babies based on model of care, continuity of care and access to care. This program of work is scheduled for further analysis and release in March 2023.</w:t>
      </w:r>
    </w:p>
    <w:p w14:paraId="798A35FC" w14:textId="797AB7F8" w:rsidR="00267BD0" w:rsidRPr="001F6224" w:rsidRDefault="0075537C" w:rsidP="001F6224">
      <w:pPr>
        <w:spacing w:after="120"/>
      </w:pPr>
      <w:r w:rsidRPr="00E55384">
        <w:t>To avoid duplication of effort across jurisdictions and services, consideration could be given to developing a national database or repository of information and resources that address the values, strategic directions and enabling activities of the Strategy, noting those that have been co-designed and evaluated.</w:t>
      </w:r>
    </w:p>
    <w:p w14:paraId="4645F790" w14:textId="77777777" w:rsidR="00267BD0" w:rsidRDefault="00267BD0" w:rsidP="00267BD0">
      <w:pPr>
        <w:rPr>
          <w:rFonts w:eastAsiaTheme="majorEastAsia"/>
          <w:lang w:eastAsia="zh-CN" w:bidi="th-TH"/>
        </w:rPr>
      </w:pPr>
      <w:r>
        <w:rPr>
          <w:rFonts w:eastAsiaTheme="majorEastAsia"/>
          <w:lang w:eastAsia="zh-CN" w:bidi="th-TH"/>
        </w:rPr>
        <w:br w:type="page"/>
      </w:r>
    </w:p>
    <w:p w14:paraId="2B259960" w14:textId="77777777" w:rsidR="00131A2F" w:rsidRDefault="00131A2F" w:rsidP="00131A2F">
      <w:pPr>
        <w:pStyle w:val="Heading1"/>
      </w:pPr>
      <w:bookmarkStart w:id="384" w:name="_Toc121415082"/>
      <w:r>
        <w:lastRenderedPageBreak/>
        <w:t>Discussion</w:t>
      </w:r>
      <w:bookmarkEnd w:id="384"/>
    </w:p>
    <w:p w14:paraId="155D9477" w14:textId="73F08DB1" w:rsidR="00797B7B" w:rsidRDefault="00797B7B" w:rsidP="00797B7B">
      <w:pPr>
        <w:spacing w:after="120"/>
        <w:rPr>
          <w:rFonts w:ascii="Calibri" w:eastAsiaTheme="minorHAnsi" w:hAnsi="Calibri" w:cs="Calibri"/>
          <w:szCs w:val="22"/>
          <w:lang w:eastAsia="en-US"/>
        </w:rPr>
      </w:pPr>
      <w:r>
        <w:rPr>
          <w:rFonts w:ascii="Calibri" w:eastAsiaTheme="minorHAnsi" w:hAnsi="Calibri" w:cs="Calibri"/>
          <w:szCs w:val="22"/>
          <w:lang w:eastAsia="en-US"/>
        </w:rPr>
        <w:t xml:space="preserve">The stakeholder consultations conducted in preparation for this report demonstrated </w:t>
      </w:r>
      <w:r w:rsidRPr="00C16010">
        <w:rPr>
          <w:rFonts w:ascii="Calibri" w:eastAsiaTheme="minorHAnsi" w:hAnsi="Calibri" w:cs="Calibri"/>
          <w:szCs w:val="22"/>
          <w:lang w:eastAsia="en-US"/>
        </w:rPr>
        <w:t xml:space="preserve">varying levels of engagement with the Strategy since its release in 2019. Yet it was evident that all stakeholder groups </w:t>
      </w:r>
      <w:r w:rsidR="002523C6">
        <w:rPr>
          <w:rFonts w:ascii="Calibri" w:eastAsiaTheme="minorHAnsi" w:hAnsi="Calibri" w:cs="Calibri"/>
          <w:szCs w:val="22"/>
          <w:lang w:eastAsia="en-US"/>
        </w:rPr>
        <w:t>are committed</w:t>
      </w:r>
      <w:r w:rsidRPr="00C16010">
        <w:rPr>
          <w:rFonts w:ascii="Calibri" w:eastAsiaTheme="minorHAnsi" w:hAnsi="Calibri" w:cs="Calibri"/>
          <w:szCs w:val="22"/>
          <w:lang w:eastAsia="en-US"/>
        </w:rPr>
        <w:t xml:space="preserve"> to designing and implementing maternity service systems that hold the woman at the centre and which deliver on the Strategy’s core values of safety, respect, choice and access.</w:t>
      </w:r>
      <w:r w:rsidR="00A41733">
        <w:rPr>
          <w:rFonts w:ascii="Calibri" w:eastAsiaTheme="minorHAnsi" w:hAnsi="Calibri" w:cs="Calibri"/>
          <w:szCs w:val="22"/>
          <w:lang w:eastAsia="en-US"/>
        </w:rPr>
        <w:t xml:space="preserve"> </w:t>
      </w:r>
      <w:r>
        <w:rPr>
          <w:rFonts w:ascii="Calibri" w:eastAsiaTheme="minorHAnsi" w:hAnsi="Calibri" w:cs="Calibri"/>
          <w:szCs w:val="22"/>
          <w:lang w:eastAsia="en-US"/>
        </w:rPr>
        <w:t>Stakeholders were generous in offering their ideas about the priorities for action and measurement and there were points of agreement which could provide a foundation for developing a shared vision of the way forward for monitoring and evaluation of the Strategy’s enabling activities.</w:t>
      </w:r>
    </w:p>
    <w:p w14:paraId="05866C60" w14:textId="6E78AF04" w:rsidR="00A41733" w:rsidRPr="00797B7B" w:rsidRDefault="00A41733" w:rsidP="00A41733">
      <w:pPr>
        <w:spacing w:after="120"/>
        <w:rPr>
          <w:rFonts w:ascii="Calibri" w:eastAsiaTheme="minorHAnsi" w:hAnsi="Calibri" w:cs="Calibri"/>
          <w:szCs w:val="22"/>
          <w:lang w:eastAsia="en-US"/>
        </w:rPr>
      </w:pPr>
      <w:r w:rsidRPr="00797B7B">
        <w:rPr>
          <w:rFonts w:ascii="Calibri" w:eastAsiaTheme="minorHAnsi" w:hAnsi="Calibri" w:cs="Calibri"/>
          <w:szCs w:val="22"/>
          <w:lang w:eastAsia="en-US"/>
        </w:rPr>
        <w:t xml:space="preserve">Overall, the existing </w:t>
      </w:r>
      <w:r>
        <w:rPr>
          <w:rFonts w:ascii="Calibri" w:eastAsiaTheme="minorHAnsi" w:hAnsi="Calibri" w:cs="Calibri"/>
          <w:szCs w:val="22"/>
          <w:lang w:eastAsia="en-US"/>
        </w:rPr>
        <w:t>monitoring and evaluation framework</w:t>
      </w:r>
      <w:r w:rsidRPr="00797B7B">
        <w:rPr>
          <w:rFonts w:ascii="Calibri" w:eastAsiaTheme="minorHAnsi" w:hAnsi="Calibri" w:cs="Calibri"/>
          <w:szCs w:val="22"/>
          <w:lang w:eastAsia="en-US"/>
        </w:rPr>
        <w:t xml:space="preserve"> was viewed as a good starting point for discussion around targets for the Strategy and how progress might be measured. Nevertheless, stakeholders had some reservations, particularly around establishing realistic expectations in a post-COVID, </w:t>
      </w:r>
      <w:r w:rsidRPr="009D77C9">
        <w:rPr>
          <w:rFonts w:ascii="Calibri" w:eastAsiaTheme="minorHAnsi" w:hAnsi="Calibri" w:cs="Calibri"/>
          <w:szCs w:val="22"/>
          <w:lang w:eastAsia="en-US"/>
        </w:rPr>
        <w:t>resource-constrained healthcare environment.</w:t>
      </w:r>
      <w:r w:rsidRPr="00797B7B">
        <w:rPr>
          <w:rFonts w:ascii="Calibri" w:eastAsiaTheme="minorHAnsi" w:hAnsi="Calibri" w:cs="Calibri"/>
          <w:szCs w:val="22"/>
          <w:lang w:eastAsia="en-US"/>
        </w:rPr>
        <w:t xml:space="preserve"> The presence of strong, diverging opinions suggests that reaching consensus on the best way to implement </w:t>
      </w:r>
      <w:r w:rsidR="002523C6">
        <w:rPr>
          <w:rFonts w:ascii="Calibri" w:eastAsiaTheme="minorHAnsi" w:hAnsi="Calibri" w:cs="Calibri"/>
          <w:szCs w:val="22"/>
          <w:lang w:eastAsia="en-US"/>
        </w:rPr>
        <w:t>ongoing monitoring and evaluation</w:t>
      </w:r>
      <w:r w:rsidRPr="00797B7B">
        <w:rPr>
          <w:rFonts w:ascii="Calibri" w:eastAsiaTheme="minorHAnsi" w:hAnsi="Calibri" w:cs="Calibri"/>
          <w:szCs w:val="22"/>
          <w:lang w:eastAsia="en-US"/>
        </w:rPr>
        <w:t xml:space="preserve"> could be challenging.</w:t>
      </w:r>
    </w:p>
    <w:p w14:paraId="10F84E02" w14:textId="176575B3" w:rsidR="00A41733" w:rsidRPr="00797B7B" w:rsidRDefault="00A41733" w:rsidP="00A41733">
      <w:pPr>
        <w:spacing w:after="120"/>
        <w:rPr>
          <w:rFonts w:ascii="Calibri" w:eastAsiaTheme="minorHAnsi" w:hAnsi="Calibri" w:cs="Calibri"/>
          <w:szCs w:val="22"/>
          <w:lang w:eastAsia="en-US"/>
        </w:rPr>
      </w:pPr>
      <w:r w:rsidRPr="00797B7B">
        <w:rPr>
          <w:rFonts w:ascii="Calibri" w:eastAsiaTheme="minorHAnsi" w:hAnsi="Calibri" w:cs="Calibri"/>
          <w:szCs w:val="22"/>
          <w:lang w:eastAsia="en-US"/>
        </w:rPr>
        <w:t>Analysis of the stakeholder data highlighted several barriers</w:t>
      </w:r>
      <w:r w:rsidR="00FD64B8">
        <w:rPr>
          <w:rFonts w:ascii="Calibri" w:eastAsiaTheme="minorHAnsi" w:hAnsi="Calibri" w:cs="Calibri"/>
          <w:szCs w:val="22"/>
          <w:lang w:eastAsia="en-US"/>
        </w:rPr>
        <w:t xml:space="preserve"> to implementation of monitoring and evaluation</w:t>
      </w:r>
      <w:r w:rsidRPr="00797B7B">
        <w:rPr>
          <w:rFonts w:ascii="Calibri" w:eastAsiaTheme="minorHAnsi" w:hAnsi="Calibri" w:cs="Calibri"/>
          <w:szCs w:val="22"/>
          <w:lang w:eastAsia="en-US"/>
        </w:rPr>
        <w:t>, including:</w:t>
      </w:r>
    </w:p>
    <w:p w14:paraId="20D55FDF" w14:textId="77777777" w:rsidR="00A41733" w:rsidRDefault="00A41733" w:rsidP="00A41733">
      <w:pPr>
        <w:pStyle w:val="Bullets"/>
      </w:pPr>
      <w:r>
        <w:t>Lack of clarity and agreement around targets and metrics;</w:t>
      </w:r>
    </w:p>
    <w:p w14:paraId="34CBA9E1" w14:textId="77777777" w:rsidR="00A41733" w:rsidRDefault="00A41733" w:rsidP="00A41733">
      <w:pPr>
        <w:pStyle w:val="Bullets"/>
      </w:pPr>
      <w:r>
        <w:t>Cross-disciplinary politics around how targets are defined and measured;</w:t>
      </w:r>
    </w:p>
    <w:p w14:paraId="0440FB9A" w14:textId="77777777" w:rsidR="00A41733" w:rsidRDefault="00A41733" w:rsidP="00A41733">
      <w:pPr>
        <w:pStyle w:val="Bullets"/>
      </w:pPr>
      <w:r>
        <w:t>Jurisdictional politics around control of data;</w:t>
      </w:r>
    </w:p>
    <w:p w14:paraId="5BBB21C0" w14:textId="77777777" w:rsidR="00A41733" w:rsidRDefault="00A41733" w:rsidP="00A41733">
      <w:pPr>
        <w:pStyle w:val="Bullets"/>
      </w:pPr>
      <w:r>
        <w:t>Concerns around the feasibility of collecting comprehensive, relevant, meaningful data.</w:t>
      </w:r>
    </w:p>
    <w:p w14:paraId="333C8BEF" w14:textId="0262EE72" w:rsidR="00654728" w:rsidRDefault="00654728" w:rsidP="00A41733">
      <w:pPr>
        <w:spacing w:after="120"/>
        <w:rPr>
          <w:rFonts w:ascii="Calibri" w:eastAsiaTheme="minorHAnsi" w:hAnsi="Calibri" w:cs="Calibri"/>
          <w:szCs w:val="22"/>
          <w:lang w:eastAsia="en-US"/>
        </w:rPr>
      </w:pPr>
      <w:r>
        <w:rPr>
          <w:rFonts w:ascii="Calibri" w:eastAsiaTheme="minorHAnsi" w:hAnsi="Calibri" w:cs="Calibri"/>
          <w:szCs w:val="22"/>
          <w:lang w:eastAsia="en-US"/>
        </w:rPr>
        <w:t xml:space="preserve">In addition, the stakeholder consultations highlighted deep concern about </w:t>
      </w:r>
      <w:r w:rsidR="00902682">
        <w:rPr>
          <w:rFonts w:ascii="Calibri" w:eastAsiaTheme="minorHAnsi" w:hAnsi="Calibri" w:cs="Calibri"/>
          <w:szCs w:val="22"/>
          <w:lang w:eastAsia="en-US"/>
        </w:rPr>
        <w:t xml:space="preserve">the impact of </w:t>
      </w:r>
      <w:r>
        <w:rPr>
          <w:rFonts w:ascii="Calibri" w:eastAsiaTheme="minorHAnsi" w:hAnsi="Calibri" w:cs="Calibri"/>
          <w:szCs w:val="22"/>
          <w:lang w:eastAsia="en-US"/>
        </w:rPr>
        <w:t xml:space="preserve">workforce constraints on the delivery of woman-centred maternity services. </w:t>
      </w:r>
      <w:r w:rsidR="00560AA6">
        <w:rPr>
          <w:rFonts w:ascii="Calibri" w:eastAsiaTheme="minorHAnsi" w:hAnsi="Calibri" w:cs="Calibri"/>
          <w:szCs w:val="22"/>
          <w:lang w:eastAsia="en-US"/>
        </w:rPr>
        <w:t>There was broad agreement that workforce capacity is of critical importance to all components of the Strategy. However, b</w:t>
      </w:r>
      <w:r>
        <w:rPr>
          <w:rFonts w:ascii="Calibri" w:eastAsiaTheme="minorHAnsi" w:hAnsi="Calibri" w:cs="Calibri"/>
          <w:szCs w:val="22"/>
          <w:lang w:eastAsia="en-US"/>
        </w:rPr>
        <w:t xml:space="preserve">ecause the Strategy itself specifically excludes workforce issues, a comprehensive analysis was outside the scope of this project. </w:t>
      </w:r>
      <w:r w:rsidR="00560AA6">
        <w:rPr>
          <w:rFonts w:ascii="Calibri" w:eastAsiaTheme="minorHAnsi" w:hAnsi="Calibri" w:cs="Calibri"/>
          <w:szCs w:val="22"/>
          <w:lang w:eastAsia="en-US"/>
        </w:rPr>
        <w:t xml:space="preserve">Given the implications for implementation of ongoing monitoring and evaluation, and indeed implementation of the Strategy itself, it may be worth reconsidering this exclusion and </w:t>
      </w:r>
      <w:r w:rsidR="00A7292A">
        <w:rPr>
          <w:rFonts w:ascii="Calibri" w:eastAsiaTheme="minorHAnsi" w:hAnsi="Calibri" w:cs="Calibri"/>
          <w:szCs w:val="22"/>
          <w:lang w:eastAsia="en-US"/>
        </w:rPr>
        <w:t>creating opportunities for</w:t>
      </w:r>
      <w:r w:rsidR="00560AA6">
        <w:rPr>
          <w:rFonts w:ascii="Calibri" w:eastAsiaTheme="minorHAnsi" w:hAnsi="Calibri" w:cs="Calibri"/>
          <w:szCs w:val="22"/>
          <w:lang w:eastAsia="en-US"/>
        </w:rPr>
        <w:t xml:space="preserve"> discussion in future.</w:t>
      </w:r>
      <w:r w:rsidR="00A7292A">
        <w:rPr>
          <w:rFonts w:ascii="Calibri" w:eastAsiaTheme="minorHAnsi" w:hAnsi="Calibri" w:cs="Calibri"/>
          <w:szCs w:val="22"/>
          <w:lang w:eastAsia="en-US"/>
        </w:rPr>
        <w:t xml:space="preserve"> Other issues specifically excluded from the Strategy, where stakeholders had a clear desire for input and discus</w:t>
      </w:r>
      <w:r w:rsidR="00902682">
        <w:rPr>
          <w:rFonts w:ascii="Calibri" w:eastAsiaTheme="minorHAnsi" w:hAnsi="Calibri" w:cs="Calibri"/>
          <w:szCs w:val="22"/>
          <w:lang w:eastAsia="en-US"/>
        </w:rPr>
        <w:t>sion, included private obstetric and midwifery care. Any decision to revise the scope of the Strategy and its monitoring and evaluation implementation plan would require the agreement of all parties.</w:t>
      </w:r>
      <w:r w:rsidR="00A7292A">
        <w:rPr>
          <w:rFonts w:ascii="Calibri" w:eastAsiaTheme="minorHAnsi" w:hAnsi="Calibri" w:cs="Calibri"/>
          <w:szCs w:val="22"/>
          <w:lang w:eastAsia="en-US"/>
        </w:rPr>
        <w:t xml:space="preserve"> </w:t>
      </w:r>
    </w:p>
    <w:p w14:paraId="480D4284" w14:textId="26DF2610" w:rsidR="006E04A2" w:rsidRDefault="00902682" w:rsidP="00A41733">
      <w:pPr>
        <w:spacing w:after="120"/>
        <w:rPr>
          <w:rFonts w:ascii="Calibri" w:eastAsiaTheme="minorHAnsi" w:hAnsi="Calibri" w:cs="Calibri"/>
          <w:szCs w:val="22"/>
          <w:lang w:eastAsia="en-US"/>
        </w:rPr>
      </w:pPr>
      <w:r>
        <w:rPr>
          <w:rFonts w:ascii="Calibri" w:eastAsiaTheme="minorHAnsi" w:hAnsi="Calibri" w:cs="Calibri"/>
          <w:szCs w:val="22"/>
          <w:lang w:eastAsia="en-US"/>
        </w:rPr>
        <w:t xml:space="preserve">The qualitative findings in Section 3 represent a cross-sectional ‘snapshot’ of the situation at the time of the environment scan, stakeholder survey and interviews, and reflect faithfully </w:t>
      </w:r>
      <w:r w:rsidR="001B2822">
        <w:rPr>
          <w:rFonts w:ascii="Calibri" w:eastAsiaTheme="minorHAnsi" w:hAnsi="Calibri" w:cs="Calibri"/>
          <w:szCs w:val="22"/>
          <w:lang w:eastAsia="en-US"/>
        </w:rPr>
        <w:t>the views of stakeholders and the extent to which information about current activity is publicly available. The quantitative findings in Section 4 are aligned with key data collections including the AIHW National Core Maternity Indicators. This was a deliberate decision to maximise the benefits from existing, ongoing work and prevent duplication of effort. However, additional indicators will be required to cover the full range of expected outputs and outcomes from the enabling activities of the Strategy. This is discussed further in Part 2 of this report.</w:t>
      </w:r>
    </w:p>
    <w:p w14:paraId="151572E7" w14:textId="63A2C6E9" w:rsidR="001B2822" w:rsidRDefault="006E04A2" w:rsidP="00A41733">
      <w:pPr>
        <w:spacing w:after="120"/>
        <w:rPr>
          <w:rFonts w:ascii="Calibri" w:eastAsiaTheme="minorHAnsi" w:hAnsi="Calibri" w:cs="Calibri"/>
          <w:szCs w:val="22"/>
          <w:lang w:eastAsia="en-US"/>
        </w:rPr>
      </w:pPr>
      <w:r>
        <w:rPr>
          <w:rFonts w:ascii="Calibri" w:eastAsiaTheme="minorHAnsi" w:hAnsi="Calibri" w:cs="Calibri"/>
          <w:szCs w:val="22"/>
          <w:lang w:eastAsia="en-US"/>
        </w:rPr>
        <w:t xml:space="preserve">It is acknowledged that it will not be possible to attribute change in the National Core Maternity Indicators and the other data items reported in Section 4 to any impact of the Strategy alone, however, causal attribution is not a critical issue in the type of monitoring and evaluation activities proposed. The Strategy is not a simple intervention that lends itself to a controlled trial, but a guidance document developed by a council of stakeholders and agreed by health ministers across Australia. It does not include binding targets or accountability mechanisms, and these are not necessarily required as it will require a collaborative and cooperative effort to achieve the Strategy’s goals. The operating environment for the Strategy is extraordinarily complex, in terms of </w:t>
      </w:r>
      <w:r w:rsidR="00181B6B">
        <w:rPr>
          <w:rFonts w:ascii="Calibri" w:eastAsiaTheme="minorHAnsi" w:hAnsi="Calibri" w:cs="Calibri"/>
          <w:szCs w:val="22"/>
          <w:lang w:eastAsia="en-US"/>
        </w:rPr>
        <w:t xml:space="preserve">the variety of </w:t>
      </w:r>
      <w:r>
        <w:rPr>
          <w:rFonts w:ascii="Calibri" w:eastAsiaTheme="minorHAnsi" w:hAnsi="Calibri" w:cs="Calibri"/>
          <w:szCs w:val="22"/>
          <w:lang w:eastAsia="en-US"/>
        </w:rPr>
        <w:t xml:space="preserve">arrangements for funding and delivery of services. A huge </w:t>
      </w:r>
      <w:r w:rsidR="00181B6B">
        <w:rPr>
          <w:rFonts w:ascii="Calibri" w:eastAsiaTheme="minorHAnsi" w:hAnsi="Calibri" w:cs="Calibri"/>
          <w:szCs w:val="22"/>
          <w:lang w:eastAsia="en-US"/>
        </w:rPr>
        <w:t>range</w:t>
      </w:r>
      <w:r>
        <w:rPr>
          <w:rFonts w:ascii="Calibri" w:eastAsiaTheme="minorHAnsi" w:hAnsi="Calibri" w:cs="Calibri"/>
          <w:szCs w:val="22"/>
          <w:lang w:eastAsia="en-US"/>
        </w:rPr>
        <w:t xml:space="preserve"> of factors at various levels will contribute to the outcomes to be measured in the future, ranging from individual women and </w:t>
      </w:r>
      <w:r w:rsidR="00181B6B">
        <w:rPr>
          <w:rFonts w:ascii="Calibri" w:eastAsiaTheme="minorHAnsi" w:hAnsi="Calibri" w:cs="Calibri"/>
          <w:szCs w:val="22"/>
          <w:lang w:eastAsia="en-US"/>
        </w:rPr>
        <w:t xml:space="preserve">health care professionals to service-level policies and governance structures to jurisdictional strategy to national funding for research programs. For these reasons, ongoing monitoring and evaluation should not take a simple accountability approach – pass or fail – but consider how measurement </w:t>
      </w:r>
      <w:r w:rsidR="00181B6B">
        <w:rPr>
          <w:rFonts w:ascii="Calibri" w:eastAsiaTheme="minorHAnsi" w:hAnsi="Calibri" w:cs="Calibri"/>
          <w:szCs w:val="22"/>
          <w:lang w:eastAsia="en-US"/>
        </w:rPr>
        <w:lastRenderedPageBreak/>
        <w:t>can be used to contribute to learning and development. It will not be possible to measure everything at once, and there is an important role for a governance body, representing all stakeholders, in setting priorities and helping to focus monitoring and evaluation efforts to maximise benefits and utilisation.</w:t>
      </w:r>
    </w:p>
    <w:p w14:paraId="5CDCE390" w14:textId="4F0C0DFC" w:rsidR="00A7292A" w:rsidRDefault="00240E88" w:rsidP="00A41733">
      <w:pPr>
        <w:spacing w:after="120"/>
        <w:rPr>
          <w:rFonts w:ascii="Calibri" w:eastAsiaTheme="minorHAnsi" w:hAnsi="Calibri" w:cs="Calibri"/>
          <w:szCs w:val="22"/>
          <w:lang w:eastAsia="en-US"/>
        </w:rPr>
      </w:pPr>
      <w:r>
        <w:rPr>
          <w:rFonts w:ascii="Calibri" w:eastAsiaTheme="minorHAnsi" w:hAnsi="Calibri" w:cs="Calibri"/>
          <w:szCs w:val="22"/>
          <w:lang w:eastAsia="en-US"/>
        </w:rPr>
        <w:t>S</w:t>
      </w:r>
      <w:r w:rsidR="00902682">
        <w:rPr>
          <w:rFonts w:ascii="Calibri" w:eastAsiaTheme="minorHAnsi" w:hAnsi="Calibri" w:cs="Calibri"/>
          <w:szCs w:val="22"/>
          <w:lang w:eastAsia="en-US"/>
        </w:rPr>
        <w:t>takeholder priorities for ongoing monitoring and evaluation are presented</w:t>
      </w:r>
      <w:r>
        <w:rPr>
          <w:rFonts w:ascii="Calibri" w:eastAsiaTheme="minorHAnsi" w:hAnsi="Calibri" w:cs="Calibri"/>
          <w:szCs w:val="22"/>
          <w:lang w:eastAsia="en-US"/>
        </w:rPr>
        <w:t xml:space="preserve"> in Section 5</w:t>
      </w:r>
      <w:r w:rsidR="00902682">
        <w:rPr>
          <w:rFonts w:ascii="Calibri" w:eastAsiaTheme="minorHAnsi" w:hAnsi="Calibri" w:cs="Calibri"/>
          <w:szCs w:val="22"/>
          <w:lang w:eastAsia="en-US"/>
        </w:rPr>
        <w:t xml:space="preserve">. </w:t>
      </w:r>
      <w:r w:rsidR="001B2822">
        <w:rPr>
          <w:rFonts w:ascii="Calibri" w:eastAsiaTheme="minorHAnsi" w:hAnsi="Calibri" w:cs="Calibri"/>
          <w:szCs w:val="22"/>
          <w:lang w:eastAsia="en-US"/>
        </w:rPr>
        <w:t>A</w:t>
      </w:r>
      <w:r w:rsidR="00902682">
        <w:rPr>
          <w:rFonts w:ascii="Calibri" w:eastAsiaTheme="minorHAnsi" w:hAnsi="Calibri" w:cs="Calibri"/>
          <w:szCs w:val="22"/>
          <w:lang w:eastAsia="en-US"/>
        </w:rPr>
        <w:t xml:space="preserve">lthough the focus was on collecting data to inform the MEF implementation, many stakeholders took the opportunity to express their </w:t>
      </w:r>
      <w:r w:rsidR="001B2822">
        <w:rPr>
          <w:rFonts w:ascii="Calibri" w:eastAsiaTheme="minorHAnsi" w:hAnsi="Calibri" w:cs="Calibri"/>
          <w:szCs w:val="22"/>
          <w:lang w:eastAsia="en-US"/>
        </w:rPr>
        <w:t xml:space="preserve">views </w:t>
      </w:r>
      <w:r w:rsidR="00902682">
        <w:rPr>
          <w:rFonts w:ascii="Calibri" w:eastAsiaTheme="minorHAnsi" w:hAnsi="Calibri" w:cs="Calibri"/>
          <w:szCs w:val="22"/>
          <w:lang w:eastAsia="en-US"/>
        </w:rPr>
        <w:t xml:space="preserve">on implementation of the Strategy </w:t>
      </w:r>
      <w:r w:rsidR="007543F1">
        <w:rPr>
          <w:rFonts w:ascii="Calibri" w:eastAsiaTheme="minorHAnsi" w:hAnsi="Calibri" w:cs="Calibri"/>
          <w:szCs w:val="22"/>
          <w:lang w:eastAsia="en-US"/>
        </w:rPr>
        <w:t>itself,</w:t>
      </w:r>
      <w:r w:rsidR="00902682">
        <w:rPr>
          <w:rFonts w:ascii="Calibri" w:eastAsiaTheme="minorHAnsi" w:hAnsi="Calibri" w:cs="Calibri"/>
          <w:szCs w:val="22"/>
          <w:lang w:eastAsia="en-US"/>
        </w:rPr>
        <w:t xml:space="preserve"> and on system improvement in general; it was apparent that </w:t>
      </w:r>
      <w:r w:rsidR="00FD64B8">
        <w:rPr>
          <w:rFonts w:ascii="Calibri" w:eastAsiaTheme="minorHAnsi" w:hAnsi="Calibri" w:cs="Calibri"/>
          <w:szCs w:val="22"/>
          <w:lang w:eastAsia="en-US"/>
        </w:rPr>
        <w:t>coordinated improvement</w:t>
      </w:r>
      <w:r w:rsidR="007543F1">
        <w:rPr>
          <w:rFonts w:ascii="Calibri" w:eastAsiaTheme="minorHAnsi" w:hAnsi="Calibri" w:cs="Calibri"/>
          <w:szCs w:val="22"/>
          <w:lang w:eastAsia="en-US"/>
        </w:rPr>
        <w:t xml:space="preserve"> efforts were</w:t>
      </w:r>
      <w:r w:rsidR="00902682">
        <w:rPr>
          <w:rFonts w:ascii="Calibri" w:eastAsiaTheme="minorHAnsi" w:hAnsi="Calibri" w:cs="Calibri"/>
          <w:szCs w:val="22"/>
          <w:lang w:eastAsia="en-US"/>
        </w:rPr>
        <w:t xml:space="preserve"> considered essential </w:t>
      </w:r>
      <w:r w:rsidR="00FD64B8">
        <w:rPr>
          <w:rFonts w:ascii="Calibri" w:eastAsiaTheme="minorHAnsi" w:hAnsi="Calibri" w:cs="Calibri"/>
          <w:szCs w:val="22"/>
          <w:lang w:eastAsia="en-US"/>
        </w:rPr>
        <w:t>and it makes sense for these to precede the implementation of monitoring and evaluation</w:t>
      </w:r>
      <w:r w:rsidR="00902682">
        <w:rPr>
          <w:rFonts w:ascii="Calibri" w:eastAsiaTheme="minorHAnsi" w:hAnsi="Calibri" w:cs="Calibri"/>
          <w:szCs w:val="22"/>
          <w:lang w:eastAsia="en-US"/>
        </w:rPr>
        <w:t>.</w:t>
      </w:r>
      <w:r w:rsidR="001B2822">
        <w:rPr>
          <w:rFonts w:ascii="Calibri" w:eastAsiaTheme="minorHAnsi" w:hAnsi="Calibri" w:cs="Calibri"/>
          <w:szCs w:val="22"/>
          <w:lang w:eastAsia="en-US"/>
        </w:rPr>
        <w:t xml:space="preserve"> </w:t>
      </w:r>
      <w:r>
        <w:rPr>
          <w:rFonts w:ascii="Calibri" w:eastAsiaTheme="minorHAnsi" w:hAnsi="Calibri" w:cs="Calibri"/>
          <w:szCs w:val="22"/>
          <w:lang w:eastAsia="en-US"/>
        </w:rPr>
        <w:t>Arguably, the outcomes that stakeholders would most like to achieve are likely to be the outcomes they would prioritise to monitor and measure; this assumption has guided the way in which findings from the stakeholder consultations were used to shape the implementation plan</w:t>
      </w:r>
      <w:r w:rsidR="007543F1">
        <w:rPr>
          <w:rFonts w:ascii="Calibri" w:eastAsiaTheme="minorHAnsi" w:hAnsi="Calibri" w:cs="Calibri"/>
          <w:szCs w:val="22"/>
          <w:lang w:eastAsia="en-US"/>
        </w:rPr>
        <w:t xml:space="preserve"> for ongoing monitoring and evaluation</w:t>
      </w:r>
      <w:r>
        <w:rPr>
          <w:rFonts w:ascii="Calibri" w:eastAsiaTheme="minorHAnsi" w:hAnsi="Calibri" w:cs="Calibri"/>
          <w:szCs w:val="22"/>
          <w:lang w:eastAsia="en-US"/>
        </w:rPr>
        <w:t>.</w:t>
      </w:r>
    </w:p>
    <w:p w14:paraId="1DABA0B0" w14:textId="59C40628" w:rsidR="00A41733" w:rsidRDefault="00797B7B" w:rsidP="00A41733">
      <w:pPr>
        <w:spacing w:after="120"/>
        <w:rPr>
          <w:rFonts w:ascii="Calibri" w:eastAsiaTheme="minorHAnsi" w:hAnsi="Calibri" w:cs="Calibri"/>
          <w:szCs w:val="22"/>
          <w:lang w:eastAsia="en-US"/>
        </w:rPr>
      </w:pPr>
      <w:r w:rsidRPr="00C16010">
        <w:rPr>
          <w:rFonts w:ascii="Calibri" w:eastAsiaTheme="minorHAnsi" w:hAnsi="Calibri" w:cs="Calibri"/>
          <w:szCs w:val="22"/>
          <w:lang w:eastAsia="en-US"/>
        </w:rPr>
        <w:t xml:space="preserve">The </w:t>
      </w:r>
      <w:r>
        <w:rPr>
          <w:rFonts w:ascii="Calibri" w:eastAsiaTheme="minorHAnsi" w:hAnsi="Calibri" w:cs="Calibri"/>
          <w:szCs w:val="22"/>
          <w:lang w:eastAsia="en-US"/>
        </w:rPr>
        <w:t>implementation plan (</w:t>
      </w:r>
      <w:r w:rsidR="009D77C9">
        <w:rPr>
          <w:rFonts w:ascii="Calibri" w:eastAsiaTheme="minorHAnsi" w:hAnsi="Calibri" w:cs="Calibri"/>
          <w:szCs w:val="22"/>
          <w:lang w:eastAsia="en-US"/>
        </w:rPr>
        <w:t>Part</w:t>
      </w:r>
      <w:r>
        <w:rPr>
          <w:rFonts w:ascii="Calibri" w:eastAsiaTheme="minorHAnsi" w:hAnsi="Calibri" w:cs="Calibri"/>
          <w:szCs w:val="22"/>
          <w:lang w:eastAsia="en-US"/>
        </w:rPr>
        <w:t xml:space="preserve"> 2 of this Baseline Report)</w:t>
      </w:r>
      <w:r w:rsidRPr="00C16010">
        <w:rPr>
          <w:rFonts w:ascii="Calibri" w:eastAsiaTheme="minorHAnsi" w:hAnsi="Calibri" w:cs="Calibri"/>
          <w:szCs w:val="22"/>
          <w:lang w:eastAsia="en-US"/>
        </w:rPr>
        <w:t xml:space="preserve"> provides a timely opportunity to reengage stakeholders with the Strategy and to reinvigorate its enabling act</w:t>
      </w:r>
      <w:r w:rsidR="00A41733">
        <w:rPr>
          <w:rFonts w:ascii="Calibri" w:eastAsiaTheme="minorHAnsi" w:hAnsi="Calibri" w:cs="Calibri"/>
          <w:szCs w:val="22"/>
          <w:lang w:eastAsia="en-US"/>
        </w:rPr>
        <w:t>ivities more broadly. Ensuring that monitoring and evaluation findings are</w:t>
      </w:r>
      <w:r w:rsidRPr="00C16010">
        <w:rPr>
          <w:rFonts w:ascii="Calibri" w:eastAsiaTheme="minorHAnsi" w:hAnsi="Calibri" w:cs="Calibri"/>
          <w:szCs w:val="22"/>
          <w:lang w:eastAsia="en-US"/>
        </w:rPr>
        <w:t xml:space="preserve"> relevant for, and accessible to, multiple audiences will be integral to </w:t>
      </w:r>
      <w:r w:rsidR="002523C6">
        <w:rPr>
          <w:rFonts w:ascii="Calibri" w:eastAsiaTheme="minorHAnsi" w:hAnsi="Calibri" w:cs="Calibri"/>
          <w:szCs w:val="22"/>
          <w:lang w:eastAsia="en-US"/>
        </w:rPr>
        <w:t>sustainability</w:t>
      </w:r>
      <w:r w:rsidRPr="00C16010">
        <w:rPr>
          <w:rFonts w:ascii="Calibri" w:eastAsiaTheme="minorHAnsi" w:hAnsi="Calibri" w:cs="Calibri"/>
          <w:szCs w:val="22"/>
          <w:lang w:eastAsia="en-US"/>
        </w:rPr>
        <w:t>.</w:t>
      </w:r>
      <w:r w:rsidR="00A41733">
        <w:rPr>
          <w:rFonts w:ascii="Calibri" w:eastAsiaTheme="minorHAnsi" w:hAnsi="Calibri" w:cs="Calibri"/>
          <w:szCs w:val="22"/>
          <w:lang w:eastAsia="en-US"/>
        </w:rPr>
        <w:t xml:space="preserve"> </w:t>
      </w:r>
      <w:r w:rsidR="00A41733" w:rsidRPr="00C16010">
        <w:rPr>
          <w:rFonts w:ascii="Calibri" w:eastAsiaTheme="minorHAnsi" w:hAnsi="Calibri" w:cs="Calibri"/>
          <w:szCs w:val="22"/>
          <w:lang w:eastAsia="en-US"/>
        </w:rPr>
        <w:t>There is potential to think innovatively about how existing and new information could be collected, analysed and reported on to increase transparency and reduce duplication and stakeholder burden.</w:t>
      </w:r>
      <w:r w:rsidR="00A41733">
        <w:rPr>
          <w:rFonts w:ascii="Calibri" w:eastAsiaTheme="minorHAnsi" w:hAnsi="Calibri" w:cs="Calibri"/>
          <w:szCs w:val="22"/>
          <w:lang w:eastAsia="en-US"/>
        </w:rPr>
        <w:t xml:space="preserve"> </w:t>
      </w:r>
      <w:r w:rsidR="00A41733" w:rsidRPr="00C16010">
        <w:rPr>
          <w:rFonts w:ascii="Calibri" w:eastAsiaTheme="minorHAnsi" w:hAnsi="Calibri" w:cs="Calibri"/>
          <w:szCs w:val="22"/>
          <w:lang w:eastAsia="en-US"/>
        </w:rPr>
        <w:t xml:space="preserve">The </w:t>
      </w:r>
      <w:r w:rsidR="00A41733">
        <w:rPr>
          <w:rFonts w:ascii="Calibri" w:eastAsiaTheme="minorHAnsi" w:hAnsi="Calibri" w:cs="Calibri"/>
          <w:szCs w:val="22"/>
          <w:lang w:eastAsia="en-US"/>
        </w:rPr>
        <w:t>implementation plan</w:t>
      </w:r>
      <w:r w:rsidR="00A41733" w:rsidRPr="00C16010">
        <w:rPr>
          <w:rFonts w:ascii="Calibri" w:eastAsiaTheme="minorHAnsi" w:hAnsi="Calibri" w:cs="Calibri"/>
          <w:szCs w:val="22"/>
          <w:lang w:eastAsia="en-US"/>
        </w:rPr>
        <w:t xml:space="preserve"> also provides an important opportunity to prioritise the collection of patient-reported information, which stakeholders agreed </w:t>
      </w:r>
      <w:r w:rsidR="00A41733">
        <w:rPr>
          <w:rFonts w:ascii="Calibri" w:eastAsiaTheme="minorHAnsi" w:hAnsi="Calibri" w:cs="Calibri"/>
          <w:szCs w:val="22"/>
          <w:lang w:eastAsia="en-US"/>
        </w:rPr>
        <w:t xml:space="preserve">should </w:t>
      </w:r>
      <w:r w:rsidR="00A41733" w:rsidRPr="00C16010">
        <w:rPr>
          <w:rFonts w:ascii="Calibri" w:eastAsiaTheme="minorHAnsi" w:hAnsi="Calibri" w:cs="Calibri"/>
          <w:szCs w:val="22"/>
          <w:lang w:eastAsia="en-US"/>
        </w:rPr>
        <w:t>be central to future monitoring and evaluat</w:t>
      </w:r>
      <w:r w:rsidR="00A41733">
        <w:rPr>
          <w:rFonts w:ascii="Calibri" w:eastAsiaTheme="minorHAnsi" w:hAnsi="Calibri" w:cs="Calibri"/>
          <w:szCs w:val="22"/>
          <w:lang w:eastAsia="en-US"/>
        </w:rPr>
        <w:t>ion</w:t>
      </w:r>
      <w:r w:rsidR="00A41733" w:rsidRPr="00C16010">
        <w:rPr>
          <w:rFonts w:ascii="Calibri" w:eastAsiaTheme="minorHAnsi" w:hAnsi="Calibri" w:cs="Calibri"/>
          <w:szCs w:val="22"/>
          <w:lang w:eastAsia="en-US"/>
        </w:rPr>
        <w:t xml:space="preserve"> of woman-centred care.</w:t>
      </w:r>
    </w:p>
    <w:p w14:paraId="0C150309" w14:textId="502D1E46" w:rsidR="00131A2F" w:rsidRDefault="0002720A" w:rsidP="002523C6">
      <w:pPr>
        <w:spacing w:after="120"/>
      </w:pPr>
      <w:r>
        <w:t>I</w:t>
      </w:r>
      <w:r w:rsidR="002523C6">
        <w:t xml:space="preserve">t is important to note that the time constraints precluded deep engagement with stakeholders representing the interests of </w:t>
      </w:r>
      <w:r w:rsidR="0094459C">
        <w:t xml:space="preserve">Aboriginal and Torres Strait Islander </w:t>
      </w:r>
      <w:r w:rsidR="002523C6">
        <w:t>health professionals, service providers, mothers and families. For similar reasons, it was not possible to achieve strong engagement of stakeholders representing the interests of culturally and linguistically diverse groups including migrant and refugee families. We acknowledge that incorporating the perspectives of these stakeholders will be essential to ensure that the Baseline Report and implementation plan accurately capture and serve the needs of all Australians, including groups at risk of poor maternity outcomes. We strongly recommend further consultation with these groups by the Department with a timeframe that allows for meaningful and respectful engagement, preferably facilitated by those with appropriate community connections.</w:t>
      </w:r>
    </w:p>
    <w:p w14:paraId="63328F1F" w14:textId="04A08F24" w:rsidR="001B77CC" w:rsidRDefault="00544348" w:rsidP="00544348">
      <w:pPr>
        <w:pStyle w:val="Heading2"/>
      </w:pPr>
      <w:bookmarkStart w:id="385" w:name="_Toc121415083"/>
      <w:r>
        <w:t>Conclusion</w:t>
      </w:r>
      <w:bookmarkEnd w:id="385"/>
    </w:p>
    <w:p w14:paraId="61E78DBE" w14:textId="53DE5A2D" w:rsidR="001B77CC" w:rsidRPr="002523C6" w:rsidRDefault="001B77CC" w:rsidP="002523C6">
      <w:pPr>
        <w:spacing w:after="120"/>
      </w:pPr>
      <w:r>
        <w:t>This is</w:t>
      </w:r>
      <w:r w:rsidR="009D77C9">
        <w:t xml:space="preserve"> Part</w:t>
      </w:r>
      <w:r>
        <w:t xml:space="preserve"> 1 of the Baseline Report and provides a starting point for the ongoing monitoring and evaluation of the Strategy</w:t>
      </w:r>
      <w:r w:rsidR="00544348">
        <w:t xml:space="preserve">. </w:t>
      </w:r>
      <w:r w:rsidR="007543F1">
        <w:t xml:space="preserve">The qualitative data presented here is the baseline status at the time of writing, and the quantitative data describes trends in the key indicators of maternal and neonatal morbidity and mortality, along with maternity service use, in the years leading up to the release of the Strategy. </w:t>
      </w:r>
      <w:r w:rsidR="00544348">
        <w:t xml:space="preserve">An Implementation Plan for monitoring and evaluation is provided in </w:t>
      </w:r>
      <w:r w:rsidR="009D77C9">
        <w:t>Part</w:t>
      </w:r>
      <w:r w:rsidR="00544348">
        <w:t xml:space="preserve"> 2. It is hoped that the two reports together provide a foundation for future work to understand the implementation of the Strategy’s enabling activities and their impact on care for women and babies</w:t>
      </w:r>
      <w:r w:rsidR="007543F1">
        <w:t xml:space="preserve"> in Australia</w:t>
      </w:r>
      <w:r w:rsidR="00544348">
        <w:t>.</w:t>
      </w:r>
    </w:p>
    <w:p w14:paraId="6B2E0BF8" w14:textId="49A64E41" w:rsidR="00267BD0" w:rsidRPr="00797B7B" w:rsidRDefault="00267BD0" w:rsidP="00797B7B">
      <w:pPr>
        <w:spacing w:after="120"/>
        <w:rPr>
          <w:rFonts w:ascii="Calibri" w:eastAsiaTheme="minorHAnsi" w:hAnsi="Calibri" w:cs="Calibri"/>
          <w:szCs w:val="22"/>
          <w:lang w:eastAsia="en-US"/>
        </w:rPr>
      </w:pPr>
      <w:r w:rsidRPr="00797B7B">
        <w:rPr>
          <w:rFonts w:ascii="Calibri" w:eastAsiaTheme="minorHAnsi" w:hAnsi="Calibri" w:cs="Calibri"/>
          <w:szCs w:val="22"/>
          <w:lang w:eastAsia="en-US"/>
        </w:rPr>
        <w:br w:type="page"/>
      </w:r>
    </w:p>
    <w:p w14:paraId="4EBEFFDB" w14:textId="19DDC07C" w:rsidR="00443C64" w:rsidRDefault="00443C64" w:rsidP="00443C64">
      <w:pPr>
        <w:pStyle w:val="Heading1"/>
        <w:numPr>
          <w:ilvl w:val="0"/>
          <w:numId w:val="0"/>
        </w:numPr>
        <w:ind w:left="567" w:hanging="567"/>
      </w:pPr>
      <w:bookmarkStart w:id="386" w:name="_Toc121415084"/>
      <w:r>
        <w:lastRenderedPageBreak/>
        <w:t>References</w:t>
      </w:r>
      <w:bookmarkEnd w:id="366"/>
      <w:bookmarkEnd w:id="386"/>
    </w:p>
    <w:p w14:paraId="095D8553" w14:textId="77777777" w:rsidR="00F66EC6" w:rsidRPr="00F66EC6" w:rsidRDefault="00443C64" w:rsidP="00F66EC6">
      <w:pPr>
        <w:pStyle w:val="EndNoteBibliography"/>
        <w:spacing w:before="120"/>
        <w:ind w:left="284" w:hanging="284"/>
        <w:rPr>
          <w:noProof/>
        </w:rPr>
      </w:pPr>
      <w:r w:rsidRPr="00F66EC6">
        <w:fldChar w:fldCharType="begin"/>
      </w:r>
      <w:r w:rsidRPr="00F66EC6">
        <w:instrText xml:space="preserve"> ADDIN EN.REFLIST </w:instrText>
      </w:r>
      <w:r w:rsidRPr="00F66EC6">
        <w:fldChar w:fldCharType="separate"/>
      </w:r>
      <w:r w:rsidR="00F66EC6" w:rsidRPr="00F66EC6">
        <w:rPr>
          <w:noProof/>
        </w:rPr>
        <w:t>1.</w:t>
      </w:r>
      <w:r w:rsidR="00F66EC6" w:rsidRPr="00F66EC6">
        <w:rPr>
          <w:noProof/>
        </w:rPr>
        <w:tab/>
        <w:t>COAG. Woman-centred care: Strategic directions for Australian maternity services. Canberra: COAG Health Council, Commonwealth Department of Health 2019.</w:t>
      </w:r>
    </w:p>
    <w:p w14:paraId="3850A3E7" w14:textId="77777777" w:rsidR="00F66EC6" w:rsidRPr="00F66EC6" w:rsidRDefault="00F66EC6" w:rsidP="00F66EC6">
      <w:pPr>
        <w:pStyle w:val="EndNoteBibliography"/>
        <w:spacing w:before="120"/>
        <w:ind w:left="284" w:hanging="284"/>
        <w:rPr>
          <w:noProof/>
        </w:rPr>
      </w:pPr>
      <w:r w:rsidRPr="00F66EC6">
        <w:rPr>
          <w:noProof/>
        </w:rPr>
        <w:t>2.</w:t>
      </w:r>
      <w:r w:rsidRPr="00F66EC6">
        <w:rPr>
          <w:noProof/>
        </w:rPr>
        <w:tab/>
        <w:t>COAG. National Maternity Services Plan. Canberra: COAG Health Council, Commonwealth Department of Health 2010.</w:t>
      </w:r>
    </w:p>
    <w:p w14:paraId="615A956F" w14:textId="77777777" w:rsidR="00F66EC6" w:rsidRPr="00F66EC6" w:rsidRDefault="00F66EC6" w:rsidP="00F66EC6">
      <w:pPr>
        <w:pStyle w:val="EndNoteBibliography"/>
        <w:spacing w:before="120"/>
        <w:ind w:left="284" w:hanging="284"/>
        <w:rPr>
          <w:noProof/>
        </w:rPr>
      </w:pPr>
      <w:r w:rsidRPr="00F66EC6">
        <w:rPr>
          <w:noProof/>
        </w:rPr>
        <w:t>3.</w:t>
      </w:r>
      <w:r w:rsidRPr="00F66EC6">
        <w:rPr>
          <w:noProof/>
        </w:rPr>
        <w:tab/>
        <w:t xml:space="preserve">Dahlen HG, Ormsby S, Staines A, et al. A comparison of the Woman-centred care: strategic directions for Australian maternity services (2019) national strategy with other international maternity plans. </w:t>
      </w:r>
      <w:r w:rsidRPr="00F66EC6">
        <w:rPr>
          <w:i/>
          <w:noProof/>
        </w:rPr>
        <w:t>Women and Birth</w:t>
      </w:r>
      <w:r w:rsidRPr="00F66EC6">
        <w:rPr>
          <w:noProof/>
        </w:rPr>
        <w:t xml:space="preserve"> 2022.</w:t>
      </w:r>
    </w:p>
    <w:p w14:paraId="224D864D" w14:textId="77777777" w:rsidR="00F66EC6" w:rsidRPr="00F66EC6" w:rsidRDefault="00F66EC6" w:rsidP="00F66EC6">
      <w:pPr>
        <w:pStyle w:val="EndNoteBibliography"/>
        <w:spacing w:before="120"/>
        <w:ind w:left="284" w:hanging="284"/>
        <w:rPr>
          <w:noProof/>
        </w:rPr>
      </w:pPr>
      <w:r w:rsidRPr="00F66EC6">
        <w:rPr>
          <w:noProof/>
        </w:rPr>
        <w:t>4.</w:t>
      </w:r>
      <w:r w:rsidRPr="00F66EC6">
        <w:rPr>
          <w:noProof/>
        </w:rPr>
        <w:tab/>
        <w:t xml:space="preserve">Brundell K, Vasilevski V, Farrell T, Sweet L. Australian maternity service provision: a comparative analysis of state and territory maternity care frameworks. </w:t>
      </w:r>
      <w:r w:rsidRPr="00F66EC6">
        <w:rPr>
          <w:i/>
          <w:noProof/>
        </w:rPr>
        <w:t>Australian Health Review</w:t>
      </w:r>
      <w:r w:rsidRPr="00F66EC6">
        <w:rPr>
          <w:noProof/>
        </w:rPr>
        <w:t xml:space="preserve"> 2022; 46(5): 559-66.</w:t>
      </w:r>
    </w:p>
    <w:p w14:paraId="72692ABF" w14:textId="77777777" w:rsidR="00F66EC6" w:rsidRPr="00F66EC6" w:rsidRDefault="00F66EC6" w:rsidP="00F66EC6">
      <w:pPr>
        <w:pStyle w:val="EndNoteBibliography"/>
        <w:spacing w:before="120"/>
        <w:ind w:left="284" w:hanging="284"/>
        <w:rPr>
          <w:noProof/>
        </w:rPr>
      </w:pPr>
      <w:r w:rsidRPr="00F66EC6">
        <w:rPr>
          <w:noProof/>
        </w:rPr>
        <w:t>5.</w:t>
      </w:r>
      <w:r w:rsidRPr="00F66EC6">
        <w:rPr>
          <w:noProof/>
        </w:rPr>
        <w:tab/>
        <w:t xml:space="preserve">Dadich A, Piper A, Coates D. Implementation science in maternity care: a scoping review. </w:t>
      </w:r>
      <w:r w:rsidRPr="00F66EC6">
        <w:rPr>
          <w:i/>
          <w:noProof/>
        </w:rPr>
        <w:t>Implementation Science</w:t>
      </w:r>
      <w:r w:rsidRPr="00F66EC6">
        <w:rPr>
          <w:noProof/>
        </w:rPr>
        <w:t xml:space="preserve"> 2021; 16(1): 16.</w:t>
      </w:r>
    </w:p>
    <w:p w14:paraId="724E6222" w14:textId="77777777" w:rsidR="00F66EC6" w:rsidRPr="00F66EC6" w:rsidRDefault="00F66EC6" w:rsidP="00F66EC6">
      <w:pPr>
        <w:pStyle w:val="EndNoteBibliography"/>
        <w:spacing w:before="120"/>
        <w:ind w:left="284" w:hanging="284"/>
        <w:rPr>
          <w:noProof/>
        </w:rPr>
      </w:pPr>
      <w:r w:rsidRPr="00F66EC6">
        <w:rPr>
          <w:noProof/>
        </w:rPr>
        <w:t>6.</w:t>
      </w:r>
      <w:r w:rsidRPr="00F66EC6">
        <w:rPr>
          <w:noProof/>
        </w:rPr>
        <w:tab/>
        <w:t xml:space="preserve">Darling F, McCourt PC, Cartwright DM. Facilitators and barriers to the implementation of a physiological approach during labour and birth: A systematic review and thematic synthesis. </w:t>
      </w:r>
      <w:r w:rsidRPr="00F66EC6">
        <w:rPr>
          <w:i/>
          <w:noProof/>
        </w:rPr>
        <w:t>Midwifery</w:t>
      </w:r>
      <w:r w:rsidRPr="00F66EC6">
        <w:rPr>
          <w:noProof/>
        </w:rPr>
        <w:t xml:space="preserve"> 2021; 92: 102861.</w:t>
      </w:r>
    </w:p>
    <w:p w14:paraId="1A1CB56C" w14:textId="77777777" w:rsidR="00F66EC6" w:rsidRPr="00F66EC6" w:rsidRDefault="00F66EC6" w:rsidP="00F66EC6">
      <w:pPr>
        <w:pStyle w:val="EndNoteBibliography"/>
        <w:spacing w:before="120"/>
        <w:ind w:left="284" w:hanging="284"/>
        <w:rPr>
          <w:noProof/>
        </w:rPr>
      </w:pPr>
      <w:r w:rsidRPr="00F66EC6">
        <w:rPr>
          <w:noProof/>
        </w:rPr>
        <w:t>7.</w:t>
      </w:r>
      <w:r w:rsidRPr="00F66EC6">
        <w:rPr>
          <w:noProof/>
        </w:rPr>
        <w:tab/>
        <w:t xml:space="preserve">Damschroder LJ, Aron DC, Keith RE, Kirsh SR, Alexander JA, Lowery JC. Fostering implementation of health services research findings into practice: a consolidated framework for advancing implementation science. </w:t>
      </w:r>
      <w:r w:rsidRPr="00F66EC6">
        <w:rPr>
          <w:i/>
          <w:noProof/>
        </w:rPr>
        <w:t>Implementation Science</w:t>
      </w:r>
      <w:r w:rsidRPr="00F66EC6">
        <w:rPr>
          <w:noProof/>
        </w:rPr>
        <w:t xml:space="preserve"> 2009; 4(1): 50-.</w:t>
      </w:r>
    </w:p>
    <w:p w14:paraId="7FC9DBD5" w14:textId="77777777" w:rsidR="00F66EC6" w:rsidRPr="00F66EC6" w:rsidRDefault="00F66EC6" w:rsidP="00F66EC6">
      <w:pPr>
        <w:pStyle w:val="EndNoteBibliography"/>
        <w:spacing w:before="120"/>
        <w:ind w:left="284" w:hanging="284"/>
        <w:rPr>
          <w:noProof/>
        </w:rPr>
      </w:pPr>
      <w:r w:rsidRPr="00F66EC6">
        <w:rPr>
          <w:noProof/>
        </w:rPr>
        <w:t>8.</w:t>
      </w:r>
      <w:r w:rsidRPr="00F66EC6">
        <w:rPr>
          <w:noProof/>
        </w:rPr>
        <w:tab/>
        <w:t xml:space="preserve">Styles C, Kearney L, George K. Implementation and upscaling of midwifery continuity of care: The experience of midwives and obstetricians. </w:t>
      </w:r>
      <w:r w:rsidRPr="00F66EC6">
        <w:rPr>
          <w:i/>
          <w:noProof/>
        </w:rPr>
        <w:t>Women and Birth</w:t>
      </w:r>
      <w:r w:rsidRPr="00F66EC6">
        <w:rPr>
          <w:noProof/>
        </w:rPr>
        <w:t xml:space="preserve"> 2020; 33(4): 343-51.</w:t>
      </w:r>
    </w:p>
    <w:p w14:paraId="1EEE879E" w14:textId="77777777" w:rsidR="00F66EC6" w:rsidRPr="00F66EC6" w:rsidRDefault="00F66EC6" w:rsidP="00F66EC6">
      <w:pPr>
        <w:pStyle w:val="EndNoteBibliography"/>
        <w:spacing w:before="120"/>
        <w:ind w:left="284" w:hanging="284"/>
        <w:rPr>
          <w:noProof/>
        </w:rPr>
      </w:pPr>
      <w:r w:rsidRPr="00F66EC6">
        <w:rPr>
          <w:noProof/>
        </w:rPr>
        <w:t>9.</w:t>
      </w:r>
      <w:r w:rsidRPr="00F66EC6">
        <w:rPr>
          <w:noProof/>
        </w:rPr>
        <w:tab/>
        <w:t xml:space="preserve">Renfrew MJ, Cheyne H, Burnett A, et al. Responding to the Ockenden Review: Safe care for all needs evidence-based system change - and strengthened midwifery. </w:t>
      </w:r>
      <w:r w:rsidRPr="00F66EC6">
        <w:rPr>
          <w:i/>
          <w:noProof/>
        </w:rPr>
        <w:t>Midwifery</w:t>
      </w:r>
      <w:r w:rsidRPr="00F66EC6">
        <w:rPr>
          <w:noProof/>
        </w:rPr>
        <w:t xml:space="preserve"> 2022; 112: 103391.</w:t>
      </w:r>
    </w:p>
    <w:p w14:paraId="2018109D" w14:textId="77777777" w:rsidR="00F66EC6" w:rsidRPr="00F66EC6" w:rsidRDefault="00F66EC6" w:rsidP="00F66EC6">
      <w:pPr>
        <w:pStyle w:val="EndNoteBibliography"/>
        <w:spacing w:before="120"/>
        <w:ind w:left="284" w:hanging="284"/>
        <w:rPr>
          <w:noProof/>
        </w:rPr>
      </w:pPr>
      <w:r w:rsidRPr="00F66EC6">
        <w:rPr>
          <w:noProof/>
        </w:rPr>
        <w:t>10.</w:t>
      </w:r>
      <w:r w:rsidRPr="00F66EC6">
        <w:rPr>
          <w:noProof/>
        </w:rPr>
        <w:tab/>
        <w:t xml:space="preserve">de Jonge A, De Vries R, Declercq E. Where the Ockenden report goes wrong: Let us keep calm and follow the evidence. </w:t>
      </w:r>
      <w:r w:rsidRPr="00F66EC6">
        <w:rPr>
          <w:i/>
          <w:noProof/>
        </w:rPr>
        <w:t>BJOG: An International Journal of Obstetrics &amp; Gynaecology</w:t>
      </w:r>
      <w:r w:rsidRPr="00F66EC6">
        <w:rPr>
          <w:noProof/>
        </w:rPr>
        <w:t xml:space="preserve"> 2022; n/a(n/a).</w:t>
      </w:r>
    </w:p>
    <w:p w14:paraId="2E2F9BFC" w14:textId="77777777" w:rsidR="00F66EC6" w:rsidRPr="00F66EC6" w:rsidRDefault="00F66EC6" w:rsidP="00F66EC6">
      <w:pPr>
        <w:pStyle w:val="EndNoteBibliography"/>
        <w:spacing w:before="120"/>
        <w:ind w:left="284" w:hanging="284"/>
        <w:rPr>
          <w:noProof/>
        </w:rPr>
      </w:pPr>
      <w:r w:rsidRPr="00F66EC6">
        <w:rPr>
          <w:noProof/>
        </w:rPr>
        <w:t>11.</w:t>
      </w:r>
      <w:r w:rsidRPr="00F66EC6">
        <w:rPr>
          <w:noProof/>
        </w:rPr>
        <w:tab/>
        <w:t xml:space="preserve">Ockenden D. Final findings, conclusions and essential actions from the Ockenden review of maternity services at Shrewsbury and Telford Hospital NHS Trust. </w:t>
      </w:r>
      <w:r w:rsidRPr="00F66EC6">
        <w:rPr>
          <w:i/>
          <w:noProof/>
        </w:rPr>
        <w:t>London: Department of Health and Social Care</w:t>
      </w:r>
      <w:r w:rsidRPr="00F66EC6">
        <w:rPr>
          <w:noProof/>
        </w:rPr>
        <w:t xml:space="preserve"> 2022.</w:t>
      </w:r>
    </w:p>
    <w:p w14:paraId="0A9CE62C" w14:textId="77777777" w:rsidR="00F66EC6" w:rsidRPr="00F66EC6" w:rsidRDefault="00F66EC6" w:rsidP="00F66EC6">
      <w:pPr>
        <w:pStyle w:val="EndNoteBibliography"/>
        <w:spacing w:before="120"/>
        <w:ind w:left="284" w:hanging="284"/>
        <w:rPr>
          <w:noProof/>
        </w:rPr>
      </w:pPr>
      <w:r w:rsidRPr="00F66EC6">
        <w:rPr>
          <w:noProof/>
        </w:rPr>
        <w:t>12.</w:t>
      </w:r>
      <w:r w:rsidRPr="00F66EC6">
        <w:rPr>
          <w:noProof/>
        </w:rPr>
        <w:tab/>
        <w:t>Department of Health. National Stillbirth Action and Implementation Plan. Canberra: Australian Government Department of Health, 2020a.</w:t>
      </w:r>
    </w:p>
    <w:p w14:paraId="6E45EAE3" w14:textId="77777777" w:rsidR="00F66EC6" w:rsidRPr="00F66EC6" w:rsidRDefault="00F66EC6" w:rsidP="00F66EC6">
      <w:pPr>
        <w:pStyle w:val="EndNoteBibliography"/>
        <w:spacing w:before="120"/>
        <w:ind w:left="284" w:hanging="284"/>
        <w:rPr>
          <w:noProof/>
        </w:rPr>
      </w:pPr>
      <w:r w:rsidRPr="00F66EC6">
        <w:rPr>
          <w:noProof/>
        </w:rPr>
        <w:t>13.</w:t>
      </w:r>
      <w:r w:rsidRPr="00F66EC6">
        <w:rPr>
          <w:noProof/>
        </w:rPr>
        <w:tab/>
        <w:t>Flenady V, Oats J, Gardener G, et al. Clinical practice guideline for care around stillbirth and neonatal death. Version 3.4. Brisbane: NHMRC Centre of Research Excellence in Stillbirth, 2020.</w:t>
      </w:r>
    </w:p>
    <w:p w14:paraId="58EE06F7" w14:textId="4F0E1D83" w:rsidR="00F66EC6" w:rsidRPr="00F66EC6" w:rsidRDefault="00F66EC6" w:rsidP="00F66EC6">
      <w:pPr>
        <w:pStyle w:val="EndNoteBibliography"/>
        <w:spacing w:before="120"/>
        <w:ind w:left="284" w:hanging="284"/>
        <w:rPr>
          <w:noProof/>
        </w:rPr>
      </w:pPr>
      <w:r w:rsidRPr="00F66EC6">
        <w:rPr>
          <w:noProof/>
        </w:rPr>
        <w:t>14.</w:t>
      </w:r>
      <w:r w:rsidRPr="00F66EC6">
        <w:rPr>
          <w:noProof/>
        </w:rPr>
        <w:tab/>
        <w:t xml:space="preserve">Women’s Healthcare Australasia. Every Week Counts – National Preterm Birth Prevention Collaborative. 2022. </w:t>
      </w:r>
      <w:hyperlink r:id="rId89" w:history="1">
        <w:r w:rsidRPr="00F66EC6">
          <w:rPr>
            <w:rStyle w:val="Hyperlink"/>
            <w:noProof/>
          </w:rPr>
          <w:t>https://women.wcha.asn.au/collaborate/breakthrough-collaboratives/the-national-preterm-birth-prevention-collaborative/</w:t>
        </w:r>
      </w:hyperlink>
      <w:r w:rsidRPr="00F66EC6">
        <w:rPr>
          <w:noProof/>
        </w:rPr>
        <w:t>.</w:t>
      </w:r>
    </w:p>
    <w:p w14:paraId="6A41F300" w14:textId="77777777" w:rsidR="00F66EC6" w:rsidRPr="00F66EC6" w:rsidRDefault="00F66EC6" w:rsidP="00F66EC6">
      <w:pPr>
        <w:pStyle w:val="EndNoteBibliography"/>
        <w:spacing w:before="120"/>
        <w:ind w:left="284" w:hanging="284"/>
        <w:rPr>
          <w:noProof/>
        </w:rPr>
      </w:pPr>
      <w:r w:rsidRPr="00F66EC6">
        <w:rPr>
          <w:noProof/>
        </w:rPr>
        <w:t>15.</w:t>
      </w:r>
      <w:r w:rsidRPr="00F66EC6">
        <w:rPr>
          <w:noProof/>
        </w:rPr>
        <w:tab/>
        <w:t>COAG Health Council. The Australian National Breastfeeding Strategy: 2019 and Beyond. Canberra: Department of Health, 2019.</w:t>
      </w:r>
    </w:p>
    <w:p w14:paraId="01EB155B" w14:textId="77777777" w:rsidR="00F66EC6" w:rsidRPr="00F66EC6" w:rsidRDefault="00F66EC6" w:rsidP="00F66EC6">
      <w:pPr>
        <w:pStyle w:val="EndNoteBibliography"/>
        <w:spacing w:before="120"/>
        <w:ind w:left="284" w:hanging="284"/>
        <w:rPr>
          <w:noProof/>
        </w:rPr>
      </w:pPr>
      <w:r w:rsidRPr="00F66EC6">
        <w:rPr>
          <w:noProof/>
        </w:rPr>
        <w:t>16.</w:t>
      </w:r>
      <w:r w:rsidRPr="00F66EC6">
        <w:rPr>
          <w:noProof/>
        </w:rPr>
        <w:tab/>
        <w:t>Adelson P, Fleet J, McKellar L. Evaluation of the Midwifery Caseload Model of Care Pilot in the Yorke and Northern Local Health Network. Adelaide: University of South Australia, 2021.</w:t>
      </w:r>
    </w:p>
    <w:p w14:paraId="14252490" w14:textId="77777777" w:rsidR="00F66EC6" w:rsidRPr="00F66EC6" w:rsidRDefault="00F66EC6" w:rsidP="00F66EC6">
      <w:pPr>
        <w:pStyle w:val="EndNoteBibliography"/>
        <w:spacing w:before="120"/>
        <w:ind w:left="284" w:hanging="284"/>
        <w:rPr>
          <w:noProof/>
        </w:rPr>
      </w:pPr>
      <w:r w:rsidRPr="00F66EC6">
        <w:rPr>
          <w:noProof/>
        </w:rPr>
        <w:t>17.</w:t>
      </w:r>
      <w:r w:rsidRPr="00F66EC6">
        <w:rPr>
          <w:noProof/>
        </w:rPr>
        <w:tab/>
        <w:t xml:space="preserve">Tsang TW, Kingsland M, Doherty E, et al. Effectiveness of a practice change intervention in reducing alcohol consumption in pregnant women attending public maternity services. </w:t>
      </w:r>
      <w:r w:rsidRPr="00F66EC6">
        <w:rPr>
          <w:i/>
          <w:noProof/>
        </w:rPr>
        <w:t>Substance Abuse Treatment, Prevention &amp; Policy</w:t>
      </w:r>
      <w:r w:rsidRPr="00F66EC6">
        <w:rPr>
          <w:noProof/>
        </w:rPr>
        <w:t xml:space="preserve"> 2022; 17(1): 1-10.</w:t>
      </w:r>
    </w:p>
    <w:p w14:paraId="793DD44A" w14:textId="77777777" w:rsidR="00F66EC6" w:rsidRPr="00F66EC6" w:rsidRDefault="00F66EC6" w:rsidP="00F66EC6">
      <w:pPr>
        <w:pStyle w:val="EndNoteBibliography"/>
        <w:spacing w:before="120"/>
        <w:ind w:left="284" w:hanging="284"/>
        <w:rPr>
          <w:noProof/>
        </w:rPr>
      </w:pPr>
      <w:r w:rsidRPr="00F66EC6">
        <w:rPr>
          <w:noProof/>
        </w:rPr>
        <w:t>18.</w:t>
      </w:r>
      <w:r w:rsidRPr="00F66EC6">
        <w:rPr>
          <w:noProof/>
        </w:rPr>
        <w:tab/>
        <w:t xml:space="preserve">Passey ME, Adams C, Paul C, Atkins L, Longman JM. Improving implementation of smoking cessation guidelines in pregnancy care: development of an intervention to address system, maternity service leader and clinician factors. </w:t>
      </w:r>
      <w:r w:rsidRPr="00F66EC6">
        <w:rPr>
          <w:i/>
          <w:noProof/>
        </w:rPr>
        <w:t>Implementation Science Communications</w:t>
      </w:r>
      <w:r w:rsidRPr="00F66EC6">
        <w:rPr>
          <w:noProof/>
        </w:rPr>
        <w:t xml:space="preserve"> 2021; 2(1): 128.</w:t>
      </w:r>
    </w:p>
    <w:p w14:paraId="54FF3C97" w14:textId="77777777" w:rsidR="00F66EC6" w:rsidRPr="00F66EC6" w:rsidRDefault="00F66EC6" w:rsidP="00F66EC6">
      <w:pPr>
        <w:pStyle w:val="EndNoteBibliography"/>
        <w:spacing w:before="120"/>
        <w:ind w:left="284" w:hanging="284"/>
        <w:rPr>
          <w:noProof/>
        </w:rPr>
      </w:pPr>
      <w:r w:rsidRPr="00F66EC6">
        <w:rPr>
          <w:noProof/>
        </w:rPr>
        <w:t>19.</w:t>
      </w:r>
      <w:r w:rsidRPr="00F66EC6">
        <w:rPr>
          <w:noProof/>
        </w:rPr>
        <w:tab/>
        <w:t xml:space="preserve">Sawyer A, Kaim A, Le H-N, et al. The effectiveness of an app-based nurse-moderated program for new mothers with depression and parenting problems (EMUMS Plus): Pragmatic randomized controlled trial. </w:t>
      </w:r>
      <w:r w:rsidRPr="00F66EC6">
        <w:rPr>
          <w:i/>
          <w:noProof/>
        </w:rPr>
        <w:t>Journal of Medical Internet Research</w:t>
      </w:r>
      <w:r w:rsidRPr="00F66EC6">
        <w:rPr>
          <w:noProof/>
        </w:rPr>
        <w:t xml:space="preserve"> 2019; 21(6): e13689-e.</w:t>
      </w:r>
    </w:p>
    <w:p w14:paraId="196DA484" w14:textId="4A3FC262" w:rsidR="00F66EC6" w:rsidRPr="00F66EC6" w:rsidRDefault="00F66EC6" w:rsidP="00F66EC6">
      <w:pPr>
        <w:pStyle w:val="EndNoteBibliography"/>
        <w:spacing w:before="120"/>
        <w:ind w:left="284" w:hanging="284"/>
        <w:rPr>
          <w:noProof/>
        </w:rPr>
      </w:pPr>
      <w:r w:rsidRPr="00F66EC6">
        <w:rPr>
          <w:noProof/>
        </w:rPr>
        <w:t>20.</w:t>
      </w:r>
      <w:r w:rsidRPr="00F66EC6">
        <w:rPr>
          <w:noProof/>
        </w:rPr>
        <w:tab/>
        <w:t>AIHW. National Core Maternity Indicators. Canberra: Australian Institute of Health and Welfare</w:t>
      </w:r>
      <w:r>
        <w:rPr>
          <w:noProof/>
        </w:rPr>
        <w:t xml:space="preserve"> </w:t>
      </w:r>
      <w:r w:rsidRPr="00F66EC6">
        <w:rPr>
          <w:noProof/>
        </w:rPr>
        <w:t>2022.</w:t>
      </w:r>
    </w:p>
    <w:p w14:paraId="0D1F2318" w14:textId="77777777" w:rsidR="00F66EC6" w:rsidRPr="00F66EC6" w:rsidRDefault="00F66EC6" w:rsidP="00F66EC6">
      <w:pPr>
        <w:pStyle w:val="EndNoteBibliography"/>
        <w:spacing w:before="120"/>
        <w:ind w:left="284" w:hanging="284"/>
        <w:rPr>
          <w:noProof/>
        </w:rPr>
      </w:pPr>
      <w:r w:rsidRPr="00F66EC6">
        <w:rPr>
          <w:noProof/>
        </w:rPr>
        <w:lastRenderedPageBreak/>
        <w:t>21.</w:t>
      </w:r>
      <w:r w:rsidRPr="00F66EC6">
        <w:rPr>
          <w:noProof/>
        </w:rPr>
        <w:tab/>
        <w:t xml:space="preserve">Callander EJ, Andrews C, Sketcher-Baker K, et al. Safer Baby Bundle: study protocol for the economic evaluation of a quality improvement initiative to reduce stillbirths. </w:t>
      </w:r>
      <w:r w:rsidRPr="00F66EC6">
        <w:rPr>
          <w:i/>
          <w:noProof/>
        </w:rPr>
        <w:t>BMJ Open</w:t>
      </w:r>
      <w:r w:rsidRPr="00F66EC6">
        <w:rPr>
          <w:noProof/>
        </w:rPr>
        <w:t xml:space="preserve"> 2022; 12(8): e058988.</w:t>
      </w:r>
    </w:p>
    <w:p w14:paraId="55432D91" w14:textId="77777777" w:rsidR="00F66EC6" w:rsidRPr="00F66EC6" w:rsidRDefault="00F66EC6" w:rsidP="00F66EC6">
      <w:pPr>
        <w:pStyle w:val="EndNoteBibliography"/>
        <w:spacing w:before="120"/>
        <w:ind w:left="284" w:hanging="284"/>
        <w:rPr>
          <w:noProof/>
        </w:rPr>
      </w:pPr>
      <w:r w:rsidRPr="00F66EC6">
        <w:rPr>
          <w:noProof/>
        </w:rPr>
        <w:t>22.</w:t>
      </w:r>
      <w:r w:rsidRPr="00F66EC6">
        <w:rPr>
          <w:noProof/>
        </w:rPr>
        <w:tab/>
        <w:t xml:space="preserve">Yang M, Yue W, Han X, Hu C, Sun X, Luo J. Postpartum care indications and methodological quality:a systematic review of guidelines. </w:t>
      </w:r>
      <w:r w:rsidRPr="00F66EC6">
        <w:rPr>
          <w:i/>
          <w:noProof/>
        </w:rPr>
        <w:t>Journal of Public Health</w:t>
      </w:r>
      <w:r w:rsidRPr="00F66EC6">
        <w:rPr>
          <w:noProof/>
        </w:rPr>
        <w:t xml:space="preserve"> 2022; 30(9): 2261-75.</w:t>
      </w:r>
    </w:p>
    <w:p w14:paraId="35C510F2" w14:textId="77777777" w:rsidR="00F66EC6" w:rsidRPr="00F66EC6" w:rsidRDefault="00F66EC6" w:rsidP="00F66EC6">
      <w:pPr>
        <w:pStyle w:val="EndNoteBibliography"/>
        <w:spacing w:before="120"/>
        <w:ind w:left="284" w:hanging="284"/>
        <w:rPr>
          <w:noProof/>
        </w:rPr>
      </w:pPr>
      <w:r w:rsidRPr="00F66EC6">
        <w:rPr>
          <w:noProof/>
        </w:rPr>
        <w:t>23.</w:t>
      </w:r>
      <w:r w:rsidRPr="00F66EC6">
        <w:rPr>
          <w:noProof/>
        </w:rPr>
        <w:tab/>
        <w:t>NICE. Postnatal care National Institute for Health and Care Excellence, 2021.</w:t>
      </w:r>
    </w:p>
    <w:p w14:paraId="14384343" w14:textId="77777777" w:rsidR="00F66EC6" w:rsidRPr="00F66EC6" w:rsidRDefault="00F66EC6" w:rsidP="00F66EC6">
      <w:pPr>
        <w:pStyle w:val="EndNoteBibliography"/>
        <w:spacing w:before="120"/>
        <w:ind w:left="284" w:hanging="284"/>
        <w:rPr>
          <w:noProof/>
        </w:rPr>
      </w:pPr>
      <w:r w:rsidRPr="00F66EC6">
        <w:rPr>
          <w:noProof/>
        </w:rPr>
        <w:t>24.</w:t>
      </w:r>
      <w:r w:rsidRPr="00F66EC6">
        <w:rPr>
          <w:noProof/>
        </w:rPr>
        <w:tab/>
        <w:t>WHO. WHO recommendations on maternal and newborn care for a positive postnatal experience. Geneva: World Health Organization, 2022.</w:t>
      </w:r>
    </w:p>
    <w:p w14:paraId="679E2D3B" w14:textId="77777777" w:rsidR="00F66EC6" w:rsidRPr="00F66EC6" w:rsidRDefault="00F66EC6" w:rsidP="00F66EC6">
      <w:pPr>
        <w:pStyle w:val="EndNoteBibliography"/>
        <w:spacing w:before="120"/>
        <w:ind w:left="284" w:hanging="284"/>
        <w:rPr>
          <w:noProof/>
        </w:rPr>
      </w:pPr>
      <w:r w:rsidRPr="00F66EC6">
        <w:rPr>
          <w:noProof/>
        </w:rPr>
        <w:t>25.</w:t>
      </w:r>
      <w:r w:rsidRPr="00F66EC6">
        <w:rPr>
          <w:noProof/>
        </w:rPr>
        <w:tab/>
        <w:t xml:space="preserve">Esbati A, Henderson A, Taylor J, Barnes M. The uptake and implementation of the Baby Friendly Health Initiative in Australia. </w:t>
      </w:r>
      <w:r w:rsidRPr="00F66EC6">
        <w:rPr>
          <w:i/>
          <w:noProof/>
        </w:rPr>
        <w:t>Women and Birth</w:t>
      </w:r>
      <w:r w:rsidRPr="00F66EC6">
        <w:rPr>
          <w:noProof/>
        </w:rPr>
        <w:t xml:space="preserve"> 2019; 32(3): e323-e33.</w:t>
      </w:r>
    </w:p>
    <w:p w14:paraId="6549104F" w14:textId="65CD2E68" w:rsidR="00F66EC6" w:rsidRPr="00F66EC6" w:rsidRDefault="00F66EC6" w:rsidP="00F66EC6">
      <w:pPr>
        <w:pStyle w:val="EndNoteBibliography"/>
        <w:spacing w:before="120"/>
        <w:ind w:left="284" w:hanging="284"/>
        <w:rPr>
          <w:noProof/>
        </w:rPr>
      </w:pPr>
      <w:r w:rsidRPr="00F66EC6">
        <w:rPr>
          <w:noProof/>
        </w:rPr>
        <w:t>26.</w:t>
      </w:r>
      <w:r w:rsidRPr="00F66EC6">
        <w:rPr>
          <w:noProof/>
        </w:rPr>
        <w:tab/>
        <w:t xml:space="preserve">NSW Health. Sustaining NSW Families program. 2019. </w:t>
      </w:r>
      <w:hyperlink r:id="rId90" w:history="1">
        <w:r w:rsidRPr="00F66EC6">
          <w:rPr>
            <w:rStyle w:val="Hyperlink"/>
            <w:noProof/>
          </w:rPr>
          <w:t>https://www.health.nsw.gov.au/kidsfamilies/MCFhealth/Pages/snf-program.aspx</w:t>
        </w:r>
      </w:hyperlink>
      <w:r w:rsidRPr="00F66EC6">
        <w:rPr>
          <w:noProof/>
        </w:rPr>
        <w:t>.</w:t>
      </w:r>
    </w:p>
    <w:p w14:paraId="785E57B6" w14:textId="6F10B153" w:rsidR="00F66EC6" w:rsidRPr="00F66EC6" w:rsidRDefault="00F66EC6" w:rsidP="00F66EC6">
      <w:pPr>
        <w:pStyle w:val="EndNoteBibliography"/>
        <w:spacing w:before="120"/>
        <w:ind w:left="284" w:hanging="284"/>
        <w:rPr>
          <w:noProof/>
        </w:rPr>
      </w:pPr>
      <w:r w:rsidRPr="00F66EC6">
        <w:rPr>
          <w:noProof/>
        </w:rPr>
        <w:t>27.</w:t>
      </w:r>
      <w:r w:rsidRPr="00F66EC6">
        <w:rPr>
          <w:noProof/>
        </w:rPr>
        <w:tab/>
        <w:t xml:space="preserve">Australian Nurse-Family Partnership Program National Support Service. Australian Nurse-Family Partnership Program. 2022. </w:t>
      </w:r>
      <w:hyperlink r:id="rId91" w:history="1">
        <w:r w:rsidRPr="00F66EC6">
          <w:rPr>
            <w:rStyle w:val="Hyperlink"/>
            <w:noProof/>
          </w:rPr>
          <w:t>https://www.anfpp.com.au/</w:t>
        </w:r>
      </w:hyperlink>
      <w:r w:rsidRPr="00F66EC6">
        <w:rPr>
          <w:noProof/>
        </w:rPr>
        <w:t>.</w:t>
      </w:r>
    </w:p>
    <w:p w14:paraId="01D0F68B" w14:textId="77777777" w:rsidR="00F66EC6" w:rsidRPr="00F66EC6" w:rsidRDefault="00F66EC6" w:rsidP="00F66EC6">
      <w:pPr>
        <w:pStyle w:val="EndNoteBibliography"/>
        <w:spacing w:before="120"/>
        <w:ind w:left="284" w:hanging="284"/>
        <w:rPr>
          <w:noProof/>
        </w:rPr>
      </w:pPr>
      <w:r w:rsidRPr="00F66EC6">
        <w:rPr>
          <w:noProof/>
        </w:rPr>
        <w:t>28.</w:t>
      </w:r>
      <w:r w:rsidRPr="00F66EC6">
        <w:rPr>
          <w:noProof/>
        </w:rPr>
        <w:tab/>
        <w:t xml:space="preserve">Blair A, Cao J, Wilson A, Homer C. Access to, and experiences of, maternity care for women with physical disabilities: A scoping review. </w:t>
      </w:r>
      <w:r w:rsidRPr="00F66EC6">
        <w:rPr>
          <w:i/>
          <w:noProof/>
        </w:rPr>
        <w:t>Midwifery</w:t>
      </w:r>
      <w:r w:rsidRPr="00F66EC6">
        <w:rPr>
          <w:noProof/>
        </w:rPr>
        <w:t xml:space="preserve"> 2022; 107: 103273.</w:t>
      </w:r>
    </w:p>
    <w:p w14:paraId="7E847A3D" w14:textId="77777777" w:rsidR="00F66EC6" w:rsidRPr="00F66EC6" w:rsidRDefault="00F66EC6" w:rsidP="00F66EC6">
      <w:pPr>
        <w:pStyle w:val="EndNoteBibliography"/>
        <w:spacing w:before="120"/>
        <w:ind w:left="284" w:hanging="284"/>
        <w:rPr>
          <w:noProof/>
        </w:rPr>
      </w:pPr>
      <w:r w:rsidRPr="00F66EC6">
        <w:rPr>
          <w:noProof/>
        </w:rPr>
        <w:t>29.</w:t>
      </w:r>
      <w:r w:rsidRPr="00F66EC6">
        <w:rPr>
          <w:noProof/>
        </w:rPr>
        <w:tab/>
        <w:t xml:space="preserve">Shukla N, Pradhan B, Dikshit A, Chakraborty S, Alamri AM. A review of models used for investigating barriers to healthcare access in Australia. </w:t>
      </w:r>
      <w:r w:rsidRPr="00F66EC6">
        <w:rPr>
          <w:i/>
          <w:noProof/>
        </w:rPr>
        <w:t>International Journal of Environmental Research and Public Health</w:t>
      </w:r>
      <w:r w:rsidRPr="00F66EC6">
        <w:rPr>
          <w:noProof/>
        </w:rPr>
        <w:t xml:space="preserve"> 2020; 17(11): 4087.</w:t>
      </w:r>
    </w:p>
    <w:p w14:paraId="4217EF1E" w14:textId="77777777" w:rsidR="00F66EC6" w:rsidRPr="00F66EC6" w:rsidRDefault="00F66EC6" w:rsidP="00F66EC6">
      <w:pPr>
        <w:pStyle w:val="EndNoteBibliography"/>
        <w:spacing w:before="120"/>
        <w:ind w:left="284" w:hanging="284"/>
        <w:rPr>
          <w:noProof/>
        </w:rPr>
      </w:pPr>
      <w:r w:rsidRPr="00F66EC6">
        <w:rPr>
          <w:noProof/>
        </w:rPr>
        <w:t>30.</w:t>
      </w:r>
      <w:r w:rsidRPr="00F66EC6">
        <w:rPr>
          <w:noProof/>
        </w:rPr>
        <w:tab/>
        <w:t xml:space="preserve">Toh RKC, Shorey S. Experiences and needs of women from ethnic minorities in maternity healthcare: A qualitative systematic review and meta-aggregation. </w:t>
      </w:r>
      <w:r w:rsidRPr="00F66EC6">
        <w:rPr>
          <w:i/>
          <w:noProof/>
        </w:rPr>
        <w:t>Women and Birth</w:t>
      </w:r>
      <w:r w:rsidRPr="00F66EC6">
        <w:rPr>
          <w:noProof/>
        </w:rPr>
        <w:t xml:space="preserve"> 2022.</w:t>
      </w:r>
    </w:p>
    <w:p w14:paraId="5CB6CCAD" w14:textId="77777777" w:rsidR="00F66EC6" w:rsidRPr="00F66EC6" w:rsidRDefault="00F66EC6" w:rsidP="00F66EC6">
      <w:pPr>
        <w:pStyle w:val="EndNoteBibliography"/>
        <w:spacing w:before="120"/>
        <w:ind w:left="284" w:hanging="284"/>
        <w:rPr>
          <w:noProof/>
        </w:rPr>
      </w:pPr>
      <w:r w:rsidRPr="00F66EC6">
        <w:rPr>
          <w:noProof/>
        </w:rPr>
        <w:t>31.</w:t>
      </w:r>
      <w:r w:rsidRPr="00F66EC6">
        <w:rPr>
          <w:noProof/>
        </w:rPr>
        <w:tab/>
        <w:t xml:space="preserve">Penchansky R, Thomas JW. The concept of access: Definition and relationship to consumer satisfaction. </w:t>
      </w:r>
      <w:r w:rsidRPr="00F66EC6">
        <w:rPr>
          <w:i/>
          <w:noProof/>
        </w:rPr>
        <w:t>Medical Care</w:t>
      </w:r>
      <w:r w:rsidRPr="00F66EC6">
        <w:rPr>
          <w:noProof/>
        </w:rPr>
        <w:t xml:space="preserve"> 1981; 19(2): 127-40.</w:t>
      </w:r>
    </w:p>
    <w:p w14:paraId="6959391F" w14:textId="77777777" w:rsidR="00F66EC6" w:rsidRPr="00F66EC6" w:rsidRDefault="00F66EC6" w:rsidP="00F66EC6">
      <w:pPr>
        <w:pStyle w:val="EndNoteBibliography"/>
        <w:spacing w:before="120"/>
        <w:ind w:left="284" w:hanging="284"/>
        <w:rPr>
          <w:noProof/>
        </w:rPr>
      </w:pPr>
      <w:r w:rsidRPr="00F66EC6">
        <w:rPr>
          <w:noProof/>
        </w:rPr>
        <w:t>32.</w:t>
      </w:r>
      <w:r w:rsidRPr="00F66EC6">
        <w:rPr>
          <w:noProof/>
        </w:rPr>
        <w:tab/>
        <w:t xml:space="preserve">Lequertier B, McLean MA, Kildea S, et al. Perinatal depression in Australian women during the COVID-19 Pandemic: The Birth In The Time Of COVID-19 (BITTOC) Study. </w:t>
      </w:r>
      <w:r w:rsidRPr="00F66EC6">
        <w:rPr>
          <w:i/>
          <w:noProof/>
        </w:rPr>
        <w:t>International Journal of Environmental Research and Public Health</w:t>
      </w:r>
      <w:r w:rsidRPr="00F66EC6">
        <w:rPr>
          <w:noProof/>
        </w:rPr>
        <w:t xml:space="preserve"> 2022; 19(9).</w:t>
      </w:r>
    </w:p>
    <w:p w14:paraId="28CCDF93" w14:textId="77777777" w:rsidR="00F66EC6" w:rsidRPr="00F66EC6" w:rsidRDefault="00F66EC6" w:rsidP="00F66EC6">
      <w:pPr>
        <w:pStyle w:val="EndNoteBibliography"/>
        <w:spacing w:before="120"/>
        <w:ind w:left="284" w:hanging="284"/>
        <w:rPr>
          <w:noProof/>
        </w:rPr>
      </w:pPr>
      <w:r w:rsidRPr="00F66EC6">
        <w:rPr>
          <w:noProof/>
        </w:rPr>
        <w:t>33.</w:t>
      </w:r>
      <w:r w:rsidRPr="00F66EC6">
        <w:rPr>
          <w:noProof/>
        </w:rPr>
        <w:tab/>
        <w:t xml:space="preserve">Iyengar U, Jaiprakash B, Haitsuka H, Kim S. One Year Into the Pandemic: A Systematic Review of Perinatal Mental Health Outcomes During COVID-19. </w:t>
      </w:r>
      <w:r w:rsidRPr="00F66EC6">
        <w:rPr>
          <w:i/>
          <w:noProof/>
        </w:rPr>
        <w:t>Frontiers in Psychiatry</w:t>
      </w:r>
      <w:r w:rsidRPr="00F66EC6">
        <w:rPr>
          <w:noProof/>
        </w:rPr>
        <w:t xml:space="preserve"> 2021; 12.</w:t>
      </w:r>
    </w:p>
    <w:p w14:paraId="73497F85" w14:textId="77777777" w:rsidR="00F66EC6" w:rsidRPr="00F66EC6" w:rsidRDefault="00F66EC6" w:rsidP="00F66EC6">
      <w:pPr>
        <w:pStyle w:val="EndNoteBibliography"/>
        <w:spacing w:before="120"/>
        <w:ind w:left="284" w:hanging="284"/>
        <w:rPr>
          <w:noProof/>
        </w:rPr>
      </w:pPr>
      <w:r w:rsidRPr="00F66EC6">
        <w:rPr>
          <w:noProof/>
        </w:rPr>
        <w:t>34.</w:t>
      </w:r>
      <w:r w:rsidRPr="00F66EC6">
        <w:rPr>
          <w:noProof/>
        </w:rPr>
        <w:tab/>
        <w:t>Austin M-P, Highet N, and the Expert Working Group. Mental Health Care in the Perinatal Period: Australian Clinical Practice Guideline. Melbourne: COPE: Centre of Perinatal Excellence, 2017.</w:t>
      </w:r>
    </w:p>
    <w:p w14:paraId="7DDB3A07" w14:textId="77777777" w:rsidR="00F66EC6" w:rsidRPr="00F66EC6" w:rsidRDefault="00F66EC6" w:rsidP="00F66EC6">
      <w:pPr>
        <w:pStyle w:val="EndNoteBibliography"/>
        <w:spacing w:before="120"/>
        <w:ind w:left="284" w:hanging="284"/>
        <w:rPr>
          <w:noProof/>
        </w:rPr>
      </w:pPr>
      <w:r w:rsidRPr="00F66EC6">
        <w:rPr>
          <w:noProof/>
        </w:rPr>
        <w:t>35.</w:t>
      </w:r>
      <w:r w:rsidRPr="00F66EC6">
        <w:rPr>
          <w:noProof/>
        </w:rPr>
        <w:tab/>
        <w:t>Department for Health and Ageing. South Australian Perinatal Practice Guideline Anxiety and Depression in the Perinatal Period. Adelaide: Department for Health and Ageing, Government of South Australia, 2019.</w:t>
      </w:r>
    </w:p>
    <w:p w14:paraId="2BD31D0D" w14:textId="77777777" w:rsidR="00F66EC6" w:rsidRPr="00F66EC6" w:rsidRDefault="00F66EC6" w:rsidP="00F66EC6">
      <w:pPr>
        <w:pStyle w:val="EndNoteBibliography"/>
        <w:spacing w:before="120"/>
        <w:ind w:left="284" w:hanging="284"/>
        <w:rPr>
          <w:noProof/>
        </w:rPr>
      </w:pPr>
      <w:r w:rsidRPr="00F66EC6">
        <w:rPr>
          <w:noProof/>
        </w:rPr>
        <w:t>36.</w:t>
      </w:r>
      <w:r w:rsidRPr="00F66EC6">
        <w:rPr>
          <w:noProof/>
        </w:rPr>
        <w:tab/>
        <w:t xml:space="preserve">Coates D, Foureur M. The role and competence of midwives in supporting women with mental health concerns during the perinatal period: A scoping review. </w:t>
      </w:r>
      <w:r w:rsidRPr="00F66EC6">
        <w:rPr>
          <w:i/>
          <w:noProof/>
        </w:rPr>
        <w:t>Health &amp; Social Care in the Community</w:t>
      </w:r>
      <w:r w:rsidRPr="00F66EC6">
        <w:rPr>
          <w:noProof/>
        </w:rPr>
        <w:t xml:space="preserve"> 2019; 27(4): e389-e405.</w:t>
      </w:r>
    </w:p>
    <w:p w14:paraId="067FEED2" w14:textId="77777777" w:rsidR="00F66EC6" w:rsidRPr="00F66EC6" w:rsidRDefault="00F66EC6" w:rsidP="00F66EC6">
      <w:pPr>
        <w:pStyle w:val="EndNoteBibliography"/>
        <w:spacing w:before="120"/>
        <w:ind w:left="284" w:hanging="284"/>
        <w:rPr>
          <w:noProof/>
        </w:rPr>
      </w:pPr>
      <w:r w:rsidRPr="00F66EC6">
        <w:rPr>
          <w:noProof/>
        </w:rPr>
        <w:t>37.</w:t>
      </w:r>
      <w:r w:rsidRPr="00F66EC6">
        <w:rPr>
          <w:noProof/>
        </w:rPr>
        <w:tab/>
        <w:t xml:space="preserve">Viveiros CJ, Darling EK. Perceptions of barriers to accessing perinatal mental health care in midwifery: A scoping review. </w:t>
      </w:r>
      <w:r w:rsidRPr="00F66EC6">
        <w:rPr>
          <w:i/>
          <w:noProof/>
        </w:rPr>
        <w:t>Midwifery</w:t>
      </w:r>
      <w:r w:rsidRPr="00F66EC6">
        <w:rPr>
          <w:noProof/>
        </w:rPr>
        <w:t xml:space="preserve"> 2019; 70: 106-18.</w:t>
      </w:r>
    </w:p>
    <w:p w14:paraId="5DF1FB9C" w14:textId="77777777" w:rsidR="00F66EC6" w:rsidRPr="00F66EC6" w:rsidRDefault="00F66EC6" w:rsidP="00F66EC6">
      <w:pPr>
        <w:pStyle w:val="EndNoteBibliography"/>
        <w:spacing w:before="120"/>
        <w:ind w:left="284" w:hanging="284"/>
        <w:rPr>
          <w:noProof/>
        </w:rPr>
      </w:pPr>
      <w:r w:rsidRPr="00F66EC6">
        <w:rPr>
          <w:noProof/>
        </w:rPr>
        <w:t>38.</w:t>
      </w:r>
      <w:r w:rsidRPr="00F66EC6">
        <w:rPr>
          <w:noProof/>
        </w:rPr>
        <w:tab/>
        <w:t xml:space="preserve">Kotz J, Marriott R, Reid C. The EPDS and Australian Indigenous women: A systematic review of the literature. </w:t>
      </w:r>
      <w:r w:rsidRPr="00F66EC6">
        <w:rPr>
          <w:i/>
          <w:noProof/>
        </w:rPr>
        <w:t>Women and Birth</w:t>
      </w:r>
      <w:r w:rsidRPr="00F66EC6">
        <w:rPr>
          <w:noProof/>
        </w:rPr>
        <w:t xml:space="preserve"> 2021; 34(2): e128-e34.</w:t>
      </w:r>
    </w:p>
    <w:p w14:paraId="71A895E6" w14:textId="77777777" w:rsidR="00F66EC6" w:rsidRPr="00F66EC6" w:rsidRDefault="00F66EC6" w:rsidP="00F66EC6">
      <w:pPr>
        <w:pStyle w:val="EndNoteBibliography"/>
        <w:spacing w:before="120"/>
        <w:ind w:left="284" w:hanging="284"/>
        <w:rPr>
          <w:noProof/>
        </w:rPr>
      </w:pPr>
      <w:r w:rsidRPr="00F66EC6">
        <w:rPr>
          <w:noProof/>
        </w:rPr>
        <w:t>39.</w:t>
      </w:r>
      <w:r w:rsidRPr="00F66EC6">
        <w:rPr>
          <w:noProof/>
        </w:rPr>
        <w:tab/>
        <w:t xml:space="preserve">Cheney K, Dorney E, Black K, Grzeskowiak L, Romero E, McGeechan K. To what extent do postpartum contraception policies or guidelines exist in Australia and New Zealand: A document analysis study. </w:t>
      </w:r>
      <w:r w:rsidRPr="00F66EC6">
        <w:rPr>
          <w:i/>
          <w:noProof/>
        </w:rPr>
        <w:t>Australian &amp; New Zealand Journal of Obstetrics &amp; Gynaecology</w:t>
      </w:r>
      <w:r w:rsidRPr="00F66EC6">
        <w:rPr>
          <w:noProof/>
        </w:rPr>
        <w:t xml:space="preserve"> 2021; 61(6): 969-72.</w:t>
      </w:r>
    </w:p>
    <w:p w14:paraId="3677DCF4" w14:textId="77777777" w:rsidR="00F66EC6" w:rsidRPr="00F66EC6" w:rsidRDefault="00F66EC6" w:rsidP="00F66EC6">
      <w:pPr>
        <w:pStyle w:val="EndNoteBibliography"/>
        <w:spacing w:before="120"/>
        <w:ind w:left="284" w:hanging="284"/>
        <w:rPr>
          <w:noProof/>
        </w:rPr>
      </w:pPr>
      <w:r w:rsidRPr="00F66EC6">
        <w:rPr>
          <w:noProof/>
        </w:rPr>
        <w:t>40.</w:t>
      </w:r>
      <w:r w:rsidRPr="00F66EC6">
        <w:rPr>
          <w:noProof/>
        </w:rPr>
        <w:tab/>
        <w:t xml:space="preserve">Coates D, Homer C, Wilson A, et al. Induction of labour indications and timing: A systematic analysis of clinical guidelines. </w:t>
      </w:r>
      <w:r w:rsidRPr="00F66EC6">
        <w:rPr>
          <w:i/>
          <w:noProof/>
        </w:rPr>
        <w:t>Women and Birth</w:t>
      </w:r>
      <w:r w:rsidRPr="00F66EC6">
        <w:rPr>
          <w:noProof/>
        </w:rPr>
        <w:t xml:space="preserve"> 2020a; 33(3): 219-30.</w:t>
      </w:r>
    </w:p>
    <w:p w14:paraId="3725A08E" w14:textId="77777777" w:rsidR="00F66EC6" w:rsidRPr="00F66EC6" w:rsidRDefault="00F66EC6" w:rsidP="00F66EC6">
      <w:pPr>
        <w:pStyle w:val="EndNoteBibliography"/>
        <w:spacing w:before="120"/>
        <w:ind w:left="284" w:hanging="284"/>
        <w:rPr>
          <w:noProof/>
        </w:rPr>
      </w:pPr>
      <w:r w:rsidRPr="00F66EC6">
        <w:rPr>
          <w:noProof/>
        </w:rPr>
        <w:t>41.</w:t>
      </w:r>
      <w:r w:rsidRPr="00F66EC6">
        <w:rPr>
          <w:noProof/>
        </w:rPr>
        <w:tab/>
        <w:t xml:space="preserve">Coates D, Homer C, Wilson A, et al. Indications for, and timing of, planned caesarean section: A systematic analysis of clinical guidelines. </w:t>
      </w:r>
      <w:r w:rsidRPr="00F66EC6">
        <w:rPr>
          <w:i/>
          <w:noProof/>
        </w:rPr>
        <w:t>Women and Birth</w:t>
      </w:r>
      <w:r w:rsidRPr="00F66EC6">
        <w:rPr>
          <w:noProof/>
        </w:rPr>
        <w:t xml:space="preserve"> 2020b; 33(1): 22-34.</w:t>
      </w:r>
    </w:p>
    <w:p w14:paraId="543C18D8" w14:textId="77777777" w:rsidR="00F66EC6" w:rsidRPr="00F66EC6" w:rsidRDefault="00F66EC6" w:rsidP="00F66EC6">
      <w:pPr>
        <w:pStyle w:val="EndNoteBibliography"/>
        <w:spacing w:before="120"/>
        <w:ind w:left="284" w:hanging="284"/>
        <w:rPr>
          <w:noProof/>
        </w:rPr>
      </w:pPr>
      <w:r w:rsidRPr="00F66EC6">
        <w:rPr>
          <w:noProof/>
        </w:rPr>
        <w:t>42.</w:t>
      </w:r>
      <w:r w:rsidRPr="00F66EC6">
        <w:rPr>
          <w:noProof/>
        </w:rPr>
        <w:tab/>
        <w:t xml:space="preserve">Grammatikopoulou MG, Theodoridis X, Gkiouras K, et al. Methodological quality of clinical practice guidelines for nutrition and weight gain during pregnancy: a systematic review. </w:t>
      </w:r>
      <w:r w:rsidRPr="00F66EC6">
        <w:rPr>
          <w:i/>
          <w:noProof/>
        </w:rPr>
        <w:t>Nutrition Reviews</w:t>
      </w:r>
      <w:r w:rsidRPr="00F66EC6">
        <w:rPr>
          <w:noProof/>
        </w:rPr>
        <w:t xml:space="preserve"> 2020; 78(7): 546-62.</w:t>
      </w:r>
    </w:p>
    <w:p w14:paraId="04DD9297" w14:textId="77777777" w:rsidR="00F66EC6" w:rsidRPr="00F66EC6" w:rsidRDefault="00F66EC6" w:rsidP="00F66EC6">
      <w:pPr>
        <w:pStyle w:val="EndNoteBibliography"/>
        <w:spacing w:before="120"/>
        <w:ind w:left="284" w:hanging="284"/>
        <w:rPr>
          <w:noProof/>
        </w:rPr>
      </w:pPr>
      <w:r w:rsidRPr="00F66EC6">
        <w:rPr>
          <w:noProof/>
        </w:rPr>
        <w:lastRenderedPageBreak/>
        <w:t>43.</w:t>
      </w:r>
      <w:r w:rsidRPr="00F66EC6">
        <w:rPr>
          <w:noProof/>
        </w:rPr>
        <w:tab/>
        <w:t xml:space="preserve">Morris S, Geraghty S, Sundin D. Breech presentation management: A critical review of leading clinical practice guidelines. </w:t>
      </w:r>
      <w:r w:rsidRPr="00F66EC6">
        <w:rPr>
          <w:i/>
          <w:noProof/>
        </w:rPr>
        <w:t>Women and Birth</w:t>
      </w:r>
      <w:r w:rsidRPr="00F66EC6">
        <w:rPr>
          <w:noProof/>
        </w:rPr>
        <w:t xml:space="preserve"> 2022; 35(3): e233-e42.</w:t>
      </w:r>
    </w:p>
    <w:p w14:paraId="474D20FE" w14:textId="77777777" w:rsidR="00F66EC6" w:rsidRPr="00F66EC6" w:rsidRDefault="00F66EC6" w:rsidP="00F66EC6">
      <w:pPr>
        <w:pStyle w:val="EndNoteBibliography"/>
        <w:spacing w:before="120"/>
        <w:ind w:left="284" w:hanging="284"/>
        <w:rPr>
          <w:noProof/>
        </w:rPr>
      </w:pPr>
      <w:r w:rsidRPr="00F66EC6">
        <w:rPr>
          <w:noProof/>
        </w:rPr>
        <w:t>44.</w:t>
      </w:r>
      <w:r w:rsidRPr="00F66EC6">
        <w:rPr>
          <w:noProof/>
        </w:rPr>
        <w:tab/>
        <w:t xml:space="preserve">Mustafa ST, Hofer OJ, Harding JE, Wall CR, Crowther CA. Dietary recommendations for women with gestational diabetes mellitus: a systematic review of clinical practice guidelines. </w:t>
      </w:r>
      <w:r w:rsidRPr="00F66EC6">
        <w:rPr>
          <w:i/>
          <w:noProof/>
        </w:rPr>
        <w:t>Nutrition Reviews</w:t>
      </w:r>
      <w:r w:rsidRPr="00F66EC6">
        <w:rPr>
          <w:noProof/>
        </w:rPr>
        <w:t xml:space="preserve"> 2021; 79(9): 988-1021.</w:t>
      </w:r>
    </w:p>
    <w:p w14:paraId="1EF46D90" w14:textId="77777777" w:rsidR="00F66EC6" w:rsidRPr="00F66EC6" w:rsidRDefault="00F66EC6" w:rsidP="00F66EC6">
      <w:pPr>
        <w:pStyle w:val="EndNoteBibliography"/>
        <w:spacing w:before="120"/>
        <w:ind w:left="284" w:hanging="284"/>
        <w:rPr>
          <w:noProof/>
        </w:rPr>
      </w:pPr>
      <w:r w:rsidRPr="00F66EC6">
        <w:rPr>
          <w:noProof/>
        </w:rPr>
        <w:t>45.</w:t>
      </w:r>
      <w:r w:rsidRPr="00F66EC6">
        <w:rPr>
          <w:noProof/>
        </w:rPr>
        <w:tab/>
        <w:t xml:space="preserve">Ruiz de Viñaspre‐Hernández R, Gea‐Caballero V, Juárez‐Vela R, Iruzubieta‐Barragán FJ. The definition, screening, and treatment of postpartum anemia: A systematic review of guidelines. </w:t>
      </w:r>
      <w:r w:rsidRPr="00F66EC6">
        <w:rPr>
          <w:i/>
          <w:noProof/>
        </w:rPr>
        <w:t>Birth: Issues in Perinatal Care</w:t>
      </w:r>
      <w:r w:rsidRPr="00F66EC6">
        <w:rPr>
          <w:noProof/>
        </w:rPr>
        <w:t xml:space="preserve"> 2021; 48(1): 14-25.</w:t>
      </w:r>
    </w:p>
    <w:p w14:paraId="66EBA2F7" w14:textId="77777777" w:rsidR="00F66EC6" w:rsidRPr="00F66EC6" w:rsidRDefault="00F66EC6" w:rsidP="00F66EC6">
      <w:pPr>
        <w:pStyle w:val="EndNoteBibliography"/>
        <w:spacing w:before="120"/>
        <w:ind w:left="284" w:hanging="284"/>
        <w:rPr>
          <w:noProof/>
        </w:rPr>
      </w:pPr>
      <w:r w:rsidRPr="00F66EC6">
        <w:rPr>
          <w:noProof/>
        </w:rPr>
        <w:t>46.</w:t>
      </w:r>
      <w:r w:rsidRPr="00F66EC6">
        <w:rPr>
          <w:noProof/>
        </w:rPr>
        <w:tab/>
        <w:t xml:space="preserve">Scott G, Gillon TE, Pels A, von Dadelszen P, Magee LA. Guidelines-similarities and dissimilarities: a systematic review of international clinical practice guidelines for pregnancy hypertension. </w:t>
      </w:r>
      <w:r w:rsidRPr="00F66EC6">
        <w:rPr>
          <w:i/>
          <w:noProof/>
        </w:rPr>
        <w:t>American Journal of Obstetrics &amp; Gynecology</w:t>
      </w:r>
      <w:r w:rsidRPr="00F66EC6">
        <w:rPr>
          <w:noProof/>
        </w:rPr>
        <w:t xml:space="preserve"> 2022; 226: S1222-S36.</w:t>
      </w:r>
    </w:p>
    <w:p w14:paraId="31DCDF09" w14:textId="77777777" w:rsidR="00F66EC6" w:rsidRPr="00F66EC6" w:rsidRDefault="00F66EC6" w:rsidP="00F66EC6">
      <w:pPr>
        <w:pStyle w:val="EndNoteBibliography"/>
        <w:spacing w:before="120"/>
        <w:ind w:left="284" w:hanging="284"/>
        <w:rPr>
          <w:noProof/>
        </w:rPr>
      </w:pPr>
      <w:r w:rsidRPr="00F66EC6">
        <w:rPr>
          <w:noProof/>
        </w:rPr>
        <w:t>47.</w:t>
      </w:r>
      <w:r w:rsidRPr="00F66EC6">
        <w:rPr>
          <w:noProof/>
        </w:rPr>
        <w:tab/>
        <w:t xml:space="preserve">Zhao Y, Lu H, Zang Y, Li X. A systematic review of clinical practice guidelines on uncomplicated birth. </w:t>
      </w:r>
      <w:r w:rsidRPr="00F66EC6">
        <w:rPr>
          <w:i/>
          <w:noProof/>
        </w:rPr>
        <w:t>BJOG: An International Journal of Obstetrics &amp; Gynaecology</w:t>
      </w:r>
      <w:r w:rsidRPr="00F66EC6">
        <w:rPr>
          <w:noProof/>
        </w:rPr>
        <w:t xml:space="preserve"> 2020; 127(7): 789-97.</w:t>
      </w:r>
    </w:p>
    <w:p w14:paraId="2263C726" w14:textId="77777777" w:rsidR="00F66EC6" w:rsidRPr="00F66EC6" w:rsidRDefault="00F66EC6" w:rsidP="00F66EC6">
      <w:pPr>
        <w:pStyle w:val="EndNoteBibliography"/>
        <w:spacing w:before="120"/>
        <w:ind w:left="284" w:hanging="284"/>
        <w:rPr>
          <w:noProof/>
        </w:rPr>
      </w:pPr>
      <w:r w:rsidRPr="00F66EC6">
        <w:rPr>
          <w:noProof/>
        </w:rPr>
        <w:t>48.</w:t>
      </w:r>
      <w:r w:rsidRPr="00F66EC6">
        <w:rPr>
          <w:noProof/>
        </w:rPr>
        <w:tab/>
        <w:t xml:space="preserve">Zhuang S, Ma X, Xiao G, Zhao Y, Hou J, Wang Y. Clinical practice guidelines for perinatal bereavement care: A systematic quality appraisal using AGREE II instrument. </w:t>
      </w:r>
      <w:r w:rsidRPr="00F66EC6">
        <w:rPr>
          <w:i/>
          <w:noProof/>
        </w:rPr>
        <w:t>Journal of Pediatric Nursing</w:t>
      </w:r>
      <w:r w:rsidRPr="00F66EC6">
        <w:rPr>
          <w:noProof/>
        </w:rPr>
        <w:t xml:space="preserve"> 2022; 66: 49-56.</w:t>
      </w:r>
    </w:p>
    <w:p w14:paraId="60317D9D" w14:textId="77777777" w:rsidR="00F66EC6" w:rsidRPr="00F66EC6" w:rsidRDefault="00F66EC6" w:rsidP="00F66EC6">
      <w:pPr>
        <w:pStyle w:val="EndNoteBibliography"/>
        <w:spacing w:before="120"/>
        <w:ind w:left="284" w:hanging="284"/>
        <w:rPr>
          <w:noProof/>
        </w:rPr>
      </w:pPr>
      <w:r w:rsidRPr="00F66EC6">
        <w:rPr>
          <w:noProof/>
        </w:rPr>
        <w:t>49.</w:t>
      </w:r>
      <w:r w:rsidRPr="00F66EC6">
        <w:rPr>
          <w:noProof/>
        </w:rPr>
        <w:tab/>
        <w:t>Department of Health. Clinical Practice Guidelines: Pregnancy Care. Canberra: Australian Government Department of Health, 2020b.</w:t>
      </w:r>
    </w:p>
    <w:p w14:paraId="7284DB18" w14:textId="77777777" w:rsidR="00F66EC6" w:rsidRPr="00F66EC6" w:rsidRDefault="00F66EC6" w:rsidP="00F66EC6">
      <w:pPr>
        <w:pStyle w:val="EndNoteBibliography"/>
        <w:spacing w:before="120"/>
        <w:ind w:left="284" w:hanging="284"/>
        <w:rPr>
          <w:noProof/>
        </w:rPr>
      </w:pPr>
      <w:r w:rsidRPr="00F66EC6">
        <w:rPr>
          <w:noProof/>
        </w:rPr>
        <w:t>50.</w:t>
      </w:r>
      <w:r w:rsidRPr="00F66EC6">
        <w:rPr>
          <w:noProof/>
        </w:rPr>
        <w:tab/>
        <w:t xml:space="preserve">Bradow J, Smith SD-V, Davis D, Atchan M. A systematic integrative review examining the impact of Australian rural and remote maternity unit closures. </w:t>
      </w:r>
      <w:r w:rsidRPr="00F66EC6">
        <w:rPr>
          <w:i/>
          <w:noProof/>
        </w:rPr>
        <w:t>Midwifery</w:t>
      </w:r>
      <w:r w:rsidRPr="00F66EC6">
        <w:rPr>
          <w:noProof/>
        </w:rPr>
        <w:t xml:space="preserve"> 2021; 103: 103094.</w:t>
      </w:r>
    </w:p>
    <w:p w14:paraId="4BCEFA2B" w14:textId="77777777" w:rsidR="00F66EC6" w:rsidRPr="00F66EC6" w:rsidRDefault="00F66EC6" w:rsidP="00F66EC6">
      <w:pPr>
        <w:pStyle w:val="EndNoteBibliography"/>
        <w:spacing w:before="120"/>
        <w:ind w:left="284" w:hanging="284"/>
        <w:rPr>
          <w:noProof/>
        </w:rPr>
      </w:pPr>
      <w:r w:rsidRPr="00F66EC6">
        <w:rPr>
          <w:noProof/>
        </w:rPr>
        <w:t>51.</w:t>
      </w:r>
      <w:r w:rsidRPr="00F66EC6">
        <w:rPr>
          <w:noProof/>
        </w:rPr>
        <w:tab/>
        <w:t xml:space="preserve">Austin C, Arabena K. Improving the engagement of Aboriginal families with maternal and child health services: a new model of care. </w:t>
      </w:r>
      <w:r w:rsidRPr="00F66EC6">
        <w:rPr>
          <w:i/>
          <w:noProof/>
        </w:rPr>
        <w:t>Public Health Research &amp; Practice</w:t>
      </w:r>
      <w:r w:rsidRPr="00F66EC6">
        <w:rPr>
          <w:noProof/>
        </w:rPr>
        <w:t xml:space="preserve"> 2021; 31(2): e30232009.</w:t>
      </w:r>
    </w:p>
    <w:p w14:paraId="127C6AC7" w14:textId="77777777" w:rsidR="00F66EC6" w:rsidRPr="00F66EC6" w:rsidRDefault="00F66EC6" w:rsidP="00F66EC6">
      <w:pPr>
        <w:pStyle w:val="EndNoteBibliography"/>
        <w:spacing w:before="120"/>
        <w:ind w:left="284" w:hanging="284"/>
        <w:rPr>
          <w:noProof/>
        </w:rPr>
      </w:pPr>
      <w:r w:rsidRPr="00F66EC6">
        <w:rPr>
          <w:noProof/>
        </w:rPr>
        <w:t>52.</w:t>
      </w:r>
      <w:r w:rsidRPr="00F66EC6">
        <w:rPr>
          <w:noProof/>
        </w:rPr>
        <w:tab/>
        <w:t xml:space="preserve">Brookfield J. Group antenatal care for Aboriginal and Torres Strait Islander women: An acceptability study. </w:t>
      </w:r>
      <w:r w:rsidRPr="00F66EC6">
        <w:rPr>
          <w:i/>
          <w:noProof/>
        </w:rPr>
        <w:t>Women and Birth</w:t>
      </w:r>
      <w:r w:rsidRPr="00F66EC6">
        <w:rPr>
          <w:noProof/>
        </w:rPr>
        <w:t xml:space="preserve"> 2019; 32(5): 437-48.</w:t>
      </w:r>
    </w:p>
    <w:p w14:paraId="3C744BF0" w14:textId="77777777" w:rsidR="00F66EC6" w:rsidRPr="00F66EC6" w:rsidRDefault="00F66EC6" w:rsidP="00F66EC6">
      <w:pPr>
        <w:pStyle w:val="EndNoteBibliography"/>
        <w:spacing w:before="120"/>
        <w:ind w:left="284" w:hanging="284"/>
        <w:rPr>
          <w:noProof/>
        </w:rPr>
      </w:pPr>
      <w:r w:rsidRPr="00F66EC6">
        <w:rPr>
          <w:noProof/>
        </w:rPr>
        <w:t>53.</w:t>
      </w:r>
      <w:r w:rsidRPr="00F66EC6">
        <w:rPr>
          <w:noProof/>
        </w:rPr>
        <w:tab/>
        <w:t>O'connor M, Firmin M. Community Maternal Hubs Model. Brisbane, 2020.</w:t>
      </w:r>
    </w:p>
    <w:p w14:paraId="12E4D0DC" w14:textId="77777777" w:rsidR="00F66EC6" w:rsidRPr="00F66EC6" w:rsidRDefault="00F66EC6" w:rsidP="00F66EC6">
      <w:pPr>
        <w:pStyle w:val="EndNoteBibliography"/>
        <w:spacing w:before="120"/>
        <w:ind w:left="284" w:hanging="284"/>
        <w:rPr>
          <w:noProof/>
        </w:rPr>
      </w:pPr>
      <w:r w:rsidRPr="00F66EC6">
        <w:rPr>
          <w:noProof/>
        </w:rPr>
        <w:t>54.</w:t>
      </w:r>
      <w:r w:rsidRPr="00F66EC6">
        <w:rPr>
          <w:noProof/>
        </w:rPr>
        <w:tab/>
        <w:t xml:space="preserve">McLachlan HL, Newton M, McLardie-Hore FE, et al. Translating evidence into practice: Implementing culturally safe continuity of midwifery care for First Nations women in three maternity services in Victoria, Australia. </w:t>
      </w:r>
      <w:r w:rsidRPr="00F66EC6">
        <w:rPr>
          <w:i/>
          <w:noProof/>
        </w:rPr>
        <w:t>eClinicalMedicine</w:t>
      </w:r>
      <w:r w:rsidRPr="00F66EC6">
        <w:rPr>
          <w:noProof/>
        </w:rPr>
        <w:t xml:space="preserve"> 2022; 47.</w:t>
      </w:r>
    </w:p>
    <w:p w14:paraId="1CBE6AB5" w14:textId="77777777" w:rsidR="00F66EC6" w:rsidRPr="00F66EC6" w:rsidRDefault="00F66EC6" w:rsidP="00F66EC6">
      <w:pPr>
        <w:pStyle w:val="EndNoteBibliography"/>
        <w:spacing w:before="120"/>
        <w:ind w:left="284" w:hanging="284"/>
        <w:rPr>
          <w:noProof/>
        </w:rPr>
      </w:pPr>
      <w:r w:rsidRPr="00F66EC6">
        <w:rPr>
          <w:noProof/>
        </w:rPr>
        <w:t>55.</w:t>
      </w:r>
      <w:r w:rsidRPr="00F66EC6">
        <w:rPr>
          <w:noProof/>
        </w:rPr>
        <w:tab/>
        <w:t xml:space="preserve">Hartz DL, Blain J, Caplice S, et al. Evaluation of an Australian Aboriginal model of maternity care: The Malabar Community Midwifery Link Service. </w:t>
      </w:r>
      <w:r w:rsidRPr="00F66EC6">
        <w:rPr>
          <w:i/>
          <w:noProof/>
        </w:rPr>
        <w:t>Women and Birth</w:t>
      </w:r>
      <w:r w:rsidRPr="00F66EC6">
        <w:rPr>
          <w:noProof/>
        </w:rPr>
        <w:t xml:space="preserve"> 2019; 32(5): 427-36.</w:t>
      </w:r>
    </w:p>
    <w:p w14:paraId="6D62FCA9" w14:textId="77777777" w:rsidR="00F66EC6" w:rsidRPr="00F66EC6" w:rsidRDefault="00F66EC6" w:rsidP="00F66EC6">
      <w:pPr>
        <w:pStyle w:val="EndNoteBibliography"/>
        <w:spacing w:before="120"/>
        <w:ind w:left="284" w:hanging="284"/>
        <w:rPr>
          <w:noProof/>
        </w:rPr>
      </w:pPr>
      <w:r w:rsidRPr="00F66EC6">
        <w:rPr>
          <w:noProof/>
        </w:rPr>
        <w:t>56.</w:t>
      </w:r>
      <w:r w:rsidRPr="00F66EC6">
        <w:rPr>
          <w:noProof/>
        </w:rPr>
        <w:tab/>
        <w:t xml:space="preserve">Ireland S, Roe Y, Moore S, et al. Birthing on Country for the best start in life: returning childbirth services to Yolŋu mothers, babies and communities in North East Arnhem, Northern Territory. </w:t>
      </w:r>
      <w:r w:rsidRPr="00F66EC6">
        <w:rPr>
          <w:i/>
          <w:noProof/>
        </w:rPr>
        <w:t>Medical Journal of Australia</w:t>
      </w:r>
      <w:r w:rsidRPr="00F66EC6">
        <w:rPr>
          <w:noProof/>
        </w:rPr>
        <w:t xml:space="preserve"> 2022; 217(1): 5-8.</w:t>
      </w:r>
    </w:p>
    <w:p w14:paraId="34714714" w14:textId="77777777" w:rsidR="00F66EC6" w:rsidRPr="00F66EC6" w:rsidRDefault="00F66EC6" w:rsidP="00F66EC6">
      <w:pPr>
        <w:pStyle w:val="EndNoteBibliography"/>
        <w:spacing w:before="120"/>
        <w:ind w:left="284" w:hanging="284"/>
        <w:rPr>
          <w:noProof/>
        </w:rPr>
      </w:pPr>
      <w:r w:rsidRPr="00F66EC6">
        <w:rPr>
          <w:noProof/>
        </w:rPr>
        <w:t>57.</w:t>
      </w:r>
      <w:r w:rsidRPr="00F66EC6">
        <w:rPr>
          <w:noProof/>
        </w:rPr>
        <w:tab/>
        <w:t>Queensland Health. Growing Deadly Families Aboriginal and Torres Strait Islander Maternity Services Strategy 2019 - 2025. Brisbane: Queensland Health, 2019a.</w:t>
      </w:r>
    </w:p>
    <w:p w14:paraId="34144748" w14:textId="77777777" w:rsidR="00F66EC6" w:rsidRPr="00F66EC6" w:rsidRDefault="00F66EC6" w:rsidP="00F66EC6">
      <w:pPr>
        <w:pStyle w:val="EndNoteBibliography"/>
        <w:spacing w:before="120"/>
        <w:ind w:left="284" w:hanging="284"/>
        <w:rPr>
          <w:noProof/>
        </w:rPr>
      </w:pPr>
      <w:r w:rsidRPr="00F66EC6">
        <w:rPr>
          <w:noProof/>
        </w:rPr>
        <w:t>58.</w:t>
      </w:r>
      <w:r w:rsidRPr="00F66EC6">
        <w:rPr>
          <w:noProof/>
        </w:rPr>
        <w:tab/>
        <w:t xml:space="preserve">Sivertsen N, Anikeeva O, Deverix J, Grant J. Aboriginal and Torres Strait Islander family access to continuity of health care services in the first 1000 days of life: a systematic review of the literature. </w:t>
      </w:r>
      <w:r w:rsidRPr="00F66EC6">
        <w:rPr>
          <w:i/>
          <w:noProof/>
        </w:rPr>
        <w:t>BMC Health Services Research</w:t>
      </w:r>
      <w:r w:rsidRPr="00F66EC6">
        <w:rPr>
          <w:noProof/>
        </w:rPr>
        <w:t xml:space="preserve"> 2020; 20(1): 829.</w:t>
      </w:r>
    </w:p>
    <w:p w14:paraId="076A4B04" w14:textId="77777777" w:rsidR="00F66EC6" w:rsidRPr="00F66EC6" w:rsidRDefault="00F66EC6" w:rsidP="00F66EC6">
      <w:pPr>
        <w:pStyle w:val="EndNoteBibliography"/>
        <w:spacing w:before="120"/>
        <w:ind w:left="284" w:hanging="284"/>
        <w:rPr>
          <w:noProof/>
        </w:rPr>
      </w:pPr>
      <w:r w:rsidRPr="00F66EC6">
        <w:rPr>
          <w:noProof/>
        </w:rPr>
        <w:t>59.</w:t>
      </w:r>
      <w:r w:rsidRPr="00F66EC6">
        <w:rPr>
          <w:noProof/>
        </w:rPr>
        <w:tab/>
        <w:t xml:space="preserve">Callander EJ, Slavin V, Gamble J, Creedy DK, Brittain H. Cost-effectiveness of public caseload midwifery compared to standard care in an Australian setting: a pragmatic analysis to inform service delivery. </w:t>
      </w:r>
      <w:r w:rsidRPr="00F66EC6">
        <w:rPr>
          <w:i/>
          <w:noProof/>
        </w:rPr>
        <w:t>International Journal for Quality in Health Care</w:t>
      </w:r>
      <w:r w:rsidRPr="00F66EC6">
        <w:rPr>
          <w:noProof/>
        </w:rPr>
        <w:t xml:space="preserve"> 2021; 33(2).</w:t>
      </w:r>
    </w:p>
    <w:p w14:paraId="70D2AC50" w14:textId="77777777" w:rsidR="00F66EC6" w:rsidRPr="00F66EC6" w:rsidRDefault="00F66EC6" w:rsidP="00F66EC6">
      <w:pPr>
        <w:pStyle w:val="EndNoteBibliography"/>
        <w:spacing w:before="120"/>
        <w:ind w:left="284" w:hanging="284"/>
        <w:rPr>
          <w:noProof/>
        </w:rPr>
      </w:pPr>
      <w:r w:rsidRPr="00F66EC6">
        <w:rPr>
          <w:noProof/>
        </w:rPr>
        <w:t>60.</w:t>
      </w:r>
      <w:r w:rsidRPr="00F66EC6">
        <w:rPr>
          <w:noProof/>
        </w:rPr>
        <w:tab/>
        <w:t xml:space="preserve">Bradford BF, Wilson AN, Portela A, McConville F, Fernandez Turienzo C, Homer CSE. Midwifery continuity of care: A scoping review of where, how, by whom and for whom? </w:t>
      </w:r>
      <w:r w:rsidRPr="00F66EC6">
        <w:rPr>
          <w:i/>
          <w:noProof/>
        </w:rPr>
        <w:t>PLOS Global Public Health</w:t>
      </w:r>
      <w:r w:rsidRPr="00F66EC6">
        <w:rPr>
          <w:noProof/>
        </w:rPr>
        <w:t xml:space="preserve"> 2022; 2(10): e0000935.</w:t>
      </w:r>
    </w:p>
    <w:p w14:paraId="16BA09F2" w14:textId="77777777" w:rsidR="00F66EC6" w:rsidRPr="00F66EC6" w:rsidRDefault="00F66EC6" w:rsidP="00F66EC6">
      <w:pPr>
        <w:pStyle w:val="EndNoteBibliography"/>
        <w:spacing w:before="120"/>
        <w:ind w:left="284" w:hanging="284"/>
        <w:rPr>
          <w:noProof/>
        </w:rPr>
      </w:pPr>
      <w:r w:rsidRPr="00F66EC6">
        <w:rPr>
          <w:noProof/>
        </w:rPr>
        <w:t>61.</w:t>
      </w:r>
      <w:r w:rsidRPr="00F66EC6">
        <w:rPr>
          <w:noProof/>
        </w:rPr>
        <w:tab/>
        <w:t xml:space="preserve">Toohill J, Chadha Y, Nowlan S. An interactive decision-making framework (i-DMF) to scale up maternity continuity of carer models. </w:t>
      </w:r>
      <w:r w:rsidRPr="00F66EC6">
        <w:rPr>
          <w:i/>
          <w:noProof/>
        </w:rPr>
        <w:t>Journal of Research in Nursing</w:t>
      </w:r>
      <w:r w:rsidRPr="00F66EC6">
        <w:rPr>
          <w:noProof/>
        </w:rPr>
        <w:t xml:space="preserve"> 2020; 25(6-7): 561-76.</w:t>
      </w:r>
    </w:p>
    <w:p w14:paraId="69D1BA02" w14:textId="77777777" w:rsidR="00F66EC6" w:rsidRPr="00F66EC6" w:rsidRDefault="00F66EC6" w:rsidP="00F66EC6">
      <w:pPr>
        <w:pStyle w:val="EndNoteBibliography"/>
        <w:spacing w:before="120"/>
        <w:ind w:left="284" w:hanging="284"/>
        <w:rPr>
          <w:noProof/>
        </w:rPr>
      </w:pPr>
      <w:r w:rsidRPr="00F66EC6">
        <w:rPr>
          <w:noProof/>
        </w:rPr>
        <w:t>62.</w:t>
      </w:r>
      <w:r w:rsidRPr="00F66EC6">
        <w:rPr>
          <w:noProof/>
        </w:rPr>
        <w:tab/>
        <w:t xml:space="preserve">Bradfield Z, Hauck Y, Homer CSE, et al. Midwives' experiences of providing maternity care during the COVID-19 pandemic in Australia. </w:t>
      </w:r>
      <w:r w:rsidRPr="00F66EC6">
        <w:rPr>
          <w:i/>
          <w:noProof/>
        </w:rPr>
        <w:t>Women Birth</w:t>
      </w:r>
      <w:r w:rsidRPr="00F66EC6">
        <w:rPr>
          <w:noProof/>
        </w:rPr>
        <w:t xml:space="preserve"> 2022; 35(3): 262-71.</w:t>
      </w:r>
    </w:p>
    <w:p w14:paraId="2F1E4F41" w14:textId="77777777" w:rsidR="00F66EC6" w:rsidRPr="00F66EC6" w:rsidRDefault="00F66EC6" w:rsidP="00F66EC6">
      <w:pPr>
        <w:pStyle w:val="EndNoteBibliography"/>
        <w:spacing w:before="120"/>
        <w:ind w:left="284" w:hanging="284"/>
        <w:rPr>
          <w:noProof/>
        </w:rPr>
      </w:pPr>
      <w:r w:rsidRPr="00F66EC6">
        <w:rPr>
          <w:noProof/>
        </w:rPr>
        <w:t>63.</w:t>
      </w:r>
      <w:r w:rsidRPr="00F66EC6">
        <w:rPr>
          <w:noProof/>
        </w:rPr>
        <w:tab/>
        <w:t xml:space="preserve">Flaherty SJ, Delaney H, Matvienko-Sikar K, Smith V. Maternity care during COVID-19: a qualitative evidence synthesis of women’s and maternity care providers’ views and experiences. </w:t>
      </w:r>
      <w:r w:rsidRPr="00F66EC6">
        <w:rPr>
          <w:i/>
          <w:noProof/>
        </w:rPr>
        <w:t>BMC Pregnancy and Childbirth</w:t>
      </w:r>
      <w:r w:rsidRPr="00F66EC6">
        <w:rPr>
          <w:noProof/>
        </w:rPr>
        <w:t xml:space="preserve"> 2022; 22(1): 438.</w:t>
      </w:r>
    </w:p>
    <w:p w14:paraId="28C9627B" w14:textId="77777777" w:rsidR="00F66EC6" w:rsidRPr="00F66EC6" w:rsidRDefault="00F66EC6" w:rsidP="00F66EC6">
      <w:pPr>
        <w:pStyle w:val="EndNoteBibliography"/>
        <w:spacing w:before="120"/>
        <w:ind w:left="284" w:hanging="284"/>
        <w:rPr>
          <w:noProof/>
        </w:rPr>
      </w:pPr>
      <w:r w:rsidRPr="00F66EC6">
        <w:rPr>
          <w:noProof/>
        </w:rPr>
        <w:lastRenderedPageBreak/>
        <w:t>64.</w:t>
      </w:r>
      <w:r w:rsidRPr="00F66EC6">
        <w:rPr>
          <w:noProof/>
        </w:rPr>
        <w:tab/>
        <w:t xml:space="preserve">Kluwgant D, Homer C, Dahlen H. “Never let a good crisis go to waste”: Positives from disrupted maternity care in Australia during COVID-19. </w:t>
      </w:r>
      <w:r w:rsidRPr="00F66EC6">
        <w:rPr>
          <w:i/>
          <w:noProof/>
        </w:rPr>
        <w:t>Midwifery</w:t>
      </w:r>
      <w:r w:rsidRPr="00F66EC6">
        <w:rPr>
          <w:noProof/>
        </w:rPr>
        <w:t xml:space="preserve"> 2022; 110: 103340.</w:t>
      </w:r>
    </w:p>
    <w:p w14:paraId="6B47249E" w14:textId="77777777" w:rsidR="00F66EC6" w:rsidRPr="00F66EC6" w:rsidRDefault="00F66EC6" w:rsidP="00F66EC6">
      <w:pPr>
        <w:pStyle w:val="EndNoteBibliography"/>
        <w:spacing w:before="120"/>
        <w:ind w:left="284" w:hanging="284"/>
        <w:rPr>
          <w:noProof/>
        </w:rPr>
      </w:pPr>
      <w:r w:rsidRPr="00F66EC6">
        <w:rPr>
          <w:noProof/>
        </w:rPr>
        <w:t>65.</w:t>
      </w:r>
      <w:r w:rsidRPr="00F66EC6">
        <w:rPr>
          <w:noProof/>
        </w:rPr>
        <w:tab/>
        <w:t xml:space="preserve">Sweet L, Wilson AN, Bradfield Z, et al. Childbearing women’s experiences of the maternity care system in Australia during the first wave of the COVID-19 pandemic. </w:t>
      </w:r>
      <w:r w:rsidRPr="00F66EC6">
        <w:rPr>
          <w:i/>
          <w:noProof/>
        </w:rPr>
        <w:t>Women and Birth</w:t>
      </w:r>
      <w:r w:rsidRPr="00F66EC6">
        <w:rPr>
          <w:noProof/>
        </w:rPr>
        <w:t xml:space="preserve"> 2022; 35(3): 223-31.</w:t>
      </w:r>
    </w:p>
    <w:p w14:paraId="267864EC" w14:textId="77777777" w:rsidR="00F66EC6" w:rsidRPr="00F66EC6" w:rsidRDefault="00F66EC6" w:rsidP="00F66EC6">
      <w:pPr>
        <w:pStyle w:val="EndNoteBibliography"/>
        <w:spacing w:before="120"/>
        <w:ind w:left="284" w:hanging="284"/>
        <w:rPr>
          <w:noProof/>
        </w:rPr>
      </w:pPr>
      <w:r w:rsidRPr="00F66EC6">
        <w:rPr>
          <w:noProof/>
        </w:rPr>
        <w:t>66.</w:t>
      </w:r>
      <w:r w:rsidRPr="00F66EC6">
        <w:rPr>
          <w:noProof/>
        </w:rPr>
        <w:tab/>
        <w:t xml:space="preserve">Vasilevski V, Sweet L, Bradfield Z, et al. Receiving maternity care during the COVID-19 pandemic: Experiences of women’s partners and support persons. </w:t>
      </w:r>
      <w:r w:rsidRPr="00F66EC6">
        <w:rPr>
          <w:i/>
          <w:noProof/>
        </w:rPr>
        <w:t>Women and Birth</w:t>
      </w:r>
      <w:r w:rsidRPr="00F66EC6">
        <w:rPr>
          <w:noProof/>
        </w:rPr>
        <w:t xml:space="preserve"> 2022; 35(3): 298-306.</w:t>
      </w:r>
    </w:p>
    <w:p w14:paraId="6DA64A4E" w14:textId="77777777" w:rsidR="00F66EC6" w:rsidRPr="00F66EC6" w:rsidRDefault="00F66EC6" w:rsidP="00F66EC6">
      <w:pPr>
        <w:pStyle w:val="EndNoteBibliography"/>
        <w:spacing w:before="120"/>
        <w:ind w:left="284" w:hanging="284"/>
        <w:rPr>
          <w:noProof/>
        </w:rPr>
      </w:pPr>
      <w:r w:rsidRPr="00F66EC6">
        <w:rPr>
          <w:noProof/>
        </w:rPr>
        <w:t>67.</w:t>
      </w:r>
      <w:r w:rsidRPr="00F66EC6">
        <w:rPr>
          <w:noProof/>
        </w:rPr>
        <w:tab/>
        <w:t xml:space="preserve">Wilson AN, Sweet L, Vasilevski V, et al. Australian women's experiences of receiving maternity care during the COVID-19 pandemic: A cross-sectional national survey. </w:t>
      </w:r>
      <w:r w:rsidRPr="00F66EC6">
        <w:rPr>
          <w:i/>
          <w:noProof/>
        </w:rPr>
        <w:t>Birth</w:t>
      </w:r>
      <w:r w:rsidRPr="00F66EC6">
        <w:rPr>
          <w:noProof/>
        </w:rPr>
        <w:t xml:space="preserve"> 2022; 49(1): 30-9.</w:t>
      </w:r>
    </w:p>
    <w:p w14:paraId="55B642D2" w14:textId="77777777" w:rsidR="00F66EC6" w:rsidRPr="00F66EC6" w:rsidRDefault="00F66EC6" w:rsidP="00F66EC6">
      <w:pPr>
        <w:pStyle w:val="EndNoteBibliography"/>
        <w:spacing w:before="120"/>
        <w:ind w:left="284" w:hanging="284"/>
        <w:rPr>
          <w:noProof/>
        </w:rPr>
      </w:pPr>
      <w:r w:rsidRPr="00F66EC6">
        <w:rPr>
          <w:noProof/>
        </w:rPr>
        <w:t>68.</w:t>
      </w:r>
      <w:r w:rsidRPr="00F66EC6">
        <w:rPr>
          <w:noProof/>
        </w:rPr>
        <w:tab/>
        <w:t>Maternal Health Matters. The Mother’s Tale: Women’s Experiences of Maternity Care in Australia. The Birth Dignity Survey 2020. Canberra: Maternal Health Matters Inc,, 2021.</w:t>
      </w:r>
    </w:p>
    <w:p w14:paraId="278D1B44" w14:textId="77777777" w:rsidR="00F66EC6" w:rsidRPr="00F66EC6" w:rsidRDefault="00F66EC6" w:rsidP="00F66EC6">
      <w:pPr>
        <w:pStyle w:val="EndNoteBibliography"/>
        <w:spacing w:before="120"/>
        <w:ind w:left="284" w:hanging="284"/>
        <w:rPr>
          <w:noProof/>
        </w:rPr>
      </w:pPr>
      <w:r w:rsidRPr="00F66EC6">
        <w:rPr>
          <w:noProof/>
        </w:rPr>
        <w:t>69.</w:t>
      </w:r>
      <w:r w:rsidRPr="00F66EC6">
        <w:rPr>
          <w:noProof/>
        </w:rPr>
        <w:tab/>
        <w:t>International Consortium for Health Outcomes Measurement. Pregnancy &amp; childbirth data collection reference guide. Boston, USA: International Consortium for Health Outcomes Measuremen, 2017.</w:t>
      </w:r>
    </w:p>
    <w:p w14:paraId="00BE5757" w14:textId="77777777" w:rsidR="00F66EC6" w:rsidRPr="00F66EC6" w:rsidRDefault="00F66EC6" w:rsidP="00F66EC6">
      <w:pPr>
        <w:pStyle w:val="EndNoteBibliography"/>
        <w:spacing w:before="120"/>
        <w:ind w:left="284" w:hanging="284"/>
        <w:rPr>
          <w:noProof/>
        </w:rPr>
      </w:pPr>
      <w:r w:rsidRPr="00F66EC6">
        <w:rPr>
          <w:noProof/>
        </w:rPr>
        <w:t>70.</w:t>
      </w:r>
      <w:r w:rsidRPr="00F66EC6">
        <w:rPr>
          <w:noProof/>
        </w:rPr>
        <w:tab/>
        <w:t xml:space="preserve">Eklom B, Tracy S, Callander E. An exploration of potential output measures to assess efficiency and productivity for labour and birth in Australia. </w:t>
      </w:r>
      <w:r w:rsidRPr="00F66EC6">
        <w:rPr>
          <w:i/>
          <w:noProof/>
        </w:rPr>
        <w:t>BMC Pregnancy and Childbirth</w:t>
      </w:r>
      <w:r w:rsidRPr="00F66EC6">
        <w:rPr>
          <w:noProof/>
        </w:rPr>
        <w:t xml:space="preserve"> 2021; 21(1): 703.</w:t>
      </w:r>
    </w:p>
    <w:p w14:paraId="3B683E68" w14:textId="77777777" w:rsidR="00F66EC6" w:rsidRPr="00F66EC6" w:rsidRDefault="00F66EC6" w:rsidP="00F66EC6">
      <w:pPr>
        <w:pStyle w:val="EndNoteBibliography"/>
        <w:spacing w:before="120"/>
        <w:ind w:left="284" w:hanging="284"/>
        <w:rPr>
          <w:noProof/>
        </w:rPr>
      </w:pPr>
      <w:r w:rsidRPr="00F66EC6">
        <w:rPr>
          <w:noProof/>
        </w:rPr>
        <w:t>71.</w:t>
      </w:r>
      <w:r w:rsidRPr="00F66EC6">
        <w:rPr>
          <w:noProof/>
        </w:rPr>
        <w:tab/>
        <w:t xml:space="preserve">Bull C, Teede H, Carrandi L, Rigney A, Cusack S, Callander E. Evaluating the development, woman-centricity and psychometric properties of maternity patient-reported outcome measures (PROMs) and patient-reported experience measures (PREMs): A systematic review protocol. </w:t>
      </w:r>
      <w:r w:rsidRPr="00F66EC6">
        <w:rPr>
          <w:i/>
          <w:noProof/>
        </w:rPr>
        <w:t>BMJ Open</w:t>
      </w:r>
      <w:r w:rsidRPr="00F66EC6">
        <w:rPr>
          <w:noProof/>
        </w:rPr>
        <w:t xml:space="preserve"> 2022; 12(2): e058952.</w:t>
      </w:r>
    </w:p>
    <w:p w14:paraId="06960C13" w14:textId="77777777" w:rsidR="00F66EC6" w:rsidRPr="00F66EC6" w:rsidRDefault="00F66EC6" w:rsidP="00F66EC6">
      <w:pPr>
        <w:pStyle w:val="EndNoteBibliography"/>
        <w:spacing w:before="120"/>
        <w:ind w:left="284" w:hanging="284"/>
        <w:rPr>
          <w:noProof/>
        </w:rPr>
      </w:pPr>
      <w:r w:rsidRPr="00F66EC6">
        <w:rPr>
          <w:noProof/>
        </w:rPr>
        <w:t>72.</w:t>
      </w:r>
      <w:r w:rsidRPr="00F66EC6">
        <w:rPr>
          <w:noProof/>
        </w:rPr>
        <w:tab/>
        <w:t xml:space="preserve">Brady S, Lee N, Gibbons K, Bogossian F. Woman-centred care: An integrative review of the empirical literature. </w:t>
      </w:r>
      <w:r w:rsidRPr="00F66EC6">
        <w:rPr>
          <w:i/>
          <w:noProof/>
        </w:rPr>
        <w:t>International Journal of Nursing Studies</w:t>
      </w:r>
      <w:r w:rsidRPr="00F66EC6">
        <w:rPr>
          <w:noProof/>
        </w:rPr>
        <w:t xml:space="preserve"> 2019; 94: 107-19.</w:t>
      </w:r>
    </w:p>
    <w:p w14:paraId="562494C6" w14:textId="77777777" w:rsidR="00F66EC6" w:rsidRPr="00F66EC6" w:rsidRDefault="00F66EC6" w:rsidP="00F66EC6">
      <w:pPr>
        <w:pStyle w:val="EndNoteBibliography"/>
        <w:spacing w:before="120"/>
        <w:ind w:left="284" w:hanging="284"/>
        <w:rPr>
          <w:noProof/>
        </w:rPr>
      </w:pPr>
      <w:r w:rsidRPr="00F66EC6">
        <w:rPr>
          <w:noProof/>
        </w:rPr>
        <w:t>73.</w:t>
      </w:r>
      <w:r w:rsidRPr="00F66EC6">
        <w:rPr>
          <w:noProof/>
        </w:rPr>
        <w:tab/>
        <w:t xml:space="preserve">Shakibazadeh E, Namadian M, Bohren M, et al. Respectful care during childbirth in health facilities globally: a qualitative evidence synthesis. </w:t>
      </w:r>
      <w:r w:rsidRPr="00F66EC6">
        <w:rPr>
          <w:i/>
          <w:noProof/>
        </w:rPr>
        <w:t>BJOG: An International Journal of Obstetrics &amp; Gynaecology</w:t>
      </w:r>
      <w:r w:rsidRPr="00F66EC6">
        <w:rPr>
          <w:noProof/>
        </w:rPr>
        <w:t xml:space="preserve"> 2018; 125(8): 932-42.</w:t>
      </w:r>
    </w:p>
    <w:p w14:paraId="5816F644" w14:textId="77777777" w:rsidR="00F66EC6" w:rsidRPr="00F66EC6" w:rsidRDefault="00F66EC6" w:rsidP="00F66EC6">
      <w:pPr>
        <w:pStyle w:val="EndNoteBibliography"/>
        <w:spacing w:before="120"/>
        <w:ind w:left="284" w:hanging="284"/>
        <w:rPr>
          <w:noProof/>
        </w:rPr>
      </w:pPr>
      <w:r w:rsidRPr="00F66EC6">
        <w:rPr>
          <w:noProof/>
        </w:rPr>
        <w:t>74.</w:t>
      </w:r>
      <w:r w:rsidRPr="00F66EC6">
        <w:rPr>
          <w:noProof/>
        </w:rPr>
        <w:tab/>
        <w:t xml:space="preserve">Dougherty L, Lloyd J, Harris E, Caffrey P, Harris M. Access to appropriate health care for non-English speaking migrant families with a newborn/young child: a systematic scoping literature review. </w:t>
      </w:r>
      <w:r w:rsidRPr="00F66EC6">
        <w:rPr>
          <w:i/>
          <w:noProof/>
        </w:rPr>
        <w:t>BMC Health Services Research</w:t>
      </w:r>
      <w:r w:rsidRPr="00F66EC6">
        <w:rPr>
          <w:noProof/>
        </w:rPr>
        <w:t xml:space="preserve"> 2020; 20(1): 309.</w:t>
      </w:r>
    </w:p>
    <w:p w14:paraId="05C9AC5C" w14:textId="77777777" w:rsidR="00F66EC6" w:rsidRPr="00F66EC6" w:rsidRDefault="00F66EC6" w:rsidP="00F66EC6">
      <w:pPr>
        <w:pStyle w:val="EndNoteBibliography"/>
        <w:spacing w:before="120"/>
        <w:ind w:left="284" w:hanging="284"/>
        <w:rPr>
          <w:noProof/>
        </w:rPr>
      </w:pPr>
      <w:r w:rsidRPr="00F66EC6">
        <w:rPr>
          <w:noProof/>
        </w:rPr>
        <w:t>75.</w:t>
      </w:r>
      <w:r w:rsidRPr="00F66EC6">
        <w:rPr>
          <w:noProof/>
        </w:rPr>
        <w:tab/>
        <w:t xml:space="preserve">De Freitas C, Massag J, Amorim M, Fraga S. Involvement in maternal care by migrants and ethnic minorities: a narrative review. </w:t>
      </w:r>
      <w:r w:rsidRPr="00F66EC6">
        <w:rPr>
          <w:i/>
          <w:noProof/>
        </w:rPr>
        <w:t>Public Health Reviews</w:t>
      </w:r>
      <w:r w:rsidRPr="00F66EC6">
        <w:rPr>
          <w:noProof/>
        </w:rPr>
        <w:t xml:space="preserve"> 2020; 41(1): 5.</w:t>
      </w:r>
    </w:p>
    <w:p w14:paraId="589E7A61" w14:textId="77777777" w:rsidR="00F66EC6" w:rsidRPr="00F66EC6" w:rsidRDefault="00F66EC6" w:rsidP="00F66EC6">
      <w:pPr>
        <w:pStyle w:val="EndNoteBibliography"/>
        <w:spacing w:before="120"/>
        <w:ind w:left="284" w:hanging="284"/>
        <w:rPr>
          <w:noProof/>
        </w:rPr>
      </w:pPr>
      <w:r w:rsidRPr="00F66EC6">
        <w:rPr>
          <w:noProof/>
        </w:rPr>
        <w:t>76.</w:t>
      </w:r>
      <w:r w:rsidRPr="00F66EC6">
        <w:rPr>
          <w:noProof/>
        </w:rPr>
        <w:tab/>
        <w:t xml:space="preserve">Ogbo FA, Kingsley Ezeh O, Dhami MV, et al. Perinatal distress and depression in Culturally and Linguistically Diverse (CALD) Australian women: The role of psychosocial and obstetric factors. </w:t>
      </w:r>
      <w:r w:rsidRPr="00F66EC6">
        <w:rPr>
          <w:i/>
          <w:noProof/>
        </w:rPr>
        <w:t>International Journal of Environmental Research and Public Health</w:t>
      </w:r>
      <w:r w:rsidRPr="00F66EC6">
        <w:rPr>
          <w:noProof/>
        </w:rPr>
        <w:t xml:space="preserve"> 2019; 16(16): 2945.</w:t>
      </w:r>
    </w:p>
    <w:p w14:paraId="1E711ABC" w14:textId="77777777" w:rsidR="00F66EC6" w:rsidRPr="00F66EC6" w:rsidRDefault="00F66EC6" w:rsidP="00F66EC6">
      <w:pPr>
        <w:pStyle w:val="EndNoteBibliography"/>
        <w:spacing w:before="120"/>
        <w:ind w:left="284" w:hanging="284"/>
        <w:rPr>
          <w:noProof/>
        </w:rPr>
      </w:pPr>
      <w:r w:rsidRPr="00F66EC6">
        <w:rPr>
          <w:noProof/>
        </w:rPr>
        <w:t>77.</w:t>
      </w:r>
      <w:r w:rsidRPr="00F66EC6">
        <w:rPr>
          <w:noProof/>
        </w:rPr>
        <w:tab/>
        <w:t xml:space="preserve">Au M, Anandakumar AD, Preston R, Ray RA, Davis M. A model explaining refugee experiences of the Australian healthcare system: a systematic review of refugee perceptions. </w:t>
      </w:r>
      <w:r w:rsidRPr="00F66EC6">
        <w:rPr>
          <w:i/>
          <w:noProof/>
        </w:rPr>
        <w:t>BMC International Health and Human Rights</w:t>
      </w:r>
      <w:r w:rsidRPr="00F66EC6">
        <w:rPr>
          <w:noProof/>
        </w:rPr>
        <w:t xml:space="preserve"> 2019; 19(1): 22.</w:t>
      </w:r>
    </w:p>
    <w:p w14:paraId="28A2FAF0" w14:textId="77777777" w:rsidR="00F66EC6" w:rsidRPr="00F66EC6" w:rsidRDefault="00F66EC6" w:rsidP="00F66EC6">
      <w:pPr>
        <w:pStyle w:val="EndNoteBibliography"/>
        <w:spacing w:before="120"/>
        <w:ind w:left="284" w:hanging="284"/>
        <w:rPr>
          <w:noProof/>
        </w:rPr>
      </w:pPr>
      <w:r w:rsidRPr="00F66EC6">
        <w:rPr>
          <w:noProof/>
        </w:rPr>
        <w:t>78.</w:t>
      </w:r>
      <w:r w:rsidRPr="00F66EC6">
        <w:rPr>
          <w:noProof/>
        </w:rPr>
        <w:tab/>
        <w:t>AIHW. Maternity care in Australia: first national report on models of care. Canberra: Australian Institute of Health and Welfare, 2021.</w:t>
      </w:r>
    </w:p>
    <w:p w14:paraId="7686ECB1" w14:textId="77777777" w:rsidR="00F66EC6" w:rsidRPr="00F66EC6" w:rsidRDefault="00F66EC6" w:rsidP="00F66EC6">
      <w:pPr>
        <w:pStyle w:val="EndNoteBibliography"/>
        <w:spacing w:before="120"/>
        <w:ind w:left="284" w:hanging="284"/>
        <w:rPr>
          <w:noProof/>
        </w:rPr>
      </w:pPr>
      <w:r w:rsidRPr="00F66EC6">
        <w:rPr>
          <w:noProof/>
        </w:rPr>
        <w:t>79.</w:t>
      </w:r>
      <w:r w:rsidRPr="00F66EC6">
        <w:rPr>
          <w:noProof/>
        </w:rPr>
        <w:tab/>
        <w:t>AIHW. Maternity models of care in Australia, 2022. Canberra: Australian Institute of Health and Welfare, 2022.</w:t>
      </w:r>
    </w:p>
    <w:p w14:paraId="62994F1D" w14:textId="77777777" w:rsidR="00F66EC6" w:rsidRPr="00F66EC6" w:rsidRDefault="00F66EC6" w:rsidP="00F66EC6">
      <w:pPr>
        <w:pStyle w:val="EndNoteBibliography"/>
        <w:spacing w:before="120"/>
        <w:ind w:left="284" w:hanging="284"/>
        <w:rPr>
          <w:noProof/>
        </w:rPr>
      </w:pPr>
      <w:r w:rsidRPr="00F66EC6">
        <w:rPr>
          <w:noProof/>
        </w:rPr>
        <w:t>80.</w:t>
      </w:r>
      <w:r w:rsidRPr="00F66EC6">
        <w:rPr>
          <w:noProof/>
        </w:rPr>
        <w:tab/>
        <w:t xml:space="preserve">Vedam S, Stoll K, Martin K, et al. The Mother’s Autonomy in Decision Making (MADM) scale: Patient-led development and psychometric testing of a new instrument to evaluate experience of maternity care. </w:t>
      </w:r>
      <w:r w:rsidRPr="00F66EC6">
        <w:rPr>
          <w:i/>
          <w:noProof/>
        </w:rPr>
        <w:t>PLOS ONE</w:t>
      </w:r>
      <w:r w:rsidRPr="00F66EC6">
        <w:rPr>
          <w:noProof/>
        </w:rPr>
        <w:t xml:space="preserve"> 2017; 12(2): e0171804.</w:t>
      </w:r>
    </w:p>
    <w:p w14:paraId="7A1CEDF7" w14:textId="77777777" w:rsidR="00F66EC6" w:rsidRPr="00F66EC6" w:rsidRDefault="00F66EC6" w:rsidP="00F66EC6">
      <w:pPr>
        <w:pStyle w:val="EndNoteBibliography"/>
        <w:spacing w:before="120"/>
        <w:ind w:left="284" w:hanging="284"/>
        <w:rPr>
          <w:noProof/>
        </w:rPr>
      </w:pPr>
      <w:r w:rsidRPr="00F66EC6">
        <w:rPr>
          <w:noProof/>
        </w:rPr>
        <w:t>81.</w:t>
      </w:r>
      <w:r w:rsidRPr="00F66EC6">
        <w:rPr>
          <w:noProof/>
        </w:rPr>
        <w:tab/>
        <w:t xml:space="preserve">Vedam S, Stoll K, Rubashkin N, et al. The Mothers on Respect (MOR) index: measuring quality, safety, and human rights in childbirth. </w:t>
      </w:r>
      <w:r w:rsidRPr="00F66EC6">
        <w:rPr>
          <w:i/>
          <w:noProof/>
        </w:rPr>
        <w:t>SSM - Population Health</w:t>
      </w:r>
      <w:r w:rsidRPr="00F66EC6">
        <w:rPr>
          <w:noProof/>
        </w:rPr>
        <w:t xml:space="preserve"> 2017; 3: 201-10.</w:t>
      </w:r>
    </w:p>
    <w:p w14:paraId="776E6F4A" w14:textId="77777777" w:rsidR="00F66EC6" w:rsidRPr="00F66EC6" w:rsidRDefault="00F66EC6" w:rsidP="00F66EC6">
      <w:pPr>
        <w:pStyle w:val="EndNoteBibliography"/>
        <w:spacing w:before="120"/>
        <w:ind w:left="284" w:hanging="284"/>
        <w:rPr>
          <w:noProof/>
        </w:rPr>
      </w:pPr>
      <w:r w:rsidRPr="00F66EC6">
        <w:rPr>
          <w:noProof/>
        </w:rPr>
        <w:t>82.</w:t>
      </w:r>
      <w:r w:rsidRPr="00F66EC6">
        <w:rPr>
          <w:noProof/>
        </w:rPr>
        <w:tab/>
        <w:t>DoH. Stakeholder Engagement Framework. Canberra: Commonwealth Department of Health, 2005.</w:t>
      </w:r>
    </w:p>
    <w:p w14:paraId="176C4220" w14:textId="77777777" w:rsidR="00F66EC6" w:rsidRPr="00F66EC6" w:rsidRDefault="00F66EC6" w:rsidP="00F66EC6">
      <w:pPr>
        <w:pStyle w:val="EndNoteBibliography"/>
        <w:spacing w:before="120"/>
        <w:ind w:left="284" w:hanging="284"/>
        <w:rPr>
          <w:noProof/>
        </w:rPr>
      </w:pPr>
      <w:r w:rsidRPr="00F66EC6">
        <w:rPr>
          <w:noProof/>
        </w:rPr>
        <w:t>83.</w:t>
      </w:r>
      <w:r w:rsidRPr="00F66EC6">
        <w:rPr>
          <w:noProof/>
        </w:rPr>
        <w:tab/>
        <w:t xml:space="preserve">Gale NK, Heath G, Cameron E, Rashid S, Redwood S. Using the framework method for the analysis of qualitative data in multi-disciplinary health research. </w:t>
      </w:r>
      <w:r w:rsidRPr="00F66EC6">
        <w:rPr>
          <w:i/>
          <w:noProof/>
        </w:rPr>
        <w:t>BMC medical research methodology</w:t>
      </w:r>
      <w:r w:rsidRPr="00F66EC6">
        <w:rPr>
          <w:noProof/>
        </w:rPr>
        <w:t xml:space="preserve"> 2013; 13(1): 1-8.</w:t>
      </w:r>
    </w:p>
    <w:p w14:paraId="68071C71" w14:textId="77777777" w:rsidR="00F66EC6" w:rsidRPr="00F66EC6" w:rsidRDefault="00F66EC6" w:rsidP="00F66EC6">
      <w:pPr>
        <w:pStyle w:val="EndNoteBibliography"/>
        <w:spacing w:before="120"/>
        <w:ind w:left="284" w:hanging="284"/>
        <w:rPr>
          <w:noProof/>
        </w:rPr>
      </w:pPr>
      <w:r w:rsidRPr="00F66EC6">
        <w:rPr>
          <w:noProof/>
        </w:rPr>
        <w:t>84.</w:t>
      </w:r>
      <w:r w:rsidRPr="00F66EC6">
        <w:rPr>
          <w:noProof/>
        </w:rPr>
        <w:tab/>
        <w:t xml:space="preserve">Neale J. Iterative categorization (IC): a systematic technique for analysing qualitative data. </w:t>
      </w:r>
      <w:r w:rsidRPr="00F66EC6">
        <w:rPr>
          <w:i/>
          <w:noProof/>
        </w:rPr>
        <w:t>Addiction</w:t>
      </w:r>
      <w:r w:rsidRPr="00F66EC6">
        <w:rPr>
          <w:noProof/>
        </w:rPr>
        <w:t xml:space="preserve"> 2016; 111(6): 1096-106.</w:t>
      </w:r>
    </w:p>
    <w:p w14:paraId="7C7E4C88" w14:textId="26B96EE2" w:rsidR="00AF0ADF" w:rsidRDefault="00F66EC6" w:rsidP="00D20FFF">
      <w:pPr>
        <w:pStyle w:val="EndNoteBibliography"/>
        <w:spacing w:before="120"/>
        <w:ind w:left="284" w:hanging="284"/>
        <w:rPr>
          <w:rFonts w:eastAsiaTheme="majorEastAsia"/>
          <w:szCs w:val="22"/>
          <w:highlight w:val="yellow"/>
        </w:rPr>
      </w:pPr>
      <w:r w:rsidRPr="00F66EC6">
        <w:rPr>
          <w:noProof/>
        </w:rPr>
        <w:t>85.</w:t>
      </w:r>
      <w:r w:rsidRPr="00F66EC6">
        <w:rPr>
          <w:noProof/>
        </w:rPr>
        <w:tab/>
        <w:t xml:space="preserve">Neale J. Iterative categorisation (IC)(part 2): interpreting qualitative data. </w:t>
      </w:r>
      <w:r w:rsidRPr="00F66EC6">
        <w:rPr>
          <w:i/>
          <w:noProof/>
        </w:rPr>
        <w:t>Addiction</w:t>
      </w:r>
      <w:r w:rsidRPr="00F66EC6">
        <w:rPr>
          <w:noProof/>
        </w:rPr>
        <w:t xml:space="preserve"> 2021; 116(3): 668-76.</w:t>
      </w:r>
      <w:r w:rsidR="00443C64" w:rsidRPr="00F66EC6">
        <w:fldChar w:fldCharType="end"/>
      </w:r>
      <w:bookmarkEnd w:id="253"/>
      <w:bookmarkEnd w:id="254"/>
    </w:p>
    <w:p w14:paraId="24FCA7E4" w14:textId="36808100" w:rsidR="009D77C9" w:rsidRDefault="00184998" w:rsidP="00D20FFF">
      <w:pPr>
        <w:pStyle w:val="Caption"/>
        <w:ind w:left="0" w:firstLine="0"/>
      </w:pPr>
      <w:bookmarkStart w:id="387" w:name="_Ref117791703"/>
      <w:bookmarkStart w:id="388" w:name="_Ref119166519"/>
      <w:bookmarkStart w:id="389" w:name="_Toc121415226"/>
      <w:bookmarkStart w:id="390" w:name="_Toc121415229"/>
      <w:bookmarkStart w:id="391" w:name="_Toc118299351"/>
      <w:r>
        <w:lastRenderedPageBreak/>
        <w:t xml:space="preserve">Appendix </w:t>
      </w:r>
      <w:r>
        <w:fldChar w:fldCharType="begin"/>
      </w:r>
      <w:r>
        <w:instrText>SEQ Appendix \* ARABIC</w:instrText>
      </w:r>
      <w:r>
        <w:fldChar w:fldCharType="separate"/>
      </w:r>
      <w:r w:rsidR="00296988">
        <w:rPr>
          <w:noProof/>
        </w:rPr>
        <w:t>1</w:t>
      </w:r>
      <w:r>
        <w:fldChar w:fldCharType="end"/>
      </w:r>
      <w:bookmarkEnd w:id="387"/>
      <w:r w:rsidR="003632C2">
        <w:tab/>
      </w:r>
      <w:r w:rsidR="009D77C9">
        <w:t>M</w:t>
      </w:r>
      <w:r w:rsidR="00FE131F">
        <w:t>ethods</w:t>
      </w:r>
      <w:bookmarkEnd w:id="388"/>
      <w:bookmarkEnd w:id="389"/>
      <w:bookmarkEnd w:id="390"/>
    </w:p>
    <w:p w14:paraId="23A6D521" w14:textId="77777777" w:rsidR="00A851A8" w:rsidRDefault="00C91FF8" w:rsidP="00C91FF8">
      <w:pPr>
        <w:spacing w:after="120"/>
      </w:pPr>
      <w:r>
        <w:t>A full report of the stakeholder consultations was presented to the Department in September 2022. This internal document inform</w:t>
      </w:r>
      <w:r w:rsidR="00EC5ACE">
        <w:t>ed</w:t>
      </w:r>
      <w:r>
        <w:t xml:space="preserve"> the development and content of th</w:t>
      </w:r>
      <w:r w:rsidR="00EC5ACE">
        <w:t>e</w:t>
      </w:r>
      <w:r>
        <w:t xml:space="preserve"> Baseline Report</w:t>
      </w:r>
      <w:r w:rsidR="00A851A8">
        <w:t xml:space="preserve"> Part 1 (this report)</w:t>
      </w:r>
      <w:r>
        <w:t xml:space="preserve">. </w:t>
      </w:r>
    </w:p>
    <w:p w14:paraId="2532D3E0" w14:textId="4390AD44" w:rsidR="00C91FF8" w:rsidRPr="00C91FF8" w:rsidRDefault="00C91FF8" w:rsidP="00C91FF8">
      <w:pPr>
        <w:spacing w:after="120"/>
      </w:pPr>
      <w:r>
        <w:t xml:space="preserve">To supplement the summary of methods provided in the Introduction </w:t>
      </w:r>
      <w:r w:rsidR="004A78C8">
        <w:t>and at the start of Chapter 4</w:t>
      </w:r>
      <w:r>
        <w:t xml:space="preserve">, we provide a more detailed description of methods </w:t>
      </w:r>
      <w:r w:rsidR="004A78C8">
        <w:t xml:space="preserve">for the </w:t>
      </w:r>
      <w:r w:rsidR="00A851A8">
        <w:t xml:space="preserve">two main components of the stakeholder consultations – the </w:t>
      </w:r>
      <w:r w:rsidR="004A78C8">
        <w:t>interviews and the environment scan</w:t>
      </w:r>
      <w:r w:rsidR="00A851A8">
        <w:t xml:space="preserve"> – </w:t>
      </w:r>
      <w:r>
        <w:t>below</w:t>
      </w:r>
      <w:r w:rsidR="004A78C8">
        <w:t>, along with acknowledgement of limitations.</w:t>
      </w:r>
    </w:p>
    <w:p w14:paraId="07CF9D36" w14:textId="59803C98" w:rsidR="00720781" w:rsidRDefault="00720781" w:rsidP="00A52466">
      <w:pPr>
        <w:spacing w:after="240"/>
        <w:rPr>
          <w:b/>
          <w:bCs/>
          <w:color w:val="0398D7"/>
          <w:szCs w:val="18"/>
        </w:rPr>
      </w:pPr>
      <w:r>
        <w:rPr>
          <w:b/>
          <w:bCs/>
          <w:color w:val="0398D7"/>
          <w:szCs w:val="18"/>
        </w:rPr>
        <w:t>Interviews</w:t>
      </w:r>
    </w:p>
    <w:p w14:paraId="72D5171C" w14:textId="77777777" w:rsidR="00720781" w:rsidRPr="00720781" w:rsidRDefault="00720781" w:rsidP="00720781">
      <w:pPr>
        <w:spacing w:after="120"/>
      </w:pPr>
      <w:r w:rsidRPr="00F166EE">
        <w:t xml:space="preserve">Consultations with the Commonwealth, state and territory health department representatives, </w:t>
      </w:r>
      <w:r w:rsidRPr="00720781">
        <w:t xml:space="preserve">professional colleges, peak organisations, NGOs, consumer advocacy groups and a select number of experts were conducted over an eight week period from 22 June to 19 August 2022. </w:t>
      </w:r>
    </w:p>
    <w:p w14:paraId="73E47BC3" w14:textId="55AFB8C8" w:rsidR="00720781" w:rsidRDefault="00720781" w:rsidP="00720781">
      <w:pPr>
        <w:spacing w:after="120"/>
      </w:pPr>
      <w:r>
        <w:t xml:space="preserve">Potential respondents for the consultation process included organisations or individuals previously involved in the development of Strategy, and in some instances, organisations or individuals recommended by initial stakeholders interviewed. For some stakeholder groups, direct liaison with the Department, the </w:t>
      </w:r>
      <w:r w:rsidRPr="00720781">
        <w:t xml:space="preserve">Senior Officials Group </w:t>
      </w:r>
      <w:r>
        <w:t xml:space="preserve">and each organisation was required to finalise the selection of the most appropriate representative. </w:t>
      </w:r>
    </w:p>
    <w:p w14:paraId="1F6CEBF1" w14:textId="65F9DCC8" w:rsidR="00720781" w:rsidRPr="00720781" w:rsidRDefault="00720781" w:rsidP="00720781">
      <w:pPr>
        <w:spacing w:after="120"/>
      </w:pPr>
      <w:r w:rsidRPr="00720781">
        <w:t>In total, 37 individuals from 33 organisations were consulted. An additional six organisations were invited but did not participate in a full interview because they were not available during the consultation period due to competing commitments, felt the consultation period was inappropriately short or did not respond to the invitation. A list</w:t>
      </w:r>
      <w:r>
        <w:t xml:space="preserve"> of organisations which participated in the consultation </w:t>
      </w:r>
      <w:r w:rsidRPr="00557E84">
        <w:t>interviews is provided in</w:t>
      </w:r>
      <w:r>
        <w:t xml:space="preserve"> Appendix 2</w:t>
      </w:r>
      <w:r w:rsidRPr="00557E84">
        <w:t>.</w:t>
      </w:r>
      <w:r>
        <w:t xml:space="preserve"> </w:t>
      </w:r>
    </w:p>
    <w:p w14:paraId="30A43905" w14:textId="77777777" w:rsidR="00720781" w:rsidRPr="00720781" w:rsidRDefault="00720781" w:rsidP="00720781">
      <w:pPr>
        <w:spacing w:after="120"/>
      </w:pPr>
      <w:r w:rsidRPr="00720781">
        <w:t xml:space="preserve">The consultations were conducted over video-conference or phone. </w:t>
      </w:r>
      <w:r>
        <w:t xml:space="preserve">Interview </w:t>
      </w:r>
      <w:r w:rsidRPr="00F85171">
        <w:t xml:space="preserve">questions </w:t>
      </w:r>
      <w:r>
        <w:t>were</w:t>
      </w:r>
      <w:r w:rsidRPr="00F85171">
        <w:t xml:space="preserve"> tailored to the expertise of the various </w:t>
      </w:r>
      <w:r>
        <w:t xml:space="preserve">stakeholder </w:t>
      </w:r>
      <w:r w:rsidRPr="00F85171">
        <w:t>groups</w:t>
      </w:r>
      <w:r>
        <w:t xml:space="preserve"> and designed to address the key evaluation questions. </w:t>
      </w:r>
      <w:r w:rsidRPr="004F649F">
        <w:t>The interviews too</w:t>
      </w:r>
      <w:r w:rsidRPr="00CE229C">
        <w:t>k 60 minutes on average, ranging from 29 to 100</w:t>
      </w:r>
      <w:r w:rsidRPr="004F649F">
        <w:t xml:space="preserve"> minutes depending on the degree of involvement of stakeholders in Strategy-related activities and their level of expertise across each of the evaluation focus areas.</w:t>
      </w:r>
    </w:p>
    <w:p w14:paraId="272C3EB3" w14:textId="458213AD" w:rsidR="00720781" w:rsidRPr="00720781" w:rsidRDefault="00720781" w:rsidP="00720781">
      <w:pPr>
        <w:spacing w:after="120"/>
      </w:pPr>
      <w:r>
        <w:t xml:space="preserve">All stakeholders gave permission for the consultants to make audio recordings of the interviews to ensure an accurate record was available for analysis. In conducting the interviews, the project team </w:t>
      </w:r>
      <w:r w:rsidRPr="00F87F99">
        <w:t>adhere</w:t>
      </w:r>
      <w:r>
        <w:t>d</w:t>
      </w:r>
      <w:r w:rsidRPr="00F87F99">
        <w:t xml:space="preserve"> to the Department’s</w:t>
      </w:r>
      <w:r w:rsidRPr="00720781">
        <w:t xml:space="preserve"> principles for stakeholder engagement activities, ensuring that consultations were purposeful, inclusive, timely, transparent and respectful.</w:t>
      </w:r>
      <w:r w:rsidRPr="00C24842">
        <w:rPr>
          <w:vertAlign w:val="superscript"/>
        </w:rPr>
        <w:fldChar w:fldCharType="begin"/>
      </w:r>
      <w:r w:rsidR="00F66EC6">
        <w:rPr>
          <w:vertAlign w:val="superscript"/>
        </w:rPr>
        <w:instrText xml:space="preserve"> ADDIN EN.CITE &lt;EndNote&gt;&lt;Cite&gt;&lt;Author&gt;DoH&lt;/Author&gt;&lt;Year&gt;2005&lt;/Year&gt;&lt;RecNum&gt;53&lt;/RecNum&gt;&lt;DisplayText&gt;&lt;style face="superscript"&gt;82&lt;/style&gt;&lt;/DisplayText&gt;&lt;record&gt;&lt;rec-number&gt;53&lt;/rec-number&gt;&lt;foreign-keys&gt;&lt;key app="EN" db-id="ewrsr2203a2a0veserrv55dezzwsepr5psw2" timestamp="1651710768"&gt;53&lt;/key&gt;&lt;/foreign-keys&gt;&lt;ref-type name="Report"&gt;27&lt;/ref-type&gt;&lt;contributors&gt;&lt;authors&gt;&lt;author&gt;DoH,&lt;/author&gt;&lt;/authors&gt;&lt;/contributors&gt;&lt;titles&gt;&lt;title&gt;Stakeholder Engagement Framework&lt;/title&gt;&lt;/titles&gt;&lt;dates&gt;&lt;year&gt;2005&lt;/year&gt;&lt;/dates&gt;&lt;pub-location&gt;Canberra&lt;/pub-location&gt;&lt;publisher&gt;Commonwealth Department of Health&lt;/publisher&gt;&lt;urls&gt;&lt;related-urls&gt;&lt;url&gt;https://www.health.gov.au/resources/publications/stakeholder-engagement-framework&lt;/url&gt;&lt;/related-urls&gt;&lt;/urls&gt;&lt;/record&gt;&lt;/Cite&gt;&lt;/EndNote&gt;</w:instrText>
      </w:r>
      <w:r w:rsidRPr="00C24842">
        <w:rPr>
          <w:vertAlign w:val="superscript"/>
        </w:rPr>
        <w:fldChar w:fldCharType="separate"/>
      </w:r>
      <w:r w:rsidR="00F66EC6">
        <w:rPr>
          <w:noProof/>
          <w:vertAlign w:val="superscript"/>
        </w:rPr>
        <w:t>82</w:t>
      </w:r>
      <w:r w:rsidRPr="00C24842">
        <w:rPr>
          <w:vertAlign w:val="superscript"/>
        </w:rPr>
        <w:fldChar w:fldCharType="end"/>
      </w:r>
      <w:r w:rsidRPr="00C24842">
        <w:rPr>
          <w:vertAlign w:val="superscript"/>
        </w:rPr>
        <w:t xml:space="preserve"> </w:t>
      </w:r>
    </w:p>
    <w:p w14:paraId="676E103F" w14:textId="622A71C0" w:rsidR="00720781" w:rsidRDefault="00720781" w:rsidP="00720781">
      <w:pPr>
        <w:spacing w:after="120"/>
      </w:pPr>
      <w:r>
        <w:t>Interviews were transcribed and managed in NVIVO. A</w:t>
      </w:r>
      <w:r w:rsidRPr="00A86E7F">
        <w:t xml:space="preserve"> modified framework method of analysis </w:t>
      </w:r>
      <w:r>
        <w:t xml:space="preserve">was </w:t>
      </w:r>
      <w:r w:rsidRPr="00A86E7F">
        <w:t>used, as this is highly suited to working with large datasets where the data are derived from semi-structured interviews, multiple researchers are working on the project, and the goal is a holistic descriptive overview</w:t>
      </w:r>
      <w:r>
        <w:t>.</w:t>
      </w:r>
      <w:r w:rsidRPr="00C24842">
        <w:rPr>
          <w:vertAlign w:val="superscript"/>
        </w:rPr>
        <w:fldChar w:fldCharType="begin"/>
      </w:r>
      <w:r w:rsidR="00F66EC6">
        <w:rPr>
          <w:vertAlign w:val="superscript"/>
        </w:rPr>
        <w:instrText xml:space="preserve"> ADDIN EN.CITE &lt;EndNote&gt;&lt;Cite&gt;&lt;Author&gt;Gale&lt;/Author&gt;&lt;Year&gt;2013&lt;/Year&gt;&lt;RecNum&gt;48&lt;/RecNum&gt;&lt;DisplayText&gt;&lt;style face="superscript"&gt;83&lt;/style&gt;&lt;/DisplayText&gt;&lt;record&gt;&lt;rec-number&gt;48&lt;/rec-number&gt;&lt;foreign-keys&gt;&lt;key app="EN" db-id="ewrsr2203a2a0veserrv55dezzwsepr5psw2" timestamp="1651710197"&gt;48&lt;/key&gt;&lt;/foreign-keys&gt;&lt;ref-type name="Journal Article"&gt;17&lt;/ref-type&gt;&lt;contributors&gt;&lt;authors&gt;&lt;author&gt;Gale, N.K.&lt;/author&gt;&lt;author&gt;Heath, G.&lt;/author&gt;&lt;author&gt;Cameron, E.&lt;/author&gt;&lt;author&gt;Rashid, S.&lt;/author&gt;&lt;author&gt;Redwood, S.&lt;/author&gt;&lt;/authors&gt;&lt;/contributors&gt;&lt;titles&gt;&lt;title&gt;Using the framework method for the analysis of qualitative data in multi-disciplinary health research&lt;/title&gt;&lt;secondary-title&gt;BMC medical research methodology&lt;/secondary-title&gt;&lt;/titles&gt;&lt;pages&gt;1-8&lt;/pages&gt;&lt;volume&gt;13&lt;/volume&gt;&lt;number&gt;1&lt;/number&gt;&lt;dates&gt;&lt;year&gt;2013&lt;/year&gt;&lt;/dates&gt;&lt;isbn&gt;1471-2288&lt;/isbn&gt;&lt;urls&gt;&lt;/urls&gt;&lt;/record&gt;&lt;/Cite&gt;&lt;/EndNote&gt;</w:instrText>
      </w:r>
      <w:r w:rsidRPr="00C24842">
        <w:rPr>
          <w:vertAlign w:val="superscript"/>
        </w:rPr>
        <w:fldChar w:fldCharType="separate"/>
      </w:r>
      <w:r w:rsidR="00F66EC6">
        <w:rPr>
          <w:noProof/>
          <w:vertAlign w:val="superscript"/>
        </w:rPr>
        <w:t>83</w:t>
      </w:r>
      <w:r w:rsidRPr="00C24842">
        <w:rPr>
          <w:vertAlign w:val="superscript"/>
        </w:rPr>
        <w:fldChar w:fldCharType="end"/>
      </w:r>
      <w:r w:rsidRPr="00C24842">
        <w:rPr>
          <w:vertAlign w:val="superscript"/>
        </w:rPr>
        <w:t xml:space="preserve"> </w:t>
      </w:r>
      <w:r w:rsidRPr="00A86E7F">
        <w:t xml:space="preserve"> Iterative categorisation</w:t>
      </w:r>
      <w:r w:rsidRPr="00C24842">
        <w:rPr>
          <w:vertAlign w:val="superscript"/>
        </w:rPr>
        <w:fldChar w:fldCharType="begin"/>
      </w:r>
      <w:r w:rsidR="00F66EC6">
        <w:rPr>
          <w:vertAlign w:val="superscript"/>
        </w:rPr>
        <w:instrText xml:space="preserve"> ADDIN EN.CITE &lt;EndNote&gt;&lt;Cite&gt;&lt;Author&gt;Neale&lt;/Author&gt;&lt;Year&gt;2016&lt;/Year&gt;&lt;RecNum&gt;49&lt;/RecNum&gt;&lt;DisplayText&gt;&lt;style face="superscript"&gt;84,85&lt;/style&gt;&lt;/DisplayText&gt;&lt;record&gt;&lt;rec-number&gt;49&lt;/rec-number&gt;&lt;foreign-keys&gt;&lt;key app="EN" db-id="ewrsr2203a2a0veserrv55dezzwsepr5psw2" timestamp="1651710265"&gt;49&lt;/key&gt;&lt;/foreign-keys&gt;&lt;ref-type name="Journal Article"&gt;17&lt;/ref-type&gt;&lt;contributors&gt;&lt;authors&gt;&lt;author&gt;Neale, J.&lt;/author&gt;&lt;/authors&gt;&lt;/contributors&gt;&lt;titles&gt;&lt;title&gt;Iterative categorization (IC): a systematic technique for analysing qualitative data&lt;/title&gt;&lt;secondary-title&gt;Addiction&lt;/secondary-title&gt;&lt;/titles&gt;&lt;pages&gt;1096-1106&lt;/pages&gt;&lt;volume&gt;111&lt;/volume&gt;&lt;number&gt;6&lt;/number&gt;&lt;dates&gt;&lt;year&gt;2016&lt;/year&gt;&lt;/dates&gt;&lt;isbn&gt;0965-2140&lt;/isbn&gt;&lt;urls&gt;&lt;/urls&gt;&lt;/record&gt;&lt;/Cite&gt;&lt;Cite&gt;&lt;Author&gt;Neale&lt;/Author&gt;&lt;Year&gt;2021&lt;/Year&gt;&lt;RecNum&gt;50&lt;/RecNum&gt;&lt;record&gt;&lt;rec-number&gt;50&lt;/rec-number&gt;&lt;foreign-keys&gt;&lt;key app="EN" db-id="ewrsr2203a2a0veserrv55dezzwsepr5psw2" timestamp="1651710291"&gt;50&lt;/key&gt;&lt;/foreign-keys&gt;&lt;ref-type name="Journal Article"&gt;17&lt;/ref-type&gt;&lt;contributors&gt;&lt;authors&gt;&lt;author&gt;Neale, J.&lt;/author&gt;&lt;/authors&gt;&lt;/contributors&gt;&lt;titles&gt;&lt;title&gt;Iterative categorisation (IC)(part 2): interpreting qualitative data&lt;/title&gt;&lt;secondary-title&gt;Addiction&lt;/secondary-title&gt;&lt;/titles&gt;&lt;pages&gt;668-676&lt;/pages&gt;&lt;volume&gt;116&lt;/volume&gt;&lt;number&gt;3&lt;/number&gt;&lt;dates&gt;&lt;year&gt;2021&lt;/year&gt;&lt;/dates&gt;&lt;isbn&gt;0965-2140&lt;/isbn&gt;&lt;urls&gt;&lt;/urls&gt;&lt;/record&gt;&lt;/Cite&gt;&lt;/EndNote&gt;</w:instrText>
      </w:r>
      <w:r w:rsidRPr="00C24842">
        <w:rPr>
          <w:vertAlign w:val="superscript"/>
        </w:rPr>
        <w:fldChar w:fldCharType="separate"/>
      </w:r>
      <w:r w:rsidR="00F66EC6">
        <w:rPr>
          <w:noProof/>
          <w:vertAlign w:val="superscript"/>
        </w:rPr>
        <w:t>84,85</w:t>
      </w:r>
      <w:r w:rsidRPr="00C24842">
        <w:rPr>
          <w:vertAlign w:val="superscript"/>
        </w:rPr>
        <w:fldChar w:fldCharType="end"/>
      </w:r>
      <w:r w:rsidRPr="00A86E7F">
        <w:t xml:space="preserve"> </w:t>
      </w:r>
      <w:r>
        <w:t>was</w:t>
      </w:r>
      <w:r w:rsidRPr="00A86E7F">
        <w:t xml:space="preserve"> used to move from codes and themes to deeper analysis and interpretation of the data as this approach is systematic, comprehensive and auditable.</w:t>
      </w:r>
      <w:r>
        <w:t xml:space="preserve"> </w:t>
      </w:r>
    </w:p>
    <w:p w14:paraId="27A1827E" w14:textId="5452EC42" w:rsidR="00720781" w:rsidRPr="00720781" w:rsidRDefault="00720781" w:rsidP="00720781">
      <w:pPr>
        <w:spacing w:after="120"/>
      </w:pPr>
      <w:r w:rsidRPr="00720781">
        <w:t xml:space="preserve">The project team also had numerous discussions with AIHW representatives regarding routine national reporting of maternal and perinatal data and priority data development activities. Less formal engagement with other stakeholder groups, including the Australian Bureau of Statistics (ABS), Australasian Health Infrastructure Alliance and Emerging Minds, was also undertaken during the project.  </w:t>
      </w:r>
    </w:p>
    <w:p w14:paraId="33CCA3F4" w14:textId="5D1849AF" w:rsidR="00C91FF8" w:rsidRDefault="00C91FF8" w:rsidP="00A52466">
      <w:pPr>
        <w:spacing w:after="240"/>
        <w:rPr>
          <w:b/>
          <w:bCs/>
          <w:color w:val="0398D7"/>
          <w:szCs w:val="18"/>
        </w:rPr>
      </w:pPr>
      <w:r w:rsidRPr="00C91FF8">
        <w:rPr>
          <w:b/>
          <w:bCs/>
          <w:color w:val="0398D7"/>
          <w:szCs w:val="18"/>
        </w:rPr>
        <w:t>Environment scan</w:t>
      </w:r>
    </w:p>
    <w:p w14:paraId="33484625" w14:textId="77777777" w:rsidR="00C91FF8" w:rsidRDefault="00C91FF8" w:rsidP="00A52466">
      <w:pPr>
        <w:spacing w:after="120"/>
      </w:pPr>
      <w:r>
        <w:t>The environment scan had two components:</w:t>
      </w:r>
    </w:p>
    <w:p w14:paraId="76B7B53B" w14:textId="77777777" w:rsidR="00C91FF8" w:rsidRDefault="00C91FF8" w:rsidP="00C91FF8">
      <w:pPr>
        <w:pStyle w:val="Bullets"/>
        <w:numPr>
          <w:ilvl w:val="0"/>
          <w:numId w:val="38"/>
        </w:numPr>
      </w:pPr>
      <w:r>
        <w:t>Identifying any major changes to the context within which maternity services are provided in Australia, including international developments which might influence maternity services in Australia.</w:t>
      </w:r>
    </w:p>
    <w:p w14:paraId="00B096B1" w14:textId="77777777" w:rsidR="00C91FF8" w:rsidRDefault="00C91FF8" w:rsidP="00C91FF8">
      <w:pPr>
        <w:pStyle w:val="Bullets"/>
        <w:numPr>
          <w:ilvl w:val="0"/>
          <w:numId w:val="38"/>
        </w:numPr>
      </w:pPr>
      <w:r>
        <w:t>Serving as a data source for answering each of the five key evaluation questions in the Strategy.</w:t>
      </w:r>
    </w:p>
    <w:p w14:paraId="1191BA54" w14:textId="77777777" w:rsidR="00C91FF8" w:rsidRDefault="00C91FF8" w:rsidP="00C91FF8">
      <w:pPr>
        <w:spacing w:after="120"/>
      </w:pPr>
      <w:r>
        <w:t>Important</w:t>
      </w:r>
      <w:r w:rsidRPr="00E16315">
        <w:t xml:space="preserve"> sources of information include</w:t>
      </w:r>
      <w:r>
        <w:t xml:space="preserve">d </w:t>
      </w:r>
      <w:r w:rsidRPr="00E16315">
        <w:t xml:space="preserve">expert advice relating to the development of related monitoring and evaluation frameworks; data development activities; and seminal academic and practice documents </w:t>
      </w:r>
      <w:r w:rsidRPr="00E16315">
        <w:lastRenderedPageBreak/>
        <w:t xml:space="preserve">associated with the Strategy and maternity services more generally, including woman-reported experiences and outcomes of maternity care. </w:t>
      </w:r>
      <w:r>
        <w:t xml:space="preserve">The environmental scan was informed by the existing knowledge of the evaluation team and </w:t>
      </w:r>
      <w:r w:rsidRPr="00E16315">
        <w:t>capture</w:t>
      </w:r>
      <w:r>
        <w:t>d</w:t>
      </w:r>
      <w:r w:rsidRPr="00E16315">
        <w:t xml:space="preserve"> developments since the Strategy was released</w:t>
      </w:r>
      <w:r>
        <w:t>.</w:t>
      </w:r>
    </w:p>
    <w:p w14:paraId="1EA5DA92" w14:textId="77777777" w:rsidR="00C91FF8" w:rsidRDefault="00C91FF8" w:rsidP="00C91FF8">
      <w:pPr>
        <w:spacing w:after="120"/>
      </w:pPr>
      <w:r>
        <w:t>Scanning was limited to English language documents from the years 2018-2022. Any papers from 2018 referenced in the Strategy were excluded. In some cases, papers published prior to 2018 were included if those papers were not referenced in the Strategy but were considered to be relevant. In addition to Australia, countries considered to be ‘in scope’ for the environmental scan were the United Kingdom, the United States, Ireland, Canada, and New Zealand.</w:t>
      </w:r>
    </w:p>
    <w:p w14:paraId="5BBEDEE7" w14:textId="77777777" w:rsidR="00C91FF8" w:rsidRDefault="00C91FF8" w:rsidP="00C91FF8">
      <w:pPr>
        <w:spacing w:after="120"/>
      </w:pPr>
      <w:r>
        <w:t xml:space="preserve">Medline, </w:t>
      </w:r>
      <w:r w:rsidRPr="007122A4">
        <w:t>CINAHL</w:t>
      </w:r>
      <w:r>
        <w:t xml:space="preserve"> and </w:t>
      </w:r>
      <w:r w:rsidRPr="007122A4">
        <w:t>APA PsycInfo</w:t>
      </w:r>
      <w:r>
        <w:t xml:space="preserve"> were searched using the terms (maternity OR obstetrics OR perinatal OR postpartum OR maternal OR childbirth) AND “clinical practice guidelines”. Sorted by relevance, this produced 960 results, of which the first 500 were scanned.</w:t>
      </w:r>
    </w:p>
    <w:p w14:paraId="447A2D88" w14:textId="77777777" w:rsidR="00C91FF8" w:rsidRDefault="00C91FF8" w:rsidP="00C91FF8">
      <w:pPr>
        <w:spacing w:after="120"/>
      </w:pPr>
      <w:r>
        <w:t>The Advanced Google Search function was used to search .au domains using combinations of the following terms and the results of each search were scanned until no more useful results were identified:</w:t>
      </w:r>
    </w:p>
    <w:p w14:paraId="1E3181E4" w14:textId="77777777" w:rsidR="00C91FF8" w:rsidRDefault="00C91FF8" w:rsidP="00C91FF8">
      <w:pPr>
        <w:pStyle w:val="Bullets"/>
      </w:pPr>
      <w:r>
        <w:t>(</w:t>
      </w:r>
      <w:r w:rsidRPr="00FE06B8">
        <w:t>maternity OR antenatal OR perinatal OR obstetric OR midwife OR pregnancy OR birth OR neonatal OR stillbirth OR “woman-centred”</w:t>
      </w:r>
      <w:r>
        <w:t>)</w:t>
      </w:r>
    </w:p>
    <w:p w14:paraId="6C50C63E" w14:textId="77777777" w:rsidR="00C91FF8" w:rsidRDefault="00C91FF8" w:rsidP="00C91FF8">
      <w:pPr>
        <w:pStyle w:val="Bullets"/>
      </w:pPr>
      <w:r>
        <w:t>(evaluation OR outcomes)</w:t>
      </w:r>
    </w:p>
    <w:p w14:paraId="71D21E20" w14:textId="77777777" w:rsidR="00C91FF8" w:rsidRDefault="00C91FF8" w:rsidP="00C91FF8">
      <w:pPr>
        <w:pStyle w:val="Bullets"/>
      </w:pPr>
      <w:r>
        <w:t>(postnatal AND access)</w:t>
      </w:r>
    </w:p>
    <w:p w14:paraId="24DA9728" w14:textId="77777777" w:rsidR="00C91FF8" w:rsidRDefault="00C91FF8" w:rsidP="00C91FF8">
      <w:pPr>
        <w:pStyle w:val="Bullets"/>
      </w:pPr>
      <w:r>
        <w:t>(postnatal AND innovation)</w:t>
      </w:r>
    </w:p>
    <w:p w14:paraId="70E591CD" w14:textId="77777777" w:rsidR="00C91FF8" w:rsidRDefault="00C91FF8" w:rsidP="00C91FF8">
      <w:pPr>
        <w:pStyle w:val="Bullets"/>
      </w:pPr>
      <w:r>
        <w:t>(</w:t>
      </w:r>
      <w:r w:rsidRPr="00634F7B">
        <w:t xml:space="preserve">improvement </w:t>
      </w:r>
      <w:r>
        <w:t xml:space="preserve">OR </w:t>
      </w:r>
      <w:r w:rsidRPr="00634F7B">
        <w:t xml:space="preserve">outcome </w:t>
      </w:r>
      <w:r>
        <w:t xml:space="preserve">OR </w:t>
      </w:r>
      <w:r w:rsidRPr="00634F7B">
        <w:t xml:space="preserve">evaluation </w:t>
      </w:r>
      <w:r>
        <w:t xml:space="preserve">OR </w:t>
      </w:r>
      <w:r w:rsidRPr="00634F7B">
        <w:t xml:space="preserve">study </w:t>
      </w:r>
      <w:r>
        <w:t xml:space="preserve">OR </w:t>
      </w:r>
      <w:r w:rsidRPr="00634F7B">
        <w:t>research</w:t>
      </w:r>
      <w:r>
        <w:t>)</w:t>
      </w:r>
    </w:p>
    <w:p w14:paraId="32174F1F" w14:textId="77777777" w:rsidR="00C91FF8" w:rsidRDefault="00C91FF8" w:rsidP="00C91FF8">
      <w:pPr>
        <w:pStyle w:val="Bullets"/>
      </w:pPr>
      <w:r w:rsidRPr="00AB4C10">
        <w:t>(</w:t>
      </w:r>
      <w:r>
        <w:t>s</w:t>
      </w:r>
      <w:r w:rsidRPr="00AB4C10">
        <w:t>tandards OR guidelines OR pathways</w:t>
      </w:r>
      <w:r>
        <w:t xml:space="preserve"> OR strategy OR policy</w:t>
      </w:r>
      <w:r w:rsidRPr="00AB4C10">
        <w:t>)</w:t>
      </w:r>
    </w:p>
    <w:p w14:paraId="43433699" w14:textId="77777777" w:rsidR="00C91FF8" w:rsidRDefault="00C91FF8" w:rsidP="00C91FF8">
      <w:r>
        <w:t>Google Scholar was searched using the following terms:</w:t>
      </w:r>
    </w:p>
    <w:p w14:paraId="0492595D" w14:textId="77777777" w:rsidR="00C91FF8" w:rsidRDefault="00C91FF8" w:rsidP="00C91FF8">
      <w:pPr>
        <w:pStyle w:val="Bullets"/>
      </w:pPr>
      <w:r>
        <w:t>“evidence based practice” AND implementation AND maternity AND Australia – first 200 papers scanned.</w:t>
      </w:r>
    </w:p>
    <w:p w14:paraId="7D7AE6B9" w14:textId="77777777" w:rsidR="00C91FF8" w:rsidRDefault="00C91FF8" w:rsidP="00C91FF8">
      <w:pPr>
        <w:pStyle w:val="Bullets"/>
      </w:pPr>
      <w:r>
        <w:t>“evidence based practice” AND implementation AND obstetrics AND Australia – first 200 papers scanned.</w:t>
      </w:r>
    </w:p>
    <w:p w14:paraId="2DC39CB3" w14:textId="61B4F03F" w:rsidR="00A52466" w:rsidRDefault="00C91FF8" w:rsidP="00A52466">
      <w:pPr>
        <w:spacing w:after="120"/>
      </w:pPr>
      <w:r>
        <w:t>In a small number of instances, articles citing what appeared to be particularly relevant papers were identified using Google Scholar</w:t>
      </w:r>
      <w:r w:rsidR="00720781">
        <w:t xml:space="preserve">. </w:t>
      </w:r>
      <w:r>
        <w:t>Citations were downloaded into an Endnote database to keep track of the papers and facilitate referencing.</w:t>
      </w:r>
    </w:p>
    <w:p w14:paraId="1391FE71" w14:textId="3D9A4CDF" w:rsidR="009D77C9" w:rsidRPr="009D77C9" w:rsidRDefault="009D77C9" w:rsidP="00720781">
      <w:pPr>
        <w:spacing w:after="240"/>
        <w:rPr>
          <w:b/>
          <w:bCs/>
          <w:color w:val="0398D7"/>
          <w:szCs w:val="18"/>
        </w:rPr>
      </w:pPr>
      <w:r w:rsidRPr="009D77C9">
        <w:rPr>
          <w:b/>
          <w:bCs/>
          <w:color w:val="0398D7"/>
          <w:szCs w:val="18"/>
        </w:rPr>
        <w:t>Limitations</w:t>
      </w:r>
    </w:p>
    <w:p w14:paraId="453C6C6D" w14:textId="4955B076" w:rsidR="009D77C9" w:rsidRDefault="009D77C9" w:rsidP="009D77C9">
      <w:pPr>
        <w:spacing w:after="120"/>
      </w:pPr>
      <w:r w:rsidRPr="009D77C9">
        <w:rPr>
          <w:b/>
        </w:rPr>
        <w:t xml:space="preserve">Qualitative data. </w:t>
      </w:r>
      <w:r>
        <w:t xml:space="preserve">The environment scan was a purposive search designed to uncover evidence relating to the five key evaluation questions for the monitoring and evaluation project, which were defined in the RFQ. It also sought information about significant changes in the context for the delivery of maternity services in Australia, including strategic initiatives and the impacts of the </w:t>
      </w:r>
      <w:r w:rsidR="008F1C67">
        <w:t xml:space="preserve">COVID-19 </w:t>
      </w:r>
      <w:r>
        <w:t>pandemic. It involved an advanced Google search of domains ending in ‘.au’, plus a key word search of three bibliographic databases. Scanning of the search results was limited to English language documents from the years 2018-2022.  Although this approach has produced useful information to complement and cross-check the findings of the stakeholder interviews, the value of this information is dependent on the quality of the source material, over which we have no control. The goal was to identify ‘new knowledge’ in the public domain since 2019; however, some of these sources utilised data which predated the Strategy. Further, an environment scan is naturally limited by what information is findable.</w:t>
      </w:r>
    </w:p>
    <w:p w14:paraId="558B1D1C" w14:textId="7FD4AA18" w:rsidR="009D77C9" w:rsidRDefault="009D77C9" w:rsidP="009D77C9">
      <w:pPr>
        <w:spacing w:after="120"/>
      </w:pPr>
      <w:r>
        <w:t xml:space="preserve">Not all those invited </w:t>
      </w:r>
      <w:r w:rsidR="00DD4464">
        <w:t xml:space="preserve">to be interviewed </w:t>
      </w:r>
      <w:r>
        <w:t>were available in the timeframe available for the consultation process.</w:t>
      </w:r>
      <w:r w:rsidR="00DD4464">
        <w:t xml:space="preserve"> </w:t>
      </w:r>
      <w:r>
        <w:t xml:space="preserve">In particular, it is important to note that the time constraints precluded deep engagement with stakeholders representing the interests of </w:t>
      </w:r>
      <w:r w:rsidR="0094459C">
        <w:t xml:space="preserve">Aboriginal and Torres Strait Islander </w:t>
      </w:r>
      <w:r>
        <w:t xml:space="preserve">health professionals, service providers, mothers and families. For similar reasons, it was not possible to achieve strong engagement of stakeholders representing the interests of culturally and linguistically diverse groups including migrant and refugee families. We acknowledge that incorporating the perspectives of these stakeholders will be essential to </w:t>
      </w:r>
      <w:r>
        <w:lastRenderedPageBreak/>
        <w:t xml:space="preserve">ensure that the Baseline Report and implementation plan accurately capture and serve the needs of all Australians, including groups at risk of poor maternity outcomes. We strongly recommend further consultation with these groups by the Department with a timeframe that allows for meaningful and respectful engagement, preferably facilitated by those with appropriate community connections. </w:t>
      </w:r>
    </w:p>
    <w:p w14:paraId="54E898FB" w14:textId="505A74AC" w:rsidR="009D77C9" w:rsidRDefault="009D77C9" w:rsidP="009D77C9">
      <w:pPr>
        <w:spacing w:after="120"/>
      </w:pPr>
      <w:r w:rsidRPr="009D77C9">
        <w:rPr>
          <w:b/>
        </w:rPr>
        <w:t>Quantitative data.</w:t>
      </w:r>
      <w:r>
        <w:t xml:space="preserve"> Baseline and trend data presented in this report are based on publicly available data from two main sources; the National Perinatal Data Collection (NPDC) by Australian Institute of Health and Welfare (AIHW) and the Medicare Benefits Scheme (MBS) items reports obtained from Services Australia. </w:t>
      </w:r>
    </w:p>
    <w:p w14:paraId="7A41BEE7" w14:textId="2091F461" w:rsidR="009D77C9" w:rsidRDefault="009D77C9" w:rsidP="009D77C9">
      <w:pPr>
        <w:spacing w:after="120"/>
      </w:pPr>
      <w:r>
        <w:t>In regard to the NPDC data (from which the National Core Maternity Indicators (NCMI) are derived), this Baseline Report does not include any new analysis rather than reproduces analyses undertaken by AIHW. These analyses come with limitations and caveats which are not repeated here, instead we refer to the specific data notes in</w:t>
      </w:r>
      <w:r w:rsidR="00F66EC6">
        <w:t xml:space="preserve"> </w:t>
      </w:r>
      <w:r w:rsidR="00F66EC6">
        <w:fldChar w:fldCharType="begin"/>
      </w:r>
      <w:r w:rsidR="00F66EC6">
        <w:instrText xml:space="preserve"> REF _Ref119270528 \h </w:instrText>
      </w:r>
      <w:r w:rsidR="00F66EC6">
        <w:fldChar w:fldCharType="separate"/>
      </w:r>
      <w:r w:rsidR="00296988">
        <w:t xml:space="preserve">Appendix </w:t>
      </w:r>
      <w:r w:rsidR="00296988">
        <w:rPr>
          <w:noProof/>
        </w:rPr>
        <w:t>3</w:t>
      </w:r>
      <w:r w:rsidR="00F66EC6">
        <w:fldChar w:fldCharType="end"/>
      </w:r>
      <w:r>
        <w:t xml:space="preserve">. </w:t>
      </w:r>
    </w:p>
    <w:p w14:paraId="5768178E" w14:textId="64CEA802" w:rsidR="009D77C9" w:rsidRDefault="009D77C9" w:rsidP="009D77C9">
      <w:pPr>
        <w:spacing w:after="120"/>
      </w:pPr>
      <w:r>
        <w:t>One of the major limitations of the NPDC data is the time lag until public release</w:t>
      </w:r>
      <w:r w:rsidR="00C91FF8">
        <w:t xml:space="preserve">. </w:t>
      </w:r>
      <w:r w:rsidR="00F964E4">
        <w:t xml:space="preserve">NPDC data are published 18 months after the end of the birth cohort and some data </w:t>
      </w:r>
      <w:r w:rsidR="00C91FF8">
        <w:t>did not become available until</w:t>
      </w:r>
      <w:r>
        <w:t xml:space="preserve"> the final stages of preparing this Baseline Report. </w:t>
      </w:r>
      <w:r w:rsidR="003123B9">
        <w:t>This</w:t>
      </w:r>
      <w:r>
        <w:t xml:space="preserve"> </w:t>
      </w:r>
      <w:r w:rsidR="00E55384">
        <w:t>report</w:t>
      </w:r>
      <w:r>
        <w:t xml:space="preserve"> </w:t>
      </w:r>
      <w:r w:rsidR="003123B9">
        <w:t xml:space="preserve">did not include a </w:t>
      </w:r>
      <w:r>
        <w:t xml:space="preserve">breakdown of the NPDC data by jurisdiction. However, </w:t>
      </w:r>
      <w:r w:rsidR="003123B9">
        <w:t xml:space="preserve">state and territory perinatal data are widely used and reported by the AIHW and other agencies. </w:t>
      </w:r>
    </w:p>
    <w:p w14:paraId="4F5C8172" w14:textId="0A12B777" w:rsidR="009D77C9" w:rsidRDefault="009D77C9" w:rsidP="009D77C9">
      <w:pPr>
        <w:spacing w:after="120"/>
      </w:pPr>
      <w:r>
        <w:t xml:space="preserve">The MBS item reports were downloaded from Services Australia. It should be noted that these reports include all MBS claims by registered providers but exclude services provided by hospital doctors to public patients in public hospitals or certain services provided under Department of Veterans' Affairs National Treatment Account. MBS Items are reported in the time period the claims were processed by Services Australia which may be different to the time period </w:t>
      </w:r>
      <w:r w:rsidR="00C91FF8">
        <w:t xml:space="preserve">in which </w:t>
      </w:r>
      <w:r>
        <w:t>the service was provided.</w:t>
      </w:r>
    </w:p>
    <w:p w14:paraId="050051FB" w14:textId="2ADECA9B" w:rsidR="009D77C9" w:rsidRPr="009D77C9" w:rsidRDefault="009D77C9" w:rsidP="009D77C9">
      <w:pPr>
        <w:spacing w:after="120"/>
      </w:pPr>
      <w:r>
        <w:t>MBS item descriptions can change over time. Where this occurred, these changes were reviewed and if these were deemed minor (e.g. rewording) the MBS item was deemed to persist. If the change was substantial, the item was deemed to be ‘new’ and any previous claims were disregarded. However, the number of claims for MBS items can also be influenced by changes to other, alternative MBS items. MBS items were grouped together into categories to allow better monitoring of services over time.</w:t>
      </w:r>
    </w:p>
    <w:p w14:paraId="1E243FD3" w14:textId="77777777" w:rsidR="009D77C9" w:rsidRDefault="009D77C9">
      <w:pPr>
        <w:rPr>
          <w:b/>
          <w:bCs/>
          <w:color w:val="0398D7"/>
          <w:szCs w:val="18"/>
        </w:rPr>
      </w:pPr>
      <w:r>
        <w:br w:type="page"/>
      </w:r>
    </w:p>
    <w:p w14:paraId="1C051367" w14:textId="6F81CBB8" w:rsidR="00667E0E" w:rsidRDefault="00E16BC2" w:rsidP="00667E0E">
      <w:pPr>
        <w:pStyle w:val="Caption"/>
      </w:pPr>
      <w:bookmarkStart w:id="392" w:name="_Ref121414840"/>
      <w:bookmarkStart w:id="393" w:name="_Toc121415227"/>
      <w:bookmarkStart w:id="394" w:name="_Toc121415230"/>
      <w:r>
        <w:lastRenderedPageBreak/>
        <w:t xml:space="preserve">Appendix </w:t>
      </w:r>
      <w:r>
        <w:fldChar w:fldCharType="begin"/>
      </w:r>
      <w:r>
        <w:instrText>SEQ Appendix \* ARABIC</w:instrText>
      </w:r>
      <w:r>
        <w:fldChar w:fldCharType="separate"/>
      </w:r>
      <w:r w:rsidR="00296988">
        <w:rPr>
          <w:noProof/>
        </w:rPr>
        <w:t>2</w:t>
      </w:r>
      <w:r>
        <w:fldChar w:fldCharType="end"/>
      </w:r>
      <w:bookmarkEnd w:id="392"/>
      <w:r>
        <w:t xml:space="preserve"> </w:t>
      </w:r>
      <w:r>
        <w:tab/>
      </w:r>
      <w:r w:rsidR="00184998">
        <w:t>List of organisations that participated in the consultations</w:t>
      </w:r>
      <w:bookmarkEnd w:id="391"/>
      <w:bookmarkEnd w:id="393"/>
      <w:bookmarkEnd w:id="394"/>
      <w:r w:rsidR="00184998">
        <w:t xml:space="preserve"> </w:t>
      </w:r>
    </w:p>
    <w:tbl>
      <w:tblPr>
        <w:tblStyle w:val="TableGrid"/>
        <w:tblW w:w="0" w:type="auto"/>
        <w:tblBorders>
          <w:top w:val="single" w:sz="4" w:space="0" w:color="0398D7"/>
          <w:left w:val="single" w:sz="4" w:space="0" w:color="0398D7"/>
          <w:bottom w:val="single" w:sz="4" w:space="0" w:color="0398D7"/>
          <w:right w:val="single" w:sz="4" w:space="0" w:color="0398D7"/>
          <w:insideH w:val="single" w:sz="4" w:space="0" w:color="0398D7"/>
          <w:insideV w:val="single" w:sz="4" w:space="0" w:color="0398D7"/>
        </w:tblBorders>
        <w:tblLook w:val="04A0" w:firstRow="1" w:lastRow="0" w:firstColumn="1" w:lastColumn="0" w:noHBand="0" w:noVBand="1"/>
      </w:tblPr>
      <w:tblGrid>
        <w:gridCol w:w="9855"/>
      </w:tblGrid>
      <w:tr w:rsidR="00667E0E" w:rsidRPr="00103CC0" w14:paraId="0FB82DDF" w14:textId="77777777" w:rsidTr="00ED5805">
        <w:trPr>
          <w:trHeight w:val="20"/>
          <w:tblHeader/>
        </w:trPr>
        <w:tc>
          <w:tcPr>
            <w:tcW w:w="9855" w:type="dxa"/>
            <w:shd w:val="clear" w:color="auto" w:fill="0398D7"/>
          </w:tcPr>
          <w:p w14:paraId="09C618F5" w14:textId="77777777" w:rsidR="00667E0E" w:rsidRPr="00103CC0" w:rsidRDefault="00667E0E" w:rsidP="00ED5805">
            <w:pPr>
              <w:spacing w:before="40" w:after="40"/>
              <w:rPr>
                <w:rFonts w:cstheme="minorHAnsi"/>
                <w:b/>
                <w:color w:val="FFFFFF" w:themeColor="background1"/>
                <w:sz w:val="20"/>
                <w:szCs w:val="20"/>
              </w:rPr>
            </w:pPr>
            <w:r w:rsidRPr="00103CC0">
              <w:rPr>
                <w:rFonts w:cstheme="minorHAnsi"/>
                <w:b/>
                <w:color w:val="FFFFFF" w:themeColor="background1"/>
                <w:sz w:val="20"/>
                <w:szCs w:val="20"/>
              </w:rPr>
              <w:t>Specific organisation / agency</w:t>
            </w:r>
          </w:p>
        </w:tc>
      </w:tr>
      <w:tr w:rsidR="00667E0E" w:rsidRPr="00103CC0" w14:paraId="39704DD4" w14:textId="77777777" w:rsidTr="00ED5805">
        <w:trPr>
          <w:trHeight w:val="20"/>
        </w:trPr>
        <w:tc>
          <w:tcPr>
            <w:tcW w:w="0" w:type="auto"/>
          </w:tcPr>
          <w:p w14:paraId="27C486B3" w14:textId="77777777" w:rsidR="00667E0E" w:rsidRPr="00103CC0" w:rsidRDefault="00667E0E" w:rsidP="00ED5805">
            <w:pPr>
              <w:spacing w:before="40" w:after="40"/>
              <w:rPr>
                <w:rFonts w:cstheme="minorHAnsi"/>
                <w:b/>
                <w:sz w:val="20"/>
                <w:szCs w:val="20"/>
              </w:rPr>
            </w:pPr>
            <w:r w:rsidRPr="00103CC0">
              <w:rPr>
                <w:rFonts w:cstheme="minorHAnsi"/>
                <w:b/>
                <w:sz w:val="20"/>
                <w:szCs w:val="20"/>
              </w:rPr>
              <w:t>Senior Officials Group representatives</w:t>
            </w:r>
          </w:p>
        </w:tc>
      </w:tr>
      <w:tr w:rsidR="00667E0E" w:rsidRPr="00103CC0" w14:paraId="0FE7D235" w14:textId="77777777" w:rsidTr="00ED5805">
        <w:trPr>
          <w:trHeight w:val="20"/>
        </w:trPr>
        <w:tc>
          <w:tcPr>
            <w:tcW w:w="0" w:type="auto"/>
          </w:tcPr>
          <w:p w14:paraId="24669ED3" w14:textId="77777777" w:rsidR="00667E0E" w:rsidRPr="009F099F" w:rsidRDefault="00667E0E" w:rsidP="00ED5805">
            <w:pPr>
              <w:spacing w:before="40" w:after="40"/>
              <w:rPr>
                <w:rFonts w:cstheme="minorHAnsi"/>
                <w:sz w:val="20"/>
                <w:szCs w:val="20"/>
              </w:rPr>
            </w:pPr>
            <w:r w:rsidRPr="009F099F">
              <w:rPr>
                <w:rFonts w:cstheme="minorHAnsi"/>
                <w:sz w:val="20"/>
                <w:szCs w:val="20"/>
              </w:rPr>
              <w:t>Department of Health and Aged Care</w:t>
            </w:r>
          </w:p>
        </w:tc>
      </w:tr>
      <w:tr w:rsidR="00667E0E" w:rsidRPr="00103CC0" w14:paraId="530B6DBC" w14:textId="77777777" w:rsidTr="00ED5805">
        <w:trPr>
          <w:trHeight w:val="20"/>
        </w:trPr>
        <w:tc>
          <w:tcPr>
            <w:tcW w:w="9855" w:type="dxa"/>
          </w:tcPr>
          <w:p w14:paraId="4B77EEA8" w14:textId="013E06EB" w:rsidR="00667E0E" w:rsidRPr="00A44627" w:rsidRDefault="009F3A4A" w:rsidP="00ED5805">
            <w:pPr>
              <w:spacing w:before="40" w:after="40"/>
              <w:rPr>
                <w:rFonts w:cstheme="minorHAnsi"/>
                <w:sz w:val="20"/>
                <w:szCs w:val="20"/>
              </w:rPr>
            </w:pPr>
            <w:r w:rsidRPr="00853720">
              <w:rPr>
                <w:rFonts w:cstheme="minorHAnsi"/>
                <w:sz w:val="20"/>
                <w:szCs w:val="20"/>
              </w:rPr>
              <w:t>Australian Capita</w:t>
            </w:r>
            <w:r>
              <w:rPr>
                <w:rFonts w:cstheme="minorHAnsi"/>
                <w:sz w:val="20"/>
                <w:szCs w:val="20"/>
              </w:rPr>
              <w:t>l Territory Health Directorate</w:t>
            </w:r>
          </w:p>
        </w:tc>
      </w:tr>
      <w:tr w:rsidR="00667E0E" w:rsidRPr="00103CC0" w14:paraId="06DBAD0E" w14:textId="77777777" w:rsidTr="00ED5805">
        <w:trPr>
          <w:trHeight w:val="20"/>
        </w:trPr>
        <w:tc>
          <w:tcPr>
            <w:tcW w:w="9855" w:type="dxa"/>
          </w:tcPr>
          <w:p w14:paraId="787DA2CE" w14:textId="439C0597" w:rsidR="00667E0E" w:rsidRPr="0031710A" w:rsidRDefault="00667E0E" w:rsidP="009F3A4A">
            <w:pPr>
              <w:spacing w:before="40" w:after="40"/>
              <w:rPr>
                <w:rFonts w:cstheme="minorHAnsi"/>
                <w:b/>
                <w:sz w:val="20"/>
                <w:szCs w:val="20"/>
              </w:rPr>
            </w:pPr>
            <w:r w:rsidRPr="00103CC0">
              <w:rPr>
                <w:rFonts w:cstheme="minorHAnsi"/>
                <w:sz w:val="20"/>
                <w:szCs w:val="20"/>
              </w:rPr>
              <w:t xml:space="preserve">New South Wales </w:t>
            </w:r>
            <w:r w:rsidR="009F3A4A">
              <w:rPr>
                <w:rFonts w:cstheme="minorHAnsi"/>
                <w:sz w:val="20"/>
                <w:szCs w:val="20"/>
              </w:rPr>
              <w:t>Ministry</w:t>
            </w:r>
            <w:r w:rsidR="009F3A4A" w:rsidRPr="00103CC0">
              <w:rPr>
                <w:rFonts w:cstheme="minorHAnsi"/>
                <w:sz w:val="20"/>
                <w:szCs w:val="20"/>
              </w:rPr>
              <w:t xml:space="preserve"> </w:t>
            </w:r>
            <w:r w:rsidRPr="00103CC0">
              <w:rPr>
                <w:rFonts w:cstheme="minorHAnsi"/>
                <w:sz w:val="20"/>
                <w:szCs w:val="20"/>
              </w:rPr>
              <w:t>of Health</w:t>
            </w:r>
          </w:p>
        </w:tc>
      </w:tr>
      <w:tr w:rsidR="00667E0E" w:rsidRPr="00103CC0" w14:paraId="446BE917" w14:textId="77777777" w:rsidTr="00ED5805">
        <w:trPr>
          <w:trHeight w:val="20"/>
        </w:trPr>
        <w:tc>
          <w:tcPr>
            <w:tcW w:w="9855" w:type="dxa"/>
          </w:tcPr>
          <w:p w14:paraId="348A9B13" w14:textId="77777777" w:rsidR="00667E0E" w:rsidRPr="0031710A" w:rsidRDefault="00667E0E" w:rsidP="00ED5805">
            <w:pPr>
              <w:spacing w:before="40" w:after="40"/>
              <w:rPr>
                <w:rFonts w:cstheme="minorHAnsi"/>
                <w:b/>
                <w:sz w:val="20"/>
                <w:szCs w:val="20"/>
              </w:rPr>
            </w:pPr>
            <w:r w:rsidRPr="00103CC0">
              <w:rPr>
                <w:rFonts w:cstheme="minorHAnsi"/>
                <w:sz w:val="20"/>
                <w:szCs w:val="20"/>
              </w:rPr>
              <w:t>Northern Territory Department of Health</w:t>
            </w:r>
          </w:p>
        </w:tc>
      </w:tr>
      <w:tr w:rsidR="00667E0E" w:rsidRPr="00103CC0" w14:paraId="162F1B07" w14:textId="77777777" w:rsidTr="00ED5805">
        <w:trPr>
          <w:trHeight w:val="20"/>
        </w:trPr>
        <w:tc>
          <w:tcPr>
            <w:tcW w:w="9855" w:type="dxa"/>
          </w:tcPr>
          <w:p w14:paraId="7AD9F23D" w14:textId="77777777" w:rsidR="00667E0E" w:rsidRPr="0031710A" w:rsidRDefault="00667E0E" w:rsidP="00ED5805">
            <w:pPr>
              <w:spacing w:before="40" w:after="40"/>
              <w:rPr>
                <w:rFonts w:cstheme="minorHAnsi"/>
                <w:b/>
                <w:sz w:val="20"/>
                <w:szCs w:val="20"/>
              </w:rPr>
            </w:pPr>
            <w:r w:rsidRPr="00103CC0">
              <w:rPr>
                <w:rFonts w:cstheme="minorHAnsi"/>
                <w:sz w:val="20"/>
                <w:szCs w:val="20"/>
              </w:rPr>
              <w:t>Queensland Department of Health</w:t>
            </w:r>
          </w:p>
        </w:tc>
      </w:tr>
      <w:tr w:rsidR="00667E0E" w:rsidRPr="00103CC0" w14:paraId="5340646A" w14:textId="77777777" w:rsidTr="00ED5805">
        <w:trPr>
          <w:trHeight w:val="20"/>
        </w:trPr>
        <w:tc>
          <w:tcPr>
            <w:tcW w:w="9855" w:type="dxa"/>
          </w:tcPr>
          <w:p w14:paraId="282CA19A" w14:textId="77777777" w:rsidR="00667E0E" w:rsidRPr="00103CC0" w:rsidRDefault="00667E0E" w:rsidP="00ED5805">
            <w:pPr>
              <w:spacing w:before="40" w:after="40"/>
              <w:rPr>
                <w:rFonts w:cstheme="minorHAnsi"/>
                <w:sz w:val="20"/>
                <w:szCs w:val="20"/>
              </w:rPr>
            </w:pPr>
            <w:r w:rsidRPr="00103CC0">
              <w:rPr>
                <w:rFonts w:cstheme="minorHAnsi"/>
                <w:sz w:val="20"/>
                <w:szCs w:val="20"/>
              </w:rPr>
              <w:t>South Australian Department of Health</w:t>
            </w:r>
          </w:p>
        </w:tc>
      </w:tr>
      <w:tr w:rsidR="00667E0E" w:rsidRPr="00103CC0" w14:paraId="3DD4A0FC" w14:textId="77777777" w:rsidTr="00ED5805">
        <w:trPr>
          <w:trHeight w:val="20"/>
        </w:trPr>
        <w:tc>
          <w:tcPr>
            <w:tcW w:w="9855" w:type="dxa"/>
          </w:tcPr>
          <w:p w14:paraId="68591DAF" w14:textId="77777777" w:rsidR="00667E0E" w:rsidRPr="00103CC0" w:rsidRDefault="00667E0E" w:rsidP="00ED5805">
            <w:pPr>
              <w:spacing w:before="40" w:after="40"/>
              <w:rPr>
                <w:rFonts w:cstheme="minorHAnsi"/>
                <w:sz w:val="20"/>
                <w:szCs w:val="20"/>
              </w:rPr>
            </w:pPr>
            <w:r w:rsidRPr="00103CC0">
              <w:rPr>
                <w:rFonts w:cstheme="minorHAnsi"/>
                <w:sz w:val="20"/>
                <w:szCs w:val="20"/>
              </w:rPr>
              <w:t>Tasmanian Department of Health</w:t>
            </w:r>
          </w:p>
        </w:tc>
      </w:tr>
      <w:tr w:rsidR="00667E0E" w:rsidRPr="00103CC0" w14:paraId="651AD96E" w14:textId="77777777" w:rsidTr="00ED5805">
        <w:trPr>
          <w:trHeight w:val="20"/>
        </w:trPr>
        <w:tc>
          <w:tcPr>
            <w:tcW w:w="9855" w:type="dxa"/>
          </w:tcPr>
          <w:p w14:paraId="2130B84B" w14:textId="77777777" w:rsidR="00667E0E" w:rsidRPr="00103CC0" w:rsidRDefault="00667E0E" w:rsidP="00ED5805">
            <w:pPr>
              <w:spacing w:before="40" w:after="40"/>
              <w:rPr>
                <w:rFonts w:cstheme="minorHAnsi"/>
                <w:sz w:val="20"/>
                <w:szCs w:val="20"/>
              </w:rPr>
            </w:pPr>
            <w:r w:rsidRPr="00103CC0">
              <w:rPr>
                <w:rFonts w:cstheme="minorHAnsi"/>
                <w:sz w:val="20"/>
                <w:szCs w:val="20"/>
              </w:rPr>
              <w:t>Victorian Department of Health</w:t>
            </w:r>
          </w:p>
        </w:tc>
      </w:tr>
      <w:tr w:rsidR="00667E0E" w:rsidRPr="00103CC0" w14:paraId="6C69F8BE" w14:textId="77777777" w:rsidTr="00ED5805">
        <w:trPr>
          <w:trHeight w:val="20"/>
        </w:trPr>
        <w:tc>
          <w:tcPr>
            <w:tcW w:w="9855" w:type="dxa"/>
          </w:tcPr>
          <w:p w14:paraId="5214360A" w14:textId="77777777" w:rsidR="00667E0E" w:rsidRPr="00103CC0" w:rsidRDefault="00667E0E" w:rsidP="00ED5805">
            <w:pPr>
              <w:spacing w:before="40" w:after="40"/>
              <w:rPr>
                <w:rFonts w:cstheme="minorHAnsi"/>
                <w:sz w:val="20"/>
                <w:szCs w:val="20"/>
              </w:rPr>
            </w:pPr>
            <w:r w:rsidRPr="00103CC0">
              <w:rPr>
                <w:rFonts w:cstheme="minorHAnsi"/>
                <w:sz w:val="20"/>
                <w:szCs w:val="20"/>
              </w:rPr>
              <w:t>Western Australian Department of Health</w:t>
            </w:r>
          </w:p>
        </w:tc>
      </w:tr>
      <w:tr w:rsidR="00667E0E" w:rsidRPr="00103CC0" w14:paraId="03B03819" w14:textId="77777777" w:rsidTr="00ED5805">
        <w:trPr>
          <w:trHeight w:val="20"/>
        </w:trPr>
        <w:tc>
          <w:tcPr>
            <w:tcW w:w="0" w:type="auto"/>
          </w:tcPr>
          <w:p w14:paraId="38788C6E" w14:textId="77777777" w:rsidR="00667E0E" w:rsidRPr="00103CC0" w:rsidRDefault="00667E0E" w:rsidP="00ED5805">
            <w:pPr>
              <w:spacing w:before="40" w:after="40"/>
              <w:rPr>
                <w:rFonts w:cstheme="minorHAnsi"/>
                <w:b/>
                <w:sz w:val="20"/>
                <w:szCs w:val="20"/>
              </w:rPr>
            </w:pPr>
            <w:r w:rsidRPr="00103CC0">
              <w:rPr>
                <w:rFonts w:cstheme="minorHAnsi"/>
                <w:b/>
                <w:sz w:val="20"/>
                <w:szCs w:val="20"/>
              </w:rPr>
              <w:t>Colleges, NGOs and other key stakeholder groups (</w:t>
            </w:r>
            <w:r>
              <w:rPr>
                <w:rFonts w:cstheme="minorHAnsi"/>
                <w:b/>
                <w:sz w:val="20"/>
                <w:szCs w:val="20"/>
              </w:rPr>
              <w:t xml:space="preserve">in </w:t>
            </w:r>
            <w:r w:rsidRPr="00103CC0">
              <w:rPr>
                <w:rFonts w:cstheme="minorHAnsi"/>
                <w:b/>
                <w:sz w:val="20"/>
                <w:szCs w:val="20"/>
              </w:rPr>
              <w:t>alphabetical order)</w:t>
            </w:r>
          </w:p>
        </w:tc>
      </w:tr>
      <w:tr w:rsidR="00667E0E" w:rsidRPr="00103CC0" w14:paraId="27FDBEA6" w14:textId="77777777" w:rsidTr="00ED5805">
        <w:trPr>
          <w:trHeight w:val="20"/>
        </w:trPr>
        <w:tc>
          <w:tcPr>
            <w:tcW w:w="9855" w:type="dxa"/>
            <w:vAlign w:val="center"/>
          </w:tcPr>
          <w:p w14:paraId="1A64CC49" w14:textId="77777777" w:rsidR="00667E0E" w:rsidRPr="00A44627" w:rsidRDefault="00667E0E" w:rsidP="00ED5805">
            <w:pPr>
              <w:spacing w:before="40" w:after="40"/>
              <w:rPr>
                <w:rFonts w:cstheme="minorHAnsi"/>
                <w:color w:val="000000"/>
                <w:sz w:val="20"/>
                <w:szCs w:val="20"/>
              </w:rPr>
            </w:pPr>
            <w:r w:rsidRPr="00103CC0">
              <w:rPr>
                <w:rFonts w:cstheme="minorHAnsi"/>
                <w:color w:val="000000"/>
                <w:sz w:val="20"/>
                <w:szCs w:val="20"/>
              </w:rPr>
              <w:t>Australian College of Midwives (ACM)</w:t>
            </w:r>
          </w:p>
        </w:tc>
      </w:tr>
      <w:tr w:rsidR="00667E0E" w:rsidRPr="00103CC0" w14:paraId="0C1D1D0F" w14:textId="77777777" w:rsidTr="00ED5805">
        <w:trPr>
          <w:trHeight w:val="20"/>
        </w:trPr>
        <w:tc>
          <w:tcPr>
            <w:tcW w:w="9855" w:type="dxa"/>
          </w:tcPr>
          <w:p w14:paraId="4C87ADA3" w14:textId="77777777" w:rsidR="00667E0E" w:rsidRPr="00A44627" w:rsidRDefault="00667E0E" w:rsidP="00ED5805">
            <w:pPr>
              <w:spacing w:before="40" w:after="40"/>
              <w:rPr>
                <w:rFonts w:cstheme="minorHAnsi"/>
                <w:color w:val="000000"/>
                <w:sz w:val="20"/>
                <w:szCs w:val="20"/>
              </w:rPr>
            </w:pPr>
            <w:r w:rsidRPr="00103CC0">
              <w:rPr>
                <w:rFonts w:cstheme="minorHAnsi"/>
                <w:sz w:val="20"/>
                <w:szCs w:val="20"/>
              </w:rPr>
              <w:t>Australian Commission on Safety and Quality in Health Care</w:t>
            </w:r>
          </w:p>
        </w:tc>
      </w:tr>
      <w:tr w:rsidR="00667E0E" w:rsidRPr="00103CC0" w14:paraId="4ECE823D" w14:textId="77777777" w:rsidTr="00ED5805">
        <w:trPr>
          <w:trHeight w:val="20"/>
        </w:trPr>
        <w:tc>
          <w:tcPr>
            <w:tcW w:w="9855" w:type="dxa"/>
          </w:tcPr>
          <w:p w14:paraId="53F08FEE" w14:textId="77777777" w:rsidR="00667E0E" w:rsidRPr="00A44627" w:rsidRDefault="00667E0E" w:rsidP="00ED5805">
            <w:pPr>
              <w:spacing w:before="40" w:after="40"/>
              <w:rPr>
                <w:rFonts w:cstheme="minorHAnsi"/>
                <w:color w:val="000000"/>
                <w:sz w:val="20"/>
                <w:szCs w:val="20"/>
              </w:rPr>
            </w:pPr>
            <w:r w:rsidRPr="00103CC0">
              <w:rPr>
                <w:rFonts w:cstheme="minorHAnsi"/>
                <w:sz w:val="20"/>
                <w:szCs w:val="20"/>
              </w:rPr>
              <w:t>Australian Institute of Health and Welfare</w:t>
            </w:r>
          </w:p>
        </w:tc>
      </w:tr>
      <w:tr w:rsidR="00667E0E" w:rsidRPr="00103CC0" w14:paraId="0B9F755F" w14:textId="77777777" w:rsidTr="00ED5805">
        <w:trPr>
          <w:trHeight w:val="20"/>
        </w:trPr>
        <w:tc>
          <w:tcPr>
            <w:tcW w:w="9855" w:type="dxa"/>
            <w:vAlign w:val="center"/>
          </w:tcPr>
          <w:p w14:paraId="636743C3" w14:textId="77777777" w:rsidR="00667E0E" w:rsidRPr="00A44627" w:rsidRDefault="00667E0E" w:rsidP="00ED5805">
            <w:pPr>
              <w:spacing w:before="40" w:after="40"/>
              <w:rPr>
                <w:rFonts w:cstheme="minorHAnsi"/>
                <w:color w:val="000000"/>
                <w:sz w:val="20"/>
                <w:szCs w:val="20"/>
              </w:rPr>
            </w:pPr>
            <w:r w:rsidRPr="00103CC0">
              <w:rPr>
                <w:rFonts w:cstheme="minorHAnsi"/>
                <w:color w:val="000000"/>
                <w:sz w:val="20"/>
                <w:szCs w:val="20"/>
              </w:rPr>
              <w:t>Australian College of Rural and Remote Medicine (ACRRM)</w:t>
            </w:r>
          </w:p>
        </w:tc>
      </w:tr>
      <w:tr w:rsidR="00667E0E" w:rsidRPr="00103CC0" w14:paraId="18BE8370" w14:textId="77777777" w:rsidTr="00ED5805">
        <w:trPr>
          <w:trHeight w:val="20"/>
        </w:trPr>
        <w:tc>
          <w:tcPr>
            <w:tcW w:w="9855" w:type="dxa"/>
            <w:vAlign w:val="center"/>
          </w:tcPr>
          <w:p w14:paraId="7F6675B4"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Australian Medical Association (AMA)</w:t>
            </w:r>
          </w:p>
        </w:tc>
      </w:tr>
      <w:tr w:rsidR="00667E0E" w:rsidRPr="00103CC0" w14:paraId="27C4B530" w14:textId="77777777" w:rsidTr="00ED5805">
        <w:trPr>
          <w:trHeight w:val="20"/>
        </w:trPr>
        <w:tc>
          <w:tcPr>
            <w:tcW w:w="9855" w:type="dxa"/>
            <w:vAlign w:val="center"/>
          </w:tcPr>
          <w:p w14:paraId="5FC51BB4"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Australian Nursing and Midwifery Federation (ANMF)</w:t>
            </w:r>
          </w:p>
        </w:tc>
      </w:tr>
      <w:tr w:rsidR="00667E0E" w:rsidRPr="00103CC0" w14:paraId="67992289" w14:textId="77777777" w:rsidTr="00ED5805">
        <w:trPr>
          <w:trHeight w:val="20"/>
        </w:trPr>
        <w:tc>
          <w:tcPr>
            <w:tcW w:w="9855" w:type="dxa"/>
            <w:vAlign w:val="center"/>
          </w:tcPr>
          <w:p w14:paraId="4067C263" w14:textId="77777777" w:rsidR="00667E0E" w:rsidRPr="00B343DA" w:rsidRDefault="00667E0E" w:rsidP="00ED5805">
            <w:pPr>
              <w:spacing w:before="40" w:after="40"/>
              <w:rPr>
                <w:rFonts w:cstheme="minorHAnsi"/>
                <w:i/>
                <w:color w:val="000000"/>
                <w:sz w:val="20"/>
                <w:szCs w:val="20"/>
              </w:rPr>
            </w:pPr>
            <w:r w:rsidRPr="00103CC0">
              <w:rPr>
                <w:rFonts w:cstheme="minorHAnsi"/>
                <w:color w:val="000000"/>
                <w:sz w:val="20"/>
                <w:szCs w:val="20"/>
              </w:rPr>
              <w:t>Australian Preterm Birth Prevention Alliance</w:t>
            </w:r>
          </w:p>
        </w:tc>
      </w:tr>
      <w:tr w:rsidR="00667E0E" w:rsidRPr="00103CC0" w14:paraId="2EF75639" w14:textId="77777777" w:rsidTr="00ED5805">
        <w:trPr>
          <w:trHeight w:val="20"/>
        </w:trPr>
        <w:tc>
          <w:tcPr>
            <w:tcW w:w="9855" w:type="dxa"/>
            <w:vAlign w:val="center"/>
          </w:tcPr>
          <w:p w14:paraId="78CEC20D" w14:textId="77777777" w:rsidR="00667E0E" w:rsidRPr="0031710A" w:rsidRDefault="00667E0E" w:rsidP="00ED5805">
            <w:pPr>
              <w:spacing w:before="40" w:after="40"/>
              <w:rPr>
                <w:rFonts w:cstheme="minorHAnsi"/>
                <w:b/>
                <w:i/>
                <w:color w:val="000000"/>
                <w:sz w:val="20"/>
                <w:szCs w:val="20"/>
              </w:rPr>
            </w:pPr>
            <w:r>
              <w:rPr>
                <w:rFonts w:cstheme="minorHAnsi"/>
                <w:color w:val="000000"/>
                <w:sz w:val="20"/>
                <w:szCs w:val="20"/>
              </w:rPr>
              <w:t>Australian Psychological Society</w:t>
            </w:r>
          </w:p>
        </w:tc>
      </w:tr>
      <w:tr w:rsidR="00667E0E" w:rsidRPr="00103CC0" w14:paraId="41FFB716" w14:textId="77777777" w:rsidTr="00ED5805">
        <w:trPr>
          <w:trHeight w:val="20"/>
        </w:trPr>
        <w:tc>
          <w:tcPr>
            <w:tcW w:w="9855" w:type="dxa"/>
            <w:vAlign w:val="center"/>
          </w:tcPr>
          <w:p w14:paraId="61B398F4"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 xml:space="preserve">Centre of Perinatal Excellence (COPE) </w:t>
            </w:r>
          </w:p>
        </w:tc>
      </w:tr>
      <w:tr w:rsidR="00667E0E" w:rsidRPr="00103CC0" w14:paraId="78E8AE61" w14:textId="77777777" w:rsidTr="00ED5805">
        <w:trPr>
          <w:trHeight w:val="20"/>
        </w:trPr>
        <w:tc>
          <w:tcPr>
            <w:tcW w:w="9855" w:type="dxa"/>
            <w:vAlign w:val="center"/>
          </w:tcPr>
          <w:p w14:paraId="0A1F96CB" w14:textId="77777777" w:rsidR="00667E0E" w:rsidRPr="00103CC0" w:rsidRDefault="00667E0E" w:rsidP="00ED5805">
            <w:pPr>
              <w:spacing w:before="40" w:after="40"/>
              <w:rPr>
                <w:rFonts w:cstheme="minorHAnsi"/>
                <w:color w:val="000000"/>
                <w:sz w:val="20"/>
                <w:szCs w:val="20"/>
              </w:rPr>
            </w:pPr>
            <w:r w:rsidRPr="00103CC0">
              <w:rPr>
                <w:rFonts w:cstheme="minorHAnsi"/>
                <w:color w:val="000000"/>
                <w:sz w:val="20"/>
                <w:szCs w:val="20"/>
              </w:rPr>
              <w:t>Consumer Health Forum</w:t>
            </w:r>
          </w:p>
        </w:tc>
      </w:tr>
      <w:tr w:rsidR="00667E0E" w:rsidRPr="00103CC0" w14:paraId="100ECCAB" w14:textId="77777777" w:rsidTr="00ED5805">
        <w:trPr>
          <w:trHeight w:val="20"/>
        </w:trPr>
        <w:tc>
          <w:tcPr>
            <w:tcW w:w="9855" w:type="dxa"/>
            <w:vAlign w:val="center"/>
          </w:tcPr>
          <w:p w14:paraId="1176A7C4"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 xml:space="preserve">Homebirth Australia </w:t>
            </w:r>
          </w:p>
        </w:tc>
      </w:tr>
      <w:tr w:rsidR="00667E0E" w:rsidRPr="00103CC0" w14:paraId="6545AA9F" w14:textId="77777777" w:rsidTr="00ED5805">
        <w:trPr>
          <w:trHeight w:val="20"/>
        </w:trPr>
        <w:tc>
          <w:tcPr>
            <w:tcW w:w="9855" w:type="dxa"/>
            <w:vAlign w:val="center"/>
          </w:tcPr>
          <w:p w14:paraId="22CE7405" w14:textId="77777777" w:rsidR="00667E0E" w:rsidRPr="00AA1F83" w:rsidRDefault="00667E0E" w:rsidP="00ED5805">
            <w:pPr>
              <w:spacing w:before="40" w:after="40"/>
              <w:rPr>
                <w:rFonts w:cstheme="minorHAnsi"/>
                <w:color w:val="333333"/>
                <w:sz w:val="20"/>
                <w:szCs w:val="20"/>
              </w:rPr>
            </w:pPr>
            <w:r w:rsidRPr="00103CC0">
              <w:rPr>
                <w:rFonts w:cstheme="minorHAnsi"/>
                <w:color w:val="333333"/>
                <w:sz w:val="20"/>
                <w:szCs w:val="20"/>
              </w:rPr>
              <w:t>Maternal Child and Family Health Nurses Australia (MCaFHNA)</w:t>
            </w:r>
          </w:p>
        </w:tc>
      </w:tr>
      <w:tr w:rsidR="00667E0E" w:rsidRPr="00103CC0" w14:paraId="35166D8D" w14:textId="77777777" w:rsidTr="00ED5805">
        <w:trPr>
          <w:trHeight w:val="20"/>
        </w:trPr>
        <w:tc>
          <w:tcPr>
            <w:tcW w:w="9855" w:type="dxa"/>
            <w:vAlign w:val="center"/>
          </w:tcPr>
          <w:p w14:paraId="3CAF888D"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 xml:space="preserve">Maternal Health Matters </w:t>
            </w:r>
          </w:p>
        </w:tc>
      </w:tr>
      <w:tr w:rsidR="00667E0E" w:rsidRPr="00103CC0" w14:paraId="12FD0D22" w14:textId="77777777" w:rsidTr="00ED5805">
        <w:trPr>
          <w:trHeight w:val="20"/>
        </w:trPr>
        <w:tc>
          <w:tcPr>
            <w:tcW w:w="9855" w:type="dxa"/>
            <w:vAlign w:val="center"/>
          </w:tcPr>
          <w:p w14:paraId="38759C61"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Maternity Choices Australia</w:t>
            </w:r>
          </w:p>
        </w:tc>
      </w:tr>
      <w:tr w:rsidR="00667E0E" w:rsidRPr="00103CC0" w14:paraId="036C666C" w14:textId="77777777" w:rsidTr="00ED5805">
        <w:trPr>
          <w:trHeight w:val="20"/>
        </w:trPr>
        <w:tc>
          <w:tcPr>
            <w:tcW w:w="9855" w:type="dxa"/>
            <w:vAlign w:val="center"/>
          </w:tcPr>
          <w:p w14:paraId="10ED874E"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Maternity Consumer Network</w:t>
            </w:r>
          </w:p>
        </w:tc>
      </w:tr>
      <w:tr w:rsidR="00667E0E" w:rsidRPr="00103CC0" w14:paraId="1228CA6F" w14:textId="77777777" w:rsidTr="00ED5805">
        <w:trPr>
          <w:trHeight w:val="20"/>
        </w:trPr>
        <w:tc>
          <w:tcPr>
            <w:tcW w:w="9855" w:type="dxa"/>
            <w:vAlign w:val="center"/>
          </w:tcPr>
          <w:p w14:paraId="70A201B7" w14:textId="77777777" w:rsidR="00667E0E" w:rsidRPr="0031710A" w:rsidRDefault="00667E0E" w:rsidP="00ED5805">
            <w:pPr>
              <w:spacing w:before="40" w:after="40"/>
              <w:rPr>
                <w:rFonts w:cstheme="minorHAnsi"/>
                <w:b/>
                <w:i/>
                <w:color w:val="000000"/>
                <w:sz w:val="20"/>
                <w:szCs w:val="20"/>
              </w:rPr>
            </w:pPr>
            <w:r>
              <w:rPr>
                <w:rFonts w:cstheme="minorHAnsi"/>
                <w:color w:val="000000"/>
                <w:sz w:val="20"/>
                <w:szCs w:val="20"/>
              </w:rPr>
              <w:t xml:space="preserve">Maternity policy expert </w:t>
            </w:r>
          </w:p>
        </w:tc>
      </w:tr>
      <w:tr w:rsidR="00667E0E" w:rsidRPr="00103CC0" w14:paraId="68151D0D" w14:textId="77777777" w:rsidTr="00ED5805">
        <w:trPr>
          <w:trHeight w:val="20"/>
        </w:trPr>
        <w:tc>
          <w:tcPr>
            <w:tcW w:w="9855" w:type="dxa"/>
          </w:tcPr>
          <w:p w14:paraId="41EACF07" w14:textId="77777777" w:rsidR="00667E0E" w:rsidRPr="00037042" w:rsidRDefault="00667E0E" w:rsidP="00ED5805">
            <w:pPr>
              <w:spacing w:before="40" w:after="40"/>
              <w:rPr>
                <w:rFonts w:cstheme="minorHAnsi"/>
                <w:sz w:val="20"/>
                <w:szCs w:val="20"/>
              </w:rPr>
            </w:pPr>
            <w:r w:rsidRPr="00037042">
              <w:rPr>
                <w:rFonts w:cstheme="minorHAnsi"/>
                <w:sz w:val="20"/>
                <w:szCs w:val="20"/>
                <w:shd w:val="clear" w:color="auto" w:fill="FFFFFF"/>
              </w:rPr>
              <w:t>Molly </w:t>
            </w:r>
            <w:r w:rsidRPr="00037042">
              <w:rPr>
                <w:rStyle w:val="Strong"/>
                <w:rFonts w:eastAsiaTheme="majorEastAsia" w:cstheme="minorHAnsi"/>
                <w:b w:val="0"/>
                <w:sz w:val="20"/>
                <w:szCs w:val="20"/>
                <w:shd w:val="clear" w:color="auto" w:fill="FFFFFF"/>
              </w:rPr>
              <w:t>Wardaguga</w:t>
            </w:r>
            <w:r w:rsidRPr="00037042">
              <w:rPr>
                <w:rFonts w:cstheme="minorHAnsi"/>
                <w:b/>
                <w:sz w:val="20"/>
                <w:szCs w:val="20"/>
                <w:shd w:val="clear" w:color="auto" w:fill="FFFFFF"/>
              </w:rPr>
              <w:t> </w:t>
            </w:r>
            <w:r>
              <w:rPr>
                <w:rFonts w:cstheme="minorHAnsi"/>
                <w:sz w:val="20"/>
                <w:szCs w:val="20"/>
                <w:shd w:val="clear" w:color="auto" w:fill="FFFFFF"/>
              </w:rPr>
              <w:t xml:space="preserve">Research Centre </w:t>
            </w:r>
          </w:p>
        </w:tc>
      </w:tr>
      <w:tr w:rsidR="00667E0E" w:rsidRPr="00103CC0" w14:paraId="17BB1977" w14:textId="77777777" w:rsidTr="00ED5805">
        <w:trPr>
          <w:trHeight w:val="20"/>
        </w:trPr>
        <w:tc>
          <w:tcPr>
            <w:tcW w:w="9855" w:type="dxa"/>
          </w:tcPr>
          <w:p w14:paraId="0D086FF1" w14:textId="77777777" w:rsidR="00667E0E" w:rsidRPr="00037042" w:rsidRDefault="00667E0E" w:rsidP="00ED5805">
            <w:pPr>
              <w:spacing w:before="40" w:after="40"/>
              <w:rPr>
                <w:rFonts w:cstheme="minorHAnsi"/>
                <w:sz w:val="20"/>
                <w:szCs w:val="20"/>
              </w:rPr>
            </w:pPr>
            <w:r w:rsidRPr="00037042">
              <w:rPr>
                <w:rFonts w:cstheme="minorHAnsi"/>
                <w:sz w:val="20"/>
                <w:szCs w:val="20"/>
                <w:shd w:val="clear" w:color="auto" w:fill="FFFFFF"/>
              </w:rPr>
              <w:t>My Midwives</w:t>
            </w:r>
          </w:p>
        </w:tc>
      </w:tr>
      <w:tr w:rsidR="00667E0E" w:rsidRPr="00103CC0" w14:paraId="68CDAEC9" w14:textId="77777777" w:rsidTr="00ED5805">
        <w:trPr>
          <w:trHeight w:val="20"/>
        </w:trPr>
        <w:tc>
          <w:tcPr>
            <w:tcW w:w="9855" w:type="dxa"/>
            <w:vAlign w:val="center"/>
          </w:tcPr>
          <w:p w14:paraId="7FCCA472"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National Association of Specialist Obstetricians and Gynaecologists (NASOG)</w:t>
            </w:r>
          </w:p>
        </w:tc>
      </w:tr>
      <w:tr w:rsidR="00667E0E" w:rsidRPr="00103CC0" w14:paraId="5164EA62" w14:textId="77777777" w:rsidTr="00ED5805">
        <w:trPr>
          <w:trHeight w:val="20"/>
        </w:trPr>
        <w:tc>
          <w:tcPr>
            <w:tcW w:w="9855" w:type="dxa"/>
            <w:vAlign w:val="center"/>
          </w:tcPr>
          <w:p w14:paraId="35B73B26"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Perinatal Society Australia New Zealand (PSANZ)</w:t>
            </w:r>
          </w:p>
        </w:tc>
      </w:tr>
      <w:tr w:rsidR="00667E0E" w:rsidRPr="00103CC0" w14:paraId="0B946727" w14:textId="77777777" w:rsidTr="00ED5805">
        <w:trPr>
          <w:trHeight w:val="20"/>
        </w:trPr>
        <w:tc>
          <w:tcPr>
            <w:tcW w:w="9855" w:type="dxa"/>
            <w:vAlign w:val="center"/>
          </w:tcPr>
          <w:p w14:paraId="278099AE" w14:textId="77777777" w:rsidR="00667E0E" w:rsidRPr="0031710A" w:rsidRDefault="00667E0E" w:rsidP="00ED5805">
            <w:pPr>
              <w:spacing w:before="40" w:after="40"/>
              <w:rPr>
                <w:rFonts w:cstheme="minorHAnsi"/>
                <w:b/>
                <w:color w:val="000000"/>
                <w:sz w:val="20"/>
                <w:szCs w:val="20"/>
              </w:rPr>
            </w:pPr>
            <w:r>
              <w:rPr>
                <w:rFonts w:cstheme="minorHAnsi"/>
                <w:color w:val="000000"/>
                <w:sz w:val="20"/>
                <w:szCs w:val="20"/>
              </w:rPr>
              <w:t>Perinatal Anxiety and Depression Australia (PANDA)</w:t>
            </w:r>
          </w:p>
        </w:tc>
      </w:tr>
      <w:tr w:rsidR="00667E0E" w:rsidRPr="00103CC0" w14:paraId="3566C355" w14:textId="77777777" w:rsidTr="00ED5805">
        <w:trPr>
          <w:trHeight w:val="20"/>
        </w:trPr>
        <w:tc>
          <w:tcPr>
            <w:tcW w:w="9855" w:type="dxa"/>
            <w:vAlign w:val="center"/>
          </w:tcPr>
          <w:p w14:paraId="57460CD2" w14:textId="77777777" w:rsidR="00667E0E" w:rsidRPr="00103CC0" w:rsidRDefault="00667E0E" w:rsidP="00ED5805">
            <w:pPr>
              <w:spacing w:before="40" w:after="40"/>
              <w:rPr>
                <w:rFonts w:cstheme="minorHAnsi"/>
                <w:color w:val="000000"/>
                <w:sz w:val="20"/>
                <w:szCs w:val="20"/>
              </w:rPr>
            </w:pPr>
            <w:r w:rsidRPr="00103CC0">
              <w:rPr>
                <w:rFonts w:cstheme="minorHAnsi"/>
                <w:color w:val="000000"/>
                <w:sz w:val="20"/>
                <w:szCs w:val="20"/>
              </w:rPr>
              <w:t>Royal Australian College of General Practitioners (RACGP)</w:t>
            </w:r>
          </w:p>
        </w:tc>
      </w:tr>
      <w:tr w:rsidR="00667E0E" w:rsidRPr="00103CC0" w14:paraId="0977B0D8" w14:textId="77777777" w:rsidTr="00ED5805">
        <w:trPr>
          <w:trHeight w:val="20"/>
        </w:trPr>
        <w:tc>
          <w:tcPr>
            <w:tcW w:w="9855" w:type="dxa"/>
            <w:vAlign w:val="center"/>
          </w:tcPr>
          <w:p w14:paraId="42607510" w14:textId="77777777" w:rsidR="00667E0E" w:rsidRPr="0031710A" w:rsidRDefault="00667E0E" w:rsidP="00ED5805">
            <w:pPr>
              <w:spacing w:before="40" w:after="40"/>
              <w:rPr>
                <w:rFonts w:cstheme="minorHAnsi"/>
                <w:color w:val="000000"/>
                <w:sz w:val="20"/>
                <w:szCs w:val="20"/>
              </w:rPr>
            </w:pPr>
            <w:r w:rsidRPr="00103CC0">
              <w:rPr>
                <w:rFonts w:cstheme="minorHAnsi"/>
                <w:color w:val="000000"/>
                <w:sz w:val="20"/>
                <w:szCs w:val="20"/>
              </w:rPr>
              <w:t>Royal Australian New Zealand College of Obstetricians &amp; Gynaecologists (RANZCOG)</w:t>
            </w:r>
          </w:p>
        </w:tc>
      </w:tr>
      <w:tr w:rsidR="00667E0E" w:rsidRPr="00103CC0" w14:paraId="49A5D411" w14:textId="77777777" w:rsidTr="00ED5805">
        <w:trPr>
          <w:trHeight w:val="20"/>
        </w:trPr>
        <w:tc>
          <w:tcPr>
            <w:tcW w:w="9855" w:type="dxa"/>
            <w:vAlign w:val="center"/>
          </w:tcPr>
          <w:p w14:paraId="4FC813A0"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Royal Australian New Zealand College of Psychiatrists (RANZCP)</w:t>
            </w:r>
          </w:p>
        </w:tc>
      </w:tr>
      <w:tr w:rsidR="00667E0E" w:rsidRPr="00103CC0" w14:paraId="236A452F" w14:textId="77777777" w:rsidTr="00ED5805">
        <w:trPr>
          <w:trHeight w:val="20"/>
        </w:trPr>
        <w:tc>
          <w:tcPr>
            <w:tcW w:w="9855" w:type="dxa"/>
            <w:vAlign w:val="center"/>
          </w:tcPr>
          <w:p w14:paraId="79C55C13" w14:textId="77777777" w:rsidR="00667E0E" w:rsidRPr="0031710A" w:rsidRDefault="00667E0E" w:rsidP="00ED5805">
            <w:pPr>
              <w:spacing w:before="40" w:after="40"/>
              <w:rPr>
                <w:rFonts w:cstheme="minorHAnsi"/>
                <w:b/>
                <w:color w:val="000000"/>
                <w:sz w:val="20"/>
                <w:szCs w:val="20"/>
              </w:rPr>
            </w:pPr>
            <w:r w:rsidRPr="00103CC0">
              <w:rPr>
                <w:rFonts w:cstheme="minorHAnsi"/>
                <w:color w:val="000000"/>
                <w:sz w:val="20"/>
                <w:szCs w:val="20"/>
              </w:rPr>
              <w:t xml:space="preserve">Women's Healthcare Australasia </w:t>
            </w:r>
          </w:p>
        </w:tc>
      </w:tr>
    </w:tbl>
    <w:p w14:paraId="767AC520" w14:textId="3FB84A3E" w:rsidR="003F6087" w:rsidRDefault="003F6087" w:rsidP="00AC1964"/>
    <w:p w14:paraId="052BC235" w14:textId="77777777" w:rsidR="00C67CC2" w:rsidRDefault="00C67CC2" w:rsidP="00C67CC2">
      <w:pPr>
        <w:rPr>
          <w:lang w:eastAsia="zh-CN" w:bidi="th-TH"/>
        </w:rPr>
        <w:sectPr w:rsidR="00C67CC2" w:rsidSect="0014044D">
          <w:type w:val="continuous"/>
          <w:pgSz w:w="11906" w:h="16838"/>
          <w:pgMar w:top="1021" w:right="1077" w:bottom="1134" w:left="964" w:header="709" w:footer="709" w:gutter="0"/>
          <w:cols w:space="708"/>
          <w:docGrid w:linePitch="360"/>
        </w:sectPr>
      </w:pPr>
      <w:bookmarkStart w:id="395" w:name="_Ref114749024"/>
      <w:bookmarkStart w:id="396" w:name="_Toc115251622"/>
    </w:p>
    <w:p w14:paraId="7D2D2AD0" w14:textId="7FFB5C73" w:rsidR="00AF0ADF" w:rsidRDefault="00E16BC2" w:rsidP="00AF0ADF">
      <w:pPr>
        <w:pStyle w:val="Caption"/>
      </w:pPr>
      <w:bookmarkStart w:id="397" w:name="_Ref119270528"/>
      <w:bookmarkStart w:id="398" w:name="_Toc118299353"/>
      <w:bookmarkStart w:id="399" w:name="_Toc121415228"/>
      <w:bookmarkStart w:id="400" w:name="_Toc121415231"/>
      <w:bookmarkStart w:id="401" w:name="_Ref117093565"/>
      <w:bookmarkStart w:id="402" w:name="_Hlk111797599"/>
      <w:bookmarkEnd w:id="395"/>
      <w:bookmarkEnd w:id="396"/>
      <w:r>
        <w:lastRenderedPageBreak/>
        <w:t xml:space="preserve">Appendix </w:t>
      </w:r>
      <w:r>
        <w:fldChar w:fldCharType="begin"/>
      </w:r>
      <w:r>
        <w:instrText>SEQ Appendix \* ARABIC</w:instrText>
      </w:r>
      <w:r>
        <w:fldChar w:fldCharType="separate"/>
      </w:r>
      <w:r w:rsidR="00296988">
        <w:rPr>
          <w:noProof/>
        </w:rPr>
        <w:t>3</w:t>
      </w:r>
      <w:r>
        <w:fldChar w:fldCharType="end"/>
      </w:r>
      <w:bookmarkEnd w:id="397"/>
      <w:r>
        <w:t xml:space="preserve"> </w:t>
      </w:r>
      <w:r w:rsidR="00EA717F">
        <w:tab/>
      </w:r>
      <w:r w:rsidR="00AF0ADF" w:rsidRPr="004F0088">
        <w:t xml:space="preserve">Additional data </w:t>
      </w:r>
      <w:r w:rsidR="004F0088" w:rsidRPr="004F0088">
        <w:t>on trends over time</w:t>
      </w:r>
      <w:bookmarkEnd w:id="398"/>
      <w:bookmarkEnd w:id="399"/>
      <w:bookmarkEnd w:id="400"/>
    </w:p>
    <w:p w14:paraId="48D06FB6" w14:textId="624B5180" w:rsidR="00AF0ADF" w:rsidRPr="0054118D" w:rsidRDefault="00AF0ADF" w:rsidP="00AF0ADF">
      <w:pPr>
        <w:pStyle w:val="Caption"/>
        <w:rPr>
          <w:sz w:val="20"/>
          <w:szCs w:val="20"/>
        </w:rPr>
      </w:pPr>
      <w:bookmarkStart w:id="403" w:name="_Ref117794696"/>
      <w:bookmarkStart w:id="404" w:name="_Toc121429186"/>
      <w:r w:rsidRPr="0054118D">
        <w:rPr>
          <w:sz w:val="20"/>
          <w:szCs w:val="20"/>
        </w:rPr>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10</w:t>
      </w:r>
      <w:r w:rsidR="00A64FC5" w:rsidRPr="0054118D">
        <w:rPr>
          <w:noProof/>
          <w:sz w:val="20"/>
          <w:szCs w:val="20"/>
        </w:rPr>
        <w:fldChar w:fldCharType="end"/>
      </w:r>
      <w:bookmarkEnd w:id="401"/>
      <w:bookmarkEnd w:id="403"/>
      <w:r w:rsidRPr="0054118D">
        <w:rPr>
          <w:sz w:val="20"/>
          <w:szCs w:val="20"/>
        </w:rPr>
        <w:tab/>
      </w:r>
      <w:bookmarkEnd w:id="402"/>
      <w:r w:rsidRPr="0054118D">
        <w:rPr>
          <w:sz w:val="20"/>
          <w:szCs w:val="20"/>
        </w:rPr>
        <w:t>Smoking in first 20 weeks</w:t>
      </w:r>
      <w:r w:rsidR="0054118D">
        <w:rPr>
          <w:sz w:val="20"/>
          <w:szCs w:val="20"/>
        </w:rPr>
        <w:t>,</w:t>
      </w:r>
      <w:r w:rsidRPr="0054118D">
        <w:rPr>
          <w:sz w:val="20"/>
          <w:szCs w:val="20"/>
        </w:rPr>
        <w:t xml:space="preserve"> all women giving birth (PI01a), 2011–2019</w:t>
      </w:r>
      <w:bookmarkEnd w:id="404"/>
    </w:p>
    <w:tbl>
      <w:tblPr>
        <w:tblStyle w:val="TableGrid"/>
        <w:tblW w:w="5000" w:type="pct"/>
        <w:tblLook w:val="04A0" w:firstRow="1" w:lastRow="0" w:firstColumn="1" w:lastColumn="0" w:noHBand="0" w:noVBand="1"/>
      </w:tblPr>
      <w:tblGrid>
        <w:gridCol w:w="2822"/>
        <w:gridCol w:w="783"/>
        <w:gridCol w:w="783"/>
        <w:gridCol w:w="782"/>
        <w:gridCol w:w="782"/>
        <w:gridCol w:w="782"/>
        <w:gridCol w:w="782"/>
        <w:gridCol w:w="782"/>
        <w:gridCol w:w="782"/>
        <w:gridCol w:w="775"/>
      </w:tblGrid>
      <w:tr w:rsidR="00AF0ADF" w:rsidRPr="00291881" w14:paraId="76E017EE" w14:textId="77777777" w:rsidTr="00B94D3E">
        <w:trPr>
          <w:trHeight w:val="20"/>
        </w:trPr>
        <w:tc>
          <w:tcPr>
            <w:tcW w:w="1431" w:type="pct"/>
            <w:noWrap/>
          </w:tcPr>
          <w:p w14:paraId="7F5A8695" w14:textId="77777777" w:rsidR="00AF0ADF" w:rsidRPr="00291881" w:rsidRDefault="00AF0ADF" w:rsidP="00AF0ADF">
            <w:pPr>
              <w:rPr>
                <w:rFonts w:cstheme="minorHAnsi"/>
                <w:b/>
                <w:bCs/>
                <w:sz w:val="20"/>
                <w:szCs w:val="20"/>
              </w:rPr>
            </w:pPr>
          </w:p>
        </w:tc>
        <w:tc>
          <w:tcPr>
            <w:tcW w:w="397" w:type="pct"/>
            <w:noWrap/>
            <w:vAlign w:val="center"/>
            <w:hideMark/>
          </w:tcPr>
          <w:p w14:paraId="4EEA10CB" w14:textId="77777777" w:rsidR="00AF0ADF" w:rsidRPr="00291881" w:rsidRDefault="00AF0ADF" w:rsidP="00B94D3E">
            <w:pPr>
              <w:jc w:val="center"/>
              <w:rPr>
                <w:rFonts w:cstheme="minorHAnsi"/>
                <w:b/>
                <w:bCs/>
                <w:sz w:val="20"/>
                <w:szCs w:val="20"/>
              </w:rPr>
            </w:pPr>
            <w:r w:rsidRPr="00291881">
              <w:rPr>
                <w:rFonts w:cstheme="minorHAnsi"/>
                <w:b/>
                <w:bCs/>
                <w:sz w:val="20"/>
                <w:szCs w:val="20"/>
              </w:rPr>
              <w:t>2011</w:t>
            </w:r>
          </w:p>
        </w:tc>
        <w:tc>
          <w:tcPr>
            <w:tcW w:w="397" w:type="pct"/>
            <w:noWrap/>
            <w:vAlign w:val="center"/>
            <w:hideMark/>
          </w:tcPr>
          <w:p w14:paraId="04930F98" w14:textId="77777777" w:rsidR="00AF0ADF" w:rsidRPr="00291881" w:rsidRDefault="00AF0ADF" w:rsidP="00B94D3E">
            <w:pPr>
              <w:jc w:val="center"/>
              <w:rPr>
                <w:rFonts w:cstheme="minorHAnsi"/>
                <w:b/>
                <w:bCs/>
                <w:sz w:val="20"/>
                <w:szCs w:val="20"/>
              </w:rPr>
            </w:pPr>
            <w:r w:rsidRPr="00291881">
              <w:rPr>
                <w:rFonts w:cstheme="minorHAnsi"/>
                <w:b/>
                <w:bCs/>
                <w:sz w:val="20"/>
                <w:szCs w:val="20"/>
              </w:rPr>
              <w:t>2012</w:t>
            </w:r>
          </w:p>
        </w:tc>
        <w:tc>
          <w:tcPr>
            <w:tcW w:w="397" w:type="pct"/>
            <w:noWrap/>
            <w:vAlign w:val="center"/>
            <w:hideMark/>
          </w:tcPr>
          <w:p w14:paraId="18C9F783" w14:textId="77777777" w:rsidR="00AF0ADF" w:rsidRPr="00291881" w:rsidRDefault="00AF0ADF" w:rsidP="00B94D3E">
            <w:pPr>
              <w:jc w:val="center"/>
              <w:rPr>
                <w:rFonts w:cstheme="minorHAnsi"/>
                <w:b/>
                <w:bCs/>
                <w:sz w:val="20"/>
                <w:szCs w:val="20"/>
              </w:rPr>
            </w:pPr>
            <w:r w:rsidRPr="00291881">
              <w:rPr>
                <w:rFonts w:cstheme="minorHAnsi"/>
                <w:b/>
                <w:bCs/>
                <w:sz w:val="20"/>
                <w:szCs w:val="20"/>
              </w:rPr>
              <w:t>2013</w:t>
            </w:r>
          </w:p>
        </w:tc>
        <w:tc>
          <w:tcPr>
            <w:tcW w:w="397" w:type="pct"/>
            <w:noWrap/>
            <w:vAlign w:val="center"/>
            <w:hideMark/>
          </w:tcPr>
          <w:p w14:paraId="17292666" w14:textId="77777777" w:rsidR="00AF0ADF" w:rsidRPr="00291881" w:rsidRDefault="00AF0ADF" w:rsidP="00B94D3E">
            <w:pPr>
              <w:jc w:val="center"/>
              <w:rPr>
                <w:rFonts w:cstheme="minorHAnsi"/>
                <w:b/>
                <w:bCs/>
                <w:sz w:val="20"/>
                <w:szCs w:val="20"/>
              </w:rPr>
            </w:pPr>
            <w:r w:rsidRPr="00291881">
              <w:rPr>
                <w:rFonts w:cstheme="minorHAnsi"/>
                <w:b/>
                <w:bCs/>
                <w:sz w:val="20"/>
                <w:szCs w:val="20"/>
              </w:rPr>
              <w:t>2014</w:t>
            </w:r>
          </w:p>
        </w:tc>
        <w:tc>
          <w:tcPr>
            <w:tcW w:w="397" w:type="pct"/>
            <w:noWrap/>
            <w:vAlign w:val="center"/>
            <w:hideMark/>
          </w:tcPr>
          <w:p w14:paraId="20B2C750" w14:textId="77777777" w:rsidR="00AF0ADF" w:rsidRPr="00291881" w:rsidRDefault="00AF0ADF" w:rsidP="00B94D3E">
            <w:pPr>
              <w:jc w:val="center"/>
              <w:rPr>
                <w:rFonts w:cstheme="minorHAnsi"/>
                <w:b/>
                <w:bCs/>
                <w:sz w:val="20"/>
                <w:szCs w:val="20"/>
              </w:rPr>
            </w:pPr>
            <w:r w:rsidRPr="00291881">
              <w:rPr>
                <w:rFonts w:cstheme="minorHAnsi"/>
                <w:b/>
                <w:bCs/>
                <w:sz w:val="20"/>
                <w:szCs w:val="20"/>
              </w:rPr>
              <w:t>2015</w:t>
            </w:r>
          </w:p>
        </w:tc>
        <w:tc>
          <w:tcPr>
            <w:tcW w:w="397" w:type="pct"/>
            <w:noWrap/>
            <w:vAlign w:val="center"/>
            <w:hideMark/>
          </w:tcPr>
          <w:p w14:paraId="0594FAA5" w14:textId="77777777" w:rsidR="00AF0ADF" w:rsidRPr="00291881" w:rsidRDefault="00AF0ADF" w:rsidP="00B94D3E">
            <w:pPr>
              <w:jc w:val="center"/>
              <w:rPr>
                <w:rFonts w:cstheme="minorHAnsi"/>
                <w:b/>
                <w:bCs/>
                <w:sz w:val="20"/>
                <w:szCs w:val="20"/>
              </w:rPr>
            </w:pPr>
            <w:r w:rsidRPr="00291881">
              <w:rPr>
                <w:rFonts w:cstheme="minorHAnsi"/>
                <w:b/>
                <w:bCs/>
                <w:sz w:val="20"/>
                <w:szCs w:val="20"/>
              </w:rPr>
              <w:t>2016</w:t>
            </w:r>
          </w:p>
        </w:tc>
        <w:tc>
          <w:tcPr>
            <w:tcW w:w="397" w:type="pct"/>
            <w:noWrap/>
            <w:vAlign w:val="center"/>
            <w:hideMark/>
          </w:tcPr>
          <w:p w14:paraId="3F60305B" w14:textId="77777777" w:rsidR="00AF0ADF" w:rsidRPr="00291881" w:rsidRDefault="00AF0ADF" w:rsidP="00B94D3E">
            <w:pPr>
              <w:jc w:val="center"/>
              <w:rPr>
                <w:rFonts w:cstheme="minorHAnsi"/>
                <w:b/>
                <w:bCs/>
                <w:sz w:val="20"/>
                <w:szCs w:val="20"/>
              </w:rPr>
            </w:pPr>
            <w:r w:rsidRPr="00291881">
              <w:rPr>
                <w:rFonts w:cstheme="minorHAnsi"/>
                <w:b/>
                <w:bCs/>
                <w:sz w:val="20"/>
                <w:szCs w:val="20"/>
              </w:rPr>
              <w:t>2017</w:t>
            </w:r>
          </w:p>
        </w:tc>
        <w:tc>
          <w:tcPr>
            <w:tcW w:w="397" w:type="pct"/>
            <w:noWrap/>
            <w:vAlign w:val="center"/>
            <w:hideMark/>
          </w:tcPr>
          <w:p w14:paraId="682BF789" w14:textId="77777777" w:rsidR="00AF0ADF" w:rsidRPr="00291881" w:rsidRDefault="00AF0ADF" w:rsidP="00B94D3E">
            <w:pPr>
              <w:jc w:val="center"/>
              <w:rPr>
                <w:rFonts w:cstheme="minorHAnsi"/>
                <w:b/>
                <w:bCs/>
                <w:sz w:val="20"/>
                <w:szCs w:val="20"/>
              </w:rPr>
            </w:pPr>
            <w:r w:rsidRPr="00291881">
              <w:rPr>
                <w:rFonts w:cstheme="minorHAnsi"/>
                <w:b/>
                <w:bCs/>
                <w:sz w:val="20"/>
                <w:szCs w:val="20"/>
              </w:rPr>
              <w:t>2018</w:t>
            </w:r>
          </w:p>
        </w:tc>
        <w:tc>
          <w:tcPr>
            <w:tcW w:w="394" w:type="pct"/>
            <w:noWrap/>
            <w:vAlign w:val="center"/>
            <w:hideMark/>
          </w:tcPr>
          <w:p w14:paraId="79C432DC" w14:textId="77777777" w:rsidR="00AF0ADF" w:rsidRPr="00291881" w:rsidRDefault="00AF0ADF" w:rsidP="00B94D3E">
            <w:pPr>
              <w:jc w:val="center"/>
              <w:rPr>
                <w:rFonts w:cstheme="minorHAnsi"/>
                <w:b/>
                <w:bCs/>
                <w:sz w:val="20"/>
                <w:szCs w:val="20"/>
              </w:rPr>
            </w:pPr>
            <w:r w:rsidRPr="00291881">
              <w:rPr>
                <w:rFonts w:cstheme="minorHAnsi"/>
                <w:b/>
                <w:bCs/>
                <w:sz w:val="20"/>
                <w:szCs w:val="20"/>
              </w:rPr>
              <w:t>2019</w:t>
            </w:r>
          </w:p>
        </w:tc>
      </w:tr>
      <w:tr w:rsidR="00AF0ADF" w:rsidRPr="00291881" w14:paraId="1155946A" w14:textId="77777777" w:rsidTr="00751711">
        <w:trPr>
          <w:trHeight w:val="20"/>
        </w:trPr>
        <w:tc>
          <w:tcPr>
            <w:tcW w:w="1431" w:type="pct"/>
            <w:noWrap/>
          </w:tcPr>
          <w:p w14:paraId="0E0308F7" w14:textId="77777777" w:rsidR="00AF0ADF" w:rsidRPr="00291881" w:rsidRDefault="00AF0ADF" w:rsidP="00AF0ADF">
            <w:pPr>
              <w:rPr>
                <w:rFonts w:cstheme="minorHAnsi"/>
                <w:b/>
                <w:bCs/>
                <w:sz w:val="20"/>
                <w:szCs w:val="20"/>
              </w:rPr>
            </w:pPr>
          </w:p>
        </w:tc>
        <w:tc>
          <w:tcPr>
            <w:tcW w:w="3569" w:type="pct"/>
            <w:gridSpan w:val="9"/>
            <w:noWrap/>
          </w:tcPr>
          <w:p w14:paraId="257B96D1" w14:textId="77777777" w:rsidR="00AF0ADF" w:rsidRPr="00291881" w:rsidRDefault="00AF0ADF" w:rsidP="00AF0ADF">
            <w:pPr>
              <w:jc w:val="center"/>
              <w:rPr>
                <w:rFonts w:cstheme="minorHAnsi"/>
                <w:b/>
                <w:bCs/>
                <w:sz w:val="20"/>
                <w:szCs w:val="20"/>
              </w:rPr>
            </w:pPr>
            <w:r>
              <w:rPr>
                <w:rFonts w:cstheme="minorHAnsi"/>
                <w:b/>
                <w:bCs/>
                <w:sz w:val="20"/>
                <w:szCs w:val="20"/>
              </w:rPr>
              <w:t>In per cent (%)</w:t>
            </w:r>
          </w:p>
        </w:tc>
      </w:tr>
      <w:tr w:rsidR="00AF0ADF" w:rsidRPr="00291881" w14:paraId="6944A8EC" w14:textId="77777777" w:rsidTr="00AF0ADF">
        <w:trPr>
          <w:trHeight w:val="20"/>
        </w:trPr>
        <w:tc>
          <w:tcPr>
            <w:tcW w:w="5000" w:type="pct"/>
            <w:gridSpan w:val="10"/>
            <w:noWrap/>
            <w:hideMark/>
          </w:tcPr>
          <w:p w14:paraId="1B2B5ABC" w14:textId="77777777" w:rsidR="00AF0ADF" w:rsidRPr="00291881" w:rsidRDefault="00AF0ADF" w:rsidP="00AF0ADF">
            <w:pPr>
              <w:rPr>
                <w:rFonts w:cstheme="minorHAnsi"/>
                <w:sz w:val="20"/>
                <w:szCs w:val="20"/>
              </w:rPr>
            </w:pPr>
            <w:r w:rsidRPr="00291881">
              <w:rPr>
                <w:rFonts w:cstheme="minorHAnsi"/>
                <w:b/>
                <w:bCs/>
                <w:sz w:val="20"/>
                <w:szCs w:val="20"/>
              </w:rPr>
              <w:t>Australia</w:t>
            </w:r>
          </w:p>
        </w:tc>
      </w:tr>
      <w:tr w:rsidR="00AF0ADF" w:rsidRPr="00291881" w14:paraId="68774CBD" w14:textId="77777777" w:rsidTr="00751711">
        <w:trPr>
          <w:trHeight w:val="20"/>
        </w:trPr>
        <w:tc>
          <w:tcPr>
            <w:tcW w:w="1431" w:type="pct"/>
            <w:noWrap/>
            <w:hideMark/>
          </w:tcPr>
          <w:p w14:paraId="0A1162A5" w14:textId="77777777" w:rsidR="00AF0ADF" w:rsidRPr="00291881" w:rsidRDefault="00AF0ADF" w:rsidP="00AF0ADF">
            <w:pPr>
              <w:rPr>
                <w:rFonts w:cstheme="minorHAnsi"/>
                <w:sz w:val="20"/>
                <w:szCs w:val="20"/>
              </w:rPr>
            </w:pPr>
            <w:r w:rsidRPr="00291881">
              <w:rPr>
                <w:rFonts w:cstheme="minorHAnsi"/>
                <w:sz w:val="20"/>
                <w:szCs w:val="20"/>
              </w:rPr>
              <w:t>Total</w:t>
            </w:r>
          </w:p>
        </w:tc>
        <w:tc>
          <w:tcPr>
            <w:tcW w:w="397" w:type="pct"/>
            <w:noWrap/>
            <w:hideMark/>
          </w:tcPr>
          <w:p w14:paraId="5801FF8C" w14:textId="77777777" w:rsidR="00AF0ADF" w:rsidRPr="00291881" w:rsidRDefault="00AF0ADF" w:rsidP="00AF0ADF">
            <w:pPr>
              <w:jc w:val="right"/>
              <w:rPr>
                <w:rFonts w:cstheme="minorHAnsi"/>
                <w:sz w:val="20"/>
                <w:szCs w:val="20"/>
              </w:rPr>
            </w:pPr>
            <w:r w:rsidRPr="00291881">
              <w:rPr>
                <w:rFonts w:cstheme="minorHAnsi"/>
                <w:sz w:val="20"/>
                <w:szCs w:val="20"/>
              </w:rPr>
              <w:t>12.9</w:t>
            </w:r>
          </w:p>
        </w:tc>
        <w:tc>
          <w:tcPr>
            <w:tcW w:w="397" w:type="pct"/>
            <w:noWrap/>
            <w:hideMark/>
          </w:tcPr>
          <w:p w14:paraId="5FB5931F" w14:textId="77777777" w:rsidR="00AF0ADF" w:rsidRPr="00291881" w:rsidRDefault="00AF0ADF" w:rsidP="00AF0ADF">
            <w:pPr>
              <w:jc w:val="right"/>
              <w:rPr>
                <w:rFonts w:cstheme="minorHAnsi"/>
                <w:sz w:val="20"/>
                <w:szCs w:val="20"/>
              </w:rPr>
            </w:pPr>
            <w:r w:rsidRPr="00291881">
              <w:rPr>
                <w:rFonts w:cstheme="minorHAnsi"/>
                <w:sz w:val="20"/>
                <w:szCs w:val="20"/>
              </w:rPr>
              <w:t>12.1</w:t>
            </w:r>
          </w:p>
        </w:tc>
        <w:tc>
          <w:tcPr>
            <w:tcW w:w="397" w:type="pct"/>
            <w:noWrap/>
            <w:hideMark/>
          </w:tcPr>
          <w:p w14:paraId="53D9F05D" w14:textId="77777777" w:rsidR="00AF0ADF" w:rsidRPr="00291881" w:rsidRDefault="00AF0ADF" w:rsidP="00AF0ADF">
            <w:pPr>
              <w:jc w:val="right"/>
              <w:rPr>
                <w:rFonts w:cstheme="minorHAnsi"/>
                <w:sz w:val="20"/>
                <w:szCs w:val="20"/>
              </w:rPr>
            </w:pPr>
            <w:r w:rsidRPr="00291881">
              <w:rPr>
                <w:rFonts w:cstheme="minorHAnsi"/>
                <w:sz w:val="20"/>
                <w:szCs w:val="20"/>
              </w:rPr>
              <w:t>11.3</w:t>
            </w:r>
          </w:p>
        </w:tc>
        <w:tc>
          <w:tcPr>
            <w:tcW w:w="397" w:type="pct"/>
            <w:noWrap/>
            <w:hideMark/>
          </w:tcPr>
          <w:p w14:paraId="6AE71366" w14:textId="77777777" w:rsidR="00AF0ADF" w:rsidRPr="00291881" w:rsidRDefault="00AF0ADF" w:rsidP="00AF0ADF">
            <w:pPr>
              <w:jc w:val="right"/>
              <w:rPr>
                <w:rFonts w:cstheme="minorHAnsi"/>
                <w:sz w:val="20"/>
                <w:szCs w:val="20"/>
              </w:rPr>
            </w:pPr>
            <w:r w:rsidRPr="00291881">
              <w:rPr>
                <w:rFonts w:cstheme="minorHAnsi"/>
                <w:sz w:val="20"/>
                <w:szCs w:val="20"/>
              </w:rPr>
              <w:t>10.6</w:t>
            </w:r>
          </w:p>
        </w:tc>
        <w:tc>
          <w:tcPr>
            <w:tcW w:w="397" w:type="pct"/>
            <w:noWrap/>
            <w:hideMark/>
          </w:tcPr>
          <w:p w14:paraId="3DE0144F" w14:textId="77777777" w:rsidR="00AF0ADF" w:rsidRPr="00291881" w:rsidRDefault="00AF0ADF" w:rsidP="00AF0ADF">
            <w:pPr>
              <w:jc w:val="right"/>
              <w:rPr>
                <w:rFonts w:cstheme="minorHAnsi"/>
                <w:sz w:val="20"/>
                <w:szCs w:val="20"/>
              </w:rPr>
            </w:pPr>
            <w:r w:rsidRPr="00291881">
              <w:rPr>
                <w:rFonts w:cstheme="minorHAnsi"/>
                <w:sz w:val="20"/>
                <w:szCs w:val="20"/>
              </w:rPr>
              <w:t>10.1</w:t>
            </w:r>
          </w:p>
        </w:tc>
        <w:tc>
          <w:tcPr>
            <w:tcW w:w="397" w:type="pct"/>
            <w:noWrap/>
            <w:hideMark/>
          </w:tcPr>
          <w:p w14:paraId="5877F609" w14:textId="77777777" w:rsidR="00AF0ADF" w:rsidRPr="00291881" w:rsidRDefault="00AF0ADF" w:rsidP="00AF0ADF">
            <w:pPr>
              <w:jc w:val="right"/>
              <w:rPr>
                <w:rFonts w:cstheme="minorHAnsi"/>
                <w:sz w:val="20"/>
                <w:szCs w:val="20"/>
              </w:rPr>
            </w:pPr>
            <w:r w:rsidRPr="00291881">
              <w:rPr>
                <w:rFonts w:cstheme="minorHAnsi"/>
                <w:sz w:val="20"/>
                <w:szCs w:val="20"/>
              </w:rPr>
              <w:t>9.5</w:t>
            </w:r>
          </w:p>
        </w:tc>
        <w:tc>
          <w:tcPr>
            <w:tcW w:w="397" w:type="pct"/>
            <w:noWrap/>
            <w:hideMark/>
          </w:tcPr>
          <w:p w14:paraId="0D26A139" w14:textId="77777777" w:rsidR="00AF0ADF" w:rsidRPr="00291881" w:rsidRDefault="00AF0ADF" w:rsidP="00AF0ADF">
            <w:pPr>
              <w:jc w:val="right"/>
              <w:rPr>
                <w:rFonts w:cstheme="minorHAnsi"/>
                <w:sz w:val="20"/>
                <w:szCs w:val="20"/>
              </w:rPr>
            </w:pPr>
            <w:r w:rsidRPr="00291881">
              <w:rPr>
                <w:rFonts w:cstheme="minorHAnsi"/>
                <w:sz w:val="20"/>
                <w:szCs w:val="20"/>
              </w:rPr>
              <w:t>9.5</w:t>
            </w:r>
          </w:p>
        </w:tc>
        <w:tc>
          <w:tcPr>
            <w:tcW w:w="397" w:type="pct"/>
            <w:noWrap/>
            <w:hideMark/>
          </w:tcPr>
          <w:p w14:paraId="1E03B50B" w14:textId="77777777" w:rsidR="00AF0ADF" w:rsidRPr="00291881" w:rsidRDefault="00AF0ADF" w:rsidP="00AF0ADF">
            <w:pPr>
              <w:jc w:val="right"/>
              <w:rPr>
                <w:rFonts w:cstheme="minorHAnsi"/>
                <w:sz w:val="20"/>
                <w:szCs w:val="20"/>
              </w:rPr>
            </w:pPr>
            <w:r w:rsidRPr="00291881">
              <w:rPr>
                <w:rFonts w:cstheme="minorHAnsi"/>
                <w:sz w:val="20"/>
                <w:szCs w:val="20"/>
              </w:rPr>
              <w:t>9.2</w:t>
            </w:r>
          </w:p>
        </w:tc>
        <w:tc>
          <w:tcPr>
            <w:tcW w:w="394" w:type="pct"/>
            <w:noWrap/>
            <w:hideMark/>
          </w:tcPr>
          <w:p w14:paraId="0F45165B" w14:textId="77777777" w:rsidR="00AF0ADF" w:rsidRPr="00291881" w:rsidRDefault="00AF0ADF" w:rsidP="00AF0ADF">
            <w:pPr>
              <w:jc w:val="right"/>
              <w:rPr>
                <w:rFonts w:cstheme="minorHAnsi"/>
                <w:sz w:val="20"/>
                <w:szCs w:val="20"/>
              </w:rPr>
            </w:pPr>
            <w:r w:rsidRPr="00291881">
              <w:rPr>
                <w:rFonts w:cstheme="minorHAnsi"/>
                <w:sz w:val="20"/>
                <w:szCs w:val="20"/>
              </w:rPr>
              <w:t>9.0</w:t>
            </w:r>
          </w:p>
        </w:tc>
      </w:tr>
      <w:tr w:rsidR="00AF0ADF" w:rsidRPr="00291881" w14:paraId="678B0CCF" w14:textId="77777777" w:rsidTr="00AF0ADF">
        <w:trPr>
          <w:trHeight w:val="20"/>
        </w:trPr>
        <w:tc>
          <w:tcPr>
            <w:tcW w:w="5000" w:type="pct"/>
            <w:gridSpan w:val="10"/>
            <w:noWrap/>
            <w:hideMark/>
          </w:tcPr>
          <w:p w14:paraId="43C7EAE4" w14:textId="77777777" w:rsidR="00AF0ADF" w:rsidRPr="00291881" w:rsidRDefault="00AF0ADF" w:rsidP="00AF0ADF">
            <w:pPr>
              <w:rPr>
                <w:rFonts w:cstheme="minorHAnsi"/>
                <w:sz w:val="20"/>
                <w:szCs w:val="20"/>
              </w:rPr>
            </w:pPr>
            <w:r w:rsidRPr="00291881">
              <w:rPr>
                <w:rFonts w:cstheme="minorHAnsi"/>
                <w:b/>
                <w:bCs/>
                <w:sz w:val="20"/>
                <w:szCs w:val="20"/>
              </w:rPr>
              <w:t>Mother's age at birth</w:t>
            </w:r>
          </w:p>
        </w:tc>
      </w:tr>
      <w:tr w:rsidR="00AF0ADF" w:rsidRPr="00291881" w14:paraId="2598A6C0" w14:textId="77777777" w:rsidTr="00751711">
        <w:trPr>
          <w:trHeight w:val="20"/>
        </w:trPr>
        <w:tc>
          <w:tcPr>
            <w:tcW w:w="1431" w:type="pct"/>
            <w:noWrap/>
            <w:hideMark/>
          </w:tcPr>
          <w:p w14:paraId="5C775530" w14:textId="77777777" w:rsidR="00AF0ADF" w:rsidRPr="00291881" w:rsidRDefault="00AF0ADF" w:rsidP="00AF0ADF">
            <w:pPr>
              <w:rPr>
                <w:rFonts w:cstheme="minorHAnsi"/>
                <w:sz w:val="20"/>
                <w:szCs w:val="20"/>
              </w:rPr>
            </w:pPr>
            <w:r w:rsidRPr="00291881">
              <w:rPr>
                <w:rFonts w:cstheme="minorHAnsi"/>
                <w:sz w:val="20"/>
                <w:szCs w:val="20"/>
              </w:rPr>
              <w:t>Younger than 20</w:t>
            </w:r>
          </w:p>
        </w:tc>
        <w:tc>
          <w:tcPr>
            <w:tcW w:w="397" w:type="pct"/>
            <w:noWrap/>
            <w:hideMark/>
          </w:tcPr>
          <w:p w14:paraId="690BF32B" w14:textId="77777777" w:rsidR="00AF0ADF" w:rsidRPr="00291881" w:rsidRDefault="00AF0ADF" w:rsidP="00AF0ADF">
            <w:pPr>
              <w:jc w:val="right"/>
              <w:rPr>
                <w:rFonts w:cstheme="minorHAnsi"/>
                <w:sz w:val="20"/>
                <w:szCs w:val="20"/>
              </w:rPr>
            </w:pPr>
            <w:r w:rsidRPr="00291881">
              <w:rPr>
                <w:rFonts w:cstheme="minorHAnsi"/>
                <w:sz w:val="20"/>
                <w:szCs w:val="20"/>
              </w:rPr>
              <w:t>35.7</w:t>
            </w:r>
          </w:p>
        </w:tc>
        <w:tc>
          <w:tcPr>
            <w:tcW w:w="397" w:type="pct"/>
            <w:noWrap/>
            <w:hideMark/>
          </w:tcPr>
          <w:p w14:paraId="0A7CA592" w14:textId="77777777" w:rsidR="00AF0ADF" w:rsidRPr="00291881" w:rsidRDefault="00AF0ADF" w:rsidP="00AF0ADF">
            <w:pPr>
              <w:jc w:val="right"/>
              <w:rPr>
                <w:rFonts w:cstheme="minorHAnsi"/>
                <w:sz w:val="20"/>
                <w:szCs w:val="20"/>
              </w:rPr>
            </w:pPr>
            <w:r w:rsidRPr="00291881">
              <w:rPr>
                <w:rFonts w:cstheme="minorHAnsi"/>
                <w:sz w:val="20"/>
                <w:szCs w:val="20"/>
              </w:rPr>
              <w:t>34.6</w:t>
            </w:r>
          </w:p>
        </w:tc>
        <w:tc>
          <w:tcPr>
            <w:tcW w:w="397" w:type="pct"/>
            <w:noWrap/>
            <w:hideMark/>
          </w:tcPr>
          <w:p w14:paraId="6AE8898F" w14:textId="77777777" w:rsidR="00AF0ADF" w:rsidRPr="00291881" w:rsidRDefault="00AF0ADF" w:rsidP="00AF0ADF">
            <w:pPr>
              <w:jc w:val="right"/>
              <w:rPr>
                <w:rFonts w:cstheme="minorHAnsi"/>
                <w:sz w:val="20"/>
                <w:szCs w:val="20"/>
              </w:rPr>
            </w:pPr>
            <w:r w:rsidRPr="00291881">
              <w:rPr>
                <w:rFonts w:cstheme="minorHAnsi"/>
                <w:sz w:val="20"/>
                <w:szCs w:val="20"/>
              </w:rPr>
              <w:t>33.6</w:t>
            </w:r>
          </w:p>
        </w:tc>
        <w:tc>
          <w:tcPr>
            <w:tcW w:w="397" w:type="pct"/>
            <w:noWrap/>
            <w:hideMark/>
          </w:tcPr>
          <w:p w14:paraId="75F223A3" w14:textId="77777777" w:rsidR="00AF0ADF" w:rsidRPr="00291881" w:rsidRDefault="00AF0ADF" w:rsidP="00AF0ADF">
            <w:pPr>
              <w:jc w:val="right"/>
              <w:rPr>
                <w:rFonts w:cstheme="minorHAnsi"/>
                <w:sz w:val="20"/>
                <w:szCs w:val="20"/>
              </w:rPr>
            </w:pPr>
            <w:r w:rsidRPr="00291881">
              <w:rPr>
                <w:rFonts w:cstheme="minorHAnsi"/>
                <w:sz w:val="20"/>
                <w:szCs w:val="20"/>
              </w:rPr>
              <w:t>32.0</w:t>
            </w:r>
          </w:p>
        </w:tc>
        <w:tc>
          <w:tcPr>
            <w:tcW w:w="397" w:type="pct"/>
            <w:noWrap/>
            <w:hideMark/>
          </w:tcPr>
          <w:p w14:paraId="654E2B9C" w14:textId="77777777" w:rsidR="00AF0ADF" w:rsidRPr="00291881" w:rsidRDefault="00AF0ADF" w:rsidP="00AF0ADF">
            <w:pPr>
              <w:jc w:val="right"/>
              <w:rPr>
                <w:rFonts w:cstheme="minorHAnsi"/>
                <w:sz w:val="20"/>
                <w:szCs w:val="20"/>
              </w:rPr>
            </w:pPr>
            <w:r w:rsidRPr="00291881">
              <w:rPr>
                <w:rFonts w:cstheme="minorHAnsi"/>
                <w:sz w:val="20"/>
                <w:szCs w:val="20"/>
              </w:rPr>
              <w:t>32.3</w:t>
            </w:r>
          </w:p>
        </w:tc>
        <w:tc>
          <w:tcPr>
            <w:tcW w:w="397" w:type="pct"/>
            <w:noWrap/>
            <w:hideMark/>
          </w:tcPr>
          <w:p w14:paraId="02EBE235" w14:textId="77777777" w:rsidR="00AF0ADF" w:rsidRPr="00291881" w:rsidRDefault="00AF0ADF" w:rsidP="00AF0ADF">
            <w:pPr>
              <w:jc w:val="right"/>
              <w:rPr>
                <w:rFonts w:cstheme="minorHAnsi"/>
                <w:sz w:val="20"/>
                <w:szCs w:val="20"/>
              </w:rPr>
            </w:pPr>
            <w:r w:rsidRPr="00291881">
              <w:rPr>
                <w:rFonts w:cstheme="minorHAnsi"/>
                <w:sz w:val="20"/>
                <w:szCs w:val="20"/>
              </w:rPr>
              <w:t>30.5</w:t>
            </w:r>
          </w:p>
        </w:tc>
        <w:tc>
          <w:tcPr>
            <w:tcW w:w="397" w:type="pct"/>
            <w:noWrap/>
            <w:hideMark/>
          </w:tcPr>
          <w:p w14:paraId="2E51B943" w14:textId="77777777" w:rsidR="00AF0ADF" w:rsidRPr="00291881" w:rsidRDefault="00AF0ADF" w:rsidP="00AF0ADF">
            <w:pPr>
              <w:jc w:val="right"/>
              <w:rPr>
                <w:rFonts w:cstheme="minorHAnsi"/>
                <w:sz w:val="20"/>
                <w:szCs w:val="20"/>
              </w:rPr>
            </w:pPr>
            <w:r w:rsidRPr="00291881">
              <w:rPr>
                <w:rFonts w:cstheme="minorHAnsi"/>
                <w:sz w:val="20"/>
                <w:szCs w:val="20"/>
              </w:rPr>
              <w:t>32.4</w:t>
            </w:r>
          </w:p>
        </w:tc>
        <w:tc>
          <w:tcPr>
            <w:tcW w:w="397" w:type="pct"/>
            <w:noWrap/>
            <w:hideMark/>
          </w:tcPr>
          <w:p w14:paraId="103D070D" w14:textId="77777777" w:rsidR="00AF0ADF" w:rsidRPr="00291881" w:rsidRDefault="00AF0ADF" w:rsidP="00AF0ADF">
            <w:pPr>
              <w:jc w:val="right"/>
              <w:rPr>
                <w:rFonts w:cstheme="minorHAnsi"/>
                <w:sz w:val="20"/>
                <w:szCs w:val="20"/>
              </w:rPr>
            </w:pPr>
            <w:r w:rsidRPr="00291881">
              <w:rPr>
                <w:rFonts w:cstheme="minorHAnsi"/>
                <w:sz w:val="20"/>
                <w:szCs w:val="20"/>
              </w:rPr>
              <w:t>31.1</w:t>
            </w:r>
          </w:p>
        </w:tc>
        <w:tc>
          <w:tcPr>
            <w:tcW w:w="394" w:type="pct"/>
            <w:noWrap/>
            <w:hideMark/>
          </w:tcPr>
          <w:p w14:paraId="104441B0" w14:textId="77777777" w:rsidR="00AF0ADF" w:rsidRPr="00291881" w:rsidRDefault="00AF0ADF" w:rsidP="00AF0ADF">
            <w:pPr>
              <w:jc w:val="right"/>
              <w:rPr>
                <w:rFonts w:cstheme="minorHAnsi"/>
                <w:sz w:val="20"/>
                <w:szCs w:val="20"/>
              </w:rPr>
            </w:pPr>
            <w:r w:rsidRPr="00291881">
              <w:rPr>
                <w:rFonts w:cstheme="minorHAnsi"/>
                <w:sz w:val="20"/>
                <w:szCs w:val="20"/>
              </w:rPr>
              <w:t>31.6</w:t>
            </w:r>
          </w:p>
        </w:tc>
      </w:tr>
      <w:tr w:rsidR="00AF0ADF" w:rsidRPr="00291881" w14:paraId="3AC0A004" w14:textId="77777777" w:rsidTr="00751711">
        <w:trPr>
          <w:trHeight w:val="20"/>
        </w:trPr>
        <w:tc>
          <w:tcPr>
            <w:tcW w:w="1431" w:type="pct"/>
            <w:noWrap/>
            <w:hideMark/>
          </w:tcPr>
          <w:p w14:paraId="6C41D4DC" w14:textId="77777777" w:rsidR="00AF0ADF" w:rsidRPr="00291881" w:rsidRDefault="00AF0ADF" w:rsidP="00AF0ADF">
            <w:pPr>
              <w:rPr>
                <w:rFonts w:cstheme="minorHAnsi"/>
                <w:sz w:val="20"/>
                <w:szCs w:val="20"/>
              </w:rPr>
            </w:pPr>
            <w:r w:rsidRPr="00291881">
              <w:rPr>
                <w:rFonts w:cstheme="minorHAnsi"/>
                <w:sz w:val="20"/>
                <w:szCs w:val="20"/>
              </w:rPr>
              <w:t>20-24</w:t>
            </w:r>
          </w:p>
        </w:tc>
        <w:tc>
          <w:tcPr>
            <w:tcW w:w="397" w:type="pct"/>
            <w:noWrap/>
            <w:hideMark/>
          </w:tcPr>
          <w:p w14:paraId="348FF635" w14:textId="77777777" w:rsidR="00AF0ADF" w:rsidRPr="00291881" w:rsidRDefault="00AF0ADF" w:rsidP="00AF0ADF">
            <w:pPr>
              <w:jc w:val="right"/>
              <w:rPr>
                <w:rFonts w:cstheme="minorHAnsi"/>
                <w:sz w:val="20"/>
                <w:szCs w:val="20"/>
              </w:rPr>
            </w:pPr>
            <w:r w:rsidRPr="00291881">
              <w:rPr>
                <w:rFonts w:cstheme="minorHAnsi"/>
                <w:sz w:val="20"/>
                <w:szCs w:val="20"/>
              </w:rPr>
              <w:t>24.8</w:t>
            </w:r>
          </w:p>
        </w:tc>
        <w:tc>
          <w:tcPr>
            <w:tcW w:w="397" w:type="pct"/>
            <w:noWrap/>
            <w:hideMark/>
          </w:tcPr>
          <w:p w14:paraId="11E51384" w14:textId="77777777" w:rsidR="00AF0ADF" w:rsidRPr="00291881" w:rsidRDefault="00AF0ADF" w:rsidP="00AF0ADF">
            <w:pPr>
              <w:jc w:val="right"/>
              <w:rPr>
                <w:rFonts w:cstheme="minorHAnsi"/>
                <w:sz w:val="20"/>
                <w:szCs w:val="20"/>
              </w:rPr>
            </w:pPr>
            <w:r w:rsidRPr="00291881">
              <w:rPr>
                <w:rFonts w:cstheme="minorHAnsi"/>
                <w:sz w:val="20"/>
                <w:szCs w:val="20"/>
              </w:rPr>
              <w:t>24.3</w:t>
            </w:r>
          </w:p>
        </w:tc>
        <w:tc>
          <w:tcPr>
            <w:tcW w:w="397" w:type="pct"/>
            <w:noWrap/>
            <w:hideMark/>
          </w:tcPr>
          <w:p w14:paraId="1C2A74A4" w14:textId="77777777" w:rsidR="00AF0ADF" w:rsidRPr="00291881" w:rsidRDefault="00AF0ADF" w:rsidP="00AF0ADF">
            <w:pPr>
              <w:jc w:val="right"/>
              <w:rPr>
                <w:rFonts w:cstheme="minorHAnsi"/>
                <w:sz w:val="20"/>
                <w:szCs w:val="20"/>
              </w:rPr>
            </w:pPr>
            <w:r w:rsidRPr="00291881">
              <w:rPr>
                <w:rFonts w:cstheme="minorHAnsi"/>
                <w:sz w:val="20"/>
                <w:szCs w:val="20"/>
              </w:rPr>
              <w:t>22.6</w:t>
            </w:r>
          </w:p>
        </w:tc>
        <w:tc>
          <w:tcPr>
            <w:tcW w:w="397" w:type="pct"/>
            <w:noWrap/>
            <w:hideMark/>
          </w:tcPr>
          <w:p w14:paraId="23C96835" w14:textId="77777777" w:rsidR="00AF0ADF" w:rsidRPr="00291881" w:rsidRDefault="00AF0ADF" w:rsidP="00AF0ADF">
            <w:pPr>
              <w:jc w:val="right"/>
              <w:rPr>
                <w:rFonts w:cstheme="minorHAnsi"/>
                <w:sz w:val="20"/>
                <w:szCs w:val="20"/>
              </w:rPr>
            </w:pPr>
            <w:r w:rsidRPr="00291881">
              <w:rPr>
                <w:rFonts w:cstheme="minorHAnsi"/>
                <w:sz w:val="20"/>
                <w:szCs w:val="20"/>
              </w:rPr>
              <w:t>21.9</w:t>
            </w:r>
          </w:p>
        </w:tc>
        <w:tc>
          <w:tcPr>
            <w:tcW w:w="397" w:type="pct"/>
            <w:noWrap/>
            <w:hideMark/>
          </w:tcPr>
          <w:p w14:paraId="00AF8EAD" w14:textId="77777777" w:rsidR="00AF0ADF" w:rsidRPr="00291881" w:rsidRDefault="00AF0ADF" w:rsidP="00AF0ADF">
            <w:pPr>
              <w:jc w:val="right"/>
              <w:rPr>
                <w:rFonts w:cstheme="minorHAnsi"/>
                <w:sz w:val="20"/>
                <w:szCs w:val="20"/>
              </w:rPr>
            </w:pPr>
            <w:r w:rsidRPr="00291881">
              <w:rPr>
                <w:rFonts w:cstheme="minorHAnsi"/>
                <w:sz w:val="20"/>
                <w:szCs w:val="20"/>
              </w:rPr>
              <w:t>21.2</w:t>
            </w:r>
          </w:p>
        </w:tc>
        <w:tc>
          <w:tcPr>
            <w:tcW w:w="397" w:type="pct"/>
            <w:noWrap/>
            <w:hideMark/>
          </w:tcPr>
          <w:p w14:paraId="6A013905" w14:textId="77777777" w:rsidR="00AF0ADF" w:rsidRPr="00291881" w:rsidRDefault="00AF0ADF" w:rsidP="00AF0ADF">
            <w:pPr>
              <w:jc w:val="right"/>
              <w:rPr>
                <w:rFonts w:cstheme="minorHAnsi"/>
                <w:sz w:val="20"/>
                <w:szCs w:val="20"/>
              </w:rPr>
            </w:pPr>
            <w:r w:rsidRPr="00291881">
              <w:rPr>
                <w:rFonts w:cstheme="minorHAnsi"/>
                <w:sz w:val="20"/>
                <w:szCs w:val="20"/>
              </w:rPr>
              <w:t>20.8</w:t>
            </w:r>
          </w:p>
        </w:tc>
        <w:tc>
          <w:tcPr>
            <w:tcW w:w="397" w:type="pct"/>
            <w:noWrap/>
            <w:hideMark/>
          </w:tcPr>
          <w:p w14:paraId="4BF55B2B" w14:textId="77777777" w:rsidR="00AF0ADF" w:rsidRPr="00291881" w:rsidRDefault="00AF0ADF" w:rsidP="00AF0ADF">
            <w:pPr>
              <w:jc w:val="right"/>
              <w:rPr>
                <w:rFonts w:cstheme="minorHAnsi"/>
                <w:sz w:val="20"/>
                <w:szCs w:val="20"/>
              </w:rPr>
            </w:pPr>
            <w:r w:rsidRPr="00291881">
              <w:rPr>
                <w:rFonts w:cstheme="minorHAnsi"/>
                <w:sz w:val="20"/>
                <w:szCs w:val="20"/>
              </w:rPr>
              <w:t>20.7</w:t>
            </w:r>
          </w:p>
        </w:tc>
        <w:tc>
          <w:tcPr>
            <w:tcW w:w="397" w:type="pct"/>
            <w:noWrap/>
            <w:hideMark/>
          </w:tcPr>
          <w:p w14:paraId="1EB76A92" w14:textId="77777777" w:rsidR="00AF0ADF" w:rsidRPr="00291881" w:rsidRDefault="00AF0ADF" w:rsidP="00AF0ADF">
            <w:pPr>
              <w:jc w:val="right"/>
              <w:rPr>
                <w:rFonts w:cstheme="minorHAnsi"/>
                <w:sz w:val="20"/>
                <w:szCs w:val="20"/>
              </w:rPr>
            </w:pPr>
            <w:r w:rsidRPr="00291881">
              <w:rPr>
                <w:rFonts w:cstheme="minorHAnsi"/>
                <w:sz w:val="20"/>
                <w:szCs w:val="20"/>
              </w:rPr>
              <w:t>20.7</w:t>
            </w:r>
          </w:p>
        </w:tc>
        <w:tc>
          <w:tcPr>
            <w:tcW w:w="394" w:type="pct"/>
            <w:noWrap/>
            <w:hideMark/>
          </w:tcPr>
          <w:p w14:paraId="7D8036BB" w14:textId="77777777" w:rsidR="00AF0ADF" w:rsidRPr="00291881" w:rsidRDefault="00AF0ADF" w:rsidP="00AF0ADF">
            <w:pPr>
              <w:jc w:val="right"/>
              <w:rPr>
                <w:rFonts w:cstheme="minorHAnsi"/>
                <w:sz w:val="20"/>
                <w:szCs w:val="20"/>
              </w:rPr>
            </w:pPr>
            <w:r w:rsidRPr="00291881">
              <w:rPr>
                <w:rFonts w:cstheme="minorHAnsi"/>
                <w:sz w:val="20"/>
                <w:szCs w:val="20"/>
              </w:rPr>
              <w:t>20.6</w:t>
            </w:r>
          </w:p>
        </w:tc>
      </w:tr>
      <w:tr w:rsidR="00AF0ADF" w:rsidRPr="00291881" w14:paraId="5DFD9CE7" w14:textId="77777777" w:rsidTr="00751711">
        <w:trPr>
          <w:trHeight w:val="20"/>
        </w:trPr>
        <w:tc>
          <w:tcPr>
            <w:tcW w:w="1431" w:type="pct"/>
            <w:noWrap/>
            <w:hideMark/>
          </w:tcPr>
          <w:p w14:paraId="0AC78B81" w14:textId="77777777" w:rsidR="00AF0ADF" w:rsidRPr="00291881" w:rsidRDefault="00AF0ADF" w:rsidP="00AF0ADF">
            <w:pPr>
              <w:rPr>
                <w:rFonts w:cstheme="minorHAnsi"/>
                <w:sz w:val="20"/>
                <w:szCs w:val="20"/>
              </w:rPr>
            </w:pPr>
            <w:r w:rsidRPr="00291881">
              <w:rPr>
                <w:rFonts w:cstheme="minorHAnsi"/>
                <w:sz w:val="20"/>
                <w:szCs w:val="20"/>
              </w:rPr>
              <w:t>25-29</w:t>
            </w:r>
          </w:p>
        </w:tc>
        <w:tc>
          <w:tcPr>
            <w:tcW w:w="397" w:type="pct"/>
            <w:noWrap/>
            <w:hideMark/>
          </w:tcPr>
          <w:p w14:paraId="243F835F" w14:textId="77777777" w:rsidR="00AF0ADF" w:rsidRPr="00291881" w:rsidRDefault="00AF0ADF" w:rsidP="00AF0ADF">
            <w:pPr>
              <w:jc w:val="right"/>
              <w:rPr>
                <w:rFonts w:cstheme="minorHAnsi"/>
                <w:sz w:val="20"/>
                <w:szCs w:val="20"/>
              </w:rPr>
            </w:pPr>
            <w:r w:rsidRPr="00291881">
              <w:rPr>
                <w:rFonts w:cstheme="minorHAnsi"/>
                <w:sz w:val="20"/>
                <w:szCs w:val="20"/>
              </w:rPr>
              <w:t>12.9</w:t>
            </w:r>
          </w:p>
        </w:tc>
        <w:tc>
          <w:tcPr>
            <w:tcW w:w="397" w:type="pct"/>
            <w:noWrap/>
            <w:hideMark/>
          </w:tcPr>
          <w:p w14:paraId="339F8D22" w14:textId="77777777" w:rsidR="00AF0ADF" w:rsidRPr="00291881" w:rsidRDefault="00AF0ADF" w:rsidP="00AF0ADF">
            <w:pPr>
              <w:jc w:val="right"/>
              <w:rPr>
                <w:rFonts w:cstheme="minorHAnsi"/>
                <w:sz w:val="20"/>
                <w:szCs w:val="20"/>
              </w:rPr>
            </w:pPr>
            <w:r w:rsidRPr="00291881">
              <w:rPr>
                <w:rFonts w:cstheme="minorHAnsi"/>
                <w:sz w:val="20"/>
                <w:szCs w:val="20"/>
              </w:rPr>
              <w:t>12.0</w:t>
            </w:r>
          </w:p>
        </w:tc>
        <w:tc>
          <w:tcPr>
            <w:tcW w:w="397" w:type="pct"/>
            <w:noWrap/>
            <w:hideMark/>
          </w:tcPr>
          <w:p w14:paraId="0AF61EFB" w14:textId="77777777" w:rsidR="00AF0ADF" w:rsidRPr="00291881" w:rsidRDefault="00AF0ADF" w:rsidP="00AF0ADF">
            <w:pPr>
              <w:jc w:val="right"/>
              <w:rPr>
                <w:rFonts w:cstheme="minorHAnsi"/>
                <w:sz w:val="20"/>
                <w:szCs w:val="20"/>
              </w:rPr>
            </w:pPr>
            <w:r w:rsidRPr="00291881">
              <w:rPr>
                <w:rFonts w:cstheme="minorHAnsi"/>
                <w:sz w:val="20"/>
                <w:szCs w:val="20"/>
              </w:rPr>
              <w:t>11.2</w:t>
            </w:r>
          </w:p>
        </w:tc>
        <w:tc>
          <w:tcPr>
            <w:tcW w:w="397" w:type="pct"/>
            <w:noWrap/>
            <w:hideMark/>
          </w:tcPr>
          <w:p w14:paraId="1F0F3D8E" w14:textId="77777777" w:rsidR="00AF0ADF" w:rsidRPr="00291881" w:rsidRDefault="00AF0ADF" w:rsidP="00AF0ADF">
            <w:pPr>
              <w:jc w:val="right"/>
              <w:rPr>
                <w:rFonts w:cstheme="minorHAnsi"/>
                <w:sz w:val="20"/>
                <w:szCs w:val="20"/>
              </w:rPr>
            </w:pPr>
            <w:r w:rsidRPr="00291881">
              <w:rPr>
                <w:rFonts w:cstheme="minorHAnsi"/>
                <w:sz w:val="20"/>
                <w:szCs w:val="20"/>
              </w:rPr>
              <w:t>10.9</w:t>
            </w:r>
          </w:p>
        </w:tc>
        <w:tc>
          <w:tcPr>
            <w:tcW w:w="397" w:type="pct"/>
            <w:noWrap/>
            <w:hideMark/>
          </w:tcPr>
          <w:p w14:paraId="26B9372C" w14:textId="77777777" w:rsidR="00AF0ADF" w:rsidRPr="00291881" w:rsidRDefault="00AF0ADF" w:rsidP="00AF0ADF">
            <w:pPr>
              <w:jc w:val="right"/>
              <w:rPr>
                <w:rFonts w:cstheme="minorHAnsi"/>
                <w:sz w:val="20"/>
                <w:szCs w:val="20"/>
              </w:rPr>
            </w:pPr>
            <w:r w:rsidRPr="00291881">
              <w:rPr>
                <w:rFonts w:cstheme="minorHAnsi"/>
                <w:sz w:val="20"/>
                <w:szCs w:val="20"/>
              </w:rPr>
              <w:t>10.6</w:t>
            </w:r>
          </w:p>
        </w:tc>
        <w:tc>
          <w:tcPr>
            <w:tcW w:w="397" w:type="pct"/>
            <w:noWrap/>
            <w:hideMark/>
          </w:tcPr>
          <w:p w14:paraId="2A864A82" w14:textId="77777777" w:rsidR="00AF0ADF" w:rsidRPr="00291881" w:rsidRDefault="00AF0ADF" w:rsidP="00AF0ADF">
            <w:pPr>
              <w:jc w:val="right"/>
              <w:rPr>
                <w:rFonts w:cstheme="minorHAnsi"/>
                <w:sz w:val="20"/>
                <w:szCs w:val="20"/>
              </w:rPr>
            </w:pPr>
            <w:r w:rsidRPr="00291881">
              <w:rPr>
                <w:rFonts w:cstheme="minorHAnsi"/>
                <w:sz w:val="20"/>
                <w:szCs w:val="20"/>
              </w:rPr>
              <w:t>10.1</w:t>
            </w:r>
          </w:p>
        </w:tc>
        <w:tc>
          <w:tcPr>
            <w:tcW w:w="397" w:type="pct"/>
            <w:noWrap/>
            <w:hideMark/>
          </w:tcPr>
          <w:p w14:paraId="7CE5278D" w14:textId="77777777" w:rsidR="00AF0ADF" w:rsidRPr="00291881" w:rsidRDefault="00AF0ADF" w:rsidP="00AF0ADF">
            <w:pPr>
              <w:jc w:val="right"/>
              <w:rPr>
                <w:rFonts w:cstheme="minorHAnsi"/>
                <w:sz w:val="20"/>
                <w:szCs w:val="20"/>
              </w:rPr>
            </w:pPr>
            <w:r w:rsidRPr="00291881">
              <w:rPr>
                <w:rFonts w:cstheme="minorHAnsi"/>
                <w:sz w:val="20"/>
                <w:szCs w:val="20"/>
              </w:rPr>
              <w:t>10.3</w:t>
            </w:r>
          </w:p>
        </w:tc>
        <w:tc>
          <w:tcPr>
            <w:tcW w:w="397" w:type="pct"/>
            <w:noWrap/>
            <w:hideMark/>
          </w:tcPr>
          <w:p w14:paraId="7E2B539D" w14:textId="77777777" w:rsidR="00AF0ADF" w:rsidRPr="00291881" w:rsidRDefault="00AF0ADF" w:rsidP="00AF0ADF">
            <w:pPr>
              <w:jc w:val="right"/>
              <w:rPr>
                <w:rFonts w:cstheme="minorHAnsi"/>
                <w:sz w:val="20"/>
                <w:szCs w:val="20"/>
              </w:rPr>
            </w:pPr>
            <w:r w:rsidRPr="00291881">
              <w:rPr>
                <w:rFonts w:cstheme="minorHAnsi"/>
                <w:sz w:val="20"/>
                <w:szCs w:val="20"/>
              </w:rPr>
              <w:t>10.0</w:t>
            </w:r>
          </w:p>
        </w:tc>
        <w:tc>
          <w:tcPr>
            <w:tcW w:w="394" w:type="pct"/>
            <w:noWrap/>
            <w:hideMark/>
          </w:tcPr>
          <w:p w14:paraId="5F33B6ED" w14:textId="77777777" w:rsidR="00AF0ADF" w:rsidRPr="00291881" w:rsidRDefault="00AF0ADF" w:rsidP="00AF0ADF">
            <w:pPr>
              <w:jc w:val="right"/>
              <w:rPr>
                <w:rFonts w:cstheme="minorHAnsi"/>
                <w:sz w:val="20"/>
                <w:szCs w:val="20"/>
              </w:rPr>
            </w:pPr>
            <w:r w:rsidRPr="00291881">
              <w:rPr>
                <w:rFonts w:cstheme="minorHAnsi"/>
                <w:sz w:val="20"/>
                <w:szCs w:val="20"/>
              </w:rPr>
              <w:t>10.1</w:t>
            </w:r>
          </w:p>
        </w:tc>
      </w:tr>
      <w:tr w:rsidR="00AF0ADF" w:rsidRPr="00291881" w14:paraId="77491073" w14:textId="77777777" w:rsidTr="00751711">
        <w:trPr>
          <w:trHeight w:val="20"/>
        </w:trPr>
        <w:tc>
          <w:tcPr>
            <w:tcW w:w="1431" w:type="pct"/>
            <w:noWrap/>
            <w:hideMark/>
          </w:tcPr>
          <w:p w14:paraId="65793EF4" w14:textId="77777777" w:rsidR="00AF0ADF" w:rsidRPr="00291881" w:rsidRDefault="00AF0ADF" w:rsidP="00AF0ADF">
            <w:pPr>
              <w:rPr>
                <w:rFonts w:cstheme="minorHAnsi"/>
                <w:sz w:val="20"/>
                <w:szCs w:val="20"/>
              </w:rPr>
            </w:pPr>
            <w:r w:rsidRPr="00291881">
              <w:rPr>
                <w:rFonts w:cstheme="minorHAnsi"/>
                <w:sz w:val="20"/>
                <w:szCs w:val="20"/>
              </w:rPr>
              <w:t>30-34</w:t>
            </w:r>
          </w:p>
        </w:tc>
        <w:tc>
          <w:tcPr>
            <w:tcW w:w="397" w:type="pct"/>
            <w:noWrap/>
            <w:hideMark/>
          </w:tcPr>
          <w:p w14:paraId="77710C33" w14:textId="77777777" w:rsidR="00AF0ADF" w:rsidRPr="00291881" w:rsidRDefault="00AF0ADF" w:rsidP="00AF0ADF">
            <w:pPr>
              <w:jc w:val="right"/>
              <w:rPr>
                <w:rFonts w:cstheme="minorHAnsi"/>
                <w:sz w:val="20"/>
                <w:szCs w:val="20"/>
              </w:rPr>
            </w:pPr>
            <w:r w:rsidRPr="00291881">
              <w:rPr>
                <w:rFonts w:cstheme="minorHAnsi"/>
                <w:sz w:val="20"/>
                <w:szCs w:val="20"/>
              </w:rPr>
              <w:t>8.3</w:t>
            </w:r>
          </w:p>
        </w:tc>
        <w:tc>
          <w:tcPr>
            <w:tcW w:w="397" w:type="pct"/>
            <w:noWrap/>
            <w:hideMark/>
          </w:tcPr>
          <w:p w14:paraId="46EE0081" w14:textId="77777777" w:rsidR="00AF0ADF" w:rsidRPr="00291881" w:rsidRDefault="00AF0ADF" w:rsidP="00AF0ADF">
            <w:pPr>
              <w:jc w:val="right"/>
              <w:rPr>
                <w:rFonts w:cstheme="minorHAnsi"/>
                <w:sz w:val="20"/>
                <w:szCs w:val="20"/>
              </w:rPr>
            </w:pPr>
            <w:r w:rsidRPr="00291881">
              <w:rPr>
                <w:rFonts w:cstheme="minorHAnsi"/>
                <w:sz w:val="20"/>
                <w:szCs w:val="20"/>
              </w:rPr>
              <w:t>7.8</w:t>
            </w:r>
          </w:p>
        </w:tc>
        <w:tc>
          <w:tcPr>
            <w:tcW w:w="397" w:type="pct"/>
            <w:noWrap/>
            <w:hideMark/>
          </w:tcPr>
          <w:p w14:paraId="339637FF" w14:textId="77777777" w:rsidR="00AF0ADF" w:rsidRPr="00291881" w:rsidRDefault="00AF0ADF" w:rsidP="00AF0ADF">
            <w:pPr>
              <w:jc w:val="right"/>
              <w:rPr>
                <w:rFonts w:cstheme="minorHAnsi"/>
                <w:sz w:val="20"/>
                <w:szCs w:val="20"/>
              </w:rPr>
            </w:pPr>
            <w:r w:rsidRPr="00291881">
              <w:rPr>
                <w:rFonts w:cstheme="minorHAnsi"/>
                <w:sz w:val="20"/>
                <w:szCs w:val="20"/>
              </w:rPr>
              <w:t>7.2</w:t>
            </w:r>
          </w:p>
        </w:tc>
        <w:tc>
          <w:tcPr>
            <w:tcW w:w="397" w:type="pct"/>
            <w:noWrap/>
            <w:hideMark/>
          </w:tcPr>
          <w:p w14:paraId="24EEF107" w14:textId="77777777" w:rsidR="00AF0ADF" w:rsidRPr="00291881" w:rsidRDefault="00AF0ADF" w:rsidP="00AF0ADF">
            <w:pPr>
              <w:jc w:val="right"/>
              <w:rPr>
                <w:rFonts w:cstheme="minorHAnsi"/>
                <w:sz w:val="20"/>
                <w:szCs w:val="20"/>
              </w:rPr>
            </w:pPr>
            <w:r w:rsidRPr="00291881">
              <w:rPr>
                <w:rFonts w:cstheme="minorHAnsi"/>
                <w:sz w:val="20"/>
                <w:szCs w:val="20"/>
              </w:rPr>
              <w:t>6.8</w:t>
            </w:r>
          </w:p>
        </w:tc>
        <w:tc>
          <w:tcPr>
            <w:tcW w:w="397" w:type="pct"/>
            <w:noWrap/>
            <w:hideMark/>
          </w:tcPr>
          <w:p w14:paraId="7DA166A4" w14:textId="77777777" w:rsidR="00AF0ADF" w:rsidRPr="00291881" w:rsidRDefault="00AF0ADF" w:rsidP="00AF0ADF">
            <w:pPr>
              <w:jc w:val="right"/>
              <w:rPr>
                <w:rFonts w:cstheme="minorHAnsi"/>
                <w:sz w:val="20"/>
                <w:szCs w:val="20"/>
              </w:rPr>
            </w:pPr>
            <w:r w:rsidRPr="00291881">
              <w:rPr>
                <w:rFonts w:cstheme="minorHAnsi"/>
                <w:sz w:val="20"/>
                <w:szCs w:val="20"/>
              </w:rPr>
              <w:t>6.4</w:t>
            </w:r>
          </w:p>
        </w:tc>
        <w:tc>
          <w:tcPr>
            <w:tcW w:w="397" w:type="pct"/>
            <w:noWrap/>
            <w:hideMark/>
          </w:tcPr>
          <w:p w14:paraId="33EB9E43" w14:textId="77777777" w:rsidR="00AF0ADF" w:rsidRPr="00291881" w:rsidRDefault="00AF0ADF" w:rsidP="00AF0ADF">
            <w:pPr>
              <w:jc w:val="right"/>
              <w:rPr>
                <w:rFonts w:cstheme="minorHAnsi"/>
                <w:sz w:val="20"/>
                <w:szCs w:val="20"/>
              </w:rPr>
            </w:pPr>
            <w:r w:rsidRPr="00291881">
              <w:rPr>
                <w:rFonts w:cstheme="minorHAnsi"/>
                <w:sz w:val="20"/>
                <w:szCs w:val="20"/>
              </w:rPr>
              <w:t>6.1</w:t>
            </w:r>
          </w:p>
        </w:tc>
        <w:tc>
          <w:tcPr>
            <w:tcW w:w="397" w:type="pct"/>
            <w:noWrap/>
            <w:hideMark/>
          </w:tcPr>
          <w:p w14:paraId="71232D67" w14:textId="77777777" w:rsidR="00AF0ADF" w:rsidRPr="00291881" w:rsidRDefault="00AF0ADF" w:rsidP="00AF0ADF">
            <w:pPr>
              <w:jc w:val="right"/>
              <w:rPr>
                <w:rFonts w:cstheme="minorHAnsi"/>
                <w:sz w:val="20"/>
                <w:szCs w:val="20"/>
              </w:rPr>
            </w:pPr>
            <w:r w:rsidRPr="00291881">
              <w:rPr>
                <w:rFonts w:cstheme="minorHAnsi"/>
                <w:sz w:val="20"/>
                <w:szCs w:val="20"/>
              </w:rPr>
              <w:t>6.3</w:t>
            </w:r>
          </w:p>
        </w:tc>
        <w:tc>
          <w:tcPr>
            <w:tcW w:w="397" w:type="pct"/>
            <w:noWrap/>
            <w:hideMark/>
          </w:tcPr>
          <w:p w14:paraId="6D91CA0B" w14:textId="77777777" w:rsidR="00AF0ADF" w:rsidRPr="00291881" w:rsidRDefault="00AF0ADF" w:rsidP="00AF0ADF">
            <w:pPr>
              <w:jc w:val="right"/>
              <w:rPr>
                <w:rFonts w:cstheme="minorHAnsi"/>
                <w:sz w:val="20"/>
                <w:szCs w:val="20"/>
              </w:rPr>
            </w:pPr>
            <w:r w:rsidRPr="00291881">
              <w:rPr>
                <w:rFonts w:cstheme="minorHAnsi"/>
                <w:sz w:val="20"/>
                <w:szCs w:val="20"/>
              </w:rPr>
              <w:t>6.0</w:t>
            </w:r>
          </w:p>
        </w:tc>
        <w:tc>
          <w:tcPr>
            <w:tcW w:w="394" w:type="pct"/>
            <w:noWrap/>
            <w:hideMark/>
          </w:tcPr>
          <w:p w14:paraId="0D00EB21" w14:textId="77777777" w:rsidR="00AF0ADF" w:rsidRPr="00291881" w:rsidRDefault="00AF0ADF" w:rsidP="00AF0ADF">
            <w:pPr>
              <w:jc w:val="right"/>
              <w:rPr>
                <w:rFonts w:cstheme="minorHAnsi"/>
                <w:sz w:val="20"/>
                <w:szCs w:val="20"/>
              </w:rPr>
            </w:pPr>
            <w:r w:rsidRPr="00291881">
              <w:rPr>
                <w:rFonts w:cstheme="minorHAnsi"/>
                <w:sz w:val="20"/>
                <w:szCs w:val="20"/>
              </w:rPr>
              <w:t>5.7</w:t>
            </w:r>
          </w:p>
        </w:tc>
      </w:tr>
      <w:tr w:rsidR="00AF0ADF" w:rsidRPr="00291881" w14:paraId="0BC67A7B" w14:textId="77777777" w:rsidTr="00751711">
        <w:trPr>
          <w:trHeight w:val="20"/>
        </w:trPr>
        <w:tc>
          <w:tcPr>
            <w:tcW w:w="1431" w:type="pct"/>
            <w:noWrap/>
            <w:hideMark/>
          </w:tcPr>
          <w:p w14:paraId="49090636" w14:textId="77777777" w:rsidR="00AF0ADF" w:rsidRPr="00291881" w:rsidRDefault="00AF0ADF" w:rsidP="00AF0ADF">
            <w:pPr>
              <w:rPr>
                <w:rFonts w:cstheme="minorHAnsi"/>
                <w:sz w:val="20"/>
                <w:szCs w:val="20"/>
              </w:rPr>
            </w:pPr>
            <w:r w:rsidRPr="00291881">
              <w:rPr>
                <w:rFonts w:cstheme="minorHAnsi"/>
                <w:sz w:val="20"/>
                <w:szCs w:val="20"/>
              </w:rPr>
              <w:t>35-39</w:t>
            </w:r>
          </w:p>
        </w:tc>
        <w:tc>
          <w:tcPr>
            <w:tcW w:w="397" w:type="pct"/>
            <w:noWrap/>
            <w:hideMark/>
          </w:tcPr>
          <w:p w14:paraId="7A4017F6" w14:textId="77777777" w:rsidR="00AF0ADF" w:rsidRPr="00291881" w:rsidRDefault="00AF0ADF" w:rsidP="00AF0ADF">
            <w:pPr>
              <w:jc w:val="right"/>
              <w:rPr>
                <w:rFonts w:cstheme="minorHAnsi"/>
                <w:sz w:val="20"/>
                <w:szCs w:val="20"/>
              </w:rPr>
            </w:pPr>
            <w:r w:rsidRPr="00291881">
              <w:rPr>
                <w:rFonts w:cstheme="minorHAnsi"/>
                <w:sz w:val="20"/>
                <w:szCs w:val="20"/>
              </w:rPr>
              <w:t>8.2</w:t>
            </w:r>
          </w:p>
        </w:tc>
        <w:tc>
          <w:tcPr>
            <w:tcW w:w="397" w:type="pct"/>
            <w:noWrap/>
            <w:hideMark/>
          </w:tcPr>
          <w:p w14:paraId="07E42A1D" w14:textId="77777777" w:rsidR="00AF0ADF" w:rsidRPr="00291881" w:rsidRDefault="00AF0ADF" w:rsidP="00AF0ADF">
            <w:pPr>
              <w:jc w:val="right"/>
              <w:rPr>
                <w:rFonts w:cstheme="minorHAnsi"/>
                <w:sz w:val="20"/>
                <w:szCs w:val="20"/>
              </w:rPr>
            </w:pPr>
            <w:r w:rsidRPr="00291881">
              <w:rPr>
                <w:rFonts w:cstheme="minorHAnsi"/>
                <w:sz w:val="20"/>
                <w:szCs w:val="20"/>
              </w:rPr>
              <w:t>7.4</w:t>
            </w:r>
          </w:p>
        </w:tc>
        <w:tc>
          <w:tcPr>
            <w:tcW w:w="397" w:type="pct"/>
            <w:noWrap/>
            <w:hideMark/>
          </w:tcPr>
          <w:p w14:paraId="573043D2" w14:textId="77777777" w:rsidR="00AF0ADF" w:rsidRPr="00291881" w:rsidRDefault="00AF0ADF" w:rsidP="00AF0ADF">
            <w:pPr>
              <w:jc w:val="right"/>
              <w:rPr>
                <w:rFonts w:cstheme="minorHAnsi"/>
                <w:sz w:val="20"/>
                <w:szCs w:val="20"/>
              </w:rPr>
            </w:pPr>
            <w:r w:rsidRPr="00291881">
              <w:rPr>
                <w:rFonts w:cstheme="minorHAnsi"/>
                <w:sz w:val="20"/>
                <w:szCs w:val="20"/>
              </w:rPr>
              <w:t>7.1</w:t>
            </w:r>
          </w:p>
        </w:tc>
        <w:tc>
          <w:tcPr>
            <w:tcW w:w="397" w:type="pct"/>
            <w:noWrap/>
            <w:hideMark/>
          </w:tcPr>
          <w:p w14:paraId="71A6AC59" w14:textId="77777777" w:rsidR="00AF0ADF" w:rsidRPr="00291881" w:rsidRDefault="00AF0ADF" w:rsidP="00AF0ADF">
            <w:pPr>
              <w:jc w:val="right"/>
              <w:rPr>
                <w:rFonts w:cstheme="minorHAnsi"/>
                <w:sz w:val="20"/>
                <w:szCs w:val="20"/>
              </w:rPr>
            </w:pPr>
            <w:r w:rsidRPr="00291881">
              <w:rPr>
                <w:rFonts w:cstheme="minorHAnsi"/>
                <w:sz w:val="20"/>
                <w:szCs w:val="20"/>
              </w:rPr>
              <w:t>6.4</w:t>
            </w:r>
          </w:p>
        </w:tc>
        <w:tc>
          <w:tcPr>
            <w:tcW w:w="397" w:type="pct"/>
            <w:noWrap/>
            <w:hideMark/>
          </w:tcPr>
          <w:p w14:paraId="222EC31A" w14:textId="77777777" w:rsidR="00AF0ADF" w:rsidRPr="00291881" w:rsidRDefault="00AF0ADF" w:rsidP="00AF0ADF">
            <w:pPr>
              <w:jc w:val="right"/>
              <w:rPr>
                <w:rFonts w:cstheme="minorHAnsi"/>
                <w:sz w:val="20"/>
                <w:szCs w:val="20"/>
              </w:rPr>
            </w:pPr>
            <w:r w:rsidRPr="00291881">
              <w:rPr>
                <w:rFonts w:cstheme="minorHAnsi"/>
                <w:sz w:val="20"/>
                <w:szCs w:val="20"/>
              </w:rPr>
              <w:t>6.3</w:t>
            </w:r>
          </w:p>
        </w:tc>
        <w:tc>
          <w:tcPr>
            <w:tcW w:w="397" w:type="pct"/>
            <w:noWrap/>
            <w:hideMark/>
          </w:tcPr>
          <w:p w14:paraId="76FF7E28" w14:textId="77777777" w:rsidR="00AF0ADF" w:rsidRPr="00291881" w:rsidRDefault="00AF0ADF" w:rsidP="00AF0ADF">
            <w:pPr>
              <w:jc w:val="right"/>
              <w:rPr>
                <w:rFonts w:cstheme="minorHAnsi"/>
                <w:sz w:val="20"/>
                <w:szCs w:val="20"/>
              </w:rPr>
            </w:pPr>
            <w:r w:rsidRPr="00291881">
              <w:rPr>
                <w:rFonts w:cstheme="minorHAnsi"/>
                <w:sz w:val="20"/>
                <w:szCs w:val="20"/>
              </w:rPr>
              <w:t>6.0</w:t>
            </w:r>
          </w:p>
        </w:tc>
        <w:tc>
          <w:tcPr>
            <w:tcW w:w="397" w:type="pct"/>
            <w:noWrap/>
            <w:hideMark/>
          </w:tcPr>
          <w:p w14:paraId="4297A9D6" w14:textId="77777777" w:rsidR="00AF0ADF" w:rsidRPr="00291881" w:rsidRDefault="00AF0ADF" w:rsidP="00AF0ADF">
            <w:pPr>
              <w:jc w:val="right"/>
              <w:rPr>
                <w:rFonts w:cstheme="minorHAnsi"/>
                <w:sz w:val="20"/>
                <w:szCs w:val="20"/>
              </w:rPr>
            </w:pPr>
            <w:r w:rsidRPr="00291881">
              <w:rPr>
                <w:rFonts w:cstheme="minorHAnsi"/>
                <w:sz w:val="20"/>
                <w:szCs w:val="20"/>
              </w:rPr>
              <w:t>5.9</w:t>
            </w:r>
          </w:p>
        </w:tc>
        <w:tc>
          <w:tcPr>
            <w:tcW w:w="397" w:type="pct"/>
            <w:noWrap/>
            <w:hideMark/>
          </w:tcPr>
          <w:p w14:paraId="4F5B4065" w14:textId="77777777" w:rsidR="00AF0ADF" w:rsidRPr="00291881" w:rsidRDefault="00AF0ADF" w:rsidP="00AF0ADF">
            <w:pPr>
              <w:jc w:val="right"/>
              <w:rPr>
                <w:rFonts w:cstheme="minorHAnsi"/>
                <w:sz w:val="20"/>
                <w:szCs w:val="20"/>
              </w:rPr>
            </w:pPr>
            <w:r w:rsidRPr="00291881">
              <w:rPr>
                <w:rFonts w:cstheme="minorHAnsi"/>
                <w:sz w:val="20"/>
                <w:szCs w:val="20"/>
              </w:rPr>
              <w:t>6.0</w:t>
            </w:r>
          </w:p>
        </w:tc>
        <w:tc>
          <w:tcPr>
            <w:tcW w:w="394" w:type="pct"/>
            <w:noWrap/>
            <w:hideMark/>
          </w:tcPr>
          <w:p w14:paraId="7AC251BB" w14:textId="77777777" w:rsidR="00AF0ADF" w:rsidRPr="00291881" w:rsidRDefault="00AF0ADF" w:rsidP="00AF0ADF">
            <w:pPr>
              <w:jc w:val="right"/>
              <w:rPr>
                <w:rFonts w:cstheme="minorHAnsi"/>
                <w:sz w:val="20"/>
                <w:szCs w:val="20"/>
              </w:rPr>
            </w:pPr>
            <w:r w:rsidRPr="00291881">
              <w:rPr>
                <w:rFonts w:cstheme="minorHAnsi"/>
                <w:sz w:val="20"/>
                <w:szCs w:val="20"/>
              </w:rPr>
              <w:t>5.7</w:t>
            </w:r>
          </w:p>
        </w:tc>
      </w:tr>
      <w:tr w:rsidR="00AF0ADF" w:rsidRPr="00291881" w14:paraId="176AAE4B" w14:textId="77777777" w:rsidTr="00751711">
        <w:trPr>
          <w:trHeight w:val="20"/>
        </w:trPr>
        <w:tc>
          <w:tcPr>
            <w:tcW w:w="1431" w:type="pct"/>
            <w:noWrap/>
            <w:hideMark/>
          </w:tcPr>
          <w:p w14:paraId="58558AC9" w14:textId="77777777" w:rsidR="00AF0ADF" w:rsidRPr="00291881" w:rsidRDefault="00AF0ADF" w:rsidP="00AF0ADF">
            <w:pPr>
              <w:rPr>
                <w:rFonts w:cstheme="minorHAnsi"/>
                <w:sz w:val="20"/>
                <w:szCs w:val="20"/>
              </w:rPr>
            </w:pPr>
            <w:r w:rsidRPr="00291881">
              <w:rPr>
                <w:rFonts w:cstheme="minorHAnsi"/>
                <w:sz w:val="20"/>
                <w:szCs w:val="20"/>
              </w:rPr>
              <w:t>40 and over</w:t>
            </w:r>
          </w:p>
        </w:tc>
        <w:tc>
          <w:tcPr>
            <w:tcW w:w="397" w:type="pct"/>
            <w:noWrap/>
            <w:hideMark/>
          </w:tcPr>
          <w:p w14:paraId="64BA3382" w14:textId="77777777" w:rsidR="00AF0ADF" w:rsidRPr="00291881" w:rsidRDefault="00AF0ADF" w:rsidP="00AF0ADF">
            <w:pPr>
              <w:jc w:val="right"/>
              <w:rPr>
                <w:rFonts w:cstheme="minorHAnsi"/>
                <w:sz w:val="20"/>
                <w:szCs w:val="20"/>
              </w:rPr>
            </w:pPr>
            <w:r w:rsidRPr="00291881">
              <w:rPr>
                <w:rFonts w:cstheme="minorHAnsi"/>
                <w:sz w:val="20"/>
                <w:szCs w:val="20"/>
              </w:rPr>
              <w:t>8.7</w:t>
            </w:r>
          </w:p>
        </w:tc>
        <w:tc>
          <w:tcPr>
            <w:tcW w:w="397" w:type="pct"/>
            <w:noWrap/>
            <w:hideMark/>
          </w:tcPr>
          <w:p w14:paraId="5656F10B" w14:textId="77777777" w:rsidR="00AF0ADF" w:rsidRPr="00291881" w:rsidRDefault="00AF0ADF" w:rsidP="00AF0ADF">
            <w:pPr>
              <w:jc w:val="right"/>
              <w:rPr>
                <w:rFonts w:cstheme="minorHAnsi"/>
                <w:sz w:val="20"/>
                <w:szCs w:val="20"/>
              </w:rPr>
            </w:pPr>
            <w:r w:rsidRPr="00291881">
              <w:rPr>
                <w:rFonts w:cstheme="minorHAnsi"/>
                <w:sz w:val="20"/>
                <w:szCs w:val="20"/>
              </w:rPr>
              <w:t>8.5</w:t>
            </w:r>
          </w:p>
        </w:tc>
        <w:tc>
          <w:tcPr>
            <w:tcW w:w="397" w:type="pct"/>
            <w:noWrap/>
            <w:hideMark/>
          </w:tcPr>
          <w:p w14:paraId="606A25A2" w14:textId="77777777" w:rsidR="00AF0ADF" w:rsidRPr="00291881" w:rsidRDefault="00AF0ADF" w:rsidP="00AF0ADF">
            <w:pPr>
              <w:jc w:val="right"/>
              <w:rPr>
                <w:rFonts w:cstheme="minorHAnsi"/>
                <w:sz w:val="20"/>
                <w:szCs w:val="20"/>
              </w:rPr>
            </w:pPr>
            <w:r w:rsidRPr="00291881">
              <w:rPr>
                <w:rFonts w:cstheme="minorHAnsi"/>
                <w:sz w:val="20"/>
                <w:szCs w:val="20"/>
              </w:rPr>
              <w:t>7.8</w:t>
            </w:r>
          </w:p>
        </w:tc>
        <w:tc>
          <w:tcPr>
            <w:tcW w:w="397" w:type="pct"/>
            <w:noWrap/>
            <w:hideMark/>
          </w:tcPr>
          <w:p w14:paraId="6332B49B" w14:textId="77777777" w:rsidR="00AF0ADF" w:rsidRPr="00291881" w:rsidRDefault="00AF0ADF" w:rsidP="00AF0ADF">
            <w:pPr>
              <w:jc w:val="right"/>
              <w:rPr>
                <w:rFonts w:cstheme="minorHAnsi"/>
                <w:sz w:val="20"/>
                <w:szCs w:val="20"/>
              </w:rPr>
            </w:pPr>
            <w:r w:rsidRPr="00291881">
              <w:rPr>
                <w:rFonts w:cstheme="minorHAnsi"/>
                <w:sz w:val="20"/>
                <w:szCs w:val="20"/>
              </w:rPr>
              <w:t>7.5</w:t>
            </w:r>
          </w:p>
        </w:tc>
        <w:tc>
          <w:tcPr>
            <w:tcW w:w="397" w:type="pct"/>
            <w:noWrap/>
            <w:hideMark/>
          </w:tcPr>
          <w:p w14:paraId="2B4788B5" w14:textId="77777777" w:rsidR="00AF0ADF" w:rsidRPr="00291881" w:rsidRDefault="00AF0ADF" w:rsidP="00AF0ADF">
            <w:pPr>
              <w:jc w:val="right"/>
              <w:rPr>
                <w:rFonts w:cstheme="minorHAnsi"/>
                <w:sz w:val="20"/>
                <w:szCs w:val="20"/>
              </w:rPr>
            </w:pPr>
            <w:r w:rsidRPr="00291881">
              <w:rPr>
                <w:rFonts w:cstheme="minorHAnsi"/>
                <w:sz w:val="20"/>
                <w:szCs w:val="20"/>
              </w:rPr>
              <w:t>6.8</w:t>
            </w:r>
          </w:p>
        </w:tc>
        <w:tc>
          <w:tcPr>
            <w:tcW w:w="397" w:type="pct"/>
            <w:noWrap/>
            <w:hideMark/>
          </w:tcPr>
          <w:p w14:paraId="72545EE5" w14:textId="77777777" w:rsidR="00AF0ADF" w:rsidRPr="00291881" w:rsidRDefault="00AF0ADF" w:rsidP="00AF0ADF">
            <w:pPr>
              <w:jc w:val="right"/>
              <w:rPr>
                <w:rFonts w:cstheme="minorHAnsi"/>
                <w:sz w:val="20"/>
                <w:szCs w:val="20"/>
              </w:rPr>
            </w:pPr>
            <w:r w:rsidRPr="00291881">
              <w:rPr>
                <w:rFonts w:cstheme="minorHAnsi"/>
                <w:sz w:val="20"/>
                <w:szCs w:val="20"/>
              </w:rPr>
              <w:t>6.9</w:t>
            </w:r>
          </w:p>
        </w:tc>
        <w:tc>
          <w:tcPr>
            <w:tcW w:w="397" w:type="pct"/>
            <w:noWrap/>
            <w:hideMark/>
          </w:tcPr>
          <w:p w14:paraId="29C95A8C" w14:textId="77777777" w:rsidR="00AF0ADF" w:rsidRPr="00291881" w:rsidRDefault="00AF0ADF" w:rsidP="00AF0ADF">
            <w:pPr>
              <w:jc w:val="right"/>
              <w:rPr>
                <w:rFonts w:cstheme="minorHAnsi"/>
                <w:sz w:val="20"/>
                <w:szCs w:val="20"/>
              </w:rPr>
            </w:pPr>
            <w:r w:rsidRPr="00291881">
              <w:rPr>
                <w:rFonts w:cstheme="minorHAnsi"/>
                <w:sz w:val="20"/>
                <w:szCs w:val="20"/>
              </w:rPr>
              <w:t>6.7</w:t>
            </w:r>
          </w:p>
        </w:tc>
        <w:tc>
          <w:tcPr>
            <w:tcW w:w="397" w:type="pct"/>
            <w:noWrap/>
            <w:hideMark/>
          </w:tcPr>
          <w:p w14:paraId="2CA3814E" w14:textId="77777777" w:rsidR="00AF0ADF" w:rsidRPr="00291881" w:rsidRDefault="00AF0ADF" w:rsidP="00AF0ADF">
            <w:pPr>
              <w:jc w:val="right"/>
              <w:rPr>
                <w:rFonts w:cstheme="minorHAnsi"/>
                <w:sz w:val="20"/>
                <w:szCs w:val="20"/>
              </w:rPr>
            </w:pPr>
            <w:r w:rsidRPr="00291881">
              <w:rPr>
                <w:rFonts w:cstheme="minorHAnsi"/>
                <w:sz w:val="20"/>
                <w:szCs w:val="20"/>
              </w:rPr>
              <w:t>6.3</w:t>
            </w:r>
          </w:p>
        </w:tc>
        <w:tc>
          <w:tcPr>
            <w:tcW w:w="394" w:type="pct"/>
            <w:noWrap/>
            <w:hideMark/>
          </w:tcPr>
          <w:p w14:paraId="17A45C03" w14:textId="77777777" w:rsidR="00AF0ADF" w:rsidRPr="00291881" w:rsidRDefault="00AF0ADF" w:rsidP="00AF0ADF">
            <w:pPr>
              <w:jc w:val="right"/>
              <w:rPr>
                <w:rFonts w:cstheme="minorHAnsi"/>
                <w:sz w:val="20"/>
                <w:szCs w:val="20"/>
              </w:rPr>
            </w:pPr>
            <w:r w:rsidRPr="00291881">
              <w:rPr>
                <w:rFonts w:cstheme="minorHAnsi"/>
                <w:sz w:val="20"/>
                <w:szCs w:val="20"/>
              </w:rPr>
              <w:t>6.4</w:t>
            </w:r>
          </w:p>
        </w:tc>
      </w:tr>
      <w:tr w:rsidR="00AF0ADF" w:rsidRPr="00291881" w14:paraId="77AAB944" w14:textId="77777777" w:rsidTr="00AF0ADF">
        <w:trPr>
          <w:trHeight w:val="20"/>
        </w:trPr>
        <w:tc>
          <w:tcPr>
            <w:tcW w:w="5000" w:type="pct"/>
            <w:gridSpan w:val="10"/>
            <w:noWrap/>
            <w:hideMark/>
          </w:tcPr>
          <w:p w14:paraId="72AD267F" w14:textId="44F7BDAE" w:rsidR="00AF0ADF" w:rsidRPr="00291881" w:rsidRDefault="00AF0ADF" w:rsidP="00AF0ADF">
            <w:pPr>
              <w:rPr>
                <w:rFonts w:cstheme="minorHAnsi"/>
                <w:sz w:val="20"/>
                <w:szCs w:val="20"/>
              </w:rPr>
            </w:pPr>
            <w:r w:rsidRPr="00291881">
              <w:rPr>
                <w:rFonts w:cstheme="minorHAnsi"/>
                <w:b/>
                <w:bCs/>
                <w:sz w:val="20"/>
                <w:szCs w:val="20"/>
              </w:rPr>
              <w:t xml:space="preserve">Mother's </w:t>
            </w:r>
            <w:r w:rsidR="00FB0C38">
              <w:rPr>
                <w:rFonts w:cstheme="minorHAnsi"/>
                <w:b/>
                <w:bCs/>
                <w:sz w:val="20"/>
                <w:szCs w:val="20"/>
              </w:rPr>
              <w:t>Indig</w:t>
            </w:r>
            <w:r w:rsidRPr="00291881">
              <w:rPr>
                <w:rFonts w:cstheme="minorHAnsi"/>
                <w:b/>
                <w:bCs/>
                <w:sz w:val="20"/>
                <w:szCs w:val="20"/>
              </w:rPr>
              <w:t>enous status</w:t>
            </w:r>
          </w:p>
        </w:tc>
      </w:tr>
      <w:tr w:rsidR="00AF0ADF" w:rsidRPr="00291881" w14:paraId="21C89F1B" w14:textId="77777777" w:rsidTr="00751711">
        <w:trPr>
          <w:trHeight w:val="20"/>
        </w:trPr>
        <w:tc>
          <w:tcPr>
            <w:tcW w:w="1431" w:type="pct"/>
            <w:noWrap/>
            <w:hideMark/>
          </w:tcPr>
          <w:p w14:paraId="6B924B87" w14:textId="77777777" w:rsidR="00AF0ADF" w:rsidRPr="00291881" w:rsidRDefault="00AF0ADF" w:rsidP="00AF0ADF">
            <w:pPr>
              <w:rPr>
                <w:rFonts w:cstheme="minorHAnsi"/>
                <w:sz w:val="20"/>
                <w:szCs w:val="20"/>
              </w:rPr>
            </w:pPr>
            <w:r w:rsidRPr="00291881">
              <w:rPr>
                <w:rFonts w:cstheme="minorHAnsi"/>
                <w:sz w:val="20"/>
                <w:szCs w:val="20"/>
              </w:rPr>
              <w:t>Indigenous</w:t>
            </w:r>
          </w:p>
        </w:tc>
        <w:tc>
          <w:tcPr>
            <w:tcW w:w="397" w:type="pct"/>
            <w:noWrap/>
            <w:hideMark/>
          </w:tcPr>
          <w:p w14:paraId="6668748C" w14:textId="77777777" w:rsidR="00AF0ADF" w:rsidRPr="00291881" w:rsidRDefault="00AF0ADF" w:rsidP="00AF0ADF">
            <w:pPr>
              <w:jc w:val="right"/>
              <w:rPr>
                <w:rFonts w:cstheme="minorHAnsi"/>
                <w:sz w:val="20"/>
                <w:szCs w:val="20"/>
              </w:rPr>
            </w:pPr>
            <w:r w:rsidRPr="00291881">
              <w:rPr>
                <w:rFonts w:cstheme="minorHAnsi"/>
                <w:sz w:val="20"/>
                <w:szCs w:val="20"/>
              </w:rPr>
              <w:t>47.0</w:t>
            </w:r>
          </w:p>
        </w:tc>
        <w:tc>
          <w:tcPr>
            <w:tcW w:w="397" w:type="pct"/>
            <w:noWrap/>
            <w:hideMark/>
          </w:tcPr>
          <w:p w14:paraId="504C1E76" w14:textId="77777777" w:rsidR="00AF0ADF" w:rsidRPr="00291881" w:rsidRDefault="00AF0ADF" w:rsidP="00AF0ADF">
            <w:pPr>
              <w:jc w:val="right"/>
              <w:rPr>
                <w:rFonts w:cstheme="minorHAnsi"/>
                <w:sz w:val="20"/>
                <w:szCs w:val="20"/>
              </w:rPr>
            </w:pPr>
            <w:r w:rsidRPr="00291881">
              <w:rPr>
                <w:rFonts w:cstheme="minorHAnsi"/>
                <w:sz w:val="20"/>
                <w:szCs w:val="20"/>
              </w:rPr>
              <w:t>46.6</w:t>
            </w:r>
          </w:p>
        </w:tc>
        <w:tc>
          <w:tcPr>
            <w:tcW w:w="397" w:type="pct"/>
            <w:noWrap/>
            <w:hideMark/>
          </w:tcPr>
          <w:p w14:paraId="13397B86" w14:textId="77777777" w:rsidR="00AF0ADF" w:rsidRPr="00291881" w:rsidRDefault="00AF0ADF" w:rsidP="00AF0ADF">
            <w:pPr>
              <w:jc w:val="right"/>
              <w:rPr>
                <w:rFonts w:cstheme="minorHAnsi"/>
                <w:sz w:val="20"/>
                <w:szCs w:val="20"/>
              </w:rPr>
            </w:pPr>
            <w:r w:rsidRPr="00291881">
              <w:rPr>
                <w:rFonts w:cstheme="minorHAnsi"/>
                <w:sz w:val="20"/>
                <w:szCs w:val="20"/>
              </w:rPr>
              <w:t>46.4</w:t>
            </w:r>
          </w:p>
        </w:tc>
        <w:tc>
          <w:tcPr>
            <w:tcW w:w="397" w:type="pct"/>
            <w:noWrap/>
            <w:hideMark/>
          </w:tcPr>
          <w:p w14:paraId="1F447150" w14:textId="77777777" w:rsidR="00AF0ADF" w:rsidRPr="00291881" w:rsidRDefault="00AF0ADF" w:rsidP="00AF0ADF">
            <w:pPr>
              <w:jc w:val="right"/>
              <w:rPr>
                <w:rFonts w:cstheme="minorHAnsi"/>
                <w:sz w:val="20"/>
                <w:szCs w:val="20"/>
              </w:rPr>
            </w:pPr>
            <w:r w:rsidRPr="00291881">
              <w:rPr>
                <w:rFonts w:cstheme="minorHAnsi"/>
                <w:sz w:val="20"/>
                <w:szCs w:val="20"/>
              </w:rPr>
              <w:t>44.7</w:t>
            </w:r>
          </w:p>
        </w:tc>
        <w:tc>
          <w:tcPr>
            <w:tcW w:w="397" w:type="pct"/>
            <w:noWrap/>
            <w:hideMark/>
          </w:tcPr>
          <w:p w14:paraId="1FBBD54B" w14:textId="77777777" w:rsidR="00AF0ADF" w:rsidRPr="00291881" w:rsidRDefault="00AF0ADF" w:rsidP="00AF0ADF">
            <w:pPr>
              <w:jc w:val="right"/>
              <w:rPr>
                <w:rFonts w:cstheme="minorHAnsi"/>
                <w:sz w:val="20"/>
                <w:szCs w:val="20"/>
              </w:rPr>
            </w:pPr>
            <w:r w:rsidRPr="00291881">
              <w:rPr>
                <w:rFonts w:cstheme="minorHAnsi"/>
                <w:sz w:val="20"/>
                <w:szCs w:val="20"/>
              </w:rPr>
              <w:t>43.8</w:t>
            </w:r>
          </w:p>
        </w:tc>
        <w:tc>
          <w:tcPr>
            <w:tcW w:w="397" w:type="pct"/>
            <w:noWrap/>
            <w:hideMark/>
          </w:tcPr>
          <w:p w14:paraId="03F25FD0" w14:textId="77777777" w:rsidR="00AF0ADF" w:rsidRPr="00291881" w:rsidRDefault="00AF0ADF" w:rsidP="00AF0ADF">
            <w:pPr>
              <w:jc w:val="right"/>
              <w:rPr>
                <w:rFonts w:cstheme="minorHAnsi"/>
                <w:sz w:val="20"/>
                <w:szCs w:val="20"/>
              </w:rPr>
            </w:pPr>
            <w:r w:rsidRPr="00291881">
              <w:rPr>
                <w:rFonts w:cstheme="minorHAnsi"/>
                <w:sz w:val="20"/>
                <w:szCs w:val="20"/>
              </w:rPr>
              <w:t>42.8</w:t>
            </w:r>
          </w:p>
        </w:tc>
        <w:tc>
          <w:tcPr>
            <w:tcW w:w="397" w:type="pct"/>
            <w:noWrap/>
            <w:hideMark/>
          </w:tcPr>
          <w:p w14:paraId="04525F92" w14:textId="77777777" w:rsidR="00AF0ADF" w:rsidRPr="00291881" w:rsidRDefault="00AF0ADF" w:rsidP="00AF0ADF">
            <w:pPr>
              <w:jc w:val="right"/>
              <w:rPr>
                <w:rFonts w:cstheme="minorHAnsi"/>
                <w:sz w:val="20"/>
                <w:szCs w:val="20"/>
              </w:rPr>
            </w:pPr>
            <w:r w:rsidRPr="00291881">
              <w:rPr>
                <w:rFonts w:cstheme="minorHAnsi"/>
                <w:sz w:val="20"/>
                <w:szCs w:val="20"/>
              </w:rPr>
              <w:t>43.4</w:t>
            </w:r>
          </w:p>
        </w:tc>
        <w:tc>
          <w:tcPr>
            <w:tcW w:w="397" w:type="pct"/>
            <w:noWrap/>
            <w:hideMark/>
          </w:tcPr>
          <w:p w14:paraId="67290F92" w14:textId="77777777" w:rsidR="00AF0ADF" w:rsidRPr="00291881" w:rsidRDefault="00AF0ADF" w:rsidP="00AF0ADF">
            <w:pPr>
              <w:jc w:val="right"/>
              <w:rPr>
                <w:rFonts w:cstheme="minorHAnsi"/>
                <w:sz w:val="20"/>
                <w:szCs w:val="20"/>
              </w:rPr>
            </w:pPr>
            <w:r w:rsidRPr="00291881">
              <w:rPr>
                <w:rFonts w:cstheme="minorHAnsi"/>
                <w:sz w:val="20"/>
                <w:szCs w:val="20"/>
              </w:rPr>
              <w:t>43.1</w:t>
            </w:r>
          </w:p>
        </w:tc>
        <w:tc>
          <w:tcPr>
            <w:tcW w:w="394" w:type="pct"/>
            <w:noWrap/>
            <w:hideMark/>
          </w:tcPr>
          <w:p w14:paraId="2D474256" w14:textId="77777777" w:rsidR="00AF0ADF" w:rsidRPr="00291881" w:rsidRDefault="00AF0ADF" w:rsidP="00AF0ADF">
            <w:pPr>
              <w:jc w:val="right"/>
              <w:rPr>
                <w:rFonts w:cstheme="minorHAnsi"/>
                <w:sz w:val="20"/>
                <w:szCs w:val="20"/>
              </w:rPr>
            </w:pPr>
            <w:r w:rsidRPr="00291881">
              <w:rPr>
                <w:rFonts w:cstheme="minorHAnsi"/>
                <w:sz w:val="20"/>
                <w:szCs w:val="20"/>
              </w:rPr>
              <w:t>43.0</w:t>
            </w:r>
          </w:p>
        </w:tc>
      </w:tr>
      <w:tr w:rsidR="00AF0ADF" w:rsidRPr="00291881" w14:paraId="5146E2DC" w14:textId="77777777" w:rsidTr="00751711">
        <w:trPr>
          <w:trHeight w:val="20"/>
        </w:trPr>
        <w:tc>
          <w:tcPr>
            <w:tcW w:w="1431" w:type="pct"/>
            <w:noWrap/>
            <w:hideMark/>
          </w:tcPr>
          <w:p w14:paraId="288C9BB0" w14:textId="77777777" w:rsidR="00AF0ADF" w:rsidRPr="00291881" w:rsidRDefault="00AF0ADF" w:rsidP="00AF0ADF">
            <w:pPr>
              <w:rPr>
                <w:rFonts w:cstheme="minorHAnsi"/>
                <w:sz w:val="20"/>
                <w:szCs w:val="20"/>
              </w:rPr>
            </w:pPr>
            <w:r w:rsidRPr="00291881">
              <w:rPr>
                <w:rFonts w:cstheme="minorHAnsi"/>
                <w:sz w:val="20"/>
                <w:szCs w:val="20"/>
              </w:rPr>
              <w:t>Non-Indigenous</w:t>
            </w:r>
          </w:p>
        </w:tc>
        <w:tc>
          <w:tcPr>
            <w:tcW w:w="397" w:type="pct"/>
            <w:noWrap/>
            <w:hideMark/>
          </w:tcPr>
          <w:p w14:paraId="353D705A" w14:textId="77777777" w:rsidR="00AF0ADF" w:rsidRPr="00291881" w:rsidRDefault="00AF0ADF" w:rsidP="00AF0ADF">
            <w:pPr>
              <w:jc w:val="right"/>
              <w:rPr>
                <w:rFonts w:cstheme="minorHAnsi"/>
                <w:sz w:val="20"/>
                <w:szCs w:val="20"/>
              </w:rPr>
            </w:pPr>
            <w:r w:rsidRPr="00291881">
              <w:rPr>
                <w:rFonts w:cstheme="minorHAnsi"/>
                <w:sz w:val="20"/>
                <w:szCs w:val="20"/>
              </w:rPr>
              <w:t>14.5</w:t>
            </w:r>
          </w:p>
        </w:tc>
        <w:tc>
          <w:tcPr>
            <w:tcW w:w="397" w:type="pct"/>
            <w:noWrap/>
            <w:hideMark/>
          </w:tcPr>
          <w:p w14:paraId="110BF621" w14:textId="77777777" w:rsidR="00AF0ADF" w:rsidRPr="00291881" w:rsidRDefault="00AF0ADF" w:rsidP="00AF0ADF">
            <w:pPr>
              <w:jc w:val="right"/>
              <w:rPr>
                <w:rFonts w:cstheme="minorHAnsi"/>
                <w:sz w:val="20"/>
                <w:szCs w:val="20"/>
              </w:rPr>
            </w:pPr>
            <w:r w:rsidRPr="00291881">
              <w:rPr>
                <w:rFonts w:cstheme="minorHAnsi"/>
                <w:sz w:val="20"/>
                <w:szCs w:val="20"/>
              </w:rPr>
              <w:t>13.8</w:t>
            </w:r>
          </w:p>
        </w:tc>
        <w:tc>
          <w:tcPr>
            <w:tcW w:w="397" w:type="pct"/>
            <w:noWrap/>
            <w:hideMark/>
          </w:tcPr>
          <w:p w14:paraId="12EE03C4" w14:textId="77777777" w:rsidR="00AF0ADF" w:rsidRPr="00291881" w:rsidRDefault="00AF0ADF" w:rsidP="00AF0ADF">
            <w:pPr>
              <w:jc w:val="right"/>
              <w:rPr>
                <w:rFonts w:cstheme="minorHAnsi"/>
                <w:sz w:val="20"/>
                <w:szCs w:val="20"/>
              </w:rPr>
            </w:pPr>
            <w:r w:rsidRPr="00291881">
              <w:rPr>
                <w:rFonts w:cstheme="minorHAnsi"/>
                <w:sz w:val="20"/>
                <w:szCs w:val="20"/>
              </w:rPr>
              <w:t>12.8</w:t>
            </w:r>
          </w:p>
        </w:tc>
        <w:tc>
          <w:tcPr>
            <w:tcW w:w="397" w:type="pct"/>
            <w:noWrap/>
            <w:hideMark/>
          </w:tcPr>
          <w:p w14:paraId="50133D62" w14:textId="77777777" w:rsidR="00AF0ADF" w:rsidRPr="00291881" w:rsidRDefault="00AF0ADF" w:rsidP="00AF0ADF">
            <w:pPr>
              <w:jc w:val="right"/>
              <w:rPr>
                <w:rFonts w:cstheme="minorHAnsi"/>
                <w:sz w:val="20"/>
                <w:szCs w:val="20"/>
              </w:rPr>
            </w:pPr>
            <w:r w:rsidRPr="00291881">
              <w:rPr>
                <w:rFonts w:cstheme="minorHAnsi"/>
                <w:sz w:val="20"/>
                <w:szCs w:val="20"/>
              </w:rPr>
              <w:t>12.2</w:t>
            </w:r>
          </w:p>
        </w:tc>
        <w:tc>
          <w:tcPr>
            <w:tcW w:w="397" w:type="pct"/>
            <w:noWrap/>
            <w:hideMark/>
          </w:tcPr>
          <w:p w14:paraId="0D26C7E0" w14:textId="77777777" w:rsidR="00AF0ADF" w:rsidRPr="00291881" w:rsidRDefault="00AF0ADF" w:rsidP="00AF0ADF">
            <w:pPr>
              <w:jc w:val="right"/>
              <w:rPr>
                <w:rFonts w:cstheme="minorHAnsi"/>
                <w:sz w:val="20"/>
                <w:szCs w:val="20"/>
              </w:rPr>
            </w:pPr>
            <w:r w:rsidRPr="00291881">
              <w:rPr>
                <w:rFonts w:cstheme="minorHAnsi"/>
                <w:sz w:val="20"/>
                <w:szCs w:val="20"/>
              </w:rPr>
              <w:t>11.8</w:t>
            </w:r>
          </w:p>
        </w:tc>
        <w:tc>
          <w:tcPr>
            <w:tcW w:w="397" w:type="pct"/>
            <w:noWrap/>
            <w:hideMark/>
          </w:tcPr>
          <w:p w14:paraId="23CE85BD" w14:textId="77777777" w:rsidR="00AF0ADF" w:rsidRPr="00291881" w:rsidRDefault="00AF0ADF" w:rsidP="00AF0ADF">
            <w:pPr>
              <w:jc w:val="right"/>
              <w:rPr>
                <w:rFonts w:cstheme="minorHAnsi"/>
                <w:sz w:val="20"/>
                <w:szCs w:val="20"/>
              </w:rPr>
            </w:pPr>
            <w:r w:rsidRPr="00291881">
              <w:rPr>
                <w:rFonts w:cstheme="minorHAnsi"/>
                <w:sz w:val="20"/>
                <w:szCs w:val="20"/>
              </w:rPr>
              <w:t>11.2</w:t>
            </w:r>
          </w:p>
        </w:tc>
        <w:tc>
          <w:tcPr>
            <w:tcW w:w="397" w:type="pct"/>
            <w:noWrap/>
            <w:hideMark/>
          </w:tcPr>
          <w:p w14:paraId="44ED6153" w14:textId="77777777" w:rsidR="00AF0ADF" w:rsidRPr="00291881" w:rsidRDefault="00AF0ADF" w:rsidP="00AF0ADF">
            <w:pPr>
              <w:jc w:val="right"/>
              <w:rPr>
                <w:rFonts w:cstheme="minorHAnsi"/>
                <w:sz w:val="20"/>
                <w:szCs w:val="20"/>
              </w:rPr>
            </w:pPr>
            <w:r w:rsidRPr="00291881">
              <w:rPr>
                <w:rFonts w:cstheme="minorHAnsi"/>
                <w:sz w:val="20"/>
                <w:szCs w:val="20"/>
              </w:rPr>
              <w:t>11.4</w:t>
            </w:r>
          </w:p>
        </w:tc>
        <w:tc>
          <w:tcPr>
            <w:tcW w:w="397" w:type="pct"/>
            <w:noWrap/>
            <w:hideMark/>
          </w:tcPr>
          <w:p w14:paraId="61BB99CC" w14:textId="77777777" w:rsidR="00AF0ADF" w:rsidRPr="00291881" w:rsidRDefault="00AF0ADF" w:rsidP="00AF0ADF">
            <w:pPr>
              <w:jc w:val="right"/>
              <w:rPr>
                <w:rFonts w:cstheme="minorHAnsi"/>
                <w:sz w:val="20"/>
                <w:szCs w:val="20"/>
              </w:rPr>
            </w:pPr>
            <w:r w:rsidRPr="00291881">
              <w:rPr>
                <w:rFonts w:cstheme="minorHAnsi"/>
                <w:sz w:val="20"/>
                <w:szCs w:val="20"/>
              </w:rPr>
              <w:t>10.9</w:t>
            </w:r>
          </w:p>
        </w:tc>
        <w:tc>
          <w:tcPr>
            <w:tcW w:w="394" w:type="pct"/>
            <w:noWrap/>
            <w:hideMark/>
          </w:tcPr>
          <w:p w14:paraId="75080F7B" w14:textId="77777777" w:rsidR="00AF0ADF" w:rsidRPr="00291881" w:rsidRDefault="00AF0ADF" w:rsidP="00AF0ADF">
            <w:pPr>
              <w:jc w:val="right"/>
              <w:rPr>
                <w:rFonts w:cstheme="minorHAnsi"/>
                <w:sz w:val="20"/>
                <w:szCs w:val="20"/>
              </w:rPr>
            </w:pPr>
            <w:r w:rsidRPr="00291881">
              <w:rPr>
                <w:rFonts w:cstheme="minorHAnsi"/>
                <w:sz w:val="20"/>
                <w:szCs w:val="20"/>
              </w:rPr>
              <w:t>10.9</w:t>
            </w:r>
          </w:p>
        </w:tc>
      </w:tr>
      <w:tr w:rsidR="00AF0ADF" w:rsidRPr="00291881" w14:paraId="0C30DFB0" w14:textId="77777777" w:rsidTr="00AF0ADF">
        <w:trPr>
          <w:trHeight w:val="20"/>
        </w:trPr>
        <w:tc>
          <w:tcPr>
            <w:tcW w:w="5000" w:type="pct"/>
            <w:gridSpan w:val="10"/>
            <w:noWrap/>
            <w:hideMark/>
          </w:tcPr>
          <w:p w14:paraId="2779F175" w14:textId="77777777" w:rsidR="00AF0ADF" w:rsidRPr="00291881" w:rsidRDefault="00AF0ADF" w:rsidP="00AF0ADF">
            <w:pPr>
              <w:rPr>
                <w:rFonts w:cstheme="minorHAnsi"/>
                <w:sz w:val="20"/>
                <w:szCs w:val="20"/>
              </w:rPr>
            </w:pPr>
            <w:r w:rsidRPr="00291881">
              <w:rPr>
                <w:rFonts w:cstheme="minorHAnsi"/>
                <w:b/>
                <w:bCs/>
                <w:sz w:val="20"/>
                <w:szCs w:val="20"/>
              </w:rPr>
              <w:t>Remoteness of mother's usual residence</w:t>
            </w:r>
          </w:p>
        </w:tc>
      </w:tr>
      <w:tr w:rsidR="00AF0ADF" w:rsidRPr="00291881" w14:paraId="31F5C200" w14:textId="77777777" w:rsidTr="00751711">
        <w:trPr>
          <w:trHeight w:val="20"/>
        </w:trPr>
        <w:tc>
          <w:tcPr>
            <w:tcW w:w="1431" w:type="pct"/>
            <w:noWrap/>
            <w:hideMark/>
          </w:tcPr>
          <w:p w14:paraId="4A020FAB" w14:textId="77777777" w:rsidR="00AF0ADF" w:rsidRPr="00291881" w:rsidRDefault="00AF0ADF" w:rsidP="00AF0ADF">
            <w:pPr>
              <w:rPr>
                <w:rFonts w:cstheme="minorHAnsi"/>
                <w:sz w:val="20"/>
                <w:szCs w:val="20"/>
              </w:rPr>
            </w:pPr>
            <w:r w:rsidRPr="00291881">
              <w:rPr>
                <w:rFonts w:cstheme="minorHAnsi"/>
                <w:sz w:val="20"/>
                <w:szCs w:val="20"/>
              </w:rPr>
              <w:t>Major cities</w:t>
            </w:r>
          </w:p>
        </w:tc>
        <w:tc>
          <w:tcPr>
            <w:tcW w:w="397" w:type="pct"/>
            <w:noWrap/>
            <w:hideMark/>
          </w:tcPr>
          <w:p w14:paraId="4C1FFDD2" w14:textId="77777777" w:rsidR="00AF0ADF" w:rsidRPr="00291881" w:rsidRDefault="00AF0ADF" w:rsidP="00AF0ADF">
            <w:pPr>
              <w:jc w:val="right"/>
              <w:rPr>
                <w:rFonts w:cstheme="minorHAnsi"/>
                <w:sz w:val="20"/>
                <w:szCs w:val="20"/>
              </w:rPr>
            </w:pPr>
            <w:r>
              <w:rPr>
                <w:rFonts w:cstheme="minorHAnsi"/>
                <w:sz w:val="20"/>
                <w:szCs w:val="20"/>
              </w:rPr>
              <w:t>n.a.</w:t>
            </w:r>
          </w:p>
        </w:tc>
        <w:tc>
          <w:tcPr>
            <w:tcW w:w="397" w:type="pct"/>
            <w:noWrap/>
            <w:hideMark/>
          </w:tcPr>
          <w:p w14:paraId="02592DF2" w14:textId="77777777" w:rsidR="00AF0ADF" w:rsidRPr="00291881" w:rsidRDefault="00AF0ADF" w:rsidP="00AF0ADF">
            <w:pPr>
              <w:jc w:val="right"/>
              <w:rPr>
                <w:rFonts w:cstheme="minorHAnsi"/>
                <w:sz w:val="20"/>
                <w:szCs w:val="20"/>
              </w:rPr>
            </w:pPr>
            <w:r w:rsidRPr="00291881">
              <w:rPr>
                <w:rFonts w:cstheme="minorHAnsi"/>
                <w:sz w:val="20"/>
                <w:szCs w:val="20"/>
              </w:rPr>
              <w:t>9.5</w:t>
            </w:r>
          </w:p>
        </w:tc>
        <w:tc>
          <w:tcPr>
            <w:tcW w:w="397" w:type="pct"/>
            <w:noWrap/>
            <w:hideMark/>
          </w:tcPr>
          <w:p w14:paraId="3244496C" w14:textId="77777777" w:rsidR="00AF0ADF" w:rsidRPr="00291881" w:rsidRDefault="00AF0ADF" w:rsidP="00AF0ADF">
            <w:pPr>
              <w:jc w:val="right"/>
              <w:rPr>
                <w:rFonts w:cstheme="minorHAnsi"/>
                <w:sz w:val="20"/>
                <w:szCs w:val="20"/>
              </w:rPr>
            </w:pPr>
            <w:r w:rsidRPr="00291881">
              <w:rPr>
                <w:rFonts w:cstheme="minorHAnsi"/>
                <w:sz w:val="20"/>
                <w:szCs w:val="20"/>
              </w:rPr>
              <w:t>8.5</w:t>
            </w:r>
          </w:p>
        </w:tc>
        <w:tc>
          <w:tcPr>
            <w:tcW w:w="397" w:type="pct"/>
            <w:noWrap/>
            <w:hideMark/>
          </w:tcPr>
          <w:p w14:paraId="00C18A09" w14:textId="77777777" w:rsidR="00AF0ADF" w:rsidRPr="00291881" w:rsidRDefault="00AF0ADF" w:rsidP="00AF0ADF">
            <w:pPr>
              <w:jc w:val="right"/>
              <w:rPr>
                <w:rFonts w:cstheme="minorHAnsi"/>
                <w:sz w:val="20"/>
                <w:szCs w:val="20"/>
              </w:rPr>
            </w:pPr>
            <w:r w:rsidRPr="00291881">
              <w:rPr>
                <w:rFonts w:cstheme="minorHAnsi"/>
                <w:sz w:val="20"/>
                <w:szCs w:val="20"/>
              </w:rPr>
              <w:t>8.0</w:t>
            </w:r>
          </w:p>
        </w:tc>
        <w:tc>
          <w:tcPr>
            <w:tcW w:w="397" w:type="pct"/>
            <w:noWrap/>
            <w:hideMark/>
          </w:tcPr>
          <w:p w14:paraId="1BD91E90" w14:textId="77777777" w:rsidR="00AF0ADF" w:rsidRPr="00291881" w:rsidRDefault="00AF0ADF" w:rsidP="00AF0ADF">
            <w:pPr>
              <w:jc w:val="right"/>
              <w:rPr>
                <w:rFonts w:cstheme="minorHAnsi"/>
                <w:sz w:val="20"/>
                <w:szCs w:val="20"/>
              </w:rPr>
            </w:pPr>
            <w:r w:rsidRPr="00291881">
              <w:rPr>
                <w:rFonts w:cstheme="minorHAnsi"/>
                <w:sz w:val="20"/>
                <w:szCs w:val="20"/>
              </w:rPr>
              <w:t>7.7</w:t>
            </w:r>
          </w:p>
        </w:tc>
        <w:tc>
          <w:tcPr>
            <w:tcW w:w="397" w:type="pct"/>
            <w:noWrap/>
            <w:hideMark/>
          </w:tcPr>
          <w:p w14:paraId="737642FE" w14:textId="77777777" w:rsidR="00AF0ADF" w:rsidRPr="00291881" w:rsidRDefault="00AF0ADF" w:rsidP="00AF0ADF">
            <w:pPr>
              <w:jc w:val="right"/>
              <w:rPr>
                <w:rFonts w:cstheme="minorHAnsi"/>
                <w:sz w:val="20"/>
                <w:szCs w:val="20"/>
              </w:rPr>
            </w:pPr>
            <w:r w:rsidRPr="00291881">
              <w:rPr>
                <w:rFonts w:cstheme="minorHAnsi"/>
                <w:sz w:val="20"/>
                <w:szCs w:val="20"/>
              </w:rPr>
              <w:t>7.1</w:t>
            </w:r>
          </w:p>
        </w:tc>
        <w:tc>
          <w:tcPr>
            <w:tcW w:w="397" w:type="pct"/>
            <w:noWrap/>
            <w:hideMark/>
          </w:tcPr>
          <w:p w14:paraId="1AF4F6F6" w14:textId="77777777" w:rsidR="00AF0ADF" w:rsidRPr="00291881" w:rsidRDefault="00AF0ADF" w:rsidP="00AF0ADF">
            <w:pPr>
              <w:jc w:val="right"/>
              <w:rPr>
                <w:rFonts w:cstheme="minorHAnsi"/>
                <w:sz w:val="20"/>
                <w:szCs w:val="20"/>
              </w:rPr>
            </w:pPr>
            <w:r w:rsidRPr="00291881">
              <w:rPr>
                <w:rFonts w:cstheme="minorHAnsi"/>
                <w:sz w:val="20"/>
                <w:szCs w:val="20"/>
              </w:rPr>
              <w:t>7.2</w:t>
            </w:r>
          </w:p>
        </w:tc>
        <w:tc>
          <w:tcPr>
            <w:tcW w:w="397" w:type="pct"/>
            <w:noWrap/>
            <w:hideMark/>
          </w:tcPr>
          <w:p w14:paraId="42B2EDCB" w14:textId="77777777" w:rsidR="00AF0ADF" w:rsidRPr="00291881" w:rsidRDefault="00AF0ADF" w:rsidP="00AF0ADF">
            <w:pPr>
              <w:jc w:val="right"/>
              <w:rPr>
                <w:rFonts w:cstheme="minorHAnsi"/>
                <w:sz w:val="20"/>
                <w:szCs w:val="20"/>
              </w:rPr>
            </w:pPr>
            <w:r w:rsidRPr="00291881">
              <w:rPr>
                <w:rFonts w:cstheme="minorHAnsi"/>
                <w:sz w:val="20"/>
                <w:szCs w:val="20"/>
              </w:rPr>
              <w:t>6.9</w:t>
            </w:r>
          </w:p>
        </w:tc>
        <w:tc>
          <w:tcPr>
            <w:tcW w:w="394" w:type="pct"/>
            <w:noWrap/>
            <w:hideMark/>
          </w:tcPr>
          <w:p w14:paraId="655967F3" w14:textId="77777777" w:rsidR="00AF0ADF" w:rsidRPr="00291881" w:rsidRDefault="00AF0ADF" w:rsidP="00AF0ADF">
            <w:pPr>
              <w:jc w:val="right"/>
              <w:rPr>
                <w:rFonts w:cstheme="minorHAnsi"/>
                <w:sz w:val="20"/>
                <w:szCs w:val="20"/>
              </w:rPr>
            </w:pPr>
            <w:r w:rsidRPr="00291881">
              <w:rPr>
                <w:rFonts w:cstheme="minorHAnsi"/>
                <w:sz w:val="20"/>
                <w:szCs w:val="20"/>
              </w:rPr>
              <w:t>6.7</w:t>
            </w:r>
          </w:p>
        </w:tc>
      </w:tr>
      <w:tr w:rsidR="00AF0ADF" w:rsidRPr="00291881" w14:paraId="40A26002" w14:textId="77777777" w:rsidTr="00751711">
        <w:trPr>
          <w:trHeight w:val="20"/>
        </w:trPr>
        <w:tc>
          <w:tcPr>
            <w:tcW w:w="1431" w:type="pct"/>
            <w:noWrap/>
            <w:hideMark/>
          </w:tcPr>
          <w:p w14:paraId="3C2042FB" w14:textId="77777777" w:rsidR="00AF0ADF" w:rsidRPr="00291881" w:rsidRDefault="00AF0ADF" w:rsidP="00AF0ADF">
            <w:pPr>
              <w:rPr>
                <w:rFonts w:cstheme="minorHAnsi"/>
                <w:sz w:val="20"/>
                <w:szCs w:val="20"/>
              </w:rPr>
            </w:pPr>
            <w:r w:rsidRPr="00291881">
              <w:rPr>
                <w:rFonts w:cstheme="minorHAnsi"/>
                <w:sz w:val="20"/>
                <w:szCs w:val="20"/>
              </w:rPr>
              <w:t>Inner regional</w:t>
            </w:r>
          </w:p>
        </w:tc>
        <w:tc>
          <w:tcPr>
            <w:tcW w:w="397" w:type="pct"/>
            <w:noWrap/>
            <w:hideMark/>
          </w:tcPr>
          <w:p w14:paraId="3CB66DE0" w14:textId="77777777" w:rsidR="00AF0ADF" w:rsidRPr="00291881" w:rsidRDefault="00AF0ADF" w:rsidP="00AF0ADF">
            <w:pPr>
              <w:jc w:val="right"/>
              <w:rPr>
                <w:rFonts w:cstheme="minorHAnsi"/>
                <w:sz w:val="20"/>
                <w:szCs w:val="20"/>
              </w:rPr>
            </w:pPr>
            <w:r w:rsidRPr="007D24F7">
              <w:rPr>
                <w:rFonts w:cstheme="minorHAnsi"/>
                <w:sz w:val="20"/>
                <w:szCs w:val="20"/>
              </w:rPr>
              <w:t>n.a.</w:t>
            </w:r>
          </w:p>
        </w:tc>
        <w:tc>
          <w:tcPr>
            <w:tcW w:w="397" w:type="pct"/>
            <w:noWrap/>
            <w:hideMark/>
          </w:tcPr>
          <w:p w14:paraId="3DA20A49" w14:textId="77777777" w:rsidR="00AF0ADF" w:rsidRPr="00291881" w:rsidRDefault="00AF0ADF" w:rsidP="00AF0ADF">
            <w:pPr>
              <w:jc w:val="right"/>
              <w:rPr>
                <w:rFonts w:cstheme="minorHAnsi"/>
                <w:sz w:val="20"/>
                <w:szCs w:val="20"/>
              </w:rPr>
            </w:pPr>
            <w:r w:rsidRPr="00291881">
              <w:rPr>
                <w:rFonts w:cstheme="minorHAnsi"/>
                <w:sz w:val="20"/>
                <w:szCs w:val="20"/>
              </w:rPr>
              <w:t>18.3</w:t>
            </w:r>
          </w:p>
        </w:tc>
        <w:tc>
          <w:tcPr>
            <w:tcW w:w="397" w:type="pct"/>
            <w:noWrap/>
            <w:hideMark/>
          </w:tcPr>
          <w:p w14:paraId="0C71592E" w14:textId="77777777" w:rsidR="00AF0ADF" w:rsidRPr="00291881" w:rsidRDefault="00AF0ADF" w:rsidP="00AF0ADF">
            <w:pPr>
              <w:jc w:val="right"/>
              <w:rPr>
                <w:rFonts w:cstheme="minorHAnsi"/>
                <w:sz w:val="20"/>
                <w:szCs w:val="20"/>
              </w:rPr>
            </w:pPr>
            <w:r w:rsidRPr="00291881">
              <w:rPr>
                <w:rFonts w:cstheme="minorHAnsi"/>
                <w:sz w:val="20"/>
                <w:szCs w:val="20"/>
              </w:rPr>
              <w:t>17.0</w:t>
            </w:r>
          </w:p>
        </w:tc>
        <w:tc>
          <w:tcPr>
            <w:tcW w:w="397" w:type="pct"/>
            <w:noWrap/>
            <w:hideMark/>
          </w:tcPr>
          <w:p w14:paraId="7376F833" w14:textId="77777777" w:rsidR="00AF0ADF" w:rsidRPr="00291881" w:rsidRDefault="00AF0ADF" w:rsidP="00AF0ADF">
            <w:pPr>
              <w:jc w:val="right"/>
              <w:rPr>
                <w:rFonts w:cstheme="minorHAnsi"/>
                <w:sz w:val="20"/>
                <w:szCs w:val="20"/>
              </w:rPr>
            </w:pPr>
            <w:r w:rsidRPr="00291881">
              <w:rPr>
                <w:rFonts w:cstheme="minorHAnsi"/>
                <w:sz w:val="20"/>
                <w:szCs w:val="20"/>
              </w:rPr>
              <w:t>16.2</w:t>
            </w:r>
          </w:p>
        </w:tc>
        <w:tc>
          <w:tcPr>
            <w:tcW w:w="397" w:type="pct"/>
            <w:noWrap/>
            <w:hideMark/>
          </w:tcPr>
          <w:p w14:paraId="361CA919" w14:textId="77777777" w:rsidR="00AF0ADF" w:rsidRPr="00291881" w:rsidRDefault="00AF0ADF" w:rsidP="00AF0ADF">
            <w:pPr>
              <w:jc w:val="right"/>
              <w:rPr>
                <w:rFonts w:cstheme="minorHAnsi"/>
                <w:sz w:val="20"/>
                <w:szCs w:val="20"/>
              </w:rPr>
            </w:pPr>
            <w:r w:rsidRPr="00291881">
              <w:rPr>
                <w:rFonts w:cstheme="minorHAnsi"/>
                <w:sz w:val="20"/>
                <w:szCs w:val="20"/>
              </w:rPr>
              <w:t>15.2</w:t>
            </w:r>
          </w:p>
        </w:tc>
        <w:tc>
          <w:tcPr>
            <w:tcW w:w="397" w:type="pct"/>
            <w:noWrap/>
            <w:hideMark/>
          </w:tcPr>
          <w:p w14:paraId="04900591" w14:textId="77777777" w:rsidR="00AF0ADF" w:rsidRPr="00291881" w:rsidRDefault="00AF0ADF" w:rsidP="00AF0ADF">
            <w:pPr>
              <w:jc w:val="right"/>
              <w:rPr>
                <w:rFonts w:cstheme="minorHAnsi"/>
                <w:sz w:val="20"/>
                <w:szCs w:val="20"/>
              </w:rPr>
            </w:pPr>
            <w:r w:rsidRPr="00291881">
              <w:rPr>
                <w:rFonts w:cstheme="minorHAnsi"/>
                <w:sz w:val="20"/>
                <w:szCs w:val="20"/>
              </w:rPr>
              <w:t>14.6</w:t>
            </w:r>
          </w:p>
        </w:tc>
        <w:tc>
          <w:tcPr>
            <w:tcW w:w="397" w:type="pct"/>
            <w:noWrap/>
            <w:hideMark/>
          </w:tcPr>
          <w:p w14:paraId="24324B38" w14:textId="77777777" w:rsidR="00AF0ADF" w:rsidRPr="00291881" w:rsidRDefault="00AF0ADF" w:rsidP="00AF0ADF">
            <w:pPr>
              <w:jc w:val="right"/>
              <w:rPr>
                <w:rFonts w:cstheme="minorHAnsi"/>
                <w:sz w:val="20"/>
                <w:szCs w:val="20"/>
              </w:rPr>
            </w:pPr>
            <w:r w:rsidRPr="00291881">
              <w:rPr>
                <w:rFonts w:cstheme="minorHAnsi"/>
                <w:sz w:val="20"/>
                <w:szCs w:val="20"/>
              </w:rPr>
              <w:t>14.9</w:t>
            </w:r>
          </w:p>
        </w:tc>
        <w:tc>
          <w:tcPr>
            <w:tcW w:w="397" w:type="pct"/>
            <w:noWrap/>
            <w:hideMark/>
          </w:tcPr>
          <w:p w14:paraId="387C5805" w14:textId="77777777" w:rsidR="00AF0ADF" w:rsidRPr="00291881" w:rsidRDefault="00AF0ADF" w:rsidP="00AF0ADF">
            <w:pPr>
              <w:jc w:val="right"/>
              <w:rPr>
                <w:rFonts w:cstheme="minorHAnsi"/>
                <w:sz w:val="20"/>
                <w:szCs w:val="20"/>
              </w:rPr>
            </w:pPr>
            <w:r w:rsidRPr="00291881">
              <w:rPr>
                <w:rFonts w:cstheme="minorHAnsi"/>
                <w:sz w:val="20"/>
                <w:szCs w:val="20"/>
              </w:rPr>
              <w:t>14.3</w:t>
            </w:r>
          </w:p>
        </w:tc>
        <w:tc>
          <w:tcPr>
            <w:tcW w:w="394" w:type="pct"/>
            <w:noWrap/>
            <w:hideMark/>
          </w:tcPr>
          <w:p w14:paraId="154985E5" w14:textId="77777777" w:rsidR="00AF0ADF" w:rsidRPr="00291881" w:rsidRDefault="00AF0ADF" w:rsidP="00AF0ADF">
            <w:pPr>
              <w:jc w:val="right"/>
              <w:rPr>
                <w:rFonts w:cstheme="minorHAnsi"/>
                <w:sz w:val="20"/>
                <w:szCs w:val="20"/>
              </w:rPr>
            </w:pPr>
            <w:r w:rsidRPr="00291881">
              <w:rPr>
                <w:rFonts w:cstheme="minorHAnsi"/>
                <w:sz w:val="20"/>
                <w:szCs w:val="20"/>
              </w:rPr>
              <w:t>14.3</w:t>
            </w:r>
          </w:p>
        </w:tc>
      </w:tr>
      <w:tr w:rsidR="00AF0ADF" w:rsidRPr="00291881" w14:paraId="235E60C0" w14:textId="77777777" w:rsidTr="00751711">
        <w:trPr>
          <w:trHeight w:val="20"/>
        </w:trPr>
        <w:tc>
          <w:tcPr>
            <w:tcW w:w="1431" w:type="pct"/>
            <w:noWrap/>
            <w:hideMark/>
          </w:tcPr>
          <w:p w14:paraId="304A00F2" w14:textId="77777777" w:rsidR="00AF0ADF" w:rsidRPr="00291881" w:rsidRDefault="00AF0ADF" w:rsidP="00AF0ADF">
            <w:pPr>
              <w:rPr>
                <w:rFonts w:cstheme="minorHAnsi"/>
                <w:sz w:val="20"/>
                <w:szCs w:val="20"/>
              </w:rPr>
            </w:pPr>
            <w:r w:rsidRPr="00291881">
              <w:rPr>
                <w:rFonts w:cstheme="minorHAnsi"/>
                <w:sz w:val="20"/>
                <w:szCs w:val="20"/>
              </w:rPr>
              <w:t>Outer regional</w:t>
            </w:r>
          </w:p>
        </w:tc>
        <w:tc>
          <w:tcPr>
            <w:tcW w:w="397" w:type="pct"/>
            <w:noWrap/>
            <w:hideMark/>
          </w:tcPr>
          <w:p w14:paraId="2213240D" w14:textId="77777777" w:rsidR="00AF0ADF" w:rsidRPr="00291881" w:rsidRDefault="00AF0ADF" w:rsidP="00AF0ADF">
            <w:pPr>
              <w:jc w:val="right"/>
              <w:rPr>
                <w:rFonts w:cstheme="minorHAnsi"/>
                <w:sz w:val="20"/>
                <w:szCs w:val="20"/>
              </w:rPr>
            </w:pPr>
            <w:r w:rsidRPr="007D24F7">
              <w:rPr>
                <w:rFonts w:cstheme="minorHAnsi"/>
                <w:sz w:val="20"/>
                <w:szCs w:val="20"/>
              </w:rPr>
              <w:t>n.a.</w:t>
            </w:r>
          </w:p>
        </w:tc>
        <w:tc>
          <w:tcPr>
            <w:tcW w:w="397" w:type="pct"/>
            <w:noWrap/>
            <w:hideMark/>
          </w:tcPr>
          <w:p w14:paraId="535ABBEC" w14:textId="77777777" w:rsidR="00AF0ADF" w:rsidRPr="00291881" w:rsidRDefault="00AF0ADF" w:rsidP="00AF0ADF">
            <w:pPr>
              <w:jc w:val="right"/>
              <w:rPr>
                <w:rFonts w:cstheme="minorHAnsi"/>
                <w:sz w:val="20"/>
                <w:szCs w:val="20"/>
              </w:rPr>
            </w:pPr>
            <w:r w:rsidRPr="00291881">
              <w:rPr>
                <w:rFonts w:cstheme="minorHAnsi"/>
                <w:sz w:val="20"/>
                <w:szCs w:val="20"/>
              </w:rPr>
              <w:t>19.8</w:t>
            </w:r>
          </w:p>
        </w:tc>
        <w:tc>
          <w:tcPr>
            <w:tcW w:w="397" w:type="pct"/>
            <w:noWrap/>
            <w:hideMark/>
          </w:tcPr>
          <w:p w14:paraId="5AE82539" w14:textId="77777777" w:rsidR="00AF0ADF" w:rsidRPr="00291881" w:rsidRDefault="00AF0ADF" w:rsidP="00AF0ADF">
            <w:pPr>
              <w:jc w:val="right"/>
              <w:rPr>
                <w:rFonts w:cstheme="minorHAnsi"/>
                <w:sz w:val="20"/>
                <w:szCs w:val="20"/>
              </w:rPr>
            </w:pPr>
            <w:r w:rsidRPr="00291881">
              <w:rPr>
                <w:rFonts w:cstheme="minorHAnsi"/>
                <w:sz w:val="20"/>
                <w:szCs w:val="20"/>
              </w:rPr>
              <w:t>18.9</w:t>
            </w:r>
          </w:p>
        </w:tc>
        <w:tc>
          <w:tcPr>
            <w:tcW w:w="397" w:type="pct"/>
            <w:noWrap/>
            <w:hideMark/>
          </w:tcPr>
          <w:p w14:paraId="16E8E968" w14:textId="77777777" w:rsidR="00AF0ADF" w:rsidRPr="00291881" w:rsidRDefault="00AF0ADF" w:rsidP="00AF0ADF">
            <w:pPr>
              <w:jc w:val="right"/>
              <w:rPr>
                <w:rFonts w:cstheme="minorHAnsi"/>
                <w:sz w:val="20"/>
                <w:szCs w:val="20"/>
              </w:rPr>
            </w:pPr>
            <w:r w:rsidRPr="00291881">
              <w:rPr>
                <w:rFonts w:cstheme="minorHAnsi"/>
                <w:sz w:val="20"/>
                <w:szCs w:val="20"/>
              </w:rPr>
              <w:t>17.8</w:t>
            </w:r>
          </w:p>
        </w:tc>
        <w:tc>
          <w:tcPr>
            <w:tcW w:w="397" w:type="pct"/>
            <w:noWrap/>
            <w:hideMark/>
          </w:tcPr>
          <w:p w14:paraId="004EEB44" w14:textId="77777777" w:rsidR="00AF0ADF" w:rsidRPr="00291881" w:rsidRDefault="00AF0ADF" w:rsidP="00AF0ADF">
            <w:pPr>
              <w:jc w:val="right"/>
              <w:rPr>
                <w:rFonts w:cstheme="minorHAnsi"/>
                <w:sz w:val="20"/>
                <w:szCs w:val="20"/>
              </w:rPr>
            </w:pPr>
            <w:r w:rsidRPr="00291881">
              <w:rPr>
                <w:rFonts w:cstheme="minorHAnsi"/>
                <w:sz w:val="20"/>
                <w:szCs w:val="20"/>
              </w:rPr>
              <w:t>16.7</w:t>
            </w:r>
          </w:p>
        </w:tc>
        <w:tc>
          <w:tcPr>
            <w:tcW w:w="397" w:type="pct"/>
            <w:noWrap/>
            <w:hideMark/>
          </w:tcPr>
          <w:p w14:paraId="6EA430D2" w14:textId="77777777" w:rsidR="00AF0ADF" w:rsidRPr="00291881" w:rsidRDefault="00AF0ADF" w:rsidP="00AF0ADF">
            <w:pPr>
              <w:jc w:val="right"/>
              <w:rPr>
                <w:rFonts w:cstheme="minorHAnsi"/>
                <w:sz w:val="20"/>
                <w:szCs w:val="20"/>
              </w:rPr>
            </w:pPr>
            <w:r w:rsidRPr="00291881">
              <w:rPr>
                <w:rFonts w:cstheme="minorHAnsi"/>
                <w:sz w:val="20"/>
                <w:szCs w:val="20"/>
              </w:rPr>
              <w:t>16.5</w:t>
            </w:r>
          </w:p>
        </w:tc>
        <w:tc>
          <w:tcPr>
            <w:tcW w:w="397" w:type="pct"/>
            <w:noWrap/>
            <w:hideMark/>
          </w:tcPr>
          <w:p w14:paraId="2BF1CD12" w14:textId="77777777" w:rsidR="00AF0ADF" w:rsidRPr="00291881" w:rsidRDefault="00AF0ADF" w:rsidP="00AF0ADF">
            <w:pPr>
              <w:jc w:val="right"/>
              <w:rPr>
                <w:rFonts w:cstheme="minorHAnsi"/>
                <w:sz w:val="20"/>
                <w:szCs w:val="20"/>
              </w:rPr>
            </w:pPr>
            <w:r w:rsidRPr="00291881">
              <w:rPr>
                <w:rFonts w:cstheme="minorHAnsi"/>
                <w:sz w:val="20"/>
                <w:szCs w:val="20"/>
              </w:rPr>
              <w:t>16.8</w:t>
            </w:r>
          </w:p>
        </w:tc>
        <w:tc>
          <w:tcPr>
            <w:tcW w:w="397" w:type="pct"/>
            <w:noWrap/>
            <w:hideMark/>
          </w:tcPr>
          <w:p w14:paraId="7654F93D" w14:textId="77777777" w:rsidR="00AF0ADF" w:rsidRPr="00291881" w:rsidRDefault="00AF0ADF" w:rsidP="00AF0ADF">
            <w:pPr>
              <w:jc w:val="right"/>
              <w:rPr>
                <w:rFonts w:cstheme="minorHAnsi"/>
                <w:sz w:val="20"/>
                <w:szCs w:val="20"/>
              </w:rPr>
            </w:pPr>
            <w:r w:rsidRPr="00291881">
              <w:rPr>
                <w:rFonts w:cstheme="minorHAnsi"/>
                <w:sz w:val="20"/>
                <w:szCs w:val="20"/>
              </w:rPr>
              <w:t>16.5</w:t>
            </w:r>
          </w:p>
        </w:tc>
        <w:tc>
          <w:tcPr>
            <w:tcW w:w="394" w:type="pct"/>
            <w:noWrap/>
            <w:hideMark/>
          </w:tcPr>
          <w:p w14:paraId="34EA80DD" w14:textId="77777777" w:rsidR="00AF0ADF" w:rsidRPr="00291881" w:rsidRDefault="00AF0ADF" w:rsidP="00AF0ADF">
            <w:pPr>
              <w:jc w:val="right"/>
              <w:rPr>
                <w:rFonts w:cstheme="minorHAnsi"/>
                <w:sz w:val="20"/>
                <w:szCs w:val="20"/>
              </w:rPr>
            </w:pPr>
            <w:r w:rsidRPr="00291881">
              <w:rPr>
                <w:rFonts w:cstheme="minorHAnsi"/>
                <w:sz w:val="20"/>
                <w:szCs w:val="20"/>
              </w:rPr>
              <w:t>16.5</w:t>
            </w:r>
          </w:p>
        </w:tc>
      </w:tr>
      <w:tr w:rsidR="00AF0ADF" w:rsidRPr="00291881" w14:paraId="61A1786F" w14:textId="77777777" w:rsidTr="00751711">
        <w:trPr>
          <w:trHeight w:val="20"/>
        </w:trPr>
        <w:tc>
          <w:tcPr>
            <w:tcW w:w="1431" w:type="pct"/>
            <w:noWrap/>
            <w:hideMark/>
          </w:tcPr>
          <w:p w14:paraId="76B25DA5" w14:textId="77777777" w:rsidR="00AF0ADF" w:rsidRPr="00291881" w:rsidRDefault="00AF0ADF" w:rsidP="00AF0ADF">
            <w:pPr>
              <w:rPr>
                <w:rFonts w:cstheme="minorHAnsi"/>
                <w:sz w:val="20"/>
                <w:szCs w:val="20"/>
              </w:rPr>
            </w:pPr>
            <w:r w:rsidRPr="00291881">
              <w:rPr>
                <w:rFonts w:cstheme="minorHAnsi"/>
                <w:sz w:val="20"/>
                <w:szCs w:val="20"/>
              </w:rPr>
              <w:t>Remote</w:t>
            </w:r>
          </w:p>
        </w:tc>
        <w:tc>
          <w:tcPr>
            <w:tcW w:w="397" w:type="pct"/>
            <w:noWrap/>
            <w:hideMark/>
          </w:tcPr>
          <w:p w14:paraId="33BF701D" w14:textId="77777777" w:rsidR="00AF0ADF" w:rsidRPr="00291881" w:rsidRDefault="00AF0ADF" w:rsidP="00AF0ADF">
            <w:pPr>
              <w:jc w:val="right"/>
              <w:rPr>
                <w:rFonts w:cstheme="minorHAnsi"/>
                <w:sz w:val="20"/>
                <w:szCs w:val="20"/>
              </w:rPr>
            </w:pPr>
            <w:r w:rsidRPr="007D24F7">
              <w:rPr>
                <w:rFonts w:cstheme="minorHAnsi"/>
                <w:sz w:val="20"/>
                <w:szCs w:val="20"/>
              </w:rPr>
              <w:t>n.a.</w:t>
            </w:r>
          </w:p>
        </w:tc>
        <w:tc>
          <w:tcPr>
            <w:tcW w:w="397" w:type="pct"/>
            <w:noWrap/>
            <w:hideMark/>
          </w:tcPr>
          <w:p w14:paraId="523CD509" w14:textId="77777777" w:rsidR="00AF0ADF" w:rsidRPr="00291881" w:rsidRDefault="00AF0ADF" w:rsidP="00AF0ADF">
            <w:pPr>
              <w:jc w:val="right"/>
              <w:rPr>
                <w:rFonts w:cstheme="minorHAnsi"/>
                <w:sz w:val="20"/>
                <w:szCs w:val="20"/>
              </w:rPr>
            </w:pPr>
            <w:r w:rsidRPr="00291881">
              <w:rPr>
                <w:rFonts w:cstheme="minorHAnsi"/>
                <w:sz w:val="20"/>
                <w:szCs w:val="20"/>
              </w:rPr>
              <w:t>23.6</w:t>
            </w:r>
          </w:p>
        </w:tc>
        <w:tc>
          <w:tcPr>
            <w:tcW w:w="397" w:type="pct"/>
            <w:noWrap/>
            <w:hideMark/>
          </w:tcPr>
          <w:p w14:paraId="02C5A592" w14:textId="77777777" w:rsidR="00AF0ADF" w:rsidRPr="00291881" w:rsidRDefault="00AF0ADF" w:rsidP="00AF0ADF">
            <w:pPr>
              <w:jc w:val="right"/>
              <w:rPr>
                <w:rFonts w:cstheme="minorHAnsi"/>
                <w:sz w:val="20"/>
                <w:szCs w:val="20"/>
              </w:rPr>
            </w:pPr>
            <w:r w:rsidRPr="00291881">
              <w:rPr>
                <w:rFonts w:cstheme="minorHAnsi"/>
                <w:sz w:val="20"/>
                <w:szCs w:val="20"/>
              </w:rPr>
              <w:t>20.9</w:t>
            </w:r>
          </w:p>
        </w:tc>
        <w:tc>
          <w:tcPr>
            <w:tcW w:w="397" w:type="pct"/>
            <w:noWrap/>
            <w:hideMark/>
          </w:tcPr>
          <w:p w14:paraId="736D89B5" w14:textId="77777777" w:rsidR="00AF0ADF" w:rsidRPr="00291881" w:rsidRDefault="00AF0ADF" w:rsidP="00AF0ADF">
            <w:pPr>
              <w:jc w:val="right"/>
              <w:rPr>
                <w:rFonts w:cstheme="minorHAnsi"/>
                <w:sz w:val="20"/>
                <w:szCs w:val="20"/>
              </w:rPr>
            </w:pPr>
            <w:r w:rsidRPr="00291881">
              <w:rPr>
                <w:rFonts w:cstheme="minorHAnsi"/>
                <w:sz w:val="20"/>
                <w:szCs w:val="20"/>
              </w:rPr>
              <w:t>19.7</w:t>
            </w:r>
          </w:p>
        </w:tc>
        <w:tc>
          <w:tcPr>
            <w:tcW w:w="397" w:type="pct"/>
            <w:noWrap/>
            <w:hideMark/>
          </w:tcPr>
          <w:p w14:paraId="4C48E362" w14:textId="77777777" w:rsidR="00AF0ADF" w:rsidRPr="00291881" w:rsidRDefault="00AF0ADF" w:rsidP="00AF0ADF">
            <w:pPr>
              <w:jc w:val="right"/>
              <w:rPr>
                <w:rFonts w:cstheme="minorHAnsi"/>
                <w:sz w:val="20"/>
                <w:szCs w:val="20"/>
              </w:rPr>
            </w:pPr>
            <w:r w:rsidRPr="00291881">
              <w:rPr>
                <w:rFonts w:cstheme="minorHAnsi"/>
                <w:sz w:val="20"/>
                <w:szCs w:val="20"/>
              </w:rPr>
              <w:t>18.8</w:t>
            </w:r>
          </w:p>
        </w:tc>
        <w:tc>
          <w:tcPr>
            <w:tcW w:w="397" w:type="pct"/>
            <w:noWrap/>
            <w:hideMark/>
          </w:tcPr>
          <w:p w14:paraId="23481679" w14:textId="77777777" w:rsidR="00AF0ADF" w:rsidRPr="00291881" w:rsidRDefault="00AF0ADF" w:rsidP="00AF0ADF">
            <w:pPr>
              <w:jc w:val="right"/>
              <w:rPr>
                <w:rFonts w:cstheme="minorHAnsi"/>
                <w:sz w:val="20"/>
                <w:szCs w:val="20"/>
              </w:rPr>
            </w:pPr>
            <w:r w:rsidRPr="00291881">
              <w:rPr>
                <w:rFonts w:cstheme="minorHAnsi"/>
                <w:sz w:val="20"/>
                <w:szCs w:val="20"/>
              </w:rPr>
              <w:t>19.5</w:t>
            </w:r>
          </w:p>
        </w:tc>
        <w:tc>
          <w:tcPr>
            <w:tcW w:w="397" w:type="pct"/>
            <w:noWrap/>
            <w:hideMark/>
          </w:tcPr>
          <w:p w14:paraId="1F92DAB4" w14:textId="77777777" w:rsidR="00AF0ADF" w:rsidRPr="00291881" w:rsidRDefault="00AF0ADF" w:rsidP="00AF0ADF">
            <w:pPr>
              <w:jc w:val="right"/>
              <w:rPr>
                <w:rFonts w:cstheme="minorHAnsi"/>
                <w:sz w:val="20"/>
                <w:szCs w:val="20"/>
              </w:rPr>
            </w:pPr>
            <w:r w:rsidRPr="00291881">
              <w:rPr>
                <w:rFonts w:cstheme="minorHAnsi"/>
                <w:sz w:val="20"/>
                <w:szCs w:val="20"/>
              </w:rPr>
              <w:t>17.6</w:t>
            </w:r>
          </w:p>
        </w:tc>
        <w:tc>
          <w:tcPr>
            <w:tcW w:w="397" w:type="pct"/>
            <w:noWrap/>
            <w:hideMark/>
          </w:tcPr>
          <w:p w14:paraId="5FDCEE73" w14:textId="77777777" w:rsidR="00AF0ADF" w:rsidRPr="00291881" w:rsidRDefault="00AF0ADF" w:rsidP="00AF0ADF">
            <w:pPr>
              <w:jc w:val="right"/>
              <w:rPr>
                <w:rFonts w:cstheme="minorHAnsi"/>
                <w:sz w:val="20"/>
                <w:szCs w:val="20"/>
              </w:rPr>
            </w:pPr>
            <w:r w:rsidRPr="00291881">
              <w:rPr>
                <w:rFonts w:cstheme="minorHAnsi"/>
                <w:sz w:val="20"/>
                <w:szCs w:val="20"/>
              </w:rPr>
              <w:t>17.9</w:t>
            </w:r>
          </w:p>
        </w:tc>
        <w:tc>
          <w:tcPr>
            <w:tcW w:w="394" w:type="pct"/>
            <w:noWrap/>
            <w:hideMark/>
          </w:tcPr>
          <w:p w14:paraId="39B4A16C" w14:textId="77777777" w:rsidR="00AF0ADF" w:rsidRPr="00291881" w:rsidRDefault="00AF0ADF" w:rsidP="00AF0ADF">
            <w:pPr>
              <w:jc w:val="right"/>
              <w:rPr>
                <w:rFonts w:cstheme="minorHAnsi"/>
                <w:sz w:val="20"/>
                <w:szCs w:val="20"/>
              </w:rPr>
            </w:pPr>
            <w:r w:rsidRPr="00291881">
              <w:rPr>
                <w:rFonts w:cstheme="minorHAnsi"/>
                <w:sz w:val="20"/>
                <w:szCs w:val="20"/>
              </w:rPr>
              <w:t>19.6</w:t>
            </w:r>
          </w:p>
        </w:tc>
      </w:tr>
      <w:tr w:rsidR="00AF0ADF" w:rsidRPr="00291881" w14:paraId="412ADD82" w14:textId="77777777" w:rsidTr="00751711">
        <w:trPr>
          <w:trHeight w:val="20"/>
        </w:trPr>
        <w:tc>
          <w:tcPr>
            <w:tcW w:w="1431" w:type="pct"/>
            <w:noWrap/>
            <w:hideMark/>
          </w:tcPr>
          <w:p w14:paraId="0A96301D" w14:textId="77777777" w:rsidR="00AF0ADF" w:rsidRPr="00291881" w:rsidRDefault="00AF0ADF" w:rsidP="00AF0ADF">
            <w:pPr>
              <w:rPr>
                <w:rFonts w:cstheme="minorHAnsi"/>
                <w:sz w:val="20"/>
                <w:szCs w:val="20"/>
              </w:rPr>
            </w:pPr>
            <w:r w:rsidRPr="00291881">
              <w:rPr>
                <w:rFonts w:cstheme="minorHAnsi"/>
                <w:sz w:val="20"/>
                <w:szCs w:val="20"/>
              </w:rPr>
              <w:t>Very remote</w:t>
            </w:r>
          </w:p>
        </w:tc>
        <w:tc>
          <w:tcPr>
            <w:tcW w:w="397" w:type="pct"/>
            <w:noWrap/>
            <w:hideMark/>
          </w:tcPr>
          <w:p w14:paraId="3EC090B1" w14:textId="77777777" w:rsidR="00AF0ADF" w:rsidRPr="00291881" w:rsidRDefault="00AF0ADF" w:rsidP="00AF0ADF">
            <w:pPr>
              <w:jc w:val="right"/>
              <w:rPr>
                <w:rFonts w:cstheme="minorHAnsi"/>
                <w:sz w:val="20"/>
                <w:szCs w:val="20"/>
              </w:rPr>
            </w:pPr>
            <w:r w:rsidRPr="007D24F7">
              <w:rPr>
                <w:rFonts w:cstheme="minorHAnsi"/>
                <w:sz w:val="20"/>
                <w:szCs w:val="20"/>
              </w:rPr>
              <w:t>n.a.</w:t>
            </w:r>
          </w:p>
        </w:tc>
        <w:tc>
          <w:tcPr>
            <w:tcW w:w="397" w:type="pct"/>
            <w:noWrap/>
            <w:hideMark/>
          </w:tcPr>
          <w:p w14:paraId="7C7BAD10" w14:textId="77777777" w:rsidR="00AF0ADF" w:rsidRPr="00291881" w:rsidRDefault="00AF0ADF" w:rsidP="00AF0ADF">
            <w:pPr>
              <w:jc w:val="right"/>
              <w:rPr>
                <w:rFonts w:cstheme="minorHAnsi"/>
                <w:sz w:val="20"/>
                <w:szCs w:val="20"/>
              </w:rPr>
            </w:pPr>
            <w:r w:rsidRPr="00291881">
              <w:rPr>
                <w:rFonts w:cstheme="minorHAnsi"/>
                <w:sz w:val="20"/>
                <w:szCs w:val="20"/>
              </w:rPr>
              <w:t>36.0</w:t>
            </w:r>
          </w:p>
        </w:tc>
        <w:tc>
          <w:tcPr>
            <w:tcW w:w="397" w:type="pct"/>
            <w:noWrap/>
            <w:hideMark/>
          </w:tcPr>
          <w:p w14:paraId="2FAB4C0E" w14:textId="77777777" w:rsidR="00AF0ADF" w:rsidRPr="00291881" w:rsidRDefault="00AF0ADF" w:rsidP="00AF0ADF">
            <w:pPr>
              <w:jc w:val="right"/>
              <w:rPr>
                <w:rFonts w:cstheme="minorHAnsi"/>
                <w:sz w:val="20"/>
                <w:szCs w:val="20"/>
              </w:rPr>
            </w:pPr>
            <w:r w:rsidRPr="00291881">
              <w:rPr>
                <w:rFonts w:cstheme="minorHAnsi"/>
                <w:sz w:val="20"/>
                <w:szCs w:val="20"/>
              </w:rPr>
              <w:t>37.3</w:t>
            </w:r>
          </w:p>
        </w:tc>
        <w:tc>
          <w:tcPr>
            <w:tcW w:w="397" w:type="pct"/>
            <w:noWrap/>
            <w:hideMark/>
          </w:tcPr>
          <w:p w14:paraId="599177B2" w14:textId="77777777" w:rsidR="00AF0ADF" w:rsidRPr="00291881" w:rsidRDefault="00AF0ADF" w:rsidP="00AF0ADF">
            <w:pPr>
              <w:jc w:val="right"/>
              <w:rPr>
                <w:rFonts w:cstheme="minorHAnsi"/>
                <w:sz w:val="20"/>
                <w:szCs w:val="20"/>
              </w:rPr>
            </w:pPr>
            <w:r w:rsidRPr="00291881">
              <w:rPr>
                <w:rFonts w:cstheme="minorHAnsi"/>
                <w:sz w:val="20"/>
                <w:szCs w:val="20"/>
              </w:rPr>
              <w:t>33.9</w:t>
            </w:r>
          </w:p>
        </w:tc>
        <w:tc>
          <w:tcPr>
            <w:tcW w:w="397" w:type="pct"/>
            <w:noWrap/>
            <w:hideMark/>
          </w:tcPr>
          <w:p w14:paraId="3CA9D3DC" w14:textId="77777777" w:rsidR="00AF0ADF" w:rsidRPr="00291881" w:rsidRDefault="00AF0ADF" w:rsidP="00AF0ADF">
            <w:pPr>
              <w:jc w:val="right"/>
              <w:rPr>
                <w:rFonts w:cstheme="minorHAnsi"/>
                <w:sz w:val="20"/>
                <w:szCs w:val="20"/>
              </w:rPr>
            </w:pPr>
            <w:r w:rsidRPr="00291881">
              <w:rPr>
                <w:rFonts w:cstheme="minorHAnsi"/>
                <w:sz w:val="20"/>
                <w:szCs w:val="20"/>
              </w:rPr>
              <w:t>36.9</w:t>
            </w:r>
          </w:p>
        </w:tc>
        <w:tc>
          <w:tcPr>
            <w:tcW w:w="397" w:type="pct"/>
            <w:noWrap/>
            <w:hideMark/>
          </w:tcPr>
          <w:p w14:paraId="5A3183D9" w14:textId="77777777" w:rsidR="00AF0ADF" w:rsidRPr="00291881" w:rsidRDefault="00AF0ADF" w:rsidP="00AF0ADF">
            <w:pPr>
              <w:jc w:val="right"/>
              <w:rPr>
                <w:rFonts w:cstheme="minorHAnsi"/>
                <w:sz w:val="20"/>
                <w:szCs w:val="20"/>
              </w:rPr>
            </w:pPr>
            <w:r w:rsidRPr="00291881">
              <w:rPr>
                <w:rFonts w:cstheme="minorHAnsi"/>
                <w:sz w:val="20"/>
                <w:szCs w:val="20"/>
              </w:rPr>
              <w:t>34.6</w:t>
            </w:r>
          </w:p>
        </w:tc>
        <w:tc>
          <w:tcPr>
            <w:tcW w:w="397" w:type="pct"/>
            <w:noWrap/>
            <w:hideMark/>
          </w:tcPr>
          <w:p w14:paraId="389C0F5F" w14:textId="77777777" w:rsidR="00AF0ADF" w:rsidRPr="00291881" w:rsidRDefault="00AF0ADF" w:rsidP="00AF0ADF">
            <w:pPr>
              <w:jc w:val="right"/>
              <w:rPr>
                <w:rFonts w:cstheme="minorHAnsi"/>
                <w:sz w:val="20"/>
                <w:szCs w:val="20"/>
              </w:rPr>
            </w:pPr>
            <w:r w:rsidRPr="00291881">
              <w:rPr>
                <w:rFonts w:cstheme="minorHAnsi"/>
                <w:sz w:val="20"/>
                <w:szCs w:val="20"/>
              </w:rPr>
              <w:t>33.6</w:t>
            </w:r>
          </w:p>
        </w:tc>
        <w:tc>
          <w:tcPr>
            <w:tcW w:w="397" w:type="pct"/>
            <w:noWrap/>
            <w:hideMark/>
          </w:tcPr>
          <w:p w14:paraId="56068CCC" w14:textId="77777777" w:rsidR="00AF0ADF" w:rsidRPr="00291881" w:rsidRDefault="00AF0ADF" w:rsidP="00AF0ADF">
            <w:pPr>
              <w:jc w:val="right"/>
              <w:rPr>
                <w:rFonts w:cstheme="minorHAnsi"/>
                <w:sz w:val="20"/>
                <w:szCs w:val="20"/>
              </w:rPr>
            </w:pPr>
            <w:r w:rsidRPr="00291881">
              <w:rPr>
                <w:rFonts w:cstheme="minorHAnsi"/>
                <w:sz w:val="20"/>
                <w:szCs w:val="20"/>
              </w:rPr>
              <w:t>36.3</w:t>
            </w:r>
          </w:p>
        </w:tc>
        <w:tc>
          <w:tcPr>
            <w:tcW w:w="394" w:type="pct"/>
            <w:noWrap/>
            <w:hideMark/>
          </w:tcPr>
          <w:p w14:paraId="54544D6B" w14:textId="77777777" w:rsidR="00AF0ADF" w:rsidRPr="00291881" w:rsidRDefault="00AF0ADF" w:rsidP="00AF0ADF">
            <w:pPr>
              <w:jc w:val="right"/>
              <w:rPr>
                <w:rFonts w:cstheme="minorHAnsi"/>
                <w:sz w:val="20"/>
                <w:szCs w:val="20"/>
              </w:rPr>
            </w:pPr>
            <w:r w:rsidRPr="00291881">
              <w:rPr>
                <w:rFonts w:cstheme="minorHAnsi"/>
                <w:sz w:val="20"/>
                <w:szCs w:val="20"/>
              </w:rPr>
              <w:t>34.8</w:t>
            </w:r>
          </w:p>
        </w:tc>
      </w:tr>
      <w:tr w:rsidR="00AF0ADF" w:rsidRPr="00291881" w14:paraId="76145A25" w14:textId="77777777" w:rsidTr="00AF0ADF">
        <w:trPr>
          <w:trHeight w:val="20"/>
        </w:trPr>
        <w:tc>
          <w:tcPr>
            <w:tcW w:w="5000" w:type="pct"/>
            <w:gridSpan w:val="10"/>
            <w:noWrap/>
            <w:hideMark/>
          </w:tcPr>
          <w:p w14:paraId="2480A3B0" w14:textId="77777777" w:rsidR="00AF0ADF" w:rsidRPr="00291881" w:rsidRDefault="00AF0ADF" w:rsidP="00AF0ADF">
            <w:pPr>
              <w:rPr>
                <w:rFonts w:cstheme="minorHAnsi"/>
                <w:sz w:val="20"/>
                <w:szCs w:val="20"/>
              </w:rPr>
            </w:pPr>
            <w:r w:rsidRPr="00291881">
              <w:rPr>
                <w:rFonts w:cstheme="minorHAnsi"/>
                <w:b/>
                <w:bCs/>
                <w:sz w:val="20"/>
                <w:szCs w:val="20"/>
              </w:rPr>
              <w:t>Disadvantage quintile of mother's usual residence</w:t>
            </w:r>
          </w:p>
        </w:tc>
      </w:tr>
      <w:tr w:rsidR="00AF0ADF" w:rsidRPr="00291881" w14:paraId="6800687D" w14:textId="77777777" w:rsidTr="00751711">
        <w:trPr>
          <w:trHeight w:val="20"/>
        </w:trPr>
        <w:tc>
          <w:tcPr>
            <w:tcW w:w="1431" w:type="pct"/>
            <w:noWrap/>
            <w:hideMark/>
          </w:tcPr>
          <w:p w14:paraId="05D33B06" w14:textId="77777777" w:rsidR="00AF0ADF" w:rsidRPr="00291881" w:rsidRDefault="00AF0ADF" w:rsidP="00AF0ADF">
            <w:pPr>
              <w:rPr>
                <w:rFonts w:cstheme="minorHAnsi"/>
                <w:sz w:val="20"/>
                <w:szCs w:val="20"/>
              </w:rPr>
            </w:pPr>
            <w:r w:rsidRPr="00291881">
              <w:rPr>
                <w:rFonts w:cstheme="minorHAnsi"/>
                <w:sz w:val="20"/>
                <w:szCs w:val="20"/>
              </w:rPr>
              <w:t>Q1 - most disadvantaged</w:t>
            </w:r>
          </w:p>
        </w:tc>
        <w:tc>
          <w:tcPr>
            <w:tcW w:w="397" w:type="pct"/>
            <w:noWrap/>
            <w:hideMark/>
          </w:tcPr>
          <w:p w14:paraId="138C1925" w14:textId="77777777" w:rsidR="00AF0ADF" w:rsidRPr="00291881" w:rsidRDefault="00AF0ADF" w:rsidP="00AF0ADF">
            <w:pPr>
              <w:jc w:val="right"/>
              <w:rPr>
                <w:rFonts w:cstheme="minorHAnsi"/>
                <w:sz w:val="20"/>
                <w:szCs w:val="20"/>
              </w:rPr>
            </w:pPr>
            <w:r w:rsidRPr="00645D2C">
              <w:rPr>
                <w:rFonts w:cstheme="minorHAnsi"/>
                <w:sz w:val="20"/>
                <w:szCs w:val="20"/>
              </w:rPr>
              <w:t>n.a.</w:t>
            </w:r>
          </w:p>
        </w:tc>
        <w:tc>
          <w:tcPr>
            <w:tcW w:w="397" w:type="pct"/>
            <w:noWrap/>
            <w:hideMark/>
          </w:tcPr>
          <w:p w14:paraId="00AD4A41" w14:textId="77777777" w:rsidR="00AF0ADF" w:rsidRPr="00291881" w:rsidRDefault="00AF0ADF" w:rsidP="00AF0ADF">
            <w:pPr>
              <w:jc w:val="right"/>
              <w:rPr>
                <w:rFonts w:cstheme="minorHAnsi"/>
                <w:sz w:val="20"/>
                <w:szCs w:val="20"/>
              </w:rPr>
            </w:pPr>
            <w:r w:rsidRPr="00291881">
              <w:rPr>
                <w:rFonts w:cstheme="minorHAnsi"/>
                <w:sz w:val="20"/>
                <w:szCs w:val="20"/>
              </w:rPr>
              <w:t>20.5</w:t>
            </w:r>
          </w:p>
        </w:tc>
        <w:tc>
          <w:tcPr>
            <w:tcW w:w="397" w:type="pct"/>
            <w:noWrap/>
            <w:hideMark/>
          </w:tcPr>
          <w:p w14:paraId="130660BB" w14:textId="77777777" w:rsidR="00AF0ADF" w:rsidRPr="00291881" w:rsidRDefault="00AF0ADF" w:rsidP="00AF0ADF">
            <w:pPr>
              <w:jc w:val="right"/>
              <w:rPr>
                <w:rFonts w:cstheme="minorHAnsi"/>
                <w:sz w:val="20"/>
                <w:szCs w:val="20"/>
              </w:rPr>
            </w:pPr>
            <w:r w:rsidRPr="00291881">
              <w:rPr>
                <w:rFonts w:cstheme="minorHAnsi"/>
                <w:sz w:val="20"/>
                <w:szCs w:val="20"/>
              </w:rPr>
              <w:t>19.6</w:t>
            </w:r>
          </w:p>
        </w:tc>
        <w:tc>
          <w:tcPr>
            <w:tcW w:w="397" w:type="pct"/>
            <w:noWrap/>
            <w:hideMark/>
          </w:tcPr>
          <w:p w14:paraId="76B9937D" w14:textId="77777777" w:rsidR="00AF0ADF" w:rsidRPr="00291881" w:rsidRDefault="00AF0ADF" w:rsidP="00AF0ADF">
            <w:pPr>
              <w:jc w:val="right"/>
              <w:rPr>
                <w:rFonts w:cstheme="minorHAnsi"/>
                <w:sz w:val="20"/>
                <w:szCs w:val="20"/>
              </w:rPr>
            </w:pPr>
            <w:r w:rsidRPr="00291881">
              <w:rPr>
                <w:rFonts w:cstheme="minorHAnsi"/>
                <w:sz w:val="20"/>
                <w:szCs w:val="20"/>
              </w:rPr>
              <w:t>18.6</w:t>
            </w:r>
          </w:p>
        </w:tc>
        <w:tc>
          <w:tcPr>
            <w:tcW w:w="397" w:type="pct"/>
            <w:noWrap/>
            <w:hideMark/>
          </w:tcPr>
          <w:p w14:paraId="485C1889" w14:textId="77777777" w:rsidR="00AF0ADF" w:rsidRPr="00291881" w:rsidRDefault="00AF0ADF" w:rsidP="00AF0ADF">
            <w:pPr>
              <w:jc w:val="right"/>
              <w:rPr>
                <w:rFonts w:cstheme="minorHAnsi"/>
                <w:sz w:val="20"/>
                <w:szCs w:val="20"/>
              </w:rPr>
            </w:pPr>
            <w:r w:rsidRPr="00291881">
              <w:rPr>
                <w:rFonts w:cstheme="minorHAnsi"/>
                <w:sz w:val="20"/>
                <w:szCs w:val="20"/>
              </w:rPr>
              <w:t>17.9</w:t>
            </w:r>
          </w:p>
        </w:tc>
        <w:tc>
          <w:tcPr>
            <w:tcW w:w="397" w:type="pct"/>
            <w:noWrap/>
            <w:hideMark/>
          </w:tcPr>
          <w:p w14:paraId="10261438" w14:textId="77777777" w:rsidR="00AF0ADF" w:rsidRPr="00291881" w:rsidRDefault="00AF0ADF" w:rsidP="00AF0ADF">
            <w:pPr>
              <w:jc w:val="right"/>
              <w:rPr>
                <w:rFonts w:cstheme="minorHAnsi"/>
                <w:sz w:val="20"/>
                <w:szCs w:val="20"/>
              </w:rPr>
            </w:pPr>
            <w:r w:rsidRPr="00291881">
              <w:rPr>
                <w:rFonts w:cstheme="minorHAnsi"/>
                <w:sz w:val="20"/>
                <w:szCs w:val="20"/>
              </w:rPr>
              <w:t>17.4</w:t>
            </w:r>
          </w:p>
        </w:tc>
        <w:tc>
          <w:tcPr>
            <w:tcW w:w="397" w:type="pct"/>
            <w:noWrap/>
            <w:hideMark/>
          </w:tcPr>
          <w:p w14:paraId="1FE250A8" w14:textId="77777777" w:rsidR="00AF0ADF" w:rsidRPr="00291881" w:rsidRDefault="00AF0ADF" w:rsidP="00AF0ADF">
            <w:pPr>
              <w:jc w:val="right"/>
              <w:rPr>
                <w:rFonts w:cstheme="minorHAnsi"/>
                <w:sz w:val="20"/>
                <w:szCs w:val="20"/>
              </w:rPr>
            </w:pPr>
            <w:r w:rsidRPr="00291881">
              <w:rPr>
                <w:rFonts w:cstheme="minorHAnsi"/>
                <w:sz w:val="20"/>
                <w:szCs w:val="20"/>
              </w:rPr>
              <w:t>17.8</w:t>
            </w:r>
          </w:p>
        </w:tc>
        <w:tc>
          <w:tcPr>
            <w:tcW w:w="397" w:type="pct"/>
            <w:noWrap/>
            <w:hideMark/>
          </w:tcPr>
          <w:p w14:paraId="483D0C3B" w14:textId="77777777" w:rsidR="00AF0ADF" w:rsidRPr="00291881" w:rsidRDefault="00AF0ADF" w:rsidP="00AF0ADF">
            <w:pPr>
              <w:jc w:val="right"/>
              <w:rPr>
                <w:rFonts w:cstheme="minorHAnsi"/>
                <w:sz w:val="20"/>
                <w:szCs w:val="20"/>
              </w:rPr>
            </w:pPr>
            <w:r w:rsidRPr="00291881">
              <w:rPr>
                <w:rFonts w:cstheme="minorHAnsi"/>
                <w:sz w:val="20"/>
                <w:szCs w:val="20"/>
              </w:rPr>
              <w:t>17.2</w:t>
            </w:r>
          </w:p>
        </w:tc>
        <w:tc>
          <w:tcPr>
            <w:tcW w:w="394" w:type="pct"/>
            <w:noWrap/>
            <w:hideMark/>
          </w:tcPr>
          <w:p w14:paraId="690B0D0C" w14:textId="77777777" w:rsidR="00AF0ADF" w:rsidRPr="00291881" w:rsidRDefault="00AF0ADF" w:rsidP="00AF0ADF">
            <w:pPr>
              <w:jc w:val="right"/>
              <w:rPr>
                <w:rFonts w:cstheme="minorHAnsi"/>
                <w:sz w:val="20"/>
                <w:szCs w:val="20"/>
              </w:rPr>
            </w:pPr>
            <w:r w:rsidRPr="00291881">
              <w:rPr>
                <w:rFonts w:cstheme="minorHAnsi"/>
                <w:sz w:val="20"/>
                <w:szCs w:val="20"/>
              </w:rPr>
              <w:t>17.0</w:t>
            </w:r>
          </w:p>
        </w:tc>
      </w:tr>
      <w:tr w:rsidR="00AF0ADF" w:rsidRPr="00291881" w14:paraId="1FCB8EDE" w14:textId="77777777" w:rsidTr="00751711">
        <w:trPr>
          <w:trHeight w:val="20"/>
        </w:trPr>
        <w:tc>
          <w:tcPr>
            <w:tcW w:w="1431" w:type="pct"/>
            <w:noWrap/>
            <w:hideMark/>
          </w:tcPr>
          <w:p w14:paraId="72B56929" w14:textId="77777777" w:rsidR="00AF0ADF" w:rsidRPr="00291881" w:rsidRDefault="00AF0ADF" w:rsidP="00AF0ADF">
            <w:pPr>
              <w:rPr>
                <w:rFonts w:cstheme="minorHAnsi"/>
                <w:sz w:val="20"/>
                <w:szCs w:val="20"/>
              </w:rPr>
            </w:pPr>
            <w:r w:rsidRPr="00291881">
              <w:rPr>
                <w:rFonts w:cstheme="minorHAnsi"/>
                <w:sz w:val="20"/>
                <w:szCs w:val="20"/>
              </w:rPr>
              <w:t>Q2</w:t>
            </w:r>
          </w:p>
        </w:tc>
        <w:tc>
          <w:tcPr>
            <w:tcW w:w="397" w:type="pct"/>
            <w:noWrap/>
            <w:hideMark/>
          </w:tcPr>
          <w:p w14:paraId="34903D5C" w14:textId="77777777" w:rsidR="00AF0ADF" w:rsidRPr="00291881" w:rsidRDefault="00AF0ADF" w:rsidP="00AF0ADF">
            <w:pPr>
              <w:jc w:val="right"/>
              <w:rPr>
                <w:rFonts w:cstheme="minorHAnsi"/>
                <w:sz w:val="20"/>
                <w:szCs w:val="20"/>
              </w:rPr>
            </w:pPr>
            <w:r w:rsidRPr="00645D2C">
              <w:rPr>
                <w:rFonts w:cstheme="minorHAnsi"/>
                <w:sz w:val="20"/>
                <w:szCs w:val="20"/>
              </w:rPr>
              <w:t>n.a.</w:t>
            </w:r>
          </w:p>
        </w:tc>
        <w:tc>
          <w:tcPr>
            <w:tcW w:w="397" w:type="pct"/>
            <w:noWrap/>
            <w:hideMark/>
          </w:tcPr>
          <w:p w14:paraId="1C8EC8D1" w14:textId="77777777" w:rsidR="00AF0ADF" w:rsidRPr="00291881" w:rsidRDefault="00AF0ADF" w:rsidP="00AF0ADF">
            <w:pPr>
              <w:jc w:val="right"/>
              <w:rPr>
                <w:rFonts w:cstheme="minorHAnsi"/>
                <w:sz w:val="20"/>
                <w:szCs w:val="20"/>
              </w:rPr>
            </w:pPr>
            <w:r w:rsidRPr="00291881">
              <w:rPr>
                <w:rFonts w:cstheme="minorHAnsi"/>
                <w:sz w:val="20"/>
                <w:szCs w:val="20"/>
              </w:rPr>
              <w:t>15.7</w:t>
            </w:r>
          </w:p>
        </w:tc>
        <w:tc>
          <w:tcPr>
            <w:tcW w:w="397" w:type="pct"/>
            <w:noWrap/>
            <w:hideMark/>
          </w:tcPr>
          <w:p w14:paraId="2CBABDF6" w14:textId="77777777" w:rsidR="00AF0ADF" w:rsidRPr="00291881" w:rsidRDefault="00AF0ADF" w:rsidP="00AF0ADF">
            <w:pPr>
              <w:jc w:val="right"/>
              <w:rPr>
                <w:rFonts w:cstheme="minorHAnsi"/>
                <w:sz w:val="20"/>
                <w:szCs w:val="20"/>
              </w:rPr>
            </w:pPr>
            <w:r w:rsidRPr="00291881">
              <w:rPr>
                <w:rFonts w:cstheme="minorHAnsi"/>
                <w:sz w:val="20"/>
                <w:szCs w:val="20"/>
              </w:rPr>
              <w:t>14.6</w:t>
            </w:r>
          </w:p>
        </w:tc>
        <w:tc>
          <w:tcPr>
            <w:tcW w:w="397" w:type="pct"/>
            <w:noWrap/>
            <w:hideMark/>
          </w:tcPr>
          <w:p w14:paraId="13165D83" w14:textId="77777777" w:rsidR="00AF0ADF" w:rsidRPr="00291881" w:rsidRDefault="00AF0ADF" w:rsidP="00AF0ADF">
            <w:pPr>
              <w:jc w:val="right"/>
              <w:rPr>
                <w:rFonts w:cstheme="minorHAnsi"/>
                <w:sz w:val="20"/>
                <w:szCs w:val="20"/>
              </w:rPr>
            </w:pPr>
            <w:r w:rsidRPr="00291881">
              <w:rPr>
                <w:rFonts w:cstheme="minorHAnsi"/>
                <w:sz w:val="20"/>
                <w:szCs w:val="20"/>
              </w:rPr>
              <w:t>13.6</w:t>
            </w:r>
          </w:p>
        </w:tc>
        <w:tc>
          <w:tcPr>
            <w:tcW w:w="397" w:type="pct"/>
            <w:noWrap/>
            <w:hideMark/>
          </w:tcPr>
          <w:p w14:paraId="5C0E2795" w14:textId="77777777" w:rsidR="00AF0ADF" w:rsidRPr="00291881" w:rsidRDefault="00AF0ADF" w:rsidP="00AF0ADF">
            <w:pPr>
              <w:jc w:val="right"/>
              <w:rPr>
                <w:rFonts w:cstheme="minorHAnsi"/>
                <w:sz w:val="20"/>
                <w:szCs w:val="20"/>
              </w:rPr>
            </w:pPr>
            <w:r w:rsidRPr="00291881">
              <w:rPr>
                <w:rFonts w:cstheme="minorHAnsi"/>
                <w:sz w:val="20"/>
                <w:szCs w:val="20"/>
              </w:rPr>
              <w:t>12.8</w:t>
            </w:r>
          </w:p>
        </w:tc>
        <w:tc>
          <w:tcPr>
            <w:tcW w:w="397" w:type="pct"/>
            <w:noWrap/>
            <w:hideMark/>
          </w:tcPr>
          <w:p w14:paraId="2611536D" w14:textId="77777777" w:rsidR="00AF0ADF" w:rsidRPr="00291881" w:rsidRDefault="00AF0ADF" w:rsidP="00AF0ADF">
            <w:pPr>
              <w:jc w:val="right"/>
              <w:rPr>
                <w:rFonts w:cstheme="minorHAnsi"/>
                <w:sz w:val="20"/>
                <w:szCs w:val="20"/>
              </w:rPr>
            </w:pPr>
            <w:r w:rsidRPr="00291881">
              <w:rPr>
                <w:rFonts w:cstheme="minorHAnsi"/>
                <w:sz w:val="20"/>
                <w:szCs w:val="20"/>
              </w:rPr>
              <w:t>12.2</w:t>
            </w:r>
          </w:p>
        </w:tc>
        <w:tc>
          <w:tcPr>
            <w:tcW w:w="397" w:type="pct"/>
            <w:noWrap/>
            <w:hideMark/>
          </w:tcPr>
          <w:p w14:paraId="01BA3D57" w14:textId="77777777" w:rsidR="00AF0ADF" w:rsidRPr="00291881" w:rsidRDefault="00AF0ADF" w:rsidP="00AF0ADF">
            <w:pPr>
              <w:jc w:val="right"/>
              <w:rPr>
                <w:rFonts w:cstheme="minorHAnsi"/>
                <w:sz w:val="20"/>
                <w:szCs w:val="20"/>
              </w:rPr>
            </w:pPr>
            <w:r w:rsidRPr="00291881">
              <w:rPr>
                <w:rFonts w:cstheme="minorHAnsi"/>
                <w:sz w:val="20"/>
                <w:szCs w:val="20"/>
              </w:rPr>
              <w:t>13.0</w:t>
            </w:r>
          </w:p>
        </w:tc>
        <w:tc>
          <w:tcPr>
            <w:tcW w:w="397" w:type="pct"/>
            <w:noWrap/>
            <w:hideMark/>
          </w:tcPr>
          <w:p w14:paraId="60CFE3AF" w14:textId="77777777" w:rsidR="00AF0ADF" w:rsidRPr="00291881" w:rsidRDefault="00AF0ADF" w:rsidP="00AF0ADF">
            <w:pPr>
              <w:jc w:val="right"/>
              <w:rPr>
                <w:rFonts w:cstheme="minorHAnsi"/>
                <w:sz w:val="20"/>
                <w:szCs w:val="20"/>
              </w:rPr>
            </w:pPr>
            <w:r w:rsidRPr="00291881">
              <w:rPr>
                <w:rFonts w:cstheme="minorHAnsi"/>
                <w:sz w:val="20"/>
                <w:szCs w:val="20"/>
              </w:rPr>
              <w:t>12.6</w:t>
            </w:r>
          </w:p>
        </w:tc>
        <w:tc>
          <w:tcPr>
            <w:tcW w:w="394" w:type="pct"/>
            <w:noWrap/>
            <w:hideMark/>
          </w:tcPr>
          <w:p w14:paraId="225E8972" w14:textId="77777777" w:rsidR="00AF0ADF" w:rsidRPr="00291881" w:rsidRDefault="00AF0ADF" w:rsidP="00AF0ADF">
            <w:pPr>
              <w:jc w:val="right"/>
              <w:rPr>
                <w:rFonts w:cstheme="minorHAnsi"/>
                <w:sz w:val="20"/>
                <w:szCs w:val="20"/>
              </w:rPr>
            </w:pPr>
            <w:r w:rsidRPr="00291881">
              <w:rPr>
                <w:rFonts w:cstheme="minorHAnsi"/>
                <w:sz w:val="20"/>
                <w:szCs w:val="20"/>
              </w:rPr>
              <w:t>12.4</w:t>
            </w:r>
          </w:p>
        </w:tc>
      </w:tr>
      <w:tr w:rsidR="00AF0ADF" w:rsidRPr="00291881" w14:paraId="7D680F6C" w14:textId="77777777" w:rsidTr="00751711">
        <w:trPr>
          <w:trHeight w:val="20"/>
        </w:trPr>
        <w:tc>
          <w:tcPr>
            <w:tcW w:w="1431" w:type="pct"/>
            <w:noWrap/>
            <w:hideMark/>
          </w:tcPr>
          <w:p w14:paraId="5F3493D1" w14:textId="77777777" w:rsidR="00AF0ADF" w:rsidRPr="00291881" w:rsidRDefault="00AF0ADF" w:rsidP="00AF0ADF">
            <w:pPr>
              <w:rPr>
                <w:rFonts w:cstheme="minorHAnsi"/>
                <w:sz w:val="20"/>
                <w:szCs w:val="20"/>
              </w:rPr>
            </w:pPr>
            <w:r w:rsidRPr="00291881">
              <w:rPr>
                <w:rFonts w:cstheme="minorHAnsi"/>
                <w:sz w:val="20"/>
                <w:szCs w:val="20"/>
              </w:rPr>
              <w:t>Q3</w:t>
            </w:r>
          </w:p>
        </w:tc>
        <w:tc>
          <w:tcPr>
            <w:tcW w:w="397" w:type="pct"/>
            <w:noWrap/>
            <w:hideMark/>
          </w:tcPr>
          <w:p w14:paraId="7F17A977" w14:textId="77777777" w:rsidR="00AF0ADF" w:rsidRPr="00291881" w:rsidRDefault="00AF0ADF" w:rsidP="00AF0ADF">
            <w:pPr>
              <w:jc w:val="right"/>
              <w:rPr>
                <w:rFonts w:cstheme="minorHAnsi"/>
                <w:sz w:val="20"/>
                <w:szCs w:val="20"/>
              </w:rPr>
            </w:pPr>
            <w:r w:rsidRPr="00645D2C">
              <w:rPr>
                <w:rFonts w:cstheme="minorHAnsi"/>
                <w:sz w:val="20"/>
                <w:szCs w:val="20"/>
              </w:rPr>
              <w:t>n.a.</w:t>
            </w:r>
          </w:p>
        </w:tc>
        <w:tc>
          <w:tcPr>
            <w:tcW w:w="397" w:type="pct"/>
            <w:noWrap/>
            <w:hideMark/>
          </w:tcPr>
          <w:p w14:paraId="49CD33B0" w14:textId="77777777" w:rsidR="00AF0ADF" w:rsidRPr="00291881" w:rsidRDefault="00AF0ADF" w:rsidP="00AF0ADF">
            <w:pPr>
              <w:jc w:val="right"/>
              <w:rPr>
                <w:rFonts w:cstheme="minorHAnsi"/>
                <w:sz w:val="20"/>
                <w:szCs w:val="20"/>
              </w:rPr>
            </w:pPr>
            <w:r w:rsidRPr="00291881">
              <w:rPr>
                <w:rFonts w:cstheme="minorHAnsi"/>
                <w:sz w:val="20"/>
                <w:szCs w:val="20"/>
              </w:rPr>
              <w:t>12.0</w:t>
            </w:r>
          </w:p>
        </w:tc>
        <w:tc>
          <w:tcPr>
            <w:tcW w:w="397" w:type="pct"/>
            <w:noWrap/>
            <w:hideMark/>
          </w:tcPr>
          <w:p w14:paraId="6044D1B5" w14:textId="77777777" w:rsidR="00AF0ADF" w:rsidRPr="00291881" w:rsidRDefault="00AF0ADF" w:rsidP="00AF0ADF">
            <w:pPr>
              <w:jc w:val="right"/>
              <w:rPr>
                <w:rFonts w:cstheme="minorHAnsi"/>
                <w:sz w:val="20"/>
                <w:szCs w:val="20"/>
              </w:rPr>
            </w:pPr>
            <w:r w:rsidRPr="00291881">
              <w:rPr>
                <w:rFonts w:cstheme="minorHAnsi"/>
                <w:sz w:val="20"/>
                <w:szCs w:val="20"/>
              </w:rPr>
              <w:t>10.7</w:t>
            </w:r>
          </w:p>
        </w:tc>
        <w:tc>
          <w:tcPr>
            <w:tcW w:w="397" w:type="pct"/>
            <w:noWrap/>
            <w:hideMark/>
          </w:tcPr>
          <w:p w14:paraId="4B2E06BD" w14:textId="77777777" w:rsidR="00AF0ADF" w:rsidRPr="00291881" w:rsidRDefault="00AF0ADF" w:rsidP="00AF0ADF">
            <w:pPr>
              <w:jc w:val="right"/>
              <w:rPr>
                <w:rFonts w:cstheme="minorHAnsi"/>
                <w:sz w:val="20"/>
                <w:szCs w:val="20"/>
              </w:rPr>
            </w:pPr>
            <w:r w:rsidRPr="00291881">
              <w:rPr>
                <w:rFonts w:cstheme="minorHAnsi"/>
                <w:sz w:val="20"/>
                <w:szCs w:val="20"/>
              </w:rPr>
              <w:t>10.0</w:t>
            </w:r>
          </w:p>
        </w:tc>
        <w:tc>
          <w:tcPr>
            <w:tcW w:w="397" w:type="pct"/>
            <w:noWrap/>
            <w:hideMark/>
          </w:tcPr>
          <w:p w14:paraId="3FC54F69" w14:textId="77777777" w:rsidR="00AF0ADF" w:rsidRPr="00291881" w:rsidRDefault="00AF0ADF" w:rsidP="00AF0ADF">
            <w:pPr>
              <w:jc w:val="right"/>
              <w:rPr>
                <w:rFonts w:cstheme="minorHAnsi"/>
                <w:sz w:val="20"/>
                <w:szCs w:val="20"/>
              </w:rPr>
            </w:pPr>
            <w:r w:rsidRPr="00291881">
              <w:rPr>
                <w:rFonts w:cstheme="minorHAnsi"/>
                <w:sz w:val="20"/>
                <w:szCs w:val="20"/>
              </w:rPr>
              <w:t>9.6</w:t>
            </w:r>
          </w:p>
        </w:tc>
        <w:tc>
          <w:tcPr>
            <w:tcW w:w="397" w:type="pct"/>
            <w:noWrap/>
            <w:hideMark/>
          </w:tcPr>
          <w:p w14:paraId="0F844551" w14:textId="77777777" w:rsidR="00AF0ADF" w:rsidRPr="00291881" w:rsidRDefault="00AF0ADF" w:rsidP="00AF0ADF">
            <w:pPr>
              <w:jc w:val="right"/>
              <w:rPr>
                <w:rFonts w:cstheme="minorHAnsi"/>
                <w:sz w:val="20"/>
                <w:szCs w:val="20"/>
              </w:rPr>
            </w:pPr>
            <w:r w:rsidRPr="00291881">
              <w:rPr>
                <w:rFonts w:cstheme="minorHAnsi"/>
                <w:sz w:val="20"/>
                <w:szCs w:val="20"/>
              </w:rPr>
              <w:t>9.0</w:t>
            </w:r>
          </w:p>
        </w:tc>
        <w:tc>
          <w:tcPr>
            <w:tcW w:w="397" w:type="pct"/>
            <w:noWrap/>
            <w:hideMark/>
          </w:tcPr>
          <w:p w14:paraId="6063E38E" w14:textId="77777777" w:rsidR="00AF0ADF" w:rsidRPr="00291881" w:rsidRDefault="00AF0ADF" w:rsidP="00AF0ADF">
            <w:pPr>
              <w:jc w:val="right"/>
              <w:rPr>
                <w:rFonts w:cstheme="minorHAnsi"/>
                <w:sz w:val="20"/>
                <w:szCs w:val="20"/>
              </w:rPr>
            </w:pPr>
            <w:r w:rsidRPr="00291881">
              <w:rPr>
                <w:rFonts w:cstheme="minorHAnsi"/>
                <w:sz w:val="20"/>
                <w:szCs w:val="20"/>
              </w:rPr>
              <w:t>8.4</w:t>
            </w:r>
          </w:p>
        </w:tc>
        <w:tc>
          <w:tcPr>
            <w:tcW w:w="397" w:type="pct"/>
            <w:noWrap/>
            <w:hideMark/>
          </w:tcPr>
          <w:p w14:paraId="731DA217" w14:textId="77777777" w:rsidR="00AF0ADF" w:rsidRPr="00291881" w:rsidRDefault="00AF0ADF" w:rsidP="00AF0ADF">
            <w:pPr>
              <w:jc w:val="right"/>
              <w:rPr>
                <w:rFonts w:cstheme="minorHAnsi"/>
                <w:sz w:val="20"/>
                <w:szCs w:val="20"/>
              </w:rPr>
            </w:pPr>
            <w:r w:rsidRPr="00291881">
              <w:rPr>
                <w:rFonts w:cstheme="minorHAnsi"/>
                <w:sz w:val="20"/>
                <w:szCs w:val="20"/>
              </w:rPr>
              <w:t>8.3</w:t>
            </w:r>
          </w:p>
        </w:tc>
        <w:tc>
          <w:tcPr>
            <w:tcW w:w="394" w:type="pct"/>
            <w:noWrap/>
            <w:hideMark/>
          </w:tcPr>
          <w:p w14:paraId="52E02E96" w14:textId="77777777" w:rsidR="00AF0ADF" w:rsidRPr="00291881" w:rsidRDefault="00AF0ADF" w:rsidP="00AF0ADF">
            <w:pPr>
              <w:jc w:val="right"/>
              <w:rPr>
                <w:rFonts w:cstheme="minorHAnsi"/>
                <w:sz w:val="20"/>
                <w:szCs w:val="20"/>
              </w:rPr>
            </w:pPr>
            <w:r w:rsidRPr="00291881">
              <w:rPr>
                <w:rFonts w:cstheme="minorHAnsi"/>
                <w:sz w:val="20"/>
                <w:szCs w:val="20"/>
              </w:rPr>
              <w:t>8.1</w:t>
            </w:r>
          </w:p>
        </w:tc>
      </w:tr>
      <w:tr w:rsidR="00AF0ADF" w:rsidRPr="00291881" w14:paraId="0910F044" w14:textId="77777777" w:rsidTr="00751711">
        <w:trPr>
          <w:trHeight w:val="20"/>
        </w:trPr>
        <w:tc>
          <w:tcPr>
            <w:tcW w:w="1431" w:type="pct"/>
            <w:noWrap/>
            <w:hideMark/>
          </w:tcPr>
          <w:p w14:paraId="1C24A7C2" w14:textId="77777777" w:rsidR="00AF0ADF" w:rsidRPr="00291881" w:rsidRDefault="00AF0ADF" w:rsidP="00AF0ADF">
            <w:pPr>
              <w:rPr>
                <w:rFonts w:cstheme="minorHAnsi"/>
                <w:sz w:val="20"/>
                <w:szCs w:val="20"/>
              </w:rPr>
            </w:pPr>
            <w:r w:rsidRPr="00291881">
              <w:rPr>
                <w:rFonts w:cstheme="minorHAnsi"/>
                <w:sz w:val="20"/>
                <w:szCs w:val="20"/>
              </w:rPr>
              <w:t>Q4</w:t>
            </w:r>
          </w:p>
        </w:tc>
        <w:tc>
          <w:tcPr>
            <w:tcW w:w="397" w:type="pct"/>
            <w:noWrap/>
            <w:hideMark/>
          </w:tcPr>
          <w:p w14:paraId="45448B54" w14:textId="77777777" w:rsidR="00AF0ADF" w:rsidRPr="00291881" w:rsidRDefault="00AF0ADF" w:rsidP="00AF0ADF">
            <w:pPr>
              <w:jc w:val="right"/>
              <w:rPr>
                <w:rFonts w:cstheme="minorHAnsi"/>
                <w:sz w:val="20"/>
                <w:szCs w:val="20"/>
              </w:rPr>
            </w:pPr>
            <w:r w:rsidRPr="00645D2C">
              <w:rPr>
                <w:rFonts w:cstheme="minorHAnsi"/>
                <w:sz w:val="20"/>
                <w:szCs w:val="20"/>
              </w:rPr>
              <w:t>n.a.</w:t>
            </w:r>
          </w:p>
        </w:tc>
        <w:tc>
          <w:tcPr>
            <w:tcW w:w="397" w:type="pct"/>
            <w:noWrap/>
            <w:hideMark/>
          </w:tcPr>
          <w:p w14:paraId="71A1E4C9" w14:textId="77777777" w:rsidR="00AF0ADF" w:rsidRPr="00291881" w:rsidRDefault="00AF0ADF" w:rsidP="00AF0ADF">
            <w:pPr>
              <w:jc w:val="right"/>
              <w:rPr>
                <w:rFonts w:cstheme="minorHAnsi"/>
                <w:sz w:val="20"/>
                <w:szCs w:val="20"/>
              </w:rPr>
            </w:pPr>
            <w:r w:rsidRPr="00291881">
              <w:rPr>
                <w:rFonts w:cstheme="minorHAnsi"/>
                <w:sz w:val="20"/>
                <w:szCs w:val="20"/>
              </w:rPr>
              <w:t>7.9</w:t>
            </w:r>
          </w:p>
        </w:tc>
        <w:tc>
          <w:tcPr>
            <w:tcW w:w="397" w:type="pct"/>
            <w:noWrap/>
            <w:hideMark/>
          </w:tcPr>
          <w:p w14:paraId="6AD2F9F7" w14:textId="77777777" w:rsidR="00AF0ADF" w:rsidRPr="00291881" w:rsidRDefault="00AF0ADF" w:rsidP="00AF0ADF">
            <w:pPr>
              <w:jc w:val="right"/>
              <w:rPr>
                <w:rFonts w:cstheme="minorHAnsi"/>
                <w:sz w:val="20"/>
                <w:szCs w:val="20"/>
              </w:rPr>
            </w:pPr>
            <w:r w:rsidRPr="00291881">
              <w:rPr>
                <w:rFonts w:cstheme="minorHAnsi"/>
                <w:sz w:val="20"/>
                <w:szCs w:val="20"/>
              </w:rPr>
              <w:t>6.9</w:t>
            </w:r>
          </w:p>
        </w:tc>
        <w:tc>
          <w:tcPr>
            <w:tcW w:w="397" w:type="pct"/>
            <w:noWrap/>
            <w:hideMark/>
          </w:tcPr>
          <w:p w14:paraId="3ACC57D1" w14:textId="77777777" w:rsidR="00AF0ADF" w:rsidRPr="00291881" w:rsidRDefault="00AF0ADF" w:rsidP="00AF0ADF">
            <w:pPr>
              <w:jc w:val="right"/>
              <w:rPr>
                <w:rFonts w:cstheme="minorHAnsi"/>
                <w:sz w:val="20"/>
                <w:szCs w:val="20"/>
              </w:rPr>
            </w:pPr>
            <w:r w:rsidRPr="00291881">
              <w:rPr>
                <w:rFonts w:cstheme="minorHAnsi"/>
                <w:sz w:val="20"/>
                <w:szCs w:val="20"/>
              </w:rPr>
              <w:t>6.7</w:t>
            </w:r>
          </w:p>
        </w:tc>
        <w:tc>
          <w:tcPr>
            <w:tcW w:w="397" w:type="pct"/>
            <w:noWrap/>
            <w:hideMark/>
          </w:tcPr>
          <w:p w14:paraId="4C51B3BC" w14:textId="77777777" w:rsidR="00AF0ADF" w:rsidRPr="00291881" w:rsidRDefault="00AF0ADF" w:rsidP="00AF0ADF">
            <w:pPr>
              <w:jc w:val="right"/>
              <w:rPr>
                <w:rFonts w:cstheme="minorHAnsi"/>
                <w:sz w:val="20"/>
                <w:szCs w:val="20"/>
              </w:rPr>
            </w:pPr>
            <w:r w:rsidRPr="00291881">
              <w:rPr>
                <w:rFonts w:cstheme="minorHAnsi"/>
                <w:sz w:val="20"/>
                <w:szCs w:val="20"/>
              </w:rPr>
              <w:t>6.4</w:t>
            </w:r>
          </w:p>
        </w:tc>
        <w:tc>
          <w:tcPr>
            <w:tcW w:w="397" w:type="pct"/>
            <w:noWrap/>
            <w:hideMark/>
          </w:tcPr>
          <w:p w14:paraId="7568FFB9" w14:textId="77777777" w:rsidR="00AF0ADF" w:rsidRPr="00291881" w:rsidRDefault="00AF0ADF" w:rsidP="00AF0ADF">
            <w:pPr>
              <w:jc w:val="right"/>
              <w:rPr>
                <w:rFonts w:cstheme="minorHAnsi"/>
                <w:sz w:val="20"/>
                <w:szCs w:val="20"/>
              </w:rPr>
            </w:pPr>
            <w:r w:rsidRPr="00291881">
              <w:rPr>
                <w:rFonts w:cstheme="minorHAnsi"/>
                <w:sz w:val="20"/>
                <w:szCs w:val="20"/>
              </w:rPr>
              <w:t>5.9</w:t>
            </w:r>
          </w:p>
        </w:tc>
        <w:tc>
          <w:tcPr>
            <w:tcW w:w="397" w:type="pct"/>
            <w:noWrap/>
            <w:hideMark/>
          </w:tcPr>
          <w:p w14:paraId="58274089" w14:textId="77777777" w:rsidR="00AF0ADF" w:rsidRPr="00291881" w:rsidRDefault="00AF0ADF" w:rsidP="00AF0ADF">
            <w:pPr>
              <w:jc w:val="right"/>
              <w:rPr>
                <w:rFonts w:cstheme="minorHAnsi"/>
                <w:sz w:val="20"/>
                <w:szCs w:val="20"/>
              </w:rPr>
            </w:pPr>
            <w:r w:rsidRPr="00291881">
              <w:rPr>
                <w:rFonts w:cstheme="minorHAnsi"/>
                <w:sz w:val="20"/>
                <w:szCs w:val="20"/>
              </w:rPr>
              <w:t>5.5</w:t>
            </w:r>
          </w:p>
        </w:tc>
        <w:tc>
          <w:tcPr>
            <w:tcW w:w="397" w:type="pct"/>
            <w:noWrap/>
            <w:hideMark/>
          </w:tcPr>
          <w:p w14:paraId="74E3A9FF" w14:textId="77777777" w:rsidR="00AF0ADF" w:rsidRPr="00291881" w:rsidRDefault="00AF0ADF" w:rsidP="00AF0ADF">
            <w:pPr>
              <w:jc w:val="right"/>
              <w:rPr>
                <w:rFonts w:cstheme="minorHAnsi"/>
                <w:sz w:val="20"/>
                <w:szCs w:val="20"/>
              </w:rPr>
            </w:pPr>
            <w:r w:rsidRPr="00291881">
              <w:rPr>
                <w:rFonts w:cstheme="minorHAnsi"/>
                <w:sz w:val="20"/>
                <w:szCs w:val="20"/>
              </w:rPr>
              <w:t>5.5</w:t>
            </w:r>
          </w:p>
        </w:tc>
        <w:tc>
          <w:tcPr>
            <w:tcW w:w="394" w:type="pct"/>
            <w:noWrap/>
            <w:hideMark/>
          </w:tcPr>
          <w:p w14:paraId="5CFDA0DC" w14:textId="77777777" w:rsidR="00AF0ADF" w:rsidRPr="00291881" w:rsidRDefault="00AF0ADF" w:rsidP="00AF0ADF">
            <w:pPr>
              <w:jc w:val="right"/>
              <w:rPr>
                <w:rFonts w:cstheme="minorHAnsi"/>
                <w:sz w:val="20"/>
                <w:szCs w:val="20"/>
              </w:rPr>
            </w:pPr>
            <w:r w:rsidRPr="00291881">
              <w:rPr>
                <w:rFonts w:cstheme="minorHAnsi"/>
                <w:sz w:val="20"/>
                <w:szCs w:val="20"/>
              </w:rPr>
              <w:t>5.1</w:t>
            </w:r>
          </w:p>
        </w:tc>
      </w:tr>
      <w:tr w:rsidR="00AF0ADF" w:rsidRPr="00291881" w14:paraId="0C09B344" w14:textId="77777777" w:rsidTr="00751711">
        <w:trPr>
          <w:trHeight w:val="20"/>
        </w:trPr>
        <w:tc>
          <w:tcPr>
            <w:tcW w:w="1431" w:type="pct"/>
            <w:noWrap/>
            <w:hideMark/>
          </w:tcPr>
          <w:p w14:paraId="69DE1A19" w14:textId="77777777" w:rsidR="00AF0ADF" w:rsidRPr="00291881" w:rsidRDefault="00AF0ADF" w:rsidP="00AF0ADF">
            <w:pPr>
              <w:rPr>
                <w:rFonts w:cstheme="minorHAnsi"/>
                <w:sz w:val="20"/>
                <w:szCs w:val="20"/>
              </w:rPr>
            </w:pPr>
            <w:r w:rsidRPr="00291881">
              <w:rPr>
                <w:rFonts w:cstheme="minorHAnsi"/>
                <w:sz w:val="20"/>
                <w:szCs w:val="20"/>
              </w:rPr>
              <w:t>Q5 - least disadvantaged</w:t>
            </w:r>
          </w:p>
        </w:tc>
        <w:tc>
          <w:tcPr>
            <w:tcW w:w="397" w:type="pct"/>
            <w:noWrap/>
            <w:hideMark/>
          </w:tcPr>
          <w:p w14:paraId="089C102B" w14:textId="77777777" w:rsidR="00AF0ADF" w:rsidRPr="00291881" w:rsidRDefault="00AF0ADF" w:rsidP="00AF0ADF">
            <w:pPr>
              <w:jc w:val="right"/>
              <w:rPr>
                <w:rFonts w:cstheme="minorHAnsi"/>
                <w:sz w:val="20"/>
                <w:szCs w:val="20"/>
              </w:rPr>
            </w:pPr>
            <w:r w:rsidRPr="00645D2C">
              <w:rPr>
                <w:rFonts w:cstheme="minorHAnsi"/>
                <w:sz w:val="20"/>
                <w:szCs w:val="20"/>
              </w:rPr>
              <w:t>n.a.</w:t>
            </w:r>
          </w:p>
        </w:tc>
        <w:tc>
          <w:tcPr>
            <w:tcW w:w="397" w:type="pct"/>
            <w:noWrap/>
            <w:hideMark/>
          </w:tcPr>
          <w:p w14:paraId="6625085A" w14:textId="77777777" w:rsidR="00AF0ADF" w:rsidRPr="00291881" w:rsidRDefault="00AF0ADF" w:rsidP="00AF0ADF">
            <w:pPr>
              <w:jc w:val="right"/>
              <w:rPr>
                <w:rFonts w:cstheme="minorHAnsi"/>
                <w:sz w:val="20"/>
                <w:szCs w:val="20"/>
              </w:rPr>
            </w:pPr>
            <w:r w:rsidRPr="00291881">
              <w:rPr>
                <w:rFonts w:cstheme="minorHAnsi"/>
                <w:sz w:val="20"/>
                <w:szCs w:val="20"/>
              </w:rPr>
              <w:t>4.4</w:t>
            </w:r>
          </w:p>
        </w:tc>
        <w:tc>
          <w:tcPr>
            <w:tcW w:w="397" w:type="pct"/>
            <w:noWrap/>
            <w:hideMark/>
          </w:tcPr>
          <w:p w14:paraId="35BE5085" w14:textId="77777777" w:rsidR="00AF0ADF" w:rsidRPr="00291881" w:rsidRDefault="00AF0ADF" w:rsidP="00AF0ADF">
            <w:pPr>
              <w:jc w:val="right"/>
              <w:rPr>
                <w:rFonts w:cstheme="minorHAnsi"/>
                <w:sz w:val="20"/>
                <w:szCs w:val="20"/>
              </w:rPr>
            </w:pPr>
            <w:r w:rsidRPr="00291881">
              <w:rPr>
                <w:rFonts w:cstheme="minorHAnsi"/>
                <w:sz w:val="20"/>
                <w:szCs w:val="20"/>
              </w:rPr>
              <w:t>3.7</w:t>
            </w:r>
          </w:p>
        </w:tc>
        <w:tc>
          <w:tcPr>
            <w:tcW w:w="397" w:type="pct"/>
            <w:noWrap/>
            <w:hideMark/>
          </w:tcPr>
          <w:p w14:paraId="6123C067" w14:textId="77777777" w:rsidR="00AF0ADF" w:rsidRPr="00291881" w:rsidRDefault="00AF0ADF" w:rsidP="00AF0ADF">
            <w:pPr>
              <w:jc w:val="right"/>
              <w:rPr>
                <w:rFonts w:cstheme="minorHAnsi"/>
                <w:sz w:val="20"/>
                <w:szCs w:val="20"/>
              </w:rPr>
            </w:pPr>
            <w:r w:rsidRPr="00291881">
              <w:rPr>
                <w:rFonts w:cstheme="minorHAnsi"/>
                <w:sz w:val="20"/>
                <w:szCs w:val="20"/>
              </w:rPr>
              <w:t>3.5</w:t>
            </w:r>
          </w:p>
        </w:tc>
        <w:tc>
          <w:tcPr>
            <w:tcW w:w="397" w:type="pct"/>
            <w:noWrap/>
            <w:hideMark/>
          </w:tcPr>
          <w:p w14:paraId="33991133" w14:textId="77777777" w:rsidR="00AF0ADF" w:rsidRPr="00291881" w:rsidRDefault="00AF0ADF" w:rsidP="00AF0ADF">
            <w:pPr>
              <w:jc w:val="right"/>
              <w:rPr>
                <w:rFonts w:cstheme="minorHAnsi"/>
                <w:sz w:val="20"/>
                <w:szCs w:val="20"/>
              </w:rPr>
            </w:pPr>
            <w:r w:rsidRPr="00291881">
              <w:rPr>
                <w:rFonts w:cstheme="minorHAnsi"/>
                <w:sz w:val="20"/>
                <w:szCs w:val="20"/>
              </w:rPr>
              <w:t>3.4</w:t>
            </w:r>
          </w:p>
        </w:tc>
        <w:tc>
          <w:tcPr>
            <w:tcW w:w="397" w:type="pct"/>
            <w:noWrap/>
            <w:hideMark/>
          </w:tcPr>
          <w:p w14:paraId="1235ACF1" w14:textId="77777777" w:rsidR="00AF0ADF" w:rsidRPr="00291881" w:rsidRDefault="00AF0ADF" w:rsidP="00AF0ADF">
            <w:pPr>
              <w:jc w:val="right"/>
              <w:rPr>
                <w:rFonts w:cstheme="minorHAnsi"/>
                <w:sz w:val="20"/>
                <w:szCs w:val="20"/>
              </w:rPr>
            </w:pPr>
            <w:r w:rsidRPr="00291881">
              <w:rPr>
                <w:rFonts w:cstheme="minorHAnsi"/>
                <w:sz w:val="20"/>
                <w:szCs w:val="20"/>
              </w:rPr>
              <w:t>3.1</w:t>
            </w:r>
          </w:p>
        </w:tc>
        <w:tc>
          <w:tcPr>
            <w:tcW w:w="397" w:type="pct"/>
            <w:noWrap/>
            <w:hideMark/>
          </w:tcPr>
          <w:p w14:paraId="3038641B" w14:textId="77777777" w:rsidR="00AF0ADF" w:rsidRPr="00291881" w:rsidRDefault="00AF0ADF" w:rsidP="00AF0ADF">
            <w:pPr>
              <w:jc w:val="right"/>
              <w:rPr>
                <w:rFonts w:cstheme="minorHAnsi"/>
                <w:sz w:val="20"/>
                <w:szCs w:val="20"/>
              </w:rPr>
            </w:pPr>
            <w:r w:rsidRPr="00291881">
              <w:rPr>
                <w:rFonts w:cstheme="minorHAnsi"/>
                <w:sz w:val="20"/>
                <w:szCs w:val="20"/>
              </w:rPr>
              <w:t>2.9</w:t>
            </w:r>
          </w:p>
        </w:tc>
        <w:tc>
          <w:tcPr>
            <w:tcW w:w="397" w:type="pct"/>
            <w:noWrap/>
            <w:hideMark/>
          </w:tcPr>
          <w:p w14:paraId="7E652F61" w14:textId="77777777" w:rsidR="00AF0ADF" w:rsidRPr="00291881" w:rsidRDefault="00AF0ADF" w:rsidP="00AF0ADF">
            <w:pPr>
              <w:jc w:val="right"/>
              <w:rPr>
                <w:rFonts w:cstheme="minorHAnsi"/>
                <w:sz w:val="20"/>
                <w:szCs w:val="20"/>
              </w:rPr>
            </w:pPr>
            <w:r w:rsidRPr="00291881">
              <w:rPr>
                <w:rFonts w:cstheme="minorHAnsi"/>
                <w:sz w:val="20"/>
                <w:szCs w:val="20"/>
              </w:rPr>
              <w:t>2.7</w:t>
            </w:r>
          </w:p>
        </w:tc>
        <w:tc>
          <w:tcPr>
            <w:tcW w:w="394" w:type="pct"/>
            <w:noWrap/>
            <w:hideMark/>
          </w:tcPr>
          <w:p w14:paraId="0AD798B3" w14:textId="77777777" w:rsidR="00AF0ADF" w:rsidRPr="00291881" w:rsidRDefault="00AF0ADF" w:rsidP="00AF0ADF">
            <w:pPr>
              <w:jc w:val="right"/>
              <w:rPr>
                <w:rFonts w:cstheme="minorHAnsi"/>
                <w:sz w:val="20"/>
                <w:szCs w:val="20"/>
              </w:rPr>
            </w:pPr>
            <w:r w:rsidRPr="00291881">
              <w:rPr>
                <w:rFonts w:cstheme="minorHAnsi"/>
                <w:sz w:val="20"/>
                <w:szCs w:val="20"/>
              </w:rPr>
              <w:t>2.7</w:t>
            </w:r>
          </w:p>
        </w:tc>
      </w:tr>
      <w:tr w:rsidR="00AF0ADF" w:rsidRPr="00291881" w14:paraId="051D5190" w14:textId="77777777" w:rsidTr="00AF0ADF">
        <w:trPr>
          <w:trHeight w:val="20"/>
        </w:trPr>
        <w:tc>
          <w:tcPr>
            <w:tcW w:w="5000" w:type="pct"/>
            <w:gridSpan w:val="10"/>
            <w:noWrap/>
            <w:hideMark/>
          </w:tcPr>
          <w:p w14:paraId="6B2EFFEF" w14:textId="77777777" w:rsidR="00AF0ADF" w:rsidRPr="00291881" w:rsidRDefault="00AF0ADF" w:rsidP="00AF0ADF">
            <w:pPr>
              <w:rPr>
                <w:rFonts w:cstheme="minorHAnsi"/>
                <w:sz w:val="20"/>
                <w:szCs w:val="20"/>
              </w:rPr>
            </w:pPr>
            <w:r w:rsidRPr="00291881">
              <w:rPr>
                <w:rFonts w:cstheme="minorHAnsi"/>
                <w:b/>
                <w:bCs/>
                <w:sz w:val="20"/>
                <w:szCs w:val="20"/>
              </w:rPr>
              <w:t>Hospital sector</w:t>
            </w:r>
          </w:p>
        </w:tc>
      </w:tr>
      <w:tr w:rsidR="00AF0ADF" w:rsidRPr="00291881" w14:paraId="1D6F2B55" w14:textId="77777777" w:rsidTr="00751711">
        <w:trPr>
          <w:trHeight w:val="20"/>
        </w:trPr>
        <w:tc>
          <w:tcPr>
            <w:tcW w:w="1431" w:type="pct"/>
            <w:noWrap/>
            <w:hideMark/>
          </w:tcPr>
          <w:p w14:paraId="50CEBDC7" w14:textId="77777777" w:rsidR="00AF0ADF" w:rsidRPr="00291881" w:rsidRDefault="00AF0ADF" w:rsidP="00AF0ADF">
            <w:pPr>
              <w:rPr>
                <w:rFonts w:cstheme="minorHAnsi"/>
                <w:sz w:val="20"/>
                <w:szCs w:val="20"/>
              </w:rPr>
            </w:pPr>
            <w:r w:rsidRPr="00291881">
              <w:rPr>
                <w:rFonts w:cstheme="minorHAnsi"/>
                <w:sz w:val="20"/>
                <w:szCs w:val="20"/>
              </w:rPr>
              <w:t>Private</w:t>
            </w:r>
          </w:p>
        </w:tc>
        <w:tc>
          <w:tcPr>
            <w:tcW w:w="397" w:type="pct"/>
            <w:noWrap/>
            <w:hideMark/>
          </w:tcPr>
          <w:p w14:paraId="26536B8A" w14:textId="77777777" w:rsidR="00AF0ADF" w:rsidRPr="00291881" w:rsidRDefault="00AF0ADF" w:rsidP="00AF0ADF">
            <w:pPr>
              <w:jc w:val="right"/>
              <w:rPr>
                <w:rFonts w:cstheme="minorHAnsi"/>
                <w:sz w:val="20"/>
                <w:szCs w:val="20"/>
              </w:rPr>
            </w:pPr>
            <w:r w:rsidRPr="00291881">
              <w:rPr>
                <w:rFonts w:cstheme="minorHAnsi"/>
                <w:sz w:val="20"/>
                <w:szCs w:val="20"/>
              </w:rPr>
              <w:t>2.7</w:t>
            </w:r>
          </w:p>
        </w:tc>
        <w:tc>
          <w:tcPr>
            <w:tcW w:w="397" w:type="pct"/>
            <w:noWrap/>
            <w:hideMark/>
          </w:tcPr>
          <w:p w14:paraId="6951445A" w14:textId="77777777" w:rsidR="00AF0ADF" w:rsidRPr="00291881" w:rsidRDefault="00AF0ADF" w:rsidP="00AF0ADF">
            <w:pPr>
              <w:jc w:val="right"/>
              <w:rPr>
                <w:rFonts w:cstheme="minorHAnsi"/>
                <w:sz w:val="20"/>
                <w:szCs w:val="20"/>
              </w:rPr>
            </w:pPr>
            <w:r w:rsidRPr="00291881">
              <w:rPr>
                <w:rFonts w:cstheme="minorHAnsi"/>
                <w:sz w:val="20"/>
                <w:szCs w:val="20"/>
              </w:rPr>
              <w:t>2.6</w:t>
            </w:r>
          </w:p>
        </w:tc>
        <w:tc>
          <w:tcPr>
            <w:tcW w:w="397" w:type="pct"/>
            <w:noWrap/>
            <w:hideMark/>
          </w:tcPr>
          <w:p w14:paraId="6DB82BE0" w14:textId="77777777" w:rsidR="00AF0ADF" w:rsidRPr="00291881" w:rsidRDefault="00AF0ADF" w:rsidP="00AF0ADF">
            <w:pPr>
              <w:jc w:val="right"/>
              <w:rPr>
                <w:rFonts w:cstheme="minorHAnsi"/>
                <w:sz w:val="20"/>
                <w:szCs w:val="20"/>
              </w:rPr>
            </w:pPr>
            <w:r w:rsidRPr="00291881">
              <w:rPr>
                <w:rFonts w:cstheme="minorHAnsi"/>
                <w:sz w:val="20"/>
                <w:szCs w:val="20"/>
              </w:rPr>
              <w:t>2.2</w:t>
            </w:r>
          </w:p>
        </w:tc>
        <w:tc>
          <w:tcPr>
            <w:tcW w:w="397" w:type="pct"/>
            <w:noWrap/>
            <w:hideMark/>
          </w:tcPr>
          <w:p w14:paraId="4D7821E4" w14:textId="77777777" w:rsidR="00AF0ADF" w:rsidRPr="00291881" w:rsidRDefault="00AF0ADF" w:rsidP="00AF0ADF">
            <w:pPr>
              <w:jc w:val="right"/>
              <w:rPr>
                <w:rFonts w:cstheme="minorHAnsi"/>
                <w:sz w:val="20"/>
                <w:szCs w:val="20"/>
              </w:rPr>
            </w:pPr>
            <w:r w:rsidRPr="00291881">
              <w:rPr>
                <w:rFonts w:cstheme="minorHAnsi"/>
                <w:sz w:val="20"/>
                <w:szCs w:val="20"/>
              </w:rPr>
              <w:t>1.9</w:t>
            </w:r>
          </w:p>
        </w:tc>
        <w:tc>
          <w:tcPr>
            <w:tcW w:w="397" w:type="pct"/>
            <w:noWrap/>
            <w:hideMark/>
          </w:tcPr>
          <w:p w14:paraId="14B908DD" w14:textId="77777777" w:rsidR="00AF0ADF" w:rsidRPr="00291881" w:rsidRDefault="00AF0ADF" w:rsidP="00AF0ADF">
            <w:pPr>
              <w:jc w:val="right"/>
              <w:rPr>
                <w:rFonts w:cstheme="minorHAnsi"/>
                <w:sz w:val="20"/>
                <w:szCs w:val="20"/>
              </w:rPr>
            </w:pPr>
            <w:r w:rsidRPr="00291881">
              <w:rPr>
                <w:rFonts w:cstheme="minorHAnsi"/>
                <w:sz w:val="20"/>
                <w:szCs w:val="20"/>
              </w:rPr>
              <w:t>1.8</w:t>
            </w:r>
          </w:p>
        </w:tc>
        <w:tc>
          <w:tcPr>
            <w:tcW w:w="397" w:type="pct"/>
            <w:noWrap/>
            <w:hideMark/>
          </w:tcPr>
          <w:p w14:paraId="1995C261" w14:textId="77777777" w:rsidR="00AF0ADF" w:rsidRPr="00291881" w:rsidRDefault="00AF0ADF" w:rsidP="00AF0ADF">
            <w:pPr>
              <w:jc w:val="right"/>
              <w:rPr>
                <w:rFonts w:cstheme="minorHAnsi"/>
                <w:sz w:val="20"/>
                <w:szCs w:val="20"/>
              </w:rPr>
            </w:pPr>
            <w:r w:rsidRPr="00291881">
              <w:rPr>
                <w:rFonts w:cstheme="minorHAnsi"/>
                <w:sz w:val="20"/>
                <w:szCs w:val="20"/>
              </w:rPr>
              <w:t>1.7</w:t>
            </w:r>
          </w:p>
        </w:tc>
        <w:tc>
          <w:tcPr>
            <w:tcW w:w="397" w:type="pct"/>
            <w:noWrap/>
            <w:hideMark/>
          </w:tcPr>
          <w:p w14:paraId="214ED0A4" w14:textId="77777777" w:rsidR="00AF0ADF" w:rsidRPr="00291881" w:rsidRDefault="00AF0ADF" w:rsidP="00AF0ADF">
            <w:pPr>
              <w:jc w:val="right"/>
              <w:rPr>
                <w:rFonts w:cstheme="minorHAnsi"/>
                <w:sz w:val="20"/>
                <w:szCs w:val="20"/>
              </w:rPr>
            </w:pPr>
            <w:r w:rsidRPr="00291881">
              <w:rPr>
                <w:rFonts w:cstheme="minorHAnsi"/>
                <w:sz w:val="20"/>
                <w:szCs w:val="20"/>
              </w:rPr>
              <w:t>2.0</w:t>
            </w:r>
          </w:p>
        </w:tc>
        <w:tc>
          <w:tcPr>
            <w:tcW w:w="397" w:type="pct"/>
            <w:noWrap/>
            <w:hideMark/>
          </w:tcPr>
          <w:p w14:paraId="67A6EF67" w14:textId="77777777" w:rsidR="00AF0ADF" w:rsidRPr="00291881" w:rsidRDefault="00AF0ADF" w:rsidP="00AF0ADF">
            <w:pPr>
              <w:jc w:val="right"/>
              <w:rPr>
                <w:rFonts w:cstheme="minorHAnsi"/>
                <w:sz w:val="20"/>
                <w:szCs w:val="20"/>
              </w:rPr>
            </w:pPr>
            <w:r w:rsidRPr="00291881">
              <w:rPr>
                <w:rFonts w:cstheme="minorHAnsi"/>
                <w:sz w:val="20"/>
                <w:szCs w:val="20"/>
              </w:rPr>
              <w:t>1.7</w:t>
            </w:r>
          </w:p>
        </w:tc>
        <w:tc>
          <w:tcPr>
            <w:tcW w:w="394" w:type="pct"/>
            <w:noWrap/>
            <w:hideMark/>
          </w:tcPr>
          <w:p w14:paraId="0A3B3BBB" w14:textId="77777777" w:rsidR="00AF0ADF" w:rsidRPr="00291881" w:rsidRDefault="00AF0ADF" w:rsidP="00AF0ADF">
            <w:pPr>
              <w:jc w:val="right"/>
              <w:rPr>
                <w:rFonts w:cstheme="minorHAnsi"/>
                <w:sz w:val="20"/>
                <w:szCs w:val="20"/>
              </w:rPr>
            </w:pPr>
            <w:r w:rsidRPr="00291881">
              <w:rPr>
                <w:rFonts w:cstheme="minorHAnsi"/>
                <w:sz w:val="20"/>
                <w:szCs w:val="20"/>
              </w:rPr>
              <w:t>1.7</w:t>
            </w:r>
          </w:p>
        </w:tc>
      </w:tr>
      <w:tr w:rsidR="00AF0ADF" w:rsidRPr="00291881" w14:paraId="00257B75" w14:textId="77777777" w:rsidTr="00751711">
        <w:trPr>
          <w:trHeight w:val="20"/>
        </w:trPr>
        <w:tc>
          <w:tcPr>
            <w:tcW w:w="1431" w:type="pct"/>
            <w:noWrap/>
            <w:hideMark/>
          </w:tcPr>
          <w:p w14:paraId="4CDE30C6" w14:textId="77777777" w:rsidR="00AF0ADF" w:rsidRPr="00291881" w:rsidRDefault="00AF0ADF" w:rsidP="00AF0ADF">
            <w:pPr>
              <w:rPr>
                <w:rFonts w:cstheme="minorHAnsi"/>
                <w:sz w:val="20"/>
                <w:szCs w:val="20"/>
              </w:rPr>
            </w:pPr>
            <w:r w:rsidRPr="00291881">
              <w:rPr>
                <w:rFonts w:cstheme="minorHAnsi"/>
                <w:sz w:val="20"/>
                <w:szCs w:val="20"/>
              </w:rPr>
              <w:t>Public</w:t>
            </w:r>
          </w:p>
        </w:tc>
        <w:tc>
          <w:tcPr>
            <w:tcW w:w="397" w:type="pct"/>
            <w:noWrap/>
            <w:hideMark/>
          </w:tcPr>
          <w:p w14:paraId="0301EE0E" w14:textId="77777777" w:rsidR="00AF0ADF" w:rsidRPr="00291881" w:rsidRDefault="00AF0ADF" w:rsidP="00AF0ADF">
            <w:pPr>
              <w:jc w:val="right"/>
              <w:rPr>
                <w:rFonts w:cstheme="minorHAnsi"/>
                <w:sz w:val="20"/>
                <w:szCs w:val="20"/>
              </w:rPr>
            </w:pPr>
            <w:r w:rsidRPr="00291881">
              <w:rPr>
                <w:rFonts w:cstheme="minorHAnsi"/>
                <w:sz w:val="20"/>
                <w:szCs w:val="20"/>
              </w:rPr>
              <w:t>17.1</w:t>
            </w:r>
          </w:p>
        </w:tc>
        <w:tc>
          <w:tcPr>
            <w:tcW w:w="397" w:type="pct"/>
            <w:noWrap/>
            <w:hideMark/>
          </w:tcPr>
          <w:p w14:paraId="7C16458E" w14:textId="77777777" w:rsidR="00AF0ADF" w:rsidRPr="00291881" w:rsidRDefault="00AF0ADF" w:rsidP="00AF0ADF">
            <w:pPr>
              <w:jc w:val="right"/>
              <w:rPr>
                <w:rFonts w:cstheme="minorHAnsi"/>
                <w:sz w:val="20"/>
                <w:szCs w:val="20"/>
              </w:rPr>
            </w:pPr>
            <w:r w:rsidRPr="00291881">
              <w:rPr>
                <w:rFonts w:cstheme="minorHAnsi"/>
                <w:sz w:val="20"/>
                <w:szCs w:val="20"/>
              </w:rPr>
              <w:t>16.0</w:t>
            </w:r>
          </w:p>
        </w:tc>
        <w:tc>
          <w:tcPr>
            <w:tcW w:w="397" w:type="pct"/>
            <w:noWrap/>
            <w:hideMark/>
          </w:tcPr>
          <w:p w14:paraId="7D775ACF" w14:textId="77777777" w:rsidR="00AF0ADF" w:rsidRPr="00291881" w:rsidRDefault="00AF0ADF" w:rsidP="00AF0ADF">
            <w:pPr>
              <w:jc w:val="right"/>
              <w:rPr>
                <w:rFonts w:cstheme="minorHAnsi"/>
                <w:sz w:val="20"/>
                <w:szCs w:val="20"/>
              </w:rPr>
            </w:pPr>
            <w:r w:rsidRPr="00291881">
              <w:rPr>
                <w:rFonts w:cstheme="minorHAnsi"/>
                <w:sz w:val="20"/>
                <w:szCs w:val="20"/>
              </w:rPr>
              <w:t>14.9</w:t>
            </w:r>
          </w:p>
        </w:tc>
        <w:tc>
          <w:tcPr>
            <w:tcW w:w="397" w:type="pct"/>
            <w:noWrap/>
            <w:hideMark/>
          </w:tcPr>
          <w:p w14:paraId="66E3C2A4" w14:textId="77777777" w:rsidR="00AF0ADF" w:rsidRPr="00291881" w:rsidRDefault="00AF0ADF" w:rsidP="00AF0ADF">
            <w:pPr>
              <w:jc w:val="right"/>
              <w:rPr>
                <w:rFonts w:cstheme="minorHAnsi"/>
                <w:sz w:val="20"/>
                <w:szCs w:val="20"/>
              </w:rPr>
            </w:pPr>
            <w:r w:rsidRPr="00291881">
              <w:rPr>
                <w:rFonts w:cstheme="minorHAnsi"/>
                <w:sz w:val="20"/>
                <w:szCs w:val="20"/>
              </w:rPr>
              <w:t>13.9</w:t>
            </w:r>
          </w:p>
        </w:tc>
        <w:tc>
          <w:tcPr>
            <w:tcW w:w="397" w:type="pct"/>
            <w:noWrap/>
            <w:hideMark/>
          </w:tcPr>
          <w:p w14:paraId="4AAEE8C4" w14:textId="77777777" w:rsidR="00AF0ADF" w:rsidRPr="00291881" w:rsidRDefault="00AF0ADF" w:rsidP="00AF0ADF">
            <w:pPr>
              <w:jc w:val="right"/>
              <w:rPr>
                <w:rFonts w:cstheme="minorHAnsi"/>
                <w:sz w:val="20"/>
                <w:szCs w:val="20"/>
              </w:rPr>
            </w:pPr>
            <w:r w:rsidRPr="00291881">
              <w:rPr>
                <w:rFonts w:cstheme="minorHAnsi"/>
                <w:sz w:val="20"/>
                <w:szCs w:val="20"/>
              </w:rPr>
              <w:t>13.2</w:t>
            </w:r>
          </w:p>
        </w:tc>
        <w:tc>
          <w:tcPr>
            <w:tcW w:w="397" w:type="pct"/>
            <w:noWrap/>
            <w:hideMark/>
          </w:tcPr>
          <w:p w14:paraId="33248337" w14:textId="77777777" w:rsidR="00AF0ADF" w:rsidRPr="00291881" w:rsidRDefault="00AF0ADF" w:rsidP="00AF0ADF">
            <w:pPr>
              <w:jc w:val="right"/>
              <w:rPr>
                <w:rFonts w:cstheme="minorHAnsi"/>
                <w:sz w:val="20"/>
                <w:szCs w:val="20"/>
              </w:rPr>
            </w:pPr>
            <w:r w:rsidRPr="00291881">
              <w:rPr>
                <w:rFonts w:cstheme="minorHAnsi"/>
                <w:sz w:val="20"/>
                <w:szCs w:val="20"/>
              </w:rPr>
              <w:t>12.4</w:t>
            </w:r>
          </w:p>
        </w:tc>
        <w:tc>
          <w:tcPr>
            <w:tcW w:w="397" w:type="pct"/>
            <w:noWrap/>
            <w:hideMark/>
          </w:tcPr>
          <w:p w14:paraId="1ACAB0EC" w14:textId="77777777" w:rsidR="00AF0ADF" w:rsidRPr="00291881" w:rsidRDefault="00AF0ADF" w:rsidP="00AF0ADF">
            <w:pPr>
              <w:jc w:val="right"/>
              <w:rPr>
                <w:rFonts w:cstheme="minorHAnsi"/>
                <w:sz w:val="20"/>
                <w:szCs w:val="20"/>
              </w:rPr>
            </w:pPr>
            <w:r w:rsidRPr="00291881">
              <w:rPr>
                <w:rFonts w:cstheme="minorHAnsi"/>
                <w:sz w:val="20"/>
                <w:szCs w:val="20"/>
              </w:rPr>
              <w:t>12.2</w:t>
            </w:r>
          </w:p>
        </w:tc>
        <w:tc>
          <w:tcPr>
            <w:tcW w:w="397" w:type="pct"/>
            <w:noWrap/>
            <w:hideMark/>
          </w:tcPr>
          <w:p w14:paraId="6CF1FC56" w14:textId="77777777" w:rsidR="00AF0ADF" w:rsidRPr="00291881" w:rsidRDefault="00AF0ADF" w:rsidP="00AF0ADF">
            <w:pPr>
              <w:jc w:val="right"/>
              <w:rPr>
                <w:rFonts w:cstheme="minorHAnsi"/>
                <w:sz w:val="20"/>
                <w:szCs w:val="20"/>
              </w:rPr>
            </w:pPr>
            <w:r w:rsidRPr="00291881">
              <w:rPr>
                <w:rFonts w:cstheme="minorHAnsi"/>
                <w:sz w:val="20"/>
                <w:szCs w:val="20"/>
              </w:rPr>
              <w:t>11.8</w:t>
            </w:r>
          </w:p>
        </w:tc>
        <w:tc>
          <w:tcPr>
            <w:tcW w:w="394" w:type="pct"/>
            <w:noWrap/>
            <w:hideMark/>
          </w:tcPr>
          <w:p w14:paraId="1A6A6EB3" w14:textId="77777777" w:rsidR="00AF0ADF" w:rsidRPr="00291881" w:rsidRDefault="00AF0ADF" w:rsidP="00AF0ADF">
            <w:pPr>
              <w:jc w:val="right"/>
              <w:rPr>
                <w:rFonts w:cstheme="minorHAnsi"/>
                <w:sz w:val="20"/>
                <w:szCs w:val="20"/>
              </w:rPr>
            </w:pPr>
            <w:r w:rsidRPr="00291881">
              <w:rPr>
                <w:rFonts w:cstheme="minorHAnsi"/>
                <w:sz w:val="20"/>
                <w:szCs w:val="20"/>
              </w:rPr>
              <w:t>11.4</w:t>
            </w:r>
          </w:p>
        </w:tc>
      </w:tr>
      <w:tr w:rsidR="00AF0ADF" w:rsidRPr="00291881" w14:paraId="0193C0B2" w14:textId="77777777" w:rsidTr="00AF0ADF">
        <w:trPr>
          <w:trHeight w:val="20"/>
        </w:trPr>
        <w:tc>
          <w:tcPr>
            <w:tcW w:w="5000" w:type="pct"/>
            <w:gridSpan w:val="10"/>
            <w:noWrap/>
            <w:hideMark/>
          </w:tcPr>
          <w:p w14:paraId="38FDF459" w14:textId="77777777" w:rsidR="00AF0ADF" w:rsidRPr="00291881" w:rsidRDefault="00AF0ADF" w:rsidP="00AF0ADF">
            <w:pPr>
              <w:rPr>
                <w:rFonts w:cstheme="minorHAnsi"/>
                <w:sz w:val="20"/>
                <w:szCs w:val="20"/>
              </w:rPr>
            </w:pPr>
            <w:r w:rsidRPr="00291881">
              <w:rPr>
                <w:rFonts w:cstheme="minorHAnsi"/>
                <w:b/>
                <w:bCs/>
                <w:sz w:val="20"/>
                <w:szCs w:val="20"/>
              </w:rPr>
              <w:t>Hospitals annual number of births</w:t>
            </w:r>
          </w:p>
        </w:tc>
      </w:tr>
      <w:tr w:rsidR="00AF0ADF" w:rsidRPr="00291881" w14:paraId="4F941FE7" w14:textId="77777777" w:rsidTr="00751711">
        <w:trPr>
          <w:trHeight w:val="20"/>
        </w:trPr>
        <w:tc>
          <w:tcPr>
            <w:tcW w:w="1431" w:type="pct"/>
            <w:noWrap/>
            <w:hideMark/>
          </w:tcPr>
          <w:p w14:paraId="1C541DAB" w14:textId="77777777" w:rsidR="00AF0ADF" w:rsidRPr="00291881" w:rsidRDefault="00AF0ADF" w:rsidP="00AF0ADF">
            <w:pPr>
              <w:rPr>
                <w:rFonts w:cstheme="minorHAnsi"/>
                <w:sz w:val="20"/>
                <w:szCs w:val="20"/>
              </w:rPr>
            </w:pPr>
            <w:r w:rsidRPr="00291881">
              <w:rPr>
                <w:rFonts w:cstheme="minorHAnsi"/>
                <w:sz w:val="20"/>
                <w:szCs w:val="20"/>
              </w:rPr>
              <w:t>1-100 births</w:t>
            </w:r>
          </w:p>
        </w:tc>
        <w:tc>
          <w:tcPr>
            <w:tcW w:w="397" w:type="pct"/>
            <w:noWrap/>
            <w:hideMark/>
          </w:tcPr>
          <w:p w14:paraId="6202FB04" w14:textId="77777777" w:rsidR="00AF0ADF" w:rsidRPr="00291881" w:rsidRDefault="00AF0ADF" w:rsidP="00AF0ADF">
            <w:pPr>
              <w:jc w:val="right"/>
              <w:rPr>
                <w:rFonts w:cstheme="minorHAnsi"/>
                <w:sz w:val="20"/>
                <w:szCs w:val="20"/>
              </w:rPr>
            </w:pPr>
            <w:r w:rsidRPr="00291881">
              <w:rPr>
                <w:rFonts w:cstheme="minorHAnsi"/>
                <w:sz w:val="20"/>
                <w:szCs w:val="20"/>
              </w:rPr>
              <w:t>22.0</w:t>
            </w:r>
          </w:p>
        </w:tc>
        <w:tc>
          <w:tcPr>
            <w:tcW w:w="397" w:type="pct"/>
            <w:noWrap/>
            <w:hideMark/>
          </w:tcPr>
          <w:p w14:paraId="2764C240" w14:textId="77777777" w:rsidR="00AF0ADF" w:rsidRPr="00291881" w:rsidRDefault="00AF0ADF" w:rsidP="00AF0ADF">
            <w:pPr>
              <w:jc w:val="right"/>
              <w:rPr>
                <w:rFonts w:cstheme="minorHAnsi"/>
                <w:sz w:val="20"/>
                <w:szCs w:val="20"/>
              </w:rPr>
            </w:pPr>
            <w:r w:rsidRPr="00291881">
              <w:rPr>
                <w:rFonts w:cstheme="minorHAnsi"/>
                <w:sz w:val="20"/>
                <w:szCs w:val="20"/>
              </w:rPr>
              <w:t>20.9</w:t>
            </w:r>
          </w:p>
        </w:tc>
        <w:tc>
          <w:tcPr>
            <w:tcW w:w="397" w:type="pct"/>
            <w:noWrap/>
            <w:hideMark/>
          </w:tcPr>
          <w:p w14:paraId="5F7CE1B9" w14:textId="77777777" w:rsidR="00AF0ADF" w:rsidRPr="00291881" w:rsidRDefault="00AF0ADF" w:rsidP="00AF0ADF">
            <w:pPr>
              <w:jc w:val="right"/>
              <w:rPr>
                <w:rFonts w:cstheme="minorHAnsi"/>
                <w:sz w:val="20"/>
                <w:szCs w:val="20"/>
              </w:rPr>
            </w:pPr>
            <w:r w:rsidRPr="00291881">
              <w:rPr>
                <w:rFonts w:cstheme="minorHAnsi"/>
                <w:sz w:val="20"/>
                <w:szCs w:val="20"/>
              </w:rPr>
              <w:t>20.5</w:t>
            </w:r>
          </w:p>
        </w:tc>
        <w:tc>
          <w:tcPr>
            <w:tcW w:w="397" w:type="pct"/>
            <w:noWrap/>
            <w:hideMark/>
          </w:tcPr>
          <w:p w14:paraId="54EC5331" w14:textId="77777777" w:rsidR="00AF0ADF" w:rsidRPr="00291881" w:rsidRDefault="00AF0ADF" w:rsidP="00AF0ADF">
            <w:pPr>
              <w:jc w:val="right"/>
              <w:rPr>
                <w:rFonts w:cstheme="minorHAnsi"/>
                <w:sz w:val="20"/>
                <w:szCs w:val="20"/>
              </w:rPr>
            </w:pPr>
            <w:r w:rsidRPr="00291881">
              <w:rPr>
                <w:rFonts w:cstheme="minorHAnsi"/>
                <w:sz w:val="20"/>
                <w:szCs w:val="20"/>
              </w:rPr>
              <w:t>18.2</w:t>
            </w:r>
          </w:p>
        </w:tc>
        <w:tc>
          <w:tcPr>
            <w:tcW w:w="397" w:type="pct"/>
            <w:noWrap/>
            <w:hideMark/>
          </w:tcPr>
          <w:p w14:paraId="0940689A" w14:textId="77777777" w:rsidR="00AF0ADF" w:rsidRPr="00291881" w:rsidRDefault="00AF0ADF" w:rsidP="00AF0ADF">
            <w:pPr>
              <w:jc w:val="right"/>
              <w:rPr>
                <w:rFonts w:cstheme="minorHAnsi"/>
                <w:sz w:val="20"/>
                <w:szCs w:val="20"/>
              </w:rPr>
            </w:pPr>
            <w:r w:rsidRPr="00291881">
              <w:rPr>
                <w:rFonts w:cstheme="minorHAnsi"/>
                <w:sz w:val="20"/>
                <w:szCs w:val="20"/>
              </w:rPr>
              <w:t>17.9</w:t>
            </w:r>
          </w:p>
        </w:tc>
        <w:tc>
          <w:tcPr>
            <w:tcW w:w="397" w:type="pct"/>
            <w:noWrap/>
            <w:hideMark/>
          </w:tcPr>
          <w:p w14:paraId="06F9A1B5" w14:textId="77777777" w:rsidR="00AF0ADF" w:rsidRPr="00291881" w:rsidRDefault="00AF0ADF" w:rsidP="00AF0ADF">
            <w:pPr>
              <w:jc w:val="right"/>
              <w:rPr>
                <w:rFonts w:cstheme="minorHAnsi"/>
                <w:sz w:val="20"/>
                <w:szCs w:val="20"/>
              </w:rPr>
            </w:pPr>
            <w:r w:rsidRPr="00291881">
              <w:rPr>
                <w:rFonts w:cstheme="minorHAnsi"/>
                <w:sz w:val="20"/>
                <w:szCs w:val="20"/>
              </w:rPr>
              <w:t>16.6</w:t>
            </w:r>
          </w:p>
        </w:tc>
        <w:tc>
          <w:tcPr>
            <w:tcW w:w="397" w:type="pct"/>
            <w:noWrap/>
            <w:hideMark/>
          </w:tcPr>
          <w:p w14:paraId="31BD545A" w14:textId="77777777" w:rsidR="00AF0ADF" w:rsidRPr="00291881" w:rsidRDefault="00AF0ADF" w:rsidP="00AF0ADF">
            <w:pPr>
              <w:jc w:val="right"/>
              <w:rPr>
                <w:rFonts w:cstheme="minorHAnsi"/>
                <w:sz w:val="20"/>
                <w:szCs w:val="20"/>
              </w:rPr>
            </w:pPr>
            <w:r w:rsidRPr="00291881">
              <w:rPr>
                <w:rFonts w:cstheme="minorHAnsi"/>
                <w:sz w:val="20"/>
                <w:szCs w:val="20"/>
              </w:rPr>
              <w:t>16.7</w:t>
            </w:r>
          </w:p>
        </w:tc>
        <w:tc>
          <w:tcPr>
            <w:tcW w:w="397" w:type="pct"/>
            <w:noWrap/>
            <w:hideMark/>
          </w:tcPr>
          <w:p w14:paraId="4759D1FE" w14:textId="77777777" w:rsidR="00AF0ADF" w:rsidRPr="00291881" w:rsidRDefault="00AF0ADF" w:rsidP="00AF0ADF">
            <w:pPr>
              <w:jc w:val="right"/>
              <w:rPr>
                <w:rFonts w:cstheme="minorHAnsi"/>
                <w:sz w:val="20"/>
                <w:szCs w:val="20"/>
              </w:rPr>
            </w:pPr>
            <w:r w:rsidRPr="00291881">
              <w:rPr>
                <w:rFonts w:cstheme="minorHAnsi"/>
                <w:sz w:val="20"/>
                <w:szCs w:val="20"/>
              </w:rPr>
              <w:t>16.7</w:t>
            </w:r>
          </w:p>
        </w:tc>
        <w:tc>
          <w:tcPr>
            <w:tcW w:w="394" w:type="pct"/>
            <w:noWrap/>
            <w:hideMark/>
          </w:tcPr>
          <w:p w14:paraId="5BD9DA2F" w14:textId="77777777" w:rsidR="00AF0ADF" w:rsidRPr="00291881" w:rsidRDefault="00AF0ADF" w:rsidP="00AF0ADF">
            <w:pPr>
              <w:jc w:val="right"/>
              <w:rPr>
                <w:rFonts w:cstheme="minorHAnsi"/>
                <w:sz w:val="20"/>
                <w:szCs w:val="20"/>
              </w:rPr>
            </w:pPr>
            <w:r w:rsidRPr="00291881">
              <w:rPr>
                <w:rFonts w:cstheme="minorHAnsi"/>
                <w:sz w:val="20"/>
                <w:szCs w:val="20"/>
              </w:rPr>
              <w:t>15.9</w:t>
            </w:r>
          </w:p>
        </w:tc>
      </w:tr>
      <w:tr w:rsidR="00AF0ADF" w:rsidRPr="00291881" w14:paraId="57916FCD" w14:textId="77777777" w:rsidTr="00751711">
        <w:trPr>
          <w:trHeight w:val="20"/>
        </w:trPr>
        <w:tc>
          <w:tcPr>
            <w:tcW w:w="1431" w:type="pct"/>
            <w:noWrap/>
            <w:hideMark/>
          </w:tcPr>
          <w:p w14:paraId="0098D12A" w14:textId="77777777" w:rsidR="00AF0ADF" w:rsidRPr="00291881" w:rsidRDefault="00AF0ADF" w:rsidP="00AF0ADF">
            <w:pPr>
              <w:rPr>
                <w:rFonts w:cstheme="minorHAnsi"/>
                <w:sz w:val="20"/>
                <w:szCs w:val="20"/>
              </w:rPr>
            </w:pPr>
            <w:r w:rsidRPr="00291881">
              <w:rPr>
                <w:rFonts w:cstheme="minorHAnsi"/>
                <w:sz w:val="20"/>
                <w:szCs w:val="20"/>
              </w:rPr>
              <w:t>101-500 births</w:t>
            </w:r>
          </w:p>
        </w:tc>
        <w:tc>
          <w:tcPr>
            <w:tcW w:w="397" w:type="pct"/>
            <w:noWrap/>
            <w:hideMark/>
          </w:tcPr>
          <w:p w14:paraId="019CEF7C" w14:textId="77777777" w:rsidR="00AF0ADF" w:rsidRPr="00291881" w:rsidRDefault="00AF0ADF" w:rsidP="00AF0ADF">
            <w:pPr>
              <w:jc w:val="right"/>
              <w:rPr>
                <w:rFonts w:cstheme="minorHAnsi"/>
                <w:sz w:val="20"/>
                <w:szCs w:val="20"/>
              </w:rPr>
            </w:pPr>
            <w:r w:rsidRPr="00291881">
              <w:rPr>
                <w:rFonts w:cstheme="minorHAnsi"/>
                <w:sz w:val="20"/>
                <w:szCs w:val="20"/>
              </w:rPr>
              <w:t>20.7</w:t>
            </w:r>
          </w:p>
        </w:tc>
        <w:tc>
          <w:tcPr>
            <w:tcW w:w="397" w:type="pct"/>
            <w:noWrap/>
            <w:hideMark/>
          </w:tcPr>
          <w:p w14:paraId="7C9C1680" w14:textId="77777777" w:rsidR="00AF0ADF" w:rsidRPr="00291881" w:rsidRDefault="00AF0ADF" w:rsidP="00AF0ADF">
            <w:pPr>
              <w:jc w:val="right"/>
              <w:rPr>
                <w:rFonts w:cstheme="minorHAnsi"/>
                <w:sz w:val="20"/>
                <w:szCs w:val="20"/>
              </w:rPr>
            </w:pPr>
            <w:r w:rsidRPr="00291881">
              <w:rPr>
                <w:rFonts w:cstheme="minorHAnsi"/>
                <w:sz w:val="20"/>
                <w:szCs w:val="20"/>
              </w:rPr>
              <w:t>18.3</w:t>
            </w:r>
          </w:p>
        </w:tc>
        <w:tc>
          <w:tcPr>
            <w:tcW w:w="397" w:type="pct"/>
            <w:noWrap/>
            <w:hideMark/>
          </w:tcPr>
          <w:p w14:paraId="0B182985" w14:textId="77777777" w:rsidR="00AF0ADF" w:rsidRPr="00291881" w:rsidRDefault="00AF0ADF" w:rsidP="00AF0ADF">
            <w:pPr>
              <w:jc w:val="right"/>
              <w:rPr>
                <w:rFonts w:cstheme="minorHAnsi"/>
                <w:sz w:val="20"/>
                <w:szCs w:val="20"/>
              </w:rPr>
            </w:pPr>
            <w:r w:rsidRPr="00291881">
              <w:rPr>
                <w:rFonts w:cstheme="minorHAnsi"/>
                <w:sz w:val="20"/>
                <w:szCs w:val="20"/>
              </w:rPr>
              <w:t>19.4</w:t>
            </w:r>
          </w:p>
        </w:tc>
        <w:tc>
          <w:tcPr>
            <w:tcW w:w="397" w:type="pct"/>
            <w:noWrap/>
            <w:hideMark/>
          </w:tcPr>
          <w:p w14:paraId="38FD8598" w14:textId="77777777" w:rsidR="00AF0ADF" w:rsidRPr="00291881" w:rsidRDefault="00AF0ADF" w:rsidP="00AF0ADF">
            <w:pPr>
              <w:jc w:val="right"/>
              <w:rPr>
                <w:rFonts w:cstheme="minorHAnsi"/>
                <w:sz w:val="20"/>
                <w:szCs w:val="20"/>
              </w:rPr>
            </w:pPr>
            <w:r w:rsidRPr="00291881">
              <w:rPr>
                <w:rFonts w:cstheme="minorHAnsi"/>
                <w:sz w:val="20"/>
                <w:szCs w:val="20"/>
              </w:rPr>
              <w:t>17.8</w:t>
            </w:r>
          </w:p>
        </w:tc>
        <w:tc>
          <w:tcPr>
            <w:tcW w:w="397" w:type="pct"/>
            <w:noWrap/>
            <w:hideMark/>
          </w:tcPr>
          <w:p w14:paraId="70FAED7C" w14:textId="77777777" w:rsidR="00AF0ADF" w:rsidRPr="00291881" w:rsidRDefault="00AF0ADF" w:rsidP="00AF0ADF">
            <w:pPr>
              <w:jc w:val="right"/>
              <w:rPr>
                <w:rFonts w:cstheme="minorHAnsi"/>
                <w:sz w:val="20"/>
                <w:szCs w:val="20"/>
              </w:rPr>
            </w:pPr>
            <w:r w:rsidRPr="00291881">
              <w:rPr>
                <w:rFonts w:cstheme="minorHAnsi"/>
                <w:sz w:val="20"/>
                <w:szCs w:val="20"/>
              </w:rPr>
              <w:t>15.9</w:t>
            </w:r>
          </w:p>
        </w:tc>
        <w:tc>
          <w:tcPr>
            <w:tcW w:w="397" w:type="pct"/>
            <w:noWrap/>
            <w:hideMark/>
          </w:tcPr>
          <w:p w14:paraId="6575A302" w14:textId="77777777" w:rsidR="00AF0ADF" w:rsidRPr="00291881" w:rsidRDefault="00AF0ADF" w:rsidP="00AF0ADF">
            <w:pPr>
              <w:jc w:val="right"/>
              <w:rPr>
                <w:rFonts w:cstheme="minorHAnsi"/>
                <w:sz w:val="20"/>
                <w:szCs w:val="20"/>
              </w:rPr>
            </w:pPr>
            <w:r w:rsidRPr="00291881">
              <w:rPr>
                <w:rFonts w:cstheme="minorHAnsi"/>
                <w:sz w:val="20"/>
                <w:szCs w:val="20"/>
              </w:rPr>
              <w:t>15.3</w:t>
            </w:r>
          </w:p>
        </w:tc>
        <w:tc>
          <w:tcPr>
            <w:tcW w:w="397" w:type="pct"/>
            <w:noWrap/>
            <w:hideMark/>
          </w:tcPr>
          <w:p w14:paraId="6CFB7265" w14:textId="77777777" w:rsidR="00AF0ADF" w:rsidRPr="00291881" w:rsidRDefault="00AF0ADF" w:rsidP="00AF0ADF">
            <w:pPr>
              <w:jc w:val="right"/>
              <w:rPr>
                <w:rFonts w:cstheme="minorHAnsi"/>
                <w:sz w:val="20"/>
                <w:szCs w:val="20"/>
              </w:rPr>
            </w:pPr>
            <w:r w:rsidRPr="00291881">
              <w:rPr>
                <w:rFonts w:cstheme="minorHAnsi"/>
                <w:sz w:val="20"/>
                <w:szCs w:val="20"/>
              </w:rPr>
              <w:t>15.8</w:t>
            </w:r>
          </w:p>
        </w:tc>
        <w:tc>
          <w:tcPr>
            <w:tcW w:w="397" w:type="pct"/>
            <w:noWrap/>
            <w:hideMark/>
          </w:tcPr>
          <w:p w14:paraId="05607166" w14:textId="77777777" w:rsidR="00AF0ADF" w:rsidRPr="00291881" w:rsidRDefault="00AF0ADF" w:rsidP="00AF0ADF">
            <w:pPr>
              <w:jc w:val="right"/>
              <w:rPr>
                <w:rFonts w:cstheme="minorHAnsi"/>
                <w:sz w:val="20"/>
                <w:szCs w:val="20"/>
              </w:rPr>
            </w:pPr>
            <w:r w:rsidRPr="00291881">
              <w:rPr>
                <w:rFonts w:cstheme="minorHAnsi"/>
                <w:sz w:val="20"/>
                <w:szCs w:val="20"/>
              </w:rPr>
              <w:t>14.8</w:t>
            </w:r>
          </w:p>
        </w:tc>
        <w:tc>
          <w:tcPr>
            <w:tcW w:w="394" w:type="pct"/>
            <w:noWrap/>
            <w:hideMark/>
          </w:tcPr>
          <w:p w14:paraId="5FEB0E53" w14:textId="77777777" w:rsidR="00AF0ADF" w:rsidRPr="00291881" w:rsidRDefault="00AF0ADF" w:rsidP="00AF0ADF">
            <w:pPr>
              <w:jc w:val="right"/>
              <w:rPr>
                <w:rFonts w:cstheme="minorHAnsi"/>
                <w:sz w:val="20"/>
                <w:szCs w:val="20"/>
              </w:rPr>
            </w:pPr>
            <w:r w:rsidRPr="00291881">
              <w:rPr>
                <w:rFonts w:cstheme="minorHAnsi"/>
                <w:sz w:val="20"/>
                <w:szCs w:val="20"/>
              </w:rPr>
              <w:t>13.1</w:t>
            </w:r>
          </w:p>
        </w:tc>
      </w:tr>
      <w:tr w:rsidR="00AF0ADF" w:rsidRPr="00291881" w14:paraId="3536CC3E" w14:textId="77777777" w:rsidTr="00751711">
        <w:trPr>
          <w:trHeight w:val="20"/>
        </w:trPr>
        <w:tc>
          <w:tcPr>
            <w:tcW w:w="1431" w:type="pct"/>
            <w:noWrap/>
            <w:hideMark/>
          </w:tcPr>
          <w:p w14:paraId="017AE9A9" w14:textId="77777777" w:rsidR="00AF0ADF" w:rsidRPr="00291881" w:rsidRDefault="00AF0ADF" w:rsidP="00AF0ADF">
            <w:pPr>
              <w:rPr>
                <w:rFonts w:cstheme="minorHAnsi"/>
                <w:sz w:val="20"/>
                <w:szCs w:val="20"/>
              </w:rPr>
            </w:pPr>
            <w:r w:rsidRPr="00291881">
              <w:rPr>
                <w:rFonts w:cstheme="minorHAnsi"/>
                <w:sz w:val="20"/>
                <w:szCs w:val="20"/>
              </w:rPr>
              <w:t>501-1,000 births</w:t>
            </w:r>
          </w:p>
        </w:tc>
        <w:tc>
          <w:tcPr>
            <w:tcW w:w="397" w:type="pct"/>
            <w:noWrap/>
            <w:hideMark/>
          </w:tcPr>
          <w:p w14:paraId="6362B83B" w14:textId="77777777" w:rsidR="00AF0ADF" w:rsidRPr="00291881" w:rsidRDefault="00AF0ADF" w:rsidP="00AF0ADF">
            <w:pPr>
              <w:jc w:val="right"/>
              <w:rPr>
                <w:rFonts w:cstheme="minorHAnsi"/>
                <w:sz w:val="20"/>
                <w:szCs w:val="20"/>
              </w:rPr>
            </w:pPr>
            <w:r w:rsidRPr="00291881">
              <w:rPr>
                <w:rFonts w:cstheme="minorHAnsi"/>
                <w:sz w:val="20"/>
                <w:szCs w:val="20"/>
              </w:rPr>
              <w:t>11.8</w:t>
            </w:r>
          </w:p>
        </w:tc>
        <w:tc>
          <w:tcPr>
            <w:tcW w:w="397" w:type="pct"/>
            <w:noWrap/>
            <w:hideMark/>
          </w:tcPr>
          <w:p w14:paraId="5D42A658" w14:textId="77777777" w:rsidR="00AF0ADF" w:rsidRPr="00291881" w:rsidRDefault="00AF0ADF" w:rsidP="00AF0ADF">
            <w:pPr>
              <w:jc w:val="right"/>
              <w:rPr>
                <w:rFonts w:cstheme="minorHAnsi"/>
                <w:sz w:val="20"/>
                <w:szCs w:val="20"/>
              </w:rPr>
            </w:pPr>
            <w:r w:rsidRPr="00291881">
              <w:rPr>
                <w:rFonts w:cstheme="minorHAnsi"/>
                <w:sz w:val="20"/>
                <w:szCs w:val="20"/>
              </w:rPr>
              <w:t>12.4</w:t>
            </w:r>
          </w:p>
        </w:tc>
        <w:tc>
          <w:tcPr>
            <w:tcW w:w="397" w:type="pct"/>
            <w:noWrap/>
            <w:hideMark/>
          </w:tcPr>
          <w:p w14:paraId="60F46D63" w14:textId="77777777" w:rsidR="00AF0ADF" w:rsidRPr="00291881" w:rsidRDefault="00AF0ADF" w:rsidP="00AF0ADF">
            <w:pPr>
              <w:jc w:val="right"/>
              <w:rPr>
                <w:rFonts w:cstheme="minorHAnsi"/>
                <w:sz w:val="20"/>
                <w:szCs w:val="20"/>
              </w:rPr>
            </w:pPr>
            <w:r w:rsidRPr="00291881">
              <w:rPr>
                <w:rFonts w:cstheme="minorHAnsi"/>
                <w:sz w:val="20"/>
                <w:szCs w:val="20"/>
              </w:rPr>
              <w:t>10.9</w:t>
            </w:r>
          </w:p>
        </w:tc>
        <w:tc>
          <w:tcPr>
            <w:tcW w:w="397" w:type="pct"/>
            <w:noWrap/>
            <w:hideMark/>
          </w:tcPr>
          <w:p w14:paraId="1C154CA1" w14:textId="77777777" w:rsidR="00AF0ADF" w:rsidRPr="00291881" w:rsidRDefault="00AF0ADF" w:rsidP="00AF0ADF">
            <w:pPr>
              <w:jc w:val="right"/>
              <w:rPr>
                <w:rFonts w:cstheme="minorHAnsi"/>
                <w:sz w:val="20"/>
                <w:szCs w:val="20"/>
              </w:rPr>
            </w:pPr>
            <w:r w:rsidRPr="00291881">
              <w:rPr>
                <w:rFonts w:cstheme="minorHAnsi"/>
                <w:sz w:val="20"/>
                <w:szCs w:val="20"/>
              </w:rPr>
              <w:t>10.2</w:t>
            </w:r>
          </w:p>
        </w:tc>
        <w:tc>
          <w:tcPr>
            <w:tcW w:w="397" w:type="pct"/>
            <w:noWrap/>
            <w:hideMark/>
          </w:tcPr>
          <w:p w14:paraId="782971E9" w14:textId="77777777" w:rsidR="00AF0ADF" w:rsidRPr="00291881" w:rsidRDefault="00AF0ADF" w:rsidP="00AF0ADF">
            <w:pPr>
              <w:jc w:val="right"/>
              <w:rPr>
                <w:rFonts w:cstheme="minorHAnsi"/>
                <w:sz w:val="20"/>
                <w:szCs w:val="20"/>
              </w:rPr>
            </w:pPr>
            <w:r w:rsidRPr="00291881">
              <w:rPr>
                <w:rFonts w:cstheme="minorHAnsi"/>
                <w:sz w:val="20"/>
                <w:szCs w:val="20"/>
              </w:rPr>
              <w:t>8.9</w:t>
            </w:r>
          </w:p>
        </w:tc>
        <w:tc>
          <w:tcPr>
            <w:tcW w:w="397" w:type="pct"/>
            <w:noWrap/>
            <w:hideMark/>
          </w:tcPr>
          <w:p w14:paraId="6903E50A" w14:textId="77777777" w:rsidR="00AF0ADF" w:rsidRPr="00291881" w:rsidRDefault="00AF0ADF" w:rsidP="00AF0ADF">
            <w:pPr>
              <w:jc w:val="right"/>
              <w:rPr>
                <w:rFonts w:cstheme="minorHAnsi"/>
                <w:sz w:val="20"/>
                <w:szCs w:val="20"/>
              </w:rPr>
            </w:pPr>
            <w:r w:rsidRPr="00291881">
              <w:rPr>
                <w:rFonts w:cstheme="minorHAnsi"/>
                <w:sz w:val="20"/>
                <w:szCs w:val="20"/>
              </w:rPr>
              <w:t>8.2</w:t>
            </w:r>
          </w:p>
        </w:tc>
        <w:tc>
          <w:tcPr>
            <w:tcW w:w="397" w:type="pct"/>
            <w:noWrap/>
            <w:hideMark/>
          </w:tcPr>
          <w:p w14:paraId="557691F7" w14:textId="77777777" w:rsidR="00AF0ADF" w:rsidRPr="00291881" w:rsidRDefault="00AF0ADF" w:rsidP="00AF0ADF">
            <w:pPr>
              <w:jc w:val="right"/>
              <w:rPr>
                <w:rFonts w:cstheme="minorHAnsi"/>
                <w:sz w:val="20"/>
                <w:szCs w:val="20"/>
              </w:rPr>
            </w:pPr>
            <w:r w:rsidRPr="00291881">
              <w:rPr>
                <w:rFonts w:cstheme="minorHAnsi"/>
                <w:sz w:val="20"/>
                <w:szCs w:val="20"/>
              </w:rPr>
              <w:t>9.4</w:t>
            </w:r>
          </w:p>
        </w:tc>
        <w:tc>
          <w:tcPr>
            <w:tcW w:w="397" w:type="pct"/>
            <w:noWrap/>
            <w:hideMark/>
          </w:tcPr>
          <w:p w14:paraId="40CA88B2" w14:textId="77777777" w:rsidR="00AF0ADF" w:rsidRPr="00291881" w:rsidRDefault="00AF0ADF" w:rsidP="00AF0ADF">
            <w:pPr>
              <w:jc w:val="right"/>
              <w:rPr>
                <w:rFonts w:cstheme="minorHAnsi"/>
                <w:sz w:val="20"/>
                <w:szCs w:val="20"/>
              </w:rPr>
            </w:pPr>
            <w:r w:rsidRPr="00291881">
              <w:rPr>
                <w:rFonts w:cstheme="minorHAnsi"/>
                <w:sz w:val="20"/>
                <w:szCs w:val="20"/>
              </w:rPr>
              <w:t>9.4</w:t>
            </w:r>
          </w:p>
        </w:tc>
        <w:tc>
          <w:tcPr>
            <w:tcW w:w="394" w:type="pct"/>
            <w:noWrap/>
            <w:hideMark/>
          </w:tcPr>
          <w:p w14:paraId="34EAF7F2" w14:textId="77777777" w:rsidR="00AF0ADF" w:rsidRPr="00291881" w:rsidRDefault="00AF0ADF" w:rsidP="00AF0ADF">
            <w:pPr>
              <w:jc w:val="right"/>
              <w:rPr>
                <w:rFonts w:cstheme="minorHAnsi"/>
                <w:sz w:val="20"/>
                <w:szCs w:val="20"/>
              </w:rPr>
            </w:pPr>
            <w:r w:rsidRPr="00291881">
              <w:rPr>
                <w:rFonts w:cstheme="minorHAnsi"/>
                <w:sz w:val="20"/>
                <w:szCs w:val="20"/>
              </w:rPr>
              <w:t>8.4</w:t>
            </w:r>
          </w:p>
        </w:tc>
      </w:tr>
      <w:tr w:rsidR="00AF0ADF" w:rsidRPr="00291881" w14:paraId="45A15BAC" w14:textId="77777777" w:rsidTr="00751711">
        <w:trPr>
          <w:trHeight w:val="20"/>
        </w:trPr>
        <w:tc>
          <w:tcPr>
            <w:tcW w:w="1431" w:type="pct"/>
            <w:noWrap/>
            <w:hideMark/>
          </w:tcPr>
          <w:p w14:paraId="12462B63" w14:textId="77777777" w:rsidR="00AF0ADF" w:rsidRPr="00291881" w:rsidRDefault="00AF0ADF" w:rsidP="00AF0ADF">
            <w:pPr>
              <w:rPr>
                <w:rFonts w:cstheme="minorHAnsi"/>
                <w:sz w:val="20"/>
                <w:szCs w:val="20"/>
              </w:rPr>
            </w:pPr>
            <w:r w:rsidRPr="00291881">
              <w:rPr>
                <w:rFonts w:cstheme="minorHAnsi"/>
                <w:sz w:val="20"/>
                <w:szCs w:val="20"/>
              </w:rPr>
              <w:t>1,001-2,000 births</w:t>
            </w:r>
          </w:p>
        </w:tc>
        <w:tc>
          <w:tcPr>
            <w:tcW w:w="397" w:type="pct"/>
            <w:noWrap/>
            <w:hideMark/>
          </w:tcPr>
          <w:p w14:paraId="28FB25AC" w14:textId="77777777" w:rsidR="00AF0ADF" w:rsidRPr="00291881" w:rsidRDefault="00AF0ADF" w:rsidP="00AF0ADF">
            <w:pPr>
              <w:jc w:val="right"/>
              <w:rPr>
                <w:rFonts w:cstheme="minorHAnsi"/>
                <w:sz w:val="20"/>
                <w:szCs w:val="20"/>
              </w:rPr>
            </w:pPr>
            <w:r w:rsidRPr="00291881">
              <w:rPr>
                <w:rFonts w:cstheme="minorHAnsi"/>
                <w:sz w:val="20"/>
                <w:szCs w:val="20"/>
              </w:rPr>
              <w:t>12.9</w:t>
            </w:r>
          </w:p>
        </w:tc>
        <w:tc>
          <w:tcPr>
            <w:tcW w:w="397" w:type="pct"/>
            <w:noWrap/>
            <w:hideMark/>
          </w:tcPr>
          <w:p w14:paraId="45E0ED82" w14:textId="77777777" w:rsidR="00AF0ADF" w:rsidRPr="00291881" w:rsidRDefault="00AF0ADF" w:rsidP="00AF0ADF">
            <w:pPr>
              <w:jc w:val="right"/>
              <w:rPr>
                <w:rFonts w:cstheme="minorHAnsi"/>
                <w:sz w:val="20"/>
                <w:szCs w:val="20"/>
              </w:rPr>
            </w:pPr>
            <w:r w:rsidRPr="00291881">
              <w:rPr>
                <w:rFonts w:cstheme="minorHAnsi"/>
                <w:sz w:val="20"/>
                <w:szCs w:val="20"/>
              </w:rPr>
              <w:t>12.3</w:t>
            </w:r>
          </w:p>
        </w:tc>
        <w:tc>
          <w:tcPr>
            <w:tcW w:w="397" w:type="pct"/>
            <w:noWrap/>
            <w:hideMark/>
          </w:tcPr>
          <w:p w14:paraId="61046CA4" w14:textId="77777777" w:rsidR="00AF0ADF" w:rsidRPr="00291881" w:rsidRDefault="00AF0ADF" w:rsidP="00AF0ADF">
            <w:pPr>
              <w:jc w:val="right"/>
              <w:rPr>
                <w:rFonts w:cstheme="minorHAnsi"/>
                <w:sz w:val="20"/>
                <w:szCs w:val="20"/>
              </w:rPr>
            </w:pPr>
            <w:r w:rsidRPr="00291881">
              <w:rPr>
                <w:rFonts w:cstheme="minorHAnsi"/>
                <w:sz w:val="20"/>
                <w:szCs w:val="20"/>
              </w:rPr>
              <w:t>10.9</w:t>
            </w:r>
          </w:p>
        </w:tc>
        <w:tc>
          <w:tcPr>
            <w:tcW w:w="397" w:type="pct"/>
            <w:noWrap/>
            <w:hideMark/>
          </w:tcPr>
          <w:p w14:paraId="01C8B64F" w14:textId="77777777" w:rsidR="00AF0ADF" w:rsidRPr="00291881" w:rsidRDefault="00AF0ADF" w:rsidP="00AF0ADF">
            <w:pPr>
              <w:jc w:val="right"/>
              <w:rPr>
                <w:rFonts w:cstheme="minorHAnsi"/>
                <w:sz w:val="20"/>
                <w:szCs w:val="20"/>
              </w:rPr>
            </w:pPr>
            <w:r w:rsidRPr="00291881">
              <w:rPr>
                <w:rFonts w:cstheme="minorHAnsi"/>
                <w:sz w:val="20"/>
                <w:szCs w:val="20"/>
              </w:rPr>
              <w:t>10.6</w:t>
            </w:r>
          </w:p>
        </w:tc>
        <w:tc>
          <w:tcPr>
            <w:tcW w:w="397" w:type="pct"/>
            <w:noWrap/>
            <w:hideMark/>
          </w:tcPr>
          <w:p w14:paraId="0C06A94D" w14:textId="77777777" w:rsidR="00AF0ADF" w:rsidRPr="00291881" w:rsidRDefault="00AF0ADF" w:rsidP="00AF0ADF">
            <w:pPr>
              <w:jc w:val="right"/>
              <w:rPr>
                <w:rFonts w:cstheme="minorHAnsi"/>
                <w:sz w:val="20"/>
                <w:szCs w:val="20"/>
              </w:rPr>
            </w:pPr>
            <w:r w:rsidRPr="00291881">
              <w:rPr>
                <w:rFonts w:cstheme="minorHAnsi"/>
                <w:sz w:val="20"/>
                <w:szCs w:val="20"/>
              </w:rPr>
              <w:t>11.1</w:t>
            </w:r>
          </w:p>
        </w:tc>
        <w:tc>
          <w:tcPr>
            <w:tcW w:w="397" w:type="pct"/>
            <w:noWrap/>
            <w:hideMark/>
          </w:tcPr>
          <w:p w14:paraId="7699B614" w14:textId="77777777" w:rsidR="00AF0ADF" w:rsidRPr="00291881" w:rsidRDefault="00AF0ADF" w:rsidP="00AF0ADF">
            <w:pPr>
              <w:jc w:val="right"/>
              <w:rPr>
                <w:rFonts w:cstheme="minorHAnsi"/>
                <w:sz w:val="20"/>
                <w:szCs w:val="20"/>
              </w:rPr>
            </w:pPr>
            <w:r w:rsidRPr="00291881">
              <w:rPr>
                <w:rFonts w:cstheme="minorHAnsi"/>
                <w:sz w:val="20"/>
                <w:szCs w:val="20"/>
              </w:rPr>
              <w:t>10.6</w:t>
            </w:r>
          </w:p>
        </w:tc>
        <w:tc>
          <w:tcPr>
            <w:tcW w:w="397" w:type="pct"/>
            <w:noWrap/>
            <w:hideMark/>
          </w:tcPr>
          <w:p w14:paraId="01EB1C90" w14:textId="77777777" w:rsidR="00AF0ADF" w:rsidRPr="00291881" w:rsidRDefault="00AF0ADF" w:rsidP="00AF0ADF">
            <w:pPr>
              <w:jc w:val="right"/>
              <w:rPr>
                <w:rFonts w:cstheme="minorHAnsi"/>
                <w:sz w:val="20"/>
                <w:szCs w:val="20"/>
              </w:rPr>
            </w:pPr>
            <w:r w:rsidRPr="00291881">
              <w:rPr>
                <w:rFonts w:cstheme="minorHAnsi"/>
                <w:sz w:val="20"/>
                <w:szCs w:val="20"/>
              </w:rPr>
              <w:t>10.3</w:t>
            </w:r>
          </w:p>
        </w:tc>
        <w:tc>
          <w:tcPr>
            <w:tcW w:w="397" w:type="pct"/>
            <w:noWrap/>
            <w:hideMark/>
          </w:tcPr>
          <w:p w14:paraId="33B37BE2" w14:textId="77777777" w:rsidR="00AF0ADF" w:rsidRPr="00291881" w:rsidRDefault="00AF0ADF" w:rsidP="00AF0ADF">
            <w:pPr>
              <w:jc w:val="right"/>
              <w:rPr>
                <w:rFonts w:cstheme="minorHAnsi"/>
                <w:sz w:val="20"/>
                <w:szCs w:val="20"/>
              </w:rPr>
            </w:pPr>
            <w:r w:rsidRPr="00291881">
              <w:rPr>
                <w:rFonts w:cstheme="minorHAnsi"/>
                <w:sz w:val="20"/>
                <w:szCs w:val="20"/>
              </w:rPr>
              <w:t>10.0</w:t>
            </w:r>
          </w:p>
        </w:tc>
        <w:tc>
          <w:tcPr>
            <w:tcW w:w="394" w:type="pct"/>
            <w:noWrap/>
            <w:hideMark/>
          </w:tcPr>
          <w:p w14:paraId="07A45018" w14:textId="77777777" w:rsidR="00AF0ADF" w:rsidRPr="00291881" w:rsidRDefault="00AF0ADF" w:rsidP="00AF0ADF">
            <w:pPr>
              <w:jc w:val="right"/>
              <w:rPr>
                <w:rFonts w:cstheme="minorHAnsi"/>
                <w:sz w:val="20"/>
                <w:szCs w:val="20"/>
              </w:rPr>
            </w:pPr>
            <w:r w:rsidRPr="00291881">
              <w:rPr>
                <w:rFonts w:cstheme="minorHAnsi"/>
                <w:sz w:val="20"/>
                <w:szCs w:val="20"/>
              </w:rPr>
              <w:t>10.1</w:t>
            </w:r>
          </w:p>
        </w:tc>
      </w:tr>
      <w:tr w:rsidR="00AF0ADF" w:rsidRPr="00291881" w14:paraId="275C3721" w14:textId="77777777" w:rsidTr="00751711">
        <w:trPr>
          <w:trHeight w:val="20"/>
        </w:trPr>
        <w:tc>
          <w:tcPr>
            <w:tcW w:w="1431" w:type="pct"/>
            <w:noWrap/>
            <w:hideMark/>
          </w:tcPr>
          <w:p w14:paraId="5A469CBD" w14:textId="77777777" w:rsidR="00AF0ADF" w:rsidRPr="00291881" w:rsidRDefault="00AF0ADF" w:rsidP="00AF0ADF">
            <w:pPr>
              <w:rPr>
                <w:rFonts w:cstheme="minorHAnsi"/>
                <w:sz w:val="20"/>
                <w:szCs w:val="20"/>
              </w:rPr>
            </w:pPr>
            <w:r w:rsidRPr="00291881">
              <w:rPr>
                <w:rFonts w:cstheme="minorHAnsi"/>
                <w:sz w:val="20"/>
                <w:szCs w:val="20"/>
              </w:rPr>
              <w:t>2,001 births and over</w:t>
            </w:r>
          </w:p>
        </w:tc>
        <w:tc>
          <w:tcPr>
            <w:tcW w:w="397" w:type="pct"/>
            <w:noWrap/>
            <w:hideMark/>
          </w:tcPr>
          <w:p w14:paraId="61F7F4E5" w14:textId="77777777" w:rsidR="00AF0ADF" w:rsidRPr="00291881" w:rsidRDefault="00AF0ADF" w:rsidP="00AF0ADF">
            <w:pPr>
              <w:jc w:val="right"/>
              <w:rPr>
                <w:rFonts w:cstheme="minorHAnsi"/>
                <w:sz w:val="20"/>
                <w:szCs w:val="20"/>
              </w:rPr>
            </w:pPr>
            <w:r w:rsidRPr="00291881">
              <w:rPr>
                <w:rFonts w:cstheme="minorHAnsi"/>
                <w:sz w:val="20"/>
                <w:szCs w:val="20"/>
              </w:rPr>
              <w:t>11.8</w:t>
            </w:r>
          </w:p>
        </w:tc>
        <w:tc>
          <w:tcPr>
            <w:tcW w:w="397" w:type="pct"/>
            <w:noWrap/>
            <w:hideMark/>
          </w:tcPr>
          <w:p w14:paraId="007AE729" w14:textId="77777777" w:rsidR="00AF0ADF" w:rsidRPr="00291881" w:rsidRDefault="00AF0ADF" w:rsidP="00AF0ADF">
            <w:pPr>
              <w:jc w:val="right"/>
              <w:rPr>
                <w:rFonts w:cstheme="minorHAnsi"/>
                <w:sz w:val="20"/>
                <w:szCs w:val="20"/>
              </w:rPr>
            </w:pPr>
            <w:r w:rsidRPr="00291881">
              <w:rPr>
                <w:rFonts w:cstheme="minorHAnsi"/>
                <w:sz w:val="20"/>
                <w:szCs w:val="20"/>
              </w:rPr>
              <w:t>10.6</w:t>
            </w:r>
          </w:p>
        </w:tc>
        <w:tc>
          <w:tcPr>
            <w:tcW w:w="397" w:type="pct"/>
            <w:noWrap/>
            <w:hideMark/>
          </w:tcPr>
          <w:p w14:paraId="0602CDF0" w14:textId="77777777" w:rsidR="00AF0ADF" w:rsidRPr="00291881" w:rsidRDefault="00AF0ADF" w:rsidP="00AF0ADF">
            <w:pPr>
              <w:jc w:val="right"/>
              <w:rPr>
                <w:rFonts w:cstheme="minorHAnsi"/>
                <w:sz w:val="20"/>
                <w:szCs w:val="20"/>
              </w:rPr>
            </w:pPr>
            <w:r w:rsidRPr="00291881">
              <w:rPr>
                <w:rFonts w:cstheme="minorHAnsi"/>
                <w:sz w:val="20"/>
                <w:szCs w:val="20"/>
              </w:rPr>
              <w:t>10.2</w:t>
            </w:r>
          </w:p>
        </w:tc>
        <w:tc>
          <w:tcPr>
            <w:tcW w:w="397" w:type="pct"/>
            <w:noWrap/>
            <w:hideMark/>
          </w:tcPr>
          <w:p w14:paraId="34A332F3" w14:textId="77777777" w:rsidR="00AF0ADF" w:rsidRPr="00291881" w:rsidRDefault="00AF0ADF" w:rsidP="00AF0ADF">
            <w:pPr>
              <w:jc w:val="right"/>
              <w:rPr>
                <w:rFonts w:cstheme="minorHAnsi"/>
                <w:sz w:val="20"/>
                <w:szCs w:val="20"/>
              </w:rPr>
            </w:pPr>
            <w:r w:rsidRPr="00291881">
              <w:rPr>
                <w:rFonts w:cstheme="minorHAnsi"/>
                <w:sz w:val="20"/>
                <w:szCs w:val="20"/>
              </w:rPr>
              <w:t>9.6</w:t>
            </w:r>
          </w:p>
        </w:tc>
        <w:tc>
          <w:tcPr>
            <w:tcW w:w="397" w:type="pct"/>
            <w:noWrap/>
            <w:hideMark/>
          </w:tcPr>
          <w:p w14:paraId="73E6738B" w14:textId="77777777" w:rsidR="00AF0ADF" w:rsidRPr="00291881" w:rsidRDefault="00AF0ADF" w:rsidP="00AF0ADF">
            <w:pPr>
              <w:jc w:val="right"/>
              <w:rPr>
                <w:rFonts w:cstheme="minorHAnsi"/>
                <w:sz w:val="20"/>
                <w:szCs w:val="20"/>
              </w:rPr>
            </w:pPr>
            <w:r w:rsidRPr="00291881">
              <w:rPr>
                <w:rFonts w:cstheme="minorHAnsi"/>
                <w:sz w:val="20"/>
                <w:szCs w:val="20"/>
              </w:rPr>
              <w:t>9.2</w:t>
            </w:r>
          </w:p>
        </w:tc>
        <w:tc>
          <w:tcPr>
            <w:tcW w:w="397" w:type="pct"/>
            <w:noWrap/>
            <w:hideMark/>
          </w:tcPr>
          <w:p w14:paraId="6AEB7F30" w14:textId="77777777" w:rsidR="00AF0ADF" w:rsidRPr="00291881" w:rsidRDefault="00AF0ADF" w:rsidP="00AF0ADF">
            <w:pPr>
              <w:jc w:val="right"/>
              <w:rPr>
                <w:rFonts w:cstheme="minorHAnsi"/>
                <w:sz w:val="20"/>
                <w:szCs w:val="20"/>
              </w:rPr>
            </w:pPr>
            <w:r w:rsidRPr="00291881">
              <w:rPr>
                <w:rFonts w:cstheme="minorHAnsi"/>
                <w:sz w:val="20"/>
                <w:szCs w:val="20"/>
              </w:rPr>
              <w:t>8.6</w:t>
            </w:r>
          </w:p>
        </w:tc>
        <w:tc>
          <w:tcPr>
            <w:tcW w:w="397" w:type="pct"/>
            <w:noWrap/>
            <w:hideMark/>
          </w:tcPr>
          <w:p w14:paraId="677B3505" w14:textId="77777777" w:rsidR="00AF0ADF" w:rsidRPr="00291881" w:rsidRDefault="00AF0ADF" w:rsidP="00AF0ADF">
            <w:pPr>
              <w:jc w:val="right"/>
              <w:rPr>
                <w:rFonts w:cstheme="minorHAnsi"/>
                <w:sz w:val="20"/>
                <w:szCs w:val="20"/>
              </w:rPr>
            </w:pPr>
            <w:r w:rsidRPr="00291881">
              <w:rPr>
                <w:rFonts w:cstheme="minorHAnsi"/>
                <w:sz w:val="20"/>
                <w:szCs w:val="20"/>
              </w:rPr>
              <w:t>8.5</w:t>
            </w:r>
          </w:p>
        </w:tc>
        <w:tc>
          <w:tcPr>
            <w:tcW w:w="397" w:type="pct"/>
            <w:noWrap/>
            <w:hideMark/>
          </w:tcPr>
          <w:p w14:paraId="7CADDFE6" w14:textId="77777777" w:rsidR="00AF0ADF" w:rsidRPr="00291881" w:rsidRDefault="00AF0ADF" w:rsidP="00AF0ADF">
            <w:pPr>
              <w:jc w:val="right"/>
              <w:rPr>
                <w:rFonts w:cstheme="minorHAnsi"/>
                <w:sz w:val="20"/>
                <w:szCs w:val="20"/>
              </w:rPr>
            </w:pPr>
            <w:r w:rsidRPr="00291881">
              <w:rPr>
                <w:rFonts w:cstheme="minorHAnsi"/>
                <w:sz w:val="20"/>
                <w:szCs w:val="20"/>
              </w:rPr>
              <w:t>8.2</w:t>
            </w:r>
          </w:p>
        </w:tc>
        <w:tc>
          <w:tcPr>
            <w:tcW w:w="394" w:type="pct"/>
            <w:noWrap/>
            <w:hideMark/>
          </w:tcPr>
          <w:p w14:paraId="357367A7" w14:textId="77777777" w:rsidR="00AF0ADF" w:rsidRPr="00291881" w:rsidRDefault="00AF0ADF" w:rsidP="00AF0ADF">
            <w:pPr>
              <w:jc w:val="right"/>
              <w:rPr>
                <w:rFonts w:cstheme="minorHAnsi"/>
                <w:sz w:val="20"/>
                <w:szCs w:val="20"/>
              </w:rPr>
            </w:pPr>
            <w:r w:rsidRPr="00291881">
              <w:rPr>
                <w:rFonts w:cstheme="minorHAnsi"/>
                <w:sz w:val="20"/>
                <w:szCs w:val="20"/>
              </w:rPr>
              <w:t>8.0</w:t>
            </w:r>
          </w:p>
        </w:tc>
      </w:tr>
    </w:tbl>
    <w:p w14:paraId="6C46340B" w14:textId="4881390E" w:rsidR="00F34512" w:rsidRDefault="00F34512" w:rsidP="00751711">
      <w:pPr>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3123B9">
        <w:rPr>
          <w:sz w:val="18"/>
          <w:szCs w:val="18"/>
        </w:rPr>
        <w:t>.</w:t>
      </w:r>
    </w:p>
    <w:p w14:paraId="44B3B885" w14:textId="77777777" w:rsidR="00F34512" w:rsidRPr="00165760" w:rsidRDefault="00F34512" w:rsidP="00751711">
      <w:pPr>
        <w:rPr>
          <w:sz w:val="18"/>
          <w:szCs w:val="18"/>
        </w:rPr>
      </w:pPr>
    </w:p>
    <w:p w14:paraId="16384DB0" w14:textId="059D7FB4" w:rsidR="00AF0ADF" w:rsidRPr="009658B9" w:rsidRDefault="00AF0ADF" w:rsidP="004F0088">
      <w:pPr>
        <w:ind w:left="284" w:hanging="284"/>
        <w:rPr>
          <w:b/>
          <w:bCs/>
          <w:sz w:val="18"/>
          <w:szCs w:val="18"/>
        </w:rPr>
      </w:pPr>
      <w:r w:rsidRPr="00B94D3E">
        <w:rPr>
          <w:b/>
          <w:bCs/>
          <w:sz w:val="18"/>
          <w:szCs w:val="18"/>
        </w:rPr>
        <w:t>Data Notes</w:t>
      </w:r>
      <w:r w:rsidR="00A51D4B" w:rsidRPr="00A51D4B">
        <w:rPr>
          <w:b/>
          <w:bCs/>
          <w:sz w:val="18"/>
          <w:szCs w:val="18"/>
        </w:rPr>
        <w:t>:</w:t>
      </w:r>
    </w:p>
    <w:p w14:paraId="3B6A6D77" w14:textId="2E519918" w:rsidR="00AF0ADF" w:rsidRPr="00B94D3E" w:rsidRDefault="00AF0ADF" w:rsidP="008D3FB5">
      <w:pPr>
        <w:pStyle w:val="ListParagraph"/>
        <w:numPr>
          <w:ilvl w:val="0"/>
          <w:numId w:val="23"/>
        </w:numPr>
        <w:ind w:left="284" w:hanging="284"/>
        <w:rPr>
          <w:sz w:val="18"/>
          <w:szCs w:val="18"/>
        </w:rPr>
      </w:pPr>
      <w:r w:rsidRPr="00B94D3E">
        <w:rPr>
          <w:sz w:val="18"/>
          <w:szCs w:val="18"/>
        </w:rPr>
        <w:t>Data excludes mothers whose smoking status was not stated</w:t>
      </w:r>
    </w:p>
    <w:p w14:paraId="7CF63DCD" w14:textId="1E295B41" w:rsidR="00AF0ADF" w:rsidRPr="00B94D3E" w:rsidRDefault="00AF0ADF" w:rsidP="008D3FB5">
      <w:pPr>
        <w:pStyle w:val="ListParagraph"/>
        <w:numPr>
          <w:ilvl w:val="0"/>
          <w:numId w:val="23"/>
        </w:numPr>
        <w:ind w:left="284" w:hanging="284"/>
        <w:rPr>
          <w:sz w:val="18"/>
          <w:szCs w:val="18"/>
        </w:rPr>
      </w:pPr>
      <w:r w:rsidRPr="00B94D3E">
        <w:rPr>
          <w:sz w:val="18"/>
          <w:szCs w:val="18"/>
        </w:rPr>
        <w:t>Smoking during pregnancy is self-reported smoking of tobacco.</w:t>
      </w:r>
    </w:p>
    <w:p w14:paraId="6227C20F" w14:textId="6056DE7D" w:rsidR="00AF0ADF" w:rsidRPr="00B94D3E" w:rsidRDefault="00AF0ADF" w:rsidP="008D3FB5">
      <w:pPr>
        <w:pStyle w:val="ListParagraph"/>
        <w:numPr>
          <w:ilvl w:val="0"/>
          <w:numId w:val="23"/>
        </w:numPr>
        <w:ind w:left="284" w:hanging="284"/>
        <w:rPr>
          <w:sz w:val="18"/>
          <w:szCs w:val="18"/>
        </w:rPr>
      </w:pPr>
      <w:r w:rsidRPr="00B94D3E">
        <w:rPr>
          <w:sz w:val="18"/>
          <w:szCs w:val="18"/>
        </w:rPr>
        <w:t>Percentages for mother's Indigenous status are age-standardised.</w:t>
      </w:r>
    </w:p>
    <w:p w14:paraId="54CC4654" w14:textId="77777777" w:rsidR="0072090E" w:rsidRPr="00B94D3E" w:rsidRDefault="0072090E" w:rsidP="008D3FB5">
      <w:pPr>
        <w:pStyle w:val="ListParagraph"/>
        <w:numPr>
          <w:ilvl w:val="0"/>
          <w:numId w:val="23"/>
        </w:numPr>
        <w:ind w:left="284" w:hanging="284"/>
        <w:rPr>
          <w:sz w:val="18"/>
          <w:szCs w:val="18"/>
        </w:rPr>
      </w:pPr>
      <w:r w:rsidRPr="0072090E">
        <w:rPr>
          <w:sz w:val="18"/>
          <w:szCs w:val="18"/>
        </w:rPr>
        <w:t xml:space="preserve">Source: </w:t>
      </w:r>
      <w:r w:rsidRPr="00B94D3E">
        <w:rPr>
          <w:sz w:val="18"/>
          <w:szCs w:val="18"/>
        </w:rPr>
        <w:t>AIHW analysis of National Perinatal Data Collection. Australian Institute of Health and Welfare 2021. National Core Maternity Indicators. Cat no. PER 95. Canberra: AIHW</w:t>
      </w:r>
    </w:p>
    <w:p w14:paraId="466DACDD" w14:textId="77777777" w:rsidR="0072090E" w:rsidRPr="00C459D0" w:rsidRDefault="0072090E" w:rsidP="00C459D0">
      <w:pPr>
        <w:rPr>
          <w:sz w:val="18"/>
          <w:szCs w:val="18"/>
        </w:rPr>
      </w:pPr>
    </w:p>
    <w:p w14:paraId="713D7CEA" w14:textId="77777777" w:rsidR="009658B9" w:rsidRDefault="009658B9" w:rsidP="00B94D3E">
      <w:r>
        <w:br w:type="page"/>
      </w:r>
    </w:p>
    <w:p w14:paraId="6C4EB436" w14:textId="66E60661" w:rsidR="00AF0ADF" w:rsidRPr="0054118D" w:rsidRDefault="00AF0ADF" w:rsidP="00AF0ADF">
      <w:pPr>
        <w:pStyle w:val="Caption"/>
        <w:rPr>
          <w:sz w:val="20"/>
          <w:szCs w:val="20"/>
        </w:rPr>
      </w:pPr>
      <w:bookmarkStart w:id="405" w:name="_Ref117927544"/>
      <w:bookmarkStart w:id="406" w:name="_Toc121429187"/>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11</w:t>
      </w:r>
      <w:r w:rsidR="00A64FC5" w:rsidRPr="0054118D">
        <w:rPr>
          <w:noProof/>
          <w:sz w:val="20"/>
          <w:szCs w:val="20"/>
        </w:rPr>
        <w:fldChar w:fldCharType="end"/>
      </w:r>
      <w:bookmarkEnd w:id="405"/>
      <w:r w:rsidRPr="0054118D">
        <w:rPr>
          <w:sz w:val="20"/>
          <w:szCs w:val="20"/>
        </w:rPr>
        <w:tab/>
        <w:t>Smoking after first 20 weeks</w:t>
      </w:r>
      <w:r w:rsidR="0054118D">
        <w:rPr>
          <w:sz w:val="20"/>
          <w:szCs w:val="20"/>
        </w:rPr>
        <w:t>,</w:t>
      </w:r>
      <w:r w:rsidRPr="0054118D">
        <w:rPr>
          <w:sz w:val="20"/>
          <w:szCs w:val="20"/>
        </w:rPr>
        <w:t xml:space="preserve"> all women </w:t>
      </w:r>
      <w:r w:rsidR="00A67519">
        <w:rPr>
          <w:sz w:val="20"/>
          <w:szCs w:val="20"/>
        </w:rPr>
        <w:t>giving birth</w:t>
      </w:r>
      <w:r w:rsidR="00F548FE">
        <w:rPr>
          <w:sz w:val="20"/>
          <w:szCs w:val="20"/>
        </w:rPr>
        <w:t xml:space="preserve"> who</w:t>
      </w:r>
      <w:r w:rsidRPr="0054118D">
        <w:rPr>
          <w:sz w:val="20"/>
          <w:szCs w:val="20"/>
        </w:rPr>
        <w:t xml:space="preserve"> reported smoking </w:t>
      </w:r>
      <w:r w:rsidR="00F548FE">
        <w:rPr>
          <w:sz w:val="20"/>
          <w:szCs w:val="20"/>
        </w:rPr>
        <w:t>during</w:t>
      </w:r>
      <w:r w:rsidRPr="0054118D">
        <w:rPr>
          <w:sz w:val="20"/>
          <w:szCs w:val="20"/>
        </w:rPr>
        <w:t xml:space="preserve"> pregnancy (PI01b), 2011–2019</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791"/>
        <w:gridCol w:w="790"/>
        <w:gridCol w:w="790"/>
        <w:gridCol w:w="790"/>
        <w:gridCol w:w="790"/>
        <w:gridCol w:w="790"/>
        <w:gridCol w:w="790"/>
        <w:gridCol w:w="790"/>
        <w:gridCol w:w="781"/>
      </w:tblGrid>
      <w:tr w:rsidR="00AF0ADF" w:rsidRPr="00FA489C" w14:paraId="3F95020F" w14:textId="77777777" w:rsidTr="00B94D3E">
        <w:trPr>
          <w:trHeight w:val="235"/>
        </w:trPr>
        <w:tc>
          <w:tcPr>
            <w:tcW w:w="1396" w:type="pct"/>
            <w:shd w:val="clear" w:color="auto" w:fill="auto"/>
            <w:noWrap/>
            <w:hideMark/>
          </w:tcPr>
          <w:p w14:paraId="22645D53" w14:textId="77777777" w:rsidR="00AF0ADF" w:rsidRPr="00FA489C" w:rsidRDefault="00AF0ADF" w:rsidP="00AF0ADF">
            <w:pPr>
              <w:rPr>
                <w:rFonts w:cstheme="minorHAnsi"/>
                <w:b/>
                <w:bCs/>
                <w:color w:val="000000"/>
                <w:sz w:val="20"/>
                <w:szCs w:val="20"/>
              </w:rPr>
            </w:pPr>
          </w:p>
        </w:tc>
        <w:tc>
          <w:tcPr>
            <w:tcW w:w="401" w:type="pct"/>
            <w:shd w:val="clear" w:color="auto" w:fill="auto"/>
            <w:noWrap/>
            <w:vAlign w:val="center"/>
            <w:hideMark/>
          </w:tcPr>
          <w:p w14:paraId="7F5D0D98"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2011</w:t>
            </w:r>
          </w:p>
        </w:tc>
        <w:tc>
          <w:tcPr>
            <w:tcW w:w="401" w:type="pct"/>
            <w:shd w:val="clear" w:color="auto" w:fill="auto"/>
            <w:noWrap/>
            <w:vAlign w:val="center"/>
            <w:hideMark/>
          </w:tcPr>
          <w:p w14:paraId="2FDF7542"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2012</w:t>
            </w:r>
          </w:p>
        </w:tc>
        <w:tc>
          <w:tcPr>
            <w:tcW w:w="401" w:type="pct"/>
            <w:shd w:val="clear" w:color="auto" w:fill="auto"/>
            <w:noWrap/>
            <w:vAlign w:val="center"/>
            <w:hideMark/>
          </w:tcPr>
          <w:p w14:paraId="2AA23454"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2013</w:t>
            </w:r>
          </w:p>
        </w:tc>
        <w:tc>
          <w:tcPr>
            <w:tcW w:w="401" w:type="pct"/>
            <w:shd w:val="clear" w:color="auto" w:fill="auto"/>
            <w:noWrap/>
            <w:vAlign w:val="center"/>
            <w:hideMark/>
          </w:tcPr>
          <w:p w14:paraId="2BBE3BB4"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2014</w:t>
            </w:r>
          </w:p>
        </w:tc>
        <w:tc>
          <w:tcPr>
            <w:tcW w:w="401" w:type="pct"/>
            <w:shd w:val="clear" w:color="auto" w:fill="auto"/>
            <w:noWrap/>
            <w:vAlign w:val="center"/>
            <w:hideMark/>
          </w:tcPr>
          <w:p w14:paraId="3C054347"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2015</w:t>
            </w:r>
          </w:p>
        </w:tc>
        <w:tc>
          <w:tcPr>
            <w:tcW w:w="401" w:type="pct"/>
            <w:shd w:val="clear" w:color="auto" w:fill="auto"/>
            <w:noWrap/>
            <w:vAlign w:val="center"/>
            <w:hideMark/>
          </w:tcPr>
          <w:p w14:paraId="30F2E14C"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2016</w:t>
            </w:r>
          </w:p>
        </w:tc>
        <w:tc>
          <w:tcPr>
            <w:tcW w:w="401" w:type="pct"/>
            <w:shd w:val="clear" w:color="auto" w:fill="auto"/>
            <w:noWrap/>
            <w:vAlign w:val="center"/>
            <w:hideMark/>
          </w:tcPr>
          <w:p w14:paraId="70B9E6AA"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2017</w:t>
            </w:r>
          </w:p>
        </w:tc>
        <w:tc>
          <w:tcPr>
            <w:tcW w:w="401" w:type="pct"/>
            <w:shd w:val="clear" w:color="auto" w:fill="auto"/>
            <w:noWrap/>
            <w:vAlign w:val="center"/>
            <w:hideMark/>
          </w:tcPr>
          <w:p w14:paraId="26D30198"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2018</w:t>
            </w:r>
          </w:p>
        </w:tc>
        <w:tc>
          <w:tcPr>
            <w:tcW w:w="397" w:type="pct"/>
            <w:shd w:val="clear" w:color="auto" w:fill="auto"/>
            <w:noWrap/>
            <w:vAlign w:val="center"/>
            <w:hideMark/>
          </w:tcPr>
          <w:p w14:paraId="07F0E52F" w14:textId="77777777" w:rsidR="00AF0ADF" w:rsidRPr="00FA489C" w:rsidRDefault="00AF0ADF" w:rsidP="00B94D3E">
            <w:pPr>
              <w:jc w:val="center"/>
              <w:rPr>
                <w:rFonts w:cstheme="minorHAnsi"/>
                <w:b/>
                <w:bCs/>
                <w:color w:val="000000"/>
                <w:sz w:val="20"/>
                <w:szCs w:val="20"/>
              </w:rPr>
            </w:pPr>
            <w:r w:rsidRPr="00FA489C">
              <w:rPr>
                <w:rFonts w:cstheme="minorHAnsi"/>
                <w:b/>
                <w:bCs/>
                <w:color w:val="000000"/>
                <w:sz w:val="20"/>
                <w:szCs w:val="20"/>
              </w:rPr>
              <w:t>2019</w:t>
            </w:r>
          </w:p>
        </w:tc>
      </w:tr>
      <w:tr w:rsidR="00AF0ADF" w:rsidRPr="00FA489C" w14:paraId="2B147370" w14:textId="77777777" w:rsidTr="00B94D3E">
        <w:trPr>
          <w:trHeight w:val="235"/>
        </w:trPr>
        <w:tc>
          <w:tcPr>
            <w:tcW w:w="1396" w:type="pct"/>
            <w:shd w:val="clear" w:color="auto" w:fill="auto"/>
            <w:noWrap/>
          </w:tcPr>
          <w:p w14:paraId="527CC5F3" w14:textId="77777777" w:rsidR="00AF0ADF" w:rsidRPr="00FA489C" w:rsidRDefault="00AF0ADF" w:rsidP="00AF0ADF">
            <w:pPr>
              <w:rPr>
                <w:rFonts w:cstheme="minorHAnsi"/>
                <w:b/>
                <w:bCs/>
                <w:color w:val="000000"/>
                <w:sz w:val="20"/>
                <w:szCs w:val="20"/>
              </w:rPr>
            </w:pPr>
          </w:p>
        </w:tc>
        <w:tc>
          <w:tcPr>
            <w:tcW w:w="3604" w:type="pct"/>
            <w:gridSpan w:val="9"/>
            <w:shd w:val="clear" w:color="auto" w:fill="auto"/>
            <w:noWrap/>
          </w:tcPr>
          <w:p w14:paraId="17C2E694" w14:textId="77777777" w:rsidR="00AF0ADF" w:rsidRPr="00FA489C" w:rsidRDefault="00AF0ADF" w:rsidP="00AF0ADF">
            <w:pPr>
              <w:jc w:val="center"/>
              <w:rPr>
                <w:rFonts w:cstheme="minorHAnsi"/>
                <w:b/>
                <w:bCs/>
                <w:color w:val="000000"/>
                <w:sz w:val="20"/>
                <w:szCs w:val="20"/>
              </w:rPr>
            </w:pPr>
            <w:r>
              <w:rPr>
                <w:rFonts w:cstheme="minorHAnsi"/>
                <w:b/>
                <w:bCs/>
                <w:sz w:val="20"/>
                <w:szCs w:val="20"/>
              </w:rPr>
              <w:t>In per cent (%)</w:t>
            </w:r>
          </w:p>
        </w:tc>
      </w:tr>
      <w:tr w:rsidR="00AF0ADF" w:rsidRPr="00FA489C" w14:paraId="13A9D46F" w14:textId="77777777" w:rsidTr="00AF0ADF">
        <w:trPr>
          <w:trHeight w:val="235"/>
        </w:trPr>
        <w:tc>
          <w:tcPr>
            <w:tcW w:w="5000" w:type="pct"/>
            <w:gridSpan w:val="10"/>
            <w:shd w:val="clear" w:color="auto" w:fill="auto"/>
            <w:noWrap/>
            <w:hideMark/>
          </w:tcPr>
          <w:p w14:paraId="4A9D67F4" w14:textId="77777777" w:rsidR="00AF0ADF" w:rsidRPr="00FA489C" w:rsidRDefault="00AF0ADF" w:rsidP="00AF0ADF">
            <w:pPr>
              <w:rPr>
                <w:rFonts w:cstheme="minorHAnsi"/>
                <w:sz w:val="20"/>
                <w:szCs w:val="20"/>
              </w:rPr>
            </w:pPr>
            <w:r w:rsidRPr="00FA489C">
              <w:rPr>
                <w:rFonts w:cstheme="minorHAnsi"/>
                <w:b/>
                <w:bCs/>
                <w:color w:val="000000"/>
                <w:sz w:val="20"/>
                <w:szCs w:val="20"/>
              </w:rPr>
              <w:t>Australia</w:t>
            </w:r>
          </w:p>
        </w:tc>
      </w:tr>
      <w:tr w:rsidR="00AF0ADF" w:rsidRPr="00FA489C" w14:paraId="407592CB" w14:textId="77777777" w:rsidTr="00B94D3E">
        <w:trPr>
          <w:trHeight w:val="235"/>
        </w:trPr>
        <w:tc>
          <w:tcPr>
            <w:tcW w:w="1396" w:type="pct"/>
            <w:shd w:val="clear" w:color="auto" w:fill="auto"/>
            <w:noWrap/>
            <w:hideMark/>
          </w:tcPr>
          <w:p w14:paraId="7547632A"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Total</w:t>
            </w:r>
          </w:p>
        </w:tc>
        <w:tc>
          <w:tcPr>
            <w:tcW w:w="401" w:type="pct"/>
            <w:shd w:val="clear" w:color="auto" w:fill="auto"/>
            <w:noWrap/>
            <w:hideMark/>
          </w:tcPr>
          <w:p w14:paraId="4EB42EF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70.8</w:t>
            </w:r>
          </w:p>
        </w:tc>
        <w:tc>
          <w:tcPr>
            <w:tcW w:w="401" w:type="pct"/>
            <w:shd w:val="clear" w:color="auto" w:fill="auto"/>
            <w:noWrap/>
            <w:hideMark/>
          </w:tcPr>
          <w:p w14:paraId="717B1C3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71.6</w:t>
            </w:r>
          </w:p>
        </w:tc>
        <w:tc>
          <w:tcPr>
            <w:tcW w:w="401" w:type="pct"/>
            <w:shd w:val="clear" w:color="auto" w:fill="auto"/>
            <w:noWrap/>
            <w:hideMark/>
          </w:tcPr>
          <w:p w14:paraId="1AF72DD3"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72.9</w:t>
            </w:r>
          </w:p>
        </w:tc>
        <w:tc>
          <w:tcPr>
            <w:tcW w:w="401" w:type="pct"/>
            <w:shd w:val="clear" w:color="auto" w:fill="auto"/>
            <w:noWrap/>
            <w:hideMark/>
          </w:tcPr>
          <w:p w14:paraId="17A5AD3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72.8</w:t>
            </w:r>
          </w:p>
        </w:tc>
        <w:tc>
          <w:tcPr>
            <w:tcW w:w="401" w:type="pct"/>
            <w:shd w:val="clear" w:color="auto" w:fill="auto"/>
            <w:noWrap/>
            <w:hideMark/>
          </w:tcPr>
          <w:p w14:paraId="49F35F0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71.8</w:t>
            </w:r>
          </w:p>
        </w:tc>
        <w:tc>
          <w:tcPr>
            <w:tcW w:w="401" w:type="pct"/>
            <w:shd w:val="clear" w:color="auto" w:fill="auto"/>
            <w:noWrap/>
            <w:hideMark/>
          </w:tcPr>
          <w:p w14:paraId="1891DBB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72.4</w:t>
            </w:r>
          </w:p>
        </w:tc>
        <w:tc>
          <w:tcPr>
            <w:tcW w:w="401" w:type="pct"/>
            <w:shd w:val="clear" w:color="auto" w:fill="auto"/>
            <w:noWrap/>
            <w:hideMark/>
          </w:tcPr>
          <w:p w14:paraId="2EA720E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72.7</w:t>
            </w:r>
          </w:p>
        </w:tc>
        <w:tc>
          <w:tcPr>
            <w:tcW w:w="401" w:type="pct"/>
            <w:shd w:val="clear" w:color="auto" w:fill="auto"/>
            <w:noWrap/>
            <w:hideMark/>
          </w:tcPr>
          <w:p w14:paraId="5CA6D9F8"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75.5</w:t>
            </w:r>
          </w:p>
        </w:tc>
        <w:tc>
          <w:tcPr>
            <w:tcW w:w="397" w:type="pct"/>
            <w:shd w:val="clear" w:color="auto" w:fill="auto"/>
            <w:noWrap/>
            <w:hideMark/>
          </w:tcPr>
          <w:p w14:paraId="0804EFF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75.1</w:t>
            </w:r>
          </w:p>
        </w:tc>
      </w:tr>
      <w:tr w:rsidR="00AF0ADF" w:rsidRPr="00FA489C" w14:paraId="3D415E85" w14:textId="77777777" w:rsidTr="00AF0ADF">
        <w:trPr>
          <w:trHeight w:val="235"/>
        </w:trPr>
        <w:tc>
          <w:tcPr>
            <w:tcW w:w="5000" w:type="pct"/>
            <w:gridSpan w:val="10"/>
            <w:shd w:val="clear" w:color="auto" w:fill="auto"/>
            <w:noWrap/>
            <w:hideMark/>
          </w:tcPr>
          <w:p w14:paraId="798D4FF5" w14:textId="77777777" w:rsidR="00AF0ADF" w:rsidRPr="00FA489C" w:rsidRDefault="00AF0ADF" w:rsidP="00AF0ADF">
            <w:pPr>
              <w:rPr>
                <w:rFonts w:cstheme="minorHAnsi"/>
                <w:sz w:val="20"/>
                <w:szCs w:val="20"/>
              </w:rPr>
            </w:pPr>
            <w:r w:rsidRPr="00FA489C">
              <w:rPr>
                <w:rFonts w:cstheme="minorHAnsi"/>
                <w:b/>
                <w:bCs/>
                <w:color w:val="000000"/>
                <w:sz w:val="20"/>
                <w:szCs w:val="20"/>
              </w:rPr>
              <w:t>Mother's age at birth</w:t>
            </w:r>
          </w:p>
        </w:tc>
      </w:tr>
      <w:tr w:rsidR="00AF0ADF" w:rsidRPr="00FA489C" w14:paraId="2882E7BA" w14:textId="77777777" w:rsidTr="00B94D3E">
        <w:trPr>
          <w:trHeight w:val="235"/>
        </w:trPr>
        <w:tc>
          <w:tcPr>
            <w:tcW w:w="1396" w:type="pct"/>
            <w:shd w:val="clear" w:color="auto" w:fill="auto"/>
            <w:noWrap/>
            <w:hideMark/>
          </w:tcPr>
          <w:p w14:paraId="0FD3D92E"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Younger than 20</w:t>
            </w:r>
          </w:p>
        </w:tc>
        <w:tc>
          <w:tcPr>
            <w:tcW w:w="401" w:type="pct"/>
            <w:shd w:val="clear" w:color="auto" w:fill="auto"/>
            <w:noWrap/>
            <w:hideMark/>
          </w:tcPr>
          <w:p w14:paraId="4D3F6A6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75.6</w:t>
            </w:r>
          </w:p>
        </w:tc>
        <w:tc>
          <w:tcPr>
            <w:tcW w:w="401" w:type="pct"/>
            <w:shd w:val="clear" w:color="auto" w:fill="auto"/>
            <w:noWrap/>
            <w:hideMark/>
          </w:tcPr>
          <w:p w14:paraId="14E240E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76.2</w:t>
            </w:r>
          </w:p>
        </w:tc>
        <w:tc>
          <w:tcPr>
            <w:tcW w:w="401" w:type="pct"/>
            <w:shd w:val="clear" w:color="auto" w:fill="auto"/>
            <w:noWrap/>
            <w:hideMark/>
          </w:tcPr>
          <w:p w14:paraId="46E0699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74.8</w:t>
            </w:r>
          </w:p>
        </w:tc>
        <w:tc>
          <w:tcPr>
            <w:tcW w:w="401" w:type="pct"/>
            <w:shd w:val="clear" w:color="auto" w:fill="auto"/>
            <w:noWrap/>
            <w:hideMark/>
          </w:tcPr>
          <w:p w14:paraId="2A40460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76.0</w:t>
            </w:r>
          </w:p>
        </w:tc>
        <w:tc>
          <w:tcPr>
            <w:tcW w:w="401" w:type="pct"/>
            <w:shd w:val="clear" w:color="auto" w:fill="auto"/>
            <w:noWrap/>
            <w:hideMark/>
          </w:tcPr>
          <w:p w14:paraId="7ECBA23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74.7</w:t>
            </w:r>
          </w:p>
        </w:tc>
        <w:tc>
          <w:tcPr>
            <w:tcW w:w="401" w:type="pct"/>
            <w:shd w:val="clear" w:color="auto" w:fill="auto"/>
            <w:noWrap/>
            <w:hideMark/>
          </w:tcPr>
          <w:p w14:paraId="651B9EE7"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75.7</w:t>
            </w:r>
          </w:p>
        </w:tc>
        <w:tc>
          <w:tcPr>
            <w:tcW w:w="401" w:type="pct"/>
            <w:shd w:val="clear" w:color="auto" w:fill="auto"/>
            <w:noWrap/>
            <w:hideMark/>
          </w:tcPr>
          <w:p w14:paraId="6FABEC4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76.8</w:t>
            </w:r>
          </w:p>
        </w:tc>
        <w:tc>
          <w:tcPr>
            <w:tcW w:w="401" w:type="pct"/>
            <w:shd w:val="clear" w:color="auto" w:fill="auto"/>
            <w:noWrap/>
            <w:hideMark/>
          </w:tcPr>
          <w:p w14:paraId="3194D40F"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79.1</w:t>
            </w:r>
          </w:p>
        </w:tc>
        <w:tc>
          <w:tcPr>
            <w:tcW w:w="397" w:type="pct"/>
            <w:shd w:val="clear" w:color="auto" w:fill="auto"/>
            <w:noWrap/>
            <w:hideMark/>
          </w:tcPr>
          <w:p w14:paraId="359822F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76.1</w:t>
            </w:r>
          </w:p>
        </w:tc>
      </w:tr>
      <w:tr w:rsidR="00AF0ADF" w:rsidRPr="00FA489C" w14:paraId="0A8D6A8E" w14:textId="77777777" w:rsidTr="00B94D3E">
        <w:trPr>
          <w:trHeight w:val="235"/>
        </w:trPr>
        <w:tc>
          <w:tcPr>
            <w:tcW w:w="1396" w:type="pct"/>
            <w:shd w:val="clear" w:color="auto" w:fill="auto"/>
            <w:noWrap/>
            <w:hideMark/>
          </w:tcPr>
          <w:p w14:paraId="41009DAB"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20-24</w:t>
            </w:r>
          </w:p>
        </w:tc>
        <w:tc>
          <w:tcPr>
            <w:tcW w:w="401" w:type="pct"/>
            <w:shd w:val="clear" w:color="auto" w:fill="auto"/>
            <w:noWrap/>
            <w:hideMark/>
          </w:tcPr>
          <w:p w14:paraId="4FAD6D7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73.3</w:t>
            </w:r>
          </w:p>
        </w:tc>
        <w:tc>
          <w:tcPr>
            <w:tcW w:w="401" w:type="pct"/>
            <w:shd w:val="clear" w:color="auto" w:fill="auto"/>
            <w:noWrap/>
            <w:hideMark/>
          </w:tcPr>
          <w:p w14:paraId="4B4CEE28"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74.4</w:t>
            </w:r>
          </w:p>
        </w:tc>
        <w:tc>
          <w:tcPr>
            <w:tcW w:w="401" w:type="pct"/>
            <w:shd w:val="clear" w:color="auto" w:fill="auto"/>
            <w:noWrap/>
            <w:hideMark/>
          </w:tcPr>
          <w:p w14:paraId="6159476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74.6</w:t>
            </w:r>
          </w:p>
        </w:tc>
        <w:tc>
          <w:tcPr>
            <w:tcW w:w="401" w:type="pct"/>
            <w:shd w:val="clear" w:color="auto" w:fill="auto"/>
            <w:noWrap/>
            <w:hideMark/>
          </w:tcPr>
          <w:p w14:paraId="3915103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74.6</w:t>
            </w:r>
          </w:p>
        </w:tc>
        <w:tc>
          <w:tcPr>
            <w:tcW w:w="401" w:type="pct"/>
            <w:shd w:val="clear" w:color="auto" w:fill="auto"/>
            <w:noWrap/>
            <w:hideMark/>
          </w:tcPr>
          <w:p w14:paraId="781BC0A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74.5</w:t>
            </w:r>
          </w:p>
        </w:tc>
        <w:tc>
          <w:tcPr>
            <w:tcW w:w="401" w:type="pct"/>
            <w:shd w:val="clear" w:color="auto" w:fill="auto"/>
            <w:noWrap/>
            <w:hideMark/>
          </w:tcPr>
          <w:p w14:paraId="5BB9D89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74.4</w:t>
            </w:r>
          </w:p>
        </w:tc>
        <w:tc>
          <w:tcPr>
            <w:tcW w:w="401" w:type="pct"/>
            <w:shd w:val="clear" w:color="auto" w:fill="auto"/>
            <w:noWrap/>
            <w:hideMark/>
          </w:tcPr>
          <w:p w14:paraId="03B7460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74.2</w:t>
            </w:r>
          </w:p>
        </w:tc>
        <w:tc>
          <w:tcPr>
            <w:tcW w:w="401" w:type="pct"/>
            <w:shd w:val="clear" w:color="auto" w:fill="auto"/>
            <w:noWrap/>
            <w:hideMark/>
          </w:tcPr>
          <w:p w14:paraId="2905D887"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76.4</w:t>
            </w:r>
          </w:p>
        </w:tc>
        <w:tc>
          <w:tcPr>
            <w:tcW w:w="397" w:type="pct"/>
            <w:shd w:val="clear" w:color="auto" w:fill="auto"/>
            <w:noWrap/>
            <w:hideMark/>
          </w:tcPr>
          <w:p w14:paraId="60507B0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75.8</w:t>
            </w:r>
          </w:p>
        </w:tc>
      </w:tr>
      <w:tr w:rsidR="00AF0ADF" w:rsidRPr="00FA489C" w14:paraId="540E9FF1" w14:textId="77777777" w:rsidTr="00B94D3E">
        <w:trPr>
          <w:trHeight w:val="235"/>
        </w:trPr>
        <w:tc>
          <w:tcPr>
            <w:tcW w:w="1396" w:type="pct"/>
            <w:shd w:val="clear" w:color="auto" w:fill="auto"/>
            <w:noWrap/>
            <w:hideMark/>
          </w:tcPr>
          <w:p w14:paraId="6E3D9257"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25-29</w:t>
            </w:r>
          </w:p>
        </w:tc>
        <w:tc>
          <w:tcPr>
            <w:tcW w:w="401" w:type="pct"/>
            <w:shd w:val="clear" w:color="auto" w:fill="auto"/>
            <w:noWrap/>
            <w:hideMark/>
          </w:tcPr>
          <w:p w14:paraId="4B23FBC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70.1</w:t>
            </w:r>
          </w:p>
        </w:tc>
        <w:tc>
          <w:tcPr>
            <w:tcW w:w="401" w:type="pct"/>
            <w:shd w:val="clear" w:color="auto" w:fill="auto"/>
            <w:noWrap/>
            <w:hideMark/>
          </w:tcPr>
          <w:p w14:paraId="3E7E078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70.1</w:t>
            </w:r>
          </w:p>
        </w:tc>
        <w:tc>
          <w:tcPr>
            <w:tcW w:w="401" w:type="pct"/>
            <w:shd w:val="clear" w:color="auto" w:fill="auto"/>
            <w:noWrap/>
            <w:hideMark/>
          </w:tcPr>
          <w:p w14:paraId="03F3E63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72.6</w:t>
            </w:r>
          </w:p>
        </w:tc>
        <w:tc>
          <w:tcPr>
            <w:tcW w:w="401" w:type="pct"/>
            <w:shd w:val="clear" w:color="auto" w:fill="auto"/>
            <w:noWrap/>
            <w:hideMark/>
          </w:tcPr>
          <w:p w14:paraId="3ED4995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72.5</w:t>
            </w:r>
          </w:p>
        </w:tc>
        <w:tc>
          <w:tcPr>
            <w:tcW w:w="401" w:type="pct"/>
            <w:shd w:val="clear" w:color="auto" w:fill="auto"/>
            <w:noWrap/>
            <w:hideMark/>
          </w:tcPr>
          <w:p w14:paraId="7D0B56A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71.4</w:t>
            </w:r>
          </w:p>
        </w:tc>
        <w:tc>
          <w:tcPr>
            <w:tcW w:w="401" w:type="pct"/>
            <w:shd w:val="clear" w:color="auto" w:fill="auto"/>
            <w:noWrap/>
            <w:hideMark/>
          </w:tcPr>
          <w:p w14:paraId="3708196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71.7</w:t>
            </w:r>
          </w:p>
        </w:tc>
        <w:tc>
          <w:tcPr>
            <w:tcW w:w="401" w:type="pct"/>
            <w:shd w:val="clear" w:color="auto" w:fill="auto"/>
            <w:noWrap/>
            <w:hideMark/>
          </w:tcPr>
          <w:p w14:paraId="4CC3BBC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72.3</w:t>
            </w:r>
          </w:p>
        </w:tc>
        <w:tc>
          <w:tcPr>
            <w:tcW w:w="401" w:type="pct"/>
            <w:shd w:val="clear" w:color="auto" w:fill="auto"/>
            <w:noWrap/>
            <w:hideMark/>
          </w:tcPr>
          <w:p w14:paraId="0C073A4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75.5</w:t>
            </w:r>
          </w:p>
        </w:tc>
        <w:tc>
          <w:tcPr>
            <w:tcW w:w="397" w:type="pct"/>
            <w:shd w:val="clear" w:color="auto" w:fill="auto"/>
            <w:noWrap/>
            <w:hideMark/>
          </w:tcPr>
          <w:p w14:paraId="0C52803F"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75.0</w:t>
            </w:r>
          </w:p>
        </w:tc>
      </w:tr>
      <w:tr w:rsidR="00AF0ADF" w:rsidRPr="00FA489C" w14:paraId="41220DF2" w14:textId="77777777" w:rsidTr="00B94D3E">
        <w:trPr>
          <w:trHeight w:val="235"/>
        </w:trPr>
        <w:tc>
          <w:tcPr>
            <w:tcW w:w="1396" w:type="pct"/>
            <w:shd w:val="clear" w:color="auto" w:fill="auto"/>
            <w:noWrap/>
            <w:hideMark/>
          </w:tcPr>
          <w:p w14:paraId="501ABD16"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30-34</w:t>
            </w:r>
          </w:p>
        </w:tc>
        <w:tc>
          <w:tcPr>
            <w:tcW w:w="401" w:type="pct"/>
            <w:shd w:val="clear" w:color="auto" w:fill="auto"/>
            <w:noWrap/>
            <w:hideMark/>
          </w:tcPr>
          <w:p w14:paraId="2CD4DB5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67.8</w:t>
            </w:r>
          </w:p>
        </w:tc>
        <w:tc>
          <w:tcPr>
            <w:tcW w:w="401" w:type="pct"/>
            <w:shd w:val="clear" w:color="auto" w:fill="auto"/>
            <w:noWrap/>
            <w:hideMark/>
          </w:tcPr>
          <w:p w14:paraId="7CEF9D73"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68.7</w:t>
            </w:r>
          </w:p>
        </w:tc>
        <w:tc>
          <w:tcPr>
            <w:tcW w:w="401" w:type="pct"/>
            <w:shd w:val="clear" w:color="auto" w:fill="auto"/>
            <w:noWrap/>
            <w:hideMark/>
          </w:tcPr>
          <w:p w14:paraId="0F7846D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70.8</w:t>
            </w:r>
          </w:p>
        </w:tc>
        <w:tc>
          <w:tcPr>
            <w:tcW w:w="401" w:type="pct"/>
            <w:shd w:val="clear" w:color="auto" w:fill="auto"/>
            <w:noWrap/>
            <w:hideMark/>
          </w:tcPr>
          <w:p w14:paraId="1442FFA0"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70.1</w:t>
            </w:r>
          </w:p>
        </w:tc>
        <w:tc>
          <w:tcPr>
            <w:tcW w:w="401" w:type="pct"/>
            <w:shd w:val="clear" w:color="auto" w:fill="auto"/>
            <w:noWrap/>
            <w:hideMark/>
          </w:tcPr>
          <w:p w14:paraId="69555C3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69.0</w:t>
            </w:r>
          </w:p>
        </w:tc>
        <w:tc>
          <w:tcPr>
            <w:tcW w:w="401" w:type="pct"/>
            <w:shd w:val="clear" w:color="auto" w:fill="auto"/>
            <w:noWrap/>
            <w:hideMark/>
          </w:tcPr>
          <w:p w14:paraId="0ABF8193"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71.3</w:t>
            </w:r>
          </w:p>
        </w:tc>
        <w:tc>
          <w:tcPr>
            <w:tcW w:w="401" w:type="pct"/>
            <w:shd w:val="clear" w:color="auto" w:fill="auto"/>
            <w:noWrap/>
            <w:hideMark/>
          </w:tcPr>
          <w:p w14:paraId="6FDAA4D7"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70.4</w:t>
            </w:r>
          </w:p>
        </w:tc>
        <w:tc>
          <w:tcPr>
            <w:tcW w:w="401" w:type="pct"/>
            <w:shd w:val="clear" w:color="auto" w:fill="auto"/>
            <w:noWrap/>
            <w:hideMark/>
          </w:tcPr>
          <w:p w14:paraId="31F2AE0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73.8</w:t>
            </w:r>
          </w:p>
        </w:tc>
        <w:tc>
          <w:tcPr>
            <w:tcW w:w="397" w:type="pct"/>
            <w:shd w:val="clear" w:color="auto" w:fill="auto"/>
            <w:noWrap/>
            <w:hideMark/>
          </w:tcPr>
          <w:p w14:paraId="460B78B2"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74.1</w:t>
            </w:r>
          </w:p>
        </w:tc>
      </w:tr>
      <w:tr w:rsidR="00AF0ADF" w:rsidRPr="00FA489C" w14:paraId="08968ECA" w14:textId="77777777" w:rsidTr="00B94D3E">
        <w:trPr>
          <w:trHeight w:val="235"/>
        </w:trPr>
        <w:tc>
          <w:tcPr>
            <w:tcW w:w="1396" w:type="pct"/>
            <w:shd w:val="clear" w:color="auto" w:fill="auto"/>
            <w:noWrap/>
            <w:hideMark/>
          </w:tcPr>
          <w:p w14:paraId="527DC91E"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35-39</w:t>
            </w:r>
          </w:p>
        </w:tc>
        <w:tc>
          <w:tcPr>
            <w:tcW w:w="401" w:type="pct"/>
            <w:shd w:val="clear" w:color="auto" w:fill="auto"/>
            <w:noWrap/>
            <w:hideMark/>
          </w:tcPr>
          <w:p w14:paraId="3E995353"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68.2</w:t>
            </w:r>
          </w:p>
        </w:tc>
        <w:tc>
          <w:tcPr>
            <w:tcW w:w="401" w:type="pct"/>
            <w:shd w:val="clear" w:color="auto" w:fill="auto"/>
            <w:noWrap/>
            <w:hideMark/>
          </w:tcPr>
          <w:p w14:paraId="1B1E5F50"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69.0</w:t>
            </w:r>
          </w:p>
        </w:tc>
        <w:tc>
          <w:tcPr>
            <w:tcW w:w="401" w:type="pct"/>
            <w:shd w:val="clear" w:color="auto" w:fill="auto"/>
            <w:noWrap/>
            <w:hideMark/>
          </w:tcPr>
          <w:p w14:paraId="773B3077"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71.7</w:t>
            </w:r>
          </w:p>
        </w:tc>
        <w:tc>
          <w:tcPr>
            <w:tcW w:w="401" w:type="pct"/>
            <w:shd w:val="clear" w:color="auto" w:fill="auto"/>
            <w:noWrap/>
            <w:hideMark/>
          </w:tcPr>
          <w:p w14:paraId="34BF2C1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71.4</w:t>
            </w:r>
          </w:p>
        </w:tc>
        <w:tc>
          <w:tcPr>
            <w:tcW w:w="401" w:type="pct"/>
            <w:shd w:val="clear" w:color="auto" w:fill="auto"/>
            <w:noWrap/>
            <w:hideMark/>
          </w:tcPr>
          <w:p w14:paraId="250BF0C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69.1</w:t>
            </w:r>
          </w:p>
        </w:tc>
        <w:tc>
          <w:tcPr>
            <w:tcW w:w="401" w:type="pct"/>
            <w:shd w:val="clear" w:color="auto" w:fill="auto"/>
            <w:noWrap/>
            <w:hideMark/>
          </w:tcPr>
          <w:p w14:paraId="562114D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70.0</w:t>
            </w:r>
          </w:p>
        </w:tc>
        <w:tc>
          <w:tcPr>
            <w:tcW w:w="401" w:type="pct"/>
            <w:shd w:val="clear" w:color="auto" w:fill="auto"/>
            <w:noWrap/>
            <w:hideMark/>
          </w:tcPr>
          <w:p w14:paraId="4E29D420"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72.5</w:t>
            </w:r>
          </w:p>
        </w:tc>
        <w:tc>
          <w:tcPr>
            <w:tcW w:w="401" w:type="pct"/>
            <w:shd w:val="clear" w:color="auto" w:fill="auto"/>
            <w:noWrap/>
            <w:hideMark/>
          </w:tcPr>
          <w:p w14:paraId="35BB9CC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74.6</w:t>
            </w:r>
          </w:p>
        </w:tc>
        <w:tc>
          <w:tcPr>
            <w:tcW w:w="397" w:type="pct"/>
            <w:shd w:val="clear" w:color="auto" w:fill="auto"/>
            <w:noWrap/>
            <w:hideMark/>
          </w:tcPr>
          <w:p w14:paraId="797B41C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74.9</w:t>
            </w:r>
          </w:p>
        </w:tc>
      </w:tr>
      <w:tr w:rsidR="00AF0ADF" w:rsidRPr="00FA489C" w14:paraId="2F3B5580" w14:textId="77777777" w:rsidTr="00B94D3E">
        <w:trPr>
          <w:trHeight w:val="235"/>
        </w:trPr>
        <w:tc>
          <w:tcPr>
            <w:tcW w:w="1396" w:type="pct"/>
            <w:shd w:val="clear" w:color="auto" w:fill="auto"/>
            <w:noWrap/>
            <w:hideMark/>
          </w:tcPr>
          <w:p w14:paraId="12F090A9"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40 and over</w:t>
            </w:r>
          </w:p>
        </w:tc>
        <w:tc>
          <w:tcPr>
            <w:tcW w:w="401" w:type="pct"/>
            <w:shd w:val="clear" w:color="auto" w:fill="auto"/>
            <w:noWrap/>
            <w:hideMark/>
          </w:tcPr>
          <w:p w14:paraId="31EA5C7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67.7</w:t>
            </w:r>
          </w:p>
        </w:tc>
        <w:tc>
          <w:tcPr>
            <w:tcW w:w="401" w:type="pct"/>
            <w:shd w:val="clear" w:color="auto" w:fill="auto"/>
            <w:noWrap/>
            <w:hideMark/>
          </w:tcPr>
          <w:p w14:paraId="06EB10F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72.9</w:t>
            </w:r>
          </w:p>
        </w:tc>
        <w:tc>
          <w:tcPr>
            <w:tcW w:w="401" w:type="pct"/>
            <w:shd w:val="clear" w:color="auto" w:fill="auto"/>
            <w:noWrap/>
            <w:hideMark/>
          </w:tcPr>
          <w:p w14:paraId="02F76AC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73.6</w:t>
            </w:r>
          </w:p>
        </w:tc>
        <w:tc>
          <w:tcPr>
            <w:tcW w:w="401" w:type="pct"/>
            <w:shd w:val="clear" w:color="auto" w:fill="auto"/>
            <w:noWrap/>
            <w:hideMark/>
          </w:tcPr>
          <w:p w14:paraId="68C7A52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74.0</w:t>
            </w:r>
          </w:p>
        </w:tc>
        <w:tc>
          <w:tcPr>
            <w:tcW w:w="401" w:type="pct"/>
            <w:shd w:val="clear" w:color="auto" w:fill="auto"/>
            <w:noWrap/>
            <w:hideMark/>
          </w:tcPr>
          <w:p w14:paraId="4E180C6F"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74.0</w:t>
            </w:r>
          </w:p>
        </w:tc>
        <w:tc>
          <w:tcPr>
            <w:tcW w:w="401" w:type="pct"/>
            <w:shd w:val="clear" w:color="auto" w:fill="auto"/>
            <w:noWrap/>
            <w:hideMark/>
          </w:tcPr>
          <w:p w14:paraId="0BA1D672"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71.7</w:t>
            </w:r>
          </w:p>
        </w:tc>
        <w:tc>
          <w:tcPr>
            <w:tcW w:w="401" w:type="pct"/>
            <w:shd w:val="clear" w:color="auto" w:fill="auto"/>
            <w:noWrap/>
            <w:hideMark/>
          </w:tcPr>
          <w:p w14:paraId="5AAC77E7"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74.1</w:t>
            </w:r>
          </w:p>
        </w:tc>
        <w:tc>
          <w:tcPr>
            <w:tcW w:w="401" w:type="pct"/>
            <w:shd w:val="clear" w:color="auto" w:fill="auto"/>
            <w:noWrap/>
            <w:hideMark/>
          </w:tcPr>
          <w:p w14:paraId="2580C45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75.6</w:t>
            </w:r>
          </w:p>
        </w:tc>
        <w:tc>
          <w:tcPr>
            <w:tcW w:w="397" w:type="pct"/>
            <w:shd w:val="clear" w:color="auto" w:fill="auto"/>
            <w:noWrap/>
            <w:hideMark/>
          </w:tcPr>
          <w:p w14:paraId="57FA0FC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77.2</w:t>
            </w:r>
          </w:p>
        </w:tc>
      </w:tr>
      <w:tr w:rsidR="00B94D3E" w:rsidRPr="00FA489C" w14:paraId="195FDF3C" w14:textId="77777777" w:rsidTr="00B94D3E">
        <w:trPr>
          <w:trHeight w:val="235"/>
        </w:trPr>
        <w:tc>
          <w:tcPr>
            <w:tcW w:w="5000" w:type="pct"/>
            <w:gridSpan w:val="10"/>
            <w:shd w:val="clear" w:color="auto" w:fill="auto"/>
            <w:noWrap/>
            <w:vAlign w:val="center"/>
            <w:hideMark/>
          </w:tcPr>
          <w:p w14:paraId="0DE15AAA" w14:textId="43AC36DB" w:rsidR="00B94D3E" w:rsidRPr="00FA489C" w:rsidRDefault="00B94D3E" w:rsidP="00B94D3E">
            <w:pPr>
              <w:rPr>
                <w:rFonts w:cstheme="minorHAnsi"/>
                <w:sz w:val="20"/>
                <w:szCs w:val="20"/>
              </w:rPr>
            </w:pPr>
            <w:r w:rsidRPr="00FA489C">
              <w:rPr>
                <w:rFonts w:cstheme="minorHAnsi"/>
                <w:b/>
                <w:bCs/>
                <w:color w:val="000000"/>
                <w:sz w:val="20"/>
                <w:szCs w:val="20"/>
              </w:rPr>
              <w:t xml:space="preserve">Mother's </w:t>
            </w:r>
            <w:r>
              <w:rPr>
                <w:rFonts w:cstheme="minorHAnsi"/>
                <w:b/>
                <w:bCs/>
                <w:color w:val="000000"/>
                <w:sz w:val="20"/>
                <w:szCs w:val="20"/>
              </w:rPr>
              <w:t>Indig</w:t>
            </w:r>
            <w:r w:rsidRPr="00FA489C">
              <w:rPr>
                <w:rFonts w:cstheme="minorHAnsi"/>
                <w:b/>
                <w:bCs/>
                <w:color w:val="000000"/>
                <w:sz w:val="20"/>
                <w:szCs w:val="20"/>
              </w:rPr>
              <w:t>enous status</w:t>
            </w:r>
          </w:p>
        </w:tc>
      </w:tr>
      <w:tr w:rsidR="00AF0ADF" w:rsidRPr="00FA489C" w14:paraId="69ABCB05" w14:textId="77777777" w:rsidTr="00B94D3E">
        <w:trPr>
          <w:trHeight w:val="235"/>
        </w:trPr>
        <w:tc>
          <w:tcPr>
            <w:tcW w:w="1396" w:type="pct"/>
            <w:shd w:val="clear" w:color="auto" w:fill="auto"/>
            <w:noWrap/>
            <w:hideMark/>
          </w:tcPr>
          <w:p w14:paraId="0E03D279"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Indigenous</w:t>
            </w:r>
          </w:p>
        </w:tc>
        <w:tc>
          <w:tcPr>
            <w:tcW w:w="401" w:type="pct"/>
            <w:shd w:val="clear" w:color="auto" w:fill="auto"/>
            <w:noWrap/>
            <w:hideMark/>
          </w:tcPr>
          <w:p w14:paraId="43AE1EF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86.1</w:t>
            </w:r>
          </w:p>
        </w:tc>
        <w:tc>
          <w:tcPr>
            <w:tcW w:w="401" w:type="pct"/>
            <w:shd w:val="clear" w:color="auto" w:fill="auto"/>
            <w:noWrap/>
            <w:hideMark/>
          </w:tcPr>
          <w:p w14:paraId="09E777C7"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87.2</w:t>
            </w:r>
          </w:p>
        </w:tc>
        <w:tc>
          <w:tcPr>
            <w:tcW w:w="401" w:type="pct"/>
            <w:shd w:val="clear" w:color="auto" w:fill="auto"/>
            <w:noWrap/>
            <w:hideMark/>
          </w:tcPr>
          <w:p w14:paraId="0FEAB2AF"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86.7</w:t>
            </w:r>
          </w:p>
        </w:tc>
        <w:tc>
          <w:tcPr>
            <w:tcW w:w="401" w:type="pct"/>
            <w:shd w:val="clear" w:color="auto" w:fill="auto"/>
            <w:noWrap/>
            <w:hideMark/>
          </w:tcPr>
          <w:p w14:paraId="39D5AF8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85.8</w:t>
            </w:r>
          </w:p>
        </w:tc>
        <w:tc>
          <w:tcPr>
            <w:tcW w:w="401" w:type="pct"/>
            <w:shd w:val="clear" w:color="auto" w:fill="auto"/>
            <w:noWrap/>
            <w:hideMark/>
          </w:tcPr>
          <w:p w14:paraId="55BC951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84.0</w:t>
            </w:r>
          </w:p>
        </w:tc>
        <w:tc>
          <w:tcPr>
            <w:tcW w:w="401" w:type="pct"/>
            <w:shd w:val="clear" w:color="auto" w:fill="auto"/>
            <w:noWrap/>
            <w:hideMark/>
          </w:tcPr>
          <w:p w14:paraId="3EB1015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85.9</w:t>
            </w:r>
          </w:p>
        </w:tc>
        <w:tc>
          <w:tcPr>
            <w:tcW w:w="401" w:type="pct"/>
            <w:shd w:val="clear" w:color="auto" w:fill="auto"/>
            <w:noWrap/>
            <w:hideMark/>
          </w:tcPr>
          <w:p w14:paraId="278CC92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86.2</w:t>
            </w:r>
          </w:p>
        </w:tc>
        <w:tc>
          <w:tcPr>
            <w:tcW w:w="401" w:type="pct"/>
            <w:shd w:val="clear" w:color="auto" w:fill="auto"/>
            <w:noWrap/>
            <w:hideMark/>
          </w:tcPr>
          <w:p w14:paraId="5F0DF4F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87.2</w:t>
            </w:r>
          </w:p>
        </w:tc>
        <w:tc>
          <w:tcPr>
            <w:tcW w:w="397" w:type="pct"/>
            <w:shd w:val="clear" w:color="auto" w:fill="auto"/>
            <w:noWrap/>
            <w:hideMark/>
          </w:tcPr>
          <w:p w14:paraId="357BCE72"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86.2</w:t>
            </w:r>
          </w:p>
        </w:tc>
      </w:tr>
      <w:tr w:rsidR="00AF0ADF" w:rsidRPr="00FA489C" w14:paraId="752E99C5" w14:textId="77777777" w:rsidTr="00B94D3E">
        <w:trPr>
          <w:trHeight w:val="235"/>
        </w:trPr>
        <w:tc>
          <w:tcPr>
            <w:tcW w:w="1396" w:type="pct"/>
            <w:shd w:val="clear" w:color="auto" w:fill="auto"/>
            <w:noWrap/>
            <w:hideMark/>
          </w:tcPr>
          <w:p w14:paraId="7E987653"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Non-Indigenous</w:t>
            </w:r>
          </w:p>
        </w:tc>
        <w:tc>
          <w:tcPr>
            <w:tcW w:w="401" w:type="pct"/>
            <w:shd w:val="clear" w:color="auto" w:fill="auto"/>
            <w:noWrap/>
            <w:hideMark/>
          </w:tcPr>
          <w:p w14:paraId="3A00437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68.0</w:t>
            </w:r>
          </w:p>
        </w:tc>
        <w:tc>
          <w:tcPr>
            <w:tcW w:w="401" w:type="pct"/>
            <w:shd w:val="clear" w:color="auto" w:fill="auto"/>
            <w:noWrap/>
            <w:hideMark/>
          </w:tcPr>
          <w:p w14:paraId="3729FDA2"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69.4</w:t>
            </w:r>
          </w:p>
        </w:tc>
        <w:tc>
          <w:tcPr>
            <w:tcW w:w="401" w:type="pct"/>
            <w:shd w:val="clear" w:color="auto" w:fill="auto"/>
            <w:noWrap/>
            <w:hideMark/>
          </w:tcPr>
          <w:p w14:paraId="60F406E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70.5</w:t>
            </w:r>
          </w:p>
        </w:tc>
        <w:tc>
          <w:tcPr>
            <w:tcW w:w="401" w:type="pct"/>
            <w:shd w:val="clear" w:color="auto" w:fill="auto"/>
            <w:noWrap/>
            <w:hideMark/>
          </w:tcPr>
          <w:p w14:paraId="0CBA41C3"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70.8</w:t>
            </w:r>
          </w:p>
        </w:tc>
        <w:tc>
          <w:tcPr>
            <w:tcW w:w="401" w:type="pct"/>
            <w:shd w:val="clear" w:color="auto" w:fill="auto"/>
            <w:noWrap/>
            <w:hideMark/>
          </w:tcPr>
          <w:p w14:paraId="607987E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69.6</w:t>
            </w:r>
          </w:p>
        </w:tc>
        <w:tc>
          <w:tcPr>
            <w:tcW w:w="401" w:type="pct"/>
            <w:shd w:val="clear" w:color="auto" w:fill="auto"/>
            <w:noWrap/>
            <w:hideMark/>
          </w:tcPr>
          <w:p w14:paraId="315F1C8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69.6</w:t>
            </w:r>
          </w:p>
        </w:tc>
        <w:tc>
          <w:tcPr>
            <w:tcW w:w="401" w:type="pct"/>
            <w:shd w:val="clear" w:color="auto" w:fill="auto"/>
            <w:noWrap/>
            <w:hideMark/>
          </w:tcPr>
          <w:p w14:paraId="28D74E8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70.5</w:t>
            </w:r>
          </w:p>
        </w:tc>
        <w:tc>
          <w:tcPr>
            <w:tcW w:w="401" w:type="pct"/>
            <w:shd w:val="clear" w:color="auto" w:fill="auto"/>
            <w:noWrap/>
            <w:hideMark/>
          </w:tcPr>
          <w:p w14:paraId="66ED3E5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73.0</w:t>
            </w:r>
          </w:p>
        </w:tc>
        <w:tc>
          <w:tcPr>
            <w:tcW w:w="397" w:type="pct"/>
            <w:shd w:val="clear" w:color="auto" w:fill="auto"/>
            <w:noWrap/>
            <w:hideMark/>
          </w:tcPr>
          <w:p w14:paraId="367D04D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72.7</w:t>
            </w:r>
          </w:p>
        </w:tc>
      </w:tr>
      <w:tr w:rsidR="00AF0ADF" w:rsidRPr="00FA489C" w14:paraId="549E9AA9" w14:textId="77777777" w:rsidTr="00AF0ADF">
        <w:trPr>
          <w:trHeight w:val="235"/>
        </w:trPr>
        <w:tc>
          <w:tcPr>
            <w:tcW w:w="5000" w:type="pct"/>
            <w:gridSpan w:val="10"/>
            <w:shd w:val="clear" w:color="auto" w:fill="auto"/>
            <w:noWrap/>
            <w:hideMark/>
          </w:tcPr>
          <w:p w14:paraId="17CDFE39" w14:textId="77777777" w:rsidR="00AF0ADF" w:rsidRPr="00FA489C" w:rsidRDefault="00AF0ADF" w:rsidP="00AF0ADF">
            <w:pPr>
              <w:rPr>
                <w:rFonts w:cstheme="minorHAnsi"/>
                <w:sz w:val="20"/>
                <w:szCs w:val="20"/>
              </w:rPr>
            </w:pPr>
            <w:r w:rsidRPr="00FA489C">
              <w:rPr>
                <w:rFonts w:cstheme="minorHAnsi"/>
                <w:b/>
                <w:bCs/>
                <w:color w:val="000000"/>
                <w:sz w:val="20"/>
                <w:szCs w:val="20"/>
              </w:rPr>
              <w:t>Remoteness of mother's usual residence</w:t>
            </w:r>
          </w:p>
        </w:tc>
      </w:tr>
      <w:tr w:rsidR="00FF4568" w:rsidRPr="00FA489C" w14:paraId="0C44C667" w14:textId="77777777" w:rsidTr="00B94D3E">
        <w:trPr>
          <w:trHeight w:val="235"/>
        </w:trPr>
        <w:tc>
          <w:tcPr>
            <w:tcW w:w="1396" w:type="pct"/>
            <w:shd w:val="clear" w:color="auto" w:fill="auto"/>
            <w:noWrap/>
            <w:hideMark/>
          </w:tcPr>
          <w:p w14:paraId="63A029F2"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Major cities</w:t>
            </w:r>
          </w:p>
        </w:tc>
        <w:tc>
          <w:tcPr>
            <w:tcW w:w="401" w:type="pct"/>
            <w:shd w:val="clear" w:color="auto" w:fill="auto"/>
            <w:noWrap/>
            <w:hideMark/>
          </w:tcPr>
          <w:p w14:paraId="12761FFA" w14:textId="625CC1BB"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58B58559"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66.0</w:t>
            </w:r>
          </w:p>
        </w:tc>
        <w:tc>
          <w:tcPr>
            <w:tcW w:w="401" w:type="pct"/>
            <w:shd w:val="clear" w:color="auto" w:fill="auto"/>
            <w:noWrap/>
            <w:hideMark/>
          </w:tcPr>
          <w:p w14:paraId="46C984C4"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67.2</w:t>
            </w:r>
          </w:p>
        </w:tc>
        <w:tc>
          <w:tcPr>
            <w:tcW w:w="401" w:type="pct"/>
            <w:shd w:val="clear" w:color="auto" w:fill="auto"/>
            <w:noWrap/>
            <w:hideMark/>
          </w:tcPr>
          <w:p w14:paraId="3BF74073"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67.3</w:t>
            </w:r>
          </w:p>
        </w:tc>
        <w:tc>
          <w:tcPr>
            <w:tcW w:w="401" w:type="pct"/>
            <w:shd w:val="clear" w:color="auto" w:fill="auto"/>
            <w:noWrap/>
            <w:hideMark/>
          </w:tcPr>
          <w:p w14:paraId="17704F2D"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65.9</w:t>
            </w:r>
          </w:p>
        </w:tc>
        <w:tc>
          <w:tcPr>
            <w:tcW w:w="401" w:type="pct"/>
            <w:shd w:val="clear" w:color="auto" w:fill="auto"/>
            <w:noWrap/>
            <w:hideMark/>
          </w:tcPr>
          <w:p w14:paraId="4A9A2B3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65.9</w:t>
            </w:r>
          </w:p>
        </w:tc>
        <w:tc>
          <w:tcPr>
            <w:tcW w:w="401" w:type="pct"/>
            <w:shd w:val="clear" w:color="auto" w:fill="auto"/>
            <w:noWrap/>
            <w:hideMark/>
          </w:tcPr>
          <w:p w14:paraId="1777D956"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66.3</w:t>
            </w:r>
          </w:p>
        </w:tc>
        <w:tc>
          <w:tcPr>
            <w:tcW w:w="401" w:type="pct"/>
            <w:shd w:val="clear" w:color="auto" w:fill="auto"/>
            <w:noWrap/>
            <w:hideMark/>
          </w:tcPr>
          <w:p w14:paraId="6BD9663F"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70.6</w:t>
            </w:r>
          </w:p>
        </w:tc>
        <w:tc>
          <w:tcPr>
            <w:tcW w:w="397" w:type="pct"/>
            <w:shd w:val="clear" w:color="auto" w:fill="auto"/>
            <w:noWrap/>
            <w:hideMark/>
          </w:tcPr>
          <w:p w14:paraId="0E346CF6"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69.7</w:t>
            </w:r>
          </w:p>
        </w:tc>
      </w:tr>
      <w:tr w:rsidR="00FF4568" w:rsidRPr="00FA489C" w14:paraId="69814CEE" w14:textId="77777777" w:rsidTr="00B94D3E">
        <w:trPr>
          <w:trHeight w:val="235"/>
        </w:trPr>
        <w:tc>
          <w:tcPr>
            <w:tcW w:w="1396" w:type="pct"/>
            <w:shd w:val="clear" w:color="auto" w:fill="auto"/>
            <w:noWrap/>
            <w:hideMark/>
          </w:tcPr>
          <w:p w14:paraId="457C1743"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Inner regional</w:t>
            </w:r>
          </w:p>
        </w:tc>
        <w:tc>
          <w:tcPr>
            <w:tcW w:w="401" w:type="pct"/>
            <w:shd w:val="clear" w:color="auto" w:fill="auto"/>
            <w:noWrap/>
            <w:hideMark/>
          </w:tcPr>
          <w:p w14:paraId="449547DF" w14:textId="1B811653"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2DF30A62"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76.2</w:t>
            </w:r>
          </w:p>
        </w:tc>
        <w:tc>
          <w:tcPr>
            <w:tcW w:w="401" w:type="pct"/>
            <w:shd w:val="clear" w:color="auto" w:fill="auto"/>
            <w:noWrap/>
            <w:hideMark/>
          </w:tcPr>
          <w:p w14:paraId="5FE2194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77.5</w:t>
            </w:r>
          </w:p>
        </w:tc>
        <w:tc>
          <w:tcPr>
            <w:tcW w:w="401" w:type="pct"/>
            <w:shd w:val="clear" w:color="auto" w:fill="auto"/>
            <w:noWrap/>
            <w:hideMark/>
          </w:tcPr>
          <w:p w14:paraId="7FF1BF04"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77.7</w:t>
            </w:r>
          </w:p>
        </w:tc>
        <w:tc>
          <w:tcPr>
            <w:tcW w:w="401" w:type="pct"/>
            <w:shd w:val="clear" w:color="auto" w:fill="auto"/>
            <w:noWrap/>
            <w:hideMark/>
          </w:tcPr>
          <w:p w14:paraId="7839FC0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77.3</w:t>
            </w:r>
          </w:p>
        </w:tc>
        <w:tc>
          <w:tcPr>
            <w:tcW w:w="401" w:type="pct"/>
            <w:shd w:val="clear" w:color="auto" w:fill="auto"/>
            <w:noWrap/>
            <w:hideMark/>
          </w:tcPr>
          <w:p w14:paraId="63878BD0"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78.4</w:t>
            </w:r>
          </w:p>
        </w:tc>
        <w:tc>
          <w:tcPr>
            <w:tcW w:w="401" w:type="pct"/>
            <w:shd w:val="clear" w:color="auto" w:fill="auto"/>
            <w:noWrap/>
            <w:hideMark/>
          </w:tcPr>
          <w:p w14:paraId="620B8599"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78.6</w:t>
            </w:r>
          </w:p>
        </w:tc>
        <w:tc>
          <w:tcPr>
            <w:tcW w:w="401" w:type="pct"/>
            <w:shd w:val="clear" w:color="auto" w:fill="auto"/>
            <w:noWrap/>
            <w:hideMark/>
          </w:tcPr>
          <w:p w14:paraId="6F113305"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80.0</w:t>
            </w:r>
          </w:p>
        </w:tc>
        <w:tc>
          <w:tcPr>
            <w:tcW w:w="397" w:type="pct"/>
            <w:shd w:val="clear" w:color="auto" w:fill="auto"/>
            <w:noWrap/>
            <w:hideMark/>
          </w:tcPr>
          <w:p w14:paraId="01DF2B00"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81.1</w:t>
            </w:r>
          </w:p>
        </w:tc>
      </w:tr>
      <w:tr w:rsidR="00FF4568" w:rsidRPr="00FA489C" w14:paraId="63CDB1A8" w14:textId="77777777" w:rsidTr="00B94D3E">
        <w:trPr>
          <w:trHeight w:val="235"/>
        </w:trPr>
        <w:tc>
          <w:tcPr>
            <w:tcW w:w="1396" w:type="pct"/>
            <w:shd w:val="clear" w:color="auto" w:fill="auto"/>
            <w:noWrap/>
            <w:hideMark/>
          </w:tcPr>
          <w:p w14:paraId="20712D91"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Outer regional</w:t>
            </w:r>
          </w:p>
        </w:tc>
        <w:tc>
          <w:tcPr>
            <w:tcW w:w="401" w:type="pct"/>
            <w:shd w:val="clear" w:color="auto" w:fill="auto"/>
            <w:noWrap/>
            <w:hideMark/>
          </w:tcPr>
          <w:p w14:paraId="30EDDBC2" w14:textId="42423D80"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30147147"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81.5</w:t>
            </w:r>
          </w:p>
        </w:tc>
        <w:tc>
          <w:tcPr>
            <w:tcW w:w="401" w:type="pct"/>
            <w:shd w:val="clear" w:color="auto" w:fill="auto"/>
            <w:noWrap/>
            <w:hideMark/>
          </w:tcPr>
          <w:p w14:paraId="1B4A756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80.9</w:t>
            </w:r>
          </w:p>
        </w:tc>
        <w:tc>
          <w:tcPr>
            <w:tcW w:w="401" w:type="pct"/>
            <w:shd w:val="clear" w:color="auto" w:fill="auto"/>
            <w:noWrap/>
            <w:hideMark/>
          </w:tcPr>
          <w:p w14:paraId="1287BF20"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80.4</w:t>
            </w:r>
          </w:p>
        </w:tc>
        <w:tc>
          <w:tcPr>
            <w:tcW w:w="401" w:type="pct"/>
            <w:shd w:val="clear" w:color="auto" w:fill="auto"/>
            <w:noWrap/>
            <w:hideMark/>
          </w:tcPr>
          <w:p w14:paraId="7CBBF102"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78.9</w:t>
            </w:r>
          </w:p>
        </w:tc>
        <w:tc>
          <w:tcPr>
            <w:tcW w:w="401" w:type="pct"/>
            <w:shd w:val="clear" w:color="auto" w:fill="auto"/>
            <w:noWrap/>
            <w:hideMark/>
          </w:tcPr>
          <w:p w14:paraId="5119D76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81.3</w:t>
            </w:r>
          </w:p>
        </w:tc>
        <w:tc>
          <w:tcPr>
            <w:tcW w:w="401" w:type="pct"/>
            <w:shd w:val="clear" w:color="auto" w:fill="auto"/>
            <w:noWrap/>
            <w:hideMark/>
          </w:tcPr>
          <w:p w14:paraId="6768959A"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81.8</w:t>
            </w:r>
          </w:p>
        </w:tc>
        <w:tc>
          <w:tcPr>
            <w:tcW w:w="401" w:type="pct"/>
            <w:shd w:val="clear" w:color="auto" w:fill="auto"/>
            <w:noWrap/>
            <w:hideMark/>
          </w:tcPr>
          <w:p w14:paraId="32402E55"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81.7</w:t>
            </w:r>
          </w:p>
        </w:tc>
        <w:tc>
          <w:tcPr>
            <w:tcW w:w="397" w:type="pct"/>
            <w:shd w:val="clear" w:color="auto" w:fill="auto"/>
            <w:noWrap/>
            <w:hideMark/>
          </w:tcPr>
          <w:p w14:paraId="633E303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81.0</w:t>
            </w:r>
          </w:p>
        </w:tc>
      </w:tr>
      <w:tr w:rsidR="00FF4568" w:rsidRPr="00FA489C" w14:paraId="62014ED8" w14:textId="77777777" w:rsidTr="00B94D3E">
        <w:trPr>
          <w:trHeight w:val="235"/>
        </w:trPr>
        <w:tc>
          <w:tcPr>
            <w:tcW w:w="1396" w:type="pct"/>
            <w:shd w:val="clear" w:color="auto" w:fill="auto"/>
            <w:noWrap/>
            <w:hideMark/>
          </w:tcPr>
          <w:p w14:paraId="652572E3"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Remote</w:t>
            </w:r>
          </w:p>
        </w:tc>
        <w:tc>
          <w:tcPr>
            <w:tcW w:w="401" w:type="pct"/>
            <w:shd w:val="clear" w:color="auto" w:fill="auto"/>
            <w:noWrap/>
            <w:hideMark/>
          </w:tcPr>
          <w:p w14:paraId="68B56E24" w14:textId="023E3F0E"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134F48B4"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82.4</w:t>
            </w:r>
          </w:p>
        </w:tc>
        <w:tc>
          <w:tcPr>
            <w:tcW w:w="401" w:type="pct"/>
            <w:shd w:val="clear" w:color="auto" w:fill="auto"/>
            <w:noWrap/>
            <w:hideMark/>
          </w:tcPr>
          <w:p w14:paraId="63A4CAE6"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82.8</w:t>
            </w:r>
          </w:p>
        </w:tc>
        <w:tc>
          <w:tcPr>
            <w:tcW w:w="401" w:type="pct"/>
            <w:shd w:val="clear" w:color="auto" w:fill="auto"/>
            <w:noWrap/>
            <w:hideMark/>
          </w:tcPr>
          <w:p w14:paraId="4408CB85"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83.1</w:t>
            </w:r>
          </w:p>
        </w:tc>
        <w:tc>
          <w:tcPr>
            <w:tcW w:w="401" w:type="pct"/>
            <w:shd w:val="clear" w:color="auto" w:fill="auto"/>
            <w:noWrap/>
            <w:hideMark/>
          </w:tcPr>
          <w:p w14:paraId="207491B9"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83.5</w:t>
            </w:r>
          </w:p>
        </w:tc>
        <w:tc>
          <w:tcPr>
            <w:tcW w:w="401" w:type="pct"/>
            <w:shd w:val="clear" w:color="auto" w:fill="auto"/>
            <w:noWrap/>
            <w:hideMark/>
          </w:tcPr>
          <w:p w14:paraId="330728F8"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81.9</w:t>
            </w:r>
          </w:p>
        </w:tc>
        <w:tc>
          <w:tcPr>
            <w:tcW w:w="401" w:type="pct"/>
            <w:shd w:val="clear" w:color="auto" w:fill="auto"/>
            <w:noWrap/>
            <w:hideMark/>
          </w:tcPr>
          <w:p w14:paraId="34BB85DD"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82.8</w:t>
            </w:r>
          </w:p>
        </w:tc>
        <w:tc>
          <w:tcPr>
            <w:tcW w:w="401" w:type="pct"/>
            <w:shd w:val="clear" w:color="auto" w:fill="auto"/>
            <w:noWrap/>
            <w:hideMark/>
          </w:tcPr>
          <w:p w14:paraId="190B4BF9"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85.1</w:t>
            </w:r>
          </w:p>
        </w:tc>
        <w:tc>
          <w:tcPr>
            <w:tcW w:w="397" w:type="pct"/>
            <w:shd w:val="clear" w:color="auto" w:fill="auto"/>
            <w:noWrap/>
            <w:hideMark/>
          </w:tcPr>
          <w:p w14:paraId="616E5D6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82.3</w:t>
            </w:r>
          </w:p>
        </w:tc>
      </w:tr>
      <w:tr w:rsidR="00FF4568" w:rsidRPr="00FA489C" w14:paraId="1CAF9133" w14:textId="77777777" w:rsidTr="00B94D3E">
        <w:trPr>
          <w:trHeight w:val="235"/>
        </w:trPr>
        <w:tc>
          <w:tcPr>
            <w:tcW w:w="1396" w:type="pct"/>
            <w:shd w:val="clear" w:color="auto" w:fill="auto"/>
            <w:noWrap/>
            <w:hideMark/>
          </w:tcPr>
          <w:p w14:paraId="673A90EE"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Very remote</w:t>
            </w:r>
          </w:p>
        </w:tc>
        <w:tc>
          <w:tcPr>
            <w:tcW w:w="401" w:type="pct"/>
            <w:shd w:val="clear" w:color="auto" w:fill="auto"/>
            <w:noWrap/>
            <w:hideMark/>
          </w:tcPr>
          <w:p w14:paraId="4CD6D9D8" w14:textId="2905B09D"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69701612"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84.5</w:t>
            </w:r>
          </w:p>
        </w:tc>
        <w:tc>
          <w:tcPr>
            <w:tcW w:w="401" w:type="pct"/>
            <w:shd w:val="clear" w:color="auto" w:fill="auto"/>
            <w:noWrap/>
            <w:hideMark/>
          </w:tcPr>
          <w:p w14:paraId="0C0BB23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85.7</w:t>
            </w:r>
          </w:p>
        </w:tc>
        <w:tc>
          <w:tcPr>
            <w:tcW w:w="401" w:type="pct"/>
            <w:shd w:val="clear" w:color="auto" w:fill="auto"/>
            <w:noWrap/>
            <w:hideMark/>
          </w:tcPr>
          <w:p w14:paraId="37C1B81C"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85.1</w:t>
            </w:r>
          </w:p>
        </w:tc>
        <w:tc>
          <w:tcPr>
            <w:tcW w:w="401" w:type="pct"/>
            <w:shd w:val="clear" w:color="auto" w:fill="auto"/>
            <w:noWrap/>
            <w:hideMark/>
          </w:tcPr>
          <w:p w14:paraId="1DC0DDDF"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86.8</w:t>
            </w:r>
          </w:p>
        </w:tc>
        <w:tc>
          <w:tcPr>
            <w:tcW w:w="401" w:type="pct"/>
            <w:shd w:val="clear" w:color="auto" w:fill="auto"/>
            <w:noWrap/>
            <w:hideMark/>
          </w:tcPr>
          <w:p w14:paraId="0B0C635F"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87.4</w:t>
            </w:r>
          </w:p>
        </w:tc>
        <w:tc>
          <w:tcPr>
            <w:tcW w:w="401" w:type="pct"/>
            <w:shd w:val="clear" w:color="auto" w:fill="auto"/>
            <w:noWrap/>
            <w:hideMark/>
          </w:tcPr>
          <w:p w14:paraId="754CDF3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86.9</w:t>
            </w:r>
          </w:p>
        </w:tc>
        <w:tc>
          <w:tcPr>
            <w:tcW w:w="401" w:type="pct"/>
            <w:shd w:val="clear" w:color="auto" w:fill="auto"/>
            <w:noWrap/>
            <w:hideMark/>
          </w:tcPr>
          <w:p w14:paraId="211B5709"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87.5</w:t>
            </w:r>
          </w:p>
        </w:tc>
        <w:tc>
          <w:tcPr>
            <w:tcW w:w="397" w:type="pct"/>
            <w:shd w:val="clear" w:color="auto" w:fill="auto"/>
            <w:noWrap/>
            <w:hideMark/>
          </w:tcPr>
          <w:p w14:paraId="30E6AE0A"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84.6</w:t>
            </w:r>
          </w:p>
        </w:tc>
      </w:tr>
      <w:tr w:rsidR="00AF0ADF" w:rsidRPr="00FA489C" w14:paraId="49330B5D" w14:textId="77777777" w:rsidTr="00AF0ADF">
        <w:trPr>
          <w:trHeight w:val="235"/>
        </w:trPr>
        <w:tc>
          <w:tcPr>
            <w:tcW w:w="5000" w:type="pct"/>
            <w:gridSpan w:val="10"/>
            <w:shd w:val="clear" w:color="auto" w:fill="auto"/>
            <w:noWrap/>
            <w:hideMark/>
          </w:tcPr>
          <w:p w14:paraId="166203A8" w14:textId="77777777" w:rsidR="00AF0ADF" w:rsidRPr="00FA489C" w:rsidRDefault="00AF0ADF" w:rsidP="00AF0ADF">
            <w:pPr>
              <w:rPr>
                <w:rFonts w:cstheme="minorHAnsi"/>
                <w:sz w:val="20"/>
                <w:szCs w:val="20"/>
              </w:rPr>
            </w:pPr>
            <w:r w:rsidRPr="00FA489C">
              <w:rPr>
                <w:rFonts w:cstheme="minorHAnsi"/>
                <w:b/>
                <w:bCs/>
                <w:color w:val="000000"/>
                <w:sz w:val="20"/>
                <w:szCs w:val="20"/>
              </w:rPr>
              <w:t>Disadvantage quintile of mother's usual residence</w:t>
            </w:r>
          </w:p>
        </w:tc>
      </w:tr>
      <w:tr w:rsidR="00FF4568" w:rsidRPr="00FA489C" w14:paraId="32816C16" w14:textId="77777777" w:rsidTr="00B94D3E">
        <w:trPr>
          <w:trHeight w:val="235"/>
        </w:trPr>
        <w:tc>
          <w:tcPr>
            <w:tcW w:w="1396" w:type="pct"/>
            <w:shd w:val="clear" w:color="auto" w:fill="auto"/>
            <w:noWrap/>
            <w:hideMark/>
          </w:tcPr>
          <w:p w14:paraId="4647C5A1"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Q1 - most disadvantaged</w:t>
            </w:r>
          </w:p>
        </w:tc>
        <w:tc>
          <w:tcPr>
            <w:tcW w:w="401" w:type="pct"/>
            <w:shd w:val="clear" w:color="auto" w:fill="auto"/>
            <w:noWrap/>
            <w:hideMark/>
          </w:tcPr>
          <w:p w14:paraId="4A7578F8" w14:textId="2B154FD3"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17AEA6E0"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77.0</w:t>
            </w:r>
          </w:p>
        </w:tc>
        <w:tc>
          <w:tcPr>
            <w:tcW w:w="401" w:type="pct"/>
            <w:shd w:val="clear" w:color="auto" w:fill="auto"/>
            <w:noWrap/>
            <w:hideMark/>
          </w:tcPr>
          <w:p w14:paraId="22449E9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78.5</w:t>
            </w:r>
          </w:p>
        </w:tc>
        <w:tc>
          <w:tcPr>
            <w:tcW w:w="401" w:type="pct"/>
            <w:shd w:val="clear" w:color="auto" w:fill="auto"/>
            <w:noWrap/>
            <w:hideMark/>
          </w:tcPr>
          <w:p w14:paraId="3D85D290"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77.8</w:t>
            </w:r>
          </w:p>
        </w:tc>
        <w:tc>
          <w:tcPr>
            <w:tcW w:w="401" w:type="pct"/>
            <w:shd w:val="clear" w:color="auto" w:fill="auto"/>
            <w:noWrap/>
            <w:hideMark/>
          </w:tcPr>
          <w:p w14:paraId="51EBBCDF"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77.4</w:t>
            </w:r>
          </w:p>
        </w:tc>
        <w:tc>
          <w:tcPr>
            <w:tcW w:w="401" w:type="pct"/>
            <w:shd w:val="clear" w:color="auto" w:fill="auto"/>
            <w:noWrap/>
            <w:hideMark/>
          </w:tcPr>
          <w:p w14:paraId="5BB999B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77.6</w:t>
            </w:r>
          </w:p>
        </w:tc>
        <w:tc>
          <w:tcPr>
            <w:tcW w:w="401" w:type="pct"/>
            <w:shd w:val="clear" w:color="auto" w:fill="auto"/>
            <w:noWrap/>
            <w:hideMark/>
          </w:tcPr>
          <w:p w14:paraId="7A49FD9A"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78.8</w:t>
            </w:r>
          </w:p>
        </w:tc>
        <w:tc>
          <w:tcPr>
            <w:tcW w:w="401" w:type="pct"/>
            <w:shd w:val="clear" w:color="auto" w:fill="auto"/>
            <w:noWrap/>
            <w:hideMark/>
          </w:tcPr>
          <w:p w14:paraId="03930924"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81.1</w:t>
            </w:r>
          </w:p>
        </w:tc>
        <w:tc>
          <w:tcPr>
            <w:tcW w:w="397" w:type="pct"/>
            <w:shd w:val="clear" w:color="auto" w:fill="auto"/>
            <w:noWrap/>
            <w:hideMark/>
          </w:tcPr>
          <w:p w14:paraId="3AD257DC"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80.0</w:t>
            </w:r>
          </w:p>
        </w:tc>
      </w:tr>
      <w:tr w:rsidR="00FF4568" w:rsidRPr="00FA489C" w14:paraId="26A7FB96" w14:textId="77777777" w:rsidTr="00B94D3E">
        <w:trPr>
          <w:trHeight w:val="235"/>
        </w:trPr>
        <w:tc>
          <w:tcPr>
            <w:tcW w:w="1396" w:type="pct"/>
            <w:shd w:val="clear" w:color="auto" w:fill="auto"/>
            <w:noWrap/>
            <w:hideMark/>
          </w:tcPr>
          <w:p w14:paraId="2A1C67AD"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Q2</w:t>
            </w:r>
          </w:p>
        </w:tc>
        <w:tc>
          <w:tcPr>
            <w:tcW w:w="401" w:type="pct"/>
            <w:shd w:val="clear" w:color="auto" w:fill="auto"/>
            <w:noWrap/>
            <w:hideMark/>
          </w:tcPr>
          <w:p w14:paraId="1EC22FF7" w14:textId="6BA427AB"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1AB6E196"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72.5</w:t>
            </w:r>
          </w:p>
        </w:tc>
        <w:tc>
          <w:tcPr>
            <w:tcW w:w="401" w:type="pct"/>
            <w:shd w:val="clear" w:color="auto" w:fill="auto"/>
            <w:noWrap/>
            <w:hideMark/>
          </w:tcPr>
          <w:p w14:paraId="74F8FC93"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74.2</w:t>
            </w:r>
          </w:p>
        </w:tc>
        <w:tc>
          <w:tcPr>
            <w:tcW w:w="401" w:type="pct"/>
            <w:shd w:val="clear" w:color="auto" w:fill="auto"/>
            <w:noWrap/>
            <w:hideMark/>
          </w:tcPr>
          <w:p w14:paraId="0EFE7F6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74.4</w:t>
            </w:r>
          </w:p>
        </w:tc>
        <w:tc>
          <w:tcPr>
            <w:tcW w:w="401" w:type="pct"/>
            <w:shd w:val="clear" w:color="auto" w:fill="auto"/>
            <w:noWrap/>
            <w:hideMark/>
          </w:tcPr>
          <w:p w14:paraId="546955F9"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72.5</w:t>
            </w:r>
          </w:p>
        </w:tc>
        <w:tc>
          <w:tcPr>
            <w:tcW w:w="401" w:type="pct"/>
            <w:shd w:val="clear" w:color="auto" w:fill="auto"/>
            <w:noWrap/>
            <w:hideMark/>
          </w:tcPr>
          <w:p w14:paraId="681411F6"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73.5</w:t>
            </w:r>
          </w:p>
        </w:tc>
        <w:tc>
          <w:tcPr>
            <w:tcW w:w="401" w:type="pct"/>
            <w:shd w:val="clear" w:color="auto" w:fill="auto"/>
            <w:noWrap/>
            <w:hideMark/>
          </w:tcPr>
          <w:p w14:paraId="650208C5"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73.9</w:t>
            </w:r>
          </w:p>
        </w:tc>
        <w:tc>
          <w:tcPr>
            <w:tcW w:w="401" w:type="pct"/>
            <w:shd w:val="clear" w:color="auto" w:fill="auto"/>
            <w:noWrap/>
            <w:hideMark/>
          </w:tcPr>
          <w:p w14:paraId="1A1757D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76.5</w:t>
            </w:r>
          </w:p>
        </w:tc>
        <w:tc>
          <w:tcPr>
            <w:tcW w:w="397" w:type="pct"/>
            <w:shd w:val="clear" w:color="auto" w:fill="auto"/>
            <w:noWrap/>
            <w:hideMark/>
          </w:tcPr>
          <w:p w14:paraId="0C90B622"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77.1</w:t>
            </w:r>
          </w:p>
        </w:tc>
      </w:tr>
      <w:tr w:rsidR="00FF4568" w:rsidRPr="00FA489C" w14:paraId="1407830F" w14:textId="77777777" w:rsidTr="00B94D3E">
        <w:trPr>
          <w:trHeight w:val="235"/>
        </w:trPr>
        <w:tc>
          <w:tcPr>
            <w:tcW w:w="1396" w:type="pct"/>
            <w:shd w:val="clear" w:color="auto" w:fill="auto"/>
            <w:noWrap/>
            <w:hideMark/>
          </w:tcPr>
          <w:p w14:paraId="156B7D0A"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Q3</w:t>
            </w:r>
          </w:p>
        </w:tc>
        <w:tc>
          <w:tcPr>
            <w:tcW w:w="401" w:type="pct"/>
            <w:shd w:val="clear" w:color="auto" w:fill="auto"/>
            <w:noWrap/>
            <w:hideMark/>
          </w:tcPr>
          <w:p w14:paraId="57A8B06A" w14:textId="1392B90B"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7D84ACCB"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69.4</w:t>
            </w:r>
          </w:p>
        </w:tc>
        <w:tc>
          <w:tcPr>
            <w:tcW w:w="401" w:type="pct"/>
            <w:shd w:val="clear" w:color="auto" w:fill="auto"/>
            <w:noWrap/>
            <w:hideMark/>
          </w:tcPr>
          <w:p w14:paraId="65E5E33A"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69.5</w:t>
            </w:r>
          </w:p>
        </w:tc>
        <w:tc>
          <w:tcPr>
            <w:tcW w:w="401" w:type="pct"/>
            <w:shd w:val="clear" w:color="auto" w:fill="auto"/>
            <w:noWrap/>
            <w:hideMark/>
          </w:tcPr>
          <w:p w14:paraId="3F4B0F19"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70.7</w:t>
            </w:r>
          </w:p>
        </w:tc>
        <w:tc>
          <w:tcPr>
            <w:tcW w:w="401" w:type="pct"/>
            <w:shd w:val="clear" w:color="auto" w:fill="auto"/>
            <w:noWrap/>
            <w:hideMark/>
          </w:tcPr>
          <w:p w14:paraId="3D8F028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69.2</w:t>
            </w:r>
          </w:p>
        </w:tc>
        <w:tc>
          <w:tcPr>
            <w:tcW w:w="401" w:type="pct"/>
            <w:shd w:val="clear" w:color="auto" w:fill="auto"/>
            <w:noWrap/>
            <w:hideMark/>
          </w:tcPr>
          <w:p w14:paraId="3261DE93"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69.7</w:t>
            </w:r>
          </w:p>
        </w:tc>
        <w:tc>
          <w:tcPr>
            <w:tcW w:w="401" w:type="pct"/>
            <w:shd w:val="clear" w:color="auto" w:fill="auto"/>
            <w:noWrap/>
            <w:hideMark/>
          </w:tcPr>
          <w:p w14:paraId="6FA470D6"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69.5</w:t>
            </w:r>
          </w:p>
        </w:tc>
        <w:tc>
          <w:tcPr>
            <w:tcW w:w="401" w:type="pct"/>
            <w:shd w:val="clear" w:color="auto" w:fill="auto"/>
            <w:noWrap/>
            <w:hideMark/>
          </w:tcPr>
          <w:p w14:paraId="1289ADD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73.5</w:t>
            </w:r>
          </w:p>
        </w:tc>
        <w:tc>
          <w:tcPr>
            <w:tcW w:w="397" w:type="pct"/>
            <w:shd w:val="clear" w:color="auto" w:fill="auto"/>
            <w:noWrap/>
            <w:hideMark/>
          </w:tcPr>
          <w:p w14:paraId="46DFD552"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72.2</w:t>
            </w:r>
          </w:p>
        </w:tc>
      </w:tr>
      <w:tr w:rsidR="00FF4568" w:rsidRPr="00FA489C" w14:paraId="034A38DE" w14:textId="77777777" w:rsidTr="00B94D3E">
        <w:trPr>
          <w:trHeight w:val="235"/>
        </w:trPr>
        <w:tc>
          <w:tcPr>
            <w:tcW w:w="1396" w:type="pct"/>
            <w:shd w:val="clear" w:color="auto" w:fill="auto"/>
            <w:noWrap/>
            <w:hideMark/>
          </w:tcPr>
          <w:p w14:paraId="7F3B88DF"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Q4</w:t>
            </w:r>
          </w:p>
        </w:tc>
        <w:tc>
          <w:tcPr>
            <w:tcW w:w="401" w:type="pct"/>
            <w:shd w:val="clear" w:color="auto" w:fill="auto"/>
            <w:noWrap/>
            <w:hideMark/>
          </w:tcPr>
          <w:p w14:paraId="29FEDC95" w14:textId="7ED1A073"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3161067D"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63.1</w:t>
            </w:r>
          </w:p>
        </w:tc>
        <w:tc>
          <w:tcPr>
            <w:tcW w:w="401" w:type="pct"/>
            <w:shd w:val="clear" w:color="auto" w:fill="auto"/>
            <w:noWrap/>
            <w:hideMark/>
          </w:tcPr>
          <w:p w14:paraId="7242B263"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63.8</w:t>
            </w:r>
          </w:p>
        </w:tc>
        <w:tc>
          <w:tcPr>
            <w:tcW w:w="401" w:type="pct"/>
            <w:shd w:val="clear" w:color="auto" w:fill="auto"/>
            <w:noWrap/>
            <w:hideMark/>
          </w:tcPr>
          <w:p w14:paraId="03C27D06"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63.4</w:t>
            </w:r>
          </w:p>
        </w:tc>
        <w:tc>
          <w:tcPr>
            <w:tcW w:w="401" w:type="pct"/>
            <w:shd w:val="clear" w:color="auto" w:fill="auto"/>
            <w:noWrap/>
            <w:hideMark/>
          </w:tcPr>
          <w:p w14:paraId="574308CC"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63.0</w:t>
            </w:r>
          </w:p>
        </w:tc>
        <w:tc>
          <w:tcPr>
            <w:tcW w:w="401" w:type="pct"/>
            <w:shd w:val="clear" w:color="auto" w:fill="auto"/>
            <w:noWrap/>
            <w:hideMark/>
          </w:tcPr>
          <w:p w14:paraId="41B56E19"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65.1</w:t>
            </w:r>
          </w:p>
        </w:tc>
        <w:tc>
          <w:tcPr>
            <w:tcW w:w="401" w:type="pct"/>
            <w:shd w:val="clear" w:color="auto" w:fill="auto"/>
            <w:noWrap/>
            <w:hideMark/>
          </w:tcPr>
          <w:p w14:paraId="684D95D0"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63.1</w:t>
            </w:r>
          </w:p>
        </w:tc>
        <w:tc>
          <w:tcPr>
            <w:tcW w:w="401" w:type="pct"/>
            <w:shd w:val="clear" w:color="auto" w:fill="auto"/>
            <w:noWrap/>
            <w:hideMark/>
          </w:tcPr>
          <w:p w14:paraId="03793983"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65.7</w:t>
            </w:r>
          </w:p>
        </w:tc>
        <w:tc>
          <w:tcPr>
            <w:tcW w:w="397" w:type="pct"/>
            <w:shd w:val="clear" w:color="auto" w:fill="auto"/>
            <w:noWrap/>
            <w:hideMark/>
          </w:tcPr>
          <w:p w14:paraId="5CA00E1C"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65.9</w:t>
            </w:r>
          </w:p>
        </w:tc>
      </w:tr>
      <w:tr w:rsidR="00FF4568" w:rsidRPr="00FA489C" w14:paraId="06243CA5" w14:textId="77777777" w:rsidTr="00B94D3E">
        <w:trPr>
          <w:trHeight w:val="235"/>
        </w:trPr>
        <w:tc>
          <w:tcPr>
            <w:tcW w:w="1396" w:type="pct"/>
            <w:shd w:val="clear" w:color="auto" w:fill="auto"/>
            <w:noWrap/>
            <w:hideMark/>
          </w:tcPr>
          <w:p w14:paraId="51745751" w14:textId="77777777" w:rsidR="00FF4568" w:rsidRPr="00FA489C" w:rsidRDefault="00FF4568" w:rsidP="00FF4568">
            <w:pPr>
              <w:ind w:firstLineChars="100" w:firstLine="200"/>
              <w:rPr>
                <w:rFonts w:cstheme="minorHAnsi"/>
                <w:color w:val="000000"/>
                <w:sz w:val="20"/>
                <w:szCs w:val="20"/>
              </w:rPr>
            </w:pPr>
            <w:r w:rsidRPr="00FA489C">
              <w:rPr>
                <w:rFonts w:cstheme="minorHAnsi"/>
                <w:color w:val="000000"/>
                <w:sz w:val="20"/>
                <w:szCs w:val="20"/>
              </w:rPr>
              <w:t>Q5 - least disadvantaged</w:t>
            </w:r>
          </w:p>
        </w:tc>
        <w:tc>
          <w:tcPr>
            <w:tcW w:w="401" w:type="pct"/>
            <w:shd w:val="clear" w:color="auto" w:fill="auto"/>
            <w:noWrap/>
            <w:hideMark/>
          </w:tcPr>
          <w:p w14:paraId="7746A0E1" w14:textId="4B056A97" w:rsidR="00FF4568" w:rsidRPr="00FA489C" w:rsidRDefault="00FF4568" w:rsidP="00FF4568">
            <w:pPr>
              <w:ind w:firstLineChars="100" w:firstLine="200"/>
              <w:rPr>
                <w:rFonts w:cstheme="minorHAnsi"/>
                <w:color w:val="000000"/>
                <w:sz w:val="20"/>
                <w:szCs w:val="20"/>
              </w:rPr>
            </w:pPr>
            <w:r>
              <w:rPr>
                <w:rFonts w:cstheme="minorHAnsi"/>
                <w:color w:val="000000"/>
                <w:sz w:val="20"/>
                <w:szCs w:val="20"/>
              </w:rPr>
              <w:t>n.a.</w:t>
            </w:r>
          </w:p>
        </w:tc>
        <w:tc>
          <w:tcPr>
            <w:tcW w:w="401" w:type="pct"/>
            <w:shd w:val="clear" w:color="auto" w:fill="auto"/>
            <w:noWrap/>
            <w:hideMark/>
          </w:tcPr>
          <w:p w14:paraId="6B96E28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62.8</w:t>
            </w:r>
          </w:p>
        </w:tc>
        <w:tc>
          <w:tcPr>
            <w:tcW w:w="401" w:type="pct"/>
            <w:shd w:val="clear" w:color="auto" w:fill="auto"/>
            <w:noWrap/>
            <w:hideMark/>
          </w:tcPr>
          <w:p w14:paraId="167C57F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61.4</w:t>
            </w:r>
          </w:p>
        </w:tc>
        <w:tc>
          <w:tcPr>
            <w:tcW w:w="401" w:type="pct"/>
            <w:shd w:val="clear" w:color="auto" w:fill="auto"/>
            <w:noWrap/>
            <w:hideMark/>
          </w:tcPr>
          <w:p w14:paraId="3B4858C1"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62.5</w:t>
            </w:r>
          </w:p>
        </w:tc>
        <w:tc>
          <w:tcPr>
            <w:tcW w:w="401" w:type="pct"/>
            <w:shd w:val="clear" w:color="auto" w:fill="auto"/>
            <w:noWrap/>
            <w:hideMark/>
          </w:tcPr>
          <w:p w14:paraId="6181C7C4"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61.7</w:t>
            </w:r>
          </w:p>
        </w:tc>
        <w:tc>
          <w:tcPr>
            <w:tcW w:w="401" w:type="pct"/>
            <w:shd w:val="clear" w:color="auto" w:fill="auto"/>
            <w:noWrap/>
            <w:hideMark/>
          </w:tcPr>
          <w:p w14:paraId="4AD99A5F"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59.8</w:t>
            </w:r>
          </w:p>
        </w:tc>
        <w:tc>
          <w:tcPr>
            <w:tcW w:w="401" w:type="pct"/>
            <w:shd w:val="clear" w:color="auto" w:fill="auto"/>
            <w:noWrap/>
            <w:hideMark/>
          </w:tcPr>
          <w:p w14:paraId="19040522"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58.6</w:t>
            </w:r>
          </w:p>
        </w:tc>
        <w:tc>
          <w:tcPr>
            <w:tcW w:w="401" w:type="pct"/>
            <w:shd w:val="clear" w:color="auto" w:fill="auto"/>
            <w:noWrap/>
            <w:hideMark/>
          </w:tcPr>
          <w:p w14:paraId="4A459BEE"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61.5</w:t>
            </w:r>
          </w:p>
        </w:tc>
        <w:tc>
          <w:tcPr>
            <w:tcW w:w="397" w:type="pct"/>
            <w:shd w:val="clear" w:color="auto" w:fill="auto"/>
            <w:noWrap/>
            <w:hideMark/>
          </w:tcPr>
          <w:p w14:paraId="6B7BC43D" w14:textId="77777777" w:rsidR="00FF4568" w:rsidRPr="00FA489C" w:rsidRDefault="00FF4568" w:rsidP="00FF4568">
            <w:pPr>
              <w:jc w:val="center"/>
              <w:rPr>
                <w:rFonts w:cstheme="minorHAnsi"/>
                <w:color w:val="000000"/>
                <w:sz w:val="20"/>
                <w:szCs w:val="20"/>
              </w:rPr>
            </w:pPr>
            <w:r w:rsidRPr="00FA489C">
              <w:rPr>
                <w:rFonts w:cstheme="minorHAnsi"/>
                <w:color w:val="000000"/>
                <w:sz w:val="20"/>
                <w:szCs w:val="20"/>
              </w:rPr>
              <w:t>62.0</w:t>
            </w:r>
          </w:p>
        </w:tc>
      </w:tr>
      <w:tr w:rsidR="00AF0ADF" w:rsidRPr="00FA489C" w14:paraId="5A3B6B38" w14:textId="77777777" w:rsidTr="00AF0ADF">
        <w:trPr>
          <w:trHeight w:val="235"/>
        </w:trPr>
        <w:tc>
          <w:tcPr>
            <w:tcW w:w="5000" w:type="pct"/>
            <w:gridSpan w:val="10"/>
            <w:shd w:val="clear" w:color="auto" w:fill="auto"/>
            <w:noWrap/>
            <w:hideMark/>
          </w:tcPr>
          <w:p w14:paraId="37372962" w14:textId="77777777" w:rsidR="00AF0ADF" w:rsidRPr="00FA489C" w:rsidRDefault="00AF0ADF" w:rsidP="00AF0ADF">
            <w:pPr>
              <w:rPr>
                <w:rFonts w:cstheme="minorHAnsi"/>
                <w:sz w:val="20"/>
                <w:szCs w:val="20"/>
              </w:rPr>
            </w:pPr>
            <w:r w:rsidRPr="00FA489C">
              <w:rPr>
                <w:rFonts w:cstheme="minorHAnsi"/>
                <w:b/>
                <w:bCs/>
                <w:color w:val="000000"/>
                <w:sz w:val="20"/>
                <w:szCs w:val="20"/>
              </w:rPr>
              <w:t>Hospital sector</w:t>
            </w:r>
          </w:p>
        </w:tc>
      </w:tr>
      <w:tr w:rsidR="00AF0ADF" w:rsidRPr="00FA489C" w14:paraId="73B7B40A" w14:textId="77777777" w:rsidTr="00B94D3E">
        <w:trPr>
          <w:trHeight w:val="235"/>
        </w:trPr>
        <w:tc>
          <w:tcPr>
            <w:tcW w:w="1396" w:type="pct"/>
            <w:shd w:val="clear" w:color="auto" w:fill="auto"/>
            <w:noWrap/>
            <w:hideMark/>
          </w:tcPr>
          <w:p w14:paraId="348D1C49"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Private</w:t>
            </w:r>
          </w:p>
        </w:tc>
        <w:tc>
          <w:tcPr>
            <w:tcW w:w="401" w:type="pct"/>
            <w:shd w:val="clear" w:color="auto" w:fill="auto"/>
            <w:noWrap/>
            <w:hideMark/>
          </w:tcPr>
          <w:p w14:paraId="2482E74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62.3</w:t>
            </w:r>
          </w:p>
        </w:tc>
        <w:tc>
          <w:tcPr>
            <w:tcW w:w="401" w:type="pct"/>
            <w:shd w:val="clear" w:color="auto" w:fill="auto"/>
            <w:noWrap/>
            <w:hideMark/>
          </w:tcPr>
          <w:p w14:paraId="4CF0331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60.1</w:t>
            </w:r>
          </w:p>
        </w:tc>
        <w:tc>
          <w:tcPr>
            <w:tcW w:w="401" w:type="pct"/>
            <w:shd w:val="clear" w:color="auto" w:fill="auto"/>
            <w:noWrap/>
            <w:hideMark/>
          </w:tcPr>
          <w:p w14:paraId="35E4C31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60.4</w:t>
            </w:r>
          </w:p>
        </w:tc>
        <w:tc>
          <w:tcPr>
            <w:tcW w:w="401" w:type="pct"/>
            <w:shd w:val="clear" w:color="auto" w:fill="auto"/>
            <w:noWrap/>
            <w:hideMark/>
          </w:tcPr>
          <w:p w14:paraId="241CF2A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64.1</w:t>
            </w:r>
          </w:p>
        </w:tc>
        <w:tc>
          <w:tcPr>
            <w:tcW w:w="401" w:type="pct"/>
            <w:shd w:val="clear" w:color="auto" w:fill="auto"/>
            <w:noWrap/>
            <w:hideMark/>
          </w:tcPr>
          <w:p w14:paraId="05955AA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66.8</w:t>
            </w:r>
          </w:p>
        </w:tc>
        <w:tc>
          <w:tcPr>
            <w:tcW w:w="401" w:type="pct"/>
            <w:shd w:val="clear" w:color="auto" w:fill="auto"/>
            <w:noWrap/>
            <w:hideMark/>
          </w:tcPr>
          <w:p w14:paraId="4DC30FF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62.1</w:t>
            </w:r>
          </w:p>
        </w:tc>
        <w:tc>
          <w:tcPr>
            <w:tcW w:w="401" w:type="pct"/>
            <w:shd w:val="clear" w:color="auto" w:fill="auto"/>
            <w:noWrap/>
            <w:hideMark/>
          </w:tcPr>
          <w:p w14:paraId="4F48F82F"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67.3</w:t>
            </w:r>
          </w:p>
        </w:tc>
        <w:tc>
          <w:tcPr>
            <w:tcW w:w="401" w:type="pct"/>
            <w:shd w:val="clear" w:color="auto" w:fill="auto"/>
            <w:noWrap/>
            <w:hideMark/>
          </w:tcPr>
          <w:p w14:paraId="3D660169"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69.2</w:t>
            </w:r>
          </w:p>
        </w:tc>
        <w:tc>
          <w:tcPr>
            <w:tcW w:w="397" w:type="pct"/>
            <w:shd w:val="clear" w:color="auto" w:fill="auto"/>
            <w:noWrap/>
            <w:hideMark/>
          </w:tcPr>
          <w:p w14:paraId="0D50E6E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68.6</w:t>
            </w:r>
          </w:p>
        </w:tc>
      </w:tr>
      <w:tr w:rsidR="00AF0ADF" w:rsidRPr="00FA489C" w14:paraId="700A466E" w14:textId="77777777" w:rsidTr="00B94D3E">
        <w:trPr>
          <w:trHeight w:val="235"/>
        </w:trPr>
        <w:tc>
          <w:tcPr>
            <w:tcW w:w="1396" w:type="pct"/>
            <w:shd w:val="clear" w:color="auto" w:fill="auto"/>
            <w:noWrap/>
            <w:hideMark/>
          </w:tcPr>
          <w:p w14:paraId="6982C856"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Public</w:t>
            </w:r>
          </w:p>
        </w:tc>
        <w:tc>
          <w:tcPr>
            <w:tcW w:w="401" w:type="pct"/>
            <w:shd w:val="clear" w:color="auto" w:fill="auto"/>
            <w:noWrap/>
            <w:hideMark/>
          </w:tcPr>
          <w:p w14:paraId="594C69E0"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71.3</w:t>
            </w:r>
          </w:p>
        </w:tc>
        <w:tc>
          <w:tcPr>
            <w:tcW w:w="401" w:type="pct"/>
            <w:shd w:val="clear" w:color="auto" w:fill="auto"/>
            <w:noWrap/>
            <w:hideMark/>
          </w:tcPr>
          <w:p w14:paraId="6386A00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72.3</w:t>
            </w:r>
          </w:p>
        </w:tc>
        <w:tc>
          <w:tcPr>
            <w:tcW w:w="401" w:type="pct"/>
            <w:shd w:val="clear" w:color="auto" w:fill="auto"/>
            <w:noWrap/>
            <w:hideMark/>
          </w:tcPr>
          <w:p w14:paraId="3EB5E45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73.6</w:t>
            </w:r>
          </w:p>
        </w:tc>
        <w:tc>
          <w:tcPr>
            <w:tcW w:w="401" w:type="pct"/>
            <w:shd w:val="clear" w:color="auto" w:fill="auto"/>
            <w:noWrap/>
            <w:hideMark/>
          </w:tcPr>
          <w:p w14:paraId="6306A9F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73.2</w:t>
            </w:r>
          </w:p>
        </w:tc>
        <w:tc>
          <w:tcPr>
            <w:tcW w:w="401" w:type="pct"/>
            <w:shd w:val="clear" w:color="auto" w:fill="auto"/>
            <w:noWrap/>
            <w:hideMark/>
          </w:tcPr>
          <w:p w14:paraId="11B41F7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72.0</w:t>
            </w:r>
          </w:p>
        </w:tc>
        <w:tc>
          <w:tcPr>
            <w:tcW w:w="401" w:type="pct"/>
            <w:shd w:val="clear" w:color="auto" w:fill="auto"/>
            <w:noWrap/>
            <w:hideMark/>
          </w:tcPr>
          <w:p w14:paraId="4627AF7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72.8</w:t>
            </w:r>
          </w:p>
        </w:tc>
        <w:tc>
          <w:tcPr>
            <w:tcW w:w="401" w:type="pct"/>
            <w:shd w:val="clear" w:color="auto" w:fill="auto"/>
            <w:noWrap/>
            <w:hideMark/>
          </w:tcPr>
          <w:p w14:paraId="7B83012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72.9</w:t>
            </w:r>
          </w:p>
        </w:tc>
        <w:tc>
          <w:tcPr>
            <w:tcW w:w="401" w:type="pct"/>
            <w:shd w:val="clear" w:color="auto" w:fill="auto"/>
            <w:noWrap/>
            <w:hideMark/>
          </w:tcPr>
          <w:p w14:paraId="6BD12E3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75.5</w:t>
            </w:r>
          </w:p>
        </w:tc>
        <w:tc>
          <w:tcPr>
            <w:tcW w:w="397" w:type="pct"/>
            <w:shd w:val="clear" w:color="auto" w:fill="auto"/>
            <w:noWrap/>
            <w:hideMark/>
          </w:tcPr>
          <w:p w14:paraId="52E681B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75.3</w:t>
            </w:r>
          </w:p>
        </w:tc>
      </w:tr>
      <w:tr w:rsidR="00AF0ADF" w:rsidRPr="00FA489C" w14:paraId="18F96CBC" w14:textId="77777777" w:rsidTr="00AF0ADF">
        <w:trPr>
          <w:trHeight w:val="235"/>
        </w:trPr>
        <w:tc>
          <w:tcPr>
            <w:tcW w:w="5000" w:type="pct"/>
            <w:gridSpan w:val="10"/>
            <w:shd w:val="clear" w:color="auto" w:fill="auto"/>
            <w:noWrap/>
            <w:hideMark/>
          </w:tcPr>
          <w:p w14:paraId="553CCFB6" w14:textId="77777777" w:rsidR="00AF0ADF" w:rsidRPr="00FA489C" w:rsidRDefault="00AF0ADF" w:rsidP="00AF0ADF">
            <w:pPr>
              <w:rPr>
                <w:rFonts w:cstheme="minorHAnsi"/>
                <w:sz w:val="20"/>
                <w:szCs w:val="20"/>
              </w:rPr>
            </w:pPr>
            <w:r w:rsidRPr="00FA489C">
              <w:rPr>
                <w:rFonts w:cstheme="minorHAnsi"/>
                <w:b/>
                <w:bCs/>
                <w:color w:val="000000"/>
                <w:sz w:val="20"/>
                <w:szCs w:val="20"/>
              </w:rPr>
              <w:t>Hospitals annual number of births</w:t>
            </w:r>
          </w:p>
        </w:tc>
      </w:tr>
      <w:tr w:rsidR="00AF0ADF" w:rsidRPr="00FA489C" w14:paraId="2432CC46" w14:textId="77777777" w:rsidTr="00B94D3E">
        <w:trPr>
          <w:trHeight w:val="235"/>
        </w:trPr>
        <w:tc>
          <w:tcPr>
            <w:tcW w:w="1396" w:type="pct"/>
            <w:shd w:val="clear" w:color="auto" w:fill="auto"/>
            <w:noWrap/>
            <w:hideMark/>
          </w:tcPr>
          <w:p w14:paraId="33CD2630"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1-100 births</w:t>
            </w:r>
          </w:p>
        </w:tc>
        <w:tc>
          <w:tcPr>
            <w:tcW w:w="401" w:type="pct"/>
            <w:shd w:val="clear" w:color="auto" w:fill="auto"/>
            <w:noWrap/>
            <w:hideMark/>
          </w:tcPr>
          <w:p w14:paraId="603EDAA0"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81.4</w:t>
            </w:r>
          </w:p>
        </w:tc>
        <w:tc>
          <w:tcPr>
            <w:tcW w:w="401" w:type="pct"/>
            <w:shd w:val="clear" w:color="auto" w:fill="auto"/>
            <w:noWrap/>
            <w:hideMark/>
          </w:tcPr>
          <w:p w14:paraId="66560823"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84.0</w:t>
            </w:r>
          </w:p>
        </w:tc>
        <w:tc>
          <w:tcPr>
            <w:tcW w:w="401" w:type="pct"/>
            <w:shd w:val="clear" w:color="auto" w:fill="auto"/>
            <w:noWrap/>
            <w:hideMark/>
          </w:tcPr>
          <w:p w14:paraId="0D8302A8"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78.8</w:t>
            </w:r>
          </w:p>
        </w:tc>
        <w:tc>
          <w:tcPr>
            <w:tcW w:w="401" w:type="pct"/>
            <w:shd w:val="clear" w:color="auto" w:fill="auto"/>
            <w:noWrap/>
            <w:hideMark/>
          </w:tcPr>
          <w:p w14:paraId="760995A2"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74.7</w:t>
            </w:r>
          </w:p>
        </w:tc>
        <w:tc>
          <w:tcPr>
            <w:tcW w:w="401" w:type="pct"/>
            <w:shd w:val="clear" w:color="auto" w:fill="auto"/>
            <w:noWrap/>
            <w:hideMark/>
          </w:tcPr>
          <w:p w14:paraId="68BE674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78.4</w:t>
            </w:r>
          </w:p>
        </w:tc>
        <w:tc>
          <w:tcPr>
            <w:tcW w:w="401" w:type="pct"/>
            <w:shd w:val="clear" w:color="auto" w:fill="auto"/>
            <w:noWrap/>
            <w:hideMark/>
          </w:tcPr>
          <w:p w14:paraId="6B8DF420"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75.1</w:t>
            </w:r>
          </w:p>
        </w:tc>
        <w:tc>
          <w:tcPr>
            <w:tcW w:w="401" w:type="pct"/>
            <w:shd w:val="clear" w:color="auto" w:fill="auto"/>
            <w:noWrap/>
            <w:hideMark/>
          </w:tcPr>
          <w:p w14:paraId="3FDB52D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81.3</w:t>
            </w:r>
          </w:p>
        </w:tc>
        <w:tc>
          <w:tcPr>
            <w:tcW w:w="401" w:type="pct"/>
            <w:shd w:val="clear" w:color="auto" w:fill="auto"/>
            <w:noWrap/>
            <w:hideMark/>
          </w:tcPr>
          <w:p w14:paraId="5C057BB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80.5</w:t>
            </w:r>
          </w:p>
        </w:tc>
        <w:tc>
          <w:tcPr>
            <w:tcW w:w="397" w:type="pct"/>
            <w:shd w:val="clear" w:color="auto" w:fill="auto"/>
            <w:noWrap/>
            <w:hideMark/>
          </w:tcPr>
          <w:p w14:paraId="5968CAA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82.1</w:t>
            </w:r>
          </w:p>
        </w:tc>
      </w:tr>
      <w:tr w:rsidR="00AF0ADF" w:rsidRPr="00FA489C" w14:paraId="77EE0EDB" w14:textId="77777777" w:rsidTr="00B94D3E">
        <w:trPr>
          <w:trHeight w:val="235"/>
        </w:trPr>
        <w:tc>
          <w:tcPr>
            <w:tcW w:w="1396" w:type="pct"/>
            <w:shd w:val="clear" w:color="auto" w:fill="auto"/>
            <w:noWrap/>
            <w:hideMark/>
          </w:tcPr>
          <w:p w14:paraId="4BD352F9"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101-500 births</w:t>
            </w:r>
          </w:p>
        </w:tc>
        <w:tc>
          <w:tcPr>
            <w:tcW w:w="401" w:type="pct"/>
            <w:shd w:val="clear" w:color="auto" w:fill="auto"/>
            <w:noWrap/>
            <w:hideMark/>
          </w:tcPr>
          <w:p w14:paraId="0523077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79.1</w:t>
            </w:r>
          </w:p>
        </w:tc>
        <w:tc>
          <w:tcPr>
            <w:tcW w:w="401" w:type="pct"/>
            <w:shd w:val="clear" w:color="auto" w:fill="auto"/>
            <w:noWrap/>
            <w:hideMark/>
          </w:tcPr>
          <w:p w14:paraId="2BE2B82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81.1</w:t>
            </w:r>
          </w:p>
        </w:tc>
        <w:tc>
          <w:tcPr>
            <w:tcW w:w="401" w:type="pct"/>
            <w:shd w:val="clear" w:color="auto" w:fill="auto"/>
            <w:noWrap/>
            <w:hideMark/>
          </w:tcPr>
          <w:p w14:paraId="33C05C8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79.8</w:t>
            </w:r>
          </w:p>
        </w:tc>
        <w:tc>
          <w:tcPr>
            <w:tcW w:w="401" w:type="pct"/>
            <w:shd w:val="clear" w:color="auto" w:fill="auto"/>
            <w:noWrap/>
            <w:hideMark/>
          </w:tcPr>
          <w:p w14:paraId="75AB94F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80.0</w:t>
            </w:r>
          </w:p>
        </w:tc>
        <w:tc>
          <w:tcPr>
            <w:tcW w:w="401" w:type="pct"/>
            <w:shd w:val="clear" w:color="auto" w:fill="auto"/>
            <w:noWrap/>
            <w:hideMark/>
          </w:tcPr>
          <w:p w14:paraId="527FB33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81.1</w:t>
            </w:r>
          </w:p>
        </w:tc>
        <w:tc>
          <w:tcPr>
            <w:tcW w:w="401" w:type="pct"/>
            <w:shd w:val="clear" w:color="auto" w:fill="auto"/>
            <w:noWrap/>
            <w:hideMark/>
          </w:tcPr>
          <w:p w14:paraId="080AD77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80.9</w:t>
            </w:r>
          </w:p>
        </w:tc>
        <w:tc>
          <w:tcPr>
            <w:tcW w:w="401" w:type="pct"/>
            <w:shd w:val="clear" w:color="auto" w:fill="auto"/>
            <w:noWrap/>
            <w:hideMark/>
          </w:tcPr>
          <w:p w14:paraId="22F9AB1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80.1</w:t>
            </w:r>
          </w:p>
        </w:tc>
        <w:tc>
          <w:tcPr>
            <w:tcW w:w="401" w:type="pct"/>
            <w:shd w:val="clear" w:color="auto" w:fill="auto"/>
            <w:noWrap/>
            <w:hideMark/>
          </w:tcPr>
          <w:p w14:paraId="5F2501D8"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80.8</w:t>
            </w:r>
          </w:p>
        </w:tc>
        <w:tc>
          <w:tcPr>
            <w:tcW w:w="397" w:type="pct"/>
            <w:shd w:val="clear" w:color="auto" w:fill="auto"/>
            <w:noWrap/>
            <w:hideMark/>
          </w:tcPr>
          <w:p w14:paraId="29C4A4A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81.7</w:t>
            </w:r>
          </w:p>
        </w:tc>
      </w:tr>
      <w:tr w:rsidR="00AF0ADF" w:rsidRPr="00FA489C" w14:paraId="7DFF820D" w14:textId="77777777" w:rsidTr="00B94D3E">
        <w:trPr>
          <w:trHeight w:val="235"/>
        </w:trPr>
        <w:tc>
          <w:tcPr>
            <w:tcW w:w="1396" w:type="pct"/>
            <w:shd w:val="clear" w:color="auto" w:fill="auto"/>
            <w:noWrap/>
            <w:hideMark/>
          </w:tcPr>
          <w:p w14:paraId="02BCE67E"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501-1,000 births</w:t>
            </w:r>
          </w:p>
        </w:tc>
        <w:tc>
          <w:tcPr>
            <w:tcW w:w="401" w:type="pct"/>
            <w:shd w:val="clear" w:color="auto" w:fill="auto"/>
            <w:noWrap/>
            <w:hideMark/>
          </w:tcPr>
          <w:p w14:paraId="23E317D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72.2</w:t>
            </w:r>
          </w:p>
        </w:tc>
        <w:tc>
          <w:tcPr>
            <w:tcW w:w="401" w:type="pct"/>
            <w:shd w:val="clear" w:color="auto" w:fill="auto"/>
            <w:noWrap/>
            <w:hideMark/>
          </w:tcPr>
          <w:p w14:paraId="5A17339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75.3</w:t>
            </w:r>
          </w:p>
        </w:tc>
        <w:tc>
          <w:tcPr>
            <w:tcW w:w="401" w:type="pct"/>
            <w:shd w:val="clear" w:color="auto" w:fill="auto"/>
            <w:noWrap/>
            <w:hideMark/>
          </w:tcPr>
          <w:p w14:paraId="4722B1BF"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75.3</w:t>
            </w:r>
          </w:p>
        </w:tc>
        <w:tc>
          <w:tcPr>
            <w:tcW w:w="401" w:type="pct"/>
            <w:shd w:val="clear" w:color="auto" w:fill="auto"/>
            <w:noWrap/>
            <w:hideMark/>
          </w:tcPr>
          <w:p w14:paraId="1909C55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76.4</w:t>
            </w:r>
          </w:p>
        </w:tc>
        <w:tc>
          <w:tcPr>
            <w:tcW w:w="401" w:type="pct"/>
            <w:shd w:val="clear" w:color="auto" w:fill="auto"/>
            <w:noWrap/>
            <w:hideMark/>
          </w:tcPr>
          <w:p w14:paraId="26E3F24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74.4</w:t>
            </w:r>
          </w:p>
        </w:tc>
        <w:tc>
          <w:tcPr>
            <w:tcW w:w="401" w:type="pct"/>
            <w:shd w:val="clear" w:color="auto" w:fill="auto"/>
            <w:noWrap/>
            <w:hideMark/>
          </w:tcPr>
          <w:p w14:paraId="11D30BB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71.6</w:t>
            </w:r>
          </w:p>
        </w:tc>
        <w:tc>
          <w:tcPr>
            <w:tcW w:w="401" w:type="pct"/>
            <w:shd w:val="clear" w:color="auto" w:fill="auto"/>
            <w:noWrap/>
            <w:hideMark/>
          </w:tcPr>
          <w:p w14:paraId="6875A84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76.9</w:t>
            </w:r>
          </w:p>
        </w:tc>
        <w:tc>
          <w:tcPr>
            <w:tcW w:w="401" w:type="pct"/>
            <w:shd w:val="clear" w:color="auto" w:fill="auto"/>
            <w:noWrap/>
            <w:hideMark/>
          </w:tcPr>
          <w:p w14:paraId="04C661A0"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78.0</w:t>
            </w:r>
          </w:p>
        </w:tc>
        <w:tc>
          <w:tcPr>
            <w:tcW w:w="397" w:type="pct"/>
            <w:shd w:val="clear" w:color="auto" w:fill="auto"/>
            <w:noWrap/>
            <w:hideMark/>
          </w:tcPr>
          <w:p w14:paraId="499BEDD3"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75.5</w:t>
            </w:r>
          </w:p>
        </w:tc>
      </w:tr>
      <w:tr w:rsidR="00AF0ADF" w:rsidRPr="00FA489C" w14:paraId="57706534" w14:textId="77777777" w:rsidTr="00B94D3E">
        <w:trPr>
          <w:trHeight w:val="235"/>
        </w:trPr>
        <w:tc>
          <w:tcPr>
            <w:tcW w:w="1396" w:type="pct"/>
            <w:shd w:val="clear" w:color="auto" w:fill="auto"/>
            <w:noWrap/>
            <w:hideMark/>
          </w:tcPr>
          <w:p w14:paraId="4E2D3B16"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1,001-2,000 births</w:t>
            </w:r>
          </w:p>
        </w:tc>
        <w:tc>
          <w:tcPr>
            <w:tcW w:w="401" w:type="pct"/>
            <w:shd w:val="clear" w:color="auto" w:fill="auto"/>
            <w:noWrap/>
            <w:hideMark/>
          </w:tcPr>
          <w:p w14:paraId="38409954"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72.4</w:t>
            </w:r>
          </w:p>
        </w:tc>
        <w:tc>
          <w:tcPr>
            <w:tcW w:w="401" w:type="pct"/>
            <w:shd w:val="clear" w:color="auto" w:fill="auto"/>
            <w:noWrap/>
            <w:hideMark/>
          </w:tcPr>
          <w:p w14:paraId="2146F94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74.3</w:t>
            </w:r>
          </w:p>
        </w:tc>
        <w:tc>
          <w:tcPr>
            <w:tcW w:w="401" w:type="pct"/>
            <w:shd w:val="clear" w:color="auto" w:fill="auto"/>
            <w:noWrap/>
            <w:hideMark/>
          </w:tcPr>
          <w:p w14:paraId="3AD67A8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76.4</w:t>
            </w:r>
          </w:p>
        </w:tc>
        <w:tc>
          <w:tcPr>
            <w:tcW w:w="401" w:type="pct"/>
            <w:shd w:val="clear" w:color="auto" w:fill="auto"/>
            <w:noWrap/>
            <w:hideMark/>
          </w:tcPr>
          <w:p w14:paraId="512857E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75.3</w:t>
            </w:r>
          </w:p>
        </w:tc>
        <w:tc>
          <w:tcPr>
            <w:tcW w:w="401" w:type="pct"/>
            <w:shd w:val="clear" w:color="auto" w:fill="auto"/>
            <w:noWrap/>
            <w:hideMark/>
          </w:tcPr>
          <w:p w14:paraId="13C1FDB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78.3</w:t>
            </w:r>
          </w:p>
        </w:tc>
        <w:tc>
          <w:tcPr>
            <w:tcW w:w="401" w:type="pct"/>
            <w:shd w:val="clear" w:color="auto" w:fill="auto"/>
            <w:noWrap/>
            <w:hideMark/>
          </w:tcPr>
          <w:p w14:paraId="142FD896"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79.4</w:t>
            </w:r>
          </w:p>
        </w:tc>
        <w:tc>
          <w:tcPr>
            <w:tcW w:w="401" w:type="pct"/>
            <w:shd w:val="clear" w:color="auto" w:fill="auto"/>
            <w:noWrap/>
            <w:hideMark/>
          </w:tcPr>
          <w:p w14:paraId="0A94AA5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78.7</w:t>
            </w:r>
          </w:p>
        </w:tc>
        <w:tc>
          <w:tcPr>
            <w:tcW w:w="401" w:type="pct"/>
            <w:shd w:val="clear" w:color="auto" w:fill="auto"/>
            <w:noWrap/>
            <w:hideMark/>
          </w:tcPr>
          <w:p w14:paraId="0456A545"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80.9</w:t>
            </w:r>
          </w:p>
        </w:tc>
        <w:tc>
          <w:tcPr>
            <w:tcW w:w="397" w:type="pct"/>
            <w:shd w:val="clear" w:color="auto" w:fill="auto"/>
            <w:noWrap/>
            <w:hideMark/>
          </w:tcPr>
          <w:p w14:paraId="0B0EF241"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81.4</w:t>
            </w:r>
          </w:p>
        </w:tc>
      </w:tr>
      <w:tr w:rsidR="00AF0ADF" w:rsidRPr="00FA489C" w14:paraId="7C0B7BE0" w14:textId="77777777" w:rsidTr="00B94D3E">
        <w:trPr>
          <w:trHeight w:val="235"/>
        </w:trPr>
        <w:tc>
          <w:tcPr>
            <w:tcW w:w="1396" w:type="pct"/>
            <w:shd w:val="clear" w:color="auto" w:fill="auto"/>
            <w:noWrap/>
            <w:hideMark/>
          </w:tcPr>
          <w:p w14:paraId="0DE76192" w14:textId="77777777" w:rsidR="00AF0ADF" w:rsidRPr="00FA489C" w:rsidRDefault="00AF0ADF" w:rsidP="00AF0ADF">
            <w:pPr>
              <w:ind w:firstLineChars="100" w:firstLine="200"/>
              <w:rPr>
                <w:rFonts w:cstheme="minorHAnsi"/>
                <w:color w:val="000000"/>
                <w:sz w:val="20"/>
                <w:szCs w:val="20"/>
              </w:rPr>
            </w:pPr>
            <w:r w:rsidRPr="00FA489C">
              <w:rPr>
                <w:rFonts w:cstheme="minorHAnsi"/>
                <w:color w:val="000000"/>
                <w:sz w:val="20"/>
                <w:szCs w:val="20"/>
              </w:rPr>
              <w:t>2,001 births and over</w:t>
            </w:r>
          </w:p>
        </w:tc>
        <w:tc>
          <w:tcPr>
            <w:tcW w:w="401" w:type="pct"/>
            <w:shd w:val="clear" w:color="auto" w:fill="auto"/>
            <w:noWrap/>
            <w:hideMark/>
          </w:tcPr>
          <w:p w14:paraId="0096E42D"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67.2</w:t>
            </w:r>
          </w:p>
        </w:tc>
        <w:tc>
          <w:tcPr>
            <w:tcW w:w="401" w:type="pct"/>
            <w:shd w:val="clear" w:color="auto" w:fill="auto"/>
            <w:noWrap/>
            <w:hideMark/>
          </w:tcPr>
          <w:p w14:paraId="37BC466C"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67.7</w:t>
            </w:r>
          </w:p>
        </w:tc>
        <w:tc>
          <w:tcPr>
            <w:tcW w:w="401" w:type="pct"/>
            <w:shd w:val="clear" w:color="auto" w:fill="auto"/>
            <w:noWrap/>
            <w:hideMark/>
          </w:tcPr>
          <w:p w14:paraId="4CE6804A"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68.8</w:t>
            </w:r>
          </w:p>
        </w:tc>
        <w:tc>
          <w:tcPr>
            <w:tcW w:w="401" w:type="pct"/>
            <w:shd w:val="clear" w:color="auto" w:fill="auto"/>
            <w:noWrap/>
            <w:hideMark/>
          </w:tcPr>
          <w:p w14:paraId="41D48122"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69.1</w:t>
            </w:r>
          </w:p>
        </w:tc>
        <w:tc>
          <w:tcPr>
            <w:tcW w:w="401" w:type="pct"/>
            <w:shd w:val="clear" w:color="auto" w:fill="auto"/>
            <w:noWrap/>
            <w:hideMark/>
          </w:tcPr>
          <w:p w14:paraId="106ABE8F"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66.9</w:t>
            </w:r>
          </w:p>
        </w:tc>
        <w:tc>
          <w:tcPr>
            <w:tcW w:w="401" w:type="pct"/>
            <w:shd w:val="clear" w:color="auto" w:fill="auto"/>
            <w:noWrap/>
            <w:hideMark/>
          </w:tcPr>
          <w:p w14:paraId="6A1D392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67.9</w:t>
            </w:r>
          </w:p>
        </w:tc>
        <w:tc>
          <w:tcPr>
            <w:tcW w:w="401" w:type="pct"/>
            <w:shd w:val="clear" w:color="auto" w:fill="auto"/>
            <w:noWrap/>
            <w:hideMark/>
          </w:tcPr>
          <w:p w14:paraId="7E27939E"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67.7</w:t>
            </w:r>
          </w:p>
        </w:tc>
        <w:tc>
          <w:tcPr>
            <w:tcW w:w="401" w:type="pct"/>
            <w:shd w:val="clear" w:color="auto" w:fill="auto"/>
            <w:noWrap/>
            <w:hideMark/>
          </w:tcPr>
          <w:p w14:paraId="4F57028B"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71.5</w:t>
            </w:r>
          </w:p>
        </w:tc>
        <w:tc>
          <w:tcPr>
            <w:tcW w:w="397" w:type="pct"/>
            <w:shd w:val="clear" w:color="auto" w:fill="auto"/>
            <w:noWrap/>
            <w:hideMark/>
          </w:tcPr>
          <w:p w14:paraId="580968EF" w14:textId="77777777" w:rsidR="00AF0ADF" w:rsidRPr="00FA489C" w:rsidRDefault="00AF0ADF" w:rsidP="00AF0ADF">
            <w:pPr>
              <w:jc w:val="center"/>
              <w:rPr>
                <w:rFonts w:cstheme="minorHAnsi"/>
                <w:color w:val="000000"/>
                <w:sz w:val="20"/>
                <w:szCs w:val="20"/>
              </w:rPr>
            </w:pPr>
            <w:r w:rsidRPr="00FA489C">
              <w:rPr>
                <w:rFonts w:cstheme="minorHAnsi"/>
                <w:color w:val="000000"/>
                <w:sz w:val="20"/>
                <w:szCs w:val="20"/>
              </w:rPr>
              <w:t>70.6</w:t>
            </w:r>
          </w:p>
        </w:tc>
      </w:tr>
    </w:tbl>
    <w:p w14:paraId="00201BC8" w14:textId="1E546013" w:rsidR="00FF4568" w:rsidRPr="00E8746E" w:rsidRDefault="00FF4568" w:rsidP="00FF4568">
      <w:r>
        <w:rPr>
          <w:rFonts w:cstheme="minorHAnsi"/>
          <w:color w:val="000000"/>
          <w:sz w:val="20"/>
          <w:szCs w:val="20"/>
        </w:rPr>
        <w:t>n.a.</w:t>
      </w:r>
      <w:r w:rsidRPr="007667EF">
        <w:rPr>
          <w:sz w:val="18"/>
          <w:szCs w:val="18"/>
        </w:rPr>
        <w:t xml:space="preserve">.: </w:t>
      </w:r>
      <w:r>
        <w:rPr>
          <w:sz w:val="18"/>
          <w:szCs w:val="18"/>
        </w:rPr>
        <w:t>data not available</w:t>
      </w:r>
      <w:r w:rsidR="003123B9">
        <w:rPr>
          <w:sz w:val="18"/>
          <w:szCs w:val="18"/>
        </w:rPr>
        <w:t>.</w:t>
      </w:r>
    </w:p>
    <w:p w14:paraId="2D0F8BD9" w14:textId="77777777" w:rsidR="00FF4568" w:rsidRPr="00165760" w:rsidRDefault="00FF4568" w:rsidP="00751711">
      <w:pPr>
        <w:rPr>
          <w:sz w:val="18"/>
          <w:szCs w:val="18"/>
        </w:rPr>
      </w:pPr>
    </w:p>
    <w:p w14:paraId="0923F6FB" w14:textId="77777777" w:rsidR="00AF0ADF" w:rsidRPr="00CA40AF" w:rsidRDefault="00AF0ADF" w:rsidP="009658B9">
      <w:pPr>
        <w:rPr>
          <w:b/>
          <w:bCs/>
          <w:sz w:val="18"/>
          <w:szCs w:val="18"/>
        </w:rPr>
      </w:pPr>
      <w:r w:rsidRPr="009658B9">
        <w:rPr>
          <w:b/>
          <w:bCs/>
          <w:sz w:val="18"/>
          <w:szCs w:val="18"/>
        </w:rPr>
        <w:t>Data notes</w:t>
      </w:r>
    </w:p>
    <w:p w14:paraId="43C6B1BB" w14:textId="573DDC80" w:rsidR="00AF0ADF" w:rsidRPr="00B94D3E" w:rsidRDefault="00AF0ADF" w:rsidP="008D3FB5">
      <w:pPr>
        <w:pStyle w:val="pf0"/>
        <w:numPr>
          <w:ilvl w:val="0"/>
          <w:numId w:val="25"/>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Data excludes mothers whose smoking status was not stated</w:t>
      </w:r>
    </w:p>
    <w:p w14:paraId="389D35C4" w14:textId="07D75EC2" w:rsidR="00AF0ADF" w:rsidRPr="00B94D3E" w:rsidRDefault="00AF0ADF" w:rsidP="008D3FB5">
      <w:pPr>
        <w:pStyle w:val="pf0"/>
        <w:numPr>
          <w:ilvl w:val="0"/>
          <w:numId w:val="25"/>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 xml:space="preserve">Smoking during pregnancy is self-reported smoking of tobacco. </w:t>
      </w:r>
    </w:p>
    <w:p w14:paraId="4A068537" w14:textId="36ABC116" w:rsidR="00AF0ADF" w:rsidRPr="00B94D3E" w:rsidRDefault="00AF0ADF" w:rsidP="008D3FB5">
      <w:pPr>
        <w:pStyle w:val="pf0"/>
        <w:numPr>
          <w:ilvl w:val="0"/>
          <w:numId w:val="25"/>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Percentages for mother's Indigenous status are age-standardised</w:t>
      </w:r>
    </w:p>
    <w:p w14:paraId="5BB5A587" w14:textId="45E96EEB" w:rsidR="00AF0ADF" w:rsidRPr="00C459D0" w:rsidRDefault="00F5556B" w:rsidP="00AF0ADF">
      <w:pPr>
        <w:pStyle w:val="pf0"/>
        <w:numPr>
          <w:ilvl w:val="0"/>
          <w:numId w:val="25"/>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462D9CB9" w14:textId="77777777" w:rsidR="009658B9" w:rsidRDefault="009658B9" w:rsidP="00B94D3E">
      <w:bookmarkStart w:id="407" w:name="_Ref117094165"/>
      <w:r>
        <w:br w:type="page"/>
      </w:r>
    </w:p>
    <w:p w14:paraId="6B60856B" w14:textId="6FBFE29C" w:rsidR="00AF0ADF" w:rsidRPr="0054118D" w:rsidRDefault="00AF0ADF" w:rsidP="00AF0ADF">
      <w:pPr>
        <w:pStyle w:val="Caption"/>
        <w:rPr>
          <w:sz w:val="20"/>
          <w:szCs w:val="20"/>
        </w:rPr>
      </w:pPr>
      <w:bookmarkStart w:id="408" w:name="_Ref117927569"/>
      <w:bookmarkStart w:id="409" w:name="_Toc121429188"/>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12</w:t>
      </w:r>
      <w:r w:rsidR="00A64FC5" w:rsidRPr="0054118D">
        <w:rPr>
          <w:noProof/>
          <w:sz w:val="20"/>
          <w:szCs w:val="20"/>
        </w:rPr>
        <w:fldChar w:fldCharType="end"/>
      </w:r>
      <w:bookmarkEnd w:id="407"/>
      <w:bookmarkEnd w:id="408"/>
      <w:r w:rsidRPr="0054118D">
        <w:rPr>
          <w:sz w:val="20"/>
          <w:szCs w:val="20"/>
        </w:rPr>
        <w:tab/>
        <w:t>Antenatal care visits in first trimester</w:t>
      </w:r>
      <w:r w:rsidR="0054118D">
        <w:rPr>
          <w:sz w:val="20"/>
          <w:szCs w:val="20"/>
        </w:rPr>
        <w:t>,</w:t>
      </w:r>
      <w:r w:rsidRPr="0054118D">
        <w:rPr>
          <w:sz w:val="20"/>
          <w:szCs w:val="20"/>
        </w:rPr>
        <w:t xml:space="preserve"> all w</w:t>
      </w:r>
      <w:r w:rsidR="0054118D">
        <w:rPr>
          <w:sz w:val="20"/>
          <w:szCs w:val="20"/>
        </w:rPr>
        <w:t>omen giving birth (PI02a), 2011-</w:t>
      </w:r>
      <w:r w:rsidRPr="0054118D">
        <w:rPr>
          <w:sz w:val="20"/>
          <w:szCs w:val="20"/>
        </w:rPr>
        <w:t>2019</w:t>
      </w:r>
      <w:bookmarkEnd w:id="4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57"/>
        <w:gridCol w:w="757"/>
        <w:gridCol w:w="757"/>
        <w:gridCol w:w="757"/>
        <w:gridCol w:w="757"/>
        <w:gridCol w:w="757"/>
        <w:gridCol w:w="757"/>
        <w:gridCol w:w="757"/>
        <w:gridCol w:w="767"/>
      </w:tblGrid>
      <w:tr w:rsidR="00AF0ADF" w:rsidRPr="00D960DD" w14:paraId="6F53362C" w14:textId="77777777" w:rsidTr="00B94D3E">
        <w:trPr>
          <w:trHeight w:val="240"/>
        </w:trPr>
        <w:tc>
          <w:tcPr>
            <w:tcW w:w="1539" w:type="pct"/>
            <w:shd w:val="clear" w:color="auto" w:fill="auto"/>
            <w:noWrap/>
          </w:tcPr>
          <w:p w14:paraId="70EB4803" w14:textId="77777777" w:rsidR="00AF0ADF" w:rsidRPr="00D960DD" w:rsidRDefault="00AF0ADF" w:rsidP="00AF0ADF">
            <w:pPr>
              <w:rPr>
                <w:rFonts w:cstheme="minorHAnsi"/>
                <w:b/>
                <w:bCs/>
                <w:color w:val="000000"/>
                <w:sz w:val="20"/>
                <w:szCs w:val="20"/>
              </w:rPr>
            </w:pPr>
          </w:p>
        </w:tc>
        <w:tc>
          <w:tcPr>
            <w:tcW w:w="384" w:type="pct"/>
            <w:shd w:val="clear" w:color="auto" w:fill="auto"/>
            <w:noWrap/>
            <w:vAlign w:val="center"/>
            <w:hideMark/>
          </w:tcPr>
          <w:p w14:paraId="0D369BE5"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2011</w:t>
            </w:r>
          </w:p>
        </w:tc>
        <w:tc>
          <w:tcPr>
            <w:tcW w:w="384" w:type="pct"/>
            <w:shd w:val="clear" w:color="auto" w:fill="auto"/>
            <w:noWrap/>
            <w:vAlign w:val="center"/>
            <w:hideMark/>
          </w:tcPr>
          <w:p w14:paraId="03075CF6"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2012</w:t>
            </w:r>
          </w:p>
        </w:tc>
        <w:tc>
          <w:tcPr>
            <w:tcW w:w="384" w:type="pct"/>
            <w:shd w:val="clear" w:color="auto" w:fill="auto"/>
            <w:noWrap/>
            <w:vAlign w:val="center"/>
            <w:hideMark/>
          </w:tcPr>
          <w:p w14:paraId="4C8608C2"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2013</w:t>
            </w:r>
          </w:p>
        </w:tc>
        <w:tc>
          <w:tcPr>
            <w:tcW w:w="384" w:type="pct"/>
            <w:shd w:val="clear" w:color="auto" w:fill="auto"/>
            <w:noWrap/>
            <w:vAlign w:val="center"/>
            <w:hideMark/>
          </w:tcPr>
          <w:p w14:paraId="4D0AC794"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2014</w:t>
            </w:r>
          </w:p>
        </w:tc>
        <w:tc>
          <w:tcPr>
            <w:tcW w:w="384" w:type="pct"/>
            <w:shd w:val="clear" w:color="auto" w:fill="auto"/>
            <w:noWrap/>
            <w:vAlign w:val="center"/>
            <w:hideMark/>
          </w:tcPr>
          <w:p w14:paraId="31976616"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2015</w:t>
            </w:r>
          </w:p>
        </w:tc>
        <w:tc>
          <w:tcPr>
            <w:tcW w:w="384" w:type="pct"/>
            <w:shd w:val="clear" w:color="auto" w:fill="auto"/>
            <w:noWrap/>
            <w:vAlign w:val="center"/>
            <w:hideMark/>
          </w:tcPr>
          <w:p w14:paraId="1834345C"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2016</w:t>
            </w:r>
          </w:p>
        </w:tc>
        <w:tc>
          <w:tcPr>
            <w:tcW w:w="384" w:type="pct"/>
            <w:shd w:val="clear" w:color="auto" w:fill="auto"/>
            <w:noWrap/>
            <w:vAlign w:val="center"/>
            <w:hideMark/>
          </w:tcPr>
          <w:p w14:paraId="25C96326"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2017</w:t>
            </w:r>
          </w:p>
        </w:tc>
        <w:tc>
          <w:tcPr>
            <w:tcW w:w="384" w:type="pct"/>
            <w:shd w:val="clear" w:color="auto" w:fill="auto"/>
            <w:noWrap/>
            <w:vAlign w:val="center"/>
            <w:hideMark/>
          </w:tcPr>
          <w:p w14:paraId="39ED6559"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2018</w:t>
            </w:r>
          </w:p>
        </w:tc>
        <w:tc>
          <w:tcPr>
            <w:tcW w:w="388" w:type="pct"/>
            <w:shd w:val="clear" w:color="auto" w:fill="auto"/>
            <w:noWrap/>
            <w:vAlign w:val="center"/>
            <w:hideMark/>
          </w:tcPr>
          <w:p w14:paraId="6355D82E"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2019</w:t>
            </w:r>
          </w:p>
        </w:tc>
      </w:tr>
      <w:tr w:rsidR="00AF0ADF" w:rsidRPr="00D960DD" w14:paraId="0727C337" w14:textId="77777777" w:rsidTr="00BD4A0E">
        <w:trPr>
          <w:trHeight w:val="240"/>
        </w:trPr>
        <w:tc>
          <w:tcPr>
            <w:tcW w:w="1539" w:type="pct"/>
            <w:shd w:val="clear" w:color="auto" w:fill="auto"/>
            <w:noWrap/>
          </w:tcPr>
          <w:p w14:paraId="6652318A" w14:textId="77777777" w:rsidR="00AF0ADF" w:rsidRPr="00D960DD" w:rsidRDefault="00AF0ADF" w:rsidP="00AF0ADF">
            <w:pPr>
              <w:rPr>
                <w:rFonts w:cstheme="minorHAnsi"/>
                <w:b/>
                <w:bCs/>
                <w:color w:val="000000"/>
                <w:sz w:val="20"/>
                <w:szCs w:val="20"/>
              </w:rPr>
            </w:pPr>
          </w:p>
        </w:tc>
        <w:tc>
          <w:tcPr>
            <w:tcW w:w="3461" w:type="pct"/>
            <w:gridSpan w:val="9"/>
            <w:shd w:val="clear" w:color="auto" w:fill="auto"/>
            <w:noWrap/>
          </w:tcPr>
          <w:p w14:paraId="7A436933" w14:textId="77777777" w:rsidR="00AF0ADF" w:rsidRPr="00D960DD" w:rsidRDefault="00AF0ADF" w:rsidP="00AF0ADF">
            <w:pPr>
              <w:jc w:val="center"/>
              <w:rPr>
                <w:rFonts w:cstheme="minorHAnsi"/>
                <w:b/>
                <w:bCs/>
                <w:color w:val="000000"/>
                <w:sz w:val="20"/>
                <w:szCs w:val="20"/>
              </w:rPr>
            </w:pPr>
            <w:r w:rsidRPr="00D960DD">
              <w:rPr>
                <w:rFonts w:cstheme="minorHAnsi"/>
                <w:b/>
                <w:bCs/>
                <w:sz w:val="20"/>
                <w:szCs w:val="20"/>
              </w:rPr>
              <w:t>In per cent (%)</w:t>
            </w:r>
          </w:p>
        </w:tc>
      </w:tr>
      <w:tr w:rsidR="00AF0ADF" w:rsidRPr="00D960DD" w14:paraId="03980337" w14:textId="77777777" w:rsidTr="00AF0ADF">
        <w:trPr>
          <w:trHeight w:val="240"/>
        </w:trPr>
        <w:tc>
          <w:tcPr>
            <w:tcW w:w="5000" w:type="pct"/>
            <w:gridSpan w:val="10"/>
            <w:shd w:val="clear" w:color="auto" w:fill="auto"/>
            <w:noWrap/>
            <w:hideMark/>
          </w:tcPr>
          <w:p w14:paraId="1B78C7DC" w14:textId="77777777" w:rsidR="00AF0ADF" w:rsidRPr="00D960DD" w:rsidRDefault="00AF0ADF" w:rsidP="00AF0ADF">
            <w:pPr>
              <w:rPr>
                <w:rFonts w:cstheme="minorHAnsi"/>
                <w:sz w:val="20"/>
                <w:szCs w:val="20"/>
              </w:rPr>
            </w:pPr>
            <w:r w:rsidRPr="00D960DD">
              <w:rPr>
                <w:rFonts w:cstheme="minorHAnsi"/>
                <w:b/>
                <w:bCs/>
                <w:color w:val="000000"/>
                <w:sz w:val="20"/>
                <w:szCs w:val="20"/>
              </w:rPr>
              <w:t>Australia</w:t>
            </w:r>
          </w:p>
        </w:tc>
      </w:tr>
      <w:tr w:rsidR="00AF0ADF" w:rsidRPr="00D960DD" w14:paraId="4E8D038C" w14:textId="77777777" w:rsidTr="00BD4A0E">
        <w:trPr>
          <w:trHeight w:val="240"/>
        </w:trPr>
        <w:tc>
          <w:tcPr>
            <w:tcW w:w="1539" w:type="pct"/>
            <w:shd w:val="clear" w:color="auto" w:fill="auto"/>
            <w:noWrap/>
            <w:hideMark/>
          </w:tcPr>
          <w:p w14:paraId="79C0029C"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Total</w:t>
            </w:r>
          </w:p>
        </w:tc>
        <w:tc>
          <w:tcPr>
            <w:tcW w:w="384" w:type="pct"/>
            <w:shd w:val="clear" w:color="auto" w:fill="auto"/>
            <w:noWrap/>
            <w:hideMark/>
          </w:tcPr>
          <w:p w14:paraId="56310C4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65.7</w:t>
            </w:r>
          </w:p>
        </w:tc>
        <w:tc>
          <w:tcPr>
            <w:tcW w:w="384" w:type="pct"/>
            <w:shd w:val="clear" w:color="auto" w:fill="auto"/>
            <w:noWrap/>
            <w:hideMark/>
          </w:tcPr>
          <w:p w14:paraId="32B04E4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62.7</w:t>
            </w:r>
          </w:p>
        </w:tc>
        <w:tc>
          <w:tcPr>
            <w:tcW w:w="384" w:type="pct"/>
            <w:shd w:val="clear" w:color="auto" w:fill="auto"/>
            <w:noWrap/>
            <w:hideMark/>
          </w:tcPr>
          <w:p w14:paraId="30B75E1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61.8</w:t>
            </w:r>
          </w:p>
        </w:tc>
        <w:tc>
          <w:tcPr>
            <w:tcW w:w="384" w:type="pct"/>
            <w:shd w:val="clear" w:color="auto" w:fill="auto"/>
            <w:noWrap/>
            <w:hideMark/>
          </w:tcPr>
          <w:p w14:paraId="05A0AA7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61.6</w:t>
            </w:r>
          </w:p>
        </w:tc>
        <w:tc>
          <w:tcPr>
            <w:tcW w:w="384" w:type="pct"/>
            <w:shd w:val="clear" w:color="auto" w:fill="auto"/>
            <w:noWrap/>
            <w:hideMark/>
          </w:tcPr>
          <w:p w14:paraId="7FB7529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64.6</w:t>
            </w:r>
          </w:p>
        </w:tc>
        <w:tc>
          <w:tcPr>
            <w:tcW w:w="384" w:type="pct"/>
            <w:shd w:val="clear" w:color="auto" w:fill="auto"/>
            <w:noWrap/>
            <w:hideMark/>
          </w:tcPr>
          <w:p w14:paraId="36E95FA0"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68.6</w:t>
            </w:r>
          </w:p>
        </w:tc>
        <w:tc>
          <w:tcPr>
            <w:tcW w:w="384" w:type="pct"/>
            <w:shd w:val="clear" w:color="auto" w:fill="auto"/>
            <w:noWrap/>
            <w:hideMark/>
          </w:tcPr>
          <w:p w14:paraId="32064A1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72.0</w:t>
            </w:r>
          </w:p>
        </w:tc>
        <w:tc>
          <w:tcPr>
            <w:tcW w:w="384" w:type="pct"/>
            <w:shd w:val="clear" w:color="auto" w:fill="auto"/>
            <w:noWrap/>
            <w:hideMark/>
          </w:tcPr>
          <w:p w14:paraId="3654A9A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74.2</w:t>
            </w:r>
          </w:p>
        </w:tc>
        <w:tc>
          <w:tcPr>
            <w:tcW w:w="388" w:type="pct"/>
            <w:shd w:val="clear" w:color="auto" w:fill="auto"/>
            <w:noWrap/>
            <w:hideMark/>
          </w:tcPr>
          <w:p w14:paraId="68FD0A9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76.6</w:t>
            </w:r>
          </w:p>
        </w:tc>
      </w:tr>
      <w:tr w:rsidR="00AF0ADF" w:rsidRPr="00D960DD" w14:paraId="0344E7C5" w14:textId="77777777" w:rsidTr="00AF0ADF">
        <w:trPr>
          <w:trHeight w:val="240"/>
        </w:trPr>
        <w:tc>
          <w:tcPr>
            <w:tcW w:w="5000" w:type="pct"/>
            <w:gridSpan w:val="10"/>
            <w:shd w:val="clear" w:color="auto" w:fill="auto"/>
            <w:noWrap/>
            <w:hideMark/>
          </w:tcPr>
          <w:p w14:paraId="12CDFBE3" w14:textId="77777777" w:rsidR="00AF0ADF" w:rsidRPr="00D960DD" w:rsidRDefault="00AF0ADF" w:rsidP="00AF0ADF">
            <w:pPr>
              <w:rPr>
                <w:rFonts w:cstheme="minorHAnsi"/>
                <w:sz w:val="20"/>
                <w:szCs w:val="20"/>
              </w:rPr>
            </w:pPr>
            <w:r w:rsidRPr="00D960DD">
              <w:rPr>
                <w:rFonts w:cstheme="minorHAnsi"/>
                <w:b/>
                <w:bCs/>
                <w:color w:val="000000"/>
                <w:sz w:val="20"/>
                <w:szCs w:val="20"/>
              </w:rPr>
              <w:t>Mother's age at birth</w:t>
            </w:r>
          </w:p>
        </w:tc>
      </w:tr>
      <w:tr w:rsidR="00AF0ADF" w:rsidRPr="00D960DD" w14:paraId="07FFE2BC" w14:textId="77777777" w:rsidTr="00BD4A0E">
        <w:trPr>
          <w:trHeight w:val="240"/>
        </w:trPr>
        <w:tc>
          <w:tcPr>
            <w:tcW w:w="1539" w:type="pct"/>
            <w:shd w:val="clear" w:color="auto" w:fill="auto"/>
            <w:noWrap/>
            <w:hideMark/>
          </w:tcPr>
          <w:p w14:paraId="057C1BCE"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Younger than 20</w:t>
            </w:r>
          </w:p>
        </w:tc>
        <w:tc>
          <w:tcPr>
            <w:tcW w:w="384" w:type="pct"/>
            <w:shd w:val="clear" w:color="auto" w:fill="auto"/>
            <w:noWrap/>
            <w:hideMark/>
          </w:tcPr>
          <w:p w14:paraId="054359E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49.5</w:t>
            </w:r>
          </w:p>
        </w:tc>
        <w:tc>
          <w:tcPr>
            <w:tcW w:w="384" w:type="pct"/>
            <w:shd w:val="clear" w:color="auto" w:fill="auto"/>
            <w:noWrap/>
            <w:hideMark/>
          </w:tcPr>
          <w:p w14:paraId="03DC8F8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47.4</w:t>
            </w:r>
          </w:p>
        </w:tc>
        <w:tc>
          <w:tcPr>
            <w:tcW w:w="384" w:type="pct"/>
            <w:shd w:val="clear" w:color="auto" w:fill="auto"/>
            <w:noWrap/>
            <w:hideMark/>
          </w:tcPr>
          <w:p w14:paraId="3F7B2DD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46.9</w:t>
            </w:r>
          </w:p>
        </w:tc>
        <w:tc>
          <w:tcPr>
            <w:tcW w:w="384" w:type="pct"/>
            <w:shd w:val="clear" w:color="auto" w:fill="auto"/>
            <w:noWrap/>
            <w:hideMark/>
          </w:tcPr>
          <w:p w14:paraId="7399CD4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47.5</w:t>
            </w:r>
          </w:p>
        </w:tc>
        <w:tc>
          <w:tcPr>
            <w:tcW w:w="384" w:type="pct"/>
            <w:shd w:val="clear" w:color="auto" w:fill="auto"/>
            <w:noWrap/>
            <w:hideMark/>
          </w:tcPr>
          <w:p w14:paraId="6E654BA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51.8</w:t>
            </w:r>
          </w:p>
        </w:tc>
        <w:tc>
          <w:tcPr>
            <w:tcW w:w="384" w:type="pct"/>
            <w:shd w:val="clear" w:color="auto" w:fill="auto"/>
            <w:noWrap/>
            <w:hideMark/>
          </w:tcPr>
          <w:p w14:paraId="3F1503E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57.7</w:t>
            </w:r>
          </w:p>
        </w:tc>
        <w:tc>
          <w:tcPr>
            <w:tcW w:w="384" w:type="pct"/>
            <w:shd w:val="clear" w:color="auto" w:fill="auto"/>
            <w:noWrap/>
            <w:hideMark/>
          </w:tcPr>
          <w:p w14:paraId="244305C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61.4</w:t>
            </w:r>
          </w:p>
        </w:tc>
        <w:tc>
          <w:tcPr>
            <w:tcW w:w="384" w:type="pct"/>
            <w:shd w:val="clear" w:color="auto" w:fill="auto"/>
            <w:noWrap/>
            <w:hideMark/>
          </w:tcPr>
          <w:p w14:paraId="3A41E68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62.8</w:t>
            </w:r>
          </w:p>
        </w:tc>
        <w:tc>
          <w:tcPr>
            <w:tcW w:w="388" w:type="pct"/>
            <w:shd w:val="clear" w:color="auto" w:fill="auto"/>
            <w:noWrap/>
            <w:hideMark/>
          </w:tcPr>
          <w:p w14:paraId="0D36BD1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64.6</w:t>
            </w:r>
          </w:p>
        </w:tc>
      </w:tr>
      <w:tr w:rsidR="00AF0ADF" w:rsidRPr="00D960DD" w14:paraId="73D2DC53" w14:textId="77777777" w:rsidTr="00BD4A0E">
        <w:trPr>
          <w:trHeight w:val="240"/>
        </w:trPr>
        <w:tc>
          <w:tcPr>
            <w:tcW w:w="1539" w:type="pct"/>
            <w:shd w:val="clear" w:color="auto" w:fill="auto"/>
            <w:noWrap/>
            <w:hideMark/>
          </w:tcPr>
          <w:p w14:paraId="7EAA0A8E"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20-24</w:t>
            </w:r>
          </w:p>
        </w:tc>
        <w:tc>
          <w:tcPr>
            <w:tcW w:w="384" w:type="pct"/>
            <w:shd w:val="clear" w:color="auto" w:fill="auto"/>
            <w:noWrap/>
            <w:hideMark/>
          </w:tcPr>
          <w:p w14:paraId="5C63D5A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55.6</w:t>
            </w:r>
          </w:p>
        </w:tc>
        <w:tc>
          <w:tcPr>
            <w:tcW w:w="384" w:type="pct"/>
            <w:shd w:val="clear" w:color="auto" w:fill="auto"/>
            <w:noWrap/>
            <w:hideMark/>
          </w:tcPr>
          <w:p w14:paraId="7D077EF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52.7</w:t>
            </w:r>
          </w:p>
        </w:tc>
        <w:tc>
          <w:tcPr>
            <w:tcW w:w="384" w:type="pct"/>
            <w:shd w:val="clear" w:color="auto" w:fill="auto"/>
            <w:noWrap/>
            <w:hideMark/>
          </w:tcPr>
          <w:p w14:paraId="239FB9A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51.4</w:t>
            </w:r>
          </w:p>
        </w:tc>
        <w:tc>
          <w:tcPr>
            <w:tcW w:w="384" w:type="pct"/>
            <w:shd w:val="clear" w:color="auto" w:fill="auto"/>
            <w:noWrap/>
            <w:hideMark/>
          </w:tcPr>
          <w:p w14:paraId="41A129E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51.9</w:t>
            </w:r>
          </w:p>
        </w:tc>
        <w:tc>
          <w:tcPr>
            <w:tcW w:w="384" w:type="pct"/>
            <w:shd w:val="clear" w:color="auto" w:fill="auto"/>
            <w:noWrap/>
            <w:hideMark/>
          </w:tcPr>
          <w:p w14:paraId="5ED2847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55.7</w:t>
            </w:r>
          </w:p>
        </w:tc>
        <w:tc>
          <w:tcPr>
            <w:tcW w:w="384" w:type="pct"/>
            <w:shd w:val="clear" w:color="auto" w:fill="auto"/>
            <w:noWrap/>
            <w:hideMark/>
          </w:tcPr>
          <w:p w14:paraId="4D31F1B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61.7</w:t>
            </w:r>
          </w:p>
        </w:tc>
        <w:tc>
          <w:tcPr>
            <w:tcW w:w="384" w:type="pct"/>
            <w:shd w:val="clear" w:color="auto" w:fill="auto"/>
            <w:noWrap/>
            <w:hideMark/>
          </w:tcPr>
          <w:p w14:paraId="101239A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65.3</w:t>
            </w:r>
          </w:p>
        </w:tc>
        <w:tc>
          <w:tcPr>
            <w:tcW w:w="384" w:type="pct"/>
            <w:shd w:val="clear" w:color="auto" w:fill="auto"/>
            <w:noWrap/>
            <w:hideMark/>
          </w:tcPr>
          <w:p w14:paraId="263A2BB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68.5</w:t>
            </w:r>
          </w:p>
        </w:tc>
        <w:tc>
          <w:tcPr>
            <w:tcW w:w="388" w:type="pct"/>
            <w:shd w:val="clear" w:color="auto" w:fill="auto"/>
            <w:noWrap/>
            <w:hideMark/>
          </w:tcPr>
          <w:p w14:paraId="20ABA48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71.6</w:t>
            </w:r>
          </w:p>
        </w:tc>
      </w:tr>
      <w:tr w:rsidR="00AF0ADF" w:rsidRPr="00D960DD" w14:paraId="41D38856" w14:textId="77777777" w:rsidTr="00BD4A0E">
        <w:trPr>
          <w:trHeight w:val="240"/>
        </w:trPr>
        <w:tc>
          <w:tcPr>
            <w:tcW w:w="1539" w:type="pct"/>
            <w:shd w:val="clear" w:color="auto" w:fill="auto"/>
            <w:noWrap/>
            <w:hideMark/>
          </w:tcPr>
          <w:p w14:paraId="7B5B58D4"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25-29</w:t>
            </w:r>
          </w:p>
        </w:tc>
        <w:tc>
          <w:tcPr>
            <w:tcW w:w="384" w:type="pct"/>
            <w:shd w:val="clear" w:color="auto" w:fill="auto"/>
            <w:noWrap/>
            <w:hideMark/>
          </w:tcPr>
          <w:p w14:paraId="7A6BC6C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63.9</w:t>
            </w:r>
          </w:p>
        </w:tc>
        <w:tc>
          <w:tcPr>
            <w:tcW w:w="384" w:type="pct"/>
            <w:shd w:val="clear" w:color="auto" w:fill="auto"/>
            <w:noWrap/>
            <w:hideMark/>
          </w:tcPr>
          <w:p w14:paraId="13B6CE8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60.3</w:t>
            </w:r>
          </w:p>
        </w:tc>
        <w:tc>
          <w:tcPr>
            <w:tcW w:w="384" w:type="pct"/>
            <w:shd w:val="clear" w:color="auto" w:fill="auto"/>
            <w:noWrap/>
            <w:hideMark/>
          </w:tcPr>
          <w:p w14:paraId="671E47C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59.4</w:t>
            </w:r>
          </w:p>
        </w:tc>
        <w:tc>
          <w:tcPr>
            <w:tcW w:w="384" w:type="pct"/>
            <w:shd w:val="clear" w:color="auto" w:fill="auto"/>
            <w:noWrap/>
            <w:hideMark/>
          </w:tcPr>
          <w:p w14:paraId="0FB5116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59.1</w:t>
            </w:r>
          </w:p>
        </w:tc>
        <w:tc>
          <w:tcPr>
            <w:tcW w:w="384" w:type="pct"/>
            <w:shd w:val="clear" w:color="auto" w:fill="auto"/>
            <w:noWrap/>
            <w:hideMark/>
          </w:tcPr>
          <w:p w14:paraId="3069BAB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62.2</w:t>
            </w:r>
          </w:p>
        </w:tc>
        <w:tc>
          <w:tcPr>
            <w:tcW w:w="384" w:type="pct"/>
            <w:shd w:val="clear" w:color="auto" w:fill="auto"/>
            <w:noWrap/>
            <w:hideMark/>
          </w:tcPr>
          <w:p w14:paraId="632DDD7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66.8</w:t>
            </w:r>
          </w:p>
        </w:tc>
        <w:tc>
          <w:tcPr>
            <w:tcW w:w="384" w:type="pct"/>
            <w:shd w:val="clear" w:color="auto" w:fill="auto"/>
            <w:noWrap/>
            <w:hideMark/>
          </w:tcPr>
          <w:p w14:paraId="719530C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70.0</w:t>
            </w:r>
          </w:p>
        </w:tc>
        <w:tc>
          <w:tcPr>
            <w:tcW w:w="384" w:type="pct"/>
            <w:shd w:val="clear" w:color="auto" w:fill="auto"/>
            <w:noWrap/>
            <w:hideMark/>
          </w:tcPr>
          <w:p w14:paraId="037C743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72.8</w:t>
            </w:r>
          </w:p>
        </w:tc>
        <w:tc>
          <w:tcPr>
            <w:tcW w:w="388" w:type="pct"/>
            <w:shd w:val="clear" w:color="auto" w:fill="auto"/>
            <w:noWrap/>
            <w:hideMark/>
          </w:tcPr>
          <w:p w14:paraId="588357F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75.8</w:t>
            </w:r>
          </w:p>
        </w:tc>
      </w:tr>
      <w:tr w:rsidR="00AF0ADF" w:rsidRPr="00D960DD" w14:paraId="04E429E1" w14:textId="77777777" w:rsidTr="00BD4A0E">
        <w:trPr>
          <w:trHeight w:val="240"/>
        </w:trPr>
        <w:tc>
          <w:tcPr>
            <w:tcW w:w="1539" w:type="pct"/>
            <w:shd w:val="clear" w:color="auto" w:fill="auto"/>
            <w:noWrap/>
            <w:hideMark/>
          </w:tcPr>
          <w:p w14:paraId="6B2215A5"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30-34</w:t>
            </w:r>
          </w:p>
        </w:tc>
        <w:tc>
          <w:tcPr>
            <w:tcW w:w="384" w:type="pct"/>
            <w:shd w:val="clear" w:color="auto" w:fill="auto"/>
            <w:noWrap/>
            <w:hideMark/>
          </w:tcPr>
          <w:p w14:paraId="15A542F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69.6</w:t>
            </w:r>
          </w:p>
        </w:tc>
        <w:tc>
          <w:tcPr>
            <w:tcW w:w="384" w:type="pct"/>
            <w:shd w:val="clear" w:color="auto" w:fill="auto"/>
            <w:noWrap/>
            <w:hideMark/>
          </w:tcPr>
          <w:p w14:paraId="0005F5E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66.7</w:t>
            </w:r>
          </w:p>
        </w:tc>
        <w:tc>
          <w:tcPr>
            <w:tcW w:w="384" w:type="pct"/>
            <w:shd w:val="clear" w:color="auto" w:fill="auto"/>
            <w:noWrap/>
            <w:hideMark/>
          </w:tcPr>
          <w:p w14:paraId="7FB6D33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65.8</w:t>
            </w:r>
          </w:p>
        </w:tc>
        <w:tc>
          <w:tcPr>
            <w:tcW w:w="384" w:type="pct"/>
            <w:shd w:val="clear" w:color="auto" w:fill="auto"/>
            <w:noWrap/>
            <w:hideMark/>
          </w:tcPr>
          <w:p w14:paraId="23D2B9D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65.0</w:t>
            </w:r>
          </w:p>
        </w:tc>
        <w:tc>
          <w:tcPr>
            <w:tcW w:w="384" w:type="pct"/>
            <w:shd w:val="clear" w:color="auto" w:fill="auto"/>
            <w:noWrap/>
            <w:hideMark/>
          </w:tcPr>
          <w:p w14:paraId="662FEC9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67.8</w:t>
            </w:r>
          </w:p>
        </w:tc>
        <w:tc>
          <w:tcPr>
            <w:tcW w:w="384" w:type="pct"/>
            <w:shd w:val="clear" w:color="auto" w:fill="auto"/>
            <w:noWrap/>
            <w:hideMark/>
          </w:tcPr>
          <w:p w14:paraId="5793DF8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70.8</w:t>
            </w:r>
          </w:p>
        </w:tc>
        <w:tc>
          <w:tcPr>
            <w:tcW w:w="384" w:type="pct"/>
            <w:shd w:val="clear" w:color="auto" w:fill="auto"/>
            <w:noWrap/>
            <w:hideMark/>
          </w:tcPr>
          <w:p w14:paraId="5EF412B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74.4</w:t>
            </w:r>
          </w:p>
        </w:tc>
        <w:tc>
          <w:tcPr>
            <w:tcW w:w="384" w:type="pct"/>
            <w:shd w:val="clear" w:color="auto" w:fill="auto"/>
            <w:noWrap/>
            <w:hideMark/>
          </w:tcPr>
          <w:p w14:paraId="547FD9C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76.1</w:t>
            </w:r>
          </w:p>
        </w:tc>
        <w:tc>
          <w:tcPr>
            <w:tcW w:w="388" w:type="pct"/>
            <w:shd w:val="clear" w:color="auto" w:fill="auto"/>
            <w:noWrap/>
            <w:hideMark/>
          </w:tcPr>
          <w:p w14:paraId="47D3014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78.2</w:t>
            </w:r>
          </w:p>
        </w:tc>
      </w:tr>
      <w:tr w:rsidR="00AF0ADF" w:rsidRPr="00D960DD" w14:paraId="6CB8EC20" w14:textId="77777777" w:rsidTr="00BD4A0E">
        <w:trPr>
          <w:trHeight w:val="240"/>
        </w:trPr>
        <w:tc>
          <w:tcPr>
            <w:tcW w:w="1539" w:type="pct"/>
            <w:shd w:val="clear" w:color="auto" w:fill="auto"/>
            <w:noWrap/>
            <w:hideMark/>
          </w:tcPr>
          <w:p w14:paraId="40275B9A"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35-39</w:t>
            </w:r>
          </w:p>
        </w:tc>
        <w:tc>
          <w:tcPr>
            <w:tcW w:w="384" w:type="pct"/>
            <w:shd w:val="clear" w:color="auto" w:fill="auto"/>
            <w:noWrap/>
            <w:hideMark/>
          </w:tcPr>
          <w:p w14:paraId="40F20BF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71.5</w:t>
            </w:r>
          </w:p>
        </w:tc>
        <w:tc>
          <w:tcPr>
            <w:tcW w:w="384" w:type="pct"/>
            <w:shd w:val="clear" w:color="auto" w:fill="auto"/>
            <w:noWrap/>
            <w:hideMark/>
          </w:tcPr>
          <w:p w14:paraId="20C3027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68.5</w:t>
            </w:r>
          </w:p>
        </w:tc>
        <w:tc>
          <w:tcPr>
            <w:tcW w:w="384" w:type="pct"/>
            <w:shd w:val="clear" w:color="auto" w:fill="auto"/>
            <w:noWrap/>
            <w:hideMark/>
          </w:tcPr>
          <w:p w14:paraId="7441637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67.3</w:t>
            </w:r>
          </w:p>
        </w:tc>
        <w:tc>
          <w:tcPr>
            <w:tcW w:w="384" w:type="pct"/>
            <w:shd w:val="clear" w:color="auto" w:fill="auto"/>
            <w:noWrap/>
            <w:hideMark/>
          </w:tcPr>
          <w:p w14:paraId="0B92CCB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67.4</w:t>
            </w:r>
          </w:p>
        </w:tc>
        <w:tc>
          <w:tcPr>
            <w:tcW w:w="384" w:type="pct"/>
            <w:shd w:val="clear" w:color="auto" w:fill="auto"/>
            <w:noWrap/>
            <w:hideMark/>
          </w:tcPr>
          <w:p w14:paraId="19C355C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69.3</w:t>
            </w:r>
          </w:p>
        </w:tc>
        <w:tc>
          <w:tcPr>
            <w:tcW w:w="384" w:type="pct"/>
            <w:shd w:val="clear" w:color="auto" w:fill="auto"/>
            <w:noWrap/>
            <w:hideMark/>
          </w:tcPr>
          <w:p w14:paraId="75BE84F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72.0</w:t>
            </w:r>
          </w:p>
        </w:tc>
        <w:tc>
          <w:tcPr>
            <w:tcW w:w="384" w:type="pct"/>
            <w:shd w:val="clear" w:color="auto" w:fill="auto"/>
            <w:noWrap/>
            <w:hideMark/>
          </w:tcPr>
          <w:p w14:paraId="28FFD11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75.0</w:t>
            </w:r>
          </w:p>
        </w:tc>
        <w:tc>
          <w:tcPr>
            <w:tcW w:w="384" w:type="pct"/>
            <w:shd w:val="clear" w:color="auto" w:fill="auto"/>
            <w:noWrap/>
            <w:hideMark/>
          </w:tcPr>
          <w:p w14:paraId="7906608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76.8</w:t>
            </w:r>
          </w:p>
        </w:tc>
        <w:tc>
          <w:tcPr>
            <w:tcW w:w="388" w:type="pct"/>
            <w:shd w:val="clear" w:color="auto" w:fill="auto"/>
            <w:noWrap/>
            <w:hideMark/>
          </w:tcPr>
          <w:p w14:paraId="04B3470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78.4</w:t>
            </w:r>
          </w:p>
        </w:tc>
      </w:tr>
      <w:tr w:rsidR="00AF0ADF" w:rsidRPr="00D960DD" w14:paraId="70A93E34" w14:textId="77777777" w:rsidTr="00BD4A0E">
        <w:trPr>
          <w:trHeight w:val="240"/>
        </w:trPr>
        <w:tc>
          <w:tcPr>
            <w:tcW w:w="1539" w:type="pct"/>
            <w:shd w:val="clear" w:color="auto" w:fill="auto"/>
            <w:noWrap/>
            <w:hideMark/>
          </w:tcPr>
          <w:p w14:paraId="0D4768E3"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40 and over</w:t>
            </w:r>
          </w:p>
        </w:tc>
        <w:tc>
          <w:tcPr>
            <w:tcW w:w="384" w:type="pct"/>
            <w:shd w:val="clear" w:color="auto" w:fill="auto"/>
            <w:noWrap/>
            <w:hideMark/>
          </w:tcPr>
          <w:p w14:paraId="078F774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70.2</w:t>
            </w:r>
          </w:p>
        </w:tc>
        <w:tc>
          <w:tcPr>
            <w:tcW w:w="384" w:type="pct"/>
            <w:shd w:val="clear" w:color="auto" w:fill="auto"/>
            <w:noWrap/>
            <w:hideMark/>
          </w:tcPr>
          <w:p w14:paraId="25DEA13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68.4</w:t>
            </w:r>
          </w:p>
        </w:tc>
        <w:tc>
          <w:tcPr>
            <w:tcW w:w="384" w:type="pct"/>
            <w:shd w:val="clear" w:color="auto" w:fill="auto"/>
            <w:noWrap/>
            <w:hideMark/>
          </w:tcPr>
          <w:p w14:paraId="68DBF2C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67.1</w:t>
            </w:r>
          </w:p>
        </w:tc>
        <w:tc>
          <w:tcPr>
            <w:tcW w:w="384" w:type="pct"/>
            <w:shd w:val="clear" w:color="auto" w:fill="auto"/>
            <w:noWrap/>
            <w:hideMark/>
          </w:tcPr>
          <w:p w14:paraId="58FDABC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66.6</w:t>
            </w:r>
          </w:p>
        </w:tc>
        <w:tc>
          <w:tcPr>
            <w:tcW w:w="384" w:type="pct"/>
            <w:shd w:val="clear" w:color="auto" w:fill="auto"/>
            <w:noWrap/>
            <w:hideMark/>
          </w:tcPr>
          <w:p w14:paraId="16B422A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68.3</w:t>
            </w:r>
          </w:p>
        </w:tc>
        <w:tc>
          <w:tcPr>
            <w:tcW w:w="384" w:type="pct"/>
            <w:shd w:val="clear" w:color="auto" w:fill="auto"/>
            <w:noWrap/>
            <w:hideMark/>
          </w:tcPr>
          <w:p w14:paraId="17A211F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71.2</w:t>
            </w:r>
          </w:p>
        </w:tc>
        <w:tc>
          <w:tcPr>
            <w:tcW w:w="384" w:type="pct"/>
            <w:shd w:val="clear" w:color="auto" w:fill="auto"/>
            <w:noWrap/>
            <w:hideMark/>
          </w:tcPr>
          <w:p w14:paraId="3F9844D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74.3</w:t>
            </w:r>
          </w:p>
        </w:tc>
        <w:tc>
          <w:tcPr>
            <w:tcW w:w="384" w:type="pct"/>
            <w:shd w:val="clear" w:color="auto" w:fill="auto"/>
            <w:noWrap/>
            <w:hideMark/>
          </w:tcPr>
          <w:p w14:paraId="4F96B01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76.7</w:t>
            </w:r>
          </w:p>
        </w:tc>
        <w:tc>
          <w:tcPr>
            <w:tcW w:w="388" w:type="pct"/>
            <w:shd w:val="clear" w:color="auto" w:fill="auto"/>
            <w:noWrap/>
            <w:hideMark/>
          </w:tcPr>
          <w:p w14:paraId="62EE727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78.3</w:t>
            </w:r>
          </w:p>
        </w:tc>
      </w:tr>
      <w:tr w:rsidR="00AF0ADF" w:rsidRPr="00D960DD" w14:paraId="2CE44B75" w14:textId="77777777" w:rsidTr="00AF0ADF">
        <w:trPr>
          <w:trHeight w:val="240"/>
        </w:trPr>
        <w:tc>
          <w:tcPr>
            <w:tcW w:w="5000" w:type="pct"/>
            <w:gridSpan w:val="10"/>
            <w:shd w:val="clear" w:color="auto" w:fill="auto"/>
            <w:noWrap/>
            <w:hideMark/>
          </w:tcPr>
          <w:p w14:paraId="27C432F9" w14:textId="5927FFD3" w:rsidR="00AF0ADF" w:rsidRPr="00D960DD" w:rsidRDefault="00AF0ADF" w:rsidP="00AF0ADF">
            <w:pPr>
              <w:rPr>
                <w:rFonts w:cstheme="minorHAnsi"/>
                <w:sz w:val="20"/>
                <w:szCs w:val="20"/>
              </w:rPr>
            </w:pPr>
            <w:r w:rsidRPr="00D960DD">
              <w:rPr>
                <w:rFonts w:cstheme="minorHAnsi"/>
                <w:b/>
                <w:bCs/>
                <w:color w:val="000000"/>
                <w:sz w:val="20"/>
                <w:szCs w:val="20"/>
              </w:rPr>
              <w:t xml:space="preserve">Mother's </w:t>
            </w:r>
            <w:r w:rsidR="00FB0C38">
              <w:rPr>
                <w:rFonts w:cstheme="minorHAnsi"/>
                <w:b/>
                <w:bCs/>
                <w:color w:val="000000"/>
                <w:sz w:val="20"/>
                <w:szCs w:val="20"/>
              </w:rPr>
              <w:t>Indig</w:t>
            </w:r>
            <w:r w:rsidRPr="00D960DD">
              <w:rPr>
                <w:rFonts w:cstheme="minorHAnsi"/>
                <w:b/>
                <w:bCs/>
                <w:color w:val="000000"/>
                <w:sz w:val="20"/>
                <w:szCs w:val="20"/>
              </w:rPr>
              <w:t>enous status</w:t>
            </w:r>
          </w:p>
        </w:tc>
      </w:tr>
      <w:tr w:rsidR="00AF0ADF" w:rsidRPr="00D960DD" w14:paraId="402EEAE6" w14:textId="77777777" w:rsidTr="00BD4A0E">
        <w:trPr>
          <w:trHeight w:val="240"/>
        </w:trPr>
        <w:tc>
          <w:tcPr>
            <w:tcW w:w="1539" w:type="pct"/>
            <w:shd w:val="clear" w:color="auto" w:fill="auto"/>
            <w:noWrap/>
            <w:hideMark/>
          </w:tcPr>
          <w:p w14:paraId="4D2F888B"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Indigenous</w:t>
            </w:r>
          </w:p>
        </w:tc>
        <w:tc>
          <w:tcPr>
            <w:tcW w:w="384" w:type="pct"/>
            <w:shd w:val="clear" w:color="auto" w:fill="auto"/>
            <w:noWrap/>
            <w:hideMark/>
          </w:tcPr>
          <w:p w14:paraId="3396097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50.5</w:t>
            </w:r>
          </w:p>
        </w:tc>
        <w:tc>
          <w:tcPr>
            <w:tcW w:w="384" w:type="pct"/>
            <w:shd w:val="clear" w:color="auto" w:fill="auto"/>
            <w:noWrap/>
            <w:hideMark/>
          </w:tcPr>
          <w:p w14:paraId="1DF5492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50.6</w:t>
            </w:r>
          </w:p>
        </w:tc>
        <w:tc>
          <w:tcPr>
            <w:tcW w:w="384" w:type="pct"/>
            <w:shd w:val="clear" w:color="auto" w:fill="auto"/>
            <w:noWrap/>
            <w:hideMark/>
          </w:tcPr>
          <w:p w14:paraId="66046F3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51.7</w:t>
            </w:r>
          </w:p>
        </w:tc>
        <w:tc>
          <w:tcPr>
            <w:tcW w:w="384" w:type="pct"/>
            <w:shd w:val="clear" w:color="auto" w:fill="auto"/>
            <w:noWrap/>
            <w:hideMark/>
          </w:tcPr>
          <w:p w14:paraId="532AF86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53.2</w:t>
            </w:r>
          </w:p>
        </w:tc>
        <w:tc>
          <w:tcPr>
            <w:tcW w:w="384" w:type="pct"/>
            <w:shd w:val="clear" w:color="auto" w:fill="auto"/>
            <w:noWrap/>
            <w:hideMark/>
          </w:tcPr>
          <w:p w14:paraId="3288717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56.6</w:t>
            </w:r>
          </w:p>
        </w:tc>
        <w:tc>
          <w:tcPr>
            <w:tcW w:w="384" w:type="pct"/>
            <w:shd w:val="clear" w:color="auto" w:fill="auto"/>
            <w:noWrap/>
            <w:hideMark/>
          </w:tcPr>
          <w:p w14:paraId="3774D6B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61.5</w:t>
            </w:r>
          </w:p>
        </w:tc>
        <w:tc>
          <w:tcPr>
            <w:tcW w:w="384" w:type="pct"/>
            <w:shd w:val="clear" w:color="auto" w:fill="auto"/>
            <w:noWrap/>
            <w:hideMark/>
          </w:tcPr>
          <w:p w14:paraId="185DFC1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62.9</w:t>
            </w:r>
          </w:p>
        </w:tc>
        <w:tc>
          <w:tcPr>
            <w:tcW w:w="384" w:type="pct"/>
            <w:shd w:val="clear" w:color="auto" w:fill="auto"/>
            <w:noWrap/>
            <w:hideMark/>
          </w:tcPr>
          <w:p w14:paraId="689C5DA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64.9</w:t>
            </w:r>
          </w:p>
        </w:tc>
        <w:tc>
          <w:tcPr>
            <w:tcW w:w="388" w:type="pct"/>
            <w:shd w:val="clear" w:color="auto" w:fill="auto"/>
            <w:noWrap/>
            <w:hideMark/>
          </w:tcPr>
          <w:p w14:paraId="51C2FB4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67.0</w:t>
            </w:r>
          </w:p>
        </w:tc>
      </w:tr>
      <w:tr w:rsidR="00AF0ADF" w:rsidRPr="00D960DD" w14:paraId="36AB3732" w14:textId="77777777" w:rsidTr="00BD4A0E">
        <w:trPr>
          <w:trHeight w:val="240"/>
        </w:trPr>
        <w:tc>
          <w:tcPr>
            <w:tcW w:w="1539" w:type="pct"/>
            <w:shd w:val="clear" w:color="auto" w:fill="auto"/>
            <w:noWrap/>
            <w:hideMark/>
          </w:tcPr>
          <w:p w14:paraId="62F6490D"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Non-Indigenous</w:t>
            </w:r>
          </w:p>
        </w:tc>
        <w:tc>
          <w:tcPr>
            <w:tcW w:w="384" w:type="pct"/>
            <w:shd w:val="clear" w:color="auto" w:fill="auto"/>
            <w:noWrap/>
            <w:hideMark/>
          </w:tcPr>
          <w:p w14:paraId="1D5D6D3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64.4</w:t>
            </w:r>
          </w:p>
        </w:tc>
        <w:tc>
          <w:tcPr>
            <w:tcW w:w="384" w:type="pct"/>
            <w:shd w:val="clear" w:color="auto" w:fill="auto"/>
            <w:noWrap/>
            <w:hideMark/>
          </w:tcPr>
          <w:p w14:paraId="2433834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61.4</w:t>
            </w:r>
          </w:p>
        </w:tc>
        <w:tc>
          <w:tcPr>
            <w:tcW w:w="384" w:type="pct"/>
            <w:shd w:val="clear" w:color="auto" w:fill="auto"/>
            <w:noWrap/>
            <w:hideMark/>
          </w:tcPr>
          <w:p w14:paraId="673F889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60.3</w:t>
            </w:r>
          </w:p>
        </w:tc>
        <w:tc>
          <w:tcPr>
            <w:tcW w:w="384" w:type="pct"/>
            <w:shd w:val="clear" w:color="auto" w:fill="auto"/>
            <w:noWrap/>
            <w:hideMark/>
          </w:tcPr>
          <w:p w14:paraId="0B67EE3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60.1</w:t>
            </w:r>
          </w:p>
        </w:tc>
        <w:tc>
          <w:tcPr>
            <w:tcW w:w="384" w:type="pct"/>
            <w:shd w:val="clear" w:color="auto" w:fill="auto"/>
            <w:noWrap/>
            <w:hideMark/>
          </w:tcPr>
          <w:p w14:paraId="2D2B446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63.1</w:t>
            </w:r>
          </w:p>
        </w:tc>
        <w:tc>
          <w:tcPr>
            <w:tcW w:w="384" w:type="pct"/>
            <w:shd w:val="clear" w:color="auto" w:fill="auto"/>
            <w:noWrap/>
            <w:hideMark/>
          </w:tcPr>
          <w:p w14:paraId="6FECA7C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67.2</w:t>
            </w:r>
          </w:p>
        </w:tc>
        <w:tc>
          <w:tcPr>
            <w:tcW w:w="384" w:type="pct"/>
            <w:shd w:val="clear" w:color="auto" w:fill="auto"/>
            <w:noWrap/>
            <w:hideMark/>
          </w:tcPr>
          <w:p w14:paraId="64EDF84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70.7</w:t>
            </w:r>
          </w:p>
        </w:tc>
        <w:tc>
          <w:tcPr>
            <w:tcW w:w="384" w:type="pct"/>
            <w:shd w:val="clear" w:color="auto" w:fill="auto"/>
            <w:noWrap/>
            <w:hideMark/>
          </w:tcPr>
          <w:p w14:paraId="185B8EF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73.0</w:t>
            </w:r>
          </w:p>
        </w:tc>
        <w:tc>
          <w:tcPr>
            <w:tcW w:w="388" w:type="pct"/>
            <w:shd w:val="clear" w:color="auto" w:fill="auto"/>
            <w:noWrap/>
            <w:hideMark/>
          </w:tcPr>
          <w:p w14:paraId="0B898B2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75.1</w:t>
            </w:r>
          </w:p>
        </w:tc>
      </w:tr>
      <w:tr w:rsidR="00AF0ADF" w:rsidRPr="00D960DD" w14:paraId="54AC71F9" w14:textId="77777777" w:rsidTr="00AF0ADF">
        <w:trPr>
          <w:trHeight w:val="240"/>
        </w:trPr>
        <w:tc>
          <w:tcPr>
            <w:tcW w:w="5000" w:type="pct"/>
            <w:gridSpan w:val="10"/>
            <w:shd w:val="clear" w:color="auto" w:fill="auto"/>
            <w:noWrap/>
            <w:hideMark/>
          </w:tcPr>
          <w:p w14:paraId="61715A92" w14:textId="77777777" w:rsidR="00AF0ADF" w:rsidRPr="00D960DD" w:rsidRDefault="00AF0ADF" w:rsidP="00AF0ADF">
            <w:pPr>
              <w:rPr>
                <w:rFonts w:cstheme="minorHAnsi"/>
                <w:sz w:val="20"/>
                <w:szCs w:val="20"/>
              </w:rPr>
            </w:pPr>
            <w:r w:rsidRPr="00D960DD">
              <w:rPr>
                <w:rFonts w:cstheme="minorHAnsi"/>
                <w:b/>
                <w:bCs/>
                <w:color w:val="000000"/>
                <w:sz w:val="20"/>
                <w:szCs w:val="20"/>
              </w:rPr>
              <w:t>Remoteness of mother's usual residence</w:t>
            </w:r>
          </w:p>
        </w:tc>
      </w:tr>
      <w:tr w:rsidR="00AF0ADF" w:rsidRPr="00D960DD" w14:paraId="5F56B23E" w14:textId="77777777" w:rsidTr="00BD4A0E">
        <w:trPr>
          <w:trHeight w:val="240"/>
        </w:trPr>
        <w:tc>
          <w:tcPr>
            <w:tcW w:w="1539" w:type="pct"/>
            <w:shd w:val="clear" w:color="auto" w:fill="auto"/>
            <w:noWrap/>
            <w:hideMark/>
          </w:tcPr>
          <w:p w14:paraId="769D3C9D"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Major cities</w:t>
            </w:r>
          </w:p>
        </w:tc>
        <w:tc>
          <w:tcPr>
            <w:tcW w:w="384" w:type="pct"/>
            <w:shd w:val="clear" w:color="auto" w:fill="auto"/>
            <w:noWrap/>
            <w:hideMark/>
          </w:tcPr>
          <w:p w14:paraId="092B471A" w14:textId="285690BE" w:rsidR="00AF0ADF" w:rsidRPr="00D960DD" w:rsidRDefault="00BD4A0E" w:rsidP="00AF0ADF">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5C5371D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61.2</w:t>
            </w:r>
          </w:p>
        </w:tc>
        <w:tc>
          <w:tcPr>
            <w:tcW w:w="384" w:type="pct"/>
            <w:shd w:val="clear" w:color="auto" w:fill="auto"/>
            <w:noWrap/>
            <w:hideMark/>
          </w:tcPr>
          <w:p w14:paraId="0843CE5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60.7</w:t>
            </w:r>
          </w:p>
        </w:tc>
        <w:tc>
          <w:tcPr>
            <w:tcW w:w="384" w:type="pct"/>
            <w:shd w:val="clear" w:color="auto" w:fill="auto"/>
            <w:noWrap/>
            <w:hideMark/>
          </w:tcPr>
          <w:p w14:paraId="2C502CD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60.6</w:t>
            </w:r>
          </w:p>
        </w:tc>
        <w:tc>
          <w:tcPr>
            <w:tcW w:w="384" w:type="pct"/>
            <w:shd w:val="clear" w:color="auto" w:fill="auto"/>
            <w:noWrap/>
            <w:hideMark/>
          </w:tcPr>
          <w:p w14:paraId="1AD4D4E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64.0</w:t>
            </w:r>
          </w:p>
        </w:tc>
        <w:tc>
          <w:tcPr>
            <w:tcW w:w="384" w:type="pct"/>
            <w:shd w:val="clear" w:color="auto" w:fill="auto"/>
            <w:noWrap/>
            <w:hideMark/>
          </w:tcPr>
          <w:p w14:paraId="71F95100"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67.3</w:t>
            </w:r>
          </w:p>
        </w:tc>
        <w:tc>
          <w:tcPr>
            <w:tcW w:w="384" w:type="pct"/>
            <w:shd w:val="clear" w:color="auto" w:fill="auto"/>
            <w:noWrap/>
            <w:hideMark/>
          </w:tcPr>
          <w:p w14:paraId="04A5631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71.5</w:t>
            </w:r>
          </w:p>
        </w:tc>
        <w:tc>
          <w:tcPr>
            <w:tcW w:w="384" w:type="pct"/>
            <w:shd w:val="clear" w:color="auto" w:fill="auto"/>
            <w:noWrap/>
            <w:hideMark/>
          </w:tcPr>
          <w:p w14:paraId="57D7270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73.8</w:t>
            </w:r>
          </w:p>
        </w:tc>
        <w:tc>
          <w:tcPr>
            <w:tcW w:w="388" w:type="pct"/>
            <w:shd w:val="clear" w:color="auto" w:fill="auto"/>
            <w:noWrap/>
            <w:hideMark/>
          </w:tcPr>
          <w:p w14:paraId="7400D77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76.2</w:t>
            </w:r>
          </w:p>
        </w:tc>
      </w:tr>
      <w:tr w:rsidR="00AF0ADF" w:rsidRPr="00D960DD" w14:paraId="43E11411" w14:textId="77777777" w:rsidTr="00BD4A0E">
        <w:trPr>
          <w:trHeight w:val="240"/>
        </w:trPr>
        <w:tc>
          <w:tcPr>
            <w:tcW w:w="1539" w:type="pct"/>
            <w:shd w:val="clear" w:color="auto" w:fill="auto"/>
            <w:noWrap/>
            <w:hideMark/>
          </w:tcPr>
          <w:p w14:paraId="1C00CF6A"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Inner regional</w:t>
            </w:r>
          </w:p>
        </w:tc>
        <w:tc>
          <w:tcPr>
            <w:tcW w:w="384" w:type="pct"/>
            <w:shd w:val="clear" w:color="auto" w:fill="auto"/>
            <w:noWrap/>
            <w:hideMark/>
          </w:tcPr>
          <w:p w14:paraId="6621D5A5" w14:textId="3DB6C1D9" w:rsidR="00AF0ADF" w:rsidRPr="00D960DD" w:rsidRDefault="00BD4A0E" w:rsidP="00AF0ADF">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3B0E075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60.3</w:t>
            </w:r>
          </w:p>
        </w:tc>
        <w:tc>
          <w:tcPr>
            <w:tcW w:w="384" w:type="pct"/>
            <w:shd w:val="clear" w:color="auto" w:fill="auto"/>
            <w:noWrap/>
            <w:hideMark/>
          </w:tcPr>
          <w:p w14:paraId="243D4E4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60.2</w:t>
            </w:r>
          </w:p>
        </w:tc>
        <w:tc>
          <w:tcPr>
            <w:tcW w:w="384" w:type="pct"/>
            <w:shd w:val="clear" w:color="auto" w:fill="auto"/>
            <w:noWrap/>
            <w:hideMark/>
          </w:tcPr>
          <w:p w14:paraId="5EEFFAC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60.6</w:t>
            </w:r>
          </w:p>
        </w:tc>
        <w:tc>
          <w:tcPr>
            <w:tcW w:w="384" w:type="pct"/>
            <w:shd w:val="clear" w:color="auto" w:fill="auto"/>
            <w:noWrap/>
            <w:hideMark/>
          </w:tcPr>
          <w:p w14:paraId="3774F5C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62.6</w:t>
            </w:r>
          </w:p>
        </w:tc>
        <w:tc>
          <w:tcPr>
            <w:tcW w:w="384" w:type="pct"/>
            <w:shd w:val="clear" w:color="auto" w:fill="auto"/>
            <w:noWrap/>
            <w:hideMark/>
          </w:tcPr>
          <w:p w14:paraId="1D06417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70.0</w:t>
            </w:r>
          </w:p>
        </w:tc>
        <w:tc>
          <w:tcPr>
            <w:tcW w:w="384" w:type="pct"/>
            <w:shd w:val="clear" w:color="auto" w:fill="auto"/>
            <w:noWrap/>
            <w:hideMark/>
          </w:tcPr>
          <w:p w14:paraId="140B42F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73.5</w:t>
            </w:r>
          </w:p>
        </w:tc>
        <w:tc>
          <w:tcPr>
            <w:tcW w:w="384" w:type="pct"/>
            <w:shd w:val="clear" w:color="auto" w:fill="auto"/>
            <w:noWrap/>
            <w:hideMark/>
          </w:tcPr>
          <w:p w14:paraId="0F14961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75.0</w:t>
            </w:r>
          </w:p>
        </w:tc>
        <w:tc>
          <w:tcPr>
            <w:tcW w:w="388" w:type="pct"/>
            <w:shd w:val="clear" w:color="auto" w:fill="auto"/>
            <w:noWrap/>
            <w:hideMark/>
          </w:tcPr>
          <w:p w14:paraId="23CE7EB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77.8</w:t>
            </w:r>
          </w:p>
        </w:tc>
      </w:tr>
      <w:tr w:rsidR="00AF0ADF" w:rsidRPr="00D960DD" w14:paraId="0AC73F74" w14:textId="77777777" w:rsidTr="00BD4A0E">
        <w:trPr>
          <w:trHeight w:val="240"/>
        </w:trPr>
        <w:tc>
          <w:tcPr>
            <w:tcW w:w="1539" w:type="pct"/>
            <w:shd w:val="clear" w:color="auto" w:fill="auto"/>
            <w:noWrap/>
            <w:hideMark/>
          </w:tcPr>
          <w:p w14:paraId="2CCBB03C"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Outer regional</w:t>
            </w:r>
          </w:p>
        </w:tc>
        <w:tc>
          <w:tcPr>
            <w:tcW w:w="384" w:type="pct"/>
            <w:shd w:val="clear" w:color="auto" w:fill="auto"/>
            <w:noWrap/>
            <w:hideMark/>
          </w:tcPr>
          <w:p w14:paraId="1D34C265" w14:textId="3BBA7662" w:rsidR="00AF0ADF" w:rsidRPr="00D960DD" w:rsidRDefault="00BD4A0E" w:rsidP="00AF0ADF">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0C1252F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70.7</w:t>
            </w:r>
          </w:p>
        </w:tc>
        <w:tc>
          <w:tcPr>
            <w:tcW w:w="384" w:type="pct"/>
            <w:shd w:val="clear" w:color="auto" w:fill="auto"/>
            <w:noWrap/>
            <w:hideMark/>
          </w:tcPr>
          <w:p w14:paraId="3604AE8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71.8</w:t>
            </w:r>
          </w:p>
        </w:tc>
        <w:tc>
          <w:tcPr>
            <w:tcW w:w="384" w:type="pct"/>
            <w:shd w:val="clear" w:color="auto" w:fill="auto"/>
            <w:noWrap/>
            <w:hideMark/>
          </w:tcPr>
          <w:p w14:paraId="6CA78B9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71.2</w:t>
            </w:r>
          </w:p>
        </w:tc>
        <w:tc>
          <w:tcPr>
            <w:tcW w:w="384" w:type="pct"/>
            <w:shd w:val="clear" w:color="auto" w:fill="auto"/>
            <w:noWrap/>
            <w:hideMark/>
          </w:tcPr>
          <w:p w14:paraId="72A2FBF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72.7</w:t>
            </w:r>
          </w:p>
        </w:tc>
        <w:tc>
          <w:tcPr>
            <w:tcW w:w="384" w:type="pct"/>
            <w:shd w:val="clear" w:color="auto" w:fill="auto"/>
            <w:noWrap/>
            <w:hideMark/>
          </w:tcPr>
          <w:p w14:paraId="71A82F8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76.4</w:t>
            </w:r>
          </w:p>
        </w:tc>
        <w:tc>
          <w:tcPr>
            <w:tcW w:w="384" w:type="pct"/>
            <w:shd w:val="clear" w:color="auto" w:fill="auto"/>
            <w:noWrap/>
            <w:hideMark/>
          </w:tcPr>
          <w:p w14:paraId="5C344C4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73.5</w:t>
            </w:r>
          </w:p>
        </w:tc>
        <w:tc>
          <w:tcPr>
            <w:tcW w:w="384" w:type="pct"/>
            <w:shd w:val="clear" w:color="auto" w:fill="auto"/>
            <w:noWrap/>
            <w:hideMark/>
          </w:tcPr>
          <w:p w14:paraId="5D5FDBF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76.4</w:t>
            </w:r>
          </w:p>
        </w:tc>
        <w:tc>
          <w:tcPr>
            <w:tcW w:w="388" w:type="pct"/>
            <w:shd w:val="clear" w:color="auto" w:fill="auto"/>
            <w:noWrap/>
            <w:hideMark/>
          </w:tcPr>
          <w:p w14:paraId="41879E0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79.2</w:t>
            </w:r>
          </w:p>
        </w:tc>
      </w:tr>
      <w:tr w:rsidR="00AF0ADF" w:rsidRPr="00D960DD" w14:paraId="3F20DEC6" w14:textId="77777777" w:rsidTr="00BD4A0E">
        <w:trPr>
          <w:trHeight w:val="240"/>
        </w:trPr>
        <w:tc>
          <w:tcPr>
            <w:tcW w:w="1539" w:type="pct"/>
            <w:shd w:val="clear" w:color="auto" w:fill="auto"/>
            <w:noWrap/>
            <w:hideMark/>
          </w:tcPr>
          <w:p w14:paraId="18D9F9BE"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Remote</w:t>
            </w:r>
          </w:p>
        </w:tc>
        <w:tc>
          <w:tcPr>
            <w:tcW w:w="384" w:type="pct"/>
            <w:shd w:val="clear" w:color="auto" w:fill="auto"/>
            <w:noWrap/>
            <w:hideMark/>
          </w:tcPr>
          <w:p w14:paraId="7D4EB521" w14:textId="3C00327F" w:rsidR="00AF0ADF" w:rsidRPr="00D960DD" w:rsidRDefault="00BD4A0E" w:rsidP="00AF0ADF">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4F879B4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64.9</w:t>
            </w:r>
          </w:p>
        </w:tc>
        <w:tc>
          <w:tcPr>
            <w:tcW w:w="384" w:type="pct"/>
            <w:shd w:val="clear" w:color="auto" w:fill="auto"/>
            <w:noWrap/>
            <w:hideMark/>
          </w:tcPr>
          <w:p w14:paraId="205D39B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69.0</w:t>
            </w:r>
          </w:p>
        </w:tc>
        <w:tc>
          <w:tcPr>
            <w:tcW w:w="384" w:type="pct"/>
            <w:shd w:val="clear" w:color="auto" w:fill="auto"/>
            <w:noWrap/>
            <w:hideMark/>
          </w:tcPr>
          <w:p w14:paraId="337C783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65.6</w:t>
            </w:r>
          </w:p>
        </w:tc>
        <w:tc>
          <w:tcPr>
            <w:tcW w:w="384" w:type="pct"/>
            <w:shd w:val="clear" w:color="auto" w:fill="auto"/>
            <w:noWrap/>
            <w:hideMark/>
          </w:tcPr>
          <w:p w14:paraId="491D12E0"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71.0</w:t>
            </w:r>
          </w:p>
        </w:tc>
        <w:tc>
          <w:tcPr>
            <w:tcW w:w="384" w:type="pct"/>
            <w:shd w:val="clear" w:color="auto" w:fill="auto"/>
            <w:noWrap/>
            <w:hideMark/>
          </w:tcPr>
          <w:p w14:paraId="7B69F1F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74.1</w:t>
            </w:r>
          </w:p>
        </w:tc>
        <w:tc>
          <w:tcPr>
            <w:tcW w:w="384" w:type="pct"/>
            <w:shd w:val="clear" w:color="auto" w:fill="auto"/>
            <w:noWrap/>
            <w:hideMark/>
          </w:tcPr>
          <w:p w14:paraId="2A75763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73.0</w:t>
            </w:r>
          </w:p>
        </w:tc>
        <w:tc>
          <w:tcPr>
            <w:tcW w:w="384" w:type="pct"/>
            <w:shd w:val="clear" w:color="auto" w:fill="auto"/>
            <w:noWrap/>
            <w:hideMark/>
          </w:tcPr>
          <w:p w14:paraId="7744E6D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77.0</w:t>
            </w:r>
          </w:p>
        </w:tc>
        <w:tc>
          <w:tcPr>
            <w:tcW w:w="388" w:type="pct"/>
            <w:shd w:val="clear" w:color="auto" w:fill="auto"/>
            <w:noWrap/>
            <w:hideMark/>
          </w:tcPr>
          <w:p w14:paraId="295864D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73.4</w:t>
            </w:r>
          </w:p>
        </w:tc>
      </w:tr>
      <w:tr w:rsidR="00AF0ADF" w:rsidRPr="00D960DD" w14:paraId="041192FB" w14:textId="77777777" w:rsidTr="00BD4A0E">
        <w:trPr>
          <w:trHeight w:val="240"/>
        </w:trPr>
        <w:tc>
          <w:tcPr>
            <w:tcW w:w="1539" w:type="pct"/>
            <w:shd w:val="clear" w:color="auto" w:fill="auto"/>
            <w:noWrap/>
            <w:hideMark/>
          </w:tcPr>
          <w:p w14:paraId="6B0F2FE3"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Very remote</w:t>
            </w:r>
          </w:p>
        </w:tc>
        <w:tc>
          <w:tcPr>
            <w:tcW w:w="384" w:type="pct"/>
            <w:shd w:val="clear" w:color="auto" w:fill="auto"/>
            <w:noWrap/>
            <w:hideMark/>
          </w:tcPr>
          <w:p w14:paraId="40AD0F20" w14:textId="26EDB2E5" w:rsidR="00AF0ADF" w:rsidRPr="00D960DD" w:rsidRDefault="00BD4A0E" w:rsidP="00AF0ADF">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4A2A1B9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60.4</w:t>
            </w:r>
          </w:p>
        </w:tc>
        <w:tc>
          <w:tcPr>
            <w:tcW w:w="384" w:type="pct"/>
            <w:shd w:val="clear" w:color="auto" w:fill="auto"/>
            <w:noWrap/>
            <w:hideMark/>
          </w:tcPr>
          <w:p w14:paraId="4C72197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64.3</w:t>
            </w:r>
          </w:p>
        </w:tc>
        <w:tc>
          <w:tcPr>
            <w:tcW w:w="384" w:type="pct"/>
            <w:shd w:val="clear" w:color="auto" w:fill="auto"/>
            <w:noWrap/>
            <w:hideMark/>
          </w:tcPr>
          <w:p w14:paraId="5047FCB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60.8</w:t>
            </w:r>
          </w:p>
        </w:tc>
        <w:tc>
          <w:tcPr>
            <w:tcW w:w="384" w:type="pct"/>
            <w:shd w:val="clear" w:color="auto" w:fill="auto"/>
            <w:noWrap/>
            <w:hideMark/>
          </w:tcPr>
          <w:p w14:paraId="74B6D670"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65.1</w:t>
            </w:r>
          </w:p>
        </w:tc>
        <w:tc>
          <w:tcPr>
            <w:tcW w:w="384" w:type="pct"/>
            <w:shd w:val="clear" w:color="auto" w:fill="auto"/>
            <w:noWrap/>
            <w:hideMark/>
          </w:tcPr>
          <w:p w14:paraId="254D7E5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66.4</w:t>
            </w:r>
          </w:p>
        </w:tc>
        <w:tc>
          <w:tcPr>
            <w:tcW w:w="384" w:type="pct"/>
            <w:shd w:val="clear" w:color="auto" w:fill="auto"/>
            <w:noWrap/>
            <w:hideMark/>
          </w:tcPr>
          <w:p w14:paraId="28F4F95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68.5</w:t>
            </w:r>
          </w:p>
        </w:tc>
        <w:tc>
          <w:tcPr>
            <w:tcW w:w="384" w:type="pct"/>
            <w:shd w:val="clear" w:color="auto" w:fill="auto"/>
            <w:noWrap/>
            <w:hideMark/>
          </w:tcPr>
          <w:p w14:paraId="590D823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69.5</w:t>
            </w:r>
          </w:p>
        </w:tc>
        <w:tc>
          <w:tcPr>
            <w:tcW w:w="388" w:type="pct"/>
            <w:shd w:val="clear" w:color="auto" w:fill="auto"/>
            <w:noWrap/>
            <w:hideMark/>
          </w:tcPr>
          <w:p w14:paraId="7649B0D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69.1</w:t>
            </w:r>
          </w:p>
        </w:tc>
      </w:tr>
      <w:tr w:rsidR="00AF0ADF" w:rsidRPr="00D960DD" w14:paraId="0BA0E58E" w14:textId="77777777" w:rsidTr="00AF0ADF">
        <w:trPr>
          <w:trHeight w:val="240"/>
        </w:trPr>
        <w:tc>
          <w:tcPr>
            <w:tcW w:w="5000" w:type="pct"/>
            <w:gridSpan w:val="10"/>
            <w:shd w:val="clear" w:color="auto" w:fill="auto"/>
            <w:noWrap/>
            <w:hideMark/>
          </w:tcPr>
          <w:p w14:paraId="31405245" w14:textId="77777777" w:rsidR="00AF0ADF" w:rsidRPr="00D960DD" w:rsidRDefault="00AF0ADF" w:rsidP="00AF0ADF">
            <w:pPr>
              <w:rPr>
                <w:rFonts w:cstheme="minorHAnsi"/>
                <w:sz w:val="20"/>
                <w:szCs w:val="20"/>
              </w:rPr>
            </w:pPr>
            <w:r w:rsidRPr="00D960DD">
              <w:rPr>
                <w:rFonts w:cstheme="minorHAnsi"/>
                <w:b/>
                <w:bCs/>
                <w:color w:val="000000"/>
                <w:sz w:val="20"/>
                <w:szCs w:val="20"/>
              </w:rPr>
              <w:t>Disadvantage quintile of mother's usual residence</w:t>
            </w:r>
          </w:p>
        </w:tc>
      </w:tr>
      <w:tr w:rsidR="00BD4A0E" w:rsidRPr="00D960DD" w14:paraId="13550777" w14:textId="77777777" w:rsidTr="00BD4A0E">
        <w:trPr>
          <w:trHeight w:val="240"/>
        </w:trPr>
        <w:tc>
          <w:tcPr>
            <w:tcW w:w="1539" w:type="pct"/>
            <w:shd w:val="clear" w:color="auto" w:fill="auto"/>
            <w:noWrap/>
            <w:hideMark/>
          </w:tcPr>
          <w:p w14:paraId="36932CD0"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Q1 - most disadvantaged</w:t>
            </w:r>
          </w:p>
        </w:tc>
        <w:tc>
          <w:tcPr>
            <w:tcW w:w="384" w:type="pct"/>
            <w:shd w:val="clear" w:color="auto" w:fill="auto"/>
            <w:noWrap/>
            <w:hideMark/>
          </w:tcPr>
          <w:p w14:paraId="472AF231" w14:textId="1E19C3F7" w:rsidR="00BD4A0E" w:rsidRPr="00D960DD" w:rsidRDefault="00BD4A0E" w:rsidP="00BD4A0E">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559A185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55.4</w:t>
            </w:r>
          </w:p>
        </w:tc>
        <w:tc>
          <w:tcPr>
            <w:tcW w:w="384" w:type="pct"/>
            <w:shd w:val="clear" w:color="auto" w:fill="auto"/>
            <w:noWrap/>
            <w:hideMark/>
          </w:tcPr>
          <w:p w14:paraId="13A4B9F1"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54.8</w:t>
            </w:r>
          </w:p>
        </w:tc>
        <w:tc>
          <w:tcPr>
            <w:tcW w:w="384" w:type="pct"/>
            <w:shd w:val="clear" w:color="auto" w:fill="auto"/>
            <w:noWrap/>
            <w:hideMark/>
          </w:tcPr>
          <w:p w14:paraId="317E2174"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54.8</w:t>
            </w:r>
          </w:p>
        </w:tc>
        <w:tc>
          <w:tcPr>
            <w:tcW w:w="384" w:type="pct"/>
            <w:shd w:val="clear" w:color="auto" w:fill="auto"/>
            <w:noWrap/>
            <w:hideMark/>
          </w:tcPr>
          <w:p w14:paraId="4ED61CE2"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58.6</w:t>
            </w:r>
          </w:p>
        </w:tc>
        <w:tc>
          <w:tcPr>
            <w:tcW w:w="384" w:type="pct"/>
            <w:shd w:val="clear" w:color="auto" w:fill="auto"/>
            <w:noWrap/>
            <w:hideMark/>
          </w:tcPr>
          <w:p w14:paraId="071ED75B"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63.5</w:t>
            </w:r>
          </w:p>
        </w:tc>
        <w:tc>
          <w:tcPr>
            <w:tcW w:w="384" w:type="pct"/>
            <w:shd w:val="clear" w:color="auto" w:fill="auto"/>
            <w:noWrap/>
            <w:hideMark/>
          </w:tcPr>
          <w:p w14:paraId="45387BF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67.2</w:t>
            </w:r>
          </w:p>
        </w:tc>
        <w:tc>
          <w:tcPr>
            <w:tcW w:w="384" w:type="pct"/>
            <w:shd w:val="clear" w:color="auto" w:fill="auto"/>
            <w:noWrap/>
            <w:hideMark/>
          </w:tcPr>
          <w:p w14:paraId="22F7F47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70.3</w:t>
            </w:r>
          </w:p>
        </w:tc>
        <w:tc>
          <w:tcPr>
            <w:tcW w:w="388" w:type="pct"/>
            <w:shd w:val="clear" w:color="auto" w:fill="auto"/>
            <w:noWrap/>
            <w:hideMark/>
          </w:tcPr>
          <w:p w14:paraId="1D6A553F"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73.7</w:t>
            </w:r>
          </w:p>
        </w:tc>
      </w:tr>
      <w:tr w:rsidR="00BD4A0E" w:rsidRPr="00D960DD" w14:paraId="2900FFB8" w14:textId="77777777" w:rsidTr="00BD4A0E">
        <w:trPr>
          <w:trHeight w:val="240"/>
        </w:trPr>
        <w:tc>
          <w:tcPr>
            <w:tcW w:w="1539" w:type="pct"/>
            <w:shd w:val="clear" w:color="auto" w:fill="auto"/>
            <w:noWrap/>
            <w:hideMark/>
          </w:tcPr>
          <w:p w14:paraId="400C0ED6"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Q2</w:t>
            </w:r>
          </w:p>
        </w:tc>
        <w:tc>
          <w:tcPr>
            <w:tcW w:w="384" w:type="pct"/>
            <w:shd w:val="clear" w:color="auto" w:fill="auto"/>
            <w:noWrap/>
            <w:hideMark/>
          </w:tcPr>
          <w:p w14:paraId="29A200D5" w14:textId="5D7F92B3" w:rsidR="00BD4A0E" w:rsidRPr="00D960DD" w:rsidRDefault="00BD4A0E" w:rsidP="00BD4A0E">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4706C41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60.8</w:t>
            </w:r>
          </w:p>
        </w:tc>
        <w:tc>
          <w:tcPr>
            <w:tcW w:w="384" w:type="pct"/>
            <w:shd w:val="clear" w:color="auto" w:fill="auto"/>
            <w:noWrap/>
            <w:hideMark/>
          </w:tcPr>
          <w:p w14:paraId="699DA8F4"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60.2</w:t>
            </w:r>
          </w:p>
        </w:tc>
        <w:tc>
          <w:tcPr>
            <w:tcW w:w="384" w:type="pct"/>
            <w:shd w:val="clear" w:color="auto" w:fill="auto"/>
            <w:noWrap/>
            <w:hideMark/>
          </w:tcPr>
          <w:p w14:paraId="6067897B"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59.6</w:t>
            </w:r>
          </w:p>
        </w:tc>
        <w:tc>
          <w:tcPr>
            <w:tcW w:w="384" w:type="pct"/>
            <w:shd w:val="clear" w:color="auto" w:fill="auto"/>
            <w:noWrap/>
            <w:hideMark/>
          </w:tcPr>
          <w:p w14:paraId="7F1222A6"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63.1</w:t>
            </w:r>
          </w:p>
        </w:tc>
        <w:tc>
          <w:tcPr>
            <w:tcW w:w="384" w:type="pct"/>
            <w:shd w:val="clear" w:color="auto" w:fill="auto"/>
            <w:noWrap/>
            <w:hideMark/>
          </w:tcPr>
          <w:p w14:paraId="75C83AE1"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67.5</w:t>
            </w:r>
          </w:p>
        </w:tc>
        <w:tc>
          <w:tcPr>
            <w:tcW w:w="384" w:type="pct"/>
            <w:shd w:val="clear" w:color="auto" w:fill="auto"/>
            <w:noWrap/>
            <w:hideMark/>
          </w:tcPr>
          <w:p w14:paraId="1D87BE41"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69.9</w:t>
            </w:r>
          </w:p>
        </w:tc>
        <w:tc>
          <w:tcPr>
            <w:tcW w:w="384" w:type="pct"/>
            <w:shd w:val="clear" w:color="auto" w:fill="auto"/>
            <w:noWrap/>
            <w:hideMark/>
          </w:tcPr>
          <w:p w14:paraId="7B9A887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71.9</w:t>
            </w:r>
          </w:p>
        </w:tc>
        <w:tc>
          <w:tcPr>
            <w:tcW w:w="388" w:type="pct"/>
            <w:shd w:val="clear" w:color="auto" w:fill="auto"/>
            <w:noWrap/>
            <w:hideMark/>
          </w:tcPr>
          <w:p w14:paraId="72726105"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75.7</w:t>
            </w:r>
          </w:p>
        </w:tc>
      </w:tr>
      <w:tr w:rsidR="00BD4A0E" w:rsidRPr="00D960DD" w14:paraId="44608C23" w14:textId="77777777" w:rsidTr="00BD4A0E">
        <w:trPr>
          <w:trHeight w:val="240"/>
        </w:trPr>
        <w:tc>
          <w:tcPr>
            <w:tcW w:w="1539" w:type="pct"/>
            <w:shd w:val="clear" w:color="auto" w:fill="auto"/>
            <w:noWrap/>
            <w:hideMark/>
          </w:tcPr>
          <w:p w14:paraId="265EF5E9"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Q3</w:t>
            </w:r>
          </w:p>
        </w:tc>
        <w:tc>
          <w:tcPr>
            <w:tcW w:w="384" w:type="pct"/>
            <w:shd w:val="clear" w:color="auto" w:fill="auto"/>
            <w:noWrap/>
            <w:hideMark/>
          </w:tcPr>
          <w:p w14:paraId="240CAABC" w14:textId="022BD12C" w:rsidR="00BD4A0E" w:rsidRPr="00D960DD" w:rsidRDefault="00BD4A0E" w:rsidP="00BD4A0E">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14FEC5E4"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61.1</w:t>
            </w:r>
          </w:p>
        </w:tc>
        <w:tc>
          <w:tcPr>
            <w:tcW w:w="384" w:type="pct"/>
            <w:shd w:val="clear" w:color="auto" w:fill="auto"/>
            <w:noWrap/>
            <w:hideMark/>
          </w:tcPr>
          <w:p w14:paraId="0CFA7C45"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61.6</w:t>
            </w:r>
          </w:p>
        </w:tc>
        <w:tc>
          <w:tcPr>
            <w:tcW w:w="384" w:type="pct"/>
            <w:shd w:val="clear" w:color="auto" w:fill="auto"/>
            <w:noWrap/>
            <w:hideMark/>
          </w:tcPr>
          <w:p w14:paraId="007E1EA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61.6</w:t>
            </w:r>
          </w:p>
        </w:tc>
        <w:tc>
          <w:tcPr>
            <w:tcW w:w="384" w:type="pct"/>
            <w:shd w:val="clear" w:color="auto" w:fill="auto"/>
            <w:noWrap/>
            <w:hideMark/>
          </w:tcPr>
          <w:p w14:paraId="016A1634"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64.5</w:t>
            </w:r>
          </w:p>
        </w:tc>
        <w:tc>
          <w:tcPr>
            <w:tcW w:w="384" w:type="pct"/>
            <w:shd w:val="clear" w:color="auto" w:fill="auto"/>
            <w:noWrap/>
            <w:hideMark/>
          </w:tcPr>
          <w:p w14:paraId="5DE28B34"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69.2</w:t>
            </w:r>
          </w:p>
        </w:tc>
        <w:tc>
          <w:tcPr>
            <w:tcW w:w="384" w:type="pct"/>
            <w:shd w:val="clear" w:color="auto" w:fill="auto"/>
            <w:noWrap/>
            <w:hideMark/>
          </w:tcPr>
          <w:p w14:paraId="570325B6"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72.4</w:t>
            </w:r>
          </w:p>
        </w:tc>
        <w:tc>
          <w:tcPr>
            <w:tcW w:w="384" w:type="pct"/>
            <w:shd w:val="clear" w:color="auto" w:fill="auto"/>
            <w:noWrap/>
            <w:hideMark/>
          </w:tcPr>
          <w:p w14:paraId="2ECAA437"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74.4</w:t>
            </w:r>
          </w:p>
        </w:tc>
        <w:tc>
          <w:tcPr>
            <w:tcW w:w="388" w:type="pct"/>
            <w:shd w:val="clear" w:color="auto" w:fill="auto"/>
            <w:noWrap/>
            <w:hideMark/>
          </w:tcPr>
          <w:p w14:paraId="2F0A9771"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76.9</w:t>
            </w:r>
          </w:p>
        </w:tc>
      </w:tr>
      <w:tr w:rsidR="00BD4A0E" w:rsidRPr="00D960DD" w14:paraId="19EF80A4" w14:textId="77777777" w:rsidTr="00BD4A0E">
        <w:trPr>
          <w:trHeight w:val="240"/>
        </w:trPr>
        <w:tc>
          <w:tcPr>
            <w:tcW w:w="1539" w:type="pct"/>
            <w:shd w:val="clear" w:color="auto" w:fill="auto"/>
            <w:noWrap/>
            <w:hideMark/>
          </w:tcPr>
          <w:p w14:paraId="46ECFC7F"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Q4</w:t>
            </w:r>
          </w:p>
        </w:tc>
        <w:tc>
          <w:tcPr>
            <w:tcW w:w="384" w:type="pct"/>
            <w:shd w:val="clear" w:color="auto" w:fill="auto"/>
            <w:noWrap/>
            <w:hideMark/>
          </w:tcPr>
          <w:p w14:paraId="0C9F6F8D" w14:textId="660426ED" w:rsidR="00BD4A0E" w:rsidRPr="00D960DD" w:rsidRDefault="00BD4A0E" w:rsidP="00BD4A0E">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5B873EC6"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64.2</w:t>
            </w:r>
          </w:p>
        </w:tc>
        <w:tc>
          <w:tcPr>
            <w:tcW w:w="384" w:type="pct"/>
            <w:shd w:val="clear" w:color="auto" w:fill="auto"/>
            <w:noWrap/>
            <w:hideMark/>
          </w:tcPr>
          <w:p w14:paraId="6E8027DD"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64.7</w:t>
            </w:r>
          </w:p>
        </w:tc>
        <w:tc>
          <w:tcPr>
            <w:tcW w:w="384" w:type="pct"/>
            <w:shd w:val="clear" w:color="auto" w:fill="auto"/>
            <w:noWrap/>
            <w:hideMark/>
          </w:tcPr>
          <w:p w14:paraId="458645BE"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64.5</w:t>
            </w:r>
          </w:p>
        </w:tc>
        <w:tc>
          <w:tcPr>
            <w:tcW w:w="384" w:type="pct"/>
            <w:shd w:val="clear" w:color="auto" w:fill="auto"/>
            <w:noWrap/>
            <w:hideMark/>
          </w:tcPr>
          <w:p w14:paraId="4B2E589F"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67.4</w:t>
            </w:r>
          </w:p>
        </w:tc>
        <w:tc>
          <w:tcPr>
            <w:tcW w:w="384" w:type="pct"/>
            <w:shd w:val="clear" w:color="auto" w:fill="auto"/>
            <w:noWrap/>
            <w:hideMark/>
          </w:tcPr>
          <w:p w14:paraId="4C0ABA5B"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71.0</w:t>
            </w:r>
          </w:p>
        </w:tc>
        <w:tc>
          <w:tcPr>
            <w:tcW w:w="384" w:type="pct"/>
            <w:shd w:val="clear" w:color="auto" w:fill="auto"/>
            <w:noWrap/>
            <w:hideMark/>
          </w:tcPr>
          <w:p w14:paraId="529C12CB"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75.1</w:t>
            </w:r>
          </w:p>
        </w:tc>
        <w:tc>
          <w:tcPr>
            <w:tcW w:w="384" w:type="pct"/>
            <w:shd w:val="clear" w:color="auto" w:fill="auto"/>
            <w:noWrap/>
            <w:hideMark/>
          </w:tcPr>
          <w:p w14:paraId="4889D880"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77.4</w:t>
            </w:r>
          </w:p>
        </w:tc>
        <w:tc>
          <w:tcPr>
            <w:tcW w:w="388" w:type="pct"/>
            <w:shd w:val="clear" w:color="auto" w:fill="auto"/>
            <w:noWrap/>
            <w:hideMark/>
          </w:tcPr>
          <w:p w14:paraId="6B438FC6"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78.4</w:t>
            </w:r>
          </w:p>
        </w:tc>
      </w:tr>
      <w:tr w:rsidR="00BD4A0E" w:rsidRPr="00D960DD" w14:paraId="1EA88157" w14:textId="77777777" w:rsidTr="00BD4A0E">
        <w:trPr>
          <w:trHeight w:val="240"/>
        </w:trPr>
        <w:tc>
          <w:tcPr>
            <w:tcW w:w="1539" w:type="pct"/>
            <w:shd w:val="clear" w:color="auto" w:fill="auto"/>
            <w:noWrap/>
            <w:hideMark/>
          </w:tcPr>
          <w:p w14:paraId="1426C1A9"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Q5 - least disadvantaged</w:t>
            </w:r>
          </w:p>
        </w:tc>
        <w:tc>
          <w:tcPr>
            <w:tcW w:w="384" w:type="pct"/>
            <w:shd w:val="clear" w:color="auto" w:fill="auto"/>
            <w:noWrap/>
            <w:hideMark/>
          </w:tcPr>
          <w:p w14:paraId="2DE03F12" w14:textId="485636CE" w:rsidR="00BD4A0E" w:rsidRPr="00D960DD" w:rsidRDefault="00BD4A0E" w:rsidP="00BD4A0E">
            <w:pPr>
              <w:ind w:firstLineChars="100" w:firstLine="200"/>
              <w:rPr>
                <w:rFonts w:cstheme="minorHAnsi"/>
                <w:color w:val="000000"/>
                <w:sz w:val="20"/>
                <w:szCs w:val="20"/>
              </w:rPr>
            </w:pPr>
            <w:r>
              <w:rPr>
                <w:rFonts w:cstheme="minorHAnsi"/>
                <w:color w:val="000000"/>
                <w:sz w:val="20"/>
                <w:szCs w:val="20"/>
              </w:rPr>
              <w:t>n.a.</w:t>
            </w:r>
          </w:p>
        </w:tc>
        <w:tc>
          <w:tcPr>
            <w:tcW w:w="384" w:type="pct"/>
            <w:shd w:val="clear" w:color="auto" w:fill="auto"/>
            <w:noWrap/>
            <w:hideMark/>
          </w:tcPr>
          <w:p w14:paraId="0EE064BE"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69.4</w:t>
            </w:r>
          </w:p>
        </w:tc>
        <w:tc>
          <w:tcPr>
            <w:tcW w:w="384" w:type="pct"/>
            <w:shd w:val="clear" w:color="auto" w:fill="auto"/>
            <w:noWrap/>
            <w:hideMark/>
          </w:tcPr>
          <w:p w14:paraId="51858046"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68.4</w:t>
            </w:r>
          </w:p>
        </w:tc>
        <w:tc>
          <w:tcPr>
            <w:tcW w:w="384" w:type="pct"/>
            <w:shd w:val="clear" w:color="auto" w:fill="auto"/>
            <w:noWrap/>
            <w:hideMark/>
          </w:tcPr>
          <w:p w14:paraId="0996E090"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68.2</w:t>
            </w:r>
          </w:p>
        </w:tc>
        <w:tc>
          <w:tcPr>
            <w:tcW w:w="384" w:type="pct"/>
            <w:shd w:val="clear" w:color="auto" w:fill="auto"/>
            <w:noWrap/>
            <w:hideMark/>
          </w:tcPr>
          <w:p w14:paraId="7C31B3B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69.9</w:t>
            </w:r>
          </w:p>
        </w:tc>
        <w:tc>
          <w:tcPr>
            <w:tcW w:w="384" w:type="pct"/>
            <w:shd w:val="clear" w:color="auto" w:fill="auto"/>
            <w:noWrap/>
            <w:hideMark/>
          </w:tcPr>
          <w:p w14:paraId="19C7CD7F"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71.6</w:t>
            </w:r>
          </w:p>
        </w:tc>
        <w:tc>
          <w:tcPr>
            <w:tcW w:w="384" w:type="pct"/>
            <w:shd w:val="clear" w:color="auto" w:fill="auto"/>
            <w:noWrap/>
            <w:hideMark/>
          </w:tcPr>
          <w:p w14:paraId="2123312B"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75.8</w:t>
            </w:r>
          </w:p>
        </w:tc>
        <w:tc>
          <w:tcPr>
            <w:tcW w:w="384" w:type="pct"/>
            <w:shd w:val="clear" w:color="auto" w:fill="auto"/>
            <w:noWrap/>
            <w:hideMark/>
          </w:tcPr>
          <w:p w14:paraId="5E2202A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77.4</w:t>
            </w:r>
          </w:p>
        </w:tc>
        <w:tc>
          <w:tcPr>
            <w:tcW w:w="388" w:type="pct"/>
            <w:shd w:val="clear" w:color="auto" w:fill="auto"/>
            <w:noWrap/>
            <w:hideMark/>
          </w:tcPr>
          <w:p w14:paraId="59CCBE2C"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78.5</w:t>
            </w:r>
          </w:p>
        </w:tc>
      </w:tr>
      <w:tr w:rsidR="00BD4A0E" w:rsidRPr="00D960DD" w14:paraId="2667AFC7" w14:textId="77777777" w:rsidTr="00BD4A0E">
        <w:trPr>
          <w:trHeight w:val="240"/>
        </w:trPr>
        <w:tc>
          <w:tcPr>
            <w:tcW w:w="5000" w:type="pct"/>
            <w:gridSpan w:val="10"/>
            <w:shd w:val="clear" w:color="auto" w:fill="auto"/>
            <w:noWrap/>
            <w:hideMark/>
          </w:tcPr>
          <w:p w14:paraId="1C4F39C3" w14:textId="1C95D29F" w:rsidR="00BD4A0E" w:rsidRPr="00D960DD" w:rsidRDefault="00BD4A0E" w:rsidP="00BD4A0E">
            <w:pPr>
              <w:rPr>
                <w:rFonts w:cstheme="minorHAnsi"/>
                <w:sz w:val="20"/>
                <w:szCs w:val="20"/>
              </w:rPr>
            </w:pPr>
            <w:r w:rsidRPr="00D960DD">
              <w:rPr>
                <w:rFonts w:cstheme="minorHAnsi"/>
                <w:b/>
                <w:bCs/>
                <w:color w:val="000000"/>
                <w:sz w:val="20"/>
                <w:szCs w:val="20"/>
              </w:rPr>
              <w:t>Hospital sector</w:t>
            </w:r>
          </w:p>
        </w:tc>
      </w:tr>
      <w:tr w:rsidR="00BD4A0E" w:rsidRPr="00D960DD" w14:paraId="676F70E2" w14:textId="77777777" w:rsidTr="00BD4A0E">
        <w:trPr>
          <w:trHeight w:val="240"/>
        </w:trPr>
        <w:tc>
          <w:tcPr>
            <w:tcW w:w="1539" w:type="pct"/>
            <w:shd w:val="clear" w:color="auto" w:fill="auto"/>
            <w:noWrap/>
            <w:hideMark/>
          </w:tcPr>
          <w:p w14:paraId="72CF3923"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Private</w:t>
            </w:r>
          </w:p>
        </w:tc>
        <w:tc>
          <w:tcPr>
            <w:tcW w:w="384" w:type="pct"/>
            <w:shd w:val="clear" w:color="auto" w:fill="auto"/>
            <w:noWrap/>
            <w:hideMark/>
          </w:tcPr>
          <w:p w14:paraId="12CFD75F"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87.4</w:t>
            </w:r>
          </w:p>
        </w:tc>
        <w:tc>
          <w:tcPr>
            <w:tcW w:w="384" w:type="pct"/>
            <w:shd w:val="clear" w:color="auto" w:fill="auto"/>
            <w:noWrap/>
            <w:hideMark/>
          </w:tcPr>
          <w:p w14:paraId="4A862177"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87.8</w:t>
            </w:r>
          </w:p>
        </w:tc>
        <w:tc>
          <w:tcPr>
            <w:tcW w:w="384" w:type="pct"/>
            <w:shd w:val="clear" w:color="auto" w:fill="auto"/>
            <w:noWrap/>
            <w:hideMark/>
          </w:tcPr>
          <w:p w14:paraId="16BEB6C9"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87.7</w:t>
            </w:r>
          </w:p>
        </w:tc>
        <w:tc>
          <w:tcPr>
            <w:tcW w:w="384" w:type="pct"/>
            <w:shd w:val="clear" w:color="auto" w:fill="auto"/>
            <w:noWrap/>
            <w:hideMark/>
          </w:tcPr>
          <w:p w14:paraId="2D770DB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87.7</w:t>
            </w:r>
          </w:p>
        </w:tc>
        <w:tc>
          <w:tcPr>
            <w:tcW w:w="384" w:type="pct"/>
            <w:shd w:val="clear" w:color="auto" w:fill="auto"/>
            <w:noWrap/>
            <w:hideMark/>
          </w:tcPr>
          <w:p w14:paraId="4B56175F"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86.7</w:t>
            </w:r>
          </w:p>
        </w:tc>
        <w:tc>
          <w:tcPr>
            <w:tcW w:w="384" w:type="pct"/>
            <w:shd w:val="clear" w:color="auto" w:fill="auto"/>
            <w:noWrap/>
            <w:hideMark/>
          </w:tcPr>
          <w:p w14:paraId="40CB74F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86.7</w:t>
            </w:r>
          </w:p>
        </w:tc>
        <w:tc>
          <w:tcPr>
            <w:tcW w:w="384" w:type="pct"/>
            <w:shd w:val="clear" w:color="auto" w:fill="auto"/>
            <w:noWrap/>
            <w:hideMark/>
          </w:tcPr>
          <w:p w14:paraId="58525529"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85.2</w:t>
            </w:r>
          </w:p>
        </w:tc>
        <w:tc>
          <w:tcPr>
            <w:tcW w:w="384" w:type="pct"/>
            <w:shd w:val="clear" w:color="auto" w:fill="auto"/>
            <w:noWrap/>
            <w:hideMark/>
          </w:tcPr>
          <w:p w14:paraId="6999D94A"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84.9</w:t>
            </w:r>
          </w:p>
        </w:tc>
        <w:tc>
          <w:tcPr>
            <w:tcW w:w="388" w:type="pct"/>
            <w:shd w:val="clear" w:color="auto" w:fill="auto"/>
            <w:noWrap/>
            <w:hideMark/>
          </w:tcPr>
          <w:p w14:paraId="4E31CC17"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84.6</w:t>
            </w:r>
          </w:p>
        </w:tc>
      </w:tr>
      <w:tr w:rsidR="00BD4A0E" w:rsidRPr="00D960DD" w14:paraId="33F75162" w14:textId="77777777" w:rsidTr="00BD4A0E">
        <w:trPr>
          <w:trHeight w:val="240"/>
        </w:trPr>
        <w:tc>
          <w:tcPr>
            <w:tcW w:w="1539" w:type="pct"/>
            <w:shd w:val="clear" w:color="auto" w:fill="auto"/>
            <w:noWrap/>
            <w:hideMark/>
          </w:tcPr>
          <w:p w14:paraId="394A88D6"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Public</w:t>
            </w:r>
          </w:p>
        </w:tc>
        <w:tc>
          <w:tcPr>
            <w:tcW w:w="384" w:type="pct"/>
            <w:shd w:val="clear" w:color="auto" w:fill="auto"/>
            <w:noWrap/>
            <w:hideMark/>
          </w:tcPr>
          <w:p w14:paraId="7B704172"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57.3</w:t>
            </w:r>
          </w:p>
        </w:tc>
        <w:tc>
          <w:tcPr>
            <w:tcW w:w="384" w:type="pct"/>
            <w:shd w:val="clear" w:color="auto" w:fill="auto"/>
            <w:noWrap/>
            <w:hideMark/>
          </w:tcPr>
          <w:p w14:paraId="1C8BAC1A"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53.1</w:t>
            </w:r>
          </w:p>
        </w:tc>
        <w:tc>
          <w:tcPr>
            <w:tcW w:w="384" w:type="pct"/>
            <w:shd w:val="clear" w:color="auto" w:fill="auto"/>
            <w:noWrap/>
            <w:hideMark/>
          </w:tcPr>
          <w:p w14:paraId="3556145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51.9</w:t>
            </w:r>
          </w:p>
        </w:tc>
        <w:tc>
          <w:tcPr>
            <w:tcW w:w="384" w:type="pct"/>
            <w:shd w:val="clear" w:color="auto" w:fill="auto"/>
            <w:noWrap/>
            <w:hideMark/>
          </w:tcPr>
          <w:p w14:paraId="42567471"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51.9</w:t>
            </w:r>
          </w:p>
        </w:tc>
        <w:tc>
          <w:tcPr>
            <w:tcW w:w="384" w:type="pct"/>
            <w:shd w:val="clear" w:color="auto" w:fill="auto"/>
            <w:noWrap/>
            <w:hideMark/>
          </w:tcPr>
          <w:p w14:paraId="09BDE70D"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56.6</w:t>
            </w:r>
          </w:p>
        </w:tc>
        <w:tc>
          <w:tcPr>
            <w:tcW w:w="384" w:type="pct"/>
            <w:shd w:val="clear" w:color="auto" w:fill="auto"/>
            <w:noWrap/>
            <w:hideMark/>
          </w:tcPr>
          <w:p w14:paraId="55558296"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62.2</w:t>
            </w:r>
          </w:p>
        </w:tc>
        <w:tc>
          <w:tcPr>
            <w:tcW w:w="384" w:type="pct"/>
            <w:shd w:val="clear" w:color="auto" w:fill="auto"/>
            <w:noWrap/>
            <w:hideMark/>
          </w:tcPr>
          <w:p w14:paraId="4C7F9C6B"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67.5</w:t>
            </w:r>
          </w:p>
        </w:tc>
        <w:tc>
          <w:tcPr>
            <w:tcW w:w="384" w:type="pct"/>
            <w:shd w:val="clear" w:color="auto" w:fill="auto"/>
            <w:noWrap/>
            <w:hideMark/>
          </w:tcPr>
          <w:p w14:paraId="56A08C3D"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70.7</w:t>
            </w:r>
          </w:p>
        </w:tc>
        <w:tc>
          <w:tcPr>
            <w:tcW w:w="388" w:type="pct"/>
            <w:shd w:val="clear" w:color="auto" w:fill="auto"/>
            <w:noWrap/>
            <w:hideMark/>
          </w:tcPr>
          <w:p w14:paraId="6830D20E"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74.1</w:t>
            </w:r>
          </w:p>
        </w:tc>
      </w:tr>
      <w:tr w:rsidR="00BD4A0E" w:rsidRPr="00D960DD" w14:paraId="59D8481B" w14:textId="77777777" w:rsidTr="00AF0ADF">
        <w:trPr>
          <w:trHeight w:val="240"/>
        </w:trPr>
        <w:tc>
          <w:tcPr>
            <w:tcW w:w="5000" w:type="pct"/>
            <w:gridSpan w:val="10"/>
            <w:shd w:val="clear" w:color="auto" w:fill="auto"/>
            <w:noWrap/>
            <w:hideMark/>
          </w:tcPr>
          <w:p w14:paraId="31F9DE77" w14:textId="77777777" w:rsidR="00BD4A0E" w:rsidRPr="00D960DD" w:rsidRDefault="00BD4A0E" w:rsidP="00BD4A0E">
            <w:pPr>
              <w:rPr>
                <w:rFonts w:cstheme="minorHAnsi"/>
                <w:sz w:val="20"/>
                <w:szCs w:val="20"/>
              </w:rPr>
            </w:pPr>
            <w:r w:rsidRPr="00D960DD">
              <w:rPr>
                <w:rFonts w:cstheme="minorHAnsi"/>
                <w:b/>
                <w:bCs/>
                <w:color w:val="000000"/>
                <w:sz w:val="20"/>
                <w:szCs w:val="20"/>
              </w:rPr>
              <w:t>Hospitals annual number of births</w:t>
            </w:r>
          </w:p>
        </w:tc>
      </w:tr>
      <w:tr w:rsidR="00BD4A0E" w:rsidRPr="00D960DD" w14:paraId="15872111" w14:textId="77777777" w:rsidTr="00BD4A0E">
        <w:trPr>
          <w:trHeight w:val="240"/>
        </w:trPr>
        <w:tc>
          <w:tcPr>
            <w:tcW w:w="1539" w:type="pct"/>
            <w:shd w:val="clear" w:color="auto" w:fill="auto"/>
            <w:noWrap/>
            <w:hideMark/>
          </w:tcPr>
          <w:p w14:paraId="59531B95"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1-100 births</w:t>
            </w:r>
          </w:p>
        </w:tc>
        <w:tc>
          <w:tcPr>
            <w:tcW w:w="384" w:type="pct"/>
            <w:shd w:val="clear" w:color="auto" w:fill="auto"/>
            <w:noWrap/>
            <w:hideMark/>
          </w:tcPr>
          <w:p w14:paraId="645612EC"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65.0</w:t>
            </w:r>
          </w:p>
        </w:tc>
        <w:tc>
          <w:tcPr>
            <w:tcW w:w="384" w:type="pct"/>
            <w:shd w:val="clear" w:color="auto" w:fill="auto"/>
            <w:noWrap/>
            <w:hideMark/>
          </w:tcPr>
          <w:p w14:paraId="5520C1DF"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63.2</w:t>
            </w:r>
          </w:p>
        </w:tc>
        <w:tc>
          <w:tcPr>
            <w:tcW w:w="384" w:type="pct"/>
            <w:shd w:val="clear" w:color="auto" w:fill="auto"/>
            <w:noWrap/>
            <w:hideMark/>
          </w:tcPr>
          <w:p w14:paraId="64BA758E"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57.8</w:t>
            </w:r>
          </w:p>
        </w:tc>
        <w:tc>
          <w:tcPr>
            <w:tcW w:w="384" w:type="pct"/>
            <w:shd w:val="clear" w:color="auto" w:fill="auto"/>
            <w:noWrap/>
            <w:hideMark/>
          </w:tcPr>
          <w:p w14:paraId="603CB7DA"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57.5</w:t>
            </w:r>
          </w:p>
        </w:tc>
        <w:tc>
          <w:tcPr>
            <w:tcW w:w="384" w:type="pct"/>
            <w:shd w:val="clear" w:color="auto" w:fill="auto"/>
            <w:noWrap/>
            <w:hideMark/>
          </w:tcPr>
          <w:p w14:paraId="14661C49"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58.1</w:t>
            </w:r>
          </w:p>
        </w:tc>
        <w:tc>
          <w:tcPr>
            <w:tcW w:w="384" w:type="pct"/>
            <w:shd w:val="clear" w:color="auto" w:fill="auto"/>
            <w:noWrap/>
            <w:hideMark/>
          </w:tcPr>
          <w:p w14:paraId="2C57DA30"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67.0</w:t>
            </w:r>
          </w:p>
        </w:tc>
        <w:tc>
          <w:tcPr>
            <w:tcW w:w="384" w:type="pct"/>
            <w:shd w:val="clear" w:color="auto" w:fill="auto"/>
            <w:noWrap/>
            <w:hideMark/>
          </w:tcPr>
          <w:p w14:paraId="415A29B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67.9</w:t>
            </w:r>
          </w:p>
        </w:tc>
        <w:tc>
          <w:tcPr>
            <w:tcW w:w="384" w:type="pct"/>
            <w:shd w:val="clear" w:color="auto" w:fill="auto"/>
            <w:noWrap/>
            <w:hideMark/>
          </w:tcPr>
          <w:p w14:paraId="3AFF603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72.5</w:t>
            </w:r>
          </w:p>
        </w:tc>
        <w:tc>
          <w:tcPr>
            <w:tcW w:w="388" w:type="pct"/>
            <w:shd w:val="clear" w:color="auto" w:fill="auto"/>
            <w:noWrap/>
            <w:hideMark/>
          </w:tcPr>
          <w:p w14:paraId="721B1F27"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74.0</w:t>
            </w:r>
          </w:p>
        </w:tc>
      </w:tr>
      <w:tr w:rsidR="00BD4A0E" w:rsidRPr="00D960DD" w14:paraId="4825DAB8" w14:textId="77777777" w:rsidTr="00BD4A0E">
        <w:trPr>
          <w:trHeight w:val="240"/>
        </w:trPr>
        <w:tc>
          <w:tcPr>
            <w:tcW w:w="1539" w:type="pct"/>
            <w:shd w:val="clear" w:color="auto" w:fill="auto"/>
            <w:noWrap/>
            <w:hideMark/>
          </w:tcPr>
          <w:p w14:paraId="7C0C536D"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101-500 births</w:t>
            </w:r>
          </w:p>
        </w:tc>
        <w:tc>
          <w:tcPr>
            <w:tcW w:w="384" w:type="pct"/>
            <w:shd w:val="clear" w:color="auto" w:fill="auto"/>
            <w:noWrap/>
            <w:hideMark/>
          </w:tcPr>
          <w:p w14:paraId="7FE97D05"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69.8</w:t>
            </w:r>
          </w:p>
        </w:tc>
        <w:tc>
          <w:tcPr>
            <w:tcW w:w="384" w:type="pct"/>
            <w:shd w:val="clear" w:color="auto" w:fill="auto"/>
            <w:noWrap/>
            <w:hideMark/>
          </w:tcPr>
          <w:p w14:paraId="3B6E35E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65.0</w:t>
            </w:r>
          </w:p>
        </w:tc>
        <w:tc>
          <w:tcPr>
            <w:tcW w:w="384" w:type="pct"/>
            <w:shd w:val="clear" w:color="auto" w:fill="auto"/>
            <w:noWrap/>
            <w:hideMark/>
          </w:tcPr>
          <w:p w14:paraId="0E16E05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63.0</w:t>
            </w:r>
          </w:p>
        </w:tc>
        <w:tc>
          <w:tcPr>
            <w:tcW w:w="384" w:type="pct"/>
            <w:shd w:val="clear" w:color="auto" w:fill="auto"/>
            <w:noWrap/>
            <w:hideMark/>
          </w:tcPr>
          <w:p w14:paraId="1EA877DE"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62.3</w:t>
            </w:r>
          </w:p>
        </w:tc>
        <w:tc>
          <w:tcPr>
            <w:tcW w:w="384" w:type="pct"/>
            <w:shd w:val="clear" w:color="auto" w:fill="auto"/>
            <w:noWrap/>
            <w:hideMark/>
          </w:tcPr>
          <w:p w14:paraId="400B3D77"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64.0</w:t>
            </w:r>
          </w:p>
        </w:tc>
        <w:tc>
          <w:tcPr>
            <w:tcW w:w="384" w:type="pct"/>
            <w:shd w:val="clear" w:color="auto" w:fill="auto"/>
            <w:noWrap/>
            <w:hideMark/>
          </w:tcPr>
          <w:p w14:paraId="0A41D274"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69.5</w:t>
            </w:r>
          </w:p>
        </w:tc>
        <w:tc>
          <w:tcPr>
            <w:tcW w:w="384" w:type="pct"/>
            <w:shd w:val="clear" w:color="auto" w:fill="auto"/>
            <w:noWrap/>
            <w:hideMark/>
          </w:tcPr>
          <w:p w14:paraId="1A3365EA"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75.4</w:t>
            </w:r>
          </w:p>
        </w:tc>
        <w:tc>
          <w:tcPr>
            <w:tcW w:w="384" w:type="pct"/>
            <w:shd w:val="clear" w:color="auto" w:fill="auto"/>
            <w:noWrap/>
            <w:hideMark/>
          </w:tcPr>
          <w:p w14:paraId="40D97735"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76.1</w:t>
            </w:r>
          </w:p>
        </w:tc>
        <w:tc>
          <w:tcPr>
            <w:tcW w:w="388" w:type="pct"/>
            <w:shd w:val="clear" w:color="auto" w:fill="auto"/>
            <w:noWrap/>
            <w:hideMark/>
          </w:tcPr>
          <w:p w14:paraId="71BF04BE"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77.6</w:t>
            </w:r>
          </w:p>
        </w:tc>
      </w:tr>
      <w:tr w:rsidR="00BD4A0E" w:rsidRPr="00D960DD" w14:paraId="076F9004" w14:textId="77777777" w:rsidTr="00BD4A0E">
        <w:trPr>
          <w:trHeight w:val="240"/>
        </w:trPr>
        <w:tc>
          <w:tcPr>
            <w:tcW w:w="1539" w:type="pct"/>
            <w:shd w:val="clear" w:color="auto" w:fill="auto"/>
            <w:noWrap/>
            <w:hideMark/>
          </w:tcPr>
          <w:p w14:paraId="6F449BAF"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501-1,000 births</w:t>
            </w:r>
          </w:p>
        </w:tc>
        <w:tc>
          <w:tcPr>
            <w:tcW w:w="384" w:type="pct"/>
            <w:shd w:val="clear" w:color="auto" w:fill="auto"/>
            <w:noWrap/>
            <w:hideMark/>
          </w:tcPr>
          <w:p w14:paraId="3615766C"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79.8</w:t>
            </w:r>
          </w:p>
        </w:tc>
        <w:tc>
          <w:tcPr>
            <w:tcW w:w="384" w:type="pct"/>
            <w:shd w:val="clear" w:color="auto" w:fill="auto"/>
            <w:noWrap/>
            <w:hideMark/>
          </w:tcPr>
          <w:p w14:paraId="706CCBCC"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75.6</w:t>
            </w:r>
          </w:p>
        </w:tc>
        <w:tc>
          <w:tcPr>
            <w:tcW w:w="384" w:type="pct"/>
            <w:shd w:val="clear" w:color="auto" w:fill="auto"/>
            <w:noWrap/>
            <w:hideMark/>
          </w:tcPr>
          <w:p w14:paraId="18D344A7"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75.4</w:t>
            </w:r>
          </w:p>
        </w:tc>
        <w:tc>
          <w:tcPr>
            <w:tcW w:w="384" w:type="pct"/>
            <w:shd w:val="clear" w:color="auto" w:fill="auto"/>
            <w:noWrap/>
            <w:hideMark/>
          </w:tcPr>
          <w:p w14:paraId="7BFD71BD"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77.6</w:t>
            </w:r>
          </w:p>
        </w:tc>
        <w:tc>
          <w:tcPr>
            <w:tcW w:w="384" w:type="pct"/>
            <w:shd w:val="clear" w:color="auto" w:fill="auto"/>
            <w:noWrap/>
            <w:hideMark/>
          </w:tcPr>
          <w:p w14:paraId="45014CE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75.0</w:t>
            </w:r>
          </w:p>
        </w:tc>
        <w:tc>
          <w:tcPr>
            <w:tcW w:w="384" w:type="pct"/>
            <w:shd w:val="clear" w:color="auto" w:fill="auto"/>
            <w:noWrap/>
            <w:hideMark/>
          </w:tcPr>
          <w:p w14:paraId="5DF033D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82.2</w:t>
            </w:r>
          </w:p>
        </w:tc>
        <w:tc>
          <w:tcPr>
            <w:tcW w:w="384" w:type="pct"/>
            <w:shd w:val="clear" w:color="auto" w:fill="auto"/>
            <w:noWrap/>
            <w:hideMark/>
          </w:tcPr>
          <w:p w14:paraId="630113CC"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80.1</w:t>
            </w:r>
          </w:p>
        </w:tc>
        <w:tc>
          <w:tcPr>
            <w:tcW w:w="384" w:type="pct"/>
            <w:shd w:val="clear" w:color="auto" w:fill="auto"/>
            <w:noWrap/>
            <w:hideMark/>
          </w:tcPr>
          <w:p w14:paraId="3B615366"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81.0</w:t>
            </w:r>
          </w:p>
        </w:tc>
        <w:tc>
          <w:tcPr>
            <w:tcW w:w="388" w:type="pct"/>
            <w:shd w:val="clear" w:color="auto" w:fill="auto"/>
            <w:noWrap/>
            <w:hideMark/>
          </w:tcPr>
          <w:p w14:paraId="1FC9452D"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82.1</w:t>
            </w:r>
          </w:p>
        </w:tc>
      </w:tr>
      <w:tr w:rsidR="00BD4A0E" w:rsidRPr="00D960DD" w14:paraId="4230DC6D" w14:textId="77777777" w:rsidTr="00BD4A0E">
        <w:trPr>
          <w:trHeight w:val="240"/>
        </w:trPr>
        <w:tc>
          <w:tcPr>
            <w:tcW w:w="1539" w:type="pct"/>
            <w:shd w:val="clear" w:color="auto" w:fill="auto"/>
            <w:noWrap/>
            <w:hideMark/>
          </w:tcPr>
          <w:p w14:paraId="5DF49390"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1,001-2,000 births</w:t>
            </w:r>
          </w:p>
        </w:tc>
        <w:tc>
          <w:tcPr>
            <w:tcW w:w="384" w:type="pct"/>
            <w:shd w:val="clear" w:color="auto" w:fill="auto"/>
            <w:noWrap/>
            <w:hideMark/>
          </w:tcPr>
          <w:p w14:paraId="0ACDD84D"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62.0</w:t>
            </w:r>
          </w:p>
        </w:tc>
        <w:tc>
          <w:tcPr>
            <w:tcW w:w="384" w:type="pct"/>
            <w:shd w:val="clear" w:color="auto" w:fill="auto"/>
            <w:noWrap/>
            <w:hideMark/>
          </w:tcPr>
          <w:p w14:paraId="15EFC569"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58.5</w:t>
            </w:r>
          </w:p>
        </w:tc>
        <w:tc>
          <w:tcPr>
            <w:tcW w:w="384" w:type="pct"/>
            <w:shd w:val="clear" w:color="auto" w:fill="auto"/>
            <w:noWrap/>
            <w:hideMark/>
          </w:tcPr>
          <w:p w14:paraId="2A7512E8"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58.8</w:t>
            </w:r>
          </w:p>
        </w:tc>
        <w:tc>
          <w:tcPr>
            <w:tcW w:w="384" w:type="pct"/>
            <w:shd w:val="clear" w:color="auto" w:fill="auto"/>
            <w:noWrap/>
            <w:hideMark/>
          </w:tcPr>
          <w:p w14:paraId="686305E0"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57.1</w:t>
            </w:r>
          </w:p>
        </w:tc>
        <w:tc>
          <w:tcPr>
            <w:tcW w:w="384" w:type="pct"/>
            <w:shd w:val="clear" w:color="auto" w:fill="auto"/>
            <w:noWrap/>
            <w:hideMark/>
          </w:tcPr>
          <w:p w14:paraId="39E55A09"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60.2</w:t>
            </w:r>
          </w:p>
        </w:tc>
        <w:tc>
          <w:tcPr>
            <w:tcW w:w="384" w:type="pct"/>
            <w:shd w:val="clear" w:color="auto" w:fill="auto"/>
            <w:noWrap/>
            <w:hideMark/>
          </w:tcPr>
          <w:p w14:paraId="2EBBE82F"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65.7</w:t>
            </w:r>
          </w:p>
        </w:tc>
        <w:tc>
          <w:tcPr>
            <w:tcW w:w="384" w:type="pct"/>
            <w:shd w:val="clear" w:color="auto" w:fill="auto"/>
            <w:noWrap/>
            <w:hideMark/>
          </w:tcPr>
          <w:p w14:paraId="79C70F8A"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71.0</w:t>
            </w:r>
          </w:p>
        </w:tc>
        <w:tc>
          <w:tcPr>
            <w:tcW w:w="384" w:type="pct"/>
            <w:shd w:val="clear" w:color="auto" w:fill="auto"/>
            <w:noWrap/>
            <w:hideMark/>
          </w:tcPr>
          <w:p w14:paraId="64AC1160"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73.6</w:t>
            </w:r>
          </w:p>
        </w:tc>
        <w:tc>
          <w:tcPr>
            <w:tcW w:w="388" w:type="pct"/>
            <w:shd w:val="clear" w:color="auto" w:fill="auto"/>
            <w:noWrap/>
            <w:hideMark/>
          </w:tcPr>
          <w:p w14:paraId="38236D9C"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76.0</w:t>
            </w:r>
          </w:p>
        </w:tc>
      </w:tr>
      <w:tr w:rsidR="00BD4A0E" w:rsidRPr="00D960DD" w14:paraId="4A6E9D51" w14:textId="77777777" w:rsidTr="00BD4A0E">
        <w:trPr>
          <w:trHeight w:val="240"/>
        </w:trPr>
        <w:tc>
          <w:tcPr>
            <w:tcW w:w="1539" w:type="pct"/>
            <w:shd w:val="clear" w:color="auto" w:fill="auto"/>
            <w:noWrap/>
            <w:hideMark/>
          </w:tcPr>
          <w:p w14:paraId="67852ADF" w14:textId="77777777" w:rsidR="00BD4A0E" w:rsidRPr="00D960DD" w:rsidRDefault="00BD4A0E" w:rsidP="00BD4A0E">
            <w:pPr>
              <w:ind w:firstLineChars="100" w:firstLine="200"/>
              <w:rPr>
                <w:rFonts w:cstheme="minorHAnsi"/>
                <w:color w:val="000000"/>
                <w:sz w:val="20"/>
                <w:szCs w:val="20"/>
              </w:rPr>
            </w:pPr>
            <w:r w:rsidRPr="00D960DD">
              <w:rPr>
                <w:rFonts w:cstheme="minorHAnsi"/>
                <w:color w:val="000000"/>
                <w:sz w:val="20"/>
                <w:szCs w:val="20"/>
              </w:rPr>
              <w:t>2,001 births and over</w:t>
            </w:r>
          </w:p>
        </w:tc>
        <w:tc>
          <w:tcPr>
            <w:tcW w:w="384" w:type="pct"/>
            <w:shd w:val="clear" w:color="auto" w:fill="auto"/>
            <w:noWrap/>
            <w:hideMark/>
          </w:tcPr>
          <w:p w14:paraId="7ACA8EB7"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63.9</w:t>
            </w:r>
          </w:p>
        </w:tc>
        <w:tc>
          <w:tcPr>
            <w:tcW w:w="384" w:type="pct"/>
            <w:shd w:val="clear" w:color="auto" w:fill="auto"/>
            <w:noWrap/>
            <w:hideMark/>
          </w:tcPr>
          <w:p w14:paraId="47D1FD4A"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59.9</w:t>
            </w:r>
          </w:p>
        </w:tc>
        <w:tc>
          <w:tcPr>
            <w:tcW w:w="384" w:type="pct"/>
            <w:shd w:val="clear" w:color="auto" w:fill="auto"/>
            <w:noWrap/>
            <w:hideMark/>
          </w:tcPr>
          <w:p w14:paraId="5DEECEA2"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59.9</w:t>
            </w:r>
          </w:p>
        </w:tc>
        <w:tc>
          <w:tcPr>
            <w:tcW w:w="384" w:type="pct"/>
            <w:shd w:val="clear" w:color="auto" w:fill="auto"/>
            <w:noWrap/>
            <w:hideMark/>
          </w:tcPr>
          <w:p w14:paraId="2D79F305"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60.4</w:t>
            </w:r>
          </w:p>
        </w:tc>
        <w:tc>
          <w:tcPr>
            <w:tcW w:w="384" w:type="pct"/>
            <w:shd w:val="clear" w:color="auto" w:fill="auto"/>
            <w:noWrap/>
            <w:hideMark/>
          </w:tcPr>
          <w:p w14:paraId="3A6CDC4F"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64.4</w:t>
            </w:r>
          </w:p>
        </w:tc>
        <w:tc>
          <w:tcPr>
            <w:tcW w:w="384" w:type="pct"/>
            <w:shd w:val="clear" w:color="auto" w:fill="auto"/>
            <w:noWrap/>
            <w:hideMark/>
          </w:tcPr>
          <w:p w14:paraId="7D4CA63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67.0</w:t>
            </w:r>
          </w:p>
        </w:tc>
        <w:tc>
          <w:tcPr>
            <w:tcW w:w="384" w:type="pct"/>
            <w:shd w:val="clear" w:color="auto" w:fill="auto"/>
            <w:noWrap/>
            <w:hideMark/>
          </w:tcPr>
          <w:p w14:paraId="0090FB20"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70.7</w:t>
            </w:r>
          </w:p>
        </w:tc>
        <w:tc>
          <w:tcPr>
            <w:tcW w:w="384" w:type="pct"/>
            <w:shd w:val="clear" w:color="auto" w:fill="auto"/>
            <w:noWrap/>
            <w:hideMark/>
          </w:tcPr>
          <w:p w14:paraId="54FEB332"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73.4</w:t>
            </w:r>
          </w:p>
        </w:tc>
        <w:tc>
          <w:tcPr>
            <w:tcW w:w="388" w:type="pct"/>
            <w:shd w:val="clear" w:color="auto" w:fill="auto"/>
            <w:noWrap/>
            <w:hideMark/>
          </w:tcPr>
          <w:p w14:paraId="4A2D6453" w14:textId="77777777" w:rsidR="00BD4A0E" w:rsidRPr="00D960DD" w:rsidRDefault="00BD4A0E" w:rsidP="00BD4A0E">
            <w:pPr>
              <w:jc w:val="right"/>
              <w:rPr>
                <w:rFonts w:cstheme="minorHAnsi"/>
                <w:color w:val="000000"/>
                <w:sz w:val="20"/>
                <w:szCs w:val="20"/>
              </w:rPr>
            </w:pPr>
            <w:r w:rsidRPr="00D960DD">
              <w:rPr>
                <w:rFonts w:cstheme="minorHAnsi"/>
                <w:color w:val="000000"/>
                <w:sz w:val="20"/>
                <w:szCs w:val="20"/>
              </w:rPr>
              <w:t>75.9</w:t>
            </w:r>
          </w:p>
        </w:tc>
      </w:tr>
    </w:tbl>
    <w:p w14:paraId="64E5B2C1" w14:textId="2E765BF8" w:rsidR="0009180B" w:rsidRPr="00E8746E" w:rsidRDefault="0009180B" w:rsidP="0009180B">
      <w:r>
        <w:rPr>
          <w:rFonts w:cstheme="minorHAnsi"/>
          <w:color w:val="000000"/>
          <w:sz w:val="20"/>
          <w:szCs w:val="20"/>
        </w:rPr>
        <w:t>n.a.</w:t>
      </w:r>
      <w:r w:rsidRPr="007667EF">
        <w:rPr>
          <w:sz w:val="18"/>
          <w:szCs w:val="18"/>
        </w:rPr>
        <w:t xml:space="preserve">: </w:t>
      </w:r>
      <w:r>
        <w:rPr>
          <w:sz w:val="18"/>
          <w:szCs w:val="18"/>
        </w:rPr>
        <w:t>data not available</w:t>
      </w:r>
      <w:r w:rsidR="003123B9">
        <w:rPr>
          <w:sz w:val="18"/>
          <w:szCs w:val="18"/>
        </w:rPr>
        <w:t>.</w:t>
      </w:r>
    </w:p>
    <w:p w14:paraId="268E3A62" w14:textId="77777777" w:rsidR="0009180B" w:rsidRPr="00165760" w:rsidRDefault="0009180B" w:rsidP="00751711">
      <w:pPr>
        <w:rPr>
          <w:sz w:val="18"/>
          <w:szCs w:val="18"/>
        </w:rPr>
      </w:pPr>
    </w:p>
    <w:p w14:paraId="10960C1D" w14:textId="77777777" w:rsidR="00AF0ADF" w:rsidRPr="009658B9" w:rsidRDefault="00AF0ADF" w:rsidP="009658B9">
      <w:pPr>
        <w:rPr>
          <w:b/>
          <w:bCs/>
          <w:sz w:val="18"/>
          <w:szCs w:val="18"/>
        </w:rPr>
      </w:pPr>
      <w:r w:rsidRPr="009658B9">
        <w:rPr>
          <w:b/>
          <w:bCs/>
          <w:sz w:val="18"/>
          <w:szCs w:val="18"/>
        </w:rPr>
        <w:t>Data notes</w:t>
      </w:r>
    </w:p>
    <w:p w14:paraId="386FEFBD" w14:textId="77777777" w:rsidR="00AF0ADF" w:rsidRPr="009658B9" w:rsidRDefault="00AF0ADF" w:rsidP="008D3FB5">
      <w:pPr>
        <w:pStyle w:val="pf0"/>
        <w:numPr>
          <w:ilvl w:val="0"/>
          <w:numId w:val="29"/>
        </w:numPr>
        <w:spacing w:before="0" w:beforeAutospacing="0" w:after="0" w:afterAutospacing="0"/>
        <w:ind w:left="284" w:hanging="284"/>
        <w:rPr>
          <w:rFonts w:asciiTheme="minorHAnsi" w:hAnsiTheme="minorHAnsi"/>
          <w:sz w:val="18"/>
          <w:szCs w:val="18"/>
        </w:rPr>
      </w:pPr>
      <w:r w:rsidRPr="009658B9">
        <w:rPr>
          <w:rFonts w:asciiTheme="minorHAnsi" w:hAnsiTheme="minorHAnsi"/>
          <w:sz w:val="18"/>
          <w:szCs w:val="18"/>
        </w:rPr>
        <w:t>Where gestational age at first antenatal visit was invalid or missing, these records were removed from the analysis. The valid range for gestational age is 3 to 46 weeks.</w:t>
      </w:r>
    </w:p>
    <w:p w14:paraId="394CEABF" w14:textId="77777777" w:rsidR="00AF0ADF" w:rsidRPr="009658B9" w:rsidRDefault="00AF0ADF" w:rsidP="008D3FB5">
      <w:pPr>
        <w:pStyle w:val="pf0"/>
        <w:numPr>
          <w:ilvl w:val="0"/>
          <w:numId w:val="29"/>
        </w:numPr>
        <w:spacing w:before="0" w:beforeAutospacing="0" w:after="0" w:afterAutospacing="0"/>
        <w:ind w:left="284" w:hanging="284"/>
        <w:rPr>
          <w:rFonts w:asciiTheme="minorHAnsi" w:hAnsiTheme="minorHAnsi"/>
          <w:sz w:val="18"/>
          <w:szCs w:val="18"/>
        </w:rPr>
      </w:pPr>
      <w:r w:rsidRPr="009658B9">
        <w:rPr>
          <w:rFonts w:asciiTheme="minorHAnsi" w:hAnsiTheme="minorHAnsi"/>
          <w:sz w:val="18"/>
          <w:szCs w:val="18"/>
        </w:rPr>
        <w:t>In the Australian Capital Territory (ACT), the first antenatal visit is often the first hospital antenatal clinic visit, which is scheduled for around 16–18 weeks of pregnancy. If earlier antenatal care was provided by the woman’s general practitioner, it is generally not reported.</w:t>
      </w:r>
    </w:p>
    <w:p w14:paraId="56D666FE" w14:textId="21D4F952" w:rsidR="00AF0ADF" w:rsidRPr="00B94D3E" w:rsidRDefault="00AF0ADF" w:rsidP="008D3FB5">
      <w:pPr>
        <w:pStyle w:val="pf0"/>
        <w:numPr>
          <w:ilvl w:val="0"/>
          <w:numId w:val="29"/>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Percentages for mother's Indigenous status are age-standardised.</w:t>
      </w:r>
    </w:p>
    <w:p w14:paraId="0B66FFD6" w14:textId="4DA7EB2B" w:rsidR="00BA03D3" w:rsidRDefault="00BA03D3" w:rsidP="008D3FB5">
      <w:pPr>
        <w:pStyle w:val="pf0"/>
        <w:numPr>
          <w:ilvl w:val="0"/>
          <w:numId w:val="29"/>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3DF5C150" w14:textId="77777777" w:rsidR="00BA03D3" w:rsidRDefault="00BA03D3">
      <w:pPr>
        <w:rPr>
          <w:sz w:val="18"/>
          <w:szCs w:val="18"/>
        </w:rPr>
      </w:pPr>
      <w:r>
        <w:rPr>
          <w:sz w:val="18"/>
          <w:szCs w:val="18"/>
        </w:rPr>
        <w:br w:type="page"/>
      </w:r>
    </w:p>
    <w:p w14:paraId="5B6FD768" w14:textId="52786CB8" w:rsidR="00AF0ADF" w:rsidRPr="0054118D" w:rsidRDefault="00AF0ADF" w:rsidP="00AF0ADF">
      <w:pPr>
        <w:pStyle w:val="Caption"/>
        <w:rPr>
          <w:sz w:val="20"/>
          <w:szCs w:val="20"/>
        </w:rPr>
      </w:pPr>
      <w:bookmarkStart w:id="410" w:name="_Ref117094655"/>
      <w:bookmarkStart w:id="411" w:name="_Toc121429189"/>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13</w:t>
      </w:r>
      <w:r w:rsidR="00A64FC5" w:rsidRPr="0054118D">
        <w:rPr>
          <w:noProof/>
          <w:sz w:val="20"/>
          <w:szCs w:val="20"/>
        </w:rPr>
        <w:fldChar w:fldCharType="end"/>
      </w:r>
      <w:bookmarkEnd w:id="410"/>
      <w:r w:rsidRPr="0054118D">
        <w:rPr>
          <w:sz w:val="20"/>
          <w:szCs w:val="20"/>
        </w:rPr>
        <w:tab/>
        <w:t xml:space="preserve">Antenatal care visits in </w:t>
      </w:r>
      <w:r w:rsidR="00C134AD">
        <w:rPr>
          <w:sz w:val="20"/>
          <w:szCs w:val="20"/>
        </w:rPr>
        <w:t>first 10 weeks</w:t>
      </w:r>
      <w:r w:rsidR="0054118D">
        <w:rPr>
          <w:sz w:val="20"/>
          <w:szCs w:val="20"/>
        </w:rPr>
        <w:t>,</w:t>
      </w:r>
      <w:r w:rsidRPr="0054118D">
        <w:rPr>
          <w:sz w:val="20"/>
          <w:szCs w:val="20"/>
        </w:rPr>
        <w:t xml:space="preserve"> all women giving birth (PI02b), 2011–2019</w:t>
      </w:r>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757"/>
        <w:gridCol w:w="757"/>
        <w:gridCol w:w="757"/>
        <w:gridCol w:w="757"/>
        <w:gridCol w:w="761"/>
        <w:gridCol w:w="757"/>
        <w:gridCol w:w="757"/>
        <w:gridCol w:w="757"/>
        <w:gridCol w:w="761"/>
      </w:tblGrid>
      <w:tr w:rsidR="00AF0ADF" w:rsidRPr="00D960DD" w14:paraId="6C8951C1" w14:textId="77777777" w:rsidTr="00B94D3E">
        <w:trPr>
          <w:trHeight w:val="253"/>
        </w:trPr>
        <w:tc>
          <w:tcPr>
            <w:tcW w:w="1540" w:type="pct"/>
            <w:shd w:val="clear" w:color="auto" w:fill="auto"/>
            <w:noWrap/>
            <w:hideMark/>
          </w:tcPr>
          <w:p w14:paraId="6CA7A54B" w14:textId="4C41FA97" w:rsidR="00AF0ADF" w:rsidRPr="00315C37" w:rsidRDefault="00AF0ADF" w:rsidP="00AF0ADF">
            <w:pPr>
              <w:rPr>
                <w:rFonts w:cstheme="minorHAnsi"/>
                <w:b/>
                <w:bCs/>
                <w:color w:val="000000"/>
                <w:sz w:val="20"/>
                <w:szCs w:val="20"/>
              </w:rPr>
            </w:pPr>
          </w:p>
        </w:tc>
        <w:tc>
          <w:tcPr>
            <w:tcW w:w="384" w:type="pct"/>
            <w:shd w:val="clear" w:color="auto" w:fill="auto"/>
            <w:noWrap/>
            <w:vAlign w:val="center"/>
            <w:hideMark/>
          </w:tcPr>
          <w:p w14:paraId="767D1964"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2011</w:t>
            </w:r>
          </w:p>
        </w:tc>
        <w:tc>
          <w:tcPr>
            <w:tcW w:w="384" w:type="pct"/>
            <w:shd w:val="clear" w:color="auto" w:fill="auto"/>
            <w:noWrap/>
            <w:vAlign w:val="center"/>
            <w:hideMark/>
          </w:tcPr>
          <w:p w14:paraId="384407F1"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2012</w:t>
            </w:r>
          </w:p>
        </w:tc>
        <w:tc>
          <w:tcPr>
            <w:tcW w:w="384" w:type="pct"/>
            <w:shd w:val="clear" w:color="auto" w:fill="auto"/>
            <w:noWrap/>
            <w:vAlign w:val="center"/>
            <w:hideMark/>
          </w:tcPr>
          <w:p w14:paraId="24F170B5"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2013</w:t>
            </w:r>
          </w:p>
        </w:tc>
        <w:tc>
          <w:tcPr>
            <w:tcW w:w="384" w:type="pct"/>
            <w:shd w:val="clear" w:color="auto" w:fill="auto"/>
            <w:noWrap/>
            <w:vAlign w:val="center"/>
            <w:hideMark/>
          </w:tcPr>
          <w:p w14:paraId="5D7DA685"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2014</w:t>
            </w:r>
          </w:p>
        </w:tc>
        <w:tc>
          <w:tcPr>
            <w:tcW w:w="386" w:type="pct"/>
            <w:shd w:val="clear" w:color="auto" w:fill="auto"/>
            <w:noWrap/>
            <w:vAlign w:val="center"/>
            <w:hideMark/>
          </w:tcPr>
          <w:p w14:paraId="386A2332"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2015</w:t>
            </w:r>
          </w:p>
        </w:tc>
        <w:tc>
          <w:tcPr>
            <w:tcW w:w="384" w:type="pct"/>
            <w:shd w:val="clear" w:color="auto" w:fill="auto"/>
            <w:noWrap/>
            <w:vAlign w:val="center"/>
            <w:hideMark/>
          </w:tcPr>
          <w:p w14:paraId="5AD4F7B3"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2016</w:t>
            </w:r>
          </w:p>
        </w:tc>
        <w:tc>
          <w:tcPr>
            <w:tcW w:w="384" w:type="pct"/>
            <w:shd w:val="clear" w:color="auto" w:fill="auto"/>
            <w:noWrap/>
            <w:vAlign w:val="center"/>
            <w:hideMark/>
          </w:tcPr>
          <w:p w14:paraId="372F7342"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2017</w:t>
            </w:r>
          </w:p>
        </w:tc>
        <w:tc>
          <w:tcPr>
            <w:tcW w:w="384" w:type="pct"/>
            <w:shd w:val="clear" w:color="auto" w:fill="auto"/>
            <w:noWrap/>
            <w:vAlign w:val="center"/>
            <w:hideMark/>
          </w:tcPr>
          <w:p w14:paraId="32656DAA"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2018</w:t>
            </w:r>
          </w:p>
        </w:tc>
        <w:tc>
          <w:tcPr>
            <w:tcW w:w="385" w:type="pct"/>
            <w:shd w:val="clear" w:color="auto" w:fill="auto"/>
            <w:noWrap/>
            <w:vAlign w:val="center"/>
            <w:hideMark/>
          </w:tcPr>
          <w:p w14:paraId="782CDF8E" w14:textId="77777777" w:rsidR="00AF0ADF" w:rsidRPr="00315C37" w:rsidRDefault="00AF0ADF" w:rsidP="00B94D3E">
            <w:pPr>
              <w:jc w:val="center"/>
              <w:rPr>
                <w:rFonts w:cstheme="minorHAnsi"/>
                <w:b/>
                <w:bCs/>
                <w:color w:val="000000"/>
                <w:sz w:val="20"/>
                <w:szCs w:val="20"/>
              </w:rPr>
            </w:pPr>
            <w:r w:rsidRPr="00315C37">
              <w:rPr>
                <w:rFonts w:cstheme="minorHAnsi"/>
                <w:b/>
                <w:bCs/>
                <w:color w:val="000000"/>
                <w:sz w:val="20"/>
                <w:szCs w:val="20"/>
              </w:rPr>
              <w:t>2019</w:t>
            </w:r>
          </w:p>
        </w:tc>
      </w:tr>
      <w:tr w:rsidR="00AF0ADF" w:rsidRPr="00D960DD" w14:paraId="0683845A" w14:textId="77777777" w:rsidTr="003345DF">
        <w:trPr>
          <w:trHeight w:val="253"/>
        </w:trPr>
        <w:tc>
          <w:tcPr>
            <w:tcW w:w="1540" w:type="pct"/>
            <w:shd w:val="clear" w:color="auto" w:fill="auto"/>
            <w:noWrap/>
          </w:tcPr>
          <w:p w14:paraId="6B124D06" w14:textId="77777777" w:rsidR="00AF0ADF" w:rsidRPr="00315C37" w:rsidRDefault="00AF0ADF" w:rsidP="00AF0ADF">
            <w:pPr>
              <w:rPr>
                <w:rFonts w:cstheme="minorHAnsi"/>
                <w:b/>
                <w:bCs/>
                <w:color w:val="000000"/>
                <w:sz w:val="20"/>
                <w:szCs w:val="20"/>
              </w:rPr>
            </w:pPr>
          </w:p>
        </w:tc>
        <w:tc>
          <w:tcPr>
            <w:tcW w:w="3460" w:type="pct"/>
            <w:gridSpan w:val="9"/>
            <w:shd w:val="clear" w:color="auto" w:fill="auto"/>
            <w:noWrap/>
          </w:tcPr>
          <w:p w14:paraId="3821DF62" w14:textId="77777777" w:rsidR="00AF0ADF" w:rsidRPr="00315C37" w:rsidRDefault="00AF0ADF" w:rsidP="00AF0ADF">
            <w:pPr>
              <w:jc w:val="center"/>
              <w:rPr>
                <w:rFonts w:cstheme="minorHAnsi"/>
                <w:b/>
                <w:bCs/>
                <w:color w:val="000000"/>
                <w:sz w:val="20"/>
                <w:szCs w:val="20"/>
              </w:rPr>
            </w:pPr>
            <w:r w:rsidRPr="00315C37">
              <w:rPr>
                <w:rFonts w:cstheme="minorHAnsi"/>
                <w:b/>
                <w:bCs/>
                <w:sz w:val="20"/>
                <w:szCs w:val="20"/>
              </w:rPr>
              <w:t>In per cent (%)</w:t>
            </w:r>
          </w:p>
        </w:tc>
      </w:tr>
      <w:tr w:rsidR="00AF0ADF" w:rsidRPr="00D960DD" w14:paraId="09679269" w14:textId="77777777" w:rsidTr="00AF0ADF">
        <w:trPr>
          <w:trHeight w:val="253"/>
        </w:trPr>
        <w:tc>
          <w:tcPr>
            <w:tcW w:w="5000" w:type="pct"/>
            <w:gridSpan w:val="10"/>
            <w:shd w:val="clear" w:color="auto" w:fill="auto"/>
            <w:noWrap/>
            <w:hideMark/>
          </w:tcPr>
          <w:p w14:paraId="7E792AB0" w14:textId="77777777" w:rsidR="00AF0ADF" w:rsidRPr="00315C37" w:rsidRDefault="00AF0ADF" w:rsidP="00AF0ADF">
            <w:pPr>
              <w:rPr>
                <w:rFonts w:cstheme="minorHAnsi"/>
                <w:sz w:val="20"/>
                <w:szCs w:val="20"/>
              </w:rPr>
            </w:pPr>
            <w:r w:rsidRPr="00315C37">
              <w:rPr>
                <w:rFonts w:cstheme="minorHAnsi"/>
                <w:b/>
                <w:bCs/>
                <w:color w:val="000000"/>
                <w:sz w:val="20"/>
                <w:szCs w:val="20"/>
              </w:rPr>
              <w:t>Australia</w:t>
            </w:r>
          </w:p>
        </w:tc>
      </w:tr>
      <w:tr w:rsidR="00AF0ADF" w:rsidRPr="00D960DD" w14:paraId="6BE57FDB" w14:textId="77777777" w:rsidTr="003345DF">
        <w:trPr>
          <w:trHeight w:val="253"/>
        </w:trPr>
        <w:tc>
          <w:tcPr>
            <w:tcW w:w="1540" w:type="pct"/>
            <w:shd w:val="clear" w:color="auto" w:fill="auto"/>
            <w:noWrap/>
            <w:hideMark/>
          </w:tcPr>
          <w:p w14:paraId="65686BFB"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Total</w:t>
            </w:r>
          </w:p>
        </w:tc>
        <w:tc>
          <w:tcPr>
            <w:tcW w:w="384" w:type="pct"/>
            <w:shd w:val="clear" w:color="auto" w:fill="auto"/>
            <w:noWrap/>
            <w:hideMark/>
          </w:tcPr>
          <w:p w14:paraId="720371F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37.5</w:t>
            </w:r>
          </w:p>
        </w:tc>
        <w:tc>
          <w:tcPr>
            <w:tcW w:w="384" w:type="pct"/>
            <w:shd w:val="clear" w:color="auto" w:fill="auto"/>
            <w:noWrap/>
            <w:hideMark/>
          </w:tcPr>
          <w:p w14:paraId="0938259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34.7</w:t>
            </w:r>
          </w:p>
        </w:tc>
        <w:tc>
          <w:tcPr>
            <w:tcW w:w="384" w:type="pct"/>
            <w:shd w:val="clear" w:color="auto" w:fill="auto"/>
            <w:noWrap/>
            <w:hideMark/>
          </w:tcPr>
          <w:p w14:paraId="4A07CEE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33.7</w:t>
            </w:r>
          </w:p>
        </w:tc>
        <w:tc>
          <w:tcPr>
            <w:tcW w:w="384" w:type="pct"/>
            <w:shd w:val="clear" w:color="auto" w:fill="auto"/>
            <w:noWrap/>
            <w:hideMark/>
          </w:tcPr>
          <w:p w14:paraId="2898553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34.6</w:t>
            </w:r>
          </w:p>
        </w:tc>
        <w:tc>
          <w:tcPr>
            <w:tcW w:w="386" w:type="pct"/>
            <w:shd w:val="clear" w:color="auto" w:fill="auto"/>
            <w:noWrap/>
            <w:hideMark/>
          </w:tcPr>
          <w:p w14:paraId="770A2A1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38.0</w:t>
            </w:r>
          </w:p>
        </w:tc>
        <w:tc>
          <w:tcPr>
            <w:tcW w:w="384" w:type="pct"/>
            <w:shd w:val="clear" w:color="auto" w:fill="auto"/>
            <w:noWrap/>
            <w:hideMark/>
          </w:tcPr>
          <w:p w14:paraId="5BFECCD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43.3</w:t>
            </w:r>
          </w:p>
        </w:tc>
        <w:tc>
          <w:tcPr>
            <w:tcW w:w="384" w:type="pct"/>
            <w:shd w:val="clear" w:color="auto" w:fill="auto"/>
            <w:noWrap/>
            <w:hideMark/>
          </w:tcPr>
          <w:p w14:paraId="59061FD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47.9</w:t>
            </w:r>
          </w:p>
        </w:tc>
        <w:tc>
          <w:tcPr>
            <w:tcW w:w="384" w:type="pct"/>
            <w:shd w:val="clear" w:color="auto" w:fill="auto"/>
            <w:noWrap/>
            <w:hideMark/>
          </w:tcPr>
          <w:p w14:paraId="5AFF4D1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52.4</w:t>
            </w:r>
          </w:p>
        </w:tc>
        <w:tc>
          <w:tcPr>
            <w:tcW w:w="385" w:type="pct"/>
            <w:shd w:val="clear" w:color="auto" w:fill="auto"/>
            <w:noWrap/>
            <w:hideMark/>
          </w:tcPr>
          <w:p w14:paraId="0F3E80F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55.7</w:t>
            </w:r>
          </w:p>
        </w:tc>
      </w:tr>
      <w:tr w:rsidR="00AF0ADF" w:rsidRPr="00D960DD" w14:paraId="2AD4DC1C" w14:textId="77777777" w:rsidTr="00AF0ADF">
        <w:trPr>
          <w:trHeight w:val="253"/>
        </w:trPr>
        <w:tc>
          <w:tcPr>
            <w:tcW w:w="5000" w:type="pct"/>
            <w:gridSpan w:val="10"/>
            <w:shd w:val="clear" w:color="auto" w:fill="auto"/>
            <w:noWrap/>
            <w:hideMark/>
          </w:tcPr>
          <w:p w14:paraId="5E66DA62" w14:textId="77777777" w:rsidR="00AF0ADF" w:rsidRPr="00315C37" w:rsidRDefault="00AF0ADF" w:rsidP="00AF0ADF">
            <w:pPr>
              <w:rPr>
                <w:rFonts w:cstheme="minorHAnsi"/>
                <w:sz w:val="20"/>
                <w:szCs w:val="20"/>
              </w:rPr>
            </w:pPr>
            <w:r w:rsidRPr="00315C37">
              <w:rPr>
                <w:rFonts w:cstheme="minorHAnsi"/>
                <w:b/>
                <w:bCs/>
                <w:color w:val="000000"/>
                <w:sz w:val="20"/>
                <w:szCs w:val="20"/>
              </w:rPr>
              <w:t>Mother's age at birth</w:t>
            </w:r>
          </w:p>
        </w:tc>
      </w:tr>
      <w:tr w:rsidR="00AF0ADF" w:rsidRPr="00D960DD" w14:paraId="3259BC03" w14:textId="77777777" w:rsidTr="003345DF">
        <w:trPr>
          <w:trHeight w:val="253"/>
        </w:trPr>
        <w:tc>
          <w:tcPr>
            <w:tcW w:w="1540" w:type="pct"/>
            <w:shd w:val="clear" w:color="auto" w:fill="auto"/>
            <w:noWrap/>
            <w:hideMark/>
          </w:tcPr>
          <w:p w14:paraId="430CF756"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Younger than 20</w:t>
            </w:r>
          </w:p>
        </w:tc>
        <w:tc>
          <w:tcPr>
            <w:tcW w:w="384" w:type="pct"/>
            <w:shd w:val="clear" w:color="auto" w:fill="auto"/>
            <w:noWrap/>
            <w:hideMark/>
          </w:tcPr>
          <w:p w14:paraId="63797DE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29.1</w:t>
            </w:r>
          </w:p>
        </w:tc>
        <w:tc>
          <w:tcPr>
            <w:tcW w:w="384" w:type="pct"/>
            <w:shd w:val="clear" w:color="auto" w:fill="auto"/>
            <w:noWrap/>
            <w:hideMark/>
          </w:tcPr>
          <w:p w14:paraId="46E0C53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26.9</w:t>
            </w:r>
          </w:p>
        </w:tc>
        <w:tc>
          <w:tcPr>
            <w:tcW w:w="384" w:type="pct"/>
            <w:shd w:val="clear" w:color="auto" w:fill="auto"/>
            <w:noWrap/>
            <w:hideMark/>
          </w:tcPr>
          <w:p w14:paraId="37FA99D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26.5</w:t>
            </w:r>
          </w:p>
        </w:tc>
        <w:tc>
          <w:tcPr>
            <w:tcW w:w="384" w:type="pct"/>
            <w:shd w:val="clear" w:color="auto" w:fill="auto"/>
            <w:noWrap/>
            <w:hideMark/>
          </w:tcPr>
          <w:p w14:paraId="23EC6BD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27.2</w:t>
            </w:r>
          </w:p>
        </w:tc>
        <w:tc>
          <w:tcPr>
            <w:tcW w:w="386" w:type="pct"/>
            <w:shd w:val="clear" w:color="auto" w:fill="auto"/>
            <w:noWrap/>
            <w:hideMark/>
          </w:tcPr>
          <w:p w14:paraId="3FF169A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31.4</w:t>
            </w:r>
          </w:p>
        </w:tc>
        <w:tc>
          <w:tcPr>
            <w:tcW w:w="384" w:type="pct"/>
            <w:shd w:val="clear" w:color="auto" w:fill="auto"/>
            <w:noWrap/>
            <w:hideMark/>
          </w:tcPr>
          <w:p w14:paraId="2B6DEF2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37.9</w:t>
            </w:r>
          </w:p>
        </w:tc>
        <w:tc>
          <w:tcPr>
            <w:tcW w:w="384" w:type="pct"/>
            <w:shd w:val="clear" w:color="auto" w:fill="auto"/>
            <w:noWrap/>
            <w:hideMark/>
          </w:tcPr>
          <w:p w14:paraId="337C5E5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42.5</w:t>
            </w:r>
          </w:p>
        </w:tc>
        <w:tc>
          <w:tcPr>
            <w:tcW w:w="384" w:type="pct"/>
            <w:shd w:val="clear" w:color="auto" w:fill="auto"/>
            <w:noWrap/>
            <w:hideMark/>
          </w:tcPr>
          <w:p w14:paraId="453C322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46.0</w:t>
            </w:r>
          </w:p>
        </w:tc>
        <w:tc>
          <w:tcPr>
            <w:tcW w:w="385" w:type="pct"/>
            <w:shd w:val="clear" w:color="auto" w:fill="auto"/>
            <w:noWrap/>
            <w:hideMark/>
          </w:tcPr>
          <w:p w14:paraId="315C05D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46.7</w:t>
            </w:r>
          </w:p>
        </w:tc>
      </w:tr>
      <w:tr w:rsidR="00AF0ADF" w:rsidRPr="00D960DD" w14:paraId="3A3077E4" w14:textId="77777777" w:rsidTr="003345DF">
        <w:trPr>
          <w:trHeight w:val="253"/>
        </w:trPr>
        <w:tc>
          <w:tcPr>
            <w:tcW w:w="1540" w:type="pct"/>
            <w:shd w:val="clear" w:color="auto" w:fill="auto"/>
            <w:noWrap/>
            <w:hideMark/>
          </w:tcPr>
          <w:p w14:paraId="378E98EE"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20-24</w:t>
            </w:r>
          </w:p>
        </w:tc>
        <w:tc>
          <w:tcPr>
            <w:tcW w:w="384" w:type="pct"/>
            <w:shd w:val="clear" w:color="auto" w:fill="auto"/>
            <w:noWrap/>
            <w:hideMark/>
          </w:tcPr>
          <w:p w14:paraId="748DB42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33.1</w:t>
            </w:r>
          </w:p>
        </w:tc>
        <w:tc>
          <w:tcPr>
            <w:tcW w:w="384" w:type="pct"/>
            <w:shd w:val="clear" w:color="auto" w:fill="auto"/>
            <w:noWrap/>
            <w:hideMark/>
          </w:tcPr>
          <w:p w14:paraId="7B4455B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30.3</w:t>
            </w:r>
          </w:p>
        </w:tc>
        <w:tc>
          <w:tcPr>
            <w:tcW w:w="384" w:type="pct"/>
            <w:shd w:val="clear" w:color="auto" w:fill="auto"/>
            <w:noWrap/>
            <w:hideMark/>
          </w:tcPr>
          <w:p w14:paraId="079A285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29.2</w:t>
            </w:r>
          </w:p>
        </w:tc>
        <w:tc>
          <w:tcPr>
            <w:tcW w:w="384" w:type="pct"/>
            <w:shd w:val="clear" w:color="auto" w:fill="auto"/>
            <w:noWrap/>
            <w:hideMark/>
          </w:tcPr>
          <w:p w14:paraId="4009CAF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30.2</w:t>
            </w:r>
          </w:p>
        </w:tc>
        <w:tc>
          <w:tcPr>
            <w:tcW w:w="386" w:type="pct"/>
            <w:shd w:val="clear" w:color="auto" w:fill="auto"/>
            <w:noWrap/>
            <w:hideMark/>
          </w:tcPr>
          <w:p w14:paraId="52BB9B1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34.3</w:t>
            </w:r>
          </w:p>
        </w:tc>
        <w:tc>
          <w:tcPr>
            <w:tcW w:w="384" w:type="pct"/>
            <w:shd w:val="clear" w:color="auto" w:fill="auto"/>
            <w:noWrap/>
            <w:hideMark/>
          </w:tcPr>
          <w:p w14:paraId="023A119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41.3</w:t>
            </w:r>
          </w:p>
        </w:tc>
        <w:tc>
          <w:tcPr>
            <w:tcW w:w="384" w:type="pct"/>
            <w:shd w:val="clear" w:color="auto" w:fill="auto"/>
            <w:noWrap/>
            <w:hideMark/>
          </w:tcPr>
          <w:p w14:paraId="08C1528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45.7</w:t>
            </w:r>
          </w:p>
        </w:tc>
        <w:tc>
          <w:tcPr>
            <w:tcW w:w="384" w:type="pct"/>
            <w:shd w:val="clear" w:color="auto" w:fill="auto"/>
            <w:noWrap/>
            <w:hideMark/>
          </w:tcPr>
          <w:p w14:paraId="7B86DC6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50.2</w:t>
            </w:r>
          </w:p>
        </w:tc>
        <w:tc>
          <w:tcPr>
            <w:tcW w:w="385" w:type="pct"/>
            <w:shd w:val="clear" w:color="auto" w:fill="auto"/>
            <w:noWrap/>
            <w:hideMark/>
          </w:tcPr>
          <w:p w14:paraId="7FC16AF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54.4</w:t>
            </w:r>
          </w:p>
        </w:tc>
      </w:tr>
      <w:tr w:rsidR="00AF0ADF" w:rsidRPr="00D960DD" w14:paraId="2C9B28D8" w14:textId="77777777" w:rsidTr="003345DF">
        <w:trPr>
          <w:trHeight w:val="253"/>
        </w:trPr>
        <w:tc>
          <w:tcPr>
            <w:tcW w:w="1540" w:type="pct"/>
            <w:shd w:val="clear" w:color="auto" w:fill="auto"/>
            <w:noWrap/>
            <w:hideMark/>
          </w:tcPr>
          <w:p w14:paraId="707445A9"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25-29</w:t>
            </w:r>
          </w:p>
        </w:tc>
        <w:tc>
          <w:tcPr>
            <w:tcW w:w="384" w:type="pct"/>
            <w:shd w:val="clear" w:color="auto" w:fill="auto"/>
            <w:noWrap/>
            <w:hideMark/>
          </w:tcPr>
          <w:p w14:paraId="37A14A7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36.8</w:t>
            </w:r>
          </w:p>
        </w:tc>
        <w:tc>
          <w:tcPr>
            <w:tcW w:w="384" w:type="pct"/>
            <w:shd w:val="clear" w:color="auto" w:fill="auto"/>
            <w:noWrap/>
            <w:hideMark/>
          </w:tcPr>
          <w:p w14:paraId="41B1E08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33.3</w:t>
            </w:r>
          </w:p>
        </w:tc>
        <w:tc>
          <w:tcPr>
            <w:tcW w:w="384" w:type="pct"/>
            <w:shd w:val="clear" w:color="auto" w:fill="auto"/>
            <w:noWrap/>
            <w:hideMark/>
          </w:tcPr>
          <w:p w14:paraId="5FFFE1E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32.6</w:t>
            </w:r>
          </w:p>
        </w:tc>
        <w:tc>
          <w:tcPr>
            <w:tcW w:w="384" w:type="pct"/>
            <w:shd w:val="clear" w:color="auto" w:fill="auto"/>
            <w:noWrap/>
            <w:hideMark/>
          </w:tcPr>
          <w:p w14:paraId="768A379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33.2</w:t>
            </w:r>
          </w:p>
        </w:tc>
        <w:tc>
          <w:tcPr>
            <w:tcW w:w="386" w:type="pct"/>
            <w:shd w:val="clear" w:color="auto" w:fill="auto"/>
            <w:noWrap/>
            <w:hideMark/>
          </w:tcPr>
          <w:p w14:paraId="2F84033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36.6</w:t>
            </w:r>
          </w:p>
        </w:tc>
        <w:tc>
          <w:tcPr>
            <w:tcW w:w="384" w:type="pct"/>
            <w:shd w:val="clear" w:color="auto" w:fill="auto"/>
            <w:noWrap/>
            <w:hideMark/>
          </w:tcPr>
          <w:p w14:paraId="767CEB0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42.8</w:t>
            </w:r>
          </w:p>
        </w:tc>
        <w:tc>
          <w:tcPr>
            <w:tcW w:w="384" w:type="pct"/>
            <w:shd w:val="clear" w:color="auto" w:fill="auto"/>
            <w:noWrap/>
            <w:hideMark/>
          </w:tcPr>
          <w:p w14:paraId="3151BB1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47.5</w:t>
            </w:r>
          </w:p>
        </w:tc>
        <w:tc>
          <w:tcPr>
            <w:tcW w:w="384" w:type="pct"/>
            <w:shd w:val="clear" w:color="auto" w:fill="auto"/>
            <w:noWrap/>
            <w:hideMark/>
          </w:tcPr>
          <w:p w14:paraId="2783674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52.4</w:t>
            </w:r>
          </w:p>
        </w:tc>
        <w:tc>
          <w:tcPr>
            <w:tcW w:w="385" w:type="pct"/>
            <w:shd w:val="clear" w:color="auto" w:fill="auto"/>
            <w:noWrap/>
            <w:hideMark/>
          </w:tcPr>
          <w:p w14:paraId="771CF2C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56.4</w:t>
            </w:r>
          </w:p>
        </w:tc>
      </w:tr>
      <w:tr w:rsidR="00AF0ADF" w:rsidRPr="00D960DD" w14:paraId="5DA17BB2" w14:textId="77777777" w:rsidTr="003345DF">
        <w:trPr>
          <w:trHeight w:val="253"/>
        </w:trPr>
        <w:tc>
          <w:tcPr>
            <w:tcW w:w="1540" w:type="pct"/>
            <w:shd w:val="clear" w:color="auto" w:fill="auto"/>
            <w:noWrap/>
            <w:hideMark/>
          </w:tcPr>
          <w:p w14:paraId="577AAAE1"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30-34</w:t>
            </w:r>
          </w:p>
        </w:tc>
        <w:tc>
          <w:tcPr>
            <w:tcW w:w="384" w:type="pct"/>
            <w:shd w:val="clear" w:color="auto" w:fill="auto"/>
            <w:noWrap/>
            <w:hideMark/>
          </w:tcPr>
          <w:p w14:paraId="17FA4D5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39.4</w:t>
            </w:r>
          </w:p>
        </w:tc>
        <w:tc>
          <w:tcPr>
            <w:tcW w:w="384" w:type="pct"/>
            <w:shd w:val="clear" w:color="auto" w:fill="auto"/>
            <w:noWrap/>
            <w:hideMark/>
          </w:tcPr>
          <w:p w14:paraId="7876912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36.4</w:t>
            </w:r>
          </w:p>
        </w:tc>
        <w:tc>
          <w:tcPr>
            <w:tcW w:w="384" w:type="pct"/>
            <w:shd w:val="clear" w:color="auto" w:fill="auto"/>
            <w:noWrap/>
            <w:hideMark/>
          </w:tcPr>
          <w:p w14:paraId="77AC1B2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35.5</w:t>
            </w:r>
          </w:p>
        </w:tc>
        <w:tc>
          <w:tcPr>
            <w:tcW w:w="384" w:type="pct"/>
            <w:shd w:val="clear" w:color="auto" w:fill="auto"/>
            <w:noWrap/>
            <w:hideMark/>
          </w:tcPr>
          <w:p w14:paraId="209A7CD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36.3</w:t>
            </w:r>
          </w:p>
        </w:tc>
        <w:tc>
          <w:tcPr>
            <w:tcW w:w="386" w:type="pct"/>
            <w:shd w:val="clear" w:color="auto" w:fill="auto"/>
            <w:noWrap/>
            <w:hideMark/>
          </w:tcPr>
          <w:p w14:paraId="61B302B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39.5</w:t>
            </w:r>
          </w:p>
        </w:tc>
        <w:tc>
          <w:tcPr>
            <w:tcW w:w="384" w:type="pct"/>
            <w:shd w:val="clear" w:color="auto" w:fill="auto"/>
            <w:noWrap/>
            <w:hideMark/>
          </w:tcPr>
          <w:p w14:paraId="2B7C077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44.1</w:t>
            </w:r>
          </w:p>
        </w:tc>
        <w:tc>
          <w:tcPr>
            <w:tcW w:w="384" w:type="pct"/>
            <w:shd w:val="clear" w:color="auto" w:fill="auto"/>
            <w:noWrap/>
            <w:hideMark/>
          </w:tcPr>
          <w:p w14:paraId="50362F2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48.8</w:t>
            </w:r>
          </w:p>
        </w:tc>
        <w:tc>
          <w:tcPr>
            <w:tcW w:w="384" w:type="pct"/>
            <w:shd w:val="clear" w:color="auto" w:fill="auto"/>
            <w:noWrap/>
            <w:hideMark/>
          </w:tcPr>
          <w:p w14:paraId="49BCA2D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53.4</w:t>
            </w:r>
          </w:p>
        </w:tc>
        <w:tc>
          <w:tcPr>
            <w:tcW w:w="385" w:type="pct"/>
            <w:shd w:val="clear" w:color="auto" w:fill="auto"/>
            <w:noWrap/>
            <w:hideMark/>
          </w:tcPr>
          <w:p w14:paraId="64C1107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56.6</w:t>
            </w:r>
          </w:p>
        </w:tc>
      </w:tr>
      <w:tr w:rsidR="00AF0ADF" w:rsidRPr="00D960DD" w14:paraId="68471E94" w14:textId="77777777" w:rsidTr="003345DF">
        <w:trPr>
          <w:trHeight w:val="253"/>
        </w:trPr>
        <w:tc>
          <w:tcPr>
            <w:tcW w:w="1540" w:type="pct"/>
            <w:shd w:val="clear" w:color="auto" w:fill="auto"/>
            <w:noWrap/>
            <w:hideMark/>
          </w:tcPr>
          <w:p w14:paraId="17134D09"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35-39</w:t>
            </w:r>
          </w:p>
        </w:tc>
        <w:tc>
          <w:tcPr>
            <w:tcW w:w="384" w:type="pct"/>
            <w:shd w:val="clear" w:color="auto" w:fill="auto"/>
            <w:noWrap/>
            <w:hideMark/>
          </w:tcPr>
          <w:p w14:paraId="5A7EFEE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40.0</w:t>
            </w:r>
          </w:p>
        </w:tc>
        <w:tc>
          <w:tcPr>
            <w:tcW w:w="384" w:type="pct"/>
            <w:shd w:val="clear" w:color="auto" w:fill="auto"/>
            <w:noWrap/>
            <w:hideMark/>
          </w:tcPr>
          <w:p w14:paraId="5506ADD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37.6</w:t>
            </w:r>
          </w:p>
        </w:tc>
        <w:tc>
          <w:tcPr>
            <w:tcW w:w="384" w:type="pct"/>
            <w:shd w:val="clear" w:color="auto" w:fill="auto"/>
            <w:noWrap/>
            <w:hideMark/>
          </w:tcPr>
          <w:p w14:paraId="7C476EC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36.2</w:t>
            </w:r>
          </w:p>
        </w:tc>
        <w:tc>
          <w:tcPr>
            <w:tcW w:w="384" w:type="pct"/>
            <w:shd w:val="clear" w:color="auto" w:fill="auto"/>
            <w:noWrap/>
            <w:hideMark/>
          </w:tcPr>
          <w:p w14:paraId="5B720DE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37.4</w:t>
            </w:r>
          </w:p>
        </w:tc>
        <w:tc>
          <w:tcPr>
            <w:tcW w:w="386" w:type="pct"/>
            <w:shd w:val="clear" w:color="auto" w:fill="auto"/>
            <w:noWrap/>
            <w:hideMark/>
          </w:tcPr>
          <w:p w14:paraId="418B4A2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40.2</w:t>
            </w:r>
          </w:p>
        </w:tc>
        <w:tc>
          <w:tcPr>
            <w:tcW w:w="384" w:type="pct"/>
            <w:shd w:val="clear" w:color="auto" w:fill="auto"/>
            <w:noWrap/>
            <w:hideMark/>
          </w:tcPr>
          <w:p w14:paraId="17A7A23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44.3</w:t>
            </w:r>
          </w:p>
        </w:tc>
        <w:tc>
          <w:tcPr>
            <w:tcW w:w="384" w:type="pct"/>
            <w:shd w:val="clear" w:color="auto" w:fill="auto"/>
            <w:noWrap/>
            <w:hideMark/>
          </w:tcPr>
          <w:p w14:paraId="1506E3B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49.0</w:t>
            </w:r>
          </w:p>
        </w:tc>
        <w:tc>
          <w:tcPr>
            <w:tcW w:w="384" w:type="pct"/>
            <w:shd w:val="clear" w:color="auto" w:fill="auto"/>
            <w:noWrap/>
            <w:hideMark/>
          </w:tcPr>
          <w:p w14:paraId="445B6F4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52.7</w:t>
            </w:r>
          </w:p>
        </w:tc>
        <w:tc>
          <w:tcPr>
            <w:tcW w:w="385" w:type="pct"/>
            <w:shd w:val="clear" w:color="auto" w:fill="auto"/>
            <w:noWrap/>
            <w:hideMark/>
          </w:tcPr>
          <w:p w14:paraId="02C8B15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55.4</w:t>
            </w:r>
          </w:p>
        </w:tc>
      </w:tr>
      <w:tr w:rsidR="00AF0ADF" w:rsidRPr="00D960DD" w14:paraId="22046152" w14:textId="77777777" w:rsidTr="003345DF">
        <w:trPr>
          <w:trHeight w:val="253"/>
        </w:trPr>
        <w:tc>
          <w:tcPr>
            <w:tcW w:w="1540" w:type="pct"/>
            <w:shd w:val="clear" w:color="auto" w:fill="auto"/>
            <w:noWrap/>
            <w:hideMark/>
          </w:tcPr>
          <w:p w14:paraId="0B6D0FC7"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40 and over</w:t>
            </w:r>
          </w:p>
        </w:tc>
        <w:tc>
          <w:tcPr>
            <w:tcW w:w="384" w:type="pct"/>
            <w:shd w:val="clear" w:color="auto" w:fill="auto"/>
            <w:noWrap/>
            <w:hideMark/>
          </w:tcPr>
          <w:p w14:paraId="7203010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39.5</w:t>
            </w:r>
          </w:p>
        </w:tc>
        <w:tc>
          <w:tcPr>
            <w:tcW w:w="384" w:type="pct"/>
            <w:shd w:val="clear" w:color="auto" w:fill="auto"/>
            <w:noWrap/>
            <w:hideMark/>
          </w:tcPr>
          <w:p w14:paraId="784AA10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38.1</w:t>
            </w:r>
          </w:p>
        </w:tc>
        <w:tc>
          <w:tcPr>
            <w:tcW w:w="384" w:type="pct"/>
            <w:shd w:val="clear" w:color="auto" w:fill="auto"/>
            <w:noWrap/>
            <w:hideMark/>
          </w:tcPr>
          <w:p w14:paraId="620FD08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35.8</w:t>
            </w:r>
          </w:p>
        </w:tc>
        <w:tc>
          <w:tcPr>
            <w:tcW w:w="384" w:type="pct"/>
            <w:shd w:val="clear" w:color="auto" w:fill="auto"/>
            <w:noWrap/>
            <w:hideMark/>
          </w:tcPr>
          <w:p w14:paraId="13BF75D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37.5</w:t>
            </w:r>
          </w:p>
        </w:tc>
        <w:tc>
          <w:tcPr>
            <w:tcW w:w="386" w:type="pct"/>
            <w:shd w:val="clear" w:color="auto" w:fill="auto"/>
            <w:noWrap/>
            <w:hideMark/>
          </w:tcPr>
          <w:p w14:paraId="331814F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39.6</w:t>
            </w:r>
          </w:p>
        </w:tc>
        <w:tc>
          <w:tcPr>
            <w:tcW w:w="384" w:type="pct"/>
            <w:shd w:val="clear" w:color="auto" w:fill="auto"/>
            <w:noWrap/>
            <w:hideMark/>
          </w:tcPr>
          <w:p w14:paraId="3DEA18F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44.0</w:t>
            </w:r>
          </w:p>
        </w:tc>
        <w:tc>
          <w:tcPr>
            <w:tcW w:w="384" w:type="pct"/>
            <w:shd w:val="clear" w:color="auto" w:fill="auto"/>
            <w:noWrap/>
            <w:hideMark/>
          </w:tcPr>
          <w:p w14:paraId="58CD44A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47.5</w:t>
            </w:r>
          </w:p>
        </w:tc>
        <w:tc>
          <w:tcPr>
            <w:tcW w:w="384" w:type="pct"/>
            <w:shd w:val="clear" w:color="auto" w:fill="auto"/>
            <w:noWrap/>
            <w:hideMark/>
          </w:tcPr>
          <w:p w14:paraId="55D0857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51.5</w:t>
            </w:r>
          </w:p>
        </w:tc>
        <w:tc>
          <w:tcPr>
            <w:tcW w:w="385" w:type="pct"/>
            <w:shd w:val="clear" w:color="auto" w:fill="auto"/>
            <w:noWrap/>
            <w:hideMark/>
          </w:tcPr>
          <w:p w14:paraId="3B9D70F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53.8</w:t>
            </w:r>
          </w:p>
        </w:tc>
      </w:tr>
      <w:tr w:rsidR="00AF0ADF" w:rsidRPr="00D960DD" w14:paraId="795E6D84" w14:textId="77777777" w:rsidTr="00AF0ADF">
        <w:trPr>
          <w:trHeight w:val="253"/>
        </w:trPr>
        <w:tc>
          <w:tcPr>
            <w:tcW w:w="5000" w:type="pct"/>
            <w:gridSpan w:val="10"/>
            <w:shd w:val="clear" w:color="auto" w:fill="auto"/>
            <w:noWrap/>
            <w:hideMark/>
          </w:tcPr>
          <w:p w14:paraId="1D163E3D" w14:textId="4999272F" w:rsidR="00AF0ADF" w:rsidRPr="00315C37" w:rsidRDefault="00AF0ADF" w:rsidP="00AF0ADF">
            <w:pPr>
              <w:rPr>
                <w:rFonts w:cstheme="minorHAnsi"/>
                <w:sz w:val="20"/>
                <w:szCs w:val="20"/>
              </w:rPr>
            </w:pPr>
            <w:r w:rsidRPr="00315C37">
              <w:rPr>
                <w:rFonts w:cstheme="minorHAnsi"/>
                <w:b/>
                <w:bCs/>
                <w:color w:val="000000"/>
                <w:sz w:val="20"/>
                <w:szCs w:val="20"/>
              </w:rPr>
              <w:t xml:space="preserve">Mother's </w:t>
            </w:r>
            <w:r w:rsidR="00FB0C38">
              <w:rPr>
                <w:rFonts w:cstheme="minorHAnsi"/>
                <w:b/>
                <w:bCs/>
                <w:color w:val="000000"/>
                <w:sz w:val="20"/>
                <w:szCs w:val="20"/>
              </w:rPr>
              <w:t>Indig</w:t>
            </w:r>
            <w:r w:rsidRPr="00315C37">
              <w:rPr>
                <w:rFonts w:cstheme="minorHAnsi"/>
                <w:b/>
                <w:bCs/>
                <w:color w:val="000000"/>
                <w:sz w:val="20"/>
                <w:szCs w:val="20"/>
              </w:rPr>
              <w:t>enous status</w:t>
            </w:r>
          </w:p>
        </w:tc>
      </w:tr>
      <w:tr w:rsidR="00AF0ADF" w:rsidRPr="00D960DD" w14:paraId="60486D92" w14:textId="77777777" w:rsidTr="003345DF">
        <w:trPr>
          <w:trHeight w:val="253"/>
        </w:trPr>
        <w:tc>
          <w:tcPr>
            <w:tcW w:w="1540" w:type="pct"/>
            <w:shd w:val="clear" w:color="auto" w:fill="auto"/>
            <w:noWrap/>
            <w:hideMark/>
          </w:tcPr>
          <w:p w14:paraId="369C6C78"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Indigenous</w:t>
            </w:r>
          </w:p>
        </w:tc>
        <w:tc>
          <w:tcPr>
            <w:tcW w:w="384" w:type="pct"/>
            <w:shd w:val="clear" w:color="auto" w:fill="auto"/>
            <w:noWrap/>
            <w:hideMark/>
          </w:tcPr>
          <w:p w14:paraId="29FA19D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28.4</w:t>
            </w:r>
          </w:p>
        </w:tc>
        <w:tc>
          <w:tcPr>
            <w:tcW w:w="384" w:type="pct"/>
            <w:shd w:val="clear" w:color="auto" w:fill="auto"/>
            <w:noWrap/>
            <w:hideMark/>
          </w:tcPr>
          <w:p w14:paraId="7ABD928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28.8</w:t>
            </w:r>
          </w:p>
        </w:tc>
        <w:tc>
          <w:tcPr>
            <w:tcW w:w="384" w:type="pct"/>
            <w:shd w:val="clear" w:color="auto" w:fill="auto"/>
            <w:noWrap/>
            <w:hideMark/>
          </w:tcPr>
          <w:p w14:paraId="55AA83C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28.0</w:t>
            </w:r>
          </w:p>
        </w:tc>
        <w:tc>
          <w:tcPr>
            <w:tcW w:w="384" w:type="pct"/>
            <w:shd w:val="clear" w:color="auto" w:fill="auto"/>
            <w:noWrap/>
            <w:hideMark/>
          </w:tcPr>
          <w:p w14:paraId="098E618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30.9</w:t>
            </w:r>
          </w:p>
        </w:tc>
        <w:tc>
          <w:tcPr>
            <w:tcW w:w="386" w:type="pct"/>
            <w:shd w:val="clear" w:color="auto" w:fill="auto"/>
            <w:noWrap/>
            <w:hideMark/>
          </w:tcPr>
          <w:p w14:paraId="36414C8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34.3</w:t>
            </w:r>
          </w:p>
        </w:tc>
        <w:tc>
          <w:tcPr>
            <w:tcW w:w="384" w:type="pct"/>
            <w:shd w:val="clear" w:color="auto" w:fill="auto"/>
            <w:noWrap/>
            <w:hideMark/>
          </w:tcPr>
          <w:p w14:paraId="02214C2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40.1</w:t>
            </w:r>
          </w:p>
        </w:tc>
        <w:tc>
          <w:tcPr>
            <w:tcW w:w="384" w:type="pct"/>
            <w:shd w:val="clear" w:color="auto" w:fill="auto"/>
            <w:noWrap/>
            <w:hideMark/>
          </w:tcPr>
          <w:p w14:paraId="52744D9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42.9</w:t>
            </w:r>
          </w:p>
        </w:tc>
        <w:tc>
          <w:tcPr>
            <w:tcW w:w="384" w:type="pct"/>
            <w:shd w:val="clear" w:color="auto" w:fill="auto"/>
            <w:noWrap/>
            <w:hideMark/>
          </w:tcPr>
          <w:p w14:paraId="52D15B4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46.0</w:t>
            </w:r>
          </w:p>
        </w:tc>
        <w:tc>
          <w:tcPr>
            <w:tcW w:w="385" w:type="pct"/>
            <w:shd w:val="clear" w:color="auto" w:fill="auto"/>
            <w:noWrap/>
            <w:hideMark/>
          </w:tcPr>
          <w:p w14:paraId="44A7468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47.4</w:t>
            </w:r>
          </w:p>
        </w:tc>
      </w:tr>
      <w:tr w:rsidR="00AF0ADF" w:rsidRPr="00D960DD" w14:paraId="41924874" w14:textId="77777777" w:rsidTr="003345DF">
        <w:trPr>
          <w:trHeight w:val="253"/>
        </w:trPr>
        <w:tc>
          <w:tcPr>
            <w:tcW w:w="1540" w:type="pct"/>
            <w:shd w:val="clear" w:color="auto" w:fill="auto"/>
            <w:noWrap/>
            <w:hideMark/>
          </w:tcPr>
          <w:p w14:paraId="55A06868"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Non-Indigenous</w:t>
            </w:r>
          </w:p>
        </w:tc>
        <w:tc>
          <w:tcPr>
            <w:tcW w:w="384" w:type="pct"/>
            <w:shd w:val="clear" w:color="auto" w:fill="auto"/>
            <w:noWrap/>
            <w:hideMark/>
          </w:tcPr>
          <w:p w14:paraId="05D24CF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36.8</w:t>
            </w:r>
          </w:p>
        </w:tc>
        <w:tc>
          <w:tcPr>
            <w:tcW w:w="384" w:type="pct"/>
            <w:shd w:val="clear" w:color="auto" w:fill="auto"/>
            <w:noWrap/>
            <w:hideMark/>
          </w:tcPr>
          <w:p w14:paraId="6FDFDB9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34.2</w:t>
            </w:r>
          </w:p>
        </w:tc>
        <w:tc>
          <w:tcPr>
            <w:tcW w:w="384" w:type="pct"/>
            <w:shd w:val="clear" w:color="auto" w:fill="auto"/>
            <w:noWrap/>
            <w:hideMark/>
          </w:tcPr>
          <w:p w14:paraId="79F77E8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33.0</w:t>
            </w:r>
          </w:p>
        </w:tc>
        <w:tc>
          <w:tcPr>
            <w:tcW w:w="384" w:type="pct"/>
            <w:shd w:val="clear" w:color="auto" w:fill="auto"/>
            <w:noWrap/>
            <w:hideMark/>
          </w:tcPr>
          <w:p w14:paraId="26BED3A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33.8</w:t>
            </w:r>
          </w:p>
        </w:tc>
        <w:tc>
          <w:tcPr>
            <w:tcW w:w="386" w:type="pct"/>
            <w:shd w:val="clear" w:color="auto" w:fill="auto"/>
            <w:noWrap/>
            <w:hideMark/>
          </w:tcPr>
          <w:p w14:paraId="01CA347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37.1</w:t>
            </w:r>
          </w:p>
        </w:tc>
        <w:tc>
          <w:tcPr>
            <w:tcW w:w="384" w:type="pct"/>
            <w:shd w:val="clear" w:color="auto" w:fill="auto"/>
            <w:noWrap/>
            <w:hideMark/>
          </w:tcPr>
          <w:p w14:paraId="454C673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42.6</w:t>
            </w:r>
          </w:p>
        </w:tc>
        <w:tc>
          <w:tcPr>
            <w:tcW w:w="384" w:type="pct"/>
            <w:shd w:val="clear" w:color="auto" w:fill="auto"/>
            <w:noWrap/>
            <w:hideMark/>
          </w:tcPr>
          <w:p w14:paraId="1F1F9D1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47.3</w:t>
            </w:r>
          </w:p>
        </w:tc>
        <w:tc>
          <w:tcPr>
            <w:tcW w:w="384" w:type="pct"/>
            <w:shd w:val="clear" w:color="auto" w:fill="auto"/>
            <w:noWrap/>
            <w:hideMark/>
          </w:tcPr>
          <w:p w14:paraId="1ADA677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51.6</w:t>
            </w:r>
          </w:p>
        </w:tc>
        <w:tc>
          <w:tcPr>
            <w:tcW w:w="385" w:type="pct"/>
            <w:shd w:val="clear" w:color="auto" w:fill="auto"/>
            <w:noWrap/>
            <w:hideMark/>
          </w:tcPr>
          <w:p w14:paraId="47C0914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54.4</w:t>
            </w:r>
          </w:p>
        </w:tc>
      </w:tr>
      <w:tr w:rsidR="00AF0ADF" w:rsidRPr="00D960DD" w14:paraId="2568408E" w14:textId="77777777" w:rsidTr="00AF0ADF">
        <w:trPr>
          <w:trHeight w:val="253"/>
        </w:trPr>
        <w:tc>
          <w:tcPr>
            <w:tcW w:w="5000" w:type="pct"/>
            <w:gridSpan w:val="10"/>
            <w:shd w:val="clear" w:color="auto" w:fill="auto"/>
            <w:noWrap/>
            <w:hideMark/>
          </w:tcPr>
          <w:p w14:paraId="23F2670E" w14:textId="77777777" w:rsidR="00AF0ADF" w:rsidRPr="00315C37" w:rsidRDefault="00AF0ADF" w:rsidP="00AF0ADF">
            <w:pPr>
              <w:rPr>
                <w:rFonts w:cstheme="minorHAnsi"/>
                <w:sz w:val="20"/>
                <w:szCs w:val="20"/>
              </w:rPr>
            </w:pPr>
            <w:r w:rsidRPr="00315C37">
              <w:rPr>
                <w:rFonts w:cstheme="minorHAnsi"/>
                <w:b/>
                <w:bCs/>
                <w:color w:val="000000"/>
                <w:sz w:val="20"/>
                <w:szCs w:val="20"/>
              </w:rPr>
              <w:t>Remoteness of mother's usual residence</w:t>
            </w:r>
          </w:p>
        </w:tc>
      </w:tr>
      <w:tr w:rsidR="00AF0ADF" w:rsidRPr="00D960DD" w14:paraId="3AFA2F0D" w14:textId="77777777" w:rsidTr="003345DF">
        <w:trPr>
          <w:trHeight w:val="253"/>
        </w:trPr>
        <w:tc>
          <w:tcPr>
            <w:tcW w:w="1540" w:type="pct"/>
            <w:shd w:val="clear" w:color="auto" w:fill="auto"/>
            <w:noWrap/>
            <w:hideMark/>
          </w:tcPr>
          <w:p w14:paraId="2B815178"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Major cities</w:t>
            </w:r>
          </w:p>
        </w:tc>
        <w:tc>
          <w:tcPr>
            <w:tcW w:w="384" w:type="pct"/>
            <w:shd w:val="clear" w:color="auto" w:fill="auto"/>
            <w:noWrap/>
            <w:hideMark/>
          </w:tcPr>
          <w:p w14:paraId="1B1F1FD2" w14:textId="47059A45"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141469B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32.5</w:t>
            </w:r>
          </w:p>
        </w:tc>
        <w:tc>
          <w:tcPr>
            <w:tcW w:w="384" w:type="pct"/>
            <w:shd w:val="clear" w:color="auto" w:fill="auto"/>
            <w:noWrap/>
            <w:hideMark/>
          </w:tcPr>
          <w:p w14:paraId="6E298F8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31.7</w:t>
            </w:r>
          </w:p>
        </w:tc>
        <w:tc>
          <w:tcPr>
            <w:tcW w:w="384" w:type="pct"/>
            <w:shd w:val="clear" w:color="auto" w:fill="auto"/>
            <w:noWrap/>
            <w:hideMark/>
          </w:tcPr>
          <w:p w14:paraId="4B74821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32.7</w:t>
            </w:r>
          </w:p>
        </w:tc>
        <w:tc>
          <w:tcPr>
            <w:tcW w:w="386" w:type="pct"/>
            <w:shd w:val="clear" w:color="auto" w:fill="auto"/>
            <w:noWrap/>
            <w:hideMark/>
          </w:tcPr>
          <w:p w14:paraId="4FAF87F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36.2</w:t>
            </w:r>
          </w:p>
        </w:tc>
        <w:tc>
          <w:tcPr>
            <w:tcW w:w="384" w:type="pct"/>
            <w:shd w:val="clear" w:color="auto" w:fill="auto"/>
            <w:noWrap/>
            <w:hideMark/>
          </w:tcPr>
          <w:p w14:paraId="1C00FAB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41.2</w:t>
            </w:r>
          </w:p>
        </w:tc>
        <w:tc>
          <w:tcPr>
            <w:tcW w:w="384" w:type="pct"/>
            <w:shd w:val="clear" w:color="auto" w:fill="auto"/>
            <w:noWrap/>
            <w:hideMark/>
          </w:tcPr>
          <w:p w14:paraId="6C9FC18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46.7</w:t>
            </w:r>
          </w:p>
        </w:tc>
        <w:tc>
          <w:tcPr>
            <w:tcW w:w="384" w:type="pct"/>
            <w:shd w:val="clear" w:color="auto" w:fill="auto"/>
            <w:noWrap/>
            <w:hideMark/>
          </w:tcPr>
          <w:p w14:paraId="47CF6F7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51.8</w:t>
            </w:r>
          </w:p>
        </w:tc>
        <w:tc>
          <w:tcPr>
            <w:tcW w:w="385" w:type="pct"/>
            <w:shd w:val="clear" w:color="auto" w:fill="auto"/>
            <w:noWrap/>
            <w:hideMark/>
          </w:tcPr>
          <w:p w14:paraId="7BF32C5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55.2</w:t>
            </w:r>
          </w:p>
        </w:tc>
      </w:tr>
      <w:tr w:rsidR="00AF0ADF" w:rsidRPr="00D960DD" w14:paraId="504DA2E2" w14:textId="77777777" w:rsidTr="003345DF">
        <w:trPr>
          <w:trHeight w:val="253"/>
        </w:trPr>
        <w:tc>
          <w:tcPr>
            <w:tcW w:w="1540" w:type="pct"/>
            <w:shd w:val="clear" w:color="auto" w:fill="auto"/>
            <w:noWrap/>
            <w:hideMark/>
          </w:tcPr>
          <w:p w14:paraId="2AEBC6FD"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Inner regional</w:t>
            </w:r>
          </w:p>
        </w:tc>
        <w:tc>
          <w:tcPr>
            <w:tcW w:w="384" w:type="pct"/>
            <w:shd w:val="clear" w:color="auto" w:fill="auto"/>
            <w:noWrap/>
            <w:hideMark/>
          </w:tcPr>
          <w:p w14:paraId="323D9368" w14:textId="3AE28E73"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7F4CB8C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36.3</w:t>
            </w:r>
          </w:p>
        </w:tc>
        <w:tc>
          <w:tcPr>
            <w:tcW w:w="384" w:type="pct"/>
            <w:shd w:val="clear" w:color="auto" w:fill="auto"/>
            <w:noWrap/>
            <w:hideMark/>
          </w:tcPr>
          <w:p w14:paraId="3D5A56E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36.5</w:t>
            </w:r>
          </w:p>
        </w:tc>
        <w:tc>
          <w:tcPr>
            <w:tcW w:w="384" w:type="pct"/>
            <w:shd w:val="clear" w:color="auto" w:fill="auto"/>
            <w:noWrap/>
            <w:hideMark/>
          </w:tcPr>
          <w:p w14:paraId="4DC4D23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37.6</w:t>
            </w:r>
          </w:p>
        </w:tc>
        <w:tc>
          <w:tcPr>
            <w:tcW w:w="386" w:type="pct"/>
            <w:shd w:val="clear" w:color="auto" w:fill="auto"/>
            <w:noWrap/>
            <w:hideMark/>
          </w:tcPr>
          <w:p w14:paraId="12C1F40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39.7</w:t>
            </w:r>
          </w:p>
        </w:tc>
        <w:tc>
          <w:tcPr>
            <w:tcW w:w="384" w:type="pct"/>
            <w:shd w:val="clear" w:color="auto" w:fill="auto"/>
            <w:noWrap/>
            <w:hideMark/>
          </w:tcPr>
          <w:p w14:paraId="35BAAAA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48.0</w:t>
            </w:r>
          </w:p>
        </w:tc>
        <w:tc>
          <w:tcPr>
            <w:tcW w:w="384" w:type="pct"/>
            <w:shd w:val="clear" w:color="auto" w:fill="auto"/>
            <w:noWrap/>
            <w:hideMark/>
          </w:tcPr>
          <w:p w14:paraId="5531657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52.9</w:t>
            </w:r>
          </w:p>
        </w:tc>
        <w:tc>
          <w:tcPr>
            <w:tcW w:w="384" w:type="pct"/>
            <w:shd w:val="clear" w:color="auto" w:fill="auto"/>
            <w:noWrap/>
            <w:hideMark/>
          </w:tcPr>
          <w:p w14:paraId="630D704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54.5</w:t>
            </w:r>
          </w:p>
        </w:tc>
        <w:tc>
          <w:tcPr>
            <w:tcW w:w="385" w:type="pct"/>
            <w:shd w:val="clear" w:color="auto" w:fill="auto"/>
            <w:noWrap/>
            <w:hideMark/>
          </w:tcPr>
          <w:p w14:paraId="159A020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58.0</w:t>
            </w:r>
          </w:p>
        </w:tc>
      </w:tr>
      <w:tr w:rsidR="00AF0ADF" w:rsidRPr="00D960DD" w14:paraId="5F3DB620" w14:textId="77777777" w:rsidTr="003345DF">
        <w:trPr>
          <w:trHeight w:val="253"/>
        </w:trPr>
        <w:tc>
          <w:tcPr>
            <w:tcW w:w="1540" w:type="pct"/>
            <w:shd w:val="clear" w:color="auto" w:fill="auto"/>
            <w:noWrap/>
            <w:hideMark/>
          </w:tcPr>
          <w:p w14:paraId="4D6EA319"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Outer regional</w:t>
            </w:r>
          </w:p>
        </w:tc>
        <w:tc>
          <w:tcPr>
            <w:tcW w:w="384" w:type="pct"/>
            <w:shd w:val="clear" w:color="auto" w:fill="auto"/>
            <w:noWrap/>
            <w:hideMark/>
          </w:tcPr>
          <w:p w14:paraId="2873DE9C" w14:textId="239ED780"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002FC91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41.9</w:t>
            </w:r>
          </w:p>
        </w:tc>
        <w:tc>
          <w:tcPr>
            <w:tcW w:w="384" w:type="pct"/>
            <w:shd w:val="clear" w:color="auto" w:fill="auto"/>
            <w:noWrap/>
            <w:hideMark/>
          </w:tcPr>
          <w:p w14:paraId="44411BB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41.6</w:t>
            </w:r>
          </w:p>
        </w:tc>
        <w:tc>
          <w:tcPr>
            <w:tcW w:w="384" w:type="pct"/>
            <w:shd w:val="clear" w:color="auto" w:fill="auto"/>
            <w:noWrap/>
            <w:hideMark/>
          </w:tcPr>
          <w:p w14:paraId="10D212F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43.3</w:t>
            </w:r>
          </w:p>
        </w:tc>
        <w:tc>
          <w:tcPr>
            <w:tcW w:w="386" w:type="pct"/>
            <w:shd w:val="clear" w:color="auto" w:fill="auto"/>
            <w:noWrap/>
            <w:hideMark/>
          </w:tcPr>
          <w:p w14:paraId="662DF51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46.9</w:t>
            </w:r>
          </w:p>
        </w:tc>
        <w:tc>
          <w:tcPr>
            <w:tcW w:w="384" w:type="pct"/>
            <w:shd w:val="clear" w:color="auto" w:fill="auto"/>
            <w:noWrap/>
            <w:hideMark/>
          </w:tcPr>
          <w:p w14:paraId="0C1FE35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51.4</w:t>
            </w:r>
          </w:p>
        </w:tc>
        <w:tc>
          <w:tcPr>
            <w:tcW w:w="384" w:type="pct"/>
            <w:shd w:val="clear" w:color="auto" w:fill="auto"/>
            <w:noWrap/>
            <w:hideMark/>
          </w:tcPr>
          <w:p w14:paraId="3E609F9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48.9</w:t>
            </w:r>
          </w:p>
        </w:tc>
        <w:tc>
          <w:tcPr>
            <w:tcW w:w="384" w:type="pct"/>
            <w:shd w:val="clear" w:color="auto" w:fill="auto"/>
            <w:noWrap/>
            <w:hideMark/>
          </w:tcPr>
          <w:p w14:paraId="1BD69BA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53.3</w:t>
            </w:r>
          </w:p>
        </w:tc>
        <w:tc>
          <w:tcPr>
            <w:tcW w:w="385" w:type="pct"/>
            <w:shd w:val="clear" w:color="auto" w:fill="auto"/>
            <w:noWrap/>
            <w:hideMark/>
          </w:tcPr>
          <w:p w14:paraId="131D1F1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57.2</w:t>
            </w:r>
          </w:p>
        </w:tc>
      </w:tr>
      <w:tr w:rsidR="00AF0ADF" w:rsidRPr="00D960DD" w14:paraId="149DA374" w14:textId="77777777" w:rsidTr="003345DF">
        <w:trPr>
          <w:trHeight w:val="253"/>
        </w:trPr>
        <w:tc>
          <w:tcPr>
            <w:tcW w:w="1540" w:type="pct"/>
            <w:shd w:val="clear" w:color="auto" w:fill="auto"/>
            <w:noWrap/>
            <w:hideMark/>
          </w:tcPr>
          <w:p w14:paraId="5D80D97E"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Remote</w:t>
            </w:r>
          </w:p>
        </w:tc>
        <w:tc>
          <w:tcPr>
            <w:tcW w:w="384" w:type="pct"/>
            <w:shd w:val="clear" w:color="auto" w:fill="auto"/>
            <w:noWrap/>
            <w:hideMark/>
          </w:tcPr>
          <w:p w14:paraId="332497E2" w14:textId="08DE58E8"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1DE37C2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37.8</w:t>
            </w:r>
          </w:p>
        </w:tc>
        <w:tc>
          <w:tcPr>
            <w:tcW w:w="384" w:type="pct"/>
            <w:shd w:val="clear" w:color="auto" w:fill="auto"/>
            <w:noWrap/>
            <w:hideMark/>
          </w:tcPr>
          <w:p w14:paraId="3B1F208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41.4</w:t>
            </w:r>
          </w:p>
        </w:tc>
        <w:tc>
          <w:tcPr>
            <w:tcW w:w="384" w:type="pct"/>
            <w:shd w:val="clear" w:color="auto" w:fill="auto"/>
            <w:noWrap/>
            <w:hideMark/>
          </w:tcPr>
          <w:p w14:paraId="34301A5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39.1</w:t>
            </w:r>
          </w:p>
        </w:tc>
        <w:tc>
          <w:tcPr>
            <w:tcW w:w="386" w:type="pct"/>
            <w:shd w:val="clear" w:color="auto" w:fill="auto"/>
            <w:noWrap/>
            <w:hideMark/>
          </w:tcPr>
          <w:p w14:paraId="346F24A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44.4</w:t>
            </w:r>
          </w:p>
        </w:tc>
        <w:tc>
          <w:tcPr>
            <w:tcW w:w="384" w:type="pct"/>
            <w:shd w:val="clear" w:color="auto" w:fill="auto"/>
            <w:noWrap/>
            <w:hideMark/>
          </w:tcPr>
          <w:p w14:paraId="26DE7C4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49.0</w:t>
            </w:r>
          </w:p>
        </w:tc>
        <w:tc>
          <w:tcPr>
            <w:tcW w:w="384" w:type="pct"/>
            <w:shd w:val="clear" w:color="auto" w:fill="auto"/>
            <w:noWrap/>
            <w:hideMark/>
          </w:tcPr>
          <w:p w14:paraId="4052868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46.9</w:t>
            </w:r>
          </w:p>
        </w:tc>
        <w:tc>
          <w:tcPr>
            <w:tcW w:w="384" w:type="pct"/>
            <w:shd w:val="clear" w:color="auto" w:fill="auto"/>
            <w:noWrap/>
            <w:hideMark/>
          </w:tcPr>
          <w:p w14:paraId="390102D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51.3</w:t>
            </w:r>
          </w:p>
        </w:tc>
        <w:tc>
          <w:tcPr>
            <w:tcW w:w="385" w:type="pct"/>
            <w:shd w:val="clear" w:color="auto" w:fill="auto"/>
            <w:noWrap/>
            <w:hideMark/>
          </w:tcPr>
          <w:p w14:paraId="76D6418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48.4</w:t>
            </w:r>
          </w:p>
        </w:tc>
      </w:tr>
      <w:tr w:rsidR="00AF0ADF" w:rsidRPr="00D960DD" w14:paraId="69A84A5C" w14:textId="77777777" w:rsidTr="003345DF">
        <w:trPr>
          <w:trHeight w:val="253"/>
        </w:trPr>
        <w:tc>
          <w:tcPr>
            <w:tcW w:w="1540" w:type="pct"/>
            <w:shd w:val="clear" w:color="auto" w:fill="auto"/>
            <w:noWrap/>
            <w:hideMark/>
          </w:tcPr>
          <w:p w14:paraId="7E945BE6"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Very remote</w:t>
            </w:r>
          </w:p>
        </w:tc>
        <w:tc>
          <w:tcPr>
            <w:tcW w:w="384" w:type="pct"/>
            <w:shd w:val="clear" w:color="auto" w:fill="auto"/>
            <w:noWrap/>
            <w:hideMark/>
          </w:tcPr>
          <w:p w14:paraId="1C9680B1" w14:textId="64D5C685"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54D3BCC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34.7</w:t>
            </w:r>
          </w:p>
        </w:tc>
        <w:tc>
          <w:tcPr>
            <w:tcW w:w="384" w:type="pct"/>
            <w:shd w:val="clear" w:color="auto" w:fill="auto"/>
            <w:noWrap/>
            <w:hideMark/>
          </w:tcPr>
          <w:p w14:paraId="59FDD3C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35.7</w:t>
            </w:r>
          </w:p>
        </w:tc>
        <w:tc>
          <w:tcPr>
            <w:tcW w:w="384" w:type="pct"/>
            <w:shd w:val="clear" w:color="auto" w:fill="auto"/>
            <w:noWrap/>
            <w:hideMark/>
          </w:tcPr>
          <w:p w14:paraId="79B2E0B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35.2</w:t>
            </w:r>
          </w:p>
        </w:tc>
        <w:tc>
          <w:tcPr>
            <w:tcW w:w="386" w:type="pct"/>
            <w:shd w:val="clear" w:color="auto" w:fill="auto"/>
            <w:noWrap/>
            <w:hideMark/>
          </w:tcPr>
          <w:p w14:paraId="5E64DC9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39.9</w:t>
            </w:r>
          </w:p>
        </w:tc>
        <w:tc>
          <w:tcPr>
            <w:tcW w:w="384" w:type="pct"/>
            <w:shd w:val="clear" w:color="auto" w:fill="auto"/>
            <w:noWrap/>
            <w:hideMark/>
          </w:tcPr>
          <w:p w14:paraId="5E6FB1E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41.7</w:t>
            </w:r>
          </w:p>
        </w:tc>
        <w:tc>
          <w:tcPr>
            <w:tcW w:w="384" w:type="pct"/>
            <w:shd w:val="clear" w:color="auto" w:fill="auto"/>
            <w:noWrap/>
            <w:hideMark/>
          </w:tcPr>
          <w:p w14:paraId="7E098A7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44.6</w:t>
            </w:r>
          </w:p>
        </w:tc>
        <w:tc>
          <w:tcPr>
            <w:tcW w:w="384" w:type="pct"/>
            <w:shd w:val="clear" w:color="auto" w:fill="auto"/>
            <w:noWrap/>
            <w:hideMark/>
          </w:tcPr>
          <w:p w14:paraId="4F12E2D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47.5</w:t>
            </w:r>
          </w:p>
        </w:tc>
        <w:tc>
          <w:tcPr>
            <w:tcW w:w="385" w:type="pct"/>
            <w:shd w:val="clear" w:color="auto" w:fill="auto"/>
            <w:noWrap/>
            <w:hideMark/>
          </w:tcPr>
          <w:p w14:paraId="2295D8B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45.9</w:t>
            </w:r>
          </w:p>
        </w:tc>
      </w:tr>
      <w:tr w:rsidR="00AF0ADF" w:rsidRPr="00D960DD" w14:paraId="534C9AE8" w14:textId="77777777" w:rsidTr="00AF0ADF">
        <w:trPr>
          <w:trHeight w:val="253"/>
        </w:trPr>
        <w:tc>
          <w:tcPr>
            <w:tcW w:w="5000" w:type="pct"/>
            <w:gridSpan w:val="10"/>
            <w:shd w:val="clear" w:color="auto" w:fill="auto"/>
            <w:noWrap/>
            <w:hideMark/>
          </w:tcPr>
          <w:p w14:paraId="78398FBF" w14:textId="77777777" w:rsidR="00AF0ADF" w:rsidRPr="00315C37" w:rsidRDefault="00AF0ADF" w:rsidP="00AF0ADF">
            <w:pPr>
              <w:rPr>
                <w:rFonts w:cstheme="minorHAnsi"/>
                <w:sz w:val="20"/>
                <w:szCs w:val="20"/>
              </w:rPr>
            </w:pPr>
            <w:r w:rsidRPr="00315C37">
              <w:rPr>
                <w:rFonts w:cstheme="minorHAnsi"/>
                <w:b/>
                <w:bCs/>
                <w:color w:val="000000"/>
                <w:sz w:val="20"/>
                <w:szCs w:val="20"/>
              </w:rPr>
              <w:t>Disadvantage quintile of mother's usual residence</w:t>
            </w:r>
          </w:p>
        </w:tc>
      </w:tr>
      <w:tr w:rsidR="00AF0ADF" w:rsidRPr="00D960DD" w14:paraId="1C06CCAF" w14:textId="77777777" w:rsidTr="003345DF">
        <w:trPr>
          <w:trHeight w:val="253"/>
        </w:trPr>
        <w:tc>
          <w:tcPr>
            <w:tcW w:w="1540" w:type="pct"/>
            <w:shd w:val="clear" w:color="auto" w:fill="auto"/>
            <w:noWrap/>
            <w:hideMark/>
          </w:tcPr>
          <w:p w14:paraId="3CDF8E53"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Q1 - most disadvantaged</w:t>
            </w:r>
          </w:p>
        </w:tc>
        <w:tc>
          <w:tcPr>
            <w:tcW w:w="384" w:type="pct"/>
            <w:shd w:val="clear" w:color="auto" w:fill="auto"/>
            <w:noWrap/>
            <w:hideMark/>
          </w:tcPr>
          <w:p w14:paraId="6763CA09" w14:textId="26178978"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7A4AAAD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32.0</w:t>
            </w:r>
          </w:p>
        </w:tc>
        <w:tc>
          <w:tcPr>
            <w:tcW w:w="384" w:type="pct"/>
            <w:shd w:val="clear" w:color="auto" w:fill="auto"/>
            <w:noWrap/>
            <w:hideMark/>
          </w:tcPr>
          <w:p w14:paraId="1D88BF5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31.2</w:t>
            </w:r>
          </w:p>
        </w:tc>
        <w:tc>
          <w:tcPr>
            <w:tcW w:w="384" w:type="pct"/>
            <w:shd w:val="clear" w:color="auto" w:fill="auto"/>
            <w:noWrap/>
            <w:hideMark/>
          </w:tcPr>
          <w:p w14:paraId="2221402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31.2</w:t>
            </w:r>
          </w:p>
        </w:tc>
        <w:tc>
          <w:tcPr>
            <w:tcW w:w="386" w:type="pct"/>
            <w:shd w:val="clear" w:color="auto" w:fill="auto"/>
            <w:noWrap/>
            <w:hideMark/>
          </w:tcPr>
          <w:p w14:paraId="70A6DFF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34.9</w:t>
            </w:r>
          </w:p>
        </w:tc>
        <w:tc>
          <w:tcPr>
            <w:tcW w:w="384" w:type="pct"/>
            <w:shd w:val="clear" w:color="auto" w:fill="auto"/>
            <w:noWrap/>
            <w:hideMark/>
          </w:tcPr>
          <w:p w14:paraId="4CEA479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40.1</w:t>
            </w:r>
          </w:p>
        </w:tc>
        <w:tc>
          <w:tcPr>
            <w:tcW w:w="384" w:type="pct"/>
            <w:shd w:val="clear" w:color="auto" w:fill="auto"/>
            <w:noWrap/>
            <w:hideMark/>
          </w:tcPr>
          <w:p w14:paraId="52C85AD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44.1</w:t>
            </w:r>
          </w:p>
        </w:tc>
        <w:tc>
          <w:tcPr>
            <w:tcW w:w="384" w:type="pct"/>
            <w:shd w:val="clear" w:color="auto" w:fill="auto"/>
            <w:noWrap/>
            <w:hideMark/>
          </w:tcPr>
          <w:p w14:paraId="6B52E4A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48.8</w:t>
            </w:r>
          </w:p>
        </w:tc>
        <w:tc>
          <w:tcPr>
            <w:tcW w:w="385" w:type="pct"/>
            <w:shd w:val="clear" w:color="auto" w:fill="auto"/>
            <w:noWrap/>
            <w:hideMark/>
          </w:tcPr>
          <w:p w14:paraId="661A5A4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52.7</w:t>
            </w:r>
          </w:p>
        </w:tc>
      </w:tr>
      <w:tr w:rsidR="00AF0ADF" w:rsidRPr="00D960DD" w14:paraId="547D8F95" w14:textId="77777777" w:rsidTr="003345DF">
        <w:trPr>
          <w:trHeight w:val="253"/>
        </w:trPr>
        <w:tc>
          <w:tcPr>
            <w:tcW w:w="1540" w:type="pct"/>
            <w:shd w:val="clear" w:color="auto" w:fill="auto"/>
            <w:noWrap/>
            <w:hideMark/>
          </w:tcPr>
          <w:p w14:paraId="4BE71C75"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Q2</w:t>
            </w:r>
          </w:p>
        </w:tc>
        <w:tc>
          <w:tcPr>
            <w:tcW w:w="384" w:type="pct"/>
            <w:shd w:val="clear" w:color="auto" w:fill="auto"/>
            <w:noWrap/>
            <w:hideMark/>
          </w:tcPr>
          <w:p w14:paraId="7C3B87E5" w14:textId="22B688E6"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12D962C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34.2</w:t>
            </w:r>
          </w:p>
        </w:tc>
        <w:tc>
          <w:tcPr>
            <w:tcW w:w="384" w:type="pct"/>
            <w:shd w:val="clear" w:color="auto" w:fill="auto"/>
            <w:noWrap/>
            <w:hideMark/>
          </w:tcPr>
          <w:p w14:paraId="38AEB55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33.1</w:t>
            </w:r>
          </w:p>
        </w:tc>
        <w:tc>
          <w:tcPr>
            <w:tcW w:w="384" w:type="pct"/>
            <w:shd w:val="clear" w:color="auto" w:fill="auto"/>
            <w:noWrap/>
            <w:hideMark/>
          </w:tcPr>
          <w:p w14:paraId="2170D1E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33.4</w:t>
            </w:r>
          </w:p>
        </w:tc>
        <w:tc>
          <w:tcPr>
            <w:tcW w:w="386" w:type="pct"/>
            <w:shd w:val="clear" w:color="auto" w:fill="auto"/>
            <w:noWrap/>
            <w:hideMark/>
          </w:tcPr>
          <w:p w14:paraId="003092D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36.7</w:t>
            </w:r>
          </w:p>
        </w:tc>
        <w:tc>
          <w:tcPr>
            <w:tcW w:w="384" w:type="pct"/>
            <w:shd w:val="clear" w:color="auto" w:fill="auto"/>
            <w:noWrap/>
            <w:hideMark/>
          </w:tcPr>
          <w:p w14:paraId="627CE28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42.2</w:t>
            </w:r>
          </w:p>
        </w:tc>
        <w:tc>
          <w:tcPr>
            <w:tcW w:w="384" w:type="pct"/>
            <w:shd w:val="clear" w:color="auto" w:fill="auto"/>
            <w:noWrap/>
            <w:hideMark/>
          </w:tcPr>
          <w:p w14:paraId="6C0AE18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46.3</w:t>
            </w:r>
          </w:p>
        </w:tc>
        <w:tc>
          <w:tcPr>
            <w:tcW w:w="384" w:type="pct"/>
            <w:shd w:val="clear" w:color="auto" w:fill="auto"/>
            <w:noWrap/>
            <w:hideMark/>
          </w:tcPr>
          <w:p w14:paraId="787BF99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49.9</w:t>
            </w:r>
          </w:p>
        </w:tc>
        <w:tc>
          <w:tcPr>
            <w:tcW w:w="385" w:type="pct"/>
            <w:shd w:val="clear" w:color="auto" w:fill="auto"/>
            <w:noWrap/>
            <w:hideMark/>
          </w:tcPr>
          <w:p w14:paraId="47243E7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54.4</w:t>
            </w:r>
          </w:p>
        </w:tc>
      </w:tr>
      <w:tr w:rsidR="00AF0ADF" w:rsidRPr="00D960DD" w14:paraId="5576FB33" w14:textId="77777777" w:rsidTr="003345DF">
        <w:trPr>
          <w:trHeight w:val="253"/>
        </w:trPr>
        <w:tc>
          <w:tcPr>
            <w:tcW w:w="1540" w:type="pct"/>
            <w:shd w:val="clear" w:color="auto" w:fill="auto"/>
            <w:noWrap/>
            <w:hideMark/>
          </w:tcPr>
          <w:p w14:paraId="6FFA28FC"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Q3</w:t>
            </w:r>
          </w:p>
        </w:tc>
        <w:tc>
          <w:tcPr>
            <w:tcW w:w="384" w:type="pct"/>
            <w:shd w:val="clear" w:color="auto" w:fill="auto"/>
            <w:noWrap/>
            <w:hideMark/>
          </w:tcPr>
          <w:p w14:paraId="6B032DED" w14:textId="31DEC89C"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7405C9F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33.1</w:t>
            </w:r>
          </w:p>
        </w:tc>
        <w:tc>
          <w:tcPr>
            <w:tcW w:w="384" w:type="pct"/>
            <w:shd w:val="clear" w:color="auto" w:fill="auto"/>
            <w:noWrap/>
            <w:hideMark/>
          </w:tcPr>
          <w:p w14:paraId="1D22061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32.8</w:t>
            </w:r>
          </w:p>
        </w:tc>
        <w:tc>
          <w:tcPr>
            <w:tcW w:w="384" w:type="pct"/>
            <w:shd w:val="clear" w:color="auto" w:fill="auto"/>
            <w:noWrap/>
            <w:hideMark/>
          </w:tcPr>
          <w:p w14:paraId="3D504F7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34.2</w:t>
            </w:r>
          </w:p>
        </w:tc>
        <w:tc>
          <w:tcPr>
            <w:tcW w:w="386" w:type="pct"/>
            <w:shd w:val="clear" w:color="auto" w:fill="auto"/>
            <w:noWrap/>
            <w:hideMark/>
          </w:tcPr>
          <w:p w14:paraId="4D062B8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37.4</w:t>
            </w:r>
          </w:p>
        </w:tc>
        <w:tc>
          <w:tcPr>
            <w:tcW w:w="384" w:type="pct"/>
            <w:shd w:val="clear" w:color="auto" w:fill="auto"/>
            <w:noWrap/>
            <w:hideMark/>
          </w:tcPr>
          <w:p w14:paraId="00C1A27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43.9</w:t>
            </w:r>
          </w:p>
        </w:tc>
        <w:tc>
          <w:tcPr>
            <w:tcW w:w="384" w:type="pct"/>
            <w:shd w:val="clear" w:color="auto" w:fill="auto"/>
            <w:noWrap/>
            <w:hideMark/>
          </w:tcPr>
          <w:p w14:paraId="1F821B0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48.0</w:t>
            </w:r>
          </w:p>
        </w:tc>
        <w:tc>
          <w:tcPr>
            <w:tcW w:w="384" w:type="pct"/>
            <w:shd w:val="clear" w:color="auto" w:fill="auto"/>
            <w:noWrap/>
            <w:hideMark/>
          </w:tcPr>
          <w:p w14:paraId="5D52A73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52.8</w:t>
            </w:r>
          </w:p>
        </w:tc>
        <w:tc>
          <w:tcPr>
            <w:tcW w:w="385" w:type="pct"/>
            <w:shd w:val="clear" w:color="auto" w:fill="auto"/>
            <w:noWrap/>
            <w:hideMark/>
          </w:tcPr>
          <w:p w14:paraId="46E4E02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56.3</w:t>
            </w:r>
          </w:p>
        </w:tc>
      </w:tr>
      <w:tr w:rsidR="00AF0ADF" w:rsidRPr="00D960DD" w14:paraId="42EA3E16" w14:textId="77777777" w:rsidTr="003345DF">
        <w:trPr>
          <w:trHeight w:val="253"/>
        </w:trPr>
        <w:tc>
          <w:tcPr>
            <w:tcW w:w="1540" w:type="pct"/>
            <w:shd w:val="clear" w:color="auto" w:fill="auto"/>
            <w:noWrap/>
            <w:hideMark/>
          </w:tcPr>
          <w:p w14:paraId="508FA99F"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Q4</w:t>
            </w:r>
          </w:p>
        </w:tc>
        <w:tc>
          <w:tcPr>
            <w:tcW w:w="384" w:type="pct"/>
            <w:shd w:val="clear" w:color="auto" w:fill="auto"/>
            <w:noWrap/>
            <w:hideMark/>
          </w:tcPr>
          <w:p w14:paraId="326B074A" w14:textId="528C3BC7"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4F03632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33.4</w:t>
            </w:r>
          </w:p>
        </w:tc>
        <w:tc>
          <w:tcPr>
            <w:tcW w:w="384" w:type="pct"/>
            <w:shd w:val="clear" w:color="auto" w:fill="auto"/>
            <w:noWrap/>
            <w:hideMark/>
          </w:tcPr>
          <w:p w14:paraId="4FFF644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33.7</w:t>
            </w:r>
          </w:p>
        </w:tc>
        <w:tc>
          <w:tcPr>
            <w:tcW w:w="384" w:type="pct"/>
            <w:shd w:val="clear" w:color="auto" w:fill="auto"/>
            <w:noWrap/>
            <w:hideMark/>
          </w:tcPr>
          <w:p w14:paraId="13B799F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35.2</w:t>
            </w:r>
          </w:p>
        </w:tc>
        <w:tc>
          <w:tcPr>
            <w:tcW w:w="386" w:type="pct"/>
            <w:shd w:val="clear" w:color="auto" w:fill="auto"/>
            <w:noWrap/>
            <w:hideMark/>
          </w:tcPr>
          <w:p w14:paraId="059B6BB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38.8</w:t>
            </w:r>
          </w:p>
        </w:tc>
        <w:tc>
          <w:tcPr>
            <w:tcW w:w="384" w:type="pct"/>
            <w:shd w:val="clear" w:color="auto" w:fill="auto"/>
            <w:noWrap/>
            <w:hideMark/>
          </w:tcPr>
          <w:p w14:paraId="367FCEB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44.9</w:t>
            </w:r>
          </w:p>
        </w:tc>
        <w:tc>
          <w:tcPr>
            <w:tcW w:w="384" w:type="pct"/>
            <w:shd w:val="clear" w:color="auto" w:fill="auto"/>
            <w:noWrap/>
            <w:hideMark/>
          </w:tcPr>
          <w:p w14:paraId="6029A1F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50.6</w:t>
            </w:r>
          </w:p>
        </w:tc>
        <w:tc>
          <w:tcPr>
            <w:tcW w:w="384" w:type="pct"/>
            <w:shd w:val="clear" w:color="auto" w:fill="auto"/>
            <w:noWrap/>
            <w:hideMark/>
          </w:tcPr>
          <w:p w14:paraId="38373AA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55.6</w:t>
            </w:r>
          </w:p>
        </w:tc>
        <w:tc>
          <w:tcPr>
            <w:tcW w:w="385" w:type="pct"/>
            <w:shd w:val="clear" w:color="auto" w:fill="auto"/>
            <w:noWrap/>
            <w:hideMark/>
          </w:tcPr>
          <w:p w14:paraId="39D1DBC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57.6</w:t>
            </w:r>
          </w:p>
        </w:tc>
      </w:tr>
      <w:tr w:rsidR="00AF0ADF" w:rsidRPr="00D960DD" w14:paraId="3FAF8DBF" w14:textId="77777777" w:rsidTr="003345DF">
        <w:trPr>
          <w:trHeight w:val="253"/>
        </w:trPr>
        <w:tc>
          <w:tcPr>
            <w:tcW w:w="1540" w:type="pct"/>
            <w:shd w:val="clear" w:color="auto" w:fill="auto"/>
            <w:noWrap/>
            <w:hideMark/>
          </w:tcPr>
          <w:p w14:paraId="2F5C9A13"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Q5 - least disadvantaged</w:t>
            </w:r>
          </w:p>
        </w:tc>
        <w:tc>
          <w:tcPr>
            <w:tcW w:w="384" w:type="pct"/>
            <w:shd w:val="clear" w:color="auto" w:fill="auto"/>
            <w:noWrap/>
            <w:hideMark/>
          </w:tcPr>
          <w:p w14:paraId="0E8F9AB4" w14:textId="53411BC8" w:rsidR="00AF0ADF" w:rsidRPr="00315C37" w:rsidRDefault="00EA1D2D" w:rsidP="00AF0ADF">
            <w:pPr>
              <w:ind w:firstLineChars="100" w:firstLine="200"/>
              <w:rPr>
                <w:rFonts w:cstheme="minorHAnsi"/>
                <w:color w:val="000000"/>
                <w:sz w:val="20"/>
                <w:szCs w:val="20"/>
              </w:rPr>
            </w:pPr>
            <w:r w:rsidRPr="00315C37">
              <w:rPr>
                <w:rFonts w:cstheme="minorHAnsi"/>
                <w:color w:val="000000"/>
                <w:sz w:val="20"/>
                <w:szCs w:val="20"/>
              </w:rPr>
              <w:t>n.a.</w:t>
            </w:r>
          </w:p>
        </w:tc>
        <w:tc>
          <w:tcPr>
            <w:tcW w:w="384" w:type="pct"/>
            <w:shd w:val="clear" w:color="auto" w:fill="auto"/>
            <w:noWrap/>
            <w:hideMark/>
          </w:tcPr>
          <w:p w14:paraId="362EB00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38.0</w:t>
            </w:r>
          </w:p>
        </w:tc>
        <w:tc>
          <w:tcPr>
            <w:tcW w:w="384" w:type="pct"/>
            <w:shd w:val="clear" w:color="auto" w:fill="auto"/>
            <w:noWrap/>
            <w:hideMark/>
          </w:tcPr>
          <w:p w14:paraId="3823BEB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37.4</w:t>
            </w:r>
          </w:p>
        </w:tc>
        <w:tc>
          <w:tcPr>
            <w:tcW w:w="384" w:type="pct"/>
            <w:shd w:val="clear" w:color="auto" w:fill="auto"/>
            <w:noWrap/>
            <w:hideMark/>
          </w:tcPr>
          <w:p w14:paraId="4E57E82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39.0</w:t>
            </w:r>
          </w:p>
        </w:tc>
        <w:tc>
          <w:tcPr>
            <w:tcW w:w="386" w:type="pct"/>
            <w:shd w:val="clear" w:color="auto" w:fill="auto"/>
            <w:noWrap/>
            <w:hideMark/>
          </w:tcPr>
          <w:p w14:paraId="1D71845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41.5</w:t>
            </w:r>
          </w:p>
        </w:tc>
        <w:tc>
          <w:tcPr>
            <w:tcW w:w="384" w:type="pct"/>
            <w:shd w:val="clear" w:color="auto" w:fill="auto"/>
            <w:noWrap/>
            <w:hideMark/>
          </w:tcPr>
          <w:p w14:paraId="26EFFB7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45.1</w:t>
            </w:r>
          </w:p>
        </w:tc>
        <w:tc>
          <w:tcPr>
            <w:tcW w:w="384" w:type="pct"/>
            <w:shd w:val="clear" w:color="auto" w:fill="auto"/>
            <w:noWrap/>
            <w:hideMark/>
          </w:tcPr>
          <w:p w14:paraId="5F8DEA1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50.6</w:t>
            </w:r>
          </w:p>
        </w:tc>
        <w:tc>
          <w:tcPr>
            <w:tcW w:w="384" w:type="pct"/>
            <w:shd w:val="clear" w:color="auto" w:fill="auto"/>
            <w:noWrap/>
            <w:hideMark/>
          </w:tcPr>
          <w:p w14:paraId="625ACF4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54.7</w:t>
            </w:r>
          </w:p>
        </w:tc>
        <w:tc>
          <w:tcPr>
            <w:tcW w:w="385" w:type="pct"/>
            <w:shd w:val="clear" w:color="auto" w:fill="auto"/>
            <w:noWrap/>
            <w:hideMark/>
          </w:tcPr>
          <w:p w14:paraId="50CF670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57.1</w:t>
            </w:r>
          </w:p>
        </w:tc>
      </w:tr>
      <w:tr w:rsidR="00AF0ADF" w:rsidRPr="00D960DD" w14:paraId="6D4DCC4C" w14:textId="77777777" w:rsidTr="00AF0ADF">
        <w:trPr>
          <w:trHeight w:val="253"/>
        </w:trPr>
        <w:tc>
          <w:tcPr>
            <w:tcW w:w="5000" w:type="pct"/>
            <w:gridSpan w:val="10"/>
            <w:shd w:val="clear" w:color="auto" w:fill="auto"/>
            <w:noWrap/>
            <w:hideMark/>
          </w:tcPr>
          <w:p w14:paraId="4CDD9FF1" w14:textId="77777777" w:rsidR="00AF0ADF" w:rsidRPr="00315C37" w:rsidRDefault="00AF0ADF" w:rsidP="00AF0ADF">
            <w:pPr>
              <w:rPr>
                <w:rFonts w:cstheme="minorHAnsi"/>
                <w:sz w:val="20"/>
                <w:szCs w:val="20"/>
              </w:rPr>
            </w:pPr>
            <w:r w:rsidRPr="00315C37">
              <w:rPr>
                <w:rFonts w:cstheme="minorHAnsi"/>
                <w:b/>
                <w:bCs/>
                <w:color w:val="000000"/>
                <w:sz w:val="20"/>
                <w:szCs w:val="20"/>
              </w:rPr>
              <w:t>Hospital sector</w:t>
            </w:r>
          </w:p>
        </w:tc>
      </w:tr>
      <w:tr w:rsidR="00AF0ADF" w:rsidRPr="00D960DD" w14:paraId="1A5326CE" w14:textId="77777777" w:rsidTr="003345DF">
        <w:trPr>
          <w:trHeight w:val="253"/>
        </w:trPr>
        <w:tc>
          <w:tcPr>
            <w:tcW w:w="1540" w:type="pct"/>
            <w:shd w:val="clear" w:color="auto" w:fill="auto"/>
            <w:noWrap/>
            <w:hideMark/>
          </w:tcPr>
          <w:p w14:paraId="5CA36117"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Private</w:t>
            </w:r>
          </w:p>
        </w:tc>
        <w:tc>
          <w:tcPr>
            <w:tcW w:w="384" w:type="pct"/>
            <w:shd w:val="clear" w:color="auto" w:fill="auto"/>
            <w:noWrap/>
            <w:hideMark/>
          </w:tcPr>
          <w:p w14:paraId="02D0955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47.8</w:t>
            </w:r>
          </w:p>
        </w:tc>
        <w:tc>
          <w:tcPr>
            <w:tcW w:w="384" w:type="pct"/>
            <w:shd w:val="clear" w:color="auto" w:fill="auto"/>
            <w:noWrap/>
            <w:hideMark/>
          </w:tcPr>
          <w:p w14:paraId="16FDBFE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48.3</w:t>
            </w:r>
          </w:p>
        </w:tc>
        <w:tc>
          <w:tcPr>
            <w:tcW w:w="384" w:type="pct"/>
            <w:shd w:val="clear" w:color="auto" w:fill="auto"/>
            <w:noWrap/>
            <w:hideMark/>
          </w:tcPr>
          <w:p w14:paraId="1FB7316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48.7</w:t>
            </w:r>
          </w:p>
        </w:tc>
        <w:tc>
          <w:tcPr>
            <w:tcW w:w="384" w:type="pct"/>
            <w:shd w:val="clear" w:color="auto" w:fill="auto"/>
            <w:noWrap/>
            <w:hideMark/>
          </w:tcPr>
          <w:p w14:paraId="51EFD16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51.0</w:t>
            </w:r>
          </w:p>
        </w:tc>
        <w:tc>
          <w:tcPr>
            <w:tcW w:w="386" w:type="pct"/>
            <w:shd w:val="clear" w:color="auto" w:fill="auto"/>
            <w:noWrap/>
            <w:hideMark/>
          </w:tcPr>
          <w:p w14:paraId="7842309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52.0</w:t>
            </w:r>
          </w:p>
        </w:tc>
        <w:tc>
          <w:tcPr>
            <w:tcW w:w="384" w:type="pct"/>
            <w:shd w:val="clear" w:color="auto" w:fill="auto"/>
            <w:noWrap/>
            <w:hideMark/>
          </w:tcPr>
          <w:p w14:paraId="1E4F039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52.0</w:t>
            </w:r>
          </w:p>
        </w:tc>
        <w:tc>
          <w:tcPr>
            <w:tcW w:w="384" w:type="pct"/>
            <w:shd w:val="clear" w:color="auto" w:fill="auto"/>
            <w:noWrap/>
            <w:hideMark/>
          </w:tcPr>
          <w:p w14:paraId="5848D57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51.0</w:t>
            </w:r>
          </w:p>
        </w:tc>
        <w:tc>
          <w:tcPr>
            <w:tcW w:w="384" w:type="pct"/>
            <w:shd w:val="clear" w:color="auto" w:fill="auto"/>
            <w:noWrap/>
            <w:hideMark/>
          </w:tcPr>
          <w:p w14:paraId="7D32703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51.3</w:t>
            </w:r>
          </w:p>
        </w:tc>
        <w:tc>
          <w:tcPr>
            <w:tcW w:w="385" w:type="pct"/>
            <w:shd w:val="clear" w:color="auto" w:fill="auto"/>
            <w:noWrap/>
            <w:hideMark/>
          </w:tcPr>
          <w:p w14:paraId="13074E4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51.8</w:t>
            </w:r>
          </w:p>
        </w:tc>
      </w:tr>
      <w:tr w:rsidR="00AF0ADF" w:rsidRPr="00D960DD" w14:paraId="35A0C444" w14:textId="77777777" w:rsidTr="003345DF">
        <w:trPr>
          <w:trHeight w:val="253"/>
        </w:trPr>
        <w:tc>
          <w:tcPr>
            <w:tcW w:w="1540" w:type="pct"/>
            <w:shd w:val="clear" w:color="auto" w:fill="auto"/>
            <w:noWrap/>
            <w:hideMark/>
          </w:tcPr>
          <w:p w14:paraId="03046FFA"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Public</w:t>
            </w:r>
          </w:p>
        </w:tc>
        <w:tc>
          <w:tcPr>
            <w:tcW w:w="384" w:type="pct"/>
            <w:shd w:val="clear" w:color="auto" w:fill="auto"/>
            <w:noWrap/>
            <w:hideMark/>
          </w:tcPr>
          <w:p w14:paraId="5C4873B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33.7</w:t>
            </w:r>
          </w:p>
        </w:tc>
        <w:tc>
          <w:tcPr>
            <w:tcW w:w="384" w:type="pct"/>
            <w:shd w:val="clear" w:color="auto" w:fill="auto"/>
            <w:noWrap/>
            <w:hideMark/>
          </w:tcPr>
          <w:p w14:paraId="628BAED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29.7</w:t>
            </w:r>
          </w:p>
        </w:tc>
        <w:tc>
          <w:tcPr>
            <w:tcW w:w="384" w:type="pct"/>
            <w:shd w:val="clear" w:color="auto" w:fill="auto"/>
            <w:noWrap/>
            <w:hideMark/>
          </w:tcPr>
          <w:p w14:paraId="23BF2E8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28.2</w:t>
            </w:r>
          </w:p>
        </w:tc>
        <w:tc>
          <w:tcPr>
            <w:tcW w:w="384" w:type="pct"/>
            <w:shd w:val="clear" w:color="auto" w:fill="auto"/>
            <w:noWrap/>
            <w:hideMark/>
          </w:tcPr>
          <w:p w14:paraId="78696C6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28.6</w:t>
            </w:r>
          </w:p>
        </w:tc>
        <w:tc>
          <w:tcPr>
            <w:tcW w:w="386" w:type="pct"/>
            <w:shd w:val="clear" w:color="auto" w:fill="auto"/>
            <w:noWrap/>
            <w:hideMark/>
          </w:tcPr>
          <w:p w14:paraId="7F717AF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32.9</w:t>
            </w:r>
          </w:p>
        </w:tc>
        <w:tc>
          <w:tcPr>
            <w:tcW w:w="384" w:type="pct"/>
            <w:shd w:val="clear" w:color="auto" w:fill="auto"/>
            <w:noWrap/>
            <w:hideMark/>
          </w:tcPr>
          <w:p w14:paraId="3F867EBD"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40.3</w:t>
            </w:r>
          </w:p>
        </w:tc>
        <w:tc>
          <w:tcPr>
            <w:tcW w:w="384" w:type="pct"/>
            <w:shd w:val="clear" w:color="auto" w:fill="auto"/>
            <w:noWrap/>
            <w:hideMark/>
          </w:tcPr>
          <w:p w14:paraId="25B8F6F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46.9</w:t>
            </w:r>
          </w:p>
        </w:tc>
        <w:tc>
          <w:tcPr>
            <w:tcW w:w="384" w:type="pct"/>
            <w:shd w:val="clear" w:color="auto" w:fill="auto"/>
            <w:noWrap/>
            <w:hideMark/>
          </w:tcPr>
          <w:p w14:paraId="43E8626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52.7</w:t>
            </w:r>
          </w:p>
        </w:tc>
        <w:tc>
          <w:tcPr>
            <w:tcW w:w="385" w:type="pct"/>
            <w:shd w:val="clear" w:color="auto" w:fill="auto"/>
            <w:noWrap/>
            <w:hideMark/>
          </w:tcPr>
          <w:p w14:paraId="451444D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57.0</w:t>
            </w:r>
          </w:p>
        </w:tc>
      </w:tr>
      <w:tr w:rsidR="003345DF" w:rsidRPr="00D960DD" w14:paraId="230B09D9" w14:textId="77777777" w:rsidTr="003345DF">
        <w:trPr>
          <w:trHeight w:val="253"/>
        </w:trPr>
        <w:tc>
          <w:tcPr>
            <w:tcW w:w="5000" w:type="pct"/>
            <w:gridSpan w:val="10"/>
            <w:shd w:val="clear" w:color="auto" w:fill="auto"/>
            <w:noWrap/>
            <w:hideMark/>
          </w:tcPr>
          <w:p w14:paraId="14C9F6BA" w14:textId="07BADFC6" w:rsidR="003345DF" w:rsidRPr="00315C37" w:rsidRDefault="003345DF" w:rsidP="00AF0ADF">
            <w:pPr>
              <w:rPr>
                <w:rFonts w:cstheme="minorHAnsi"/>
                <w:sz w:val="20"/>
                <w:szCs w:val="20"/>
              </w:rPr>
            </w:pPr>
            <w:r w:rsidRPr="00315C37">
              <w:rPr>
                <w:rFonts w:cstheme="minorHAnsi"/>
                <w:b/>
                <w:bCs/>
                <w:color w:val="000000"/>
                <w:sz w:val="20"/>
                <w:szCs w:val="20"/>
              </w:rPr>
              <w:t>Hospitals annual number of births</w:t>
            </w:r>
          </w:p>
        </w:tc>
      </w:tr>
      <w:tr w:rsidR="00AF0ADF" w:rsidRPr="00D960DD" w14:paraId="6E1BF514" w14:textId="77777777" w:rsidTr="003345DF">
        <w:trPr>
          <w:trHeight w:val="253"/>
        </w:trPr>
        <w:tc>
          <w:tcPr>
            <w:tcW w:w="1540" w:type="pct"/>
            <w:shd w:val="clear" w:color="auto" w:fill="auto"/>
            <w:noWrap/>
            <w:hideMark/>
          </w:tcPr>
          <w:p w14:paraId="7985A039"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1-100 births</w:t>
            </w:r>
          </w:p>
        </w:tc>
        <w:tc>
          <w:tcPr>
            <w:tcW w:w="384" w:type="pct"/>
            <w:shd w:val="clear" w:color="auto" w:fill="auto"/>
            <w:noWrap/>
            <w:hideMark/>
          </w:tcPr>
          <w:p w14:paraId="1660951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39.1</w:t>
            </w:r>
          </w:p>
        </w:tc>
        <w:tc>
          <w:tcPr>
            <w:tcW w:w="384" w:type="pct"/>
            <w:shd w:val="clear" w:color="auto" w:fill="auto"/>
            <w:noWrap/>
            <w:hideMark/>
          </w:tcPr>
          <w:p w14:paraId="124503F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41.0</w:t>
            </w:r>
          </w:p>
        </w:tc>
        <w:tc>
          <w:tcPr>
            <w:tcW w:w="384" w:type="pct"/>
            <w:shd w:val="clear" w:color="auto" w:fill="auto"/>
            <w:noWrap/>
            <w:hideMark/>
          </w:tcPr>
          <w:p w14:paraId="7CB564A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34.4</w:t>
            </w:r>
          </w:p>
        </w:tc>
        <w:tc>
          <w:tcPr>
            <w:tcW w:w="384" w:type="pct"/>
            <w:shd w:val="clear" w:color="auto" w:fill="auto"/>
            <w:noWrap/>
            <w:hideMark/>
          </w:tcPr>
          <w:p w14:paraId="55E26F2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33.7</w:t>
            </w:r>
          </w:p>
        </w:tc>
        <w:tc>
          <w:tcPr>
            <w:tcW w:w="386" w:type="pct"/>
            <w:shd w:val="clear" w:color="auto" w:fill="auto"/>
            <w:noWrap/>
            <w:hideMark/>
          </w:tcPr>
          <w:p w14:paraId="6ACEC59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39.2</w:t>
            </w:r>
          </w:p>
        </w:tc>
        <w:tc>
          <w:tcPr>
            <w:tcW w:w="384" w:type="pct"/>
            <w:shd w:val="clear" w:color="auto" w:fill="auto"/>
            <w:noWrap/>
            <w:hideMark/>
          </w:tcPr>
          <w:p w14:paraId="19801CD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42.1</w:t>
            </w:r>
          </w:p>
        </w:tc>
        <w:tc>
          <w:tcPr>
            <w:tcW w:w="384" w:type="pct"/>
            <w:shd w:val="clear" w:color="auto" w:fill="auto"/>
            <w:noWrap/>
            <w:hideMark/>
          </w:tcPr>
          <w:p w14:paraId="62DE05F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43.4</w:t>
            </w:r>
          </w:p>
        </w:tc>
        <w:tc>
          <w:tcPr>
            <w:tcW w:w="384" w:type="pct"/>
            <w:shd w:val="clear" w:color="auto" w:fill="auto"/>
            <w:noWrap/>
            <w:hideMark/>
          </w:tcPr>
          <w:p w14:paraId="7A96D91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49.5</w:t>
            </w:r>
          </w:p>
        </w:tc>
        <w:tc>
          <w:tcPr>
            <w:tcW w:w="385" w:type="pct"/>
            <w:shd w:val="clear" w:color="auto" w:fill="auto"/>
            <w:noWrap/>
            <w:hideMark/>
          </w:tcPr>
          <w:p w14:paraId="0813792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50.6</w:t>
            </w:r>
          </w:p>
        </w:tc>
      </w:tr>
      <w:tr w:rsidR="00AF0ADF" w:rsidRPr="00D960DD" w14:paraId="25AC793C" w14:textId="77777777" w:rsidTr="003345DF">
        <w:trPr>
          <w:trHeight w:val="253"/>
        </w:trPr>
        <w:tc>
          <w:tcPr>
            <w:tcW w:w="1540" w:type="pct"/>
            <w:shd w:val="clear" w:color="auto" w:fill="auto"/>
            <w:noWrap/>
            <w:hideMark/>
          </w:tcPr>
          <w:p w14:paraId="419602A4"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101-500 births</w:t>
            </w:r>
          </w:p>
        </w:tc>
        <w:tc>
          <w:tcPr>
            <w:tcW w:w="384" w:type="pct"/>
            <w:shd w:val="clear" w:color="auto" w:fill="auto"/>
            <w:noWrap/>
            <w:hideMark/>
          </w:tcPr>
          <w:p w14:paraId="32F0298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43.4</w:t>
            </w:r>
          </w:p>
        </w:tc>
        <w:tc>
          <w:tcPr>
            <w:tcW w:w="384" w:type="pct"/>
            <w:shd w:val="clear" w:color="auto" w:fill="auto"/>
            <w:noWrap/>
            <w:hideMark/>
          </w:tcPr>
          <w:p w14:paraId="427581EC"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40.9</w:t>
            </w:r>
          </w:p>
        </w:tc>
        <w:tc>
          <w:tcPr>
            <w:tcW w:w="384" w:type="pct"/>
            <w:shd w:val="clear" w:color="auto" w:fill="auto"/>
            <w:noWrap/>
            <w:hideMark/>
          </w:tcPr>
          <w:p w14:paraId="310613D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38.7</w:t>
            </w:r>
          </w:p>
        </w:tc>
        <w:tc>
          <w:tcPr>
            <w:tcW w:w="384" w:type="pct"/>
            <w:shd w:val="clear" w:color="auto" w:fill="auto"/>
            <w:noWrap/>
            <w:hideMark/>
          </w:tcPr>
          <w:p w14:paraId="51335E5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38.1</w:t>
            </w:r>
          </w:p>
        </w:tc>
        <w:tc>
          <w:tcPr>
            <w:tcW w:w="386" w:type="pct"/>
            <w:shd w:val="clear" w:color="auto" w:fill="auto"/>
            <w:noWrap/>
            <w:hideMark/>
          </w:tcPr>
          <w:p w14:paraId="3AB8186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41.4</w:t>
            </w:r>
          </w:p>
        </w:tc>
        <w:tc>
          <w:tcPr>
            <w:tcW w:w="384" w:type="pct"/>
            <w:shd w:val="clear" w:color="auto" w:fill="auto"/>
            <w:noWrap/>
            <w:hideMark/>
          </w:tcPr>
          <w:p w14:paraId="438C587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44.9</w:t>
            </w:r>
          </w:p>
        </w:tc>
        <w:tc>
          <w:tcPr>
            <w:tcW w:w="384" w:type="pct"/>
            <w:shd w:val="clear" w:color="auto" w:fill="auto"/>
            <w:noWrap/>
            <w:hideMark/>
          </w:tcPr>
          <w:p w14:paraId="7A29D60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50.2</w:t>
            </w:r>
          </w:p>
        </w:tc>
        <w:tc>
          <w:tcPr>
            <w:tcW w:w="384" w:type="pct"/>
            <w:shd w:val="clear" w:color="auto" w:fill="auto"/>
            <w:noWrap/>
            <w:hideMark/>
          </w:tcPr>
          <w:p w14:paraId="3204580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52.6</w:t>
            </w:r>
          </w:p>
        </w:tc>
        <w:tc>
          <w:tcPr>
            <w:tcW w:w="385" w:type="pct"/>
            <w:shd w:val="clear" w:color="auto" w:fill="auto"/>
            <w:noWrap/>
            <w:hideMark/>
          </w:tcPr>
          <w:p w14:paraId="6BB1F90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53.9</w:t>
            </w:r>
          </w:p>
        </w:tc>
      </w:tr>
      <w:tr w:rsidR="00AF0ADF" w:rsidRPr="00D960DD" w14:paraId="0A22B4D1" w14:textId="77777777" w:rsidTr="003345DF">
        <w:trPr>
          <w:trHeight w:val="253"/>
        </w:trPr>
        <w:tc>
          <w:tcPr>
            <w:tcW w:w="1540" w:type="pct"/>
            <w:shd w:val="clear" w:color="auto" w:fill="auto"/>
            <w:noWrap/>
            <w:hideMark/>
          </w:tcPr>
          <w:p w14:paraId="64B3C30B"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501-1,000 births</w:t>
            </w:r>
          </w:p>
        </w:tc>
        <w:tc>
          <w:tcPr>
            <w:tcW w:w="384" w:type="pct"/>
            <w:shd w:val="clear" w:color="auto" w:fill="auto"/>
            <w:noWrap/>
            <w:hideMark/>
          </w:tcPr>
          <w:p w14:paraId="5F4E6B70"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49.0</w:t>
            </w:r>
          </w:p>
        </w:tc>
        <w:tc>
          <w:tcPr>
            <w:tcW w:w="384" w:type="pct"/>
            <w:shd w:val="clear" w:color="auto" w:fill="auto"/>
            <w:noWrap/>
            <w:hideMark/>
          </w:tcPr>
          <w:p w14:paraId="5E7C9DD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45.8</w:t>
            </w:r>
          </w:p>
        </w:tc>
        <w:tc>
          <w:tcPr>
            <w:tcW w:w="384" w:type="pct"/>
            <w:shd w:val="clear" w:color="auto" w:fill="auto"/>
            <w:noWrap/>
            <w:hideMark/>
          </w:tcPr>
          <w:p w14:paraId="6DC078D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45.7</w:t>
            </w:r>
          </w:p>
        </w:tc>
        <w:tc>
          <w:tcPr>
            <w:tcW w:w="384" w:type="pct"/>
            <w:shd w:val="clear" w:color="auto" w:fill="auto"/>
            <w:noWrap/>
            <w:hideMark/>
          </w:tcPr>
          <w:p w14:paraId="0BE8458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47.9</w:t>
            </w:r>
          </w:p>
        </w:tc>
        <w:tc>
          <w:tcPr>
            <w:tcW w:w="386" w:type="pct"/>
            <w:shd w:val="clear" w:color="auto" w:fill="auto"/>
            <w:noWrap/>
            <w:hideMark/>
          </w:tcPr>
          <w:p w14:paraId="68C0A7F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47.7</w:t>
            </w:r>
          </w:p>
        </w:tc>
        <w:tc>
          <w:tcPr>
            <w:tcW w:w="384" w:type="pct"/>
            <w:shd w:val="clear" w:color="auto" w:fill="auto"/>
            <w:noWrap/>
            <w:hideMark/>
          </w:tcPr>
          <w:p w14:paraId="41F84044"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54.2</w:t>
            </w:r>
          </w:p>
        </w:tc>
        <w:tc>
          <w:tcPr>
            <w:tcW w:w="384" w:type="pct"/>
            <w:shd w:val="clear" w:color="auto" w:fill="auto"/>
            <w:noWrap/>
            <w:hideMark/>
          </w:tcPr>
          <w:p w14:paraId="6BC6378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51.4</w:t>
            </w:r>
          </w:p>
        </w:tc>
        <w:tc>
          <w:tcPr>
            <w:tcW w:w="384" w:type="pct"/>
            <w:shd w:val="clear" w:color="auto" w:fill="auto"/>
            <w:noWrap/>
            <w:hideMark/>
          </w:tcPr>
          <w:p w14:paraId="2E4C690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51.4</w:t>
            </w:r>
          </w:p>
        </w:tc>
        <w:tc>
          <w:tcPr>
            <w:tcW w:w="385" w:type="pct"/>
            <w:shd w:val="clear" w:color="auto" w:fill="auto"/>
            <w:noWrap/>
            <w:hideMark/>
          </w:tcPr>
          <w:p w14:paraId="4465A2C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53.5</w:t>
            </w:r>
          </w:p>
        </w:tc>
      </w:tr>
      <w:tr w:rsidR="00AF0ADF" w:rsidRPr="00D960DD" w14:paraId="754983D4" w14:textId="77777777" w:rsidTr="003345DF">
        <w:trPr>
          <w:trHeight w:val="253"/>
        </w:trPr>
        <w:tc>
          <w:tcPr>
            <w:tcW w:w="1540" w:type="pct"/>
            <w:shd w:val="clear" w:color="auto" w:fill="auto"/>
            <w:noWrap/>
            <w:hideMark/>
          </w:tcPr>
          <w:p w14:paraId="707F6773"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1,001-2,000 births</w:t>
            </w:r>
          </w:p>
        </w:tc>
        <w:tc>
          <w:tcPr>
            <w:tcW w:w="384" w:type="pct"/>
            <w:shd w:val="clear" w:color="auto" w:fill="auto"/>
            <w:noWrap/>
            <w:hideMark/>
          </w:tcPr>
          <w:p w14:paraId="62B0A97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34.9</w:t>
            </w:r>
          </w:p>
        </w:tc>
        <w:tc>
          <w:tcPr>
            <w:tcW w:w="384" w:type="pct"/>
            <w:shd w:val="clear" w:color="auto" w:fill="auto"/>
            <w:noWrap/>
            <w:hideMark/>
          </w:tcPr>
          <w:p w14:paraId="2E619897"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32.5</w:t>
            </w:r>
          </w:p>
        </w:tc>
        <w:tc>
          <w:tcPr>
            <w:tcW w:w="384" w:type="pct"/>
            <w:shd w:val="clear" w:color="auto" w:fill="auto"/>
            <w:noWrap/>
            <w:hideMark/>
          </w:tcPr>
          <w:p w14:paraId="71279D5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33.4</w:t>
            </w:r>
          </w:p>
        </w:tc>
        <w:tc>
          <w:tcPr>
            <w:tcW w:w="384" w:type="pct"/>
            <w:shd w:val="clear" w:color="auto" w:fill="auto"/>
            <w:noWrap/>
            <w:hideMark/>
          </w:tcPr>
          <w:p w14:paraId="17CBED32"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33.8</w:t>
            </w:r>
          </w:p>
        </w:tc>
        <w:tc>
          <w:tcPr>
            <w:tcW w:w="386" w:type="pct"/>
            <w:shd w:val="clear" w:color="auto" w:fill="auto"/>
            <w:noWrap/>
            <w:hideMark/>
          </w:tcPr>
          <w:p w14:paraId="055761DF"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37.7</w:t>
            </w:r>
          </w:p>
        </w:tc>
        <w:tc>
          <w:tcPr>
            <w:tcW w:w="384" w:type="pct"/>
            <w:shd w:val="clear" w:color="auto" w:fill="auto"/>
            <w:noWrap/>
            <w:hideMark/>
          </w:tcPr>
          <w:p w14:paraId="04525F2A"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43.6</w:t>
            </w:r>
          </w:p>
        </w:tc>
        <w:tc>
          <w:tcPr>
            <w:tcW w:w="384" w:type="pct"/>
            <w:shd w:val="clear" w:color="auto" w:fill="auto"/>
            <w:noWrap/>
            <w:hideMark/>
          </w:tcPr>
          <w:p w14:paraId="671975BE"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50.0</w:t>
            </w:r>
          </w:p>
        </w:tc>
        <w:tc>
          <w:tcPr>
            <w:tcW w:w="384" w:type="pct"/>
            <w:shd w:val="clear" w:color="auto" w:fill="auto"/>
            <w:noWrap/>
            <w:hideMark/>
          </w:tcPr>
          <w:p w14:paraId="56C6EFA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52.7</w:t>
            </w:r>
          </w:p>
        </w:tc>
        <w:tc>
          <w:tcPr>
            <w:tcW w:w="385" w:type="pct"/>
            <w:shd w:val="clear" w:color="auto" w:fill="auto"/>
            <w:noWrap/>
            <w:hideMark/>
          </w:tcPr>
          <w:p w14:paraId="28E506FB"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57.1</w:t>
            </w:r>
          </w:p>
        </w:tc>
      </w:tr>
      <w:tr w:rsidR="00AF0ADF" w:rsidRPr="00D960DD" w14:paraId="694CEB83" w14:textId="77777777" w:rsidTr="00B94D3E">
        <w:trPr>
          <w:trHeight w:val="70"/>
        </w:trPr>
        <w:tc>
          <w:tcPr>
            <w:tcW w:w="1540" w:type="pct"/>
            <w:shd w:val="clear" w:color="auto" w:fill="auto"/>
            <w:noWrap/>
            <w:hideMark/>
          </w:tcPr>
          <w:p w14:paraId="20534225" w14:textId="77777777" w:rsidR="00AF0ADF" w:rsidRPr="00315C37" w:rsidRDefault="00AF0ADF" w:rsidP="00AF0ADF">
            <w:pPr>
              <w:ind w:firstLineChars="100" w:firstLine="200"/>
              <w:rPr>
                <w:rFonts w:cstheme="minorHAnsi"/>
                <w:color w:val="000000"/>
                <w:sz w:val="20"/>
                <w:szCs w:val="20"/>
              </w:rPr>
            </w:pPr>
            <w:r w:rsidRPr="00315C37">
              <w:rPr>
                <w:rFonts w:cstheme="minorHAnsi"/>
                <w:color w:val="000000"/>
                <w:sz w:val="20"/>
                <w:szCs w:val="20"/>
              </w:rPr>
              <w:t>2,001 births and over</w:t>
            </w:r>
          </w:p>
        </w:tc>
        <w:tc>
          <w:tcPr>
            <w:tcW w:w="384" w:type="pct"/>
            <w:shd w:val="clear" w:color="auto" w:fill="auto"/>
            <w:noWrap/>
            <w:hideMark/>
          </w:tcPr>
          <w:p w14:paraId="351D4F1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35.5</w:t>
            </w:r>
          </w:p>
        </w:tc>
        <w:tc>
          <w:tcPr>
            <w:tcW w:w="384" w:type="pct"/>
            <w:shd w:val="clear" w:color="auto" w:fill="auto"/>
            <w:noWrap/>
            <w:hideMark/>
          </w:tcPr>
          <w:p w14:paraId="40703AC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33.2</w:t>
            </w:r>
          </w:p>
        </w:tc>
        <w:tc>
          <w:tcPr>
            <w:tcW w:w="384" w:type="pct"/>
            <w:shd w:val="clear" w:color="auto" w:fill="auto"/>
            <w:noWrap/>
            <w:hideMark/>
          </w:tcPr>
          <w:p w14:paraId="2C8B2C06"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30.5</w:t>
            </w:r>
          </w:p>
        </w:tc>
        <w:tc>
          <w:tcPr>
            <w:tcW w:w="384" w:type="pct"/>
            <w:shd w:val="clear" w:color="auto" w:fill="auto"/>
            <w:noWrap/>
            <w:hideMark/>
          </w:tcPr>
          <w:p w14:paraId="7224AC35"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32.1</w:t>
            </w:r>
          </w:p>
        </w:tc>
        <w:tc>
          <w:tcPr>
            <w:tcW w:w="386" w:type="pct"/>
            <w:shd w:val="clear" w:color="auto" w:fill="auto"/>
            <w:noWrap/>
            <w:hideMark/>
          </w:tcPr>
          <w:p w14:paraId="03EF58C8"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36.0</w:t>
            </w:r>
          </w:p>
        </w:tc>
        <w:tc>
          <w:tcPr>
            <w:tcW w:w="384" w:type="pct"/>
            <w:shd w:val="clear" w:color="auto" w:fill="auto"/>
            <w:noWrap/>
            <w:hideMark/>
          </w:tcPr>
          <w:p w14:paraId="102D96F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41.2</w:t>
            </w:r>
          </w:p>
        </w:tc>
        <w:tc>
          <w:tcPr>
            <w:tcW w:w="384" w:type="pct"/>
            <w:shd w:val="clear" w:color="auto" w:fill="auto"/>
            <w:noWrap/>
            <w:hideMark/>
          </w:tcPr>
          <w:p w14:paraId="400494C9"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46.6</w:t>
            </w:r>
          </w:p>
        </w:tc>
        <w:tc>
          <w:tcPr>
            <w:tcW w:w="384" w:type="pct"/>
            <w:shd w:val="clear" w:color="auto" w:fill="auto"/>
            <w:noWrap/>
            <w:hideMark/>
          </w:tcPr>
          <w:p w14:paraId="0ACCB8D1"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52.7</w:t>
            </w:r>
          </w:p>
        </w:tc>
        <w:tc>
          <w:tcPr>
            <w:tcW w:w="385" w:type="pct"/>
            <w:shd w:val="clear" w:color="auto" w:fill="auto"/>
            <w:noWrap/>
            <w:hideMark/>
          </w:tcPr>
          <w:p w14:paraId="6ADADC93" w14:textId="77777777" w:rsidR="00AF0ADF" w:rsidRPr="00315C37" w:rsidRDefault="00AF0ADF" w:rsidP="00AF0ADF">
            <w:pPr>
              <w:jc w:val="right"/>
              <w:rPr>
                <w:rFonts w:cstheme="minorHAnsi"/>
                <w:color w:val="000000"/>
                <w:sz w:val="20"/>
                <w:szCs w:val="20"/>
              </w:rPr>
            </w:pPr>
            <w:r w:rsidRPr="00315C37">
              <w:rPr>
                <w:rFonts w:cstheme="minorHAnsi"/>
                <w:color w:val="000000"/>
                <w:sz w:val="20"/>
                <w:szCs w:val="20"/>
              </w:rPr>
              <w:t>56.2</w:t>
            </w:r>
          </w:p>
        </w:tc>
      </w:tr>
    </w:tbl>
    <w:p w14:paraId="70F8F825" w14:textId="345C6196" w:rsidR="00122141" w:rsidRPr="00E8746E" w:rsidRDefault="00122141" w:rsidP="00122141">
      <w:r>
        <w:rPr>
          <w:rFonts w:cstheme="minorHAnsi"/>
          <w:color w:val="000000"/>
          <w:sz w:val="20"/>
          <w:szCs w:val="20"/>
        </w:rPr>
        <w:t>n.a.</w:t>
      </w:r>
      <w:r w:rsidRPr="007667EF">
        <w:rPr>
          <w:sz w:val="18"/>
          <w:szCs w:val="18"/>
        </w:rPr>
        <w:t xml:space="preserve">: </w:t>
      </w:r>
      <w:r>
        <w:rPr>
          <w:sz w:val="18"/>
          <w:szCs w:val="18"/>
        </w:rPr>
        <w:t>data not available</w:t>
      </w:r>
      <w:r w:rsidR="003123B9">
        <w:rPr>
          <w:sz w:val="18"/>
          <w:szCs w:val="18"/>
        </w:rPr>
        <w:t>.</w:t>
      </w:r>
    </w:p>
    <w:p w14:paraId="0AF7CD6E" w14:textId="77777777" w:rsidR="00122141" w:rsidRPr="00165760" w:rsidRDefault="00122141" w:rsidP="00751711">
      <w:pPr>
        <w:rPr>
          <w:sz w:val="18"/>
          <w:szCs w:val="18"/>
        </w:rPr>
      </w:pPr>
    </w:p>
    <w:p w14:paraId="46F3E106" w14:textId="77777777" w:rsidR="00AF0ADF" w:rsidRPr="009658B9" w:rsidRDefault="00AF0ADF" w:rsidP="009658B9">
      <w:pPr>
        <w:pStyle w:val="pf0"/>
        <w:spacing w:before="0" w:beforeAutospacing="0" w:after="0" w:afterAutospacing="0"/>
        <w:rPr>
          <w:rFonts w:asciiTheme="minorHAnsi" w:hAnsiTheme="minorHAnsi"/>
          <w:b/>
          <w:bCs/>
          <w:sz w:val="18"/>
          <w:szCs w:val="18"/>
        </w:rPr>
      </w:pPr>
      <w:r w:rsidRPr="009658B9">
        <w:rPr>
          <w:rFonts w:asciiTheme="minorHAnsi" w:hAnsiTheme="minorHAnsi"/>
          <w:b/>
          <w:bCs/>
          <w:sz w:val="18"/>
          <w:szCs w:val="18"/>
        </w:rPr>
        <w:t>Data Notes</w:t>
      </w:r>
    </w:p>
    <w:p w14:paraId="19D4A99F" w14:textId="77777777" w:rsidR="00AF0ADF" w:rsidRPr="009658B9" w:rsidRDefault="00AF0ADF" w:rsidP="008D3FB5">
      <w:pPr>
        <w:pStyle w:val="pf0"/>
        <w:numPr>
          <w:ilvl w:val="0"/>
          <w:numId w:val="12"/>
        </w:numPr>
        <w:spacing w:before="0" w:beforeAutospacing="0" w:after="0" w:afterAutospacing="0"/>
        <w:ind w:left="284" w:hanging="284"/>
        <w:rPr>
          <w:rFonts w:asciiTheme="minorHAnsi" w:hAnsiTheme="minorHAnsi"/>
          <w:sz w:val="18"/>
          <w:szCs w:val="18"/>
        </w:rPr>
      </w:pPr>
      <w:r w:rsidRPr="009658B9">
        <w:rPr>
          <w:rFonts w:asciiTheme="minorHAnsi" w:hAnsiTheme="minorHAnsi"/>
          <w:sz w:val="18"/>
          <w:szCs w:val="18"/>
        </w:rPr>
        <w:t>Where gestational age at first antenatal visit was invalid or missing, these records were removed from the analysis. The valid range for gestational age is 3 to 46 weeks.</w:t>
      </w:r>
    </w:p>
    <w:p w14:paraId="0E7C0198" w14:textId="77777777" w:rsidR="00AF0ADF" w:rsidRPr="009658B9" w:rsidRDefault="00AF0ADF" w:rsidP="008D3FB5">
      <w:pPr>
        <w:pStyle w:val="pf0"/>
        <w:numPr>
          <w:ilvl w:val="0"/>
          <w:numId w:val="12"/>
        </w:numPr>
        <w:spacing w:before="0" w:beforeAutospacing="0" w:after="0" w:afterAutospacing="0"/>
        <w:ind w:left="284" w:hanging="284"/>
        <w:rPr>
          <w:rFonts w:asciiTheme="minorHAnsi" w:hAnsiTheme="minorHAnsi"/>
          <w:sz w:val="18"/>
          <w:szCs w:val="18"/>
        </w:rPr>
      </w:pPr>
      <w:r w:rsidRPr="009658B9">
        <w:rPr>
          <w:rFonts w:asciiTheme="minorHAnsi" w:hAnsiTheme="minorHAnsi"/>
          <w:sz w:val="18"/>
          <w:szCs w:val="18"/>
        </w:rPr>
        <w:t>In the Australian Capital Territory (ACT), the first antenatal visit is often the first hospital antenatal clinic visit, which is scheduled for around 16–18 weeks of pregnancy. If earlier antenatal care was provided by the woman’s general practitioner, it is generally not reported.</w:t>
      </w:r>
    </w:p>
    <w:p w14:paraId="4655ECF9" w14:textId="1D17F57A" w:rsidR="00AF0ADF" w:rsidRPr="00B94D3E" w:rsidRDefault="00AF0ADF" w:rsidP="008D3FB5">
      <w:pPr>
        <w:pStyle w:val="pf0"/>
        <w:numPr>
          <w:ilvl w:val="0"/>
          <w:numId w:val="12"/>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Percentages for mother's Indigenous status are age-standardised.</w:t>
      </w:r>
    </w:p>
    <w:p w14:paraId="2D64CA95" w14:textId="77777777" w:rsidR="00AF0ADF" w:rsidRPr="00B94D3E" w:rsidRDefault="00AF0ADF" w:rsidP="008D3FB5">
      <w:pPr>
        <w:pStyle w:val="pf0"/>
        <w:numPr>
          <w:ilvl w:val="0"/>
          <w:numId w:val="12"/>
        </w:numPr>
        <w:spacing w:before="0" w:beforeAutospacing="0" w:after="0" w:afterAutospacing="0"/>
        <w:ind w:left="284" w:hanging="284"/>
        <w:rPr>
          <w:rFonts w:asciiTheme="minorHAnsi" w:hAnsiTheme="minorHAnsi"/>
          <w:sz w:val="18"/>
          <w:szCs w:val="18"/>
        </w:rPr>
      </w:pPr>
      <w:r w:rsidRPr="009658B9">
        <w:rPr>
          <w:rFonts w:asciiTheme="minorHAnsi" w:hAnsiTheme="minorHAnsi"/>
          <w:sz w:val="18"/>
          <w:szCs w:val="18"/>
        </w:rPr>
        <w:t xml:space="preserve">Remoteness and socioeconomic area of mother’s usual residence was captured between 2012 and 2019. </w:t>
      </w:r>
    </w:p>
    <w:p w14:paraId="201207C5" w14:textId="66614688" w:rsidR="00F458E4" w:rsidRPr="00B94D3E" w:rsidRDefault="00F458E4" w:rsidP="008D3FB5">
      <w:pPr>
        <w:pStyle w:val="pf0"/>
        <w:numPr>
          <w:ilvl w:val="0"/>
          <w:numId w:val="12"/>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3CDBBAEE" w14:textId="4A2361AF" w:rsidR="00B94D3E" w:rsidRDefault="00B94D3E">
      <w:r>
        <w:br w:type="page"/>
      </w:r>
    </w:p>
    <w:p w14:paraId="6FE0F1CF" w14:textId="1CA4228F" w:rsidR="00AF0ADF" w:rsidRPr="0054118D" w:rsidRDefault="00AF0ADF" w:rsidP="00AF0ADF">
      <w:pPr>
        <w:pStyle w:val="Caption"/>
        <w:rPr>
          <w:sz w:val="20"/>
          <w:szCs w:val="20"/>
        </w:rPr>
      </w:pPr>
      <w:bookmarkStart w:id="412" w:name="_Ref117072518"/>
      <w:bookmarkStart w:id="413" w:name="_Toc121429190"/>
      <w:bookmarkStart w:id="414" w:name="_Ref117095100"/>
      <w:bookmarkStart w:id="415" w:name="_Ref117095083"/>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14</w:t>
      </w:r>
      <w:r w:rsidR="00A64FC5" w:rsidRPr="0054118D">
        <w:rPr>
          <w:noProof/>
          <w:sz w:val="20"/>
          <w:szCs w:val="20"/>
        </w:rPr>
        <w:fldChar w:fldCharType="end"/>
      </w:r>
      <w:bookmarkEnd w:id="412"/>
      <w:r w:rsidRPr="0054118D">
        <w:rPr>
          <w:sz w:val="20"/>
          <w:szCs w:val="20"/>
        </w:rPr>
        <w:tab/>
        <w:t>Five or more antenatal care visits, 2012–20</w:t>
      </w:r>
      <w:r w:rsidR="002457B6" w:rsidRPr="0054118D">
        <w:rPr>
          <w:sz w:val="20"/>
          <w:szCs w:val="20"/>
        </w:rPr>
        <w:t>19</w:t>
      </w:r>
      <w:bookmarkEnd w:id="413"/>
    </w:p>
    <w:tbl>
      <w:tblPr>
        <w:tblStyle w:val="TableGrid"/>
        <w:tblW w:w="5248" w:type="pct"/>
        <w:tblLook w:val="04A0" w:firstRow="1" w:lastRow="0" w:firstColumn="1" w:lastColumn="0" w:noHBand="0" w:noVBand="1"/>
      </w:tblPr>
      <w:tblGrid>
        <w:gridCol w:w="4568"/>
        <w:gridCol w:w="722"/>
        <w:gridCol w:w="722"/>
        <w:gridCol w:w="722"/>
        <w:gridCol w:w="722"/>
        <w:gridCol w:w="722"/>
        <w:gridCol w:w="722"/>
        <w:gridCol w:w="722"/>
        <w:gridCol w:w="722"/>
      </w:tblGrid>
      <w:tr w:rsidR="00857162" w:rsidRPr="00EB1AF3" w14:paraId="1EE347B8" w14:textId="77777777" w:rsidTr="00B94D3E">
        <w:trPr>
          <w:cantSplit/>
          <w:trHeight w:val="20"/>
          <w:tblHeader/>
        </w:trPr>
        <w:tc>
          <w:tcPr>
            <w:tcW w:w="2208" w:type="pct"/>
            <w:noWrap/>
            <w:vAlign w:val="center"/>
            <w:hideMark/>
          </w:tcPr>
          <w:p w14:paraId="23A9963A" w14:textId="77777777" w:rsidR="00857162" w:rsidRPr="00D23AFA" w:rsidRDefault="00857162" w:rsidP="00AF0ADF">
            <w:pPr>
              <w:ind w:firstLineChars="100" w:firstLine="201"/>
              <w:rPr>
                <w:rFonts w:cstheme="minorHAnsi"/>
                <w:b/>
                <w:bCs/>
                <w:color w:val="000000"/>
                <w:sz w:val="20"/>
                <w:szCs w:val="20"/>
              </w:rPr>
            </w:pPr>
          </w:p>
        </w:tc>
        <w:tc>
          <w:tcPr>
            <w:tcW w:w="349" w:type="pct"/>
            <w:noWrap/>
            <w:vAlign w:val="center"/>
            <w:hideMark/>
          </w:tcPr>
          <w:p w14:paraId="3BF4E4A5" w14:textId="77777777" w:rsidR="00857162" w:rsidRPr="00D23AFA" w:rsidRDefault="00857162" w:rsidP="00B94D3E">
            <w:pPr>
              <w:jc w:val="center"/>
              <w:rPr>
                <w:rFonts w:cstheme="minorHAnsi"/>
                <w:b/>
                <w:bCs/>
                <w:color w:val="000000"/>
                <w:sz w:val="20"/>
                <w:szCs w:val="20"/>
              </w:rPr>
            </w:pPr>
            <w:r w:rsidRPr="00D23AFA">
              <w:rPr>
                <w:rFonts w:cstheme="minorHAnsi"/>
                <w:b/>
                <w:bCs/>
                <w:color w:val="000000"/>
                <w:sz w:val="20"/>
                <w:szCs w:val="20"/>
              </w:rPr>
              <w:t>2012</w:t>
            </w:r>
          </w:p>
        </w:tc>
        <w:tc>
          <w:tcPr>
            <w:tcW w:w="349" w:type="pct"/>
            <w:noWrap/>
            <w:vAlign w:val="center"/>
            <w:hideMark/>
          </w:tcPr>
          <w:p w14:paraId="3CF462E9" w14:textId="77777777" w:rsidR="00857162" w:rsidRPr="00D23AFA" w:rsidRDefault="00857162" w:rsidP="00B94D3E">
            <w:pPr>
              <w:jc w:val="center"/>
              <w:rPr>
                <w:rFonts w:cstheme="minorHAnsi"/>
                <w:b/>
                <w:bCs/>
                <w:color w:val="000000"/>
                <w:sz w:val="20"/>
                <w:szCs w:val="20"/>
              </w:rPr>
            </w:pPr>
            <w:r w:rsidRPr="00D23AFA">
              <w:rPr>
                <w:rFonts w:cstheme="minorHAnsi"/>
                <w:b/>
                <w:bCs/>
                <w:color w:val="000000"/>
                <w:sz w:val="20"/>
                <w:szCs w:val="20"/>
              </w:rPr>
              <w:t>2013</w:t>
            </w:r>
          </w:p>
        </w:tc>
        <w:tc>
          <w:tcPr>
            <w:tcW w:w="349" w:type="pct"/>
            <w:noWrap/>
            <w:vAlign w:val="center"/>
            <w:hideMark/>
          </w:tcPr>
          <w:p w14:paraId="06835DBD" w14:textId="77777777" w:rsidR="00857162" w:rsidRPr="00D23AFA" w:rsidRDefault="00857162" w:rsidP="00B94D3E">
            <w:pPr>
              <w:jc w:val="center"/>
              <w:rPr>
                <w:rFonts w:cstheme="minorHAnsi"/>
                <w:b/>
                <w:bCs/>
                <w:color w:val="000000"/>
                <w:sz w:val="20"/>
                <w:szCs w:val="20"/>
              </w:rPr>
            </w:pPr>
            <w:r w:rsidRPr="00D23AFA">
              <w:rPr>
                <w:rFonts w:cstheme="minorHAnsi"/>
                <w:b/>
                <w:bCs/>
                <w:color w:val="000000"/>
                <w:sz w:val="20"/>
                <w:szCs w:val="20"/>
              </w:rPr>
              <w:t>2014</w:t>
            </w:r>
          </w:p>
        </w:tc>
        <w:tc>
          <w:tcPr>
            <w:tcW w:w="349" w:type="pct"/>
            <w:noWrap/>
            <w:vAlign w:val="center"/>
            <w:hideMark/>
          </w:tcPr>
          <w:p w14:paraId="78AFCE02" w14:textId="77777777" w:rsidR="00857162" w:rsidRPr="00D23AFA" w:rsidRDefault="00857162" w:rsidP="00B94D3E">
            <w:pPr>
              <w:jc w:val="center"/>
              <w:rPr>
                <w:rFonts w:cstheme="minorHAnsi"/>
                <w:b/>
                <w:bCs/>
                <w:color w:val="000000"/>
                <w:sz w:val="20"/>
                <w:szCs w:val="20"/>
              </w:rPr>
            </w:pPr>
            <w:r w:rsidRPr="00D23AFA">
              <w:rPr>
                <w:rFonts w:cstheme="minorHAnsi"/>
                <w:b/>
                <w:bCs/>
                <w:color w:val="000000"/>
                <w:sz w:val="20"/>
                <w:szCs w:val="20"/>
              </w:rPr>
              <w:t>2015</w:t>
            </w:r>
          </w:p>
        </w:tc>
        <w:tc>
          <w:tcPr>
            <w:tcW w:w="349" w:type="pct"/>
            <w:noWrap/>
            <w:vAlign w:val="center"/>
            <w:hideMark/>
          </w:tcPr>
          <w:p w14:paraId="0B7F2555" w14:textId="77777777" w:rsidR="00857162" w:rsidRPr="00D23AFA" w:rsidRDefault="00857162" w:rsidP="00B94D3E">
            <w:pPr>
              <w:jc w:val="center"/>
              <w:rPr>
                <w:rFonts w:cstheme="minorHAnsi"/>
                <w:b/>
                <w:bCs/>
                <w:color w:val="000000"/>
                <w:sz w:val="20"/>
                <w:szCs w:val="20"/>
              </w:rPr>
            </w:pPr>
            <w:r w:rsidRPr="00D23AFA">
              <w:rPr>
                <w:rFonts w:cstheme="minorHAnsi"/>
                <w:b/>
                <w:bCs/>
                <w:color w:val="000000"/>
                <w:sz w:val="20"/>
                <w:szCs w:val="20"/>
              </w:rPr>
              <w:t>2016</w:t>
            </w:r>
          </w:p>
        </w:tc>
        <w:tc>
          <w:tcPr>
            <w:tcW w:w="349" w:type="pct"/>
            <w:noWrap/>
            <w:vAlign w:val="center"/>
            <w:hideMark/>
          </w:tcPr>
          <w:p w14:paraId="27C7D212" w14:textId="77777777" w:rsidR="00857162" w:rsidRPr="00D23AFA" w:rsidRDefault="00857162" w:rsidP="00B94D3E">
            <w:pPr>
              <w:jc w:val="center"/>
              <w:rPr>
                <w:rFonts w:cstheme="minorHAnsi"/>
                <w:b/>
                <w:bCs/>
                <w:color w:val="000000"/>
                <w:sz w:val="20"/>
                <w:szCs w:val="20"/>
              </w:rPr>
            </w:pPr>
            <w:r w:rsidRPr="00D23AFA">
              <w:rPr>
                <w:rFonts w:cstheme="minorHAnsi"/>
                <w:b/>
                <w:bCs/>
                <w:color w:val="000000"/>
                <w:sz w:val="20"/>
                <w:szCs w:val="20"/>
              </w:rPr>
              <w:t>2017</w:t>
            </w:r>
          </w:p>
        </w:tc>
        <w:tc>
          <w:tcPr>
            <w:tcW w:w="349" w:type="pct"/>
            <w:noWrap/>
            <w:vAlign w:val="center"/>
            <w:hideMark/>
          </w:tcPr>
          <w:p w14:paraId="37D2CC1D" w14:textId="77777777" w:rsidR="00857162" w:rsidRPr="00D23AFA" w:rsidRDefault="00857162" w:rsidP="00B94D3E">
            <w:pPr>
              <w:jc w:val="center"/>
              <w:rPr>
                <w:rFonts w:cstheme="minorHAnsi"/>
                <w:b/>
                <w:bCs/>
                <w:color w:val="000000"/>
                <w:sz w:val="20"/>
                <w:szCs w:val="20"/>
              </w:rPr>
            </w:pPr>
            <w:r w:rsidRPr="00D23AFA">
              <w:rPr>
                <w:rFonts w:cstheme="minorHAnsi"/>
                <w:b/>
                <w:bCs/>
                <w:color w:val="000000"/>
                <w:sz w:val="20"/>
                <w:szCs w:val="20"/>
              </w:rPr>
              <w:t>2018</w:t>
            </w:r>
          </w:p>
        </w:tc>
        <w:tc>
          <w:tcPr>
            <w:tcW w:w="349" w:type="pct"/>
            <w:noWrap/>
            <w:vAlign w:val="center"/>
            <w:hideMark/>
          </w:tcPr>
          <w:p w14:paraId="2CED4AA1" w14:textId="77777777" w:rsidR="00857162" w:rsidRPr="00D23AFA" w:rsidRDefault="00857162" w:rsidP="00B94D3E">
            <w:pPr>
              <w:jc w:val="center"/>
              <w:rPr>
                <w:rFonts w:cstheme="minorHAnsi"/>
                <w:b/>
                <w:bCs/>
                <w:color w:val="000000"/>
                <w:sz w:val="20"/>
                <w:szCs w:val="20"/>
              </w:rPr>
            </w:pPr>
            <w:r w:rsidRPr="00D23AFA">
              <w:rPr>
                <w:rFonts w:cstheme="minorHAnsi"/>
                <w:b/>
                <w:bCs/>
                <w:color w:val="000000"/>
                <w:sz w:val="20"/>
                <w:szCs w:val="20"/>
              </w:rPr>
              <w:t>2019</w:t>
            </w:r>
          </w:p>
        </w:tc>
      </w:tr>
      <w:tr w:rsidR="00857162" w:rsidRPr="00EB1AF3" w14:paraId="3BE2F28F" w14:textId="77777777" w:rsidTr="00857162">
        <w:trPr>
          <w:cantSplit/>
          <w:trHeight w:val="20"/>
          <w:tblHeader/>
        </w:trPr>
        <w:tc>
          <w:tcPr>
            <w:tcW w:w="2208" w:type="pct"/>
            <w:noWrap/>
            <w:vAlign w:val="center"/>
            <w:hideMark/>
          </w:tcPr>
          <w:p w14:paraId="10431957" w14:textId="77777777" w:rsidR="00857162" w:rsidRPr="00D23AFA" w:rsidRDefault="00857162" w:rsidP="00AF0ADF">
            <w:pPr>
              <w:jc w:val="right"/>
              <w:rPr>
                <w:rFonts w:cstheme="minorHAnsi"/>
                <w:b/>
                <w:bCs/>
                <w:color w:val="000000"/>
                <w:sz w:val="20"/>
                <w:szCs w:val="20"/>
              </w:rPr>
            </w:pPr>
          </w:p>
        </w:tc>
        <w:tc>
          <w:tcPr>
            <w:tcW w:w="2792" w:type="pct"/>
            <w:gridSpan w:val="8"/>
            <w:noWrap/>
            <w:vAlign w:val="center"/>
            <w:hideMark/>
          </w:tcPr>
          <w:p w14:paraId="6E6F8AEB" w14:textId="3D89FC77" w:rsidR="00857162" w:rsidRPr="00D23AFA" w:rsidRDefault="00857162" w:rsidP="00AF0ADF">
            <w:pPr>
              <w:jc w:val="center"/>
              <w:rPr>
                <w:rFonts w:cstheme="minorHAnsi"/>
                <w:b/>
                <w:bCs/>
                <w:sz w:val="20"/>
                <w:szCs w:val="20"/>
              </w:rPr>
            </w:pPr>
            <w:r w:rsidRPr="00D23AFA">
              <w:rPr>
                <w:rFonts w:cstheme="minorHAnsi"/>
                <w:b/>
                <w:bCs/>
                <w:color w:val="000000"/>
                <w:sz w:val="20"/>
                <w:szCs w:val="20"/>
              </w:rPr>
              <w:t>In per cent (%)</w:t>
            </w:r>
          </w:p>
        </w:tc>
      </w:tr>
      <w:tr w:rsidR="00DA1D8F" w:rsidRPr="00EB1AF3" w14:paraId="2B877521" w14:textId="77777777" w:rsidTr="00DA1D8F">
        <w:trPr>
          <w:cantSplit/>
          <w:trHeight w:val="20"/>
        </w:trPr>
        <w:tc>
          <w:tcPr>
            <w:tcW w:w="5000" w:type="pct"/>
            <w:gridSpan w:val="9"/>
            <w:noWrap/>
            <w:vAlign w:val="center"/>
            <w:hideMark/>
          </w:tcPr>
          <w:p w14:paraId="7BBE8650" w14:textId="1E626918" w:rsidR="00DA1D8F" w:rsidRPr="00D23AFA" w:rsidRDefault="00DA1D8F" w:rsidP="00AF0ADF">
            <w:pPr>
              <w:rPr>
                <w:rFonts w:cstheme="minorHAnsi"/>
                <w:b/>
                <w:bCs/>
                <w:sz w:val="20"/>
                <w:szCs w:val="20"/>
              </w:rPr>
            </w:pPr>
            <w:r w:rsidRPr="00D23AFA">
              <w:rPr>
                <w:rFonts w:cstheme="minorHAnsi"/>
                <w:b/>
                <w:bCs/>
                <w:color w:val="000000"/>
                <w:sz w:val="20"/>
                <w:szCs w:val="20"/>
              </w:rPr>
              <w:t>Australia</w:t>
            </w:r>
          </w:p>
        </w:tc>
      </w:tr>
      <w:tr w:rsidR="00857162" w:rsidRPr="00D23AFA" w14:paraId="70173D73" w14:textId="77777777" w:rsidTr="00B94D3E">
        <w:trPr>
          <w:cantSplit/>
          <w:trHeight w:val="20"/>
        </w:trPr>
        <w:tc>
          <w:tcPr>
            <w:tcW w:w="2208" w:type="pct"/>
            <w:noWrap/>
            <w:vAlign w:val="center"/>
            <w:hideMark/>
          </w:tcPr>
          <w:p w14:paraId="06A52CE9"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Total</w:t>
            </w:r>
          </w:p>
        </w:tc>
        <w:tc>
          <w:tcPr>
            <w:tcW w:w="349" w:type="pct"/>
            <w:noWrap/>
            <w:vAlign w:val="center"/>
            <w:hideMark/>
          </w:tcPr>
          <w:p w14:paraId="09B8A9C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0C562DE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95.4</w:t>
            </w:r>
          </w:p>
        </w:tc>
        <w:tc>
          <w:tcPr>
            <w:tcW w:w="349" w:type="pct"/>
            <w:noWrap/>
            <w:vAlign w:val="center"/>
            <w:hideMark/>
          </w:tcPr>
          <w:p w14:paraId="612BE55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6C0AF09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7ABC6F2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2A00072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5E1F25A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95.4</w:t>
            </w:r>
          </w:p>
        </w:tc>
        <w:tc>
          <w:tcPr>
            <w:tcW w:w="349" w:type="pct"/>
            <w:noWrap/>
            <w:vAlign w:val="center"/>
            <w:hideMark/>
          </w:tcPr>
          <w:p w14:paraId="6BF36FB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r>
      <w:tr w:rsidR="00DA1D8F" w:rsidRPr="00EB1AF3" w14:paraId="1C18A6E3" w14:textId="77777777" w:rsidTr="00DA1D8F">
        <w:trPr>
          <w:cantSplit/>
          <w:trHeight w:val="20"/>
        </w:trPr>
        <w:tc>
          <w:tcPr>
            <w:tcW w:w="5000" w:type="pct"/>
            <w:gridSpan w:val="9"/>
            <w:noWrap/>
            <w:vAlign w:val="center"/>
            <w:hideMark/>
          </w:tcPr>
          <w:p w14:paraId="67D911BE" w14:textId="261B277A" w:rsidR="00DA1D8F" w:rsidRPr="00D23AFA" w:rsidRDefault="00DA1D8F" w:rsidP="00AF0ADF">
            <w:pPr>
              <w:rPr>
                <w:rFonts w:cstheme="minorHAnsi"/>
                <w:b/>
                <w:bCs/>
                <w:sz w:val="20"/>
                <w:szCs w:val="20"/>
              </w:rPr>
            </w:pPr>
            <w:r w:rsidRPr="00D23AFA">
              <w:rPr>
                <w:rFonts w:cstheme="minorHAnsi"/>
                <w:b/>
                <w:bCs/>
                <w:color w:val="000000"/>
                <w:sz w:val="20"/>
                <w:szCs w:val="20"/>
              </w:rPr>
              <w:t>Mother's age at birth</w:t>
            </w:r>
          </w:p>
        </w:tc>
      </w:tr>
      <w:tr w:rsidR="00857162" w:rsidRPr="00D23AFA" w14:paraId="537F71BB" w14:textId="77777777" w:rsidTr="00B94D3E">
        <w:trPr>
          <w:cantSplit/>
          <w:trHeight w:val="20"/>
        </w:trPr>
        <w:tc>
          <w:tcPr>
            <w:tcW w:w="2208" w:type="pct"/>
            <w:noWrap/>
            <w:vAlign w:val="center"/>
            <w:hideMark/>
          </w:tcPr>
          <w:p w14:paraId="78C70736"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Younger than 20</w:t>
            </w:r>
          </w:p>
        </w:tc>
        <w:tc>
          <w:tcPr>
            <w:tcW w:w="349" w:type="pct"/>
            <w:noWrap/>
            <w:vAlign w:val="center"/>
            <w:hideMark/>
          </w:tcPr>
          <w:p w14:paraId="066C9E0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90.4</w:t>
            </w:r>
          </w:p>
        </w:tc>
        <w:tc>
          <w:tcPr>
            <w:tcW w:w="349" w:type="pct"/>
            <w:noWrap/>
            <w:vAlign w:val="center"/>
            <w:hideMark/>
          </w:tcPr>
          <w:p w14:paraId="0FF72C5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90.9</w:t>
            </w:r>
          </w:p>
        </w:tc>
        <w:tc>
          <w:tcPr>
            <w:tcW w:w="349" w:type="pct"/>
            <w:noWrap/>
            <w:vAlign w:val="center"/>
            <w:hideMark/>
          </w:tcPr>
          <w:p w14:paraId="186BD4A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90.7</w:t>
            </w:r>
          </w:p>
        </w:tc>
        <w:tc>
          <w:tcPr>
            <w:tcW w:w="349" w:type="pct"/>
            <w:noWrap/>
            <w:vAlign w:val="center"/>
            <w:hideMark/>
          </w:tcPr>
          <w:p w14:paraId="7BC8D69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91.3</w:t>
            </w:r>
          </w:p>
        </w:tc>
        <w:tc>
          <w:tcPr>
            <w:tcW w:w="349" w:type="pct"/>
            <w:noWrap/>
            <w:vAlign w:val="center"/>
            <w:hideMark/>
          </w:tcPr>
          <w:p w14:paraId="62DE32BA"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90.7</w:t>
            </w:r>
          </w:p>
        </w:tc>
        <w:tc>
          <w:tcPr>
            <w:tcW w:w="349" w:type="pct"/>
            <w:noWrap/>
            <w:vAlign w:val="center"/>
            <w:hideMark/>
          </w:tcPr>
          <w:p w14:paraId="014D06C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91.5</w:t>
            </w:r>
          </w:p>
        </w:tc>
        <w:tc>
          <w:tcPr>
            <w:tcW w:w="349" w:type="pct"/>
            <w:noWrap/>
            <w:vAlign w:val="center"/>
            <w:hideMark/>
          </w:tcPr>
          <w:p w14:paraId="0309C7C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91.2</w:t>
            </w:r>
          </w:p>
        </w:tc>
        <w:tc>
          <w:tcPr>
            <w:tcW w:w="349" w:type="pct"/>
            <w:noWrap/>
            <w:vAlign w:val="center"/>
            <w:hideMark/>
          </w:tcPr>
          <w:p w14:paraId="2941DBB6"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91.4</w:t>
            </w:r>
          </w:p>
        </w:tc>
      </w:tr>
      <w:tr w:rsidR="00857162" w:rsidRPr="00D23AFA" w14:paraId="566DF34E" w14:textId="77777777" w:rsidTr="00B94D3E">
        <w:trPr>
          <w:cantSplit/>
          <w:trHeight w:val="20"/>
        </w:trPr>
        <w:tc>
          <w:tcPr>
            <w:tcW w:w="2208" w:type="pct"/>
            <w:noWrap/>
            <w:vAlign w:val="center"/>
            <w:hideMark/>
          </w:tcPr>
          <w:p w14:paraId="5B3AFAEF"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20-24</w:t>
            </w:r>
          </w:p>
        </w:tc>
        <w:tc>
          <w:tcPr>
            <w:tcW w:w="349" w:type="pct"/>
            <w:noWrap/>
            <w:vAlign w:val="center"/>
            <w:hideMark/>
          </w:tcPr>
          <w:p w14:paraId="00B9812A"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92.5</w:t>
            </w:r>
          </w:p>
        </w:tc>
        <w:tc>
          <w:tcPr>
            <w:tcW w:w="349" w:type="pct"/>
            <w:noWrap/>
            <w:vAlign w:val="center"/>
            <w:hideMark/>
          </w:tcPr>
          <w:p w14:paraId="679CCFA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92.8</w:t>
            </w:r>
          </w:p>
        </w:tc>
        <w:tc>
          <w:tcPr>
            <w:tcW w:w="349" w:type="pct"/>
            <w:noWrap/>
            <w:vAlign w:val="center"/>
            <w:hideMark/>
          </w:tcPr>
          <w:p w14:paraId="05D7C1C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93.0</w:t>
            </w:r>
          </w:p>
        </w:tc>
        <w:tc>
          <w:tcPr>
            <w:tcW w:w="349" w:type="pct"/>
            <w:noWrap/>
            <w:vAlign w:val="center"/>
            <w:hideMark/>
          </w:tcPr>
          <w:p w14:paraId="4132528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93.3</w:t>
            </w:r>
          </w:p>
        </w:tc>
        <w:tc>
          <w:tcPr>
            <w:tcW w:w="349" w:type="pct"/>
            <w:noWrap/>
            <w:vAlign w:val="center"/>
            <w:hideMark/>
          </w:tcPr>
          <w:p w14:paraId="4295C1D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93.5</w:t>
            </w:r>
          </w:p>
        </w:tc>
        <w:tc>
          <w:tcPr>
            <w:tcW w:w="349" w:type="pct"/>
            <w:noWrap/>
            <w:vAlign w:val="center"/>
            <w:hideMark/>
          </w:tcPr>
          <w:p w14:paraId="063A2E0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93.8</w:t>
            </w:r>
          </w:p>
        </w:tc>
        <w:tc>
          <w:tcPr>
            <w:tcW w:w="349" w:type="pct"/>
            <w:noWrap/>
            <w:vAlign w:val="center"/>
            <w:hideMark/>
          </w:tcPr>
          <w:p w14:paraId="01054D2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93.4</w:t>
            </w:r>
          </w:p>
        </w:tc>
        <w:tc>
          <w:tcPr>
            <w:tcW w:w="349" w:type="pct"/>
            <w:noWrap/>
            <w:vAlign w:val="center"/>
            <w:hideMark/>
          </w:tcPr>
          <w:p w14:paraId="436D1C3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93.6</w:t>
            </w:r>
          </w:p>
        </w:tc>
      </w:tr>
      <w:tr w:rsidR="00857162" w:rsidRPr="00D23AFA" w14:paraId="35DFA22A" w14:textId="77777777" w:rsidTr="00B94D3E">
        <w:trPr>
          <w:cantSplit/>
          <w:trHeight w:val="20"/>
        </w:trPr>
        <w:tc>
          <w:tcPr>
            <w:tcW w:w="2208" w:type="pct"/>
            <w:noWrap/>
            <w:vAlign w:val="center"/>
            <w:hideMark/>
          </w:tcPr>
          <w:p w14:paraId="531BCC61"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25-29</w:t>
            </w:r>
          </w:p>
        </w:tc>
        <w:tc>
          <w:tcPr>
            <w:tcW w:w="349" w:type="pct"/>
            <w:noWrap/>
            <w:vAlign w:val="center"/>
            <w:hideMark/>
          </w:tcPr>
          <w:p w14:paraId="6C7C854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95.1</w:t>
            </w:r>
          </w:p>
        </w:tc>
        <w:tc>
          <w:tcPr>
            <w:tcW w:w="349" w:type="pct"/>
            <w:noWrap/>
            <w:vAlign w:val="center"/>
            <w:hideMark/>
          </w:tcPr>
          <w:p w14:paraId="0012893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95.4</w:t>
            </w:r>
          </w:p>
        </w:tc>
        <w:tc>
          <w:tcPr>
            <w:tcW w:w="349" w:type="pct"/>
            <w:noWrap/>
            <w:vAlign w:val="center"/>
            <w:hideMark/>
          </w:tcPr>
          <w:p w14:paraId="62266C9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95.1</w:t>
            </w:r>
          </w:p>
        </w:tc>
        <w:tc>
          <w:tcPr>
            <w:tcW w:w="349" w:type="pct"/>
            <w:noWrap/>
            <w:vAlign w:val="center"/>
            <w:hideMark/>
          </w:tcPr>
          <w:p w14:paraId="772037B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c>
          <w:tcPr>
            <w:tcW w:w="349" w:type="pct"/>
            <w:noWrap/>
            <w:vAlign w:val="center"/>
            <w:hideMark/>
          </w:tcPr>
          <w:p w14:paraId="2A05652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95.6</w:t>
            </w:r>
          </w:p>
        </w:tc>
        <w:tc>
          <w:tcPr>
            <w:tcW w:w="349" w:type="pct"/>
            <w:noWrap/>
            <w:vAlign w:val="center"/>
            <w:hideMark/>
          </w:tcPr>
          <w:p w14:paraId="2C07747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350CFD5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4E60885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95.4</w:t>
            </w:r>
          </w:p>
        </w:tc>
      </w:tr>
      <w:tr w:rsidR="00857162" w:rsidRPr="00D23AFA" w14:paraId="6B4E20D7" w14:textId="77777777" w:rsidTr="00B94D3E">
        <w:trPr>
          <w:cantSplit/>
          <w:trHeight w:val="20"/>
        </w:trPr>
        <w:tc>
          <w:tcPr>
            <w:tcW w:w="2208" w:type="pct"/>
            <w:noWrap/>
            <w:vAlign w:val="center"/>
            <w:hideMark/>
          </w:tcPr>
          <w:p w14:paraId="5F5D065D"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30-34</w:t>
            </w:r>
          </w:p>
        </w:tc>
        <w:tc>
          <w:tcPr>
            <w:tcW w:w="349" w:type="pct"/>
            <w:noWrap/>
            <w:vAlign w:val="center"/>
            <w:hideMark/>
          </w:tcPr>
          <w:p w14:paraId="0ECA0736"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77836BE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c>
          <w:tcPr>
            <w:tcW w:w="349" w:type="pct"/>
            <w:noWrap/>
            <w:vAlign w:val="center"/>
            <w:hideMark/>
          </w:tcPr>
          <w:p w14:paraId="07CF22C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c>
          <w:tcPr>
            <w:tcW w:w="349" w:type="pct"/>
            <w:noWrap/>
            <w:vAlign w:val="center"/>
            <w:hideMark/>
          </w:tcPr>
          <w:p w14:paraId="30753BFA"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c>
          <w:tcPr>
            <w:tcW w:w="349" w:type="pct"/>
            <w:noWrap/>
            <w:vAlign w:val="center"/>
            <w:hideMark/>
          </w:tcPr>
          <w:p w14:paraId="1C8AB4F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c>
          <w:tcPr>
            <w:tcW w:w="349" w:type="pct"/>
            <w:noWrap/>
            <w:vAlign w:val="center"/>
            <w:hideMark/>
          </w:tcPr>
          <w:p w14:paraId="104C7A9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c>
          <w:tcPr>
            <w:tcW w:w="349" w:type="pct"/>
            <w:noWrap/>
            <w:vAlign w:val="center"/>
            <w:hideMark/>
          </w:tcPr>
          <w:p w14:paraId="6106A73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c>
          <w:tcPr>
            <w:tcW w:w="349" w:type="pct"/>
            <w:noWrap/>
            <w:vAlign w:val="center"/>
            <w:hideMark/>
          </w:tcPr>
          <w:p w14:paraId="574934E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r>
      <w:tr w:rsidR="00857162" w:rsidRPr="00D23AFA" w14:paraId="7801F0D5" w14:textId="77777777" w:rsidTr="00B94D3E">
        <w:trPr>
          <w:cantSplit/>
          <w:trHeight w:val="20"/>
        </w:trPr>
        <w:tc>
          <w:tcPr>
            <w:tcW w:w="2208" w:type="pct"/>
            <w:noWrap/>
            <w:vAlign w:val="center"/>
            <w:hideMark/>
          </w:tcPr>
          <w:p w14:paraId="2F4EB9AA"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35-39</w:t>
            </w:r>
          </w:p>
        </w:tc>
        <w:tc>
          <w:tcPr>
            <w:tcW w:w="349" w:type="pct"/>
            <w:noWrap/>
            <w:vAlign w:val="center"/>
            <w:hideMark/>
          </w:tcPr>
          <w:p w14:paraId="7A35756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6FE6485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c>
          <w:tcPr>
            <w:tcW w:w="349" w:type="pct"/>
            <w:noWrap/>
            <w:vAlign w:val="center"/>
            <w:hideMark/>
          </w:tcPr>
          <w:p w14:paraId="7072DE2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96.2</w:t>
            </w:r>
          </w:p>
        </w:tc>
        <w:tc>
          <w:tcPr>
            <w:tcW w:w="349" w:type="pct"/>
            <w:noWrap/>
            <w:vAlign w:val="center"/>
            <w:hideMark/>
          </w:tcPr>
          <w:p w14:paraId="01C0FA8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6356B7D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96.6</w:t>
            </w:r>
          </w:p>
        </w:tc>
        <w:tc>
          <w:tcPr>
            <w:tcW w:w="349" w:type="pct"/>
            <w:noWrap/>
            <w:vAlign w:val="center"/>
            <w:hideMark/>
          </w:tcPr>
          <w:p w14:paraId="10D8C8C6"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c>
          <w:tcPr>
            <w:tcW w:w="349" w:type="pct"/>
            <w:noWrap/>
            <w:vAlign w:val="center"/>
            <w:hideMark/>
          </w:tcPr>
          <w:p w14:paraId="679B077A"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c>
          <w:tcPr>
            <w:tcW w:w="349" w:type="pct"/>
            <w:noWrap/>
            <w:vAlign w:val="center"/>
            <w:hideMark/>
          </w:tcPr>
          <w:p w14:paraId="417AD25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r>
      <w:tr w:rsidR="00857162" w:rsidRPr="00D23AFA" w14:paraId="5CEE0BD1" w14:textId="77777777" w:rsidTr="00B94D3E">
        <w:trPr>
          <w:cantSplit/>
          <w:trHeight w:val="20"/>
        </w:trPr>
        <w:tc>
          <w:tcPr>
            <w:tcW w:w="2208" w:type="pct"/>
            <w:noWrap/>
            <w:vAlign w:val="center"/>
            <w:hideMark/>
          </w:tcPr>
          <w:p w14:paraId="7D8109F8"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40 and over</w:t>
            </w:r>
          </w:p>
        </w:tc>
        <w:tc>
          <w:tcPr>
            <w:tcW w:w="349" w:type="pct"/>
            <w:noWrap/>
            <w:vAlign w:val="center"/>
            <w:hideMark/>
          </w:tcPr>
          <w:p w14:paraId="5A68733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c>
          <w:tcPr>
            <w:tcW w:w="349" w:type="pct"/>
            <w:noWrap/>
            <w:vAlign w:val="center"/>
            <w:hideMark/>
          </w:tcPr>
          <w:p w14:paraId="741801A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58036DB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16957CA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c>
          <w:tcPr>
            <w:tcW w:w="349" w:type="pct"/>
            <w:noWrap/>
            <w:vAlign w:val="center"/>
            <w:hideMark/>
          </w:tcPr>
          <w:p w14:paraId="7FDC8ED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96.5</w:t>
            </w:r>
          </w:p>
        </w:tc>
        <w:tc>
          <w:tcPr>
            <w:tcW w:w="349" w:type="pct"/>
            <w:noWrap/>
            <w:vAlign w:val="center"/>
            <w:hideMark/>
          </w:tcPr>
          <w:p w14:paraId="4B6210A6"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95.9</w:t>
            </w:r>
          </w:p>
        </w:tc>
        <w:tc>
          <w:tcPr>
            <w:tcW w:w="349" w:type="pct"/>
            <w:noWrap/>
            <w:vAlign w:val="center"/>
            <w:hideMark/>
          </w:tcPr>
          <w:p w14:paraId="0C25921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1862316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r>
      <w:tr w:rsidR="00DA1D8F" w:rsidRPr="00D23AFA" w14:paraId="1ABC5E55" w14:textId="77777777" w:rsidTr="00DA1D8F">
        <w:trPr>
          <w:cantSplit/>
          <w:trHeight w:val="20"/>
        </w:trPr>
        <w:tc>
          <w:tcPr>
            <w:tcW w:w="5000" w:type="pct"/>
            <w:gridSpan w:val="9"/>
            <w:noWrap/>
            <w:vAlign w:val="center"/>
          </w:tcPr>
          <w:p w14:paraId="5DC5FC2A" w14:textId="255EE96E" w:rsidR="00DA1D8F" w:rsidRPr="00B94D3E" w:rsidRDefault="00DA1D8F" w:rsidP="00B94D3E">
            <w:pPr>
              <w:rPr>
                <w:rFonts w:cstheme="minorHAnsi"/>
                <w:b/>
                <w:bCs/>
                <w:color w:val="000000"/>
                <w:sz w:val="20"/>
                <w:szCs w:val="20"/>
              </w:rPr>
            </w:pPr>
            <w:r w:rsidRPr="00D23AFA">
              <w:rPr>
                <w:rFonts w:cstheme="minorHAnsi"/>
                <w:b/>
                <w:bCs/>
                <w:color w:val="000000"/>
                <w:sz w:val="20"/>
                <w:szCs w:val="20"/>
              </w:rPr>
              <w:t>Mother's country of birth</w:t>
            </w:r>
          </w:p>
        </w:tc>
      </w:tr>
      <w:tr w:rsidR="00857162" w:rsidRPr="00D23AFA" w14:paraId="05EBE9C5" w14:textId="77777777" w:rsidTr="00B94D3E">
        <w:trPr>
          <w:cantSplit/>
          <w:trHeight w:val="20"/>
        </w:trPr>
        <w:tc>
          <w:tcPr>
            <w:tcW w:w="2208" w:type="pct"/>
            <w:noWrap/>
            <w:vAlign w:val="center"/>
            <w:hideMark/>
          </w:tcPr>
          <w:p w14:paraId="138C263C"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Born in Australia</w:t>
            </w:r>
          </w:p>
        </w:tc>
        <w:tc>
          <w:tcPr>
            <w:tcW w:w="349" w:type="pct"/>
            <w:noWrap/>
            <w:vAlign w:val="center"/>
            <w:hideMark/>
          </w:tcPr>
          <w:p w14:paraId="02A3875E"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568CE42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7618D50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c>
          <w:tcPr>
            <w:tcW w:w="349" w:type="pct"/>
            <w:noWrap/>
            <w:vAlign w:val="center"/>
            <w:hideMark/>
          </w:tcPr>
          <w:p w14:paraId="31B154D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7B11B51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715C470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7C1CFF0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7F71822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95.6</w:t>
            </w:r>
          </w:p>
        </w:tc>
      </w:tr>
      <w:tr w:rsidR="00857162" w:rsidRPr="00D23AFA" w14:paraId="1A513A09" w14:textId="77777777" w:rsidTr="00B94D3E">
        <w:trPr>
          <w:cantSplit/>
          <w:trHeight w:val="20"/>
        </w:trPr>
        <w:tc>
          <w:tcPr>
            <w:tcW w:w="2208" w:type="pct"/>
            <w:noWrap/>
            <w:vAlign w:val="center"/>
            <w:hideMark/>
          </w:tcPr>
          <w:p w14:paraId="4673E576"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Born overseas</w:t>
            </w:r>
          </w:p>
        </w:tc>
        <w:tc>
          <w:tcPr>
            <w:tcW w:w="349" w:type="pct"/>
            <w:noWrap/>
            <w:vAlign w:val="center"/>
            <w:hideMark/>
          </w:tcPr>
          <w:p w14:paraId="6736B0D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382BF5B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097D2DE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22564C36"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63B678E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6A49F69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3286A8B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73028F5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95.4</w:t>
            </w:r>
          </w:p>
        </w:tc>
      </w:tr>
      <w:tr w:rsidR="00DA1D8F" w:rsidRPr="00D23AFA" w14:paraId="69F16EF3" w14:textId="77777777" w:rsidTr="00DA1D8F">
        <w:trPr>
          <w:cantSplit/>
          <w:trHeight w:val="20"/>
        </w:trPr>
        <w:tc>
          <w:tcPr>
            <w:tcW w:w="5000" w:type="pct"/>
            <w:gridSpan w:val="9"/>
            <w:noWrap/>
            <w:vAlign w:val="center"/>
          </w:tcPr>
          <w:p w14:paraId="43358067" w14:textId="3C1EED40" w:rsidR="00DA1D8F" w:rsidRPr="00D23AFA" w:rsidRDefault="00DA1D8F" w:rsidP="00B94D3E">
            <w:pPr>
              <w:rPr>
                <w:rFonts w:cstheme="minorHAnsi"/>
                <w:color w:val="000000"/>
                <w:sz w:val="20"/>
                <w:szCs w:val="20"/>
              </w:rPr>
            </w:pPr>
            <w:r w:rsidRPr="00D23AFA">
              <w:rPr>
                <w:rFonts w:cstheme="minorHAnsi"/>
                <w:b/>
                <w:bCs/>
                <w:color w:val="000000"/>
                <w:sz w:val="20"/>
                <w:szCs w:val="20"/>
              </w:rPr>
              <w:t xml:space="preserve">Mother's Indigenous status </w:t>
            </w:r>
            <w:r w:rsidR="003123B9">
              <w:rPr>
                <w:rFonts w:cstheme="minorHAnsi"/>
                <w:b/>
                <w:bCs/>
                <w:color w:val="000000"/>
                <w:sz w:val="20"/>
                <w:szCs w:val="20"/>
              </w:rPr>
              <w:t>(Age-standardised)</w:t>
            </w:r>
          </w:p>
        </w:tc>
      </w:tr>
      <w:tr w:rsidR="00857162" w:rsidRPr="00D23AFA" w14:paraId="268CB8DE" w14:textId="77777777" w:rsidTr="00B94D3E">
        <w:trPr>
          <w:cantSplit/>
          <w:trHeight w:val="20"/>
        </w:trPr>
        <w:tc>
          <w:tcPr>
            <w:tcW w:w="2208" w:type="pct"/>
            <w:noWrap/>
            <w:vAlign w:val="center"/>
            <w:hideMark/>
          </w:tcPr>
          <w:p w14:paraId="73BFCE9A"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Indigenous</w:t>
            </w:r>
          </w:p>
        </w:tc>
        <w:tc>
          <w:tcPr>
            <w:tcW w:w="349" w:type="pct"/>
            <w:noWrap/>
            <w:vAlign w:val="center"/>
            <w:hideMark/>
          </w:tcPr>
          <w:p w14:paraId="2065DC1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85.5</w:t>
            </w:r>
          </w:p>
        </w:tc>
        <w:tc>
          <w:tcPr>
            <w:tcW w:w="349" w:type="pct"/>
            <w:noWrap/>
            <w:vAlign w:val="center"/>
            <w:hideMark/>
          </w:tcPr>
          <w:p w14:paraId="7EB81DD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85.1</w:t>
            </w:r>
          </w:p>
        </w:tc>
        <w:tc>
          <w:tcPr>
            <w:tcW w:w="349" w:type="pct"/>
            <w:noWrap/>
            <w:vAlign w:val="center"/>
            <w:hideMark/>
          </w:tcPr>
          <w:p w14:paraId="785E8F2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85.5</w:t>
            </w:r>
          </w:p>
        </w:tc>
        <w:tc>
          <w:tcPr>
            <w:tcW w:w="349" w:type="pct"/>
            <w:noWrap/>
            <w:vAlign w:val="center"/>
            <w:hideMark/>
          </w:tcPr>
          <w:p w14:paraId="5EA6024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86.9</w:t>
            </w:r>
          </w:p>
        </w:tc>
        <w:tc>
          <w:tcPr>
            <w:tcW w:w="349" w:type="pct"/>
            <w:noWrap/>
            <w:vAlign w:val="center"/>
            <w:hideMark/>
          </w:tcPr>
          <w:p w14:paraId="21B1A85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86.6</w:t>
            </w:r>
          </w:p>
        </w:tc>
        <w:tc>
          <w:tcPr>
            <w:tcW w:w="349" w:type="pct"/>
            <w:noWrap/>
            <w:vAlign w:val="center"/>
            <w:hideMark/>
          </w:tcPr>
          <w:p w14:paraId="37950AC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87.6</w:t>
            </w:r>
          </w:p>
        </w:tc>
        <w:tc>
          <w:tcPr>
            <w:tcW w:w="349" w:type="pct"/>
            <w:noWrap/>
            <w:vAlign w:val="center"/>
            <w:hideMark/>
          </w:tcPr>
          <w:p w14:paraId="6BCBF61E"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87.2</w:t>
            </w:r>
          </w:p>
        </w:tc>
        <w:tc>
          <w:tcPr>
            <w:tcW w:w="349" w:type="pct"/>
            <w:noWrap/>
            <w:vAlign w:val="center"/>
            <w:hideMark/>
          </w:tcPr>
          <w:p w14:paraId="0AADDE1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88.6</w:t>
            </w:r>
          </w:p>
        </w:tc>
      </w:tr>
      <w:tr w:rsidR="00857162" w:rsidRPr="00D23AFA" w14:paraId="15514104" w14:textId="77777777" w:rsidTr="00B94D3E">
        <w:trPr>
          <w:cantSplit/>
          <w:trHeight w:val="20"/>
        </w:trPr>
        <w:tc>
          <w:tcPr>
            <w:tcW w:w="2208" w:type="pct"/>
            <w:noWrap/>
            <w:vAlign w:val="center"/>
            <w:hideMark/>
          </w:tcPr>
          <w:p w14:paraId="7F9CEFBE"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Non-Indigenous</w:t>
            </w:r>
          </w:p>
        </w:tc>
        <w:tc>
          <w:tcPr>
            <w:tcW w:w="349" w:type="pct"/>
            <w:noWrap/>
            <w:vAlign w:val="center"/>
            <w:hideMark/>
          </w:tcPr>
          <w:p w14:paraId="42A636B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95.1</w:t>
            </w:r>
          </w:p>
        </w:tc>
        <w:tc>
          <w:tcPr>
            <w:tcW w:w="349" w:type="pct"/>
            <w:noWrap/>
            <w:vAlign w:val="center"/>
            <w:hideMark/>
          </w:tcPr>
          <w:p w14:paraId="7D8E23D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95.4</w:t>
            </w:r>
          </w:p>
        </w:tc>
        <w:tc>
          <w:tcPr>
            <w:tcW w:w="349" w:type="pct"/>
            <w:noWrap/>
            <w:vAlign w:val="center"/>
            <w:hideMark/>
          </w:tcPr>
          <w:p w14:paraId="510281C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c>
          <w:tcPr>
            <w:tcW w:w="349" w:type="pct"/>
            <w:noWrap/>
            <w:vAlign w:val="center"/>
            <w:hideMark/>
          </w:tcPr>
          <w:p w14:paraId="683A1EB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18B82CE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95.6</w:t>
            </w:r>
          </w:p>
        </w:tc>
        <w:tc>
          <w:tcPr>
            <w:tcW w:w="349" w:type="pct"/>
            <w:noWrap/>
            <w:vAlign w:val="center"/>
            <w:hideMark/>
          </w:tcPr>
          <w:p w14:paraId="6C9EF05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95.6</w:t>
            </w:r>
          </w:p>
        </w:tc>
        <w:tc>
          <w:tcPr>
            <w:tcW w:w="349" w:type="pct"/>
            <w:noWrap/>
            <w:vAlign w:val="center"/>
            <w:hideMark/>
          </w:tcPr>
          <w:p w14:paraId="2876CDF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70C925F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r>
      <w:tr w:rsidR="00DA1D8F" w:rsidRPr="00D23AFA" w14:paraId="01992C2D" w14:textId="77777777" w:rsidTr="00DA1D8F">
        <w:trPr>
          <w:cantSplit/>
          <w:trHeight w:val="20"/>
        </w:trPr>
        <w:tc>
          <w:tcPr>
            <w:tcW w:w="5000" w:type="pct"/>
            <w:gridSpan w:val="9"/>
            <w:noWrap/>
            <w:vAlign w:val="center"/>
          </w:tcPr>
          <w:p w14:paraId="1B7362AA" w14:textId="4BF0BD6C" w:rsidR="00DA1D8F" w:rsidRPr="00D23AFA" w:rsidRDefault="00DA1D8F" w:rsidP="00B94D3E">
            <w:pPr>
              <w:rPr>
                <w:rFonts w:cstheme="minorHAnsi"/>
                <w:color w:val="000000"/>
                <w:sz w:val="20"/>
                <w:szCs w:val="20"/>
              </w:rPr>
            </w:pPr>
            <w:r w:rsidRPr="00D23AFA">
              <w:rPr>
                <w:rFonts w:cstheme="minorHAnsi"/>
                <w:b/>
                <w:bCs/>
                <w:color w:val="000000"/>
                <w:sz w:val="20"/>
                <w:szCs w:val="20"/>
              </w:rPr>
              <w:t>Remoteness of mother's usual residence</w:t>
            </w:r>
          </w:p>
        </w:tc>
      </w:tr>
      <w:tr w:rsidR="00857162" w:rsidRPr="00D23AFA" w14:paraId="44E63179" w14:textId="77777777" w:rsidTr="00B94D3E">
        <w:trPr>
          <w:cantSplit/>
          <w:trHeight w:val="20"/>
        </w:trPr>
        <w:tc>
          <w:tcPr>
            <w:tcW w:w="2208" w:type="pct"/>
            <w:noWrap/>
            <w:vAlign w:val="center"/>
            <w:hideMark/>
          </w:tcPr>
          <w:p w14:paraId="1635C97F"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Major cities</w:t>
            </w:r>
          </w:p>
        </w:tc>
        <w:tc>
          <w:tcPr>
            <w:tcW w:w="349" w:type="pct"/>
            <w:noWrap/>
            <w:vAlign w:val="center"/>
            <w:hideMark/>
          </w:tcPr>
          <w:p w14:paraId="287FC6F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49016DB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95.9</w:t>
            </w:r>
          </w:p>
        </w:tc>
        <w:tc>
          <w:tcPr>
            <w:tcW w:w="349" w:type="pct"/>
            <w:noWrap/>
            <w:vAlign w:val="center"/>
            <w:hideMark/>
          </w:tcPr>
          <w:p w14:paraId="56DAD9D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95.6</w:t>
            </w:r>
          </w:p>
        </w:tc>
        <w:tc>
          <w:tcPr>
            <w:tcW w:w="349" w:type="pct"/>
            <w:noWrap/>
            <w:vAlign w:val="center"/>
            <w:hideMark/>
          </w:tcPr>
          <w:p w14:paraId="24E447E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95.8</w:t>
            </w:r>
          </w:p>
        </w:tc>
        <w:tc>
          <w:tcPr>
            <w:tcW w:w="349" w:type="pct"/>
            <w:noWrap/>
            <w:vAlign w:val="center"/>
            <w:hideMark/>
          </w:tcPr>
          <w:p w14:paraId="64A73C3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95.9</w:t>
            </w:r>
          </w:p>
        </w:tc>
        <w:tc>
          <w:tcPr>
            <w:tcW w:w="349" w:type="pct"/>
            <w:noWrap/>
            <w:vAlign w:val="center"/>
            <w:hideMark/>
          </w:tcPr>
          <w:p w14:paraId="7EBEC96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95.9</w:t>
            </w:r>
          </w:p>
        </w:tc>
        <w:tc>
          <w:tcPr>
            <w:tcW w:w="349" w:type="pct"/>
            <w:noWrap/>
            <w:vAlign w:val="center"/>
            <w:hideMark/>
          </w:tcPr>
          <w:p w14:paraId="784134B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95.6</w:t>
            </w:r>
          </w:p>
        </w:tc>
        <w:tc>
          <w:tcPr>
            <w:tcW w:w="349" w:type="pct"/>
            <w:noWrap/>
            <w:vAlign w:val="center"/>
            <w:hideMark/>
          </w:tcPr>
          <w:p w14:paraId="788FD7E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r>
      <w:tr w:rsidR="00857162" w:rsidRPr="00D23AFA" w14:paraId="405581AD" w14:textId="77777777" w:rsidTr="00B94D3E">
        <w:trPr>
          <w:cantSplit/>
          <w:trHeight w:val="20"/>
        </w:trPr>
        <w:tc>
          <w:tcPr>
            <w:tcW w:w="2208" w:type="pct"/>
            <w:noWrap/>
            <w:vAlign w:val="center"/>
            <w:hideMark/>
          </w:tcPr>
          <w:p w14:paraId="4E04C9EB"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Inner regional</w:t>
            </w:r>
          </w:p>
        </w:tc>
        <w:tc>
          <w:tcPr>
            <w:tcW w:w="349" w:type="pct"/>
            <w:noWrap/>
            <w:vAlign w:val="center"/>
            <w:hideMark/>
          </w:tcPr>
          <w:p w14:paraId="28C329D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94.6</w:t>
            </w:r>
          </w:p>
        </w:tc>
        <w:tc>
          <w:tcPr>
            <w:tcW w:w="349" w:type="pct"/>
            <w:noWrap/>
            <w:vAlign w:val="center"/>
            <w:hideMark/>
          </w:tcPr>
          <w:p w14:paraId="6229056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5AC13AA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95.4</w:t>
            </w:r>
          </w:p>
        </w:tc>
        <w:tc>
          <w:tcPr>
            <w:tcW w:w="349" w:type="pct"/>
            <w:noWrap/>
            <w:vAlign w:val="center"/>
            <w:hideMark/>
          </w:tcPr>
          <w:p w14:paraId="41F2EFC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1FE5957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95.6</w:t>
            </w:r>
          </w:p>
        </w:tc>
        <w:tc>
          <w:tcPr>
            <w:tcW w:w="349" w:type="pct"/>
            <w:noWrap/>
            <w:vAlign w:val="center"/>
            <w:hideMark/>
          </w:tcPr>
          <w:p w14:paraId="45A3A67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95.6</w:t>
            </w:r>
          </w:p>
        </w:tc>
        <w:tc>
          <w:tcPr>
            <w:tcW w:w="349" w:type="pct"/>
            <w:noWrap/>
            <w:vAlign w:val="center"/>
            <w:hideMark/>
          </w:tcPr>
          <w:p w14:paraId="3236BBF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c>
          <w:tcPr>
            <w:tcW w:w="349" w:type="pct"/>
            <w:noWrap/>
            <w:vAlign w:val="center"/>
            <w:hideMark/>
          </w:tcPr>
          <w:p w14:paraId="78D6A3A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r>
      <w:tr w:rsidR="00857162" w:rsidRPr="00D23AFA" w14:paraId="06864214" w14:textId="77777777" w:rsidTr="00B94D3E">
        <w:trPr>
          <w:cantSplit/>
          <w:trHeight w:val="20"/>
        </w:trPr>
        <w:tc>
          <w:tcPr>
            <w:tcW w:w="2208" w:type="pct"/>
            <w:noWrap/>
            <w:vAlign w:val="center"/>
            <w:hideMark/>
          </w:tcPr>
          <w:p w14:paraId="2B5CA077"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Outer regional</w:t>
            </w:r>
          </w:p>
        </w:tc>
        <w:tc>
          <w:tcPr>
            <w:tcW w:w="349" w:type="pct"/>
            <w:noWrap/>
            <w:vAlign w:val="center"/>
            <w:hideMark/>
          </w:tcPr>
          <w:p w14:paraId="1B84CE2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93.5</w:t>
            </w:r>
          </w:p>
        </w:tc>
        <w:tc>
          <w:tcPr>
            <w:tcW w:w="349" w:type="pct"/>
            <w:noWrap/>
            <w:vAlign w:val="center"/>
            <w:hideMark/>
          </w:tcPr>
          <w:p w14:paraId="50E638C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94.1</w:t>
            </w:r>
          </w:p>
        </w:tc>
        <w:tc>
          <w:tcPr>
            <w:tcW w:w="349" w:type="pct"/>
            <w:noWrap/>
            <w:vAlign w:val="center"/>
            <w:hideMark/>
          </w:tcPr>
          <w:p w14:paraId="2B1C755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93.9</w:t>
            </w:r>
          </w:p>
        </w:tc>
        <w:tc>
          <w:tcPr>
            <w:tcW w:w="349" w:type="pct"/>
            <w:noWrap/>
            <w:vAlign w:val="center"/>
            <w:hideMark/>
          </w:tcPr>
          <w:p w14:paraId="7DCD948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94.8</w:t>
            </w:r>
          </w:p>
        </w:tc>
        <w:tc>
          <w:tcPr>
            <w:tcW w:w="349" w:type="pct"/>
            <w:noWrap/>
            <w:vAlign w:val="center"/>
            <w:hideMark/>
          </w:tcPr>
          <w:p w14:paraId="52C781F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c>
          <w:tcPr>
            <w:tcW w:w="349" w:type="pct"/>
            <w:noWrap/>
            <w:vAlign w:val="center"/>
            <w:hideMark/>
          </w:tcPr>
          <w:p w14:paraId="4AD1BDDE"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c>
          <w:tcPr>
            <w:tcW w:w="349" w:type="pct"/>
            <w:noWrap/>
            <w:vAlign w:val="center"/>
            <w:hideMark/>
          </w:tcPr>
          <w:p w14:paraId="6B6DBF0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c>
          <w:tcPr>
            <w:tcW w:w="349" w:type="pct"/>
            <w:noWrap/>
            <w:vAlign w:val="center"/>
            <w:hideMark/>
          </w:tcPr>
          <w:p w14:paraId="6C4606B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95.3</w:t>
            </w:r>
          </w:p>
        </w:tc>
      </w:tr>
      <w:tr w:rsidR="00857162" w:rsidRPr="00D23AFA" w14:paraId="7EF4C017" w14:textId="77777777" w:rsidTr="00B94D3E">
        <w:trPr>
          <w:cantSplit/>
          <w:trHeight w:val="20"/>
        </w:trPr>
        <w:tc>
          <w:tcPr>
            <w:tcW w:w="2208" w:type="pct"/>
            <w:noWrap/>
            <w:vAlign w:val="center"/>
            <w:hideMark/>
          </w:tcPr>
          <w:p w14:paraId="67A1AFD0"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Remote</w:t>
            </w:r>
          </w:p>
        </w:tc>
        <w:tc>
          <w:tcPr>
            <w:tcW w:w="349" w:type="pct"/>
            <w:noWrap/>
            <w:vAlign w:val="center"/>
            <w:hideMark/>
          </w:tcPr>
          <w:p w14:paraId="40E2A16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92.3</w:t>
            </w:r>
          </w:p>
        </w:tc>
        <w:tc>
          <w:tcPr>
            <w:tcW w:w="349" w:type="pct"/>
            <w:noWrap/>
            <w:vAlign w:val="center"/>
            <w:hideMark/>
          </w:tcPr>
          <w:p w14:paraId="5156699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92.9</w:t>
            </w:r>
          </w:p>
        </w:tc>
        <w:tc>
          <w:tcPr>
            <w:tcW w:w="349" w:type="pct"/>
            <w:noWrap/>
            <w:vAlign w:val="center"/>
            <w:hideMark/>
          </w:tcPr>
          <w:p w14:paraId="7B1CE39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93.2</w:t>
            </w:r>
          </w:p>
        </w:tc>
        <w:tc>
          <w:tcPr>
            <w:tcW w:w="349" w:type="pct"/>
            <w:noWrap/>
            <w:vAlign w:val="center"/>
            <w:hideMark/>
          </w:tcPr>
          <w:p w14:paraId="1E5545F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94.1</w:t>
            </w:r>
          </w:p>
        </w:tc>
        <w:tc>
          <w:tcPr>
            <w:tcW w:w="349" w:type="pct"/>
            <w:noWrap/>
            <w:vAlign w:val="center"/>
            <w:hideMark/>
          </w:tcPr>
          <w:p w14:paraId="4869201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94.3</w:t>
            </w:r>
          </w:p>
        </w:tc>
        <w:tc>
          <w:tcPr>
            <w:tcW w:w="349" w:type="pct"/>
            <w:noWrap/>
            <w:vAlign w:val="center"/>
            <w:hideMark/>
          </w:tcPr>
          <w:p w14:paraId="04000D2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93.8</w:t>
            </w:r>
          </w:p>
        </w:tc>
        <w:tc>
          <w:tcPr>
            <w:tcW w:w="349" w:type="pct"/>
            <w:noWrap/>
            <w:vAlign w:val="center"/>
            <w:hideMark/>
          </w:tcPr>
          <w:p w14:paraId="1104ACD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93.8</w:t>
            </w:r>
          </w:p>
        </w:tc>
        <w:tc>
          <w:tcPr>
            <w:tcW w:w="349" w:type="pct"/>
            <w:noWrap/>
            <w:vAlign w:val="center"/>
            <w:hideMark/>
          </w:tcPr>
          <w:p w14:paraId="7B6785A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94.1</w:t>
            </w:r>
          </w:p>
        </w:tc>
      </w:tr>
      <w:tr w:rsidR="00857162" w:rsidRPr="00D23AFA" w14:paraId="69DC92D2" w14:textId="77777777" w:rsidTr="00B94D3E">
        <w:trPr>
          <w:cantSplit/>
          <w:trHeight w:val="20"/>
        </w:trPr>
        <w:tc>
          <w:tcPr>
            <w:tcW w:w="2208" w:type="pct"/>
            <w:noWrap/>
            <w:vAlign w:val="center"/>
            <w:hideMark/>
          </w:tcPr>
          <w:p w14:paraId="0E7A2AB2"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Very remote</w:t>
            </w:r>
          </w:p>
        </w:tc>
        <w:tc>
          <w:tcPr>
            <w:tcW w:w="349" w:type="pct"/>
            <w:noWrap/>
            <w:vAlign w:val="center"/>
            <w:hideMark/>
          </w:tcPr>
          <w:p w14:paraId="7FC4975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89.3</w:t>
            </w:r>
          </w:p>
        </w:tc>
        <w:tc>
          <w:tcPr>
            <w:tcW w:w="349" w:type="pct"/>
            <w:noWrap/>
            <w:vAlign w:val="center"/>
            <w:hideMark/>
          </w:tcPr>
          <w:p w14:paraId="33EF236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90.4</w:t>
            </w:r>
          </w:p>
        </w:tc>
        <w:tc>
          <w:tcPr>
            <w:tcW w:w="349" w:type="pct"/>
            <w:noWrap/>
            <w:vAlign w:val="center"/>
            <w:hideMark/>
          </w:tcPr>
          <w:p w14:paraId="782CDF0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90.4</w:t>
            </w:r>
          </w:p>
        </w:tc>
        <w:tc>
          <w:tcPr>
            <w:tcW w:w="349" w:type="pct"/>
            <w:noWrap/>
            <w:vAlign w:val="center"/>
            <w:hideMark/>
          </w:tcPr>
          <w:p w14:paraId="6C7528D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90.8</w:t>
            </w:r>
          </w:p>
        </w:tc>
        <w:tc>
          <w:tcPr>
            <w:tcW w:w="349" w:type="pct"/>
            <w:noWrap/>
            <w:vAlign w:val="center"/>
            <w:hideMark/>
          </w:tcPr>
          <w:p w14:paraId="65ACD8E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90.1</w:t>
            </w:r>
          </w:p>
        </w:tc>
        <w:tc>
          <w:tcPr>
            <w:tcW w:w="349" w:type="pct"/>
            <w:noWrap/>
            <w:vAlign w:val="center"/>
            <w:hideMark/>
          </w:tcPr>
          <w:p w14:paraId="33093E0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91.2</w:t>
            </w:r>
          </w:p>
        </w:tc>
        <w:tc>
          <w:tcPr>
            <w:tcW w:w="349" w:type="pct"/>
            <w:noWrap/>
            <w:vAlign w:val="center"/>
            <w:hideMark/>
          </w:tcPr>
          <w:p w14:paraId="049D69EA"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90.6</w:t>
            </w:r>
          </w:p>
        </w:tc>
        <w:tc>
          <w:tcPr>
            <w:tcW w:w="349" w:type="pct"/>
            <w:noWrap/>
            <w:vAlign w:val="center"/>
            <w:hideMark/>
          </w:tcPr>
          <w:p w14:paraId="25F4E18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92.7</w:t>
            </w:r>
          </w:p>
        </w:tc>
      </w:tr>
      <w:tr w:rsidR="00DA1D8F" w:rsidRPr="00D23AFA" w14:paraId="3CDD934E" w14:textId="77777777" w:rsidTr="00DA1D8F">
        <w:trPr>
          <w:cantSplit/>
          <w:trHeight w:val="20"/>
        </w:trPr>
        <w:tc>
          <w:tcPr>
            <w:tcW w:w="5000" w:type="pct"/>
            <w:gridSpan w:val="9"/>
            <w:noWrap/>
            <w:vAlign w:val="center"/>
          </w:tcPr>
          <w:p w14:paraId="2141586B" w14:textId="2E3AE72A" w:rsidR="00DA1D8F" w:rsidRPr="00D23AFA" w:rsidRDefault="00DA1D8F" w:rsidP="00B94D3E">
            <w:pPr>
              <w:rPr>
                <w:rFonts w:cstheme="minorHAnsi"/>
                <w:color w:val="000000"/>
                <w:sz w:val="20"/>
                <w:szCs w:val="20"/>
              </w:rPr>
            </w:pPr>
            <w:r w:rsidRPr="00D23AFA">
              <w:rPr>
                <w:rFonts w:cstheme="minorHAnsi"/>
                <w:b/>
                <w:bCs/>
                <w:color w:val="000000"/>
                <w:sz w:val="20"/>
                <w:szCs w:val="20"/>
              </w:rPr>
              <w:t>Disadvantage quintile of mother's usual residence</w:t>
            </w:r>
          </w:p>
        </w:tc>
      </w:tr>
      <w:tr w:rsidR="00857162" w:rsidRPr="00D23AFA" w14:paraId="3060586F" w14:textId="77777777" w:rsidTr="00B94D3E">
        <w:trPr>
          <w:cantSplit/>
          <w:trHeight w:val="20"/>
        </w:trPr>
        <w:tc>
          <w:tcPr>
            <w:tcW w:w="2208" w:type="pct"/>
            <w:noWrap/>
            <w:vAlign w:val="center"/>
            <w:hideMark/>
          </w:tcPr>
          <w:p w14:paraId="107F78B9"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Q1 - most disadvantaged</w:t>
            </w:r>
          </w:p>
        </w:tc>
        <w:tc>
          <w:tcPr>
            <w:tcW w:w="349" w:type="pct"/>
            <w:noWrap/>
            <w:vAlign w:val="center"/>
            <w:hideMark/>
          </w:tcPr>
          <w:p w14:paraId="054704F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92.9</w:t>
            </w:r>
          </w:p>
        </w:tc>
        <w:tc>
          <w:tcPr>
            <w:tcW w:w="349" w:type="pct"/>
            <w:noWrap/>
            <w:vAlign w:val="center"/>
            <w:hideMark/>
          </w:tcPr>
          <w:p w14:paraId="1096FEB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93.5</w:t>
            </w:r>
          </w:p>
        </w:tc>
        <w:tc>
          <w:tcPr>
            <w:tcW w:w="349" w:type="pct"/>
            <w:noWrap/>
            <w:vAlign w:val="center"/>
            <w:hideMark/>
          </w:tcPr>
          <w:p w14:paraId="0BB714D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93.5</w:t>
            </w:r>
          </w:p>
        </w:tc>
        <w:tc>
          <w:tcPr>
            <w:tcW w:w="349" w:type="pct"/>
            <w:noWrap/>
            <w:vAlign w:val="center"/>
            <w:hideMark/>
          </w:tcPr>
          <w:p w14:paraId="09A74BD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93.9</w:t>
            </w:r>
          </w:p>
        </w:tc>
        <w:tc>
          <w:tcPr>
            <w:tcW w:w="349" w:type="pct"/>
            <w:noWrap/>
            <w:vAlign w:val="center"/>
            <w:hideMark/>
          </w:tcPr>
          <w:p w14:paraId="7214E80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94.0</w:t>
            </w:r>
          </w:p>
        </w:tc>
        <w:tc>
          <w:tcPr>
            <w:tcW w:w="349" w:type="pct"/>
            <w:noWrap/>
            <w:vAlign w:val="center"/>
            <w:hideMark/>
          </w:tcPr>
          <w:p w14:paraId="2716DAA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94.1</w:t>
            </w:r>
          </w:p>
        </w:tc>
        <w:tc>
          <w:tcPr>
            <w:tcW w:w="349" w:type="pct"/>
            <w:noWrap/>
            <w:vAlign w:val="center"/>
            <w:hideMark/>
          </w:tcPr>
          <w:p w14:paraId="32CEAE1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93.9</w:t>
            </w:r>
          </w:p>
        </w:tc>
        <w:tc>
          <w:tcPr>
            <w:tcW w:w="349" w:type="pct"/>
            <w:noWrap/>
            <w:vAlign w:val="center"/>
            <w:hideMark/>
          </w:tcPr>
          <w:p w14:paraId="3DFA043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94.0</w:t>
            </w:r>
          </w:p>
        </w:tc>
      </w:tr>
      <w:tr w:rsidR="00857162" w:rsidRPr="00D23AFA" w14:paraId="0A4DA088" w14:textId="77777777" w:rsidTr="00B94D3E">
        <w:trPr>
          <w:cantSplit/>
          <w:trHeight w:val="20"/>
        </w:trPr>
        <w:tc>
          <w:tcPr>
            <w:tcW w:w="2208" w:type="pct"/>
            <w:noWrap/>
            <w:vAlign w:val="center"/>
            <w:hideMark/>
          </w:tcPr>
          <w:p w14:paraId="7B2D6660"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Q2</w:t>
            </w:r>
          </w:p>
        </w:tc>
        <w:tc>
          <w:tcPr>
            <w:tcW w:w="349" w:type="pct"/>
            <w:noWrap/>
            <w:vAlign w:val="center"/>
            <w:hideMark/>
          </w:tcPr>
          <w:p w14:paraId="17BD58BA"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95.0</w:t>
            </w:r>
          </w:p>
        </w:tc>
        <w:tc>
          <w:tcPr>
            <w:tcW w:w="349" w:type="pct"/>
            <w:noWrap/>
            <w:vAlign w:val="center"/>
            <w:hideMark/>
          </w:tcPr>
          <w:p w14:paraId="5601A81E"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189B6AD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c>
          <w:tcPr>
            <w:tcW w:w="349" w:type="pct"/>
            <w:noWrap/>
            <w:vAlign w:val="center"/>
            <w:hideMark/>
          </w:tcPr>
          <w:p w14:paraId="1D5F12E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95.4</w:t>
            </w:r>
          </w:p>
        </w:tc>
        <w:tc>
          <w:tcPr>
            <w:tcW w:w="349" w:type="pct"/>
            <w:noWrap/>
            <w:vAlign w:val="center"/>
            <w:hideMark/>
          </w:tcPr>
          <w:p w14:paraId="6363E182"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09CF12AB"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95.5</w:t>
            </w:r>
          </w:p>
        </w:tc>
        <w:tc>
          <w:tcPr>
            <w:tcW w:w="349" w:type="pct"/>
            <w:noWrap/>
            <w:vAlign w:val="center"/>
            <w:hideMark/>
          </w:tcPr>
          <w:p w14:paraId="680BE6D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95.1</w:t>
            </w:r>
          </w:p>
        </w:tc>
        <w:tc>
          <w:tcPr>
            <w:tcW w:w="349" w:type="pct"/>
            <w:noWrap/>
            <w:vAlign w:val="center"/>
            <w:hideMark/>
          </w:tcPr>
          <w:p w14:paraId="2BA2985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95.2</w:t>
            </w:r>
          </w:p>
        </w:tc>
      </w:tr>
      <w:tr w:rsidR="00857162" w:rsidRPr="00D23AFA" w14:paraId="4A69599B" w14:textId="77777777" w:rsidTr="00B94D3E">
        <w:trPr>
          <w:cantSplit/>
          <w:trHeight w:val="20"/>
        </w:trPr>
        <w:tc>
          <w:tcPr>
            <w:tcW w:w="2208" w:type="pct"/>
            <w:noWrap/>
            <w:vAlign w:val="center"/>
            <w:hideMark/>
          </w:tcPr>
          <w:p w14:paraId="5F1441FE"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Q3</w:t>
            </w:r>
          </w:p>
        </w:tc>
        <w:tc>
          <w:tcPr>
            <w:tcW w:w="349" w:type="pct"/>
            <w:noWrap/>
            <w:vAlign w:val="center"/>
            <w:hideMark/>
          </w:tcPr>
          <w:p w14:paraId="27349D2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95.7</w:t>
            </w:r>
          </w:p>
        </w:tc>
        <w:tc>
          <w:tcPr>
            <w:tcW w:w="349" w:type="pct"/>
            <w:noWrap/>
            <w:vAlign w:val="center"/>
            <w:hideMark/>
          </w:tcPr>
          <w:p w14:paraId="287D4F3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95.8</w:t>
            </w:r>
          </w:p>
        </w:tc>
        <w:tc>
          <w:tcPr>
            <w:tcW w:w="349" w:type="pct"/>
            <w:noWrap/>
            <w:vAlign w:val="center"/>
            <w:hideMark/>
          </w:tcPr>
          <w:p w14:paraId="6A53A77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96.0</w:t>
            </w:r>
          </w:p>
        </w:tc>
        <w:tc>
          <w:tcPr>
            <w:tcW w:w="349" w:type="pct"/>
            <w:noWrap/>
            <w:vAlign w:val="center"/>
            <w:hideMark/>
          </w:tcPr>
          <w:p w14:paraId="264DA2C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c>
          <w:tcPr>
            <w:tcW w:w="349" w:type="pct"/>
            <w:noWrap/>
            <w:vAlign w:val="center"/>
            <w:hideMark/>
          </w:tcPr>
          <w:p w14:paraId="0B6A9ED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96.2</w:t>
            </w:r>
          </w:p>
        </w:tc>
        <w:tc>
          <w:tcPr>
            <w:tcW w:w="349" w:type="pct"/>
            <w:noWrap/>
            <w:vAlign w:val="center"/>
            <w:hideMark/>
          </w:tcPr>
          <w:p w14:paraId="145D2D5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c>
          <w:tcPr>
            <w:tcW w:w="349" w:type="pct"/>
            <w:noWrap/>
            <w:vAlign w:val="center"/>
            <w:hideMark/>
          </w:tcPr>
          <w:p w14:paraId="55A1777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95.9</w:t>
            </w:r>
          </w:p>
        </w:tc>
        <w:tc>
          <w:tcPr>
            <w:tcW w:w="349" w:type="pct"/>
            <w:noWrap/>
            <w:vAlign w:val="center"/>
            <w:hideMark/>
          </w:tcPr>
          <w:p w14:paraId="2E71CD2E"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r>
      <w:tr w:rsidR="00857162" w:rsidRPr="00D23AFA" w14:paraId="4EF10347" w14:textId="77777777" w:rsidTr="00B94D3E">
        <w:trPr>
          <w:cantSplit/>
          <w:trHeight w:val="20"/>
        </w:trPr>
        <w:tc>
          <w:tcPr>
            <w:tcW w:w="2208" w:type="pct"/>
            <w:noWrap/>
            <w:vAlign w:val="center"/>
            <w:hideMark/>
          </w:tcPr>
          <w:p w14:paraId="469F7489"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Q4</w:t>
            </w:r>
          </w:p>
        </w:tc>
        <w:tc>
          <w:tcPr>
            <w:tcW w:w="349" w:type="pct"/>
            <w:noWrap/>
            <w:vAlign w:val="center"/>
            <w:hideMark/>
          </w:tcPr>
          <w:p w14:paraId="6E4694D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24C80918"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2911983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96.0</w:t>
            </w:r>
          </w:p>
        </w:tc>
        <w:tc>
          <w:tcPr>
            <w:tcW w:w="349" w:type="pct"/>
            <w:noWrap/>
            <w:vAlign w:val="center"/>
            <w:hideMark/>
          </w:tcPr>
          <w:p w14:paraId="230A30AE"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96.2</w:t>
            </w:r>
          </w:p>
        </w:tc>
        <w:tc>
          <w:tcPr>
            <w:tcW w:w="349" w:type="pct"/>
            <w:noWrap/>
            <w:vAlign w:val="center"/>
            <w:hideMark/>
          </w:tcPr>
          <w:p w14:paraId="58FA58DA"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c>
          <w:tcPr>
            <w:tcW w:w="349" w:type="pct"/>
            <w:noWrap/>
            <w:vAlign w:val="center"/>
            <w:hideMark/>
          </w:tcPr>
          <w:p w14:paraId="172F94A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17660B3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96.1</w:t>
            </w:r>
          </w:p>
        </w:tc>
        <w:tc>
          <w:tcPr>
            <w:tcW w:w="349" w:type="pct"/>
            <w:noWrap/>
            <w:vAlign w:val="center"/>
            <w:hideMark/>
          </w:tcPr>
          <w:p w14:paraId="40C8A980"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96.2</w:t>
            </w:r>
          </w:p>
        </w:tc>
      </w:tr>
      <w:tr w:rsidR="00857162" w:rsidRPr="00D23AFA" w14:paraId="076A00EA" w14:textId="77777777" w:rsidTr="00B94D3E">
        <w:trPr>
          <w:cantSplit/>
          <w:trHeight w:val="20"/>
        </w:trPr>
        <w:tc>
          <w:tcPr>
            <w:tcW w:w="2208" w:type="pct"/>
            <w:noWrap/>
            <w:vAlign w:val="center"/>
            <w:hideMark/>
          </w:tcPr>
          <w:p w14:paraId="0F17A605"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Q5 - least disadvantaged</w:t>
            </w:r>
          </w:p>
        </w:tc>
        <w:tc>
          <w:tcPr>
            <w:tcW w:w="349" w:type="pct"/>
            <w:noWrap/>
            <w:vAlign w:val="center"/>
            <w:hideMark/>
          </w:tcPr>
          <w:p w14:paraId="1948BE86"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96.5</w:t>
            </w:r>
          </w:p>
        </w:tc>
        <w:tc>
          <w:tcPr>
            <w:tcW w:w="349" w:type="pct"/>
            <w:noWrap/>
            <w:vAlign w:val="center"/>
            <w:hideMark/>
          </w:tcPr>
          <w:p w14:paraId="16C1D0B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96.7</w:t>
            </w:r>
          </w:p>
        </w:tc>
        <w:tc>
          <w:tcPr>
            <w:tcW w:w="349" w:type="pct"/>
            <w:noWrap/>
            <w:vAlign w:val="center"/>
            <w:hideMark/>
          </w:tcPr>
          <w:p w14:paraId="247061C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96.0</w:t>
            </w:r>
          </w:p>
        </w:tc>
        <w:tc>
          <w:tcPr>
            <w:tcW w:w="349" w:type="pct"/>
            <w:noWrap/>
            <w:vAlign w:val="center"/>
            <w:hideMark/>
          </w:tcPr>
          <w:p w14:paraId="06650291"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96.3</w:t>
            </w:r>
          </w:p>
        </w:tc>
        <w:tc>
          <w:tcPr>
            <w:tcW w:w="349" w:type="pct"/>
            <w:noWrap/>
            <w:vAlign w:val="center"/>
            <w:hideMark/>
          </w:tcPr>
          <w:p w14:paraId="6C202946"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96.8</w:t>
            </w:r>
          </w:p>
        </w:tc>
        <w:tc>
          <w:tcPr>
            <w:tcW w:w="349" w:type="pct"/>
            <w:noWrap/>
            <w:vAlign w:val="center"/>
            <w:hideMark/>
          </w:tcPr>
          <w:p w14:paraId="28DC4FE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96.5</w:t>
            </w:r>
          </w:p>
        </w:tc>
        <w:tc>
          <w:tcPr>
            <w:tcW w:w="349" w:type="pct"/>
            <w:noWrap/>
            <w:vAlign w:val="center"/>
            <w:hideMark/>
          </w:tcPr>
          <w:p w14:paraId="26F212E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c>
          <w:tcPr>
            <w:tcW w:w="349" w:type="pct"/>
            <w:noWrap/>
            <w:vAlign w:val="center"/>
            <w:hideMark/>
          </w:tcPr>
          <w:p w14:paraId="2FCD0F46"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96.4</w:t>
            </w:r>
          </w:p>
        </w:tc>
      </w:tr>
      <w:tr w:rsidR="009C7026" w:rsidRPr="00D23AFA" w14:paraId="2E1626B3" w14:textId="77777777" w:rsidTr="00B94D3E">
        <w:trPr>
          <w:cantSplit/>
          <w:trHeight w:val="20"/>
        </w:trPr>
        <w:tc>
          <w:tcPr>
            <w:tcW w:w="5000" w:type="pct"/>
            <w:gridSpan w:val="9"/>
            <w:noWrap/>
            <w:vAlign w:val="center"/>
          </w:tcPr>
          <w:p w14:paraId="2EBEF180" w14:textId="23B8CB49" w:rsidR="009C7026" w:rsidRPr="00D23AFA" w:rsidRDefault="009C7026" w:rsidP="00B94D3E">
            <w:pPr>
              <w:rPr>
                <w:rFonts w:cstheme="minorHAnsi"/>
                <w:color w:val="000000"/>
                <w:sz w:val="20"/>
                <w:szCs w:val="20"/>
              </w:rPr>
            </w:pPr>
            <w:r w:rsidRPr="00D23AFA">
              <w:rPr>
                <w:rFonts w:cstheme="minorHAnsi"/>
                <w:b/>
                <w:bCs/>
                <w:color w:val="000000"/>
                <w:sz w:val="20"/>
                <w:szCs w:val="20"/>
              </w:rPr>
              <w:t>Hospital sector</w:t>
            </w:r>
          </w:p>
        </w:tc>
      </w:tr>
      <w:tr w:rsidR="00857162" w:rsidRPr="00D23AFA" w14:paraId="2CCE943C" w14:textId="77777777" w:rsidTr="00B94D3E">
        <w:trPr>
          <w:cantSplit/>
          <w:trHeight w:val="20"/>
        </w:trPr>
        <w:tc>
          <w:tcPr>
            <w:tcW w:w="2208" w:type="pct"/>
            <w:noWrap/>
            <w:vAlign w:val="center"/>
            <w:hideMark/>
          </w:tcPr>
          <w:p w14:paraId="273A2413"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Private</w:t>
            </w:r>
          </w:p>
        </w:tc>
        <w:tc>
          <w:tcPr>
            <w:tcW w:w="349" w:type="pct"/>
            <w:noWrap/>
            <w:vAlign w:val="center"/>
            <w:hideMark/>
          </w:tcPr>
          <w:p w14:paraId="7C86BFC5"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98.5</w:t>
            </w:r>
          </w:p>
        </w:tc>
        <w:tc>
          <w:tcPr>
            <w:tcW w:w="349" w:type="pct"/>
            <w:noWrap/>
            <w:vAlign w:val="center"/>
            <w:hideMark/>
          </w:tcPr>
          <w:p w14:paraId="5877E4B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98.7</w:t>
            </w:r>
          </w:p>
        </w:tc>
        <w:tc>
          <w:tcPr>
            <w:tcW w:w="349" w:type="pct"/>
            <w:noWrap/>
            <w:vAlign w:val="center"/>
            <w:hideMark/>
          </w:tcPr>
          <w:p w14:paraId="0A8E664D"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97.9</w:t>
            </w:r>
          </w:p>
        </w:tc>
        <w:tc>
          <w:tcPr>
            <w:tcW w:w="349" w:type="pct"/>
            <w:noWrap/>
            <w:vAlign w:val="center"/>
            <w:hideMark/>
          </w:tcPr>
          <w:p w14:paraId="13F74A5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97.9</w:t>
            </w:r>
          </w:p>
        </w:tc>
        <w:tc>
          <w:tcPr>
            <w:tcW w:w="349" w:type="pct"/>
            <w:noWrap/>
            <w:vAlign w:val="center"/>
            <w:hideMark/>
          </w:tcPr>
          <w:p w14:paraId="10EB2E64"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97.9</w:t>
            </w:r>
          </w:p>
        </w:tc>
        <w:tc>
          <w:tcPr>
            <w:tcW w:w="349" w:type="pct"/>
            <w:noWrap/>
            <w:vAlign w:val="center"/>
            <w:hideMark/>
          </w:tcPr>
          <w:p w14:paraId="295F7CC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97.8</w:t>
            </w:r>
          </w:p>
        </w:tc>
        <w:tc>
          <w:tcPr>
            <w:tcW w:w="349" w:type="pct"/>
            <w:noWrap/>
            <w:vAlign w:val="center"/>
            <w:hideMark/>
          </w:tcPr>
          <w:p w14:paraId="4F43D9CE"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97.5</w:t>
            </w:r>
          </w:p>
        </w:tc>
        <w:tc>
          <w:tcPr>
            <w:tcW w:w="349" w:type="pct"/>
            <w:noWrap/>
            <w:vAlign w:val="center"/>
            <w:hideMark/>
          </w:tcPr>
          <w:p w14:paraId="79078E0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97.5</w:t>
            </w:r>
          </w:p>
        </w:tc>
      </w:tr>
      <w:tr w:rsidR="00857162" w:rsidRPr="00D23AFA" w14:paraId="653BFC8A" w14:textId="77777777" w:rsidTr="00B94D3E">
        <w:trPr>
          <w:cantSplit/>
          <w:trHeight w:val="20"/>
        </w:trPr>
        <w:tc>
          <w:tcPr>
            <w:tcW w:w="2208" w:type="pct"/>
            <w:noWrap/>
            <w:vAlign w:val="center"/>
            <w:hideMark/>
          </w:tcPr>
          <w:p w14:paraId="0C1998DE" w14:textId="77777777" w:rsidR="00857162" w:rsidRPr="00D23AFA" w:rsidRDefault="00857162" w:rsidP="00AF0ADF">
            <w:pPr>
              <w:ind w:firstLineChars="100" w:firstLine="200"/>
              <w:rPr>
                <w:rFonts w:cstheme="minorHAnsi"/>
                <w:color w:val="000000"/>
                <w:sz w:val="20"/>
                <w:szCs w:val="20"/>
              </w:rPr>
            </w:pPr>
            <w:r w:rsidRPr="00D23AFA">
              <w:rPr>
                <w:rFonts w:cstheme="minorHAnsi"/>
                <w:color w:val="000000"/>
                <w:sz w:val="20"/>
                <w:szCs w:val="20"/>
              </w:rPr>
              <w:t>Public</w:t>
            </w:r>
          </w:p>
        </w:tc>
        <w:tc>
          <w:tcPr>
            <w:tcW w:w="349" w:type="pct"/>
            <w:noWrap/>
            <w:vAlign w:val="center"/>
            <w:hideMark/>
          </w:tcPr>
          <w:p w14:paraId="4D0A32AC"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93.9</w:t>
            </w:r>
          </w:p>
        </w:tc>
        <w:tc>
          <w:tcPr>
            <w:tcW w:w="349" w:type="pct"/>
            <w:noWrap/>
            <w:vAlign w:val="center"/>
            <w:hideMark/>
          </w:tcPr>
          <w:p w14:paraId="1B46C8E7"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94.1</w:t>
            </w:r>
          </w:p>
        </w:tc>
        <w:tc>
          <w:tcPr>
            <w:tcW w:w="349" w:type="pct"/>
            <w:noWrap/>
            <w:vAlign w:val="center"/>
            <w:hideMark/>
          </w:tcPr>
          <w:p w14:paraId="05960649"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94.2</w:t>
            </w:r>
          </w:p>
        </w:tc>
        <w:tc>
          <w:tcPr>
            <w:tcW w:w="349" w:type="pct"/>
            <w:noWrap/>
            <w:vAlign w:val="center"/>
            <w:hideMark/>
          </w:tcPr>
          <w:p w14:paraId="677BD31E"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94.6</w:t>
            </w:r>
          </w:p>
        </w:tc>
        <w:tc>
          <w:tcPr>
            <w:tcW w:w="349" w:type="pct"/>
            <w:noWrap/>
            <w:vAlign w:val="center"/>
            <w:hideMark/>
          </w:tcPr>
          <w:p w14:paraId="145F135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94.9</w:t>
            </w:r>
          </w:p>
        </w:tc>
        <w:tc>
          <w:tcPr>
            <w:tcW w:w="349" w:type="pct"/>
            <w:noWrap/>
            <w:vAlign w:val="center"/>
            <w:hideMark/>
          </w:tcPr>
          <w:p w14:paraId="1E76E573"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94.9</w:t>
            </w:r>
          </w:p>
        </w:tc>
        <w:tc>
          <w:tcPr>
            <w:tcW w:w="349" w:type="pct"/>
            <w:noWrap/>
            <w:vAlign w:val="center"/>
            <w:hideMark/>
          </w:tcPr>
          <w:p w14:paraId="524D409F"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94.7</w:t>
            </w:r>
          </w:p>
        </w:tc>
        <w:tc>
          <w:tcPr>
            <w:tcW w:w="349" w:type="pct"/>
            <w:noWrap/>
            <w:vAlign w:val="center"/>
            <w:hideMark/>
          </w:tcPr>
          <w:p w14:paraId="78B4F76A" w14:textId="77777777" w:rsidR="00857162" w:rsidRPr="00D23AFA" w:rsidRDefault="00857162" w:rsidP="00AF0ADF">
            <w:pPr>
              <w:jc w:val="right"/>
              <w:rPr>
                <w:rFonts w:cstheme="minorHAnsi"/>
                <w:color w:val="000000"/>
                <w:sz w:val="20"/>
                <w:szCs w:val="20"/>
              </w:rPr>
            </w:pPr>
            <w:r w:rsidRPr="00D23AFA">
              <w:rPr>
                <w:rFonts w:cstheme="minorHAnsi"/>
                <w:color w:val="000000"/>
                <w:sz w:val="20"/>
                <w:szCs w:val="20"/>
              </w:rPr>
              <w:t>94.9</w:t>
            </w:r>
          </w:p>
        </w:tc>
      </w:tr>
    </w:tbl>
    <w:p w14:paraId="3A77DEA7" w14:textId="77777777" w:rsidR="00AF0ADF" w:rsidRPr="006E1230" w:rsidRDefault="00AF0ADF" w:rsidP="00AF0ADF">
      <w:pPr>
        <w:rPr>
          <w:b/>
          <w:bCs/>
          <w:sz w:val="18"/>
          <w:szCs w:val="18"/>
        </w:rPr>
      </w:pPr>
      <w:r w:rsidRPr="009658B9">
        <w:rPr>
          <w:b/>
          <w:bCs/>
          <w:sz w:val="18"/>
          <w:szCs w:val="18"/>
        </w:rPr>
        <w:t>Data notes</w:t>
      </w:r>
    </w:p>
    <w:p w14:paraId="23A59186" w14:textId="77777777" w:rsidR="00AF0ADF" w:rsidRPr="006E1230" w:rsidRDefault="00AF0ADF" w:rsidP="008D3FB5">
      <w:pPr>
        <w:pStyle w:val="pf0"/>
        <w:numPr>
          <w:ilvl w:val="0"/>
          <w:numId w:val="30"/>
        </w:numPr>
        <w:spacing w:before="0" w:beforeAutospacing="0" w:after="0" w:afterAutospacing="0"/>
        <w:ind w:left="284" w:hanging="284"/>
        <w:rPr>
          <w:rFonts w:asciiTheme="minorHAnsi" w:hAnsiTheme="minorHAnsi"/>
          <w:sz w:val="18"/>
          <w:szCs w:val="18"/>
        </w:rPr>
      </w:pPr>
      <w:r w:rsidRPr="006E1230">
        <w:rPr>
          <w:rFonts w:asciiTheme="minorHAnsi" w:hAnsiTheme="minorHAnsi"/>
          <w:sz w:val="18"/>
          <w:szCs w:val="18"/>
        </w:rPr>
        <w:t xml:space="preserve">Number of antenatal visits are based on women who gave birth at 32 weeks or more gestation (excluding unknown gestation). </w:t>
      </w:r>
    </w:p>
    <w:p w14:paraId="21CC87E4" w14:textId="6410A11C" w:rsidR="00AF0ADF" w:rsidRPr="006E1230" w:rsidRDefault="003123B9" w:rsidP="008D3FB5">
      <w:pPr>
        <w:pStyle w:val="pf0"/>
        <w:numPr>
          <w:ilvl w:val="0"/>
          <w:numId w:val="30"/>
        </w:numPr>
        <w:spacing w:before="0" w:beforeAutospacing="0" w:after="0" w:afterAutospacing="0"/>
        <w:ind w:left="284" w:hanging="284"/>
        <w:rPr>
          <w:rFonts w:asciiTheme="minorHAnsi" w:hAnsiTheme="minorHAnsi"/>
          <w:sz w:val="18"/>
          <w:szCs w:val="18"/>
        </w:rPr>
      </w:pPr>
      <w:r>
        <w:rPr>
          <w:rFonts w:asciiTheme="minorHAnsi" w:hAnsiTheme="minorHAnsi"/>
          <w:sz w:val="18"/>
          <w:szCs w:val="18"/>
        </w:rPr>
        <w:t>D</w:t>
      </w:r>
      <w:r w:rsidR="00AF0ADF" w:rsidRPr="006E1230">
        <w:rPr>
          <w:rFonts w:asciiTheme="minorHAnsi" w:hAnsiTheme="minorHAnsi"/>
          <w:sz w:val="18"/>
          <w:szCs w:val="18"/>
        </w:rPr>
        <w:t>ata excludes Vic</w:t>
      </w:r>
      <w:r>
        <w:rPr>
          <w:rFonts w:asciiTheme="minorHAnsi" w:hAnsiTheme="minorHAnsi"/>
          <w:sz w:val="18"/>
          <w:szCs w:val="18"/>
        </w:rPr>
        <w:t>toria</w:t>
      </w:r>
      <w:r w:rsidR="00AF0ADF" w:rsidRPr="006E1230">
        <w:rPr>
          <w:rFonts w:asciiTheme="minorHAnsi" w:hAnsiTheme="minorHAnsi"/>
          <w:sz w:val="18"/>
          <w:szCs w:val="18"/>
        </w:rPr>
        <w:t xml:space="preserve">. </w:t>
      </w:r>
    </w:p>
    <w:p w14:paraId="3E85F0DF" w14:textId="77777777" w:rsidR="00AF0ADF" w:rsidRPr="006E1230" w:rsidRDefault="00AF0ADF" w:rsidP="008D3FB5">
      <w:pPr>
        <w:pStyle w:val="pf0"/>
        <w:numPr>
          <w:ilvl w:val="0"/>
          <w:numId w:val="30"/>
        </w:numPr>
        <w:spacing w:before="0" w:beforeAutospacing="0" w:after="0" w:afterAutospacing="0"/>
        <w:ind w:left="284" w:hanging="284"/>
        <w:rPr>
          <w:rFonts w:asciiTheme="minorHAnsi" w:hAnsiTheme="minorHAnsi"/>
          <w:sz w:val="18"/>
          <w:szCs w:val="18"/>
        </w:rPr>
      </w:pPr>
      <w:r w:rsidRPr="006E1230">
        <w:rPr>
          <w:rFonts w:asciiTheme="minorHAnsi" w:hAnsiTheme="minorHAnsi"/>
          <w:sz w:val="18"/>
          <w:szCs w:val="18"/>
        </w:rPr>
        <w:t>Percentage calculated after excluding records with 'Not stated' values. Care must be taken when interpreting percentages.</w:t>
      </w:r>
    </w:p>
    <w:p w14:paraId="337679F2" w14:textId="6D01A050" w:rsidR="00AF0ADF" w:rsidRPr="006E1230" w:rsidRDefault="00AF0ADF" w:rsidP="008D3FB5">
      <w:pPr>
        <w:pStyle w:val="pf0"/>
        <w:numPr>
          <w:ilvl w:val="0"/>
          <w:numId w:val="30"/>
        </w:numPr>
        <w:spacing w:before="0" w:beforeAutospacing="0" w:after="0" w:afterAutospacing="0"/>
        <w:ind w:left="284" w:hanging="284"/>
        <w:rPr>
          <w:rFonts w:asciiTheme="minorHAnsi" w:hAnsiTheme="minorHAnsi"/>
          <w:sz w:val="18"/>
          <w:szCs w:val="18"/>
        </w:rPr>
      </w:pPr>
      <w:r w:rsidRPr="006E1230">
        <w:rPr>
          <w:rFonts w:asciiTheme="minorHAnsi" w:hAnsiTheme="minorHAnsi"/>
          <w:sz w:val="18"/>
          <w:szCs w:val="18"/>
        </w:rPr>
        <w:t>Country of birth (mother): Between 2012 and 2016, data were mapped to the ABS 2011 SACC. From 2017, data were mapped to the ABS 2016 SACC, with the exception of Qld which used the ABS 2011 SACC until 30 June 2017.</w:t>
      </w:r>
    </w:p>
    <w:p w14:paraId="63311812" w14:textId="77777777" w:rsidR="00AF0ADF" w:rsidRPr="006E1230" w:rsidRDefault="00AF0ADF" w:rsidP="008D3FB5">
      <w:pPr>
        <w:pStyle w:val="pf0"/>
        <w:numPr>
          <w:ilvl w:val="0"/>
          <w:numId w:val="30"/>
        </w:numPr>
        <w:spacing w:before="0" w:beforeAutospacing="0" w:after="0" w:afterAutospacing="0"/>
        <w:ind w:left="284" w:hanging="284"/>
        <w:rPr>
          <w:rFonts w:asciiTheme="minorHAnsi" w:hAnsiTheme="minorHAnsi"/>
          <w:sz w:val="18"/>
          <w:szCs w:val="18"/>
        </w:rPr>
      </w:pPr>
      <w:r w:rsidRPr="006E1230">
        <w:rPr>
          <w:rFonts w:asciiTheme="minorHAnsi" w:hAnsiTheme="minorHAnsi"/>
          <w:sz w:val="18"/>
          <w:szCs w:val="18"/>
        </w:rPr>
        <w:t>Hospital sector: Includes women who gave birth in hospital only (excludes birth centres attached to hospitals).</w:t>
      </w:r>
    </w:p>
    <w:p w14:paraId="6D755E9A" w14:textId="77777777" w:rsidR="00AF0ADF" w:rsidRPr="006E1230" w:rsidRDefault="00AF0ADF" w:rsidP="008D3FB5">
      <w:pPr>
        <w:pStyle w:val="pf0"/>
        <w:numPr>
          <w:ilvl w:val="0"/>
          <w:numId w:val="30"/>
        </w:numPr>
        <w:spacing w:before="0" w:beforeAutospacing="0" w:after="0" w:afterAutospacing="0"/>
        <w:ind w:left="284" w:hanging="284"/>
        <w:rPr>
          <w:rFonts w:asciiTheme="minorHAnsi" w:hAnsiTheme="minorHAnsi"/>
          <w:sz w:val="18"/>
          <w:szCs w:val="18"/>
        </w:rPr>
      </w:pPr>
      <w:r w:rsidRPr="006E1230">
        <w:rPr>
          <w:rFonts w:asciiTheme="minorHAnsi" w:hAnsiTheme="minorHAnsi"/>
          <w:sz w:val="18"/>
          <w:szCs w:val="18"/>
        </w:rPr>
        <w:t>Indigenous status (mother, age-standardised): 1. Age-standardised percentage calculated after excluding records with Not stated values. Care must be taken when interpreting percentages. 2. Percentages are directly age-standardised using the 30 June 2001 Australian female Estimated Resident Population (ERP) aged 15–44 as the standard population. Five-year age groups are used for age-standardisation. The lowest age group was 15–19 years and the highest was 40–44 years.</w:t>
      </w:r>
    </w:p>
    <w:p w14:paraId="4ABB21A5" w14:textId="77777777" w:rsidR="00AF0ADF" w:rsidRPr="006E1230" w:rsidRDefault="00AF0ADF" w:rsidP="008D3FB5">
      <w:pPr>
        <w:pStyle w:val="pf0"/>
        <w:numPr>
          <w:ilvl w:val="0"/>
          <w:numId w:val="30"/>
        </w:numPr>
        <w:spacing w:before="0" w:beforeAutospacing="0" w:after="0" w:afterAutospacing="0"/>
        <w:ind w:left="284" w:hanging="284"/>
        <w:rPr>
          <w:rFonts w:asciiTheme="minorHAnsi" w:hAnsiTheme="minorHAnsi"/>
          <w:sz w:val="18"/>
          <w:szCs w:val="18"/>
        </w:rPr>
      </w:pPr>
      <w:r w:rsidRPr="006E1230">
        <w:rPr>
          <w:rFonts w:asciiTheme="minorHAnsi" w:hAnsiTheme="minorHAnsi"/>
          <w:sz w:val="18"/>
          <w:szCs w:val="18"/>
        </w:rPr>
        <w:t>Remoteness area: 1. Between 2012 and 2016, Remoteness area derived by applying ABS 2011 Australian Statistical Geography Standard (ASGS) to area of mother’s usual residence. From 2017, Remoteness area derived by applying ABS 2016 ASGS. Remoteness area only calculated where geographic area of usual residence was provided. Excludes mothers not usually resident in Australia and those whose state or territory of usual residence was ‘Not stated’. 2. Data may not add to the total due to rounding.</w:t>
      </w:r>
    </w:p>
    <w:p w14:paraId="72E970E0" w14:textId="77777777" w:rsidR="00B94D3E" w:rsidRPr="00B94D3E" w:rsidRDefault="00AF0ADF" w:rsidP="008D3FB5">
      <w:pPr>
        <w:pStyle w:val="pf0"/>
        <w:numPr>
          <w:ilvl w:val="0"/>
          <w:numId w:val="30"/>
        </w:numPr>
        <w:spacing w:before="0" w:beforeAutospacing="0" w:after="0" w:afterAutospacing="0"/>
        <w:ind w:left="284" w:hanging="284"/>
        <w:rPr>
          <w:rFonts w:asciiTheme="minorHAnsi" w:hAnsiTheme="minorHAnsi"/>
          <w:sz w:val="18"/>
          <w:szCs w:val="18"/>
        </w:rPr>
      </w:pPr>
      <w:r w:rsidRPr="00194C81">
        <w:rPr>
          <w:rFonts w:asciiTheme="minorHAnsi" w:hAnsiTheme="minorHAnsi"/>
          <w:sz w:val="18"/>
          <w:szCs w:val="18"/>
        </w:rPr>
        <w:t>Socioeconomic status: Between 2012 and 2016, Socioeconomic status derived by applying ABS 2011 Socio-Economic Indexes for Areas Index of Relative Socio-economic Disadvantage (SEIFA IRSD) to area of mother's usual residence. From 2017, socioeconomic status derived by applying ABS 2016 SEIFA IRSD. Socioeconomic status only calculated where geographic area of usual residence was provided. Excludes mothers not usually resident in Australia and those whose state or territory of usual residence was ‘Not stated’.</w:t>
      </w:r>
    </w:p>
    <w:p w14:paraId="128DD18C" w14:textId="53D37983" w:rsidR="00194C81" w:rsidRPr="00B94D3E" w:rsidRDefault="00194C81" w:rsidP="008D3FB5">
      <w:pPr>
        <w:pStyle w:val="pf0"/>
        <w:numPr>
          <w:ilvl w:val="0"/>
          <w:numId w:val="30"/>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National Perinatal Data Collection annual update 2020—data tables</w:t>
      </w:r>
    </w:p>
    <w:p w14:paraId="67E0F80F" w14:textId="1988A88D" w:rsidR="00AF0ADF" w:rsidRPr="0054118D" w:rsidRDefault="00AF0ADF" w:rsidP="00AF0ADF">
      <w:pPr>
        <w:pStyle w:val="Caption"/>
        <w:rPr>
          <w:sz w:val="20"/>
          <w:szCs w:val="20"/>
        </w:rPr>
      </w:pPr>
      <w:bookmarkStart w:id="416" w:name="_Ref117123120"/>
      <w:bookmarkStart w:id="417" w:name="_Toc121429191"/>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15</w:t>
      </w:r>
      <w:r w:rsidR="00A64FC5" w:rsidRPr="0054118D">
        <w:rPr>
          <w:noProof/>
          <w:sz w:val="20"/>
          <w:szCs w:val="20"/>
        </w:rPr>
        <w:fldChar w:fldCharType="end"/>
      </w:r>
      <w:bookmarkEnd w:id="416"/>
      <w:r w:rsidRPr="0054118D">
        <w:rPr>
          <w:sz w:val="20"/>
          <w:szCs w:val="20"/>
        </w:rPr>
        <w:tab/>
        <w:t>Induction of labour</w:t>
      </w:r>
      <w:r w:rsidR="0054118D" w:rsidRPr="0054118D">
        <w:t>,</w:t>
      </w:r>
      <w:r w:rsidRPr="0054118D">
        <w:rPr>
          <w:sz w:val="20"/>
          <w:szCs w:val="20"/>
        </w:rPr>
        <w:t xml:space="preserve"> 2010–</w:t>
      </w:r>
      <w:r w:rsidR="004A5813" w:rsidRPr="0054118D">
        <w:rPr>
          <w:sz w:val="20"/>
          <w:szCs w:val="20"/>
        </w:rPr>
        <w:t>2019</w:t>
      </w:r>
      <w:bookmarkEnd w:id="417"/>
    </w:p>
    <w:tbl>
      <w:tblPr>
        <w:tblStyle w:val="TableGrid"/>
        <w:tblW w:w="4650" w:type="pct"/>
        <w:tblLayout w:type="fixed"/>
        <w:tblLook w:val="04A0" w:firstRow="1" w:lastRow="0" w:firstColumn="1" w:lastColumn="0" w:noHBand="0" w:noVBand="1"/>
      </w:tblPr>
      <w:tblGrid>
        <w:gridCol w:w="2221"/>
        <w:gridCol w:w="692"/>
        <w:gridCol w:w="694"/>
        <w:gridCol w:w="695"/>
        <w:gridCol w:w="695"/>
        <w:gridCol w:w="695"/>
        <w:gridCol w:w="695"/>
        <w:gridCol w:w="695"/>
        <w:gridCol w:w="695"/>
        <w:gridCol w:w="695"/>
        <w:gridCol w:w="693"/>
      </w:tblGrid>
      <w:tr w:rsidR="004A5813" w:rsidRPr="00EB1AF3" w14:paraId="21487D2B" w14:textId="77777777" w:rsidTr="00B94D3E">
        <w:trPr>
          <w:cantSplit/>
          <w:trHeight w:val="20"/>
          <w:tblHeader/>
        </w:trPr>
        <w:tc>
          <w:tcPr>
            <w:tcW w:w="1212" w:type="pct"/>
            <w:noWrap/>
            <w:vAlign w:val="center"/>
            <w:hideMark/>
          </w:tcPr>
          <w:p w14:paraId="3C994748" w14:textId="77777777" w:rsidR="004A5813" w:rsidRPr="00D23AFA" w:rsidRDefault="004A5813" w:rsidP="00AF0ADF">
            <w:pPr>
              <w:ind w:firstLineChars="100" w:firstLine="201"/>
              <w:rPr>
                <w:rFonts w:cstheme="minorHAnsi"/>
                <w:b/>
                <w:bCs/>
                <w:color w:val="000000"/>
                <w:sz w:val="20"/>
                <w:szCs w:val="20"/>
              </w:rPr>
            </w:pPr>
          </w:p>
        </w:tc>
        <w:tc>
          <w:tcPr>
            <w:tcW w:w="378" w:type="pct"/>
            <w:vAlign w:val="center"/>
          </w:tcPr>
          <w:p w14:paraId="5F505FA2" w14:textId="77777777" w:rsidR="004A5813" w:rsidRPr="00D23AFA" w:rsidRDefault="004A5813" w:rsidP="00B94D3E">
            <w:pPr>
              <w:jc w:val="center"/>
              <w:rPr>
                <w:rFonts w:cstheme="minorHAnsi"/>
                <w:b/>
                <w:bCs/>
                <w:color w:val="000000"/>
                <w:sz w:val="20"/>
                <w:szCs w:val="20"/>
              </w:rPr>
            </w:pPr>
            <w:r>
              <w:rPr>
                <w:rFonts w:cstheme="minorHAnsi"/>
                <w:b/>
                <w:bCs/>
                <w:color w:val="000000"/>
                <w:sz w:val="20"/>
                <w:szCs w:val="20"/>
              </w:rPr>
              <w:t>2010</w:t>
            </w:r>
          </w:p>
        </w:tc>
        <w:tc>
          <w:tcPr>
            <w:tcW w:w="379" w:type="pct"/>
            <w:vAlign w:val="center"/>
          </w:tcPr>
          <w:p w14:paraId="2971B8D2" w14:textId="77777777" w:rsidR="004A5813" w:rsidRPr="00D23AFA" w:rsidRDefault="004A5813" w:rsidP="00B94D3E">
            <w:pPr>
              <w:jc w:val="center"/>
              <w:rPr>
                <w:rFonts w:cstheme="minorHAnsi"/>
                <w:b/>
                <w:bCs/>
                <w:color w:val="000000"/>
                <w:sz w:val="20"/>
                <w:szCs w:val="20"/>
              </w:rPr>
            </w:pPr>
            <w:r>
              <w:rPr>
                <w:rFonts w:cstheme="minorHAnsi"/>
                <w:b/>
                <w:bCs/>
                <w:color w:val="000000"/>
                <w:sz w:val="20"/>
                <w:szCs w:val="20"/>
              </w:rPr>
              <w:t>2011</w:t>
            </w:r>
          </w:p>
        </w:tc>
        <w:tc>
          <w:tcPr>
            <w:tcW w:w="379" w:type="pct"/>
            <w:noWrap/>
            <w:vAlign w:val="center"/>
            <w:hideMark/>
          </w:tcPr>
          <w:p w14:paraId="0ACC2A82" w14:textId="77777777" w:rsidR="004A5813" w:rsidRPr="00D23AFA" w:rsidRDefault="004A5813" w:rsidP="00B94D3E">
            <w:pPr>
              <w:jc w:val="center"/>
              <w:rPr>
                <w:rFonts w:cstheme="minorHAnsi"/>
                <w:b/>
                <w:bCs/>
                <w:color w:val="000000"/>
                <w:sz w:val="20"/>
                <w:szCs w:val="20"/>
              </w:rPr>
            </w:pPr>
            <w:r w:rsidRPr="00D23AFA">
              <w:rPr>
                <w:rFonts w:cstheme="minorHAnsi"/>
                <w:b/>
                <w:bCs/>
                <w:color w:val="000000"/>
                <w:sz w:val="20"/>
                <w:szCs w:val="20"/>
              </w:rPr>
              <w:t>2012</w:t>
            </w:r>
          </w:p>
        </w:tc>
        <w:tc>
          <w:tcPr>
            <w:tcW w:w="379" w:type="pct"/>
            <w:noWrap/>
            <w:vAlign w:val="center"/>
            <w:hideMark/>
          </w:tcPr>
          <w:p w14:paraId="55876503" w14:textId="77777777" w:rsidR="004A5813" w:rsidRPr="00D23AFA" w:rsidRDefault="004A5813" w:rsidP="00B94D3E">
            <w:pPr>
              <w:jc w:val="center"/>
              <w:rPr>
                <w:rFonts w:cstheme="minorHAnsi"/>
                <w:b/>
                <w:bCs/>
                <w:color w:val="000000"/>
                <w:sz w:val="20"/>
                <w:szCs w:val="20"/>
              </w:rPr>
            </w:pPr>
            <w:r w:rsidRPr="00D23AFA">
              <w:rPr>
                <w:rFonts w:cstheme="minorHAnsi"/>
                <w:b/>
                <w:bCs/>
                <w:color w:val="000000"/>
                <w:sz w:val="20"/>
                <w:szCs w:val="20"/>
              </w:rPr>
              <w:t>2013</w:t>
            </w:r>
          </w:p>
        </w:tc>
        <w:tc>
          <w:tcPr>
            <w:tcW w:w="379" w:type="pct"/>
            <w:noWrap/>
            <w:vAlign w:val="center"/>
            <w:hideMark/>
          </w:tcPr>
          <w:p w14:paraId="463B0F3D" w14:textId="77777777" w:rsidR="004A5813" w:rsidRPr="00D23AFA" w:rsidRDefault="004A5813" w:rsidP="00B94D3E">
            <w:pPr>
              <w:jc w:val="center"/>
              <w:rPr>
                <w:rFonts w:cstheme="minorHAnsi"/>
                <w:b/>
                <w:bCs/>
                <w:color w:val="000000"/>
                <w:sz w:val="20"/>
                <w:szCs w:val="20"/>
              </w:rPr>
            </w:pPr>
            <w:r w:rsidRPr="00D23AFA">
              <w:rPr>
                <w:rFonts w:cstheme="minorHAnsi"/>
                <w:b/>
                <w:bCs/>
                <w:color w:val="000000"/>
                <w:sz w:val="20"/>
                <w:szCs w:val="20"/>
              </w:rPr>
              <w:t>2014</w:t>
            </w:r>
          </w:p>
        </w:tc>
        <w:tc>
          <w:tcPr>
            <w:tcW w:w="379" w:type="pct"/>
            <w:noWrap/>
            <w:vAlign w:val="center"/>
            <w:hideMark/>
          </w:tcPr>
          <w:p w14:paraId="62C46742" w14:textId="77777777" w:rsidR="004A5813" w:rsidRPr="00D23AFA" w:rsidRDefault="004A5813" w:rsidP="00B94D3E">
            <w:pPr>
              <w:jc w:val="center"/>
              <w:rPr>
                <w:rFonts w:cstheme="minorHAnsi"/>
                <w:b/>
                <w:bCs/>
                <w:color w:val="000000"/>
                <w:sz w:val="20"/>
                <w:szCs w:val="20"/>
              </w:rPr>
            </w:pPr>
            <w:r w:rsidRPr="00D23AFA">
              <w:rPr>
                <w:rFonts w:cstheme="minorHAnsi"/>
                <w:b/>
                <w:bCs/>
                <w:color w:val="000000"/>
                <w:sz w:val="20"/>
                <w:szCs w:val="20"/>
              </w:rPr>
              <w:t>2015</w:t>
            </w:r>
          </w:p>
        </w:tc>
        <w:tc>
          <w:tcPr>
            <w:tcW w:w="379" w:type="pct"/>
            <w:noWrap/>
            <w:vAlign w:val="center"/>
            <w:hideMark/>
          </w:tcPr>
          <w:p w14:paraId="23BA2F7C" w14:textId="77777777" w:rsidR="004A5813" w:rsidRPr="00D23AFA" w:rsidRDefault="004A5813" w:rsidP="00B94D3E">
            <w:pPr>
              <w:jc w:val="center"/>
              <w:rPr>
                <w:rFonts w:cstheme="minorHAnsi"/>
                <w:b/>
                <w:bCs/>
                <w:color w:val="000000"/>
                <w:sz w:val="20"/>
                <w:szCs w:val="20"/>
              </w:rPr>
            </w:pPr>
            <w:r w:rsidRPr="00D23AFA">
              <w:rPr>
                <w:rFonts w:cstheme="minorHAnsi"/>
                <w:b/>
                <w:bCs/>
                <w:color w:val="000000"/>
                <w:sz w:val="20"/>
                <w:szCs w:val="20"/>
              </w:rPr>
              <w:t>2016</w:t>
            </w:r>
          </w:p>
        </w:tc>
        <w:tc>
          <w:tcPr>
            <w:tcW w:w="379" w:type="pct"/>
            <w:noWrap/>
            <w:vAlign w:val="center"/>
            <w:hideMark/>
          </w:tcPr>
          <w:p w14:paraId="38BC8017" w14:textId="77777777" w:rsidR="004A5813" w:rsidRPr="00D23AFA" w:rsidRDefault="004A5813" w:rsidP="00B94D3E">
            <w:pPr>
              <w:jc w:val="center"/>
              <w:rPr>
                <w:rFonts w:cstheme="minorHAnsi"/>
                <w:b/>
                <w:bCs/>
                <w:color w:val="000000"/>
                <w:sz w:val="20"/>
                <w:szCs w:val="20"/>
              </w:rPr>
            </w:pPr>
            <w:r w:rsidRPr="00D23AFA">
              <w:rPr>
                <w:rFonts w:cstheme="minorHAnsi"/>
                <w:b/>
                <w:bCs/>
                <w:color w:val="000000"/>
                <w:sz w:val="20"/>
                <w:szCs w:val="20"/>
              </w:rPr>
              <w:t>2017</w:t>
            </w:r>
          </w:p>
        </w:tc>
        <w:tc>
          <w:tcPr>
            <w:tcW w:w="379" w:type="pct"/>
            <w:noWrap/>
            <w:vAlign w:val="center"/>
            <w:hideMark/>
          </w:tcPr>
          <w:p w14:paraId="328AB63E" w14:textId="77777777" w:rsidR="004A5813" w:rsidRPr="00D23AFA" w:rsidRDefault="004A5813" w:rsidP="00B94D3E">
            <w:pPr>
              <w:jc w:val="center"/>
              <w:rPr>
                <w:rFonts w:cstheme="minorHAnsi"/>
                <w:b/>
                <w:bCs/>
                <w:color w:val="000000"/>
                <w:sz w:val="20"/>
                <w:szCs w:val="20"/>
              </w:rPr>
            </w:pPr>
            <w:r w:rsidRPr="00D23AFA">
              <w:rPr>
                <w:rFonts w:cstheme="minorHAnsi"/>
                <w:b/>
                <w:bCs/>
                <w:color w:val="000000"/>
                <w:sz w:val="20"/>
                <w:szCs w:val="20"/>
              </w:rPr>
              <w:t>2018</w:t>
            </w:r>
          </w:p>
        </w:tc>
        <w:tc>
          <w:tcPr>
            <w:tcW w:w="378" w:type="pct"/>
            <w:noWrap/>
            <w:vAlign w:val="center"/>
            <w:hideMark/>
          </w:tcPr>
          <w:p w14:paraId="0E7E31BB" w14:textId="77777777" w:rsidR="004A5813" w:rsidRPr="00D23AFA" w:rsidRDefault="004A5813" w:rsidP="00B94D3E">
            <w:pPr>
              <w:jc w:val="center"/>
              <w:rPr>
                <w:rFonts w:cstheme="minorHAnsi"/>
                <w:b/>
                <w:bCs/>
                <w:color w:val="000000"/>
                <w:sz w:val="20"/>
                <w:szCs w:val="20"/>
              </w:rPr>
            </w:pPr>
            <w:r w:rsidRPr="00D23AFA">
              <w:rPr>
                <w:rFonts w:cstheme="minorHAnsi"/>
                <w:b/>
                <w:bCs/>
                <w:color w:val="000000"/>
                <w:sz w:val="20"/>
                <w:szCs w:val="20"/>
              </w:rPr>
              <w:t>2019</w:t>
            </w:r>
          </w:p>
        </w:tc>
      </w:tr>
      <w:tr w:rsidR="004A5813" w:rsidRPr="00EB1AF3" w14:paraId="7083ABF2" w14:textId="77777777" w:rsidTr="004A5813">
        <w:trPr>
          <w:cantSplit/>
          <w:trHeight w:val="20"/>
          <w:tblHeader/>
        </w:trPr>
        <w:tc>
          <w:tcPr>
            <w:tcW w:w="1212" w:type="pct"/>
            <w:noWrap/>
            <w:vAlign w:val="center"/>
            <w:hideMark/>
          </w:tcPr>
          <w:p w14:paraId="74F6A266" w14:textId="77777777" w:rsidR="004A5813" w:rsidRPr="00D23AFA" w:rsidRDefault="004A5813" w:rsidP="00AF0ADF">
            <w:pPr>
              <w:jc w:val="right"/>
              <w:rPr>
                <w:rFonts w:cstheme="minorHAnsi"/>
                <w:b/>
                <w:bCs/>
                <w:color w:val="000000"/>
                <w:sz w:val="20"/>
                <w:szCs w:val="20"/>
              </w:rPr>
            </w:pPr>
          </w:p>
        </w:tc>
        <w:tc>
          <w:tcPr>
            <w:tcW w:w="3788" w:type="pct"/>
            <w:gridSpan w:val="10"/>
          </w:tcPr>
          <w:p w14:paraId="2DF93FD4" w14:textId="054DF68D" w:rsidR="004A5813" w:rsidRPr="00D23AFA" w:rsidRDefault="004A5813" w:rsidP="00AF0ADF">
            <w:pPr>
              <w:jc w:val="center"/>
              <w:rPr>
                <w:rFonts w:cstheme="minorHAnsi"/>
                <w:b/>
                <w:bCs/>
                <w:sz w:val="20"/>
                <w:szCs w:val="20"/>
              </w:rPr>
            </w:pPr>
            <w:r w:rsidRPr="00D23AFA">
              <w:rPr>
                <w:rFonts w:cstheme="minorHAnsi"/>
                <w:b/>
                <w:bCs/>
                <w:color w:val="000000"/>
                <w:sz w:val="20"/>
                <w:szCs w:val="20"/>
              </w:rPr>
              <w:t>In per cent (%)</w:t>
            </w:r>
          </w:p>
        </w:tc>
      </w:tr>
      <w:tr w:rsidR="004A5813" w:rsidRPr="00EB1AF3" w14:paraId="0B9FC2F7" w14:textId="77777777" w:rsidTr="004A5813">
        <w:trPr>
          <w:cantSplit/>
          <w:trHeight w:val="20"/>
        </w:trPr>
        <w:tc>
          <w:tcPr>
            <w:tcW w:w="5000" w:type="pct"/>
            <w:gridSpan w:val="11"/>
            <w:noWrap/>
            <w:vAlign w:val="center"/>
            <w:hideMark/>
          </w:tcPr>
          <w:p w14:paraId="5087CF4F" w14:textId="72B30394" w:rsidR="004A5813" w:rsidRPr="00D23AFA" w:rsidRDefault="004A5813" w:rsidP="00B94D3E">
            <w:pPr>
              <w:rPr>
                <w:rFonts w:cstheme="minorHAnsi"/>
                <w:b/>
                <w:bCs/>
                <w:sz w:val="20"/>
                <w:szCs w:val="20"/>
              </w:rPr>
            </w:pPr>
            <w:r w:rsidRPr="00D23AFA">
              <w:rPr>
                <w:rFonts w:cstheme="minorHAnsi"/>
                <w:b/>
                <w:bCs/>
                <w:color w:val="000000"/>
                <w:sz w:val="20"/>
                <w:szCs w:val="20"/>
              </w:rPr>
              <w:t>Australia</w:t>
            </w:r>
          </w:p>
        </w:tc>
      </w:tr>
      <w:tr w:rsidR="004A5813" w:rsidRPr="00D23AFA" w14:paraId="307CD7C0" w14:textId="77777777" w:rsidTr="00B94D3E">
        <w:trPr>
          <w:cantSplit/>
          <w:trHeight w:val="20"/>
        </w:trPr>
        <w:tc>
          <w:tcPr>
            <w:tcW w:w="1212" w:type="pct"/>
            <w:noWrap/>
            <w:vAlign w:val="center"/>
            <w:hideMark/>
          </w:tcPr>
          <w:p w14:paraId="0B073482"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Total</w:t>
            </w:r>
          </w:p>
        </w:tc>
        <w:tc>
          <w:tcPr>
            <w:tcW w:w="378" w:type="pct"/>
            <w:vAlign w:val="center"/>
          </w:tcPr>
          <w:p w14:paraId="2E760A3D"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25.2</w:t>
            </w:r>
          </w:p>
        </w:tc>
        <w:tc>
          <w:tcPr>
            <w:tcW w:w="379" w:type="pct"/>
            <w:vAlign w:val="center"/>
          </w:tcPr>
          <w:p w14:paraId="017383AE"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26.0</w:t>
            </w:r>
          </w:p>
        </w:tc>
        <w:tc>
          <w:tcPr>
            <w:tcW w:w="379" w:type="pct"/>
            <w:noWrap/>
            <w:vAlign w:val="center"/>
          </w:tcPr>
          <w:p w14:paraId="478F628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26.3</w:t>
            </w:r>
          </w:p>
        </w:tc>
        <w:tc>
          <w:tcPr>
            <w:tcW w:w="379" w:type="pct"/>
            <w:noWrap/>
            <w:vAlign w:val="center"/>
          </w:tcPr>
          <w:p w14:paraId="62C4D23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27.6</w:t>
            </w:r>
          </w:p>
        </w:tc>
        <w:tc>
          <w:tcPr>
            <w:tcW w:w="379" w:type="pct"/>
            <w:noWrap/>
            <w:vAlign w:val="center"/>
          </w:tcPr>
          <w:p w14:paraId="33C0FA6B"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28.4</w:t>
            </w:r>
          </w:p>
        </w:tc>
        <w:tc>
          <w:tcPr>
            <w:tcW w:w="379" w:type="pct"/>
            <w:noWrap/>
            <w:vAlign w:val="center"/>
          </w:tcPr>
          <w:p w14:paraId="0D53B96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29.3</w:t>
            </w:r>
          </w:p>
        </w:tc>
        <w:tc>
          <w:tcPr>
            <w:tcW w:w="379" w:type="pct"/>
            <w:noWrap/>
            <w:vAlign w:val="center"/>
          </w:tcPr>
          <w:p w14:paraId="5FFD93A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30.5</w:t>
            </w:r>
          </w:p>
        </w:tc>
        <w:tc>
          <w:tcPr>
            <w:tcW w:w="379" w:type="pct"/>
            <w:noWrap/>
            <w:vAlign w:val="center"/>
          </w:tcPr>
          <w:p w14:paraId="1E15DCE3"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32.5</w:t>
            </w:r>
          </w:p>
        </w:tc>
        <w:tc>
          <w:tcPr>
            <w:tcW w:w="379" w:type="pct"/>
            <w:noWrap/>
            <w:vAlign w:val="center"/>
          </w:tcPr>
          <w:p w14:paraId="47C7AFEE"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34.2</w:t>
            </w:r>
          </w:p>
        </w:tc>
        <w:tc>
          <w:tcPr>
            <w:tcW w:w="378" w:type="pct"/>
            <w:noWrap/>
            <w:vAlign w:val="center"/>
          </w:tcPr>
          <w:p w14:paraId="52B51188"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34.7</w:t>
            </w:r>
          </w:p>
        </w:tc>
      </w:tr>
      <w:tr w:rsidR="004A5813" w:rsidRPr="00EB1AF3" w14:paraId="1D4E356C" w14:textId="77777777" w:rsidTr="004A5813">
        <w:trPr>
          <w:cantSplit/>
          <w:trHeight w:val="20"/>
        </w:trPr>
        <w:tc>
          <w:tcPr>
            <w:tcW w:w="5000" w:type="pct"/>
            <w:gridSpan w:val="11"/>
            <w:noWrap/>
            <w:vAlign w:val="center"/>
            <w:hideMark/>
          </w:tcPr>
          <w:p w14:paraId="4C9AEE1E" w14:textId="1C738460" w:rsidR="004A5813" w:rsidRPr="00D23AFA" w:rsidRDefault="004A5813" w:rsidP="00B94D3E">
            <w:pPr>
              <w:rPr>
                <w:rFonts w:cstheme="minorHAnsi"/>
                <w:b/>
                <w:bCs/>
                <w:sz w:val="20"/>
                <w:szCs w:val="20"/>
              </w:rPr>
            </w:pPr>
            <w:r w:rsidRPr="00D23AFA">
              <w:rPr>
                <w:rFonts w:cstheme="minorHAnsi"/>
                <w:b/>
                <w:bCs/>
                <w:color w:val="000000"/>
                <w:sz w:val="20"/>
                <w:szCs w:val="20"/>
              </w:rPr>
              <w:t>Mother's age at birth</w:t>
            </w:r>
          </w:p>
        </w:tc>
      </w:tr>
      <w:tr w:rsidR="004A5813" w:rsidRPr="00D23AFA" w14:paraId="7034B9A3" w14:textId="77777777" w:rsidTr="00B94D3E">
        <w:trPr>
          <w:cantSplit/>
          <w:trHeight w:val="20"/>
        </w:trPr>
        <w:tc>
          <w:tcPr>
            <w:tcW w:w="1212" w:type="pct"/>
            <w:noWrap/>
            <w:vAlign w:val="center"/>
            <w:hideMark/>
          </w:tcPr>
          <w:p w14:paraId="5C64201D"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Younger than 20</w:t>
            </w:r>
          </w:p>
        </w:tc>
        <w:tc>
          <w:tcPr>
            <w:tcW w:w="378" w:type="pct"/>
            <w:vAlign w:val="center"/>
          </w:tcPr>
          <w:p w14:paraId="0830D500"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25.1</w:t>
            </w:r>
          </w:p>
        </w:tc>
        <w:tc>
          <w:tcPr>
            <w:tcW w:w="379" w:type="pct"/>
            <w:vAlign w:val="center"/>
          </w:tcPr>
          <w:p w14:paraId="54681A05"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26.7</w:t>
            </w:r>
          </w:p>
        </w:tc>
        <w:tc>
          <w:tcPr>
            <w:tcW w:w="379" w:type="pct"/>
            <w:noWrap/>
            <w:vAlign w:val="center"/>
          </w:tcPr>
          <w:p w14:paraId="38BB146C"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27.4</w:t>
            </w:r>
          </w:p>
        </w:tc>
        <w:tc>
          <w:tcPr>
            <w:tcW w:w="379" w:type="pct"/>
            <w:noWrap/>
            <w:vAlign w:val="center"/>
          </w:tcPr>
          <w:p w14:paraId="7C0B4E92"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27.9</w:t>
            </w:r>
          </w:p>
        </w:tc>
        <w:tc>
          <w:tcPr>
            <w:tcW w:w="379" w:type="pct"/>
            <w:noWrap/>
            <w:vAlign w:val="center"/>
          </w:tcPr>
          <w:p w14:paraId="58D220F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30.1</w:t>
            </w:r>
          </w:p>
        </w:tc>
        <w:tc>
          <w:tcPr>
            <w:tcW w:w="379" w:type="pct"/>
            <w:noWrap/>
            <w:vAlign w:val="center"/>
          </w:tcPr>
          <w:p w14:paraId="10485DC2"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31.3</w:t>
            </w:r>
          </w:p>
        </w:tc>
        <w:tc>
          <w:tcPr>
            <w:tcW w:w="379" w:type="pct"/>
            <w:noWrap/>
            <w:vAlign w:val="center"/>
          </w:tcPr>
          <w:p w14:paraId="434198C5"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32.4</w:t>
            </w:r>
          </w:p>
        </w:tc>
        <w:tc>
          <w:tcPr>
            <w:tcW w:w="379" w:type="pct"/>
            <w:noWrap/>
            <w:vAlign w:val="center"/>
          </w:tcPr>
          <w:p w14:paraId="468E875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35.7</w:t>
            </w:r>
          </w:p>
        </w:tc>
        <w:tc>
          <w:tcPr>
            <w:tcW w:w="379" w:type="pct"/>
            <w:noWrap/>
            <w:vAlign w:val="center"/>
          </w:tcPr>
          <w:p w14:paraId="64EC1E20"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38.2</w:t>
            </w:r>
          </w:p>
        </w:tc>
        <w:tc>
          <w:tcPr>
            <w:tcW w:w="378" w:type="pct"/>
            <w:noWrap/>
            <w:vAlign w:val="center"/>
          </w:tcPr>
          <w:p w14:paraId="514CB0E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38.1</w:t>
            </w:r>
          </w:p>
        </w:tc>
      </w:tr>
      <w:tr w:rsidR="004A5813" w:rsidRPr="00D23AFA" w14:paraId="1C440BAB" w14:textId="77777777" w:rsidTr="00B94D3E">
        <w:trPr>
          <w:cantSplit/>
          <w:trHeight w:val="20"/>
        </w:trPr>
        <w:tc>
          <w:tcPr>
            <w:tcW w:w="1212" w:type="pct"/>
            <w:noWrap/>
            <w:vAlign w:val="center"/>
            <w:hideMark/>
          </w:tcPr>
          <w:p w14:paraId="31C2924F"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20-24</w:t>
            </w:r>
          </w:p>
        </w:tc>
        <w:tc>
          <w:tcPr>
            <w:tcW w:w="378" w:type="pct"/>
            <w:vAlign w:val="center"/>
          </w:tcPr>
          <w:p w14:paraId="1073B05A"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25.3</w:t>
            </w:r>
          </w:p>
        </w:tc>
        <w:tc>
          <w:tcPr>
            <w:tcW w:w="379" w:type="pct"/>
            <w:vAlign w:val="center"/>
          </w:tcPr>
          <w:p w14:paraId="41412365"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26.5</w:t>
            </w:r>
          </w:p>
        </w:tc>
        <w:tc>
          <w:tcPr>
            <w:tcW w:w="379" w:type="pct"/>
            <w:noWrap/>
            <w:vAlign w:val="center"/>
          </w:tcPr>
          <w:p w14:paraId="7AF7A418"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26.9</w:t>
            </w:r>
          </w:p>
        </w:tc>
        <w:tc>
          <w:tcPr>
            <w:tcW w:w="379" w:type="pct"/>
            <w:noWrap/>
            <w:vAlign w:val="center"/>
          </w:tcPr>
          <w:p w14:paraId="095F14B9"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28.4</w:t>
            </w:r>
          </w:p>
        </w:tc>
        <w:tc>
          <w:tcPr>
            <w:tcW w:w="379" w:type="pct"/>
            <w:noWrap/>
            <w:vAlign w:val="center"/>
          </w:tcPr>
          <w:p w14:paraId="1FAAB52E"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29.5</w:t>
            </w:r>
          </w:p>
        </w:tc>
        <w:tc>
          <w:tcPr>
            <w:tcW w:w="379" w:type="pct"/>
            <w:noWrap/>
            <w:vAlign w:val="center"/>
          </w:tcPr>
          <w:p w14:paraId="72F5737C"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30.6</w:t>
            </w:r>
          </w:p>
        </w:tc>
        <w:tc>
          <w:tcPr>
            <w:tcW w:w="379" w:type="pct"/>
            <w:noWrap/>
            <w:vAlign w:val="center"/>
          </w:tcPr>
          <w:p w14:paraId="4D5C4AB7"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32.5</w:t>
            </w:r>
          </w:p>
        </w:tc>
        <w:tc>
          <w:tcPr>
            <w:tcW w:w="379" w:type="pct"/>
            <w:noWrap/>
            <w:vAlign w:val="center"/>
          </w:tcPr>
          <w:p w14:paraId="68AB3342"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35.6</w:t>
            </w:r>
          </w:p>
        </w:tc>
        <w:tc>
          <w:tcPr>
            <w:tcW w:w="379" w:type="pct"/>
            <w:noWrap/>
            <w:vAlign w:val="center"/>
          </w:tcPr>
          <w:p w14:paraId="0ADA5095"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37.4</w:t>
            </w:r>
          </w:p>
        </w:tc>
        <w:tc>
          <w:tcPr>
            <w:tcW w:w="378" w:type="pct"/>
            <w:noWrap/>
            <w:vAlign w:val="center"/>
          </w:tcPr>
          <w:p w14:paraId="7452234A"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37.8</w:t>
            </w:r>
          </w:p>
        </w:tc>
      </w:tr>
      <w:tr w:rsidR="004A5813" w:rsidRPr="00D23AFA" w14:paraId="50FEC82A" w14:textId="77777777" w:rsidTr="00B94D3E">
        <w:trPr>
          <w:cantSplit/>
          <w:trHeight w:val="20"/>
        </w:trPr>
        <w:tc>
          <w:tcPr>
            <w:tcW w:w="1212" w:type="pct"/>
            <w:noWrap/>
            <w:vAlign w:val="center"/>
            <w:hideMark/>
          </w:tcPr>
          <w:p w14:paraId="798068FF"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25-29</w:t>
            </w:r>
          </w:p>
        </w:tc>
        <w:tc>
          <w:tcPr>
            <w:tcW w:w="378" w:type="pct"/>
            <w:vAlign w:val="center"/>
          </w:tcPr>
          <w:p w14:paraId="4E490296"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26.2</w:t>
            </w:r>
          </w:p>
        </w:tc>
        <w:tc>
          <w:tcPr>
            <w:tcW w:w="379" w:type="pct"/>
            <w:vAlign w:val="center"/>
          </w:tcPr>
          <w:p w14:paraId="61F50962"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26.9</w:t>
            </w:r>
          </w:p>
        </w:tc>
        <w:tc>
          <w:tcPr>
            <w:tcW w:w="379" w:type="pct"/>
            <w:noWrap/>
            <w:vAlign w:val="center"/>
          </w:tcPr>
          <w:p w14:paraId="1075ED17"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27.3</w:t>
            </w:r>
          </w:p>
        </w:tc>
        <w:tc>
          <w:tcPr>
            <w:tcW w:w="379" w:type="pct"/>
            <w:noWrap/>
            <w:vAlign w:val="center"/>
          </w:tcPr>
          <w:p w14:paraId="171541D5"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28.7</w:t>
            </w:r>
          </w:p>
        </w:tc>
        <w:tc>
          <w:tcPr>
            <w:tcW w:w="379" w:type="pct"/>
            <w:noWrap/>
            <w:vAlign w:val="center"/>
          </w:tcPr>
          <w:p w14:paraId="258B3DE1"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29.4</w:t>
            </w:r>
          </w:p>
        </w:tc>
        <w:tc>
          <w:tcPr>
            <w:tcW w:w="379" w:type="pct"/>
            <w:noWrap/>
            <w:vAlign w:val="center"/>
          </w:tcPr>
          <w:p w14:paraId="69D1AEB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30.7</w:t>
            </w:r>
          </w:p>
        </w:tc>
        <w:tc>
          <w:tcPr>
            <w:tcW w:w="379" w:type="pct"/>
            <w:noWrap/>
            <w:vAlign w:val="center"/>
          </w:tcPr>
          <w:p w14:paraId="2C2965D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32.1</w:t>
            </w:r>
          </w:p>
        </w:tc>
        <w:tc>
          <w:tcPr>
            <w:tcW w:w="379" w:type="pct"/>
            <w:noWrap/>
            <w:vAlign w:val="center"/>
          </w:tcPr>
          <w:p w14:paraId="4B35F45A"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34.4</w:t>
            </w:r>
          </w:p>
        </w:tc>
        <w:tc>
          <w:tcPr>
            <w:tcW w:w="379" w:type="pct"/>
            <w:noWrap/>
            <w:vAlign w:val="center"/>
          </w:tcPr>
          <w:p w14:paraId="6FEC0073"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36.3</w:t>
            </w:r>
          </w:p>
        </w:tc>
        <w:tc>
          <w:tcPr>
            <w:tcW w:w="378" w:type="pct"/>
            <w:noWrap/>
            <w:vAlign w:val="center"/>
          </w:tcPr>
          <w:p w14:paraId="4BDA4139"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36.8</w:t>
            </w:r>
          </w:p>
        </w:tc>
      </w:tr>
      <w:tr w:rsidR="004A5813" w:rsidRPr="00D23AFA" w14:paraId="79CF5B45" w14:textId="77777777" w:rsidTr="00B94D3E">
        <w:trPr>
          <w:cantSplit/>
          <w:trHeight w:val="20"/>
        </w:trPr>
        <w:tc>
          <w:tcPr>
            <w:tcW w:w="1212" w:type="pct"/>
            <w:noWrap/>
            <w:vAlign w:val="center"/>
            <w:hideMark/>
          </w:tcPr>
          <w:p w14:paraId="5951D796"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30-34</w:t>
            </w:r>
          </w:p>
        </w:tc>
        <w:tc>
          <w:tcPr>
            <w:tcW w:w="378" w:type="pct"/>
            <w:vAlign w:val="center"/>
          </w:tcPr>
          <w:p w14:paraId="33C877A6"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25.0</w:t>
            </w:r>
          </w:p>
        </w:tc>
        <w:tc>
          <w:tcPr>
            <w:tcW w:w="379" w:type="pct"/>
            <w:vAlign w:val="center"/>
          </w:tcPr>
          <w:p w14:paraId="2CA2F332"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25.8</w:t>
            </w:r>
          </w:p>
        </w:tc>
        <w:tc>
          <w:tcPr>
            <w:tcW w:w="379" w:type="pct"/>
            <w:noWrap/>
            <w:vAlign w:val="center"/>
          </w:tcPr>
          <w:p w14:paraId="0258A17B"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26.0</w:t>
            </w:r>
          </w:p>
        </w:tc>
        <w:tc>
          <w:tcPr>
            <w:tcW w:w="379" w:type="pct"/>
            <w:noWrap/>
            <w:vAlign w:val="center"/>
          </w:tcPr>
          <w:p w14:paraId="1D3796C5"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27.3</w:t>
            </w:r>
          </w:p>
        </w:tc>
        <w:tc>
          <w:tcPr>
            <w:tcW w:w="379" w:type="pct"/>
            <w:noWrap/>
            <w:vAlign w:val="center"/>
          </w:tcPr>
          <w:p w14:paraId="789FC80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27.8</w:t>
            </w:r>
          </w:p>
        </w:tc>
        <w:tc>
          <w:tcPr>
            <w:tcW w:w="379" w:type="pct"/>
            <w:noWrap/>
            <w:vAlign w:val="center"/>
          </w:tcPr>
          <w:p w14:paraId="24CA8C51"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28.4</w:t>
            </w:r>
          </w:p>
        </w:tc>
        <w:tc>
          <w:tcPr>
            <w:tcW w:w="379" w:type="pct"/>
            <w:noWrap/>
            <w:vAlign w:val="center"/>
          </w:tcPr>
          <w:p w14:paraId="0975C0FE"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29.8</w:t>
            </w:r>
          </w:p>
        </w:tc>
        <w:tc>
          <w:tcPr>
            <w:tcW w:w="379" w:type="pct"/>
            <w:noWrap/>
            <w:vAlign w:val="center"/>
          </w:tcPr>
          <w:p w14:paraId="05798148"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31.4</w:t>
            </w:r>
          </w:p>
        </w:tc>
        <w:tc>
          <w:tcPr>
            <w:tcW w:w="379" w:type="pct"/>
            <w:noWrap/>
            <w:vAlign w:val="center"/>
          </w:tcPr>
          <w:p w14:paraId="216152B1"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33.1</w:t>
            </w:r>
          </w:p>
        </w:tc>
        <w:tc>
          <w:tcPr>
            <w:tcW w:w="378" w:type="pct"/>
            <w:noWrap/>
            <w:vAlign w:val="center"/>
          </w:tcPr>
          <w:p w14:paraId="2DAE183C"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34.0</w:t>
            </w:r>
          </w:p>
        </w:tc>
      </w:tr>
      <w:tr w:rsidR="004A5813" w:rsidRPr="00D23AFA" w14:paraId="5066219A" w14:textId="77777777" w:rsidTr="00B94D3E">
        <w:trPr>
          <w:cantSplit/>
          <w:trHeight w:val="20"/>
        </w:trPr>
        <w:tc>
          <w:tcPr>
            <w:tcW w:w="1212" w:type="pct"/>
            <w:noWrap/>
            <w:vAlign w:val="center"/>
            <w:hideMark/>
          </w:tcPr>
          <w:p w14:paraId="22ED4DD8"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35-39</w:t>
            </w:r>
          </w:p>
        </w:tc>
        <w:tc>
          <w:tcPr>
            <w:tcW w:w="378" w:type="pct"/>
            <w:vAlign w:val="center"/>
          </w:tcPr>
          <w:p w14:paraId="04D020FA"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24.5</w:t>
            </w:r>
          </w:p>
        </w:tc>
        <w:tc>
          <w:tcPr>
            <w:tcW w:w="379" w:type="pct"/>
            <w:vAlign w:val="center"/>
          </w:tcPr>
          <w:p w14:paraId="3F8DD190"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24.7</w:t>
            </w:r>
          </w:p>
        </w:tc>
        <w:tc>
          <w:tcPr>
            <w:tcW w:w="379" w:type="pct"/>
            <w:noWrap/>
            <w:vAlign w:val="center"/>
          </w:tcPr>
          <w:p w14:paraId="3EAD6AB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24.9</w:t>
            </w:r>
          </w:p>
        </w:tc>
        <w:tc>
          <w:tcPr>
            <w:tcW w:w="379" w:type="pct"/>
            <w:noWrap/>
            <w:vAlign w:val="center"/>
          </w:tcPr>
          <w:p w14:paraId="1DE49DF1"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25.9</w:t>
            </w:r>
          </w:p>
        </w:tc>
        <w:tc>
          <w:tcPr>
            <w:tcW w:w="379" w:type="pct"/>
            <w:noWrap/>
            <w:vAlign w:val="center"/>
          </w:tcPr>
          <w:p w14:paraId="668BF2C0"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26.9</w:t>
            </w:r>
          </w:p>
        </w:tc>
        <w:tc>
          <w:tcPr>
            <w:tcW w:w="379" w:type="pct"/>
            <w:noWrap/>
            <w:vAlign w:val="center"/>
          </w:tcPr>
          <w:p w14:paraId="21ECA58A"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27.7</w:t>
            </w:r>
          </w:p>
        </w:tc>
        <w:tc>
          <w:tcPr>
            <w:tcW w:w="379" w:type="pct"/>
            <w:noWrap/>
            <w:vAlign w:val="center"/>
          </w:tcPr>
          <w:p w14:paraId="0E97674B"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27.9</w:t>
            </w:r>
          </w:p>
        </w:tc>
        <w:tc>
          <w:tcPr>
            <w:tcW w:w="379" w:type="pct"/>
            <w:noWrap/>
            <w:vAlign w:val="center"/>
          </w:tcPr>
          <w:p w14:paraId="616258A6"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30.0</w:t>
            </w:r>
          </w:p>
        </w:tc>
        <w:tc>
          <w:tcPr>
            <w:tcW w:w="379" w:type="pct"/>
            <w:noWrap/>
            <w:vAlign w:val="center"/>
          </w:tcPr>
          <w:p w14:paraId="14EFBF2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31.2</w:t>
            </w:r>
          </w:p>
        </w:tc>
        <w:tc>
          <w:tcPr>
            <w:tcW w:w="378" w:type="pct"/>
            <w:noWrap/>
            <w:vAlign w:val="center"/>
          </w:tcPr>
          <w:p w14:paraId="4C86309C"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31.8</w:t>
            </w:r>
          </w:p>
        </w:tc>
      </w:tr>
      <w:tr w:rsidR="004A5813" w:rsidRPr="00D23AFA" w14:paraId="53F2F3C4" w14:textId="77777777" w:rsidTr="00B94D3E">
        <w:trPr>
          <w:cantSplit/>
          <w:trHeight w:val="20"/>
        </w:trPr>
        <w:tc>
          <w:tcPr>
            <w:tcW w:w="1212" w:type="pct"/>
            <w:noWrap/>
            <w:vAlign w:val="center"/>
            <w:hideMark/>
          </w:tcPr>
          <w:p w14:paraId="7924041B"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40 and over</w:t>
            </w:r>
          </w:p>
        </w:tc>
        <w:tc>
          <w:tcPr>
            <w:tcW w:w="378" w:type="pct"/>
            <w:vAlign w:val="center"/>
          </w:tcPr>
          <w:p w14:paraId="75BE86FA"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24.3</w:t>
            </w:r>
          </w:p>
        </w:tc>
        <w:tc>
          <w:tcPr>
            <w:tcW w:w="379" w:type="pct"/>
            <w:vAlign w:val="center"/>
          </w:tcPr>
          <w:p w14:paraId="294D18BC"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25.5</w:t>
            </w:r>
          </w:p>
        </w:tc>
        <w:tc>
          <w:tcPr>
            <w:tcW w:w="379" w:type="pct"/>
            <w:noWrap/>
            <w:vAlign w:val="center"/>
          </w:tcPr>
          <w:p w14:paraId="0DBABE2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26.0</w:t>
            </w:r>
          </w:p>
        </w:tc>
        <w:tc>
          <w:tcPr>
            <w:tcW w:w="379" w:type="pct"/>
            <w:noWrap/>
            <w:vAlign w:val="center"/>
          </w:tcPr>
          <w:p w14:paraId="501D1663"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27.4</w:t>
            </w:r>
          </w:p>
        </w:tc>
        <w:tc>
          <w:tcPr>
            <w:tcW w:w="379" w:type="pct"/>
            <w:noWrap/>
            <w:vAlign w:val="center"/>
          </w:tcPr>
          <w:p w14:paraId="06F0AD5C"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28.4</w:t>
            </w:r>
          </w:p>
        </w:tc>
        <w:tc>
          <w:tcPr>
            <w:tcW w:w="379" w:type="pct"/>
            <w:noWrap/>
            <w:vAlign w:val="center"/>
          </w:tcPr>
          <w:p w14:paraId="5A374A48"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30.3</w:t>
            </w:r>
          </w:p>
        </w:tc>
        <w:tc>
          <w:tcPr>
            <w:tcW w:w="379" w:type="pct"/>
            <w:noWrap/>
            <w:vAlign w:val="center"/>
          </w:tcPr>
          <w:p w14:paraId="16299E46"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31.2</w:t>
            </w:r>
          </w:p>
        </w:tc>
        <w:tc>
          <w:tcPr>
            <w:tcW w:w="379" w:type="pct"/>
            <w:noWrap/>
            <w:vAlign w:val="center"/>
          </w:tcPr>
          <w:p w14:paraId="55A9AF68"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31.5</w:t>
            </w:r>
          </w:p>
        </w:tc>
        <w:tc>
          <w:tcPr>
            <w:tcW w:w="379" w:type="pct"/>
            <w:noWrap/>
            <w:vAlign w:val="center"/>
          </w:tcPr>
          <w:p w14:paraId="69BB09A9"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33.1</w:t>
            </w:r>
          </w:p>
        </w:tc>
        <w:tc>
          <w:tcPr>
            <w:tcW w:w="378" w:type="pct"/>
            <w:noWrap/>
            <w:vAlign w:val="center"/>
          </w:tcPr>
          <w:p w14:paraId="476E9347"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33.4</w:t>
            </w:r>
          </w:p>
        </w:tc>
      </w:tr>
      <w:tr w:rsidR="003B7218" w:rsidRPr="00EB1AF3" w14:paraId="7F9DD344" w14:textId="77777777" w:rsidTr="003B7218">
        <w:trPr>
          <w:cantSplit/>
          <w:trHeight w:val="20"/>
        </w:trPr>
        <w:tc>
          <w:tcPr>
            <w:tcW w:w="5000" w:type="pct"/>
            <w:gridSpan w:val="11"/>
            <w:noWrap/>
            <w:vAlign w:val="center"/>
            <w:hideMark/>
          </w:tcPr>
          <w:p w14:paraId="5E65A45F" w14:textId="4A5C8CAE" w:rsidR="003B7218" w:rsidRPr="00D23AFA" w:rsidRDefault="003B7218" w:rsidP="00B94D3E">
            <w:pPr>
              <w:rPr>
                <w:rFonts w:cstheme="minorHAnsi"/>
                <w:b/>
                <w:bCs/>
                <w:sz w:val="20"/>
                <w:szCs w:val="20"/>
              </w:rPr>
            </w:pPr>
            <w:r w:rsidRPr="00D23AFA">
              <w:rPr>
                <w:rFonts w:cstheme="minorHAnsi"/>
                <w:b/>
                <w:bCs/>
                <w:color w:val="000000"/>
                <w:sz w:val="20"/>
                <w:szCs w:val="20"/>
              </w:rPr>
              <w:t>Mother's country of birth</w:t>
            </w:r>
          </w:p>
        </w:tc>
      </w:tr>
      <w:tr w:rsidR="004A5813" w:rsidRPr="00D23AFA" w14:paraId="10A61E65" w14:textId="77777777" w:rsidTr="00B94D3E">
        <w:trPr>
          <w:cantSplit/>
          <w:trHeight w:val="20"/>
        </w:trPr>
        <w:tc>
          <w:tcPr>
            <w:tcW w:w="1212" w:type="pct"/>
            <w:noWrap/>
            <w:vAlign w:val="center"/>
            <w:hideMark/>
          </w:tcPr>
          <w:p w14:paraId="64BED103"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Born in Australia</w:t>
            </w:r>
          </w:p>
        </w:tc>
        <w:tc>
          <w:tcPr>
            <w:tcW w:w="378" w:type="pct"/>
            <w:vAlign w:val="center"/>
          </w:tcPr>
          <w:p w14:paraId="07653CEE"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26.2</w:t>
            </w:r>
          </w:p>
        </w:tc>
        <w:tc>
          <w:tcPr>
            <w:tcW w:w="379" w:type="pct"/>
            <w:vAlign w:val="center"/>
          </w:tcPr>
          <w:p w14:paraId="51DF2BF5"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27.0</w:t>
            </w:r>
          </w:p>
        </w:tc>
        <w:tc>
          <w:tcPr>
            <w:tcW w:w="379" w:type="pct"/>
            <w:noWrap/>
            <w:vAlign w:val="center"/>
          </w:tcPr>
          <w:p w14:paraId="79A64A5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27.3</w:t>
            </w:r>
          </w:p>
        </w:tc>
        <w:tc>
          <w:tcPr>
            <w:tcW w:w="379" w:type="pct"/>
            <w:noWrap/>
            <w:vAlign w:val="center"/>
          </w:tcPr>
          <w:p w14:paraId="7B7FD55B"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28.4</w:t>
            </w:r>
          </w:p>
        </w:tc>
        <w:tc>
          <w:tcPr>
            <w:tcW w:w="379" w:type="pct"/>
            <w:noWrap/>
            <w:vAlign w:val="center"/>
          </w:tcPr>
          <w:p w14:paraId="722902C2"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29.3</w:t>
            </w:r>
          </w:p>
        </w:tc>
        <w:tc>
          <w:tcPr>
            <w:tcW w:w="379" w:type="pct"/>
            <w:noWrap/>
            <w:vAlign w:val="center"/>
          </w:tcPr>
          <w:p w14:paraId="2A5BD2A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30.1</w:t>
            </w:r>
          </w:p>
        </w:tc>
        <w:tc>
          <w:tcPr>
            <w:tcW w:w="379" w:type="pct"/>
            <w:noWrap/>
            <w:vAlign w:val="center"/>
          </w:tcPr>
          <w:p w14:paraId="1FADF69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31.3</w:t>
            </w:r>
          </w:p>
        </w:tc>
        <w:tc>
          <w:tcPr>
            <w:tcW w:w="379" w:type="pct"/>
            <w:noWrap/>
            <w:vAlign w:val="center"/>
          </w:tcPr>
          <w:p w14:paraId="6FDAAE9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33.3</w:t>
            </w:r>
          </w:p>
        </w:tc>
        <w:tc>
          <w:tcPr>
            <w:tcW w:w="379" w:type="pct"/>
            <w:noWrap/>
            <w:vAlign w:val="center"/>
          </w:tcPr>
          <w:p w14:paraId="3369A51D"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35.0</w:t>
            </w:r>
          </w:p>
        </w:tc>
        <w:tc>
          <w:tcPr>
            <w:tcW w:w="378" w:type="pct"/>
            <w:noWrap/>
            <w:vAlign w:val="center"/>
          </w:tcPr>
          <w:p w14:paraId="76F0088C"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35.6</w:t>
            </w:r>
          </w:p>
        </w:tc>
      </w:tr>
      <w:tr w:rsidR="004A5813" w:rsidRPr="00D23AFA" w14:paraId="686599A4" w14:textId="77777777" w:rsidTr="00B94D3E">
        <w:trPr>
          <w:cantSplit/>
          <w:trHeight w:val="20"/>
        </w:trPr>
        <w:tc>
          <w:tcPr>
            <w:tcW w:w="1212" w:type="pct"/>
            <w:noWrap/>
            <w:vAlign w:val="center"/>
            <w:hideMark/>
          </w:tcPr>
          <w:p w14:paraId="4FE8C3F6"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Born overseas</w:t>
            </w:r>
          </w:p>
        </w:tc>
        <w:tc>
          <w:tcPr>
            <w:tcW w:w="378" w:type="pct"/>
            <w:vAlign w:val="center"/>
          </w:tcPr>
          <w:p w14:paraId="2FB281D8"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22.8</w:t>
            </w:r>
          </w:p>
        </w:tc>
        <w:tc>
          <w:tcPr>
            <w:tcW w:w="379" w:type="pct"/>
            <w:vAlign w:val="center"/>
          </w:tcPr>
          <w:p w14:paraId="6E2C0E43"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23.8</w:t>
            </w:r>
          </w:p>
        </w:tc>
        <w:tc>
          <w:tcPr>
            <w:tcW w:w="379" w:type="pct"/>
            <w:noWrap/>
            <w:vAlign w:val="center"/>
          </w:tcPr>
          <w:p w14:paraId="2B2C1587"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24.3</w:t>
            </w:r>
          </w:p>
        </w:tc>
        <w:tc>
          <w:tcPr>
            <w:tcW w:w="379" w:type="pct"/>
            <w:noWrap/>
            <w:vAlign w:val="center"/>
          </w:tcPr>
          <w:p w14:paraId="5542B92E"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25.9</w:t>
            </w:r>
          </w:p>
        </w:tc>
        <w:tc>
          <w:tcPr>
            <w:tcW w:w="379" w:type="pct"/>
            <w:noWrap/>
            <w:vAlign w:val="center"/>
          </w:tcPr>
          <w:p w14:paraId="7BC6EB1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26.7</w:t>
            </w:r>
          </w:p>
        </w:tc>
        <w:tc>
          <w:tcPr>
            <w:tcW w:w="379" w:type="pct"/>
            <w:noWrap/>
            <w:vAlign w:val="center"/>
          </w:tcPr>
          <w:p w14:paraId="19356883"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27.9</w:t>
            </w:r>
          </w:p>
        </w:tc>
        <w:tc>
          <w:tcPr>
            <w:tcW w:w="379" w:type="pct"/>
            <w:noWrap/>
            <w:vAlign w:val="center"/>
          </w:tcPr>
          <w:p w14:paraId="30F72203"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29.1</w:t>
            </w:r>
          </w:p>
        </w:tc>
        <w:tc>
          <w:tcPr>
            <w:tcW w:w="379" w:type="pct"/>
            <w:noWrap/>
            <w:vAlign w:val="center"/>
          </w:tcPr>
          <w:p w14:paraId="13E09E51"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31.2</w:t>
            </w:r>
          </w:p>
        </w:tc>
        <w:tc>
          <w:tcPr>
            <w:tcW w:w="379" w:type="pct"/>
            <w:noWrap/>
            <w:vAlign w:val="center"/>
          </w:tcPr>
          <w:p w14:paraId="2B263902"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32.8</w:t>
            </w:r>
          </w:p>
        </w:tc>
        <w:tc>
          <w:tcPr>
            <w:tcW w:w="378" w:type="pct"/>
            <w:noWrap/>
            <w:vAlign w:val="center"/>
          </w:tcPr>
          <w:p w14:paraId="7465C250"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33.3</w:t>
            </w:r>
          </w:p>
        </w:tc>
      </w:tr>
      <w:tr w:rsidR="003B7218" w:rsidRPr="00EB1AF3" w14:paraId="5E3CF1BC" w14:textId="77777777" w:rsidTr="003B7218">
        <w:trPr>
          <w:cantSplit/>
          <w:trHeight w:val="20"/>
        </w:trPr>
        <w:tc>
          <w:tcPr>
            <w:tcW w:w="5000" w:type="pct"/>
            <w:gridSpan w:val="11"/>
            <w:noWrap/>
            <w:vAlign w:val="center"/>
            <w:hideMark/>
          </w:tcPr>
          <w:p w14:paraId="191B8687" w14:textId="04F22C7A" w:rsidR="003B7218" w:rsidRPr="00D23AFA" w:rsidRDefault="003B7218" w:rsidP="00B94D3E">
            <w:pPr>
              <w:rPr>
                <w:rFonts w:cstheme="minorHAnsi"/>
                <w:b/>
                <w:bCs/>
                <w:sz w:val="20"/>
                <w:szCs w:val="20"/>
              </w:rPr>
            </w:pPr>
            <w:r w:rsidRPr="00D23AFA">
              <w:rPr>
                <w:rFonts w:cstheme="minorHAnsi"/>
                <w:b/>
                <w:bCs/>
                <w:color w:val="000000"/>
                <w:sz w:val="20"/>
                <w:szCs w:val="20"/>
              </w:rPr>
              <w:t xml:space="preserve">Mother's </w:t>
            </w:r>
            <w:r w:rsidR="00FB0C38">
              <w:rPr>
                <w:rFonts w:cstheme="minorHAnsi"/>
                <w:b/>
                <w:bCs/>
                <w:color w:val="000000"/>
                <w:sz w:val="20"/>
                <w:szCs w:val="20"/>
              </w:rPr>
              <w:t>Indig</w:t>
            </w:r>
            <w:r w:rsidRPr="00D23AFA">
              <w:rPr>
                <w:rFonts w:cstheme="minorHAnsi"/>
                <w:b/>
                <w:bCs/>
                <w:color w:val="000000"/>
                <w:sz w:val="20"/>
                <w:szCs w:val="20"/>
              </w:rPr>
              <w:t xml:space="preserve">enous status </w:t>
            </w:r>
            <w:r w:rsidR="003123B9">
              <w:rPr>
                <w:rFonts w:cstheme="minorHAnsi"/>
                <w:b/>
                <w:bCs/>
                <w:color w:val="000000"/>
                <w:sz w:val="20"/>
                <w:szCs w:val="20"/>
              </w:rPr>
              <w:t>(Age-standardised)</w:t>
            </w:r>
          </w:p>
        </w:tc>
      </w:tr>
      <w:tr w:rsidR="004A5813" w:rsidRPr="00D23AFA" w14:paraId="7B32155C" w14:textId="77777777" w:rsidTr="00B94D3E">
        <w:trPr>
          <w:cantSplit/>
          <w:trHeight w:val="20"/>
        </w:trPr>
        <w:tc>
          <w:tcPr>
            <w:tcW w:w="1212" w:type="pct"/>
            <w:noWrap/>
            <w:vAlign w:val="center"/>
            <w:hideMark/>
          </w:tcPr>
          <w:p w14:paraId="63129A1A"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Indigenous</w:t>
            </w:r>
          </w:p>
        </w:tc>
        <w:tc>
          <w:tcPr>
            <w:tcW w:w="378" w:type="pct"/>
            <w:vAlign w:val="center"/>
          </w:tcPr>
          <w:p w14:paraId="5BAECB5C"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24.1</w:t>
            </w:r>
          </w:p>
        </w:tc>
        <w:tc>
          <w:tcPr>
            <w:tcW w:w="379" w:type="pct"/>
            <w:vAlign w:val="center"/>
          </w:tcPr>
          <w:p w14:paraId="5BBC622F"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24.6</w:t>
            </w:r>
          </w:p>
        </w:tc>
        <w:tc>
          <w:tcPr>
            <w:tcW w:w="379" w:type="pct"/>
            <w:noWrap/>
            <w:vAlign w:val="center"/>
          </w:tcPr>
          <w:p w14:paraId="650F962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24.6</w:t>
            </w:r>
          </w:p>
        </w:tc>
        <w:tc>
          <w:tcPr>
            <w:tcW w:w="379" w:type="pct"/>
            <w:noWrap/>
            <w:vAlign w:val="center"/>
          </w:tcPr>
          <w:p w14:paraId="21FFC097"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28.0</w:t>
            </w:r>
          </w:p>
        </w:tc>
        <w:tc>
          <w:tcPr>
            <w:tcW w:w="379" w:type="pct"/>
            <w:noWrap/>
            <w:vAlign w:val="center"/>
          </w:tcPr>
          <w:p w14:paraId="6B8C2EB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27.8</w:t>
            </w:r>
          </w:p>
        </w:tc>
        <w:tc>
          <w:tcPr>
            <w:tcW w:w="379" w:type="pct"/>
            <w:noWrap/>
            <w:vAlign w:val="center"/>
          </w:tcPr>
          <w:p w14:paraId="7BE8A506"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29.3</w:t>
            </w:r>
          </w:p>
        </w:tc>
        <w:tc>
          <w:tcPr>
            <w:tcW w:w="379" w:type="pct"/>
            <w:noWrap/>
            <w:vAlign w:val="center"/>
          </w:tcPr>
          <w:p w14:paraId="270FDE47"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31.0</w:t>
            </w:r>
          </w:p>
        </w:tc>
        <w:tc>
          <w:tcPr>
            <w:tcW w:w="379" w:type="pct"/>
            <w:noWrap/>
            <w:vAlign w:val="center"/>
          </w:tcPr>
          <w:p w14:paraId="26CF107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34.0</w:t>
            </w:r>
          </w:p>
        </w:tc>
        <w:tc>
          <w:tcPr>
            <w:tcW w:w="379" w:type="pct"/>
            <w:noWrap/>
            <w:vAlign w:val="center"/>
          </w:tcPr>
          <w:p w14:paraId="70B6F0A1"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35.0</w:t>
            </w:r>
          </w:p>
        </w:tc>
        <w:tc>
          <w:tcPr>
            <w:tcW w:w="378" w:type="pct"/>
            <w:noWrap/>
            <w:vAlign w:val="center"/>
          </w:tcPr>
          <w:p w14:paraId="353A3D0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34.9</w:t>
            </w:r>
          </w:p>
        </w:tc>
      </w:tr>
      <w:tr w:rsidR="004A5813" w:rsidRPr="00D23AFA" w14:paraId="45FD8B49" w14:textId="77777777" w:rsidTr="00B94D3E">
        <w:trPr>
          <w:cantSplit/>
          <w:trHeight w:val="20"/>
        </w:trPr>
        <w:tc>
          <w:tcPr>
            <w:tcW w:w="1212" w:type="pct"/>
            <w:noWrap/>
            <w:vAlign w:val="center"/>
            <w:hideMark/>
          </w:tcPr>
          <w:p w14:paraId="4B6A6BD3"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Non-Indigenous</w:t>
            </w:r>
          </w:p>
        </w:tc>
        <w:tc>
          <w:tcPr>
            <w:tcW w:w="378" w:type="pct"/>
            <w:vAlign w:val="center"/>
          </w:tcPr>
          <w:p w14:paraId="4CB74BCD"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25.2</w:t>
            </w:r>
          </w:p>
        </w:tc>
        <w:tc>
          <w:tcPr>
            <w:tcW w:w="379" w:type="pct"/>
            <w:vAlign w:val="center"/>
          </w:tcPr>
          <w:p w14:paraId="2EE3E29F"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26.3</w:t>
            </w:r>
          </w:p>
        </w:tc>
        <w:tc>
          <w:tcPr>
            <w:tcW w:w="379" w:type="pct"/>
            <w:noWrap/>
            <w:vAlign w:val="center"/>
          </w:tcPr>
          <w:p w14:paraId="7779BDDB"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26.6</w:t>
            </w:r>
          </w:p>
        </w:tc>
        <w:tc>
          <w:tcPr>
            <w:tcW w:w="379" w:type="pct"/>
            <w:noWrap/>
            <w:vAlign w:val="center"/>
          </w:tcPr>
          <w:p w14:paraId="1475816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27.7</w:t>
            </w:r>
          </w:p>
        </w:tc>
        <w:tc>
          <w:tcPr>
            <w:tcW w:w="379" w:type="pct"/>
            <w:noWrap/>
            <w:vAlign w:val="center"/>
          </w:tcPr>
          <w:p w14:paraId="7AF33100"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28.9</w:t>
            </w:r>
          </w:p>
        </w:tc>
        <w:tc>
          <w:tcPr>
            <w:tcW w:w="379" w:type="pct"/>
            <w:noWrap/>
            <w:vAlign w:val="center"/>
          </w:tcPr>
          <w:p w14:paraId="5EABB73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30.0</w:t>
            </w:r>
          </w:p>
        </w:tc>
        <w:tc>
          <w:tcPr>
            <w:tcW w:w="379" w:type="pct"/>
            <w:noWrap/>
            <w:vAlign w:val="center"/>
          </w:tcPr>
          <w:p w14:paraId="7CA1DB9A"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31.2</w:t>
            </w:r>
          </w:p>
        </w:tc>
        <w:tc>
          <w:tcPr>
            <w:tcW w:w="379" w:type="pct"/>
            <w:noWrap/>
            <w:vAlign w:val="center"/>
          </w:tcPr>
          <w:p w14:paraId="68729C7A"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33.2</w:t>
            </w:r>
          </w:p>
        </w:tc>
        <w:tc>
          <w:tcPr>
            <w:tcW w:w="379" w:type="pct"/>
            <w:noWrap/>
            <w:vAlign w:val="center"/>
          </w:tcPr>
          <w:p w14:paraId="0FE9E62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35.0</w:t>
            </w:r>
          </w:p>
        </w:tc>
        <w:tc>
          <w:tcPr>
            <w:tcW w:w="378" w:type="pct"/>
            <w:noWrap/>
            <w:vAlign w:val="center"/>
          </w:tcPr>
          <w:p w14:paraId="1B2EA32F"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35.5</w:t>
            </w:r>
          </w:p>
        </w:tc>
      </w:tr>
      <w:tr w:rsidR="003B7218" w:rsidRPr="00EB1AF3" w14:paraId="0100644A" w14:textId="77777777" w:rsidTr="003B7218">
        <w:trPr>
          <w:cantSplit/>
          <w:trHeight w:val="20"/>
        </w:trPr>
        <w:tc>
          <w:tcPr>
            <w:tcW w:w="5000" w:type="pct"/>
            <w:gridSpan w:val="11"/>
            <w:noWrap/>
            <w:vAlign w:val="center"/>
            <w:hideMark/>
          </w:tcPr>
          <w:p w14:paraId="6BDA9A61" w14:textId="3B7CD100" w:rsidR="003B7218" w:rsidRPr="00D23AFA" w:rsidRDefault="003B7218" w:rsidP="00B94D3E">
            <w:pPr>
              <w:rPr>
                <w:rFonts w:cstheme="minorHAnsi"/>
                <w:b/>
                <w:bCs/>
                <w:sz w:val="20"/>
                <w:szCs w:val="20"/>
              </w:rPr>
            </w:pPr>
            <w:r w:rsidRPr="00D23AFA">
              <w:rPr>
                <w:rFonts w:cstheme="minorHAnsi"/>
                <w:b/>
                <w:bCs/>
                <w:color w:val="000000"/>
                <w:sz w:val="20"/>
                <w:szCs w:val="20"/>
              </w:rPr>
              <w:t>Remoteness of mother's usual residence</w:t>
            </w:r>
          </w:p>
        </w:tc>
      </w:tr>
      <w:tr w:rsidR="001A7E83" w:rsidRPr="00D23AFA" w14:paraId="2D034BC8" w14:textId="77777777" w:rsidTr="00B94D3E">
        <w:trPr>
          <w:cantSplit/>
          <w:trHeight w:val="20"/>
        </w:trPr>
        <w:tc>
          <w:tcPr>
            <w:tcW w:w="1212" w:type="pct"/>
            <w:noWrap/>
            <w:vAlign w:val="center"/>
            <w:hideMark/>
          </w:tcPr>
          <w:p w14:paraId="071420FC" w14:textId="77777777" w:rsidR="001A7E83" w:rsidRPr="00D23AFA" w:rsidRDefault="001A7E83" w:rsidP="001A7E83">
            <w:pPr>
              <w:ind w:firstLineChars="100" w:firstLine="200"/>
              <w:rPr>
                <w:rFonts w:cstheme="minorHAnsi"/>
                <w:color w:val="000000"/>
                <w:sz w:val="20"/>
                <w:szCs w:val="20"/>
              </w:rPr>
            </w:pPr>
            <w:r w:rsidRPr="00D23AFA">
              <w:rPr>
                <w:rFonts w:cstheme="minorHAnsi"/>
                <w:color w:val="000000"/>
                <w:sz w:val="20"/>
                <w:szCs w:val="20"/>
              </w:rPr>
              <w:t>Major cities</w:t>
            </w:r>
          </w:p>
        </w:tc>
        <w:tc>
          <w:tcPr>
            <w:tcW w:w="378" w:type="pct"/>
          </w:tcPr>
          <w:p w14:paraId="2A421C92" w14:textId="6DDC2321"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tcPr>
          <w:p w14:paraId="454ED4C8" w14:textId="7405A815"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noWrap/>
            <w:vAlign w:val="center"/>
          </w:tcPr>
          <w:p w14:paraId="7C45E6A4"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26.4</w:t>
            </w:r>
          </w:p>
        </w:tc>
        <w:tc>
          <w:tcPr>
            <w:tcW w:w="379" w:type="pct"/>
            <w:noWrap/>
            <w:vAlign w:val="center"/>
          </w:tcPr>
          <w:p w14:paraId="20AE0BFB"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27.7</w:t>
            </w:r>
          </w:p>
        </w:tc>
        <w:tc>
          <w:tcPr>
            <w:tcW w:w="379" w:type="pct"/>
            <w:noWrap/>
            <w:vAlign w:val="center"/>
          </w:tcPr>
          <w:p w14:paraId="500E4CF6"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28.4</w:t>
            </w:r>
          </w:p>
        </w:tc>
        <w:tc>
          <w:tcPr>
            <w:tcW w:w="379" w:type="pct"/>
            <w:noWrap/>
            <w:vAlign w:val="center"/>
          </w:tcPr>
          <w:p w14:paraId="4FAB5CB9"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29.6</w:t>
            </w:r>
          </w:p>
        </w:tc>
        <w:tc>
          <w:tcPr>
            <w:tcW w:w="379" w:type="pct"/>
            <w:noWrap/>
            <w:vAlign w:val="center"/>
          </w:tcPr>
          <w:p w14:paraId="7C10F97F"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30.7</w:t>
            </w:r>
          </w:p>
        </w:tc>
        <w:tc>
          <w:tcPr>
            <w:tcW w:w="379" w:type="pct"/>
            <w:noWrap/>
            <w:vAlign w:val="center"/>
          </w:tcPr>
          <w:p w14:paraId="32408A9A"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32.7</w:t>
            </w:r>
          </w:p>
        </w:tc>
        <w:tc>
          <w:tcPr>
            <w:tcW w:w="379" w:type="pct"/>
            <w:noWrap/>
            <w:vAlign w:val="center"/>
          </w:tcPr>
          <w:p w14:paraId="71120D62"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34.4</w:t>
            </w:r>
          </w:p>
        </w:tc>
        <w:tc>
          <w:tcPr>
            <w:tcW w:w="378" w:type="pct"/>
            <w:noWrap/>
            <w:vAlign w:val="center"/>
          </w:tcPr>
          <w:p w14:paraId="5C9867D4"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35.0</w:t>
            </w:r>
          </w:p>
        </w:tc>
      </w:tr>
      <w:tr w:rsidR="001A7E83" w:rsidRPr="00D23AFA" w14:paraId="693A73A6" w14:textId="77777777" w:rsidTr="00B94D3E">
        <w:trPr>
          <w:cantSplit/>
          <w:trHeight w:val="20"/>
        </w:trPr>
        <w:tc>
          <w:tcPr>
            <w:tcW w:w="1212" w:type="pct"/>
            <w:noWrap/>
            <w:vAlign w:val="center"/>
            <w:hideMark/>
          </w:tcPr>
          <w:p w14:paraId="727EF8C4" w14:textId="77777777" w:rsidR="001A7E83" w:rsidRPr="00D23AFA" w:rsidRDefault="001A7E83" w:rsidP="001A7E83">
            <w:pPr>
              <w:ind w:firstLineChars="100" w:firstLine="200"/>
              <w:rPr>
                <w:rFonts w:cstheme="minorHAnsi"/>
                <w:color w:val="000000"/>
                <w:sz w:val="20"/>
                <w:szCs w:val="20"/>
              </w:rPr>
            </w:pPr>
            <w:r w:rsidRPr="00D23AFA">
              <w:rPr>
                <w:rFonts w:cstheme="minorHAnsi"/>
                <w:color w:val="000000"/>
                <w:sz w:val="20"/>
                <w:szCs w:val="20"/>
              </w:rPr>
              <w:t>Inner regional</w:t>
            </w:r>
          </w:p>
        </w:tc>
        <w:tc>
          <w:tcPr>
            <w:tcW w:w="378" w:type="pct"/>
          </w:tcPr>
          <w:p w14:paraId="0C1A717D" w14:textId="313C9184"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tcPr>
          <w:p w14:paraId="6D808CAB" w14:textId="180E1089"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noWrap/>
            <w:vAlign w:val="center"/>
          </w:tcPr>
          <w:p w14:paraId="77A1682A"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26.1</w:t>
            </w:r>
          </w:p>
        </w:tc>
        <w:tc>
          <w:tcPr>
            <w:tcW w:w="379" w:type="pct"/>
            <w:noWrap/>
            <w:vAlign w:val="center"/>
          </w:tcPr>
          <w:p w14:paraId="062610C4"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27.5</w:t>
            </w:r>
          </w:p>
        </w:tc>
        <w:tc>
          <w:tcPr>
            <w:tcW w:w="379" w:type="pct"/>
            <w:noWrap/>
            <w:vAlign w:val="center"/>
          </w:tcPr>
          <w:p w14:paraId="7D5DEC44"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28.6</w:t>
            </w:r>
          </w:p>
        </w:tc>
        <w:tc>
          <w:tcPr>
            <w:tcW w:w="379" w:type="pct"/>
            <w:noWrap/>
            <w:vAlign w:val="center"/>
          </w:tcPr>
          <w:p w14:paraId="173DEE55"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28.7</w:t>
            </w:r>
          </w:p>
        </w:tc>
        <w:tc>
          <w:tcPr>
            <w:tcW w:w="379" w:type="pct"/>
            <w:noWrap/>
            <w:vAlign w:val="center"/>
          </w:tcPr>
          <w:p w14:paraId="3DECEFA5"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30.4</w:t>
            </w:r>
          </w:p>
        </w:tc>
        <w:tc>
          <w:tcPr>
            <w:tcW w:w="379" w:type="pct"/>
            <w:noWrap/>
            <w:vAlign w:val="center"/>
          </w:tcPr>
          <w:p w14:paraId="45B272B2"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32.5</w:t>
            </w:r>
          </w:p>
        </w:tc>
        <w:tc>
          <w:tcPr>
            <w:tcW w:w="379" w:type="pct"/>
            <w:noWrap/>
            <w:vAlign w:val="center"/>
          </w:tcPr>
          <w:p w14:paraId="69E6E3C3"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34.0</w:t>
            </w:r>
          </w:p>
        </w:tc>
        <w:tc>
          <w:tcPr>
            <w:tcW w:w="378" w:type="pct"/>
            <w:noWrap/>
            <w:vAlign w:val="center"/>
          </w:tcPr>
          <w:p w14:paraId="59BCAC85"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34.7</w:t>
            </w:r>
          </w:p>
        </w:tc>
      </w:tr>
      <w:tr w:rsidR="001A7E83" w:rsidRPr="00D23AFA" w14:paraId="512461ED" w14:textId="77777777" w:rsidTr="00B94D3E">
        <w:trPr>
          <w:cantSplit/>
          <w:trHeight w:val="20"/>
        </w:trPr>
        <w:tc>
          <w:tcPr>
            <w:tcW w:w="1212" w:type="pct"/>
            <w:noWrap/>
            <w:vAlign w:val="center"/>
            <w:hideMark/>
          </w:tcPr>
          <w:p w14:paraId="02738A4A" w14:textId="77777777" w:rsidR="001A7E83" w:rsidRPr="00D23AFA" w:rsidRDefault="001A7E83" w:rsidP="001A7E83">
            <w:pPr>
              <w:ind w:firstLineChars="100" w:firstLine="200"/>
              <w:rPr>
                <w:rFonts w:cstheme="minorHAnsi"/>
                <w:color w:val="000000"/>
                <w:sz w:val="20"/>
                <w:szCs w:val="20"/>
              </w:rPr>
            </w:pPr>
            <w:r w:rsidRPr="00D23AFA">
              <w:rPr>
                <w:rFonts w:cstheme="minorHAnsi"/>
                <w:color w:val="000000"/>
                <w:sz w:val="20"/>
                <w:szCs w:val="20"/>
              </w:rPr>
              <w:t>Outer regional</w:t>
            </w:r>
          </w:p>
        </w:tc>
        <w:tc>
          <w:tcPr>
            <w:tcW w:w="378" w:type="pct"/>
          </w:tcPr>
          <w:p w14:paraId="258CEA56" w14:textId="7BA73769"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tcPr>
          <w:p w14:paraId="2A06BA97" w14:textId="6E9D289D"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noWrap/>
            <w:vAlign w:val="center"/>
          </w:tcPr>
          <w:p w14:paraId="5F30F910"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26.3</w:t>
            </w:r>
          </w:p>
        </w:tc>
        <w:tc>
          <w:tcPr>
            <w:tcW w:w="379" w:type="pct"/>
            <w:noWrap/>
            <w:vAlign w:val="center"/>
          </w:tcPr>
          <w:p w14:paraId="74CFBC37"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27.0</w:t>
            </w:r>
          </w:p>
        </w:tc>
        <w:tc>
          <w:tcPr>
            <w:tcW w:w="379" w:type="pct"/>
            <w:noWrap/>
            <w:vAlign w:val="center"/>
          </w:tcPr>
          <w:p w14:paraId="60748F47"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27.8</w:t>
            </w:r>
          </w:p>
        </w:tc>
        <w:tc>
          <w:tcPr>
            <w:tcW w:w="379" w:type="pct"/>
            <w:noWrap/>
            <w:vAlign w:val="center"/>
          </w:tcPr>
          <w:p w14:paraId="72A97606"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29.1</w:t>
            </w:r>
          </w:p>
        </w:tc>
        <w:tc>
          <w:tcPr>
            <w:tcW w:w="379" w:type="pct"/>
            <w:noWrap/>
            <w:vAlign w:val="center"/>
          </w:tcPr>
          <w:p w14:paraId="6A21BF36"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29.2</w:t>
            </w:r>
          </w:p>
        </w:tc>
        <w:tc>
          <w:tcPr>
            <w:tcW w:w="379" w:type="pct"/>
            <w:noWrap/>
            <w:vAlign w:val="center"/>
          </w:tcPr>
          <w:p w14:paraId="2BB15E59"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31.2</w:t>
            </w:r>
          </w:p>
        </w:tc>
        <w:tc>
          <w:tcPr>
            <w:tcW w:w="379" w:type="pct"/>
            <w:noWrap/>
            <w:vAlign w:val="center"/>
          </w:tcPr>
          <w:p w14:paraId="4E7D4D1B"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32.7</w:t>
            </w:r>
          </w:p>
        </w:tc>
        <w:tc>
          <w:tcPr>
            <w:tcW w:w="378" w:type="pct"/>
            <w:noWrap/>
            <w:vAlign w:val="center"/>
          </w:tcPr>
          <w:p w14:paraId="3803D74E"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32.7</w:t>
            </w:r>
          </w:p>
        </w:tc>
      </w:tr>
      <w:tr w:rsidR="001A7E83" w:rsidRPr="00D23AFA" w14:paraId="4AAFE30F" w14:textId="77777777" w:rsidTr="00B94D3E">
        <w:trPr>
          <w:cantSplit/>
          <w:trHeight w:val="20"/>
        </w:trPr>
        <w:tc>
          <w:tcPr>
            <w:tcW w:w="1212" w:type="pct"/>
            <w:noWrap/>
            <w:vAlign w:val="center"/>
            <w:hideMark/>
          </w:tcPr>
          <w:p w14:paraId="7BCD90F8" w14:textId="77777777" w:rsidR="001A7E83" w:rsidRPr="00D23AFA" w:rsidRDefault="001A7E83" w:rsidP="001A7E83">
            <w:pPr>
              <w:ind w:firstLineChars="100" w:firstLine="200"/>
              <w:rPr>
                <w:rFonts w:cstheme="minorHAnsi"/>
                <w:color w:val="000000"/>
                <w:sz w:val="20"/>
                <w:szCs w:val="20"/>
              </w:rPr>
            </w:pPr>
            <w:r w:rsidRPr="00D23AFA">
              <w:rPr>
                <w:rFonts w:cstheme="minorHAnsi"/>
                <w:color w:val="000000"/>
                <w:sz w:val="20"/>
                <w:szCs w:val="20"/>
              </w:rPr>
              <w:t>Remote</w:t>
            </w:r>
          </w:p>
        </w:tc>
        <w:tc>
          <w:tcPr>
            <w:tcW w:w="378" w:type="pct"/>
          </w:tcPr>
          <w:p w14:paraId="183F6C10" w14:textId="5905BBC4"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tcPr>
          <w:p w14:paraId="54215FED" w14:textId="1E2C0EDD"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noWrap/>
            <w:vAlign w:val="center"/>
          </w:tcPr>
          <w:p w14:paraId="1F69F731"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27.5</w:t>
            </w:r>
          </w:p>
        </w:tc>
        <w:tc>
          <w:tcPr>
            <w:tcW w:w="379" w:type="pct"/>
            <w:noWrap/>
            <w:vAlign w:val="center"/>
          </w:tcPr>
          <w:p w14:paraId="3F3CE273"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27.5</w:t>
            </w:r>
          </w:p>
        </w:tc>
        <w:tc>
          <w:tcPr>
            <w:tcW w:w="379" w:type="pct"/>
            <w:noWrap/>
            <w:vAlign w:val="center"/>
          </w:tcPr>
          <w:p w14:paraId="1DC832D7"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27.8</w:t>
            </w:r>
          </w:p>
        </w:tc>
        <w:tc>
          <w:tcPr>
            <w:tcW w:w="379" w:type="pct"/>
            <w:noWrap/>
            <w:vAlign w:val="center"/>
          </w:tcPr>
          <w:p w14:paraId="24532C83"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27.1</w:t>
            </w:r>
          </w:p>
        </w:tc>
        <w:tc>
          <w:tcPr>
            <w:tcW w:w="379" w:type="pct"/>
            <w:noWrap/>
            <w:vAlign w:val="center"/>
          </w:tcPr>
          <w:p w14:paraId="25DF5F3B"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30.0</w:t>
            </w:r>
          </w:p>
        </w:tc>
        <w:tc>
          <w:tcPr>
            <w:tcW w:w="379" w:type="pct"/>
            <w:noWrap/>
            <w:vAlign w:val="center"/>
          </w:tcPr>
          <w:p w14:paraId="05551269"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30.0</w:t>
            </w:r>
          </w:p>
        </w:tc>
        <w:tc>
          <w:tcPr>
            <w:tcW w:w="379" w:type="pct"/>
            <w:noWrap/>
            <w:vAlign w:val="center"/>
          </w:tcPr>
          <w:p w14:paraId="2BAFED8F"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32.4</w:t>
            </w:r>
          </w:p>
        </w:tc>
        <w:tc>
          <w:tcPr>
            <w:tcW w:w="378" w:type="pct"/>
            <w:noWrap/>
            <w:vAlign w:val="center"/>
          </w:tcPr>
          <w:p w14:paraId="17394F42"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31.9</w:t>
            </w:r>
          </w:p>
        </w:tc>
      </w:tr>
      <w:tr w:rsidR="001A7E83" w:rsidRPr="00D23AFA" w14:paraId="4209A7C1" w14:textId="77777777" w:rsidTr="00B94D3E">
        <w:trPr>
          <w:cantSplit/>
          <w:trHeight w:val="20"/>
        </w:trPr>
        <w:tc>
          <w:tcPr>
            <w:tcW w:w="1212" w:type="pct"/>
            <w:noWrap/>
            <w:vAlign w:val="center"/>
            <w:hideMark/>
          </w:tcPr>
          <w:p w14:paraId="58A6A019" w14:textId="77777777" w:rsidR="001A7E83" w:rsidRPr="00D23AFA" w:rsidRDefault="001A7E83" w:rsidP="001A7E83">
            <w:pPr>
              <w:ind w:firstLineChars="100" w:firstLine="200"/>
              <w:rPr>
                <w:rFonts w:cstheme="minorHAnsi"/>
                <w:color w:val="000000"/>
                <w:sz w:val="20"/>
                <w:szCs w:val="20"/>
              </w:rPr>
            </w:pPr>
            <w:r w:rsidRPr="00D23AFA">
              <w:rPr>
                <w:rFonts w:cstheme="minorHAnsi"/>
                <w:color w:val="000000"/>
                <w:sz w:val="20"/>
                <w:szCs w:val="20"/>
              </w:rPr>
              <w:t>Very remote</w:t>
            </w:r>
          </w:p>
        </w:tc>
        <w:tc>
          <w:tcPr>
            <w:tcW w:w="378" w:type="pct"/>
          </w:tcPr>
          <w:p w14:paraId="0B58BD45" w14:textId="66555E0B"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tcPr>
          <w:p w14:paraId="6661BFE7" w14:textId="1B4309A2" w:rsidR="001A7E83" w:rsidRPr="00204418" w:rsidRDefault="001A7E83" w:rsidP="001A7E83">
            <w:pPr>
              <w:jc w:val="right"/>
              <w:rPr>
                <w:rFonts w:cstheme="minorHAnsi"/>
                <w:color w:val="000000"/>
                <w:sz w:val="20"/>
                <w:szCs w:val="20"/>
              </w:rPr>
            </w:pPr>
            <w:r w:rsidRPr="004144F4">
              <w:rPr>
                <w:rFonts w:cstheme="minorHAnsi"/>
                <w:color w:val="000000"/>
                <w:sz w:val="20"/>
                <w:szCs w:val="20"/>
              </w:rPr>
              <w:t>n.a.</w:t>
            </w:r>
          </w:p>
        </w:tc>
        <w:tc>
          <w:tcPr>
            <w:tcW w:w="379" w:type="pct"/>
            <w:noWrap/>
            <w:vAlign w:val="center"/>
          </w:tcPr>
          <w:p w14:paraId="4F0BF7D4"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25.3</w:t>
            </w:r>
          </w:p>
        </w:tc>
        <w:tc>
          <w:tcPr>
            <w:tcW w:w="379" w:type="pct"/>
            <w:noWrap/>
            <w:vAlign w:val="center"/>
          </w:tcPr>
          <w:p w14:paraId="192F63F9"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25.9</w:t>
            </w:r>
          </w:p>
        </w:tc>
        <w:tc>
          <w:tcPr>
            <w:tcW w:w="379" w:type="pct"/>
            <w:noWrap/>
            <w:vAlign w:val="center"/>
          </w:tcPr>
          <w:p w14:paraId="4A1B06C5"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27.6</w:t>
            </w:r>
          </w:p>
        </w:tc>
        <w:tc>
          <w:tcPr>
            <w:tcW w:w="379" w:type="pct"/>
            <w:noWrap/>
            <w:vAlign w:val="center"/>
          </w:tcPr>
          <w:p w14:paraId="09DFA011"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27.9</w:t>
            </w:r>
          </w:p>
        </w:tc>
        <w:tc>
          <w:tcPr>
            <w:tcW w:w="379" w:type="pct"/>
            <w:noWrap/>
            <w:vAlign w:val="center"/>
          </w:tcPr>
          <w:p w14:paraId="630C6040"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28.4</w:t>
            </w:r>
          </w:p>
        </w:tc>
        <w:tc>
          <w:tcPr>
            <w:tcW w:w="379" w:type="pct"/>
            <w:noWrap/>
            <w:vAlign w:val="center"/>
          </w:tcPr>
          <w:p w14:paraId="6CD55A4E"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28.4</w:t>
            </w:r>
          </w:p>
        </w:tc>
        <w:tc>
          <w:tcPr>
            <w:tcW w:w="379" w:type="pct"/>
            <w:noWrap/>
            <w:vAlign w:val="center"/>
          </w:tcPr>
          <w:p w14:paraId="4FF6411F"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32.4</w:t>
            </w:r>
          </w:p>
        </w:tc>
        <w:tc>
          <w:tcPr>
            <w:tcW w:w="378" w:type="pct"/>
            <w:noWrap/>
            <w:vAlign w:val="center"/>
          </w:tcPr>
          <w:p w14:paraId="352D138F" w14:textId="77777777" w:rsidR="001A7E83" w:rsidRPr="00D23AFA" w:rsidRDefault="001A7E83" w:rsidP="001A7E83">
            <w:pPr>
              <w:jc w:val="right"/>
              <w:rPr>
                <w:rFonts w:cstheme="minorHAnsi"/>
                <w:color w:val="000000"/>
                <w:sz w:val="20"/>
                <w:szCs w:val="20"/>
              </w:rPr>
            </w:pPr>
            <w:r w:rsidRPr="00204418">
              <w:rPr>
                <w:rFonts w:cstheme="minorHAnsi"/>
                <w:color w:val="000000"/>
                <w:sz w:val="20"/>
                <w:szCs w:val="20"/>
              </w:rPr>
              <w:t>32.4</w:t>
            </w:r>
          </w:p>
        </w:tc>
      </w:tr>
      <w:tr w:rsidR="003B7218" w:rsidRPr="00EB1AF3" w14:paraId="07C0CDCE" w14:textId="77777777" w:rsidTr="003B7218">
        <w:trPr>
          <w:cantSplit/>
          <w:trHeight w:val="20"/>
        </w:trPr>
        <w:tc>
          <w:tcPr>
            <w:tcW w:w="5000" w:type="pct"/>
            <w:gridSpan w:val="11"/>
            <w:noWrap/>
            <w:vAlign w:val="center"/>
            <w:hideMark/>
          </w:tcPr>
          <w:p w14:paraId="6B07F220" w14:textId="2B9DBD20" w:rsidR="003B7218" w:rsidRPr="00D23AFA" w:rsidRDefault="003B7218" w:rsidP="00B94D3E">
            <w:pPr>
              <w:rPr>
                <w:rFonts w:cstheme="minorHAnsi"/>
                <w:b/>
                <w:bCs/>
                <w:sz w:val="20"/>
                <w:szCs w:val="20"/>
              </w:rPr>
            </w:pPr>
            <w:r w:rsidRPr="00D23AFA">
              <w:rPr>
                <w:rFonts w:cstheme="minorHAnsi"/>
                <w:b/>
                <w:bCs/>
                <w:color w:val="000000"/>
                <w:sz w:val="20"/>
                <w:szCs w:val="20"/>
              </w:rPr>
              <w:t>Hospital sector</w:t>
            </w:r>
          </w:p>
        </w:tc>
      </w:tr>
      <w:tr w:rsidR="004A5813" w:rsidRPr="00D23AFA" w14:paraId="0A293EED" w14:textId="77777777" w:rsidTr="00B94D3E">
        <w:trPr>
          <w:cantSplit/>
          <w:trHeight w:val="20"/>
        </w:trPr>
        <w:tc>
          <w:tcPr>
            <w:tcW w:w="1212" w:type="pct"/>
            <w:noWrap/>
            <w:vAlign w:val="center"/>
            <w:hideMark/>
          </w:tcPr>
          <w:p w14:paraId="0AA41907"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Private</w:t>
            </w:r>
          </w:p>
        </w:tc>
        <w:tc>
          <w:tcPr>
            <w:tcW w:w="378" w:type="pct"/>
            <w:vAlign w:val="center"/>
          </w:tcPr>
          <w:p w14:paraId="5460D611"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28.3</w:t>
            </w:r>
          </w:p>
        </w:tc>
        <w:tc>
          <w:tcPr>
            <w:tcW w:w="379" w:type="pct"/>
            <w:vAlign w:val="center"/>
          </w:tcPr>
          <w:p w14:paraId="220130AE"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29.0</w:t>
            </w:r>
          </w:p>
        </w:tc>
        <w:tc>
          <w:tcPr>
            <w:tcW w:w="379" w:type="pct"/>
            <w:noWrap/>
            <w:vAlign w:val="center"/>
          </w:tcPr>
          <w:p w14:paraId="22B54945"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28.5</w:t>
            </w:r>
          </w:p>
        </w:tc>
        <w:tc>
          <w:tcPr>
            <w:tcW w:w="379" w:type="pct"/>
            <w:noWrap/>
            <w:vAlign w:val="center"/>
          </w:tcPr>
          <w:p w14:paraId="1FC8AF8A"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29.4</w:t>
            </w:r>
          </w:p>
        </w:tc>
        <w:tc>
          <w:tcPr>
            <w:tcW w:w="379" w:type="pct"/>
            <w:noWrap/>
            <w:vAlign w:val="center"/>
          </w:tcPr>
          <w:p w14:paraId="710301F1"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29.8</w:t>
            </w:r>
          </w:p>
        </w:tc>
        <w:tc>
          <w:tcPr>
            <w:tcW w:w="379" w:type="pct"/>
            <w:noWrap/>
            <w:vAlign w:val="center"/>
          </w:tcPr>
          <w:p w14:paraId="1B6E7F5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30.5</w:t>
            </w:r>
          </w:p>
        </w:tc>
        <w:tc>
          <w:tcPr>
            <w:tcW w:w="379" w:type="pct"/>
            <w:noWrap/>
            <w:vAlign w:val="center"/>
          </w:tcPr>
          <w:p w14:paraId="791767E5"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30.6</w:t>
            </w:r>
          </w:p>
        </w:tc>
        <w:tc>
          <w:tcPr>
            <w:tcW w:w="379" w:type="pct"/>
            <w:noWrap/>
            <w:vAlign w:val="center"/>
          </w:tcPr>
          <w:p w14:paraId="11F9A6BE"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31.8</w:t>
            </w:r>
          </w:p>
        </w:tc>
        <w:tc>
          <w:tcPr>
            <w:tcW w:w="379" w:type="pct"/>
            <w:noWrap/>
            <w:vAlign w:val="center"/>
          </w:tcPr>
          <w:p w14:paraId="317E85E4"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33.2</w:t>
            </w:r>
          </w:p>
        </w:tc>
        <w:tc>
          <w:tcPr>
            <w:tcW w:w="378" w:type="pct"/>
            <w:noWrap/>
            <w:vAlign w:val="center"/>
          </w:tcPr>
          <w:p w14:paraId="5DE33E83"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34.4</w:t>
            </w:r>
          </w:p>
        </w:tc>
      </w:tr>
      <w:tr w:rsidR="004A5813" w:rsidRPr="00D23AFA" w14:paraId="24C433F1" w14:textId="77777777" w:rsidTr="00B94D3E">
        <w:trPr>
          <w:cantSplit/>
          <w:trHeight w:val="20"/>
        </w:trPr>
        <w:tc>
          <w:tcPr>
            <w:tcW w:w="1212" w:type="pct"/>
            <w:noWrap/>
            <w:vAlign w:val="center"/>
            <w:hideMark/>
          </w:tcPr>
          <w:p w14:paraId="6B5FB148" w14:textId="77777777" w:rsidR="004A5813" w:rsidRPr="00D23AFA" w:rsidRDefault="004A5813" w:rsidP="00AF0ADF">
            <w:pPr>
              <w:ind w:firstLineChars="100" w:firstLine="200"/>
              <w:rPr>
                <w:rFonts w:cstheme="minorHAnsi"/>
                <w:color w:val="000000"/>
                <w:sz w:val="20"/>
                <w:szCs w:val="20"/>
              </w:rPr>
            </w:pPr>
            <w:r w:rsidRPr="00D23AFA">
              <w:rPr>
                <w:rFonts w:cstheme="minorHAnsi"/>
                <w:color w:val="000000"/>
                <w:sz w:val="20"/>
                <w:szCs w:val="20"/>
              </w:rPr>
              <w:t>Public</w:t>
            </w:r>
          </w:p>
        </w:tc>
        <w:tc>
          <w:tcPr>
            <w:tcW w:w="378" w:type="pct"/>
            <w:vAlign w:val="center"/>
          </w:tcPr>
          <w:p w14:paraId="51211748"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24.9</w:t>
            </w:r>
          </w:p>
        </w:tc>
        <w:tc>
          <w:tcPr>
            <w:tcW w:w="379" w:type="pct"/>
            <w:vAlign w:val="center"/>
          </w:tcPr>
          <w:p w14:paraId="7D87165F" w14:textId="77777777" w:rsidR="004A5813" w:rsidRPr="00204418" w:rsidRDefault="004A5813" w:rsidP="00AF0ADF">
            <w:pPr>
              <w:jc w:val="right"/>
              <w:rPr>
                <w:rFonts w:cstheme="minorHAnsi"/>
                <w:color w:val="000000"/>
                <w:sz w:val="20"/>
                <w:szCs w:val="20"/>
              </w:rPr>
            </w:pPr>
            <w:r w:rsidRPr="00204418">
              <w:rPr>
                <w:rFonts w:cstheme="minorHAnsi"/>
                <w:color w:val="000000"/>
                <w:sz w:val="20"/>
                <w:szCs w:val="20"/>
              </w:rPr>
              <w:t>25.8</w:t>
            </w:r>
          </w:p>
        </w:tc>
        <w:tc>
          <w:tcPr>
            <w:tcW w:w="379" w:type="pct"/>
            <w:noWrap/>
            <w:vAlign w:val="center"/>
          </w:tcPr>
          <w:p w14:paraId="427225F6"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26.4</w:t>
            </w:r>
          </w:p>
        </w:tc>
        <w:tc>
          <w:tcPr>
            <w:tcW w:w="379" w:type="pct"/>
            <w:noWrap/>
            <w:vAlign w:val="center"/>
          </w:tcPr>
          <w:p w14:paraId="30271420"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27.7</w:t>
            </w:r>
          </w:p>
        </w:tc>
        <w:tc>
          <w:tcPr>
            <w:tcW w:w="379" w:type="pct"/>
            <w:noWrap/>
            <w:vAlign w:val="center"/>
          </w:tcPr>
          <w:p w14:paraId="663BED95"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28.7</w:t>
            </w:r>
          </w:p>
        </w:tc>
        <w:tc>
          <w:tcPr>
            <w:tcW w:w="379" w:type="pct"/>
            <w:noWrap/>
            <w:vAlign w:val="center"/>
          </w:tcPr>
          <w:p w14:paraId="241664CB"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29.8</w:t>
            </w:r>
          </w:p>
        </w:tc>
        <w:tc>
          <w:tcPr>
            <w:tcW w:w="379" w:type="pct"/>
            <w:noWrap/>
            <w:vAlign w:val="center"/>
          </w:tcPr>
          <w:p w14:paraId="0A25764C"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31.3</w:t>
            </w:r>
          </w:p>
        </w:tc>
        <w:tc>
          <w:tcPr>
            <w:tcW w:w="379" w:type="pct"/>
            <w:noWrap/>
            <w:vAlign w:val="center"/>
          </w:tcPr>
          <w:p w14:paraId="5A37FE13"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33.7</w:t>
            </w:r>
          </w:p>
        </w:tc>
        <w:tc>
          <w:tcPr>
            <w:tcW w:w="379" w:type="pct"/>
            <w:noWrap/>
            <w:vAlign w:val="center"/>
          </w:tcPr>
          <w:p w14:paraId="311B0F25"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35.5</w:t>
            </w:r>
          </w:p>
        </w:tc>
        <w:tc>
          <w:tcPr>
            <w:tcW w:w="378" w:type="pct"/>
            <w:noWrap/>
            <w:vAlign w:val="center"/>
          </w:tcPr>
          <w:p w14:paraId="7620DC06" w14:textId="77777777" w:rsidR="004A5813" w:rsidRPr="00D23AFA" w:rsidRDefault="004A5813" w:rsidP="00AF0ADF">
            <w:pPr>
              <w:jc w:val="right"/>
              <w:rPr>
                <w:rFonts w:cstheme="minorHAnsi"/>
                <w:color w:val="000000"/>
                <w:sz w:val="20"/>
                <w:szCs w:val="20"/>
              </w:rPr>
            </w:pPr>
            <w:r w:rsidRPr="00204418">
              <w:rPr>
                <w:rFonts w:cstheme="minorHAnsi"/>
                <w:color w:val="000000"/>
                <w:sz w:val="20"/>
                <w:szCs w:val="20"/>
              </w:rPr>
              <w:t>35.8</w:t>
            </w:r>
          </w:p>
        </w:tc>
      </w:tr>
    </w:tbl>
    <w:p w14:paraId="1FA7C4B8" w14:textId="3D708FAA" w:rsidR="00B94D3E" w:rsidRDefault="001A7E83" w:rsidP="00940A8B">
      <w:pPr>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3123B9">
        <w:rPr>
          <w:sz w:val="18"/>
          <w:szCs w:val="18"/>
        </w:rPr>
        <w:t>.</w:t>
      </w:r>
    </w:p>
    <w:p w14:paraId="4B34C1C8" w14:textId="77777777" w:rsidR="00B94D3E" w:rsidRDefault="00B94D3E" w:rsidP="00940A8B">
      <w:pPr>
        <w:rPr>
          <w:sz w:val="18"/>
          <w:szCs w:val="18"/>
        </w:rPr>
      </w:pPr>
    </w:p>
    <w:p w14:paraId="3D98596F" w14:textId="66F7CB07" w:rsidR="00940A8B" w:rsidRPr="00940A8B" w:rsidRDefault="00940A8B" w:rsidP="00940A8B">
      <w:pPr>
        <w:rPr>
          <w:b/>
          <w:bCs/>
          <w:sz w:val="18"/>
          <w:szCs w:val="18"/>
        </w:rPr>
      </w:pPr>
      <w:r w:rsidRPr="00940A8B">
        <w:rPr>
          <w:b/>
          <w:bCs/>
          <w:sz w:val="18"/>
          <w:szCs w:val="18"/>
        </w:rPr>
        <w:t>Data notes</w:t>
      </w:r>
    </w:p>
    <w:p w14:paraId="0093E9EF" w14:textId="77777777" w:rsidR="00AF0ADF" w:rsidRPr="00940A8B" w:rsidRDefault="00AF0ADF" w:rsidP="008D3FB5">
      <w:pPr>
        <w:pStyle w:val="pf0"/>
        <w:numPr>
          <w:ilvl w:val="0"/>
          <w:numId w:val="31"/>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'Induced' may include cases where induction of labour was attempted but labour did not result.</w:t>
      </w:r>
    </w:p>
    <w:p w14:paraId="458220FC" w14:textId="77777777" w:rsidR="00AF0ADF" w:rsidRPr="00940A8B" w:rsidRDefault="00AF0ADF" w:rsidP="008D3FB5">
      <w:pPr>
        <w:pStyle w:val="pf0"/>
        <w:numPr>
          <w:ilvl w:val="0"/>
          <w:numId w:val="31"/>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Country of birth (mother): Prior to 2012, data were mapped to the ABS 2008 Standard Australian Classification of Countries (SACC). Between 2012 and 2016, data were mapped to the ABS 2011 SACC. From 2017, data were mapped to the ABS 2016 SACC, with the exception of Qld which used the ABS 2011 SACC until 30 June 2017.</w:t>
      </w:r>
    </w:p>
    <w:p w14:paraId="2C382F01" w14:textId="77777777" w:rsidR="00AF0ADF" w:rsidRPr="00940A8B" w:rsidRDefault="00AF0ADF" w:rsidP="008D3FB5">
      <w:pPr>
        <w:pStyle w:val="pf0"/>
        <w:numPr>
          <w:ilvl w:val="0"/>
          <w:numId w:val="31"/>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Hospital sector: Includes women who gave birth in hospital only (excludes birth centres attached to hospitals).</w:t>
      </w:r>
    </w:p>
    <w:p w14:paraId="026FF4EF" w14:textId="77777777" w:rsidR="00AF0ADF" w:rsidRPr="00715F24" w:rsidRDefault="00AF0ADF" w:rsidP="008D3FB5">
      <w:pPr>
        <w:pStyle w:val="pf0"/>
        <w:numPr>
          <w:ilvl w:val="0"/>
          <w:numId w:val="31"/>
        </w:numPr>
        <w:spacing w:before="0" w:beforeAutospacing="0" w:after="0" w:afterAutospacing="0"/>
        <w:ind w:left="284" w:hanging="284"/>
        <w:rPr>
          <w:rFonts w:asciiTheme="minorHAnsi" w:hAnsiTheme="minorHAnsi" w:cstheme="minorHAnsi"/>
          <w:sz w:val="18"/>
          <w:szCs w:val="18"/>
        </w:rPr>
      </w:pPr>
      <w:r w:rsidRPr="00940A8B">
        <w:rPr>
          <w:rFonts w:asciiTheme="minorHAnsi" w:hAnsiTheme="minorHAnsi"/>
          <w:sz w:val="18"/>
          <w:szCs w:val="18"/>
        </w:rPr>
        <w:t xml:space="preserve">Indigenous status (mother, age-standardised): Percentages are directly age-standardised using the 30 June 2001 Australian female Estimated Resident </w:t>
      </w:r>
      <w:r w:rsidRPr="00715F24">
        <w:rPr>
          <w:rFonts w:asciiTheme="minorHAnsi" w:hAnsiTheme="minorHAnsi" w:cstheme="minorHAnsi"/>
          <w:sz w:val="18"/>
          <w:szCs w:val="18"/>
        </w:rPr>
        <w:t>Population (ERP) aged 15–44 as the standard population. Five-year age groups are used for age-standardisation. The lowest age group was 15–19 years and the highest was 40–44 years.</w:t>
      </w:r>
    </w:p>
    <w:p w14:paraId="58D8C652" w14:textId="77777777" w:rsidR="00B94D3E" w:rsidRPr="00B94D3E" w:rsidRDefault="00AF0ADF" w:rsidP="008D3FB5">
      <w:pPr>
        <w:pStyle w:val="pf0"/>
        <w:numPr>
          <w:ilvl w:val="0"/>
          <w:numId w:val="31"/>
        </w:numPr>
        <w:spacing w:before="0" w:beforeAutospacing="0" w:after="0" w:afterAutospacing="0"/>
        <w:ind w:left="284" w:hanging="284"/>
        <w:rPr>
          <w:rFonts w:asciiTheme="minorHAnsi" w:hAnsiTheme="minorHAnsi" w:cstheme="minorHAnsi"/>
          <w:sz w:val="18"/>
          <w:szCs w:val="18"/>
        </w:rPr>
      </w:pPr>
      <w:r w:rsidRPr="00715F24">
        <w:rPr>
          <w:rFonts w:asciiTheme="minorHAnsi" w:hAnsiTheme="minorHAnsi" w:cstheme="minorHAnsi"/>
          <w:sz w:val="18"/>
          <w:szCs w:val="18"/>
        </w:rPr>
        <w:t>Remoteness area: 1. Between 2012 and 2016, Remoteness area derived by applying ABS 2011 Australian Statistical Geography Standard (ASGS) to area of mother’s usual residence. From 2017, Remoteness area derived by applying ABS 2016 ASGS. Remoteness area only calculated where geographic area of usual residence was provided. Excludes mothers not usually resident in Australia and those whose state or territory of usual residence was ‘Not stated’. 2. Data may not add to the total due to rounding.</w:t>
      </w:r>
    </w:p>
    <w:p w14:paraId="00CBC0B5" w14:textId="0822F04E" w:rsidR="00AF0ADF" w:rsidRPr="00C459D0" w:rsidRDefault="00715F24" w:rsidP="00AF0ADF">
      <w:pPr>
        <w:pStyle w:val="pf0"/>
        <w:numPr>
          <w:ilvl w:val="0"/>
          <w:numId w:val="31"/>
        </w:numPr>
        <w:spacing w:before="0" w:beforeAutospacing="0" w:after="0" w:afterAutospacing="0"/>
        <w:ind w:left="284" w:hanging="284"/>
        <w:rPr>
          <w:rFonts w:cstheme="minorHAnsi"/>
          <w:sz w:val="18"/>
          <w:szCs w:val="18"/>
        </w:rPr>
      </w:pPr>
      <w:r w:rsidRPr="00B94D3E">
        <w:rPr>
          <w:rFonts w:asciiTheme="minorHAnsi" w:hAnsiTheme="minorHAnsi" w:cstheme="minorHAnsi"/>
          <w:sz w:val="18"/>
          <w:szCs w:val="18"/>
        </w:rPr>
        <w:t>Source: AIHW analysis of National Perinatal Data Collection. National Perinatal Data Collection annual update 2020—data tables</w:t>
      </w:r>
    </w:p>
    <w:p w14:paraId="373DCB90" w14:textId="77777777" w:rsidR="00940A8B" w:rsidRDefault="00940A8B" w:rsidP="00B94D3E">
      <w:bookmarkStart w:id="418" w:name="_Ref117123131"/>
      <w:r>
        <w:br w:type="page"/>
      </w:r>
    </w:p>
    <w:p w14:paraId="23AC7F60" w14:textId="7AD5140A" w:rsidR="00AF0ADF" w:rsidRPr="0054118D" w:rsidRDefault="00AF0ADF" w:rsidP="00AF0ADF">
      <w:pPr>
        <w:pStyle w:val="Caption"/>
        <w:rPr>
          <w:sz w:val="20"/>
          <w:szCs w:val="20"/>
        </w:rPr>
      </w:pPr>
      <w:bookmarkStart w:id="419" w:name="_Ref117927730"/>
      <w:bookmarkStart w:id="420" w:name="_Toc121429192"/>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16</w:t>
      </w:r>
      <w:r w:rsidR="00A64FC5" w:rsidRPr="0054118D">
        <w:rPr>
          <w:noProof/>
          <w:sz w:val="20"/>
          <w:szCs w:val="20"/>
        </w:rPr>
        <w:fldChar w:fldCharType="end"/>
      </w:r>
      <w:bookmarkEnd w:id="418"/>
      <w:bookmarkEnd w:id="419"/>
      <w:r w:rsidRPr="0054118D">
        <w:rPr>
          <w:sz w:val="20"/>
          <w:szCs w:val="20"/>
        </w:rPr>
        <w:tab/>
        <w:t>No labour, 2010–</w:t>
      </w:r>
      <w:r w:rsidR="004A5813" w:rsidRPr="0054118D">
        <w:rPr>
          <w:sz w:val="20"/>
          <w:szCs w:val="20"/>
        </w:rPr>
        <w:t>2019</w:t>
      </w:r>
      <w:bookmarkEnd w:id="420"/>
    </w:p>
    <w:tbl>
      <w:tblPr>
        <w:tblStyle w:val="TableGrid"/>
        <w:tblW w:w="4648" w:type="pct"/>
        <w:tblLayout w:type="fixed"/>
        <w:tblLook w:val="04A0" w:firstRow="1" w:lastRow="0" w:firstColumn="1" w:lastColumn="0" w:noHBand="0" w:noVBand="1"/>
      </w:tblPr>
      <w:tblGrid>
        <w:gridCol w:w="2223"/>
        <w:gridCol w:w="695"/>
        <w:gridCol w:w="695"/>
        <w:gridCol w:w="695"/>
        <w:gridCol w:w="694"/>
        <w:gridCol w:w="694"/>
        <w:gridCol w:w="694"/>
        <w:gridCol w:w="694"/>
        <w:gridCol w:w="694"/>
        <w:gridCol w:w="694"/>
        <w:gridCol w:w="689"/>
      </w:tblGrid>
      <w:tr w:rsidR="001D4600" w:rsidRPr="00EB1AF3" w14:paraId="3D2C5C5F" w14:textId="77777777" w:rsidTr="00B94D3E">
        <w:trPr>
          <w:cantSplit/>
          <w:trHeight w:val="20"/>
          <w:tblHeader/>
        </w:trPr>
        <w:tc>
          <w:tcPr>
            <w:tcW w:w="1213" w:type="pct"/>
            <w:noWrap/>
            <w:vAlign w:val="center"/>
            <w:hideMark/>
          </w:tcPr>
          <w:p w14:paraId="2B9F5261" w14:textId="77777777" w:rsidR="001D4600" w:rsidRPr="00D23AFA" w:rsidRDefault="001D4600" w:rsidP="00AF0ADF">
            <w:pPr>
              <w:ind w:firstLineChars="100" w:firstLine="201"/>
              <w:rPr>
                <w:rFonts w:cstheme="minorHAnsi"/>
                <w:b/>
                <w:bCs/>
                <w:color w:val="000000"/>
                <w:sz w:val="20"/>
                <w:szCs w:val="20"/>
              </w:rPr>
            </w:pPr>
          </w:p>
        </w:tc>
        <w:tc>
          <w:tcPr>
            <w:tcW w:w="379" w:type="pct"/>
            <w:vAlign w:val="center"/>
          </w:tcPr>
          <w:p w14:paraId="1A2823AD" w14:textId="77777777" w:rsidR="001D4600" w:rsidRPr="00D23AFA" w:rsidRDefault="001D4600" w:rsidP="00B94D3E">
            <w:pPr>
              <w:jc w:val="center"/>
              <w:rPr>
                <w:rFonts w:cstheme="minorHAnsi"/>
                <w:b/>
                <w:bCs/>
                <w:color w:val="000000"/>
                <w:sz w:val="20"/>
                <w:szCs w:val="20"/>
              </w:rPr>
            </w:pPr>
            <w:r>
              <w:rPr>
                <w:rFonts w:cstheme="minorHAnsi"/>
                <w:b/>
                <w:bCs/>
                <w:color w:val="000000"/>
                <w:sz w:val="20"/>
                <w:szCs w:val="20"/>
              </w:rPr>
              <w:t>2010</w:t>
            </w:r>
          </w:p>
        </w:tc>
        <w:tc>
          <w:tcPr>
            <w:tcW w:w="379" w:type="pct"/>
            <w:vAlign w:val="center"/>
          </w:tcPr>
          <w:p w14:paraId="10ED6A2C" w14:textId="77777777" w:rsidR="001D4600" w:rsidRPr="00D23AFA" w:rsidRDefault="001D4600" w:rsidP="00B94D3E">
            <w:pPr>
              <w:jc w:val="center"/>
              <w:rPr>
                <w:rFonts w:cstheme="minorHAnsi"/>
                <w:b/>
                <w:bCs/>
                <w:color w:val="000000"/>
                <w:sz w:val="20"/>
                <w:szCs w:val="20"/>
              </w:rPr>
            </w:pPr>
            <w:r>
              <w:rPr>
                <w:rFonts w:cstheme="minorHAnsi"/>
                <w:b/>
                <w:bCs/>
                <w:color w:val="000000"/>
                <w:sz w:val="20"/>
                <w:szCs w:val="20"/>
              </w:rPr>
              <w:t>2011</w:t>
            </w:r>
          </w:p>
        </w:tc>
        <w:tc>
          <w:tcPr>
            <w:tcW w:w="379" w:type="pct"/>
            <w:noWrap/>
            <w:vAlign w:val="center"/>
            <w:hideMark/>
          </w:tcPr>
          <w:p w14:paraId="7F0ECC4C" w14:textId="77777777" w:rsidR="001D4600" w:rsidRPr="00D23AFA" w:rsidRDefault="001D4600" w:rsidP="00B94D3E">
            <w:pPr>
              <w:jc w:val="center"/>
              <w:rPr>
                <w:rFonts w:cstheme="minorHAnsi"/>
                <w:b/>
                <w:bCs/>
                <w:color w:val="000000"/>
                <w:sz w:val="20"/>
                <w:szCs w:val="20"/>
              </w:rPr>
            </w:pPr>
            <w:r w:rsidRPr="00D23AFA">
              <w:rPr>
                <w:rFonts w:cstheme="minorHAnsi"/>
                <w:b/>
                <w:bCs/>
                <w:color w:val="000000"/>
                <w:sz w:val="20"/>
                <w:szCs w:val="20"/>
              </w:rPr>
              <w:t>2012</w:t>
            </w:r>
          </w:p>
        </w:tc>
        <w:tc>
          <w:tcPr>
            <w:tcW w:w="379" w:type="pct"/>
            <w:noWrap/>
            <w:vAlign w:val="center"/>
            <w:hideMark/>
          </w:tcPr>
          <w:p w14:paraId="75C06B8A" w14:textId="77777777" w:rsidR="001D4600" w:rsidRPr="00D23AFA" w:rsidRDefault="001D4600" w:rsidP="00B94D3E">
            <w:pPr>
              <w:jc w:val="center"/>
              <w:rPr>
                <w:rFonts w:cstheme="minorHAnsi"/>
                <w:b/>
                <w:bCs/>
                <w:color w:val="000000"/>
                <w:sz w:val="20"/>
                <w:szCs w:val="20"/>
              </w:rPr>
            </w:pPr>
            <w:r w:rsidRPr="00D23AFA">
              <w:rPr>
                <w:rFonts w:cstheme="minorHAnsi"/>
                <w:b/>
                <w:bCs/>
                <w:color w:val="000000"/>
                <w:sz w:val="20"/>
                <w:szCs w:val="20"/>
              </w:rPr>
              <w:t>2013</w:t>
            </w:r>
          </w:p>
        </w:tc>
        <w:tc>
          <w:tcPr>
            <w:tcW w:w="379" w:type="pct"/>
            <w:noWrap/>
            <w:vAlign w:val="center"/>
            <w:hideMark/>
          </w:tcPr>
          <w:p w14:paraId="71EA9354" w14:textId="77777777" w:rsidR="001D4600" w:rsidRPr="00D23AFA" w:rsidRDefault="001D4600" w:rsidP="00B94D3E">
            <w:pPr>
              <w:jc w:val="center"/>
              <w:rPr>
                <w:rFonts w:cstheme="minorHAnsi"/>
                <w:b/>
                <w:bCs/>
                <w:color w:val="000000"/>
                <w:sz w:val="20"/>
                <w:szCs w:val="20"/>
              </w:rPr>
            </w:pPr>
            <w:r w:rsidRPr="00D23AFA">
              <w:rPr>
                <w:rFonts w:cstheme="minorHAnsi"/>
                <w:b/>
                <w:bCs/>
                <w:color w:val="000000"/>
                <w:sz w:val="20"/>
                <w:szCs w:val="20"/>
              </w:rPr>
              <w:t>2014</w:t>
            </w:r>
          </w:p>
        </w:tc>
        <w:tc>
          <w:tcPr>
            <w:tcW w:w="379" w:type="pct"/>
            <w:noWrap/>
            <w:vAlign w:val="center"/>
            <w:hideMark/>
          </w:tcPr>
          <w:p w14:paraId="4F22E3A4" w14:textId="77777777" w:rsidR="001D4600" w:rsidRPr="00D23AFA" w:rsidRDefault="001D4600" w:rsidP="00B94D3E">
            <w:pPr>
              <w:jc w:val="center"/>
              <w:rPr>
                <w:rFonts w:cstheme="minorHAnsi"/>
                <w:b/>
                <w:bCs/>
                <w:color w:val="000000"/>
                <w:sz w:val="20"/>
                <w:szCs w:val="20"/>
              </w:rPr>
            </w:pPr>
            <w:r w:rsidRPr="00D23AFA">
              <w:rPr>
                <w:rFonts w:cstheme="minorHAnsi"/>
                <w:b/>
                <w:bCs/>
                <w:color w:val="000000"/>
                <w:sz w:val="20"/>
                <w:szCs w:val="20"/>
              </w:rPr>
              <w:t>2015</w:t>
            </w:r>
          </w:p>
        </w:tc>
        <w:tc>
          <w:tcPr>
            <w:tcW w:w="379" w:type="pct"/>
            <w:noWrap/>
            <w:vAlign w:val="center"/>
            <w:hideMark/>
          </w:tcPr>
          <w:p w14:paraId="0883FA9A" w14:textId="77777777" w:rsidR="001D4600" w:rsidRPr="00D23AFA" w:rsidRDefault="001D4600" w:rsidP="00B94D3E">
            <w:pPr>
              <w:jc w:val="center"/>
              <w:rPr>
                <w:rFonts w:cstheme="minorHAnsi"/>
                <w:b/>
                <w:bCs/>
                <w:color w:val="000000"/>
                <w:sz w:val="20"/>
                <w:szCs w:val="20"/>
              </w:rPr>
            </w:pPr>
            <w:r w:rsidRPr="00D23AFA">
              <w:rPr>
                <w:rFonts w:cstheme="minorHAnsi"/>
                <w:b/>
                <w:bCs/>
                <w:color w:val="000000"/>
                <w:sz w:val="20"/>
                <w:szCs w:val="20"/>
              </w:rPr>
              <w:t>2016</w:t>
            </w:r>
          </w:p>
        </w:tc>
        <w:tc>
          <w:tcPr>
            <w:tcW w:w="379" w:type="pct"/>
            <w:noWrap/>
            <w:vAlign w:val="center"/>
            <w:hideMark/>
          </w:tcPr>
          <w:p w14:paraId="4A318843" w14:textId="77777777" w:rsidR="001D4600" w:rsidRPr="00D23AFA" w:rsidRDefault="001D4600" w:rsidP="00B94D3E">
            <w:pPr>
              <w:jc w:val="center"/>
              <w:rPr>
                <w:rFonts w:cstheme="minorHAnsi"/>
                <w:b/>
                <w:bCs/>
                <w:color w:val="000000"/>
                <w:sz w:val="20"/>
                <w:szCs w:val="20"/>
              </w:rPr>
            </w:pPr>
            <w:r w:rsidRPr="00D23AFA">
              <w:rPr>
                <w:rFonts w:cstheme="minorHAnsi"/>
                <w:b/>
                <w:bCs/>
                <w:color w:val="000000"/>
                <w:sz w:val="20"/>
                <w:szCs w:val="20"/>
              </w:rPr>
              <w:t>2017</w:t>
            </w:r>
          </w:p>
        </w:tc>
        <w:tc>
          <w:tcPr>
            <w:tcW w:w="379" w:type="pct"/>
            <w:noWrap/>
            <w:vAlign w:val="center"/>
            <w:hideMark/>
          </w:tcPr>
          <w:p w14:paraId="69455385" w14:textId="77777777" w:rsidR="001D4600" w:rsidRPr="00D23AFA" w:rsidRDefault="001D4600" w:rsidP="00B94D3E">
            <w:pPr>
              <w:jc w:val="center"/>
              <w:rPr>
                <w:rFonts w:cstheme="minorHAnsi"/>
                <w:b/>
                <w:bCs/>
                <w:color w:val="000000"/>
                <w:sz w:val="20"/>
                <w:szCs w:val="20"/>
              </w:rPr>
            </w:pPr>
            <w:r w:rsidRPr="00D23AFA">
              <w:rPr>
                <w:rFonts w:cstheme="minorHAnsi"/>
                <w:b/>
                <w:bCs/>
                <w:color w:val="000000"/>
                <w:sz w:val="20"/>
                <w:szCs w:val="20"/>
              </w:rPr>
              <w:t>2018</w:t>
            </w:r>
          </w:p>
        </w:tc>
        <w:tc>
          <w:tcPr>
            <w:tcW w:w="376" w:type="pct"/>
            <w:noWrap/>
            <w:vAlign w:val="center"/>
            <w:hideMark/>
          </w:tcPr>
          <w:p w14:paraId="23A205B6" w14:textId="77777777" w:rsidR="001D4600" w:rsidRPr="00D23AFA" w:rsidRDefault="001D4600" w:rsidP="00B94D3E">
            <w:pPr>
              <w:jc w:val="center"/>
              <w:rPr>
                <w:rFonts w:cstheme="minorHAnsi"/>
                <w:b/>
                <w:bCs/>
                <w:color w:val="000000"/>
                <w:sz w:val="20"/>
                <w:szCs w:val="20"/>
              </w:rPr>
            </w:pPr>
            <w:r w:rsidRPr="00D23AFA">
              <w:rPr>
                <w:rFonts w:cstheme="minorHAnsi"/>
                <w:b/>
                <w:bCs/>
                <w:color w:val="000000"/>
                <w:sz w:val="20"/>
                <w:szCs w:val="20"/>
              </w:rPr>
              <w:t>2019</w:t>
            </w:r>
          </w:p>
        </w:tc>
      </w:tr>
      <w:tr w:rsidR="001D4600" w:rsidRPr="00EB1AF3" w14:paraId="1B5467E1" w14:textId="77777777" w:rsidTr="001D4600">
        <w:trPr>
          <w:cantSplit/>
          <w:trHeight w:val="20"/>
          <w:tblHeader/>
        </w:trPr>
        <w:tc>
          <w:tcPr>
            <w:tcW w:w="1213" w:type="pct"/>
            <w:noWrap/>
            <w:vAlign w:val="center"/>
            <w:hideMark/>
          </w:tcPr>
          <w:p w14:paraId="69E07469" w14:textId="77777777" w:rsidR="001D4600" w:rsidRPr="00D23AFA" w:rsidRDefault="001D4600" w:rsidP="00AF0ADF">
            <w:pPr>
              <w:jc w:val="right"/>
              <w:rPr>
                <w:rFonts w:cstheme="minorHAnsi"/>
                <w:b/>
                <w:bCs/>
                <w:color w:val="000000"/>
                <w:sz w:val="20"/>
                <w:szCs w:val="20"/>
              </w:rPr>
            </w:pPr>
          </w:p>
        </w:tc>
        <w:tc>
          <w:tcPr>
            <w:tcW w:w="3787" w:type="pct"/>
            <w:gridSpan w:val="10"/>
          </w:tcPr>
          <w:p w14:paraId="1CB0CFBE" w14:textId="5CB47554" w:rsidR="001D4600" w:rsidRPr="00D23AFA" w:rsidRDefault="001D4600" w:rsidP="00AF0ADF">
            <w:pPr>
              <w:jc w:val="center"/>
              <w:rPr>
                <w:rFonts w:cstheme="minorHAnsi"/>
                <w:b/>
                <w:bCs/>
                <w:sz w:val="20"/>
                <w:szCs w:val="20"/>
              </w:rPr>
            </w:pPr>
            <w:r w:rsidRPr="00D23AFA">
              <w:rPr>
                <w:rFonts w:cstheme="minorHAnsi"/>
                <w:b/>
                <w:bCs/>
                <w:color w:val="000000"/>
                <w:sz w:val="20"/>
                <w:szCs w:val="20"/>
              </w:rPr>
              <w:t>In per cent (%)</w:t>
            </w:r>
          </w:p>
        </w:tc>
      </w:tr>
      <w:tr w:rsidR="005836F0" w:rsidRPr="00EB1AF3" w14:paraId="106D7EC3" w14:textId="77777777" w:rsidTr="005836F0">
        <w:trPr>
          <w:cantSplit/>
          <w:trHeight w:val="20"/>
        </w:trPr>
        <w:tc>
          <w:tcPr>
            <w:tcW w:w="5000" w:type="pct"/>
            <w:gridSpan w:val="11"/>
            <w:noWrap/>
            <w:vAlign w:val="center"/>
            <w:hideMark/>
          </w:tcPr>
          <w:p w14:paraId="5AAB643E" w14:textId="27501E9A" w:rsidR="005836F0" w:rsidRPr="00D23AFA" w:rsidRDefault="005836F0" w:rsidP="00B94D3E">
            <w:pPr>
              <w:rPr>
                <w:rFonts w:cstheme="minorHAnsi"/>
                <w:b/>
                <w:bCs/>
                <w:sz w:val="20"/>
                <w:szCs w:val="20"/>
              </w:rPr>
            </w:pPr>
            <w:r w:rsidRPr="00D23AFA">
              <w:rPr>
                <w:rFonts w:cstheme="minorHAnsi"/>
                <w:b/>
                <w:bCs/>
                <w:color w:val="000000"/>
                <w:sz w:val="20"/>
                <w:szCs w:val="20"/>
              </w:rPr>
              <w:t>Australia</w:t>
            </w:r>
          </w:p>
        </w:tc>
      </w:tr>
      <w:tr w:rsidR="001D4600" w:rsidRPr="00D23AFA" w14:paraId="3F2A0B7E" w14:textId="77777777" w:rsidTr="00B94D3E">
        <w:trPr>
          <w:cantSplit/>
          <w:trHeight w:val="20"/>
        </w:trPr>
        <w:tc>
          <w:tcPr>
            <w:tcW w:w="1213" w:type="pct"/>
            <w:noWrap/>
            <w:vAlign w:val="center"/>
            <w:hideMark/>
          </w:tcPr>
          <w:p w14:paraId="53A4C173"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Total</w:t>
            </w:r>
          </w:p>
        </w:tc>
        <w:tc>
          <w:tcPr>
            <w:tcW w:w="379" w:type="pct"/>
            <w:vAlign w:val="center"/>
          </w:tcPr>
          <w:p w14:paraId="729E44F9"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18.8</w:t>
            </w:r>
          </w:p>
        </w:tc>
        <w:tc>
          <w:tcPr>
            <w:tcW w:w="379" w:type="pct"/>
            <w:vAlign w:val="center"/>
          </w:tcPr>
          <w:p w14:paraId="3CC8E963"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19.1</w:t>
            </w:r>
          </w:p>
        </w:tc>
        <w:tc>
          <w:tcPr>
            <w:tcW w:w="379" w:type="pct"/>
            <w:noWrap/>
            <w:vAlign w:val="center"/>
          </w:tcPr>
          <w:p w14:paraId="02AE4838"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19.4</w:t>
            </w:r>
          </w:p>
        </w:tc>
        <w:tc>
          <w:tcPr>
            <w:tcW w:w="379" w:type="pct"/>
            <w:noWrap/>
            <w:vAlign w:val="center"/>
          </w:tcPr>
          <w:p w14:paraId="73154A3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19.7</w:t>
            </w:r>
          </w:p>
        </w:tc>
        <w:tc>
          <w:tcPr>
            <w:tcW w:w="379" w:type="pct"/>
            <w:noWrap/>
            <w:vAlign w:val="center"/>
          </w:tcPr>
          <w:p w14:paraId="12CDBAF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20.3</w:t>
            </w:r>
          </w:p>
        </w:tc>
        <w:tc>
          <w:tcPr>
            <w:tcW w:w="379" w:type="pct"/>
            <w:noWrap/>
            <w:vAlign w:val="center"/>
          </w:tcPr>
          <w:p w14:paraId="798B488F"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20.5</w:t>
            </w:r>
          </w:p>
        </w:tc>
        <w:tc>
          <w:tcPr>
            <w:tcW w:w="379" w:type="pct"/>
            <w:noWrap/>
            <w:vAlign w:val="center"/>
          </w:tcPr>
          <w:p w14:paraId="6F6B8F2E"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21.0</w:t>
            </w:r>
          </w:p>
        </w:tc>
        <w:tc>
          <w:tcPr>
            <w:tcW w:w="379" w:type="pct"/>
            <w:noWrap/>
            <w:vAlign w:val="center"/>
          </w:tcPr>
          <w:p w14:paraId="0C60D40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21.9</w:t>
            </w:r>
          </w:p>
        </w:tc>
        <w:tc>
          <w:tcPr>
            <w:tcW w:w="379" w:type="pct"/>
            <w:noWrap/>
            <w:vAlign w:val="center"/>
          </w:tcPr>
          <w:p w14:paraId="79B2847A"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22.5</w:t>
            </w:r>
          </w:p>
        </w:tc>
        <w:tc>
          <w:tcPr>
            <w:tcW w:w="376" w:type="pct"/>
            <w:noWrap/>
            <w:vAlign w:val="center"/>
          </w:tcPr>
          <w:p w14:paraId="50913328"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22.7</w:t>
            </w:r>
          </w:p>
        </w:tc>
      </w:tr>
      <w:tr w:rsidR="005836F0" w:rsidRPr="00EB1AF3" w14:paraId="055DBB55" w14:textId="77777777" w:rsidTr="005836F0">
        <w:trPr>
          <w:cantSplit/>
          <w:trHeight w:val="20"/>
        </w:trPr>
        <w:tc>
          <w:tcPr>
            <w:tcW w:w="5000" w:type="pct"/>
            <w:gridSpan w:val="11"/>
            <w:noWrap/>
            <w:vAlign w:val="center"/>
            <w:hideMark/>
          </w:tcPr>
          <w:p w14:paraId="54712537" w14:textId="7D39DB1D" w:rsidR="005836F0" w:rsidRPr="00B94D3E" w:rsidRDefault="005836F0" w:rsidP="00B94D3E">
            <w:pPr>
              <w:rPr>
                <w:rFonts w:cstheme="minorHAnsi"/>
                <w:b/>
                <w:bCs/>
                <w:color w:val="000000"/>
                <w:sz w:val="20"/>
                <w:szCs w:val="20"/>
              </w:rPr>
            </w:pPr>
            <w:r w:rsidRPr="00D23AFA">
              <w:rPr>
                <w:rFonts w:cstheme="minorHAnsi"/>
                <w:b/>
                <w:bCs/>
                <w:color w:val="000000"/>
                <w:sz w:val="20"/>
                <w:szCs w:val="20"/>
              </w:rPr>
              <w:t>Mother's age at birth</w:t>
            </w:r>
          </w:p>
        </w:tc>
      </w:tr>
      <w:tr w:rsidR="001D4600" w:rsidRPr="00D23AFA" w14:paraId="1042097B" w14:textId="77777777" w:rsidTr="00B94D3E">
        <w:trPr>
          <w:cantSplit/>
          <w:trHeight w:val="20"/>
        </w:trPr>
        <w:tc>
          <w:tcPr>
            <w:tcW w:w="1213" w:type="pct"/>
            <w:noWrap/>
            <w:vAlign w:val="center"/>
            <w:hideMark/>
          </w:tcPr>
          <w:p w14:paraId="77E8669F"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Younger than 20</w:t>
            </w:r>
          </w:p>
        </w:tc>
        <w:tc>
          <w:tcPr>
            <w:tcW w:w="379" w:type="pct"/>
            <w:vAlign w:val="center"/>
          </w:tcPr>
          <w:p w14:paraId="29B5CB30"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5.5</w:t>
            </w:r>
          </w:p>
        </w:tc>
        <w:tc>
          <w:tcPr>
            <w:tcW w:w="379" w:type="pct"/>
            <w:vAlign w:val="center"/>
          </w:tcPr>
          <w:p w14:paraId="3E40B9CB"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5.4</w:t>
            </w:r>
          </w:p>
        </w:tc>
        <w:tc>
          <w:tcPr>
            <w:tcW w:w="379" w:type="pct"/>
            <w:noWrap/>
            <w:vAlign w:val="center"/>
          </w:tcPr>
          <w:p w14:paraId="542473EA"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5.3</w:t>
            </w:r>
          </w:p>
        </w:tc>
        <w:tc>
          <w:tcPr>
            <w:tcW w:w="379" w:type="pct"/>
            <w:noWrap/>
            <w:vAlign w:val="center"/>
          </w:tcPr>
          <w:p w14:paraId="157FC9A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6.0</w:t>
            </w:r>
          </w:p>
        </w:tc>
        <w:tc>
          <w:tcPr>
            <w:tcW w:w="379" w:type="pct"/>
            <w:noWrap/>
            <w:vAlign w:val="center"/>
          </w:tcPr>
          <w:p w14:paraId="6268BA60"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6.0</w:t>
            </w:r>
          </w:p>
        </w:tc>
        <w:tc>
          <w:tcPr>
            <w:tcW w:w="379" w:type="pct"/>
            <w:noWrap/>
            <w:vAlign w:val="center"/>
          </w:tcPr>
          <w:p w14:paraId="66C2EE7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6.1</w:t>
            </w:r>
          </w:p>
        </w:tc>
        <w:tc>
          <w:tcPr>
            <w:tcW w:w="379" w:type="pct"/>
            <w:noWrap/>
            <w:vAlign w:val="center"/>
          </w:tcPr>
          <w:p w14:paraId="5F43DD51"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6.6</w:t>
            </w:r>
          </w:p>
        </w:tc>
        <w:tc>
          <w:tcPr>
            <w:tcW w:w="379" w:type="pct"/>
            <w:noWrap/>
            <w:vAlign w:val="center"/>
          </w:tcPr>
          <w:p w14:paraId="498E5733"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6.9</w:t>
            </w:r>
          </w:p>
        </w:tc>
        <w:tc>
          <w:tcPr>
            <w:tcW w:w="379" w:type="pct"/>
            <w:noWrap/>
            <w:vAlign w:val="center"/>
          </w:tcPr>
          <w:p w14:paraId="74B4132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6.7</w:t>
            </w:r>
          </w:p>
        </w:tc>
        <w:tc>
          <w:tcPr>
            <w:tcW w:w="376" w:type="pct"/>
            <w:noWrap/>
            <w:vAlign w:val="center"/>
          </w:tcPr>
          <w:p w14:paraId="3B4F678E"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6.5</w:t>
            </w:r>
          </w:p>
        </w:tc>
      </w:tr>
      <w:tr w:rsidR="001D4600" w:rsidRPr="00D23AFA" w14:paraId="38FBB3A8" w14:textId="77777777" w:rsidTr="00B94D3E">
        <w:trPr>
          <w:cantSplit/>
          <w:trHeight w:val="20"/>
        </w:trPr>
        <w:tc>
          <w:tcPr>
            <w:tcW w:w="1213" w:type="pct"/>
            <w:noWrap/>
            <w:vAlign w:val="center"/>
            <w:hideMark/>
          </w:tcPr>
          <w:p w14:paraId="50726CDA"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20-24</w:t>
            </w:r>
          </w:p>
        </w:tc>
        <w:tc>
          <w:tcPr>
            <w:tcW w:w="379" w:type="pct"/>
            <w:vAlign w:val="center"/>
          </w:tcPr>
          <w:p w14:paraId="50C6D7BD"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9.6</w:t>
            </w:r>
          </w:p>
        </w:tc>
        <w:tc>
          <w:tcPr>
            <w:tcW w:w="379" w:type="pct"/>
            <w:vAlign w:val="center"/>
          </w:tcPr>
          <w:p w14:paraId="774F40C1"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9.9</w:t>
            </w:r>
          </w:p>
        </w:tc>
        <w:tc>
          <w:tcPr>
            <w:tcW w:w="379" w:type="pct"/>
            <w:noWrap/>
            <w:vAlign w:val="center"/>
          </w:tcPr>
          <w:p w14:paraId="367416D0"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10.2</w:t>
            </w:r>
          </w:p>
        </w:tc>
        <w:tc>
          <w:tcPr>
            <w:tcW w:w="379" w:type="pct"/>
            <w:noWrap/>
            <w:vAlign w:val="center"/>
          </w:tcPr>
          <w:p w14:paraId="1E9BF637"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10.3</w:t>
            </w:r>
          </w:p>
        </w:tc>
        <w:tc>
          <w:tcPr>
            <w:tcW w:w="379" w:type="pct"/>
            <w:noWrap/>
            <w:vAlign w:val="center"/>
          </w:tcPr>
          <w:p w14:paraId="60416ED9"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10.8</w:t>
            </w:r>
          </w:p>
        </w:tc>
        <w:tc>
          <w:tcPr>
            <w:tcW w:w="379" w:type="pct"/>
            <w:noWrap/>
            <w:vAlign w:val="center"/>
          </w:tcPr>
          <w:p w14:paraId="494676F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10.7</w:t>
            </w:r>
          </w:p>
        </w:tc>
        <w:tc>
          <w:tcPr>
            <w:tcW w:w="379" w:type="pct"/>
            <w:noWrap/>
            <w:vAlign w:val="center"/>
          </w:tcPr>
          <w:p w14:paraId="2F4FA0E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10.8</w:t>
            </w:r>
          </w:p>
        </w:tc>
        <w:tc>
          <w:tcPr>
            <w:tcW w:w="379" w:type="pct"/>
            <w:noWrap/>
            <w:vAlign w:val="center"/>
          </w:tcPr>
          <w:p w14:paraId="1CDD75D9"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11.2</w:t>
            </w:r>
          </w:p>
        </w:tc>
        <w:tc>
          <w:tcPr>
            <w:tcW w:w="379" w:type="pct"/>
            <w:noWrap/>
            <w:vAlign w:val="center"/>
          </w:tcPr>
          <w:p w14:paraId="76FEBFD3"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11.7</w:t>
            </w:r>
          </w:p>
        </w:tc>
        <w:tc>
          <w:tcPr>
            <w:tcW w:w="376" w:type="pct"/>
            <w:noWrap/>
            <w:vAlign w:val="center"/>
          </w:tcPr>
          <w:p w14:paraId="2611F21F"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11.3</w:t>
            </w:r>
          </w:p>
        </w:tc>
      </w:tr>
      <w:tr w:rsidR="001D4600" w:rsidRPr="00D23AFA" w14:paraId="2FABBFEA" w14:textId="77777777" w:rsidTr="00B94D3E">
        <w:trPr>
          <w:cantSplit/>
          <w:trHeight w:val="20"/>
        </w:trPr>
        <w:tc>
          <w:tcPr>
            <w:tcW w:w="1213" w:type="pct"/>
            <w:noWrap/>
            <w:vAlign w:val="center"/>
            <w:hideMark/>
          </w:tcPr>
          <w:p w14:paraId="2B27FC30"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25-29</w:t>
            </w:r>
          </w:p>
        </w:tc>
        <w:tc>
          <w:tcPr>
            <w:tcW w:w="379" w:type="pct"/>
            <w:vAlign w:val="center"/>
          </w:tcPr>
          <w:p w14:paraId="38029435"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14.4</w:t>
            </w:r>
          </w:p>
        </w:tc>
        <w:tc>
          <w:tcPr>
            <w:tcW w:w="379" w:type="pct"/>
            <w:vAlign w:val="center"/>
          </w:tcPr>
          <w:p w14:paraId="55FC75C4"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14.7</w:t>
            </w:r>
          </w:p>
        </w:tc>
        <w:tc>
          <w:tcPr>
            <w:tcW w:w="379" w:type="pct"/>
            <w:noWrap/>
            <w:vAlign w:val="center"/>
          </w:tcPr>
          <w:p w14:paraId="513EC91A"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14.9</w:t>
            </w:r>
          </w:p>
        </w:tc>
        <w:tc>
          <w:tcPr>
            <w:tcW w:w="379" w:type="pct"/>
            <w:noWrap/>
            <w:vAlign w:val="center"/>
          </w:tcPr>
          <w:p w14:paraId="70B5CFAC"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15.2</w:t>
            </w:r>
          </w:p>
        </w:tc>
        <w:tc>
          <w:tcPr>
            <w:tcW w:w="379" w:type="pct"/>
            <w:noWrap/>
            <w:vAlign w:val="center"/>
          </w:tcPr>
          <w:p w14:paraId="09ECE28A"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15.7</w:t>
            </w:r>
          </w:p>
        </w:tc>
        <w:tc>
          <w:tcPr>
            <w:tcW w:w="379" w:type="pct"/>
            <w:noWrap/>
            <w:vAlign w:val="center"/>
          </w:tcPr>
          <w:p w14:paraId="5FBB6EB8"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15.5</w:t>
            </w:r>
          </w:p>
        </w:tc>
        <w:tc>
          <w:tcPr>
            <w:tcW w:w="379" w:type="pct"/>
            <w:noWrap/>
            <w:vAlign w:val="center"/>
          </w:tcPr>
          <w:p w14:paraId="34937797"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15.5</w:t>
            </w:r>
          </w:p>
        </w:tc>
        <w:tc>
          <w:tcPr>
            <w:tcW w:w="379" w:type="pct"/>
            <w:noWrap/>
            <w:vAlign w:val="center"/>
          </w:tcPr>
          <w:p w14:paraId="185FA12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16.2</w:t>
            </w:r>
          </w:p>
        </w:tc>
        <w:tc>
          <w:tcPr>
            <w:tcW w:w="379" w:type="pct"/>
            <w:noWrap/>
            <w:vAlign w:val="center"/>
          </w:tcPr>
          <w:p w14:paraId="27B6A2C6"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16.7</w:t>
            </w:r>
          </w:p>
        </w:tc>
        <w:tc>
          <w:tcPr>
            <w:tcW w:w="376" w:type="pct"/>
            <w:noWrap/>
            <w:vAlign w:val="center"/>
          </w:tcPr>
          <w:p w14:paraId="248F4998"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16.8</w:t>
            </w:r>
          </w:p>
        </w:tc>
      </w:tr>
      <w:tr w:rsidR="001D4600" w:rsidRPr="00D23AFA" w14:paraId="41631C42" w14:textId="77777777" w:rsidTr="00B94D3E">
        <w:trPr>
          <w:cantSplit/>
          <w:trHeight w:val="20"/>
        </w:trPr>
        <w:tc>
          <w:tcPr>
            <w:tcW w:w="1213" w:type="pct"/>
            <w:noWrap/>
            <w:vAlign w:val="center"/>
            <w:hideMark/>
          </w:tcPr>
          <w:p w14:paraId="6AEE466D"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30-34</w:t>
            </w:r>
          </w:p>
        </w:tc>
        <w:tc>
          <w:tcPr>
            <w:tcW w:w="379" w:type="pct"/>
            <w:vAlign w:val="center"/>
          </w:tcPr>
          <w:p w14:paraId="5210BC4E"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21.0</w:t>
            </w:r>
          </w:p>
        </w:tc>
        <w:tc>
          <w:tcPr>
            <w:tcW w:w="379" w:type="pct"/>
            <w:vAlign w:val="center"/>
          </w:tcPr>
          <w:p w14:paraId="6714EE26"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21.1</w:t>
            </w:r>
          </w:p>
        </w:tc>
        <w:tc>
          <w:tcPr>
            <w:tcW w:w="379" w:type="pct"/>
            <w:noWrap/>
            <w:vAlign w:val="center"/>
          </w:tcPr>
          <w:p w14:paraId="290124A3"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21.3</w:t>
            </w:r>
          </w:p>
        </w:tc>
        <w:tc>
          <w:tcPr>
            <w:tcW w:w="379" w:type="pct"/>
            <w:noWrap/>
            <w:vAlign w:val="center"/>
          </w:tcPr>
          <w:p w14:paraId="2BE74C38"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21.4</w:t>
            </w:r>
          </w:p>
        </w:tc>
        <w:tc>
          <w:tcPr>
            <w:tcW w:w="379" w:type="pct"/>
            <w:noWrap/>
            <w:vAlign w:val="center"/>
          </w:tcPr>
          <w:p w14:paraId="6363D35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22.0</w:t>
            </w:r>
          </w:p>
        </w:tc>
        <w:tc>
          <w:tcPr>
            <w:tcW w:w="379" w:type="pct"/>
            <w:noWrap/>
            <w:vAlign w:val="center"/>
          </w:tcPr>
          <w:p w14:paraId="07B07A8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22.0</w:t>
            </w:r>
          </w:p>
        </w:tc>
        <w:tc>
          <w:tcPr>
            <w:tcW w:w="379" w:type="pct"/>
            <w:noWrap/>
            <w:vAlign w:val="center"/>
          </w:tcPr>
          <w:p w14:paraId="1858EAB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22.5</w:t>
            </w:r>
          </w:p>
        </w:tc>
        <w:tc>
          <w:tcPr>
            <w:tcW w:w="379" w:type="pct"/>
            <w:noWrap/>
            <w:vAlign w:val="center"/>
          </w:tcPr>
          <w:p w14:paraId="2631B411"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23.1</w:t>
            </w:r>
          </w:p>
        </w:tc>
        <w:tc>
          <w:tcPr>
            <w:tcW w:w="379" w:type="pct"/>
            <w:noWrap/>
            <w:vAlign w:val="center"/>
          </w:tcPr>
          <w:p w14:paraId="5BD5C97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23.7</w:t>
            </w:r>
          </w:p>
        </w:tc>
        <w:tc>
          <w:tcPr>
            <w:tcW w:w="376" w:type="pct"/>
            <w:noWrap/>
            <w:vAlign w:val="center"/>
          </w:tcPr>
          <w:p w14:paraId="339FAE08"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23.5</w:t>
            </w:r>
          </w:p>
        </w:tc>
      </w:tr>
      <w:tr w:rsidR="001D4600" w:rsidRPr="00D23AFA" w14:paraId="07B3E1F8" w14:textId="77777777" w:rsidTr="00B94D3E">
        <w:trPr>
          <w:cantSplit/>
          <w:trHeight w:val="20"/>
        </w:trPr>
        <w:tc>
          <w:tcPr>
            <w:tcW w:w="1213" w:type="pct"/>
            <w:noWrap/>
            <w:vAlign w:val="center"/>
            <w:hideMark/>
          </w:tcPr>
          <w:p w14:paraId="123FF462"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35-39</w:t>
            </w:r>
          </w:p>
        </w:tc>
        <w:tc>
          <w:tcPr>
            <w:tcW w:w="379" w:type="pct"/>
            <w:vAlign w:val="center"/>
          </w:tcPr>
          <w:p w14:paraId="3A8F165D"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27.5</w:t>
            </w:r>
          </w:p>
        </w:tc>
        <w:tc>
          <w:tcPr>
            <w:tcW w:w="379" w:type="pct"/>
            <w:vAlign w:val="center"/>
          </w:tcPr>
          <w:p w14:paraId="1E59C18F"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28.5</w:t>
            </w:r>
          </w:p>
        </w:tc>
        <w:tc>
          <w:tcPr>
            <w:tcW w:w="379" w:type="pct"/>
            <w:noWrap/>
            <w:vAlign w:val="center"/>
          </w:tcPr>
          <w:p w14:paraId="7463414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28.6</w:t>
            </w:r>
          </w:p>
        </w:tc>
        <w:tc>
          <w:tcPr>
            <w:tcW w:w="379" w:type="pct"/>
            <w:noWrap/>
            <w:vAlign w:val="center"/>
          </w:tcPr>
          <w:p w14:paraId="1ECBE85C"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29.0</w:t>
            </w:r>
          </w:p>
        </w:tc>
        <w:tc>
          <w:tcPr>
            <w:tcW w:w="379" w:type="pct"/>
            <w:noWrap/>
            <w:vAlign w:val="center"/>
          </w:tcPr>
          <w:p w14:paraId="0F9DC14E"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29.2</w:t>
            </w:r>
          </w:p>
        </w:tc>
        <w:tc>
          <w:tcPr>
            <w:tcW w:w="379" w:type="pct"/>
            <w:noWrap/>
            <w:vAlign w:val="center"/>
          </w:tcPr>
          <w:p w14:paraId="320D836F"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29.6</w:t>
            </w:r>
          </w:p>
        </w:tc>
        <w:tc>
          <w:tcPr>
            <w:tcW w:w="379" w:type="pct"/>
            <w:noWrap/>
            <w:vAlign w:val="center"/>
          </w:tcPr>
          <w:p w14:paraId="4B7818B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30.0</w:t>
            </w:r>
          </w:p>
        </w:tc>
        <w:tc>
          <w:tcPr>
            <w:tcW w:w="379" w:type="pct"/>
            <w:noWrap/>
            <w:vAlign w:val="center"/>
          </w:tcPr>
          <w:p w14:paraId="5958BA5C"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30.8</w:t>
            </w:r>
          </w:p>
        </w:tc>
        <w:tc>
          <w:tcPr>
            <w:tcW w:w="379" w:type="pct"/>
            <w:noWrap/>
            <w:vAlign w:val="center"/>
          </w:tcPr>
          <w:p w14:paraId="3BF236C3"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31.4</w:t>
            </w:r>
          </w:p>
        </w:tc>
        <w:tc>
          <w:tcPr>
            <w:tcW w:w="376" w:type="pct"/>
            <w:noWrap/>
            <w:vAlign w:val="center"/>
          </w:tcPr>
          <w:p w14:paraId="562B9A6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31.9</w:t>
            </w:r>
          </w:p>
        </w:tc>
      </w:tr>
      <w:tr w:rsidR="001D4600" w:rsidRPr="00D23AFA" w14:paraId="764FC6A6" w14:textId="77777777" w:rsidTr="00B94D3E">
        <w:trPr>
          <w:cantSplit/>
          <w:trHeight w:val="20"/>
        </w:trPr>
        <w:tc>
          <w:tcPr>
            <w:tcW w:w="1213" w:type="pct"/>
            <w:noWrap/>
            <w:vAlign w:val="center"/>
            <w:hideMark/>
          </w:tcPr>
          <w:p w14:paraId="1AF092C8"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40 and over</w:t>
            </w:r>
          </w:p>
        </w:tc>
        <w:tc>
          <w:tcPr>
            <w:tcW w:w="379" w:type="pct"/>
            <w:vAlign w:val="center"/>
          </w:tcPr>
          <w:p w14:paraId="1A3BB22A"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34.6</w:t>
            </w:r>
          </w:p>
        </w:tc>
        <w:tc>
          <w:tcPr>
            <w:tcW w:w="379" w:type="pct"/>
            <w:vAlign w:val="center"/>
          </w:tcPr>
          <w:p w14:paraId="7F2EAEE0"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35.3</w:t>
            </w:r>
          </w:p>
        </w:tc>
        <w:tc>
          <w:tcPr>
            <w:tcW w:w="379" w:type="pct"/>
            <w:noWrap/>
            <w:vAlign w:val="center"/>
          </w:tcPr>
          <w:p w14:paraId="3CF7BB5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36.8</w:t>
            </w:r>
          </w:p>
        </w:tc>
        <w:tc>
          <w:tcPr>
            <w:tcW w:w="379" w:type="pct"/>
            <w:noWrap/>
            <w:vAlign w:val="center"/>
          </w:tcPr>
          <w:p w14:paraId="06DBBF8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37.2</w:t>
            </w:r>
          </w:p>
        </w:tc>
        <w:tc>
          <w:tcPr>
            <w:tcW w:w="379" w:type="pct"/>
            <w:noWrap/>
            <w:vAlign w:val="center"/>
          </w:tcPr>
          <w:p w14:paraId="374F17E6"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39.0</w:t>
            </w:r>
          </w:p>
        </w:tc>
        <w:tc>
          <w:tcPr>
            <w:tcW w:w="379" w:type="pct"/>
            <w:noWrap/>
            <w:vAlign w:val="center"/>
          </w:tcPr>
          <w:p w14:paraId="7054B070"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39.9</w:t>
            </w:r>
          </w:p>
        </w:tc>
        <w:tc>
          <w:tcPr>
            <w:tcW w:w="379" w:type="pct"/>
            <w:noWrap/>
            <w:vAlign w:val="center"/>
          </w:tcPr>
          <w:p w14:paraId="7C01A960"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40.6</w:t>
            </w:r>
          </w:p>
        </w:tc>
        <w:tc>
          <w:tcPr>
            <w:tcW w:w="379" w:type="pct"/>
            <w:noWrap/>
            <w:vAlign w:val="center"/>
          </w:tcPr>
          <w:p w14:paraId="66CBCF4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42.3</w:t>
            </w:r>
          </w:p>
        </w:tc>
        <w:tc>
          <w:tcPr>
            <w:tcW w:w="379" w:type="pct"/>
            <w:noWrap/>
            <w:vAlign w:val="center"/>
          </w:tcPr>
          <w:p w14:paraId="33DB6C99"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42.8</w:t>
            </w:r>
          </w:p>
        </w:tc>
        <w:tc>
          <w:tcPr>
            <w:tcW w:w="376" w:type="pct"/>
            <w:noWrap/>
            <w:vAlign w:val="center"/>
          </w:tcPr>
          <w:p w14:paraId="03E1FDF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42.7</w:t>
            </w:r>
          </w:p>
        </w:tc>
      </w:tr>
      <w:tr w:rsidR="005836F0" w:rsidRPr="00EB1AF3" w14:paraId="3794C651" w14:textId="77777777" w:rsidTr="005836F0">
        <w:trPr>
          <w:cantSplit/>
          <w:trHeight w:val="20"/>
        </w:trPr>
        <w:tc>
          <w:tcPr>
            <w:tcW w:w="5000" w:type="pct"/>
            <w:gridSpan w:val="11"/>
            <w:noWrap/>
            <w:vAlign w:val="center"/>
            <w:hideMark/>
          </w:tcPr>
          <w:p w14:paraId="693B9E95" w14:textId="2EDFC6D7" w:rsidR="005836F0" w:rsidRPr="00D23AFA" w:rsidRDefault="005836F0" w:rsidP="00B94D3E">
            <w:pPr>
              <w:rPr>
                <w:rFonts w:cstheme="minorHAnsi"/>
                <w:b/>
                <w:bCs/>
                <w:sz w:val="20"/>
                <w:szCs w:val="20"/>
              </w:rPr>
            </w:pPr>
            <w:r w:rsidRPr="00D23AFA">
              <w:rPr>
                <w:rFonts w:cstheme="minorHAnsi"/>
                <w:b/>
                <w:bCs/>
                <w:color w:val="000000"/>
                <w:sz w:val="20"/>
                <w:szCs w:val="20"/>
              </w:rPr>
              <w:t>Mother's country of birth</w:t>
            </w:r>
          </w:p>
        </w:tc>
      </w:tr>
      <w:tr w:rsidR="001D4600" w:rsidRPr="00D23AFA" w14:paraId="6EF63F46" w14:textId="77777777" w:rsidTr="00B94D3E">
        <w:trPr>
          <w:cantSplit/>
          <w:trHeight w:val="20"/>
        </w:trPr>
        <w:tc>
          <w:tcPr>
            <w:tcW w:w="1213" w:type="pct"/>
            <w:noWrap/>
            <w:vAlign w:val="center"/>
            <w:hideMark/>
          </w:tcPr>
          <w:p w14:paraId="6188D289"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Born in Australia</w:t>
            </w:r>
          </w:p>
        </w:tc>
        <w:tc>
          <w:tcPr>
            <w:tcW w:w="379" w:type="pct"/>
            <w:vAlign w:val="center"/>
          </w:tcPr>
          <w:p w14:paraId="5901CC0D"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19.2</w:t>
            </w:r>
          </w:p>
        </w:tc>
        <w:tc>
          <w:tcPr>
            <w:tcW w:w="379" w:type="pct"/>
            <w:vAlign w:val="center"/>
          </w:tcPr>
          <w:p w14:paraId="34FDF959"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19.6</w:t>
            </w:r>
          </w:p>
        </w:tc>
        <w:tc>
          <w:tcPr>
            <w:tcW w:w="379" w:type="pct"/>
            <w:noWrap/>
            <w:vAlign w:val="center"/>
          </w:tcPr>
          <w:p w14:paraId="0E53910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19.9</w:t>
            </w:r>
          </w:p>
        </w:tc>
        <w:tc>
          <w:tcPr>
            <w:tcW w:w="379" w:type="pct"/>
            <w:noWrap/>
            <w:vAlign w:val="center"/>
          </w:tcPr>
          <w:p w14:paraId="36EF1D72"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20.1</w:t>
            </w:r>
          </w:p>
        </w:tc>
        <w:tc>
          <w:tcPr>
            <w:tcW w:w="379" w:type="pct"/>
            <w:noWrap/>
            <w:vAlign w:val="center"/>
          </w:tcPr>
          <w:p w14:paraId="0E4973D6"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20.6</w:t>
            </w:r>
          </w:p>
        </w:tc>
        <w:tc>
          <w:tcPr>
            <w:tcW w:w="379" w:type="pct"/>
            <w:noWrap/>
            <w:vAlign w:val="center"/>
          </w:tcPr>
          <w:p w14:paraId="32ED8EE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20.7</w:t>
            </w:r>
          </w:p>
        </w:tc>
        <w:tc>
          <w:tcPr>
            <w:tcW w:w="379" w:type="pct"/>
            <w:noWrap/>
            <w:vAlign w:val="center"/>
          </w:tcPr>
          <w:p w14:paraId="5E908D5C"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21.2</w:t>
            </w:r>
          </w:p>
        </w:tc>
        <w:tc>
          <w:tcPr>
            <w:tcW w:w="379" w:type="pct"/>
            <w:noWrap/>
            <w:vAlign w:val="center"/>
          </w:tcPr>
          <w:p w14:paraId="6A8BE0E7"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21.9</w:t>
            </w:r>
          </w:p>
        </w:tc>
        <w:tc>
          <w:tcPr>
            <w:tcW w:w="379" w:type="pct"/>
            <w:noWrap/>
            <w:vAlign w:val="center"/>
          </w:tcPr>
          <w:p w14:paraId="133FFFFF"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22.3</w:t>
            </w:r>
          </w:p>
        </w:tc>
        <w:tc>
          <w:tcPr>
            <w:tcW w:w="376" w:type="pct"/>
            <w:noWrap/>
            <w:vAlign w:val="center"/>
          </w:tcPr>
          <w:p w14:paraId="194C99B4"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22.3</w:t>
            </w:r>
          </w:p>
        </w:tc>
      </w:tr>
      <w:tr w:rsidR="001D4600" w:rsidRPr="00D23AFA" w14:paraId="36569AAD" w14:textId="77777777" w:rsidTr="00B94D3E">
        <w:trPr>
          <w:cantSplit/>
          <w:trHeight w:val="20"/>
        </w:trPr>
        <w:tc>
          <w:tcPr>
            <w:tcW w:w="1213" w:type="pct"/>
            <w:noWrap/>
            <w:vAlign w:val="center"/>
            <w:hideMark/>
          </w:tcPr>
          <w:p w14:paraId="77E6473A"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Born overseas</w:t>
            </w:r>
          </w:p>
        </w:tc>
        <w:tc>
          <w:tcPr>
            <w:tcW w:w="379" w:type="pct"/>
            <w:vAlign w:val="center"/>
          </w:tcPr>
          <w:p w14:paraId="5847845D"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17.8</w:t>
            </w:r>
          </w:p>
        </w:tc>
        <w:tc>
          <w:tcPr>
            <w:tcW w:w="379" w:type="pct"/>
            <w:vAlign w:val="center"/>
          </w:tcPr>
          <w:p w14:paraId="4AADCD35"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18.1</w:t>
            </w:r>
          </w:p>
        </w:tc>
        <w:tc>
          <w:tcPr>
            <w:tcW w:w="379" w:type="pct"/>
            <w:noWrap/>
            <w:vAlign w:val="center"/>
          </w:tcPr>
          <w:p w14:paraId="08A659E7"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18.6</w:t>
            </w:r>
          </w:p>
        </w:tc>
        <w:tc>
          <w:tcPr>
            <w:tcW w:w="379" w:type="pct"/>
            <w:noWrap/>
            <w:vAlign w:val="center"/>
          </w:tcPr>
          <w:p w14:paraId="70D398C1"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19.0</w:t>
            </w:r>
          </w:p>
        </w:tc>
        <w:tc>
          <w:tcPr>
            <w:tcW w:w="379" w:type="pct"/>
            <w:noWrap/>
            <w:vAlign w:val="center"/>
          </w:tcPr>
          <w:p w14:paraId="009819E8"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19.9</w:t>
            </w:r>
          </w:p>
        </w:tc>
        <w:tc>
          <w:tcPr>
            <w:tcW w:w="379" w:type="pct"/>
            <w:noWrap/>
            <w:vAlign w:val="center"/>
          </w:tcPr>
          <w:p w14:paraId="66267B12"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20.2</w:t>
            </w:r>
          </w:p>
        </w:tc>
        <w:tc>
          <w:tcPr>
            <w:tcW w:w="379" w:type="pct"/>
            <w:noWrap/>
            <w:vAlign w:val="center"/>
          </w:tcPr>
          <w:p w14:paraId="6D4C5EA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20.7</w:t>
            </w:r>
          </w:p>
        </w:tc>
        <w:tc>
          <w:tcPr>
            <w:tcW w:w="379" w:type="pct"/>
            <w:noWrap/>
            <w:vAlign w:val="center"/>
          </w:tcPr>
          <w:p w14:paraId="25D8B877"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21.9</w:t>
            </w:r>
          </w:p>
        </w:tc>
        <w:tc>
          <w:tcPr>
            <w:tcW w:w="379" w:type="pct"/>
            <w:noWrap/>
            <w:vAlign w:val="center"/>
          </w:tcPr>
          <w:p w14:paraId="062967E7"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22.9</w:t>
            </w:r>
          </w:p>
        </w:tc>
        <w:tc>
          <w:tcPr>
            <w:tcW w:w="376" w:type="pct"/>
            <w:noWrap/>
            <w:vAlign w:val="center"/>
          </w:tcPr>
          <w:p w14:paraId="7D83C502"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23.5</w:t>
            </w:r>
          </w:p>
        </w:tc>
      </w:tr>
      <w:tr w:rsidR="005836F0" w:rsidRPr="00EB1AF3" w14:paraId="01448ACC" w14:textId="77777777" w:rsidTr="005836F0">
        <w:trPr>
          <w:cantSplit/>
          <w:trHeight w:val="20"/>
        </w:trPr>
        <w:tc>
          <w:tcPr>
            <w:tcW w:w="5000" w:type="pct"/>
            <w:gridSpan w:val="11"/>
            <w:noWrap/>
            <w:vAlign w:val="center"/>
            <w:hideMark/>
          </w:tcPr>
          <w:p w14:paraId="1E6FDDEC" w14:textId="0723BCAF" w:rsidR="005836F0" w:rsidRPr="00D23AFA" w:rsidRDefault="005836F0" w:rsidP="00B94D3E">
            <w:pPr>
              <w:rPr>
                <w:rFonts w:cstheme="minorHAnsi"/>
                <w:b/>
                <w:bCs/>
                <w:sz w:val="20"/>
                <w:szCs w:val="20"/>
              </w:rPr>
            </w:pPr>
            <w:r w:rsidRPr="00D23AFA">
              <w:rPr>
                <w:rFonts w:cstheme="minorHAnsi"/>
                <w:b/>
                <w:bCs/>
                <w:color w:val="000000"/>
                <w:sz w:val="20"/>
                <w:szCs w:val="20"/>
              </w:rPr>
              <w:t xml:space="preserve">Mother's </w:t>
            </w:r>
            <w:r w:rsidR="00FB0C38">
              <w:rPr>
                <w:rFonts w:cstheme="minorHAnsi"/>
                <w:b/>
                <w:bCs/>
                <w:color w:val="000000"/>
                <w:sz w:val="20"/>
                <w:szCs w:val="20"/>
              </w:rPr>
              <w:t>Indig</w:t>
            </w:r>
            <w:r w:rsidRPr="00D23AFA">
              <w:rPr>
                <w:rFonts w:cstheme="minorHAnsi"/>
                <w:b/>
                <w:bCs/>
                <w:color w:val="000000"/>
                <w:sz w:val="20"/>
                <w:szCs w:val="20"/>
              </w:rPr>
              <w:t xml:space="preserve">enous status </w:t>
            </w:r>
            <w:r w:rsidR="009C3E6A">
              <w:rPr>
                <w:rFonts w:cstheme="minorHAnsi"/>
                <w:b/>
                <w:bCs/>
                <w:color w:val="000000"/>
                <w:sz w:val="20"/>
                <w:szCs w:val="20"/>
              </w:rPr>
              <w:t>(Age-standardised)</w:t>
            </w:r>
          </w:p>
        </w:tc>
      </w:tr>
      <w:tr w:rsidR="001D4600" w:rsidRPr="00D23AFA" w14:paraId="5F46C343" w14:textId="77777777" w:rsidTr="00B94D3E">
        <w:trPr>
          <w:cantSplit/>
          <w:trHeight w:val="20"/>
        </w:trPr>
        <w:tc>
          <w:tcPr>
            <w:tcW w:w="1213" w:type="pct"/>
            <w:noWrap/>
            <w:vAlign w:val="center"/>
            <w:hideMark/>
          </w:tcPr>
          <w:p w14:paraId="3D8D5C45"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Indigenous</w:t>
            </w:r>
          </w:p>
        </w:tc>
        <w:tc>
          <w:tcPr>
            <w:tcW w:w="379" w:type="pct"/>
            <w:vAlign w:val="center"/>
          </w:tcPr>
          <w:p w14:paraId="7319AAB1"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16.9</w:t>
            </w:r>
          </w:p>
        </w:tc>
        <w:tc>
          <w:tcPr>
            <w:tcW w:w="379" w:type="pct"/>
            <w:vAlign w:val="center"/>
          </w:tcPr>
          <w:p w14:paraId="3AB6359F"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18.3</w:t>
            </w:r>
          </w:p>
        </w:tc>
        <w:tc>
          <w:tcPr>
            <w:tcW w:w="379" w:type="pct"/>
            <w:noWrap/>
            <w:vAlign w:val="center"/>
          </w:tcPr>
          <w:p w14:paraId="7B33EF32"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17.3</w:t>
            </w:r>
          </w:p>
        </w:tc>
        <w:tc>
          <w:tcPr>
            <w:tcW w:w="379" w:type="pct"/>
            <w:noWrap/>
            <w:vAlign w:val="center"/>
          </w:tcPr>
          <w:p w14:paraId="126C5A96"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17.1</w:t>
            </w:r>
          </w:p>
        </w:tc>
        <w:tc>
          <w:tcPr>
            <w:tcW w:w="379" w:type="pct"/>
            <w:noWrap/>
            <w:vAlign w:val="center"/>
          </w:tcPr>
          <w:p w14:paraId="61DBE510"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19.5</w:t>
            </w:r>
          </w:p>
        </w:tc>
        <w:tc>
          <w:tcPr>
            <w:tcW w:w="379" w:type="pct"/>
            <w:noWrap/>
            <w:vAlign w:val="center"/>
          </w:tcPr>
          <w:p w14:paraId="4BEF75F9"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19.8</w:t>
            </w:r>
          </w:p>
        </w:tc>
        <w:tc>
          <w:tcPr>
            <w:tcW w:w="379" w:type="pct"/>
            <w:noWrap/>
            <w:vAlign w:val="center"/>
          </w:tcPr>
          <w:p w14:paraId="3C8D9F29"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19.3</w:t>
            </w:r>
          </w:p>
        </w:tc>
        <w:tc>
          <w:tcPr>
            <w:tcW w:w="379" w:type="pct"/>
            <w:noWrap/>
            <w:vAlign w:val="center"/>
          </w:tcPr>
          <w:p w14:paraId="201FA93C"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19.6</w:t>
            </w:r>
          </w:p>
        </w:tc>
        <w:tc>
          <w:tcPr>
            <w:tcW w:w="379" w:type="pct"/>
            <w:noWrap/>
            <w:vAlign w:val="center"/>
          </w:tcPr>
          <w:p w14:paraId="79AC2541"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20.9</w:t>
            </w:r>
          </w:p>
        </w:tc>
        <w:tc>
          <w:tcPr>
            <w:tcW w:w="376" w:type="pct"/>
            <w:noWrap/>
            <w:vAlign w:val="center"/>
          </w:tcPr>
          <w:p w14:paraId="5C1E333C"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20.8</w:t>
            </w:r>
          </w:p>
        </w:tc>
      </w:tr>
      <w:tr w:rsidR="001D4600" w:rsidRPr="00D23AFA" w14:paraId="75FE9EF2" w14:textId="77777777" w:rsidTr="00B94D3E">
        <w:trPr>
          <w:cantSplit/>
          <w:trHeight w:val="20"/>
        </w:trPr>
        <w:tc>
          <w:tcPr>
            <w:tcW w:w="1213" w:type="pct"/>
            <w:noWrap/>
            <w:vAlign w:val="center"/>
            <w:hideMark/>
          </w:tcPr>
          <w:p w14:paraId="38BDBD6D"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Non-Indigenous</w:t>
            </w:r>
          </w:p>
        </w:tc>
        <w:tc>
          <w:tcPr>
            <w:tcW w:w="379" w:type="pct"/>
            <w:vAlign w:val="center"/>
          </w:tcPr>
          <w:p w14:paraId="6218E180"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19.3</w:t>
            </w:r>
          </w:p>
        </w:tc>
        <w:tc>
          <w:tcPr>
            <w:tcW w:w="379" w:type="pct"/>
            <w:vAlign w:val="center"/>
          </w:tcPr>
          <w:p w14:paraId="6F8FE2B5"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19.7</w:t>
            </w:r>
          </w:p>
        </w:tc>
        <w:tc>
          <w:tcPr>
            <w:tcW w:w="379" w:type="pct"/>
            <w:noWrap/>
            <w:vAlign w:val="center"/>
          </w:tcPr>
          <w:p w14:paraId="7DF93994"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20.1</w:t>
            </w:r>
          </w:p>
        </w:tc>
        <w:tc>
          <w:tcPr>
            <w:tcW w:w="379" w:type="pct"/>
            <w:noWrap/>
            <w:vAlign w:val="center"/>
          </w:tcPr>
          <w:p w14:paraId="5D22DE79"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20.4</w:t>
            </w:r>
          </w:p>
        </w:tc>
        <w:tc>
          <w:tcPr>
            <w:tcW w:w="379" w:type="pct"/>
            <w:noWrap/>
            <w:vAlign w:val="center"/>
          </w:tcPr>
          <w:p w14:paraId="1DBD9D9A"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21.0</w:t>
            </w:r>
          </w:p>
        </w:tc>
        <w:tc>
          <w:tcPr>
            <w:tcW w:w="379" w:type="pct"/>
            <w:noWrap/>
            <w:vAlign w:val="center"/>
          </w:tcPr>
          <w:p w14:paraId="0E53E807"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21.2</w:t>
            </w:r>
          </w:p>
        </w:tc>
        <w:tc>
          <w:tcPr>
            <w:tcW w:w="379" w:type="pct"/>
            <w:noWrap/>
            <w:vAlign w:val="center"/>
          </w:tcPr>
          <w:p w14:paraId="43F9082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21.6</w:t>
            </w:r>
          </w:p>
        </w:tc>
        <w:tc>
          <w:tcPr>
            <w:tcW w:w="379" w:type="pct"/>
            <w:noWrap/>
            <w:vAlign w:val="center"/>
          </w:tcPr>
          <w:p w14:paraId="43BB393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22.3</w:t>
            </w:r>
          </w:p>
        </w:tc>
        <w:tc>
          <w:tcPr>
            <w:tcW w:w="379" w:type="pct"/>
            <w:noWrap/>
            <w:vAlign w:val="center"/>
          </w:tcPr>
          <w:p w14:paraId="008F5D96"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22.7</w:t>
            </w:r>
          </w:p>
        </w:tc>
        <w:tc>
          <w:tcPr>
            <w:tcW w:w="376" w:type="pct"/>
            <w:noWrap/>
            <w:vAlign w:val="center"/>
          </w:tcPr>
          <w:p w14:paraId="1705EC1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22.7</w:t>
            </w:r>
          </w:p>
        </w:tc>
      </w:tr>
      <w:tr w:rsidR="005836F0" w:rsidRPr="00EB1AF3" w14:paraId="7EE29848" w14:textId="77777777" w:rsidTr="005836F0">
        <w:trPr>
          <w:cantSplit/>
          <w:trHeight w:val="20"/>
        </w:trPr>
        <w:tc>
          <w:tcPr>
            <w:tcW w:w="5000" w:type="pct"/>
            <w:gridSpan w:val="11"/>
            <w:noWrap/>
            <w:vAlign w:val="center"/>
            <w:hideMark/>
          </w:tcPr>
          <w:p w14:paraId="5AFBFE07" w14:textId="1CFAEEE2" w:rsidR="005836F0" w:rsidRPr="00D23AFA" w:rsidRDefault="005836F0" w:rsidP="00B94D3E">
            <w:pPr>
              <w:rPr>
                <w:rFonts w:cstheme="minorHAnsi"/>
                <w:b/>
                <w:bCs/>
                <w:sz w:val="20"/>
                <w:szCs w:val="20"/>
              </w:rPr>
            </w:pPr>
            <w:r w:rsidRPr="00D23AFA">
              <w:rPr>
                <w:rFonts w:cstheme="minorHAnsi"/>
                <w:b/>
                <w:bCs/>
                <w:color w:val="000000"/>
                <w:sz w:val="20"/>
                <w:szCs w:val="20"/>
              </w:rPr>
              <w:t>Remoteness of mother's usual residence</w:t>
            </w:r>
          </w:p>
        </w:tc>
      </w:tr>
      <w:tr w:rsidR="001D4600" w:rsidRPr="00D23AFA" w14:paraId="15F4192E" w14:textId="77777777" w:rsidTr="00B94D3E">
        <w:trPr>
          <w:cantSplit/>
          <w:trHeight w:val="20"/>
        </w:trPr>
        <w:tc>
          <w:tcPr>
            <w:tcW w:w="1213" w:type="pct"/>
            <w:noWrap/>
            <w:vAlign w:val="center"/>
            <w:hideMark/>
          </w:tcPr>
          <w:p w14:paraId="55F90C8C" w14:textId="77777777" w:rsidR="001D4600" w:rsidRPr="00D23AFA" w:rsidRDefault="001D4600" w:rsidP="001D4600">
            <w:pPr>
              <w:ind w:firstLineChars="100" w:firstLine="200"/>
              <w:rPr>
                <w:rFonts w:cstheme="minorHAnsi"/>
                <w:color w:val="000000"/>
                <w:sz w:val="20"/>
                <w:szCs w:val="20"/>
              </w:rPr>
            </w:pPr>
            <w:r w:rsidRPr="00D23AFA">
              <w:rPr>
                <w:rFonts w:cstheme="minorHAnsi"/>
                <w:color w:val="000000"/>
                <w:sz w:val="20"/>
                <w:szCs w:val="20"/>
              </w:rPr>
              <w:t>Major cities</w:t>
            </w:r>
          </w:p>
        </w:tc>
        <w:tc>
          <w:tcPr>
            <w:tcW w:w="379" w:type="pct"/>
          </w:tcPr>
          <w:p w14:paraId="4E634394" w14:textId="14D65306"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tcPr>
          <w:p w14:paraId="5124741C" w14:textId="3BCDECF7"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noWrap/>
            <w:vAlign w:val="center"/>
          </w:tcPr>
          <w:p w14:paraId="7E872CDC"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19.8</w:t>
            </w:r>
          </w:p>
        </w:tc>
        <w:tc>
          <w:tcPr>
            <w:tcW w:w="379" w:type="pct"/>
            <w:noWrap/>
            <w:vAlign w:val="center"/>
          </w:tcPr>
          <w:p w14:paraId="22D0FA32"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20.3</w:t>
            </w:r>
          </w:p>
        </w:tc>
        <w:tc>
          <w:tcPr>
            <w:tcW w:w="379" w:type="pct"/>
            <w:noWrap/>
            <w:vAlign w:val="center"/>
          </w:tcPr>
          <w:p w14:paraId="461B16D2"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20.9</w:t>
            </w:r>
          </w:p>
        </w:tc>
        <w:tc>
          <w:tcPr>
            <w:tcW w:w="379" w:type="pct"/>
            <w:noWrap/>
            <w:vAlign w:val="center"/>
          </w:tcPr>
          <w:p w14:paraId="18475B25"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21.2</w:t>
            </w:r>
          </w:p>
        </w:tc>
        <w:tc>
          <w:tcPr>
            <w:tcW w:w="379" w:type="pct"/>
            <w:noWrap/>
            <w:vAlign w:val="center"/>
          </w:tcPr>
          <w:p w14:paraId="048060A7"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21.5</w:t>
            </w:r>
          </w:p>
        </w:tc>
        <w:tc>
          <w:tcPr>
            <w:tcW w:w="379" w:type="pct"/>
            <w:noWrap/>
            <w:vAlign w:val="center"/>
          </w:tcPr>
          <w:p w14:paraId="4C08A1B6"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22.5</w:t>
            </w:r>
          </w:p>
        </w:tc>
        <w:tc>
          <w:tcPr>
            <w:tcW w:w="379" w:type="pct"/>
            <w:noWrap/>
            <w:vAlign w:val="center"/>
          </w:tcPr>
          <w:p w14:paraId="0230A20E"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23.2</w:t>
            </w:r>
          </w:p>
        </w:tc>
        <w:tc>
          <w:tcPr>
            <w:tcW w:w="376" w:type="pct"/>
            <w:noWrap/>
            <w:vAlign w:val="center"/>
          </w:tcPr>
          <w:p w14:paraId="1EC5ABE2"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23.5</w:t>
            </w:r>
          </w:p>
        </w:tc>
      </w:tr>
      <w:tr w:rsidR="001D4600" w:rsidRPr="00D23AFA" w14:paraId="3949B58D" w14:textId="77777777" w:rsidTr="00B94D3E">
        <w:trPr>
          <w:cantSplit/>
          <w:trHeight w:val="20"/>
        </w:trPr>
        <w:tc>
          <w:tcPr>
            <w:tcW w:w="1213" w:type="pct"/>
            <w:noWrap/>
            <w:vAlign w:val="center"/>
            <w:hideMark/>
          </w:tcPr>
          <w:p w14:paraId="5076B31B" w14:textId="77777777" w:rsidR="001D4600" w:rsidRPr="00D23AFA" w:rsidRDefault="001D4600" w:rsidP="001D4600">
            <w:pPr>
              <w:ind w:firstLineChars="100" w:firstLine="200"/>
              <w:rPr>
                <w:rFonts w:cstheme="minorHAnsi"/>
                <w:color w:val="000000"/>
                <w:sz w:val="20"/>
                <w:szCs w:val="20"/>
              </w:rPr>
            </w:pPr>
            <w:r w:rsidRPr="00D23AFA">
              <w:rPr>
                <w:rFonts w:cstheme="minorHAnsi"/>
                <w:color w:val="000000"/>
                <w:sz w:val="20"/>
                <w:szCs w:val="20"/>
              </w:rPr>
              <w:t>Inner regional</w:t>
            </w:r>
          </w:p>
        </w:tc>
        <w:tc>
          <w:tcPr>
            <w:tcW w:w="379" w:type="pct"/>
          </w:tcPr>
          <w:p w14:paraId="74C1F1E4" w14:textId="7D3BDA21"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tcPr>
          <w:p w14:paraId="4F69A4EC" w14:textId="66089706"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noWrap/>
            <w:vAlign w:val="center"/>
          </w:tcPr>
          <w:p w14:paraId="22E8DD8F"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17.7</w:t>
            </w:r>
          </w:p>
        </w:tc>
        <w:tc>
          <w:tcPr>
            <w:tcW w:w="379" w:type="pct"/>
            <w:noWrap/>
            <w:vAlign w:val="center"/>
          </w:tcPr>
          <w:p w14:paraId="5A887909"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18.3</w:t>
            </w:r>
          </w:p>
        </w:tc>
        <w:tc>
          <w:tcPr>
            <w:tcW w:w="379" w:type="pct"/>
            <w:noWrap/>
            <w:vAlign w:val="center"/>
          </w:tcPr>
          <w:p w14:paraId="4098300D"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19.0</w:t>
            </w:r>
          </w:p>
        </w:tc>
        <w:tc>
          <w:tcPr>
            <w:tcW w:w="379" w:type="pct"/>
            <w:noWrap/>
            <w:vAlign w:val="center"/>
          </w:tcPr>
          <w:p w14:paraId="29783E23"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19.1</w:t>
            </w:r>
          </w:p>
        </w:tc>
        <w:tc>
          <w:tcPr>
            <w:tcW w:w="379" w:type="pct"/>
            <w:noWrap/>
            <w:vAlign w:val="center"/>
          </w:tcPr>
          <w:p w14:paraId="04F48F46"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19.8</w:t>
            </w:r>
          </w:p>
        </w:tc>
        <w:tc>
          <w:tcPr>
            <w:tcW w:w="379" w:type="pct"/>
            <w:noWrap/>
            <w:vAlign w:val="center"/>
          </w:tcPr>
          <w:p w14:paraId="352919A4"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20.2</w:t>
            </w:r>
          </w:p>
        </w:tc>
        <w:tc>
          <w:tcPr>
            <w:tcW w:w="379" w:type="pct"/>
            <w:noWrap/>
            <w:vAlign w:val="center"/>
          </w:tcPr>
          <w:p w14:paraId="04C97EAD"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21.1</w:t>
            </w:r>
          </w:p>
        </w:tc>
        <w:tc>
          <w:tcPr>
            <w:tcW w:w="376" w:type="pct"/>
            <w:noWrap/>
            <w:vAlign w:val="center"/>
          </w:tcPr>
          <w:p w14:paraId="410D5B02"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20.7</w:t>
            </w:r>
          </w:p>
        </w:tc>
      </w:tr>
      <w:tr w:rsidR="001D4600" w:rsidRPr="00D23AFA" w14:paraId="45EE76D5" w14:textId="77777777" w:rsidTr="00B94D3E">
        <w:trPr>
          <w:cantSplit/>
          <w:trHeight w:val="20"/>
        </w:trPr>
        <w:tc>
          <w:tcPr>
            <w:tcW w:w="1213" w:type="pct"/>
            <w:noWrap/>
            <w:vAlign w:val="center"/>
            <w:hideMark/>
          </w:tcPr>
          <w:p w14:paraId="5BC6C49A" w14:textId="77777777" w:rsidR="001D4600" w:rsidRPr="00D23AFA" w:rsidRDefault="001D4600" w:rsidP="001D4600">
            <w:pPr>
              <w:ind w:firstLineChars="100" w:firstLine="200"/>
              <w:rPr>
                <w:rFonts w:cstheme="minorHAnsi"/>
                <w:color w:val="000000"/>
                <w:sz w:val="20"/>
                <w:szCs w:val="20"/>
              </w:rPr>
            </w:pPr>
            <w:r w:rsidRPr="00D23AFA">
              <w:rPr>
                <w:rFonts w:cstheme="minorHAnsi"/>
                <w:color w:val="000000"/>
                <w:sz w:val="20"/>
                <w:szCs w:val="20"/>
              </w:rPr>
              <w:t>Outer regional</w:t>
            </w:r>
          </w:p>
        </w:tc>
        <w:tc>
          <w:tcPr>
            <w:tcW w:w="379" w:type="pct"/>
          </w:tcPr>
          <w:p w14:paraId="737134BD" w14:textId="7C2C12BB"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tcPr>
          <w:p w14:paraId="59012CF9" w14:textId="7296A31C"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noWrap/>
            <w:vAlign w:val="center"/>
          </w:tcPr>
          <w:p w14:paraId="1D271F1B"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18.5</w:t>
            </w:r>
          </w:p>
        </w:tc>
        <w:tc>
          <w:tcPr>
            <w:tcW w:w="379" w:type="pct"/>
            <w:noWrap/>
            <w:vAlign w:val="center"/>
          </w:tcPr>
          <w:p w14:paraId="00E10FB3"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18.7</w:t>
            </w:r>
          </w:p>
        </w:tc>
        <w:tc>
          <w:tcPr>
            <w:tcW w:w="379" w:type="pct"/>
            <w:noWrap/>
            <w:vAlign w:val="center"/>
          </w:tcPr>
          <w:p w14:paraId="5524050B"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19.1</w:t>
            </w:r>
          </w:p>
        </w:tc>
        <w:tc>
          <w:tcPr>
            <w:tcW w:w="379" w:type="pct"/>
            <w:noWrap/>
            <w:vAlign w:val="center"/>
          </w:tcPr>
          <w:p w14:paraId="61E2479E"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18.8</w:t>
            </w:r>
          </w:p>
        </w:tc>
        <w:tc>
          <w:tcPr>
            <w:tcW w:w="379" w:type="pct"/>
            <w:noWrap/>
            <w:vAlign w:val="center"/>
          </w:tcPr>
          <w:p w14:paraId="40E26EC9"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19.9</w:t>
            </w:r>
          </w:p>
        </w:tc>
        <w:tc>
          <w:tcPr>
            <w:tcW w:w="379" w:type="pct"/>
            <w:noWrap/>
            <w:vAlign w:val="center"/>
          </w:tcPr>
          <w:p w14:paraId="49C0EE8F"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20.2</w:t>
            </w:r>
          </w:p>
        </w:tc>
        <w:tc>
          <w:tcPr>
            <w:tcW w:w="379" w:type="pct"/>
            <w:noWrap/>
            <w:vAlign w:val="center"/>
          </w:tcPr>
          <w:p w14:paraId="098CC01D"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20.8</w:t>
            </w:r>
          </w:p>
        </w:tc>
        <w:tc>
          <w:tcPr>
            <w:tcW w:w="376" w:type="pct"/>
            <w:noWrap/>
            <w:vAlign w:val="center"/>
          </w:tcPr>
          <w:p w14:paraId="77B2DC0B"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20.6</w:t>
            </w:r>
          </w:p>
        </w:tc>
      </w:tr>
      <w:tr w:rsidR="001D4600" w:rsidRPr="00D23AFA" w14:paraId="626B0B71" w14:textId="77777777" w:rsidTr="00B94D3E">
        <w:trPr>
          <w:cantSplit/>
          <w:trHeight w:val="20"/>
        </w:trPr>
        <w:tc>
          <w:tcPr>
            <w:tcW w:w="1213" w:type="pct"/>
            <w:noWrap/>
            <w:vAlign w:val="center"/>
            <w:hideMark/>
          </w:tcPr>
          <w:p w14:paraId="68519B0C" w14:textId="77777777" w:rsidR="001D4600" w:rsidRPr="00D23AFA" w:rsidRDefault="001D4600" w:rsidP="001D4600">
            <w:pPr>
              <w:ind w:firstLineChars="100" w:firstLine="200"/>
              <w:rPr>
                <w:rFonts w:cstheme="minorHAnsi"/>
                <w:color w:val="000000"/>
                <w:sz w:val="20"/>
                <w:szCs w:val="20"/>
              </w:rPr>
            </w:pPr>
            <w:r w:rsidRPr="00D23AFA">
              <w:rPr>
                <w:rFonts w:cstheme="minorHAnsi"/>
                <w:color w:val="000000"/>
                <w:sz w:val="20"/>
                <w:szCs w:val="20"/>
              </w:rPr>
              <w:t>Remote</w:t>
            </w:r>
          </w:p>
        </w:tc>
        <w:tc>
          <w:tcPr>
            <w:tcW w:w="379" w:type="pct"/>
          </w:tcPr>
          <w:p w14:paraId="1DB61B1D" w14:textId="41D77BC1"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tcPr>
          <w:p w14:paraId="6E3AF5C2" w14:textId="17FC5286"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noWrap/>
            <w:vAlign w:val="center"/>
          </w:tcPr>
          <w:p w14:paraId="66F30597"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17.8</w:t>
            </w:r>
          </w:p>
        </w:tc>
        <w:tc>
          <w:tcPr>
            <w:tcW w:w="379" w:type="pct"/>
            <w:noWrap/>
            <w:vAlign w:val="center"/>
          </w:tcPr>
          <w:p w14:paraId="142A6446"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17.9</w:t>
            </w:r>
          </w:p>
        </w:tc>
        <w:tc>
          <w:tcPr>
            <w:tcW w:w="379" w:type="pct"/>
            <w:noWrap/>
            <w:vAlign w:val="center"/>
          </w:tcPr>
          <w:p w14:paraId="395592EB"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18.4</w:t>
            </w:r>
          </w:p>
        </w:tc>
        <w:tc>
          <w:tcPr>
            <w:tcW w:w="379" w:type="pct"/>
            <w:noWrap/>
            <w:vAlign w:val="center"/>
          </w:tcPr>
          <w:p w14:paraId="22F211C5"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18.3</w:t>
            </w:r>
          </w:p>
        </w:tc>
        <w:tc>
          <w:tcPr>
            <w:tcW w:w="379" w:type="pct"/>
            <w:noWrap/>
            <w:vAlign w:val="center"/>
          </w:tcPr>
          <w:p w14:paraId="3BA08896"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19.0</w:t>
            </w:r>
          </w:p>
        </w:tc>
        <w:tc>
          <w:tcPr>
            <w:tcW w:w="379" w:type="pct"/>
            <w:noWrap/>
            <w:vAlign w:val="center"/>
          </w:tcPr>
          <w:p w14:paraId="18A4AA0D"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19.6</w:t>
            </w:r>
          </w:p>
        </w:tc>
        <w:tc>
          <w:tcPr>
            <w:tcW w:w="379" w:type="pct"/>
            <w:noWrap/>
            <w:vAlign w:val="center"/>
          </w:tcPr>
          <w:p w14:paraId="001C7A1C"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19.8</w:t>
            </w:r>
          </w:p>
        </w:tc>
        <w:tc>
          <w:tcPr>
            <w:tcW w:w="376" w:type="pct"/>
            <w:noWrap/>
            <w:vAlign w:val="center"/>
          </w:tcPr>
          <w:p w14:paraId="5F853F4A"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19.8</w:t>
            </w:r>
          </w:p>
        </w:tc>
      </w:tr>
      <w:tr w:rsidR="001D4600" w:rsidRPr="00D23AFA" w14:paraId="2D1B970D" w14:textId="77777777" w:rsidTr="00B94D3E">
        <w:trPr>
          <w:cantSplit/>
          <w:trHeight w:val="20"/>
        </w:trPr>
        <w:tc>
          <w:tcPr>
            <w:tcW w:w="1213" w:type="pct"/>
            <w:noWrap/>
            <w:vAlign w:val="center"/>
            <w:hideMark/>
          </w:tcPr>
          <w:p w14:paraId="3FA2DDB2" w14:textId="77777777" w:rsidR="001D4600" w:rsidRPr="00D23AFA" w:rsidRDefault="001D4600" w:rsidP="001D4600">
            <w:pPr>
              <w:ind w:firstLineChars="100" w:firstLine="200"/>
              <w:rPr>
                <w:rFonts w:cstheme="minorHAnsi"/>
                <w:color w:val="000000"/>
                <w:sz w:val="20"/>
                <w:szCs w:val="20"/>
              </w:rPr>
            </w:pPr>
            <w:r w:rsidRPr="00D23AFA">
              <w:rPr>
                <w:rFonts w:cstheme="minorHAnsi"/>
                <w:color w:val="000000"/>
                <w:sz w:val="20"/>
                <w:szCs w:val="20"/>
              </w:rPr>
              <w:t>Very remote</w:t>
            </w:r>
          </w:p>
        </w:tc>
        <w:tc>
          <w:tcPr>
            <w:tcW w:w="379" w:type="pct"/>
          </w:tcPr>
          <w:p w14:paraId="661FC1DD" w14:textId="02B383A4"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tcPr>
          <w:p w14:paraId="6B5D3112" w14:textId="45F6A124" w:rsidR="001D4600" w:rsidRPr="00946433" w:rsidRDefault="001D4600" w:rsidP="001D4600">
            <w:pPr>
              <w:jc w:val="right"/>
              <w:rPr>
                <w:rFonts w:cstheme="minorHAnsi"/>
                <w:color w:val="000000"/>
                <w:sz w:val="20"/>
                <w:szCs w:val="20"/>
              </w:rPr>
            </w:pPr>
            <w:r w:rsidRPr="00517359">
              <w:rPr>
                <w:rFonts w:cstheme="minorHAnsi"/>
                <w:color w:val="000000"/>
                <w:sz w:val="20"/>
                <w:szCs w:val="20"/>
              </w:rPr>
              <w:t>n.a.</w:t>
            </w:r>
          </w:p>
        </w:tc>
        <w:tc>
          <w:tcPr>
            <w:tcW w:w="379" w:type="pct"/>
            <w:noWrap/>
            <w:vAlign w:val="center"/>
          </w:tcPr>
          <w:p w14:paraId="71306E0E"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16.8</w:t>
            </w:r>
          </w:p>
        </w:tc>
        <w:tc>
          <w:tcPr>
            <w:tcW w:w="379" w:type="pct"/>
            <w:noWrap/>
            <w:vAlign w:val="center"/>
          </w:tcPr>
          <w:p w14:paraId="69FB0C4A"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17.4</w:t>
            </w:r>
          </w:p>
        </w:tc>
        <w:tc>
          <w:tcPr>
            <w:tcW w:w="379" w:type="pct"/>
            <w:noWrap/>
            <w:vAlign w:val="center"/>
          </w:tcPr>
          <w:p w14:paraId="5F1360CD"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18.4</w:t>
            </w:r>
          </w:p>
        </w:tc>
        <w:tc>
          <w:tcPr>
            <w:tcW w:w="379" w:type="pct"/>
            <w:noWrap/>
            <w:vAlign w:val="center"/>
          </w:tcPr>
          <w:p w14:paraId="05758439"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17.7</w:t>
            </w:r>
          </w:p>
        </w:tc>
        <w:tc>
          <w:tcPr>
            <w:tcW w:w="379" w:type="pct"/>
            <w:noWrap/>
            <w:vAlign w:val="center"/>
          </w:tcPr>
          <w:p w14:paraId="085E39D4"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20.2</w:t>
            </w:r>
          </w:p>
        </w:tc>
        <w:tc>
          <w:tcPr>
            <w:tcW w:w="379" w:type="pct"/>
            <w:noWrap/>
            <w:vAlign w:val="center"/>
          </w:tcPr>
          <w:p w14:paraId="21DD398F"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20.1</w:t>
            </w:r>
          </w:p>
        </w:tc>
        <w:tc>
          <w:tcPr>
            <w:tcW w:w="379" w:type="pct"/>
            <w:noWrap/>
            <w:vAlign w:val="center"/>
          </w:tcPr>
          <w:p w14:paraId="3EF5D7A0"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18.8</w:t>
            </w:r>
          </w:p>
        </w:tc>
        <w:tc>
          <w:tcPr>
            <w:tcW w:w="376" w:type="pct"/>
            <w:noWrap/>
            <w:vAlign w:val="center"/>
          </w:tcPr>
          <w:p w14:paraId="785DE332" w14:textId="77777777" w:rsidR="001D4600" w:rsidRPr="00D23AFA" w:rsidRDefault="001D4600" w:rsidP="001D4600">
            <w:pPr>
              <w:jc w:val="right"/>
              <w:rPr>
                <w:rFonts w:cstheme="minorHAnsi"/>
                <w:color w:val="000000"/>
                <w:sz w:val="20"/>
                <w:szCs w:val="20"/>
              </w:rPr>
            </w:pPr>
            <w:r w:rsidRPr="00946433">
              <w:rPr>
                <w:rFonts w:cstheme="minorHAnsi"/>
                <w:color w:val="000000"/>
                <w:sz w:val="20"/>
                <w:szCs w:val="20"/>
              </w:rPr>
              <w:t>19.5</w:t>
            </w:r>
          </w:p>
        </w:tc>
      </w:tr>
      <w:tr w:rsidR="005836F0" w:rsidRPr="00EB1AF3" w14:paraId="7B7D350A" w14:textId="77777777" w:rsidTr="005836F0">
        <w:trPr>
          <w:cantSplit/>
          <w:trHeight w:val="20"/>
        </w:trPr>
        <w:tc>
          <w:tcPr>
            <w:tcW w:w="5000" w:type="pct"/>
            <w:gridSpan w:val="11"/>
            <w:noWrap/>
            <w:vAlign w:val="center"/>
            <w:hideMark/>
          </w:tcPr>
          <w:p w14:paraId="698E2ADD" w14:textId="5EBAACCA" w:rsidR="005836F0" w:rsidRPr="00D23AFA" w:rsidRDefault="005836F0" w:rsidP="00B94D3E">
            <w:pPr>
              <w:rPr>
                <w:rFonts w:cstheme="minorHAnsi"/>
                <w:b/>
                <w:bCs/>
                <w:sz w:val="20"/>
                <w:szCs w:val="20"/>
              </w:rPr>
            </w:pPr>
            <w:r w:rsidRPr="00D23AFA">
              <w:rPr>
                <w:rFonts w:cstheme="minorHAnsi"/>
                <w:b/>
                <w:bCs/>
                <w:color w:val="000000"/>
                <w:sz w:val="20"/>
                <w:szCs w:val="20"/>
              </w:rPr>
              <w:t>Hospital sector</w:t>
            </w:r>
          </w:p>
        </w:tc>
      </w:tr>
      <w:tr w:rsidR="001D4600" w:rsidRPr="00D23AFA" w14:paraId="6F7D6151" w14:textId="77777777" w:rsidTr="00B94D3E">
        <w:trPr>
          <w:cantSplit/>
          <w:trHeight w:val="20"/>
        </w:trPr>
        <w:tc>
          <w:tcPr>
            <w:tcW w:w="1213" w:type="pct"/>
            <w:noWrap/>
            <w:vAlign w:val="center"/>
            <w:hideMark/>
          </w:tcPr>
          <w:p w14:paraId="0D68C7CF"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Private</w:t>
            </w:r>
          </w:p>
        </w:tc>
        <w:tc>
          <w:tcPr>
            <w:tcW w:w="379" w:type="pct"/>
            <w:vAlign w:val="center"/>
          </w:tcPr>
          <w:p w14:paraId="07C5F764"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29.0</w:t>
            </w:r>
          </w:p>
        </w:tc>
        <w:tc>
          <w:tcPr>
            <w:tcW w:w="379" w:type="pct"/>
            <w:vAlign w:val="center"/>
          </w:tcPr>
          <w:p w14:paraId="50B06ABA"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29.2</w:t>
            </w:r>
          </w:p>
        </w:tc>
        <w:tc>
          <w:tcPr>
            <w:tcW w:w="379" w:type="pct"/>
            <w:noWrap/>
            <w:vAlign w:val="center"/>
          </w:tcPr>
          <w:p w14:paraId="1AFB52A4"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29.9</w:t>
            </w:r>
          </w:p>
        </w:tc>
        <w:tc>
          <w:tcPr>
            <w:tcW w:w="379" w:type="pct"/>
            <w:noWrap/>
            <w:vAlign w:val="center"/>
          </w:tcPr>
          <w:p w14:paraId="369E14BA"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30.5</w:t>
            </w:r>
          </w:p>
        </w:tc>
        <w:tc>
          <w:tcPr>
            <w:tcW w:w="379" w:type="pct"/>
            <w:noWrap/>
            <w:vAlign w:val="center"/>
          </w:tcPr>
          <w:p w14:paraId="698DF16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31.6</w:t>
            </w:r>
          </w:p>
        </w:tc>
        <w:tc>
          <w:tcPr>
            <w:tcW w:w="379" w:type="pct"/>
            <w:noWrap/>
            <w:vAlign w:val="center"/>
          </w:tcPr>
          <w:p w14:paraId="05738B83"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32.1</w:t>
            </w:r>
          </w:p>
        </w:tc>
        <w:tc>
          <w:tcPr>
            <w:tcW w:w="379" w:type="pct"/>
            <w:noWrap/>
            <w:vAlign w:val="center"/>
          </w:tcPr>
          <w:p w14:paraId="3CBBDACF"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33.3</w:t>
            </w:r>
          </w:p>
        </w:tc>
        <w:tc>
          <w:tcPr>
            <w:tcW w:w="379" w:type="pct"/>
            <w:noWrap/>
            <w:vAlign w:val="center"/>
          </w:tcPr>
          <w:p w14:paraId="0DC61636"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34.1</w:t>
            </w:r>
          </w:p>
        </w:tc>
        <w:tc>
          <w:tcPr>
            <w:tcW w:w="379" w:type="pct"/>
            <w:noWrap/>
            <w:vAlign w:val="center"/>
          </w:tcPr>
          <w:p w14:paraId="034ED563"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34.9</w:t>
            </w:r>
          </w:p>
        </w:tc>
        <w:tc>
          <w:tcPr>
            <w:tcW w:w="376" w:type="pct"/>
            <w:noWrap/>
            <w:vAlign w:val="center"/>
          </w:tcPr>
          <w:p w14:paraId="025CDA2F"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35.6</w:t>
            </w:r>
          </w:p>
        </w:tc>
      </w:tr>
      <w:tr w:rsidR="001D4600" w:rsidRPr="00D23AFA" w14:paraId="0E89E9CC" w14:textId="77777777" w:rsidTr="00B94D3E">
        <w:trPr>
          <w:cantSplit/>
          <w:trHeight w:val="20"/>
        </w:trPr>
        <w:tc>
          <w:tcPr>
            <w:tcW w:w="1213" w:type="pct"/>
            <w:noWrap/>
            <w:vAlign w:val="center"/>
            <w:hideMark/>
          </w:tcPr>
          <w:p w14:paraId="380B6619" w14:textId="77777777" w:rsidR="001D4600" w:rsidRPr="00D23AFA" w:rsidRDefault="001D4600" w:rsidP="00AF0ADF">
            <w:pPr>
              <w:ind w:firstLineChars="100" w:firstLine="200"/>
              <w:rPr>
                <w:rFonts w:cstheme="minorHAnsi"/>
                <w:color w:val="000000"/>
                <w:sz w:val="20"/>
                <w:szCs w:val="20"/>
              </w:rPr>
            </w:pPr>
            <w:r w:rsidRPr="00D23AFA">
              <w:rPr>
                <w:rFonts w:cstheme="minorHAnsi"/>
                <w:color w:val="000000"/>
                <w:sz w:val="20"/>
                <w:szCs w:val="20"/>
              </w:rPr>
              <w:t>Public</w:t>
            </w:r>
          </w:p>
        </w:tc>
        <w:tc>
          <w:tcPr>
            <w:tcW w:w="379" w:type="pct"/>
            <w:vAlign w:val="center"/>
          </w:tcPr>
          <w:p w14:paraId="2858A8B9"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15.3</w:t>
            </w:r>
          </w:p>
        </w:tc>
        <w:tc>
          <w:tcPr>
            <w:tcW w:w="379" w:type="pct"/>
            <w:vAlign w:val="center"/>
          </w:tcPr>
          <w:p w14:paraId="6C4D7A4D" w14:textId="77777777" w:rsidR="001D4600" w:rsidRPr="00946433" w:rsidRDefault="001D4600" w:rsidP="00AF0ADF">
            <w:pPr>
              <w:jc w:val="right"/>
              <w:rPr>
                <w:rFonts w:cstheme="minorHAnsi"/>
                <w:color w:val="000000"/>
                <w:sz w:val="20"/>
                <w:szCs w:val="20"/>
              </w:rPr>
            </w:pPr>
            <w:r w:rsidRPr="00946433">
              <w:rPr>
                <w:rFonts w:cstheme="minorHAnsi"/>
                <w:color w:val="000000"/>
                <w:sz w:val="20"/>
                <w:szCs w:val="20"/>
              </w:rPr>
              <w:t>15.9</w:t>
            </w:r>
          </w:p>
        </w:tc>
        <w:tc>
          <w:tcPr>
            <w:tcW w:w="379" w:type="pct"/>
            <w:noWrap/>
            <w:vAlign w:val="center"/>
          </w:tcPr>
          <w:p w14:paraId="7359C58B"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16.0</w:t>
            </w:r>
          </w:p>
        </w:tc>
        <w:tc>
          <w:tcPr>
            <w:tcW w:w="379" w:type="pct"/>
            <w:noWrap/>
            <w:vAlign w:val="center"/>
          </w:tcPr>
          <w:p w14:paraId="55FC6326"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16.2</w:t>
            </w:r>
          </w:p>
        </w:tc>
        <w:tc>
          <w:tcPr>
            <w:tcW w:w="379" w:type="pct"/>
            <w:noWrap/>
            <w:vAlign w:val="center"/>
          </w:tcPr>
          <w:p w14:paraId="4E749A2C"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16.8</w:t>
            </w:r>
          </w:p>
        </w:tc>
        <w:tc>
          <w:tcPr>
            <w:tcW w:w="379" w:type="pct"/>
            <w:noWrap/>
            <w:vAlign w:val="center"/>
          </w:tcPr>
          <w:p w14:paraId="6A4B5D01"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17.0</w:t>
            </w:r>
          </w:p>
        </w:tc>
        <w:tc>
          <w:tcPr>
            <w:tcW w:w="379" w:type="pct"/>
            <w:noWrap/>
            <w:vAlign w:val="center"/>
          </w:tcPr>
          <w:p w14:paraId="683BD317"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17.4</w:t>
            </w:r>
          </w:p>
        </w:tc>
        <w:tc>
          <w:tcPr>
            <w:tcW w:w="379" w:type="pct"/>
            <w:noWrap/>
            <w:vAlign w:val="center"/>
          </w:tcPr>
          <w:p w14:paraId="5A1E107D"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18.6</w:t>
            </w:r>
          </w:p>
        </w:tc>
        <w:tc>
          <w:tcPr>
            <w:tcW w:w="379" w:type="pct"/>
            <w:noWrap/>
            <w:vAlign w:val="center"/>
          </w:tcPr>
          <w:p w14:paraId="4E6B8445"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19.5</w:t>
            </w:r>
          </w:p>
        </w:tc>
        <w:tc>
          <w:tcPr>
            <w:tcW w:w="376" w:type="pct"/>
            <w:noWrap/>
            <w:vAlign w:val="center"/>
          </w:tcPr>
          <w:p w14:paraId="0DBE2462" w14:textId="77777777" w:rsidR="001D4600" w:rsidRPr="00D23AFA" w:rsidRDefault="001D4600" w:rsidP="00AF0ADF">
            <w:pPr>
              <w:jc w:val="right"/>
              <w:rPr>
                <w:rFonts w:cstheme="minorHAnsi"/>
                <w:color w:val="000000"/>
                <w:sz w:val="20"/>
                <w:szCs w:val="20"/>
              </w:rPr>
            </w:pPr>
            <w:r w:rsidRPr="00946433">
              <w:rPr>
                <w:rFonts w:cstheme="minorHAnsi"/>
                <w:color w:val="000000"/>
                <w:sz w:val="20"/>
                <w:szCs w:val="20"/>
              </w:rPr>
              <w:t>19.5</w:t>
            </w:r>
          </w:p>
        </w:tc>
      </w:tr>
    </w:tbl>
    <w:p w14:paraId="033B0A03" w14:textId="32FD7126" w:rsidR="007E0467" w:rsidRPr="00E8746E" w:rsidRDefault="007E0467" w:rsidP="007E0467">
      <w:r>
        <w:rPr>
          <w:rFonts w:cstheme="minorHAnsi"/>
          <w:color w:val="000000"/>
          <w:sz w:val="20"/>
          <w:szCs w:val="20"/>
        </w:rPr>
        <w:t>n.a.</w:t>
      </w:r>
      <w:r w:rsidRPr="007667EF">
        <w:rPr>
          <w:sz w:val="18"/>
          <w:szCs w:val="18"/>
        </w:rPr>
        <w:t xml:space="preserve">: </w:t>
      </w:r>
      <w:r>
        <w:rPr>
          <w:sz w:val="18"/>
          <w:szCs w:val="18"/>
        </w:rPr>
        <w:t>data not available</w:t>
      </w:r>
      <w:r w:rsidR="009C3E6A">
        <w:rPr>
          <w:sz w:val="18"/>
          <w:szCs w:val="18"/>
        </w:rPr>
        <w:t>.</w:t>
      </w:r>
    </w:p>
    <w:p w14:paraId="75F56FF1" w14:textId="77777777" w:rsidR="00B94D3E" w:rsidRDefault="00B94D3E" w:rsidP="007E0467">
      <w:pPr>
        <w:ind w:left="360" w:hanging="360"/>
        <w:rPr>
          <w:b/>
          <w:bCs/>
          <w:sz w:val="18"/>
          <w:szCs w:val="18"/>
        </w:rPr>
      </w:pPr>
    </w:p>
    <w:p w14:paraId="0AFBBB15" w14:textId="40682237" w:rsidR="007E0467" w:rsidRPr="00940A8B" w:rsidRDefault="007E0467" w:rsidP="007E0467">
      <w:pPr>
        <w:ind w:left="360" w:hanging="360"/>
        <w:rPr>
          <w:b/>
          <w:bCs/>
          <w:sz w:val="18"/>
          <w:szCs w:val="18"/>
        </w:rPr>
      </w:pPr>
      <w:r w:rsidRPr="00940A8B">
        <w:rPr>
          <w:b/>
          <w:bCs/>
          <w:sz w:val="18"/>
          <w:szCs w:val="18"/>
        </w:rPr>
        <w:t>Data notes</w:t>
      </w:r>
    </w:p>
    <w:p w14:paraId="3C62AB71" w14:textId="77777777" w:rsidR="00AF0ADF" w:rsidRPr="00940A8B" w:rsidRDefault="00AF0ADF" w:rsidP="008D3FB5">
      <w:pPr>
        <w:pStyle w:val="pf0"/>
        <w:numPr>
          <w:ilvl w:val="0"/>
          <w:numId w:val="32"/>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Country of birth (mother): Prior to 2012, data were mapped to the ABS 2008 Standard Australian Classification of Countries (SACC). Between 2012 and 2016, data were mapped to the ABS 2011 SACC. From 2017, data were mapped to the ABS 2016 SACC, with the exception of Qld which used the ABS 2011 SACC until 30 June 2017.</w:t>
      </w:r>
    </w:p>
    <w:p w14:paraId="3057E1E6" w14:textId="77777777" w:rsidR="00AF0ADF" w:rsidRPr="00940A8B" w:rsidRDefault="00AF0ADF" w:rsidP="008D3FB5">
      <w:pPr>
        <w:pStyle w:val="pf0"/>
        <w:numPr>
          <w:ilvl w:val="0"/>
          <w:numId w:val="32"/>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Hospital sector: Includes women who gave birth in hospital only (excludes birth centres attached to hospitals).</w:t>
      </w:r>
    </w:p>
    <w:p w14:paraId="3681F1D9" w14:textId="77777777" w:rsidR="00AF0ADF" w:rsidRPr="00940A8B" w:rsidRDefault="00AF0ADF" w:rsidP="008D3FB5">
      <w:pPr>
        <w:pStyle w:val="pf0"/>
        <w:numPr>
          <w:ilvl w:val="0"/>
          <w:numId w:val="32"/>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Indigenous status (mother, age-standardised): Percentages are directly age-standardised using the 30 June 2001 Australian female Estimated Resident Population (ERP) aged 15–44 as the standard population. Five-year age groups are used for age-standardisation. The lowest age group was 15–19 years and the highest was 40–44 years.</w:t>
      </w:r>
    </w:p>
    <w:p w14:paraId="00D191AC" w14:textId="7EA7B495" w:rsidR="002D3C98" w:rsidRDefault="00AF0ADF" w:rsidP="008D3FB5">
      <w:pPr>
        <w:pStyle w:val="pf0"/>
        <w:numPr>
          <w:ilvl w:val="0"/>
          <w:numId w:val="32"/>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 xml:space="preserve">Remoteness area: 1. Between 2012 and 2016, Remoteness area derived by applying ABS 2011 Australian Statistical Geography Standard (ASGS) to area of mother’s usual residence. From 2017, Remoteness area derived by applying ABS 2016 ASGS. Remoteness area only calculated where geographic area of usual residence was provided. Excludes mothers not usually resident in </w:t>
      </w:r>
      <w:r w:rsidRPr="003B2978">
        <w:rPr>
          <w:rFonts w:asciiTheme="minorHAnsi" w:hAnsiTheme="minorHAnsi"/>
          <w:sz w:val="18"/>
          <w:szCs w:val="18"/>
        </w:rPr>
        <w:t>Australia and those whose state or territory of usual residence was ‘Not stated’. 2. Data may not add to the total due to rounding.</w:t>
      </w:r>
    </w:p>
    <w:p w14:paraId="54DA6BDF" w14:textId="785C1D00" w:rsidR="002D3C98" w:rsidRPr="00B94D3E" w:rsidRDefault="002D3C98" w:rsidP="008D3FB5">
      <w:pPr>
        <w:pStyle w:val="pf0"/>
        <w:numPr>
          <w:ilvl w:val="0"/>
          <w:numId w:val="32"/>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National Perinatal Data Collection annual update 2020—data tables</w:t>
      </w:r>
    </w:p>
    <w:p w14:paraId="32A20E52" w14:textId="77777777" w:rsidR="00AF0ADF" w:rsidRDefault="00AF0ADF" w:rsidP="00AF0ADF"/>
    <w:p w14:paraId="606AC007" w14:textId="77777777" w:rsidR="00A54FC0" w:rsidRDefault="00A54FC0">
      <w:pPr>
        <w:rPr>
          <w:b/>
          <w:bCs/>
          <w:color w:val="0398D7"/>
          <w:szCs w:val="18"/>
        </w:rPr>
      </w:pPr>
      <w:bookmarkStart w:id="421" w:name="_Ref117123142"/>
      <w:r>
        <w:br w:type="page"/>
      </w:r>
    </w:p>
    <w:p w14:paraId="0E0C2A92" w14:textId="7ED7C0A2" w:rsidR="00AF0ADF" w:rsidRPr="0054118D" w:rsidRDefault="00AF0ADF" w:rsidP="00AF0ADF">
      <w:pPr>
        <w:pStyle w:val="Caption"/>
        <w:rPr>
          <w:sz w:val="20"/>
          <w:szCs w:val="20"/>
        </w:rPr>
      </w:pPr>
      <w:bookmarkStart w:id="422" w:name="_Ref117927732"/>
      <w:bookmarkStart w:id="423" w:name="_Toc121429193"/>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17</w:t>
      </w:r>
      <w:r w:rsidR="00A64FC5" w:rsidRPr="0054118D">
        <w:rPr>
          <w:noProof/>
          <w:sz w:val="20"/>
          <w:szCs w:val="20"/>
        </w:rPr>
        <w:fldChar w:fldCharType="end"/>
      </w:r>
      <w:bookmarkEnd w:id="421"/>
      <w:bookmarkEnd w:id="422"/>
      <w:r w:rsidRPr="0054118D">
        <w:rPr>
          <w:sz w:val="20"/>
          <w:szCs w:val="20"/>
        </w:rPr>
        <w:tab/>
        <w:t>Spontaneous labour, 2010–</w:t>
      </w:r>
      <w:r w:rsidR="00A166CD" w:rsidRPr="0054118D">
        <w:rPr>
          <w:sz w:val="20"/>
          <w:szCs w:val="20"/>
        </w:rPr>
        <w:t>2019</w:t>
      </w:r>
      <w:bookmarkEnd w:id="423"/>
    </w:p>
    <w:tbl>
      <w:tblPr>
        <w:tblStyle w:val="TableGrid"/>
        <w:tblW w:w="4648" w:type="pct"/>
        <w:tblLayout w:type="fixed"/>
        <w:tblLook w:val="04A0" w:firstRow="1" w:lastRow="0" w:firstColumn="1" w:lastColumn="0" w:noHBand="0" w:noVBand="1"/>
      </w:tblPr>
      <w:tblGrid>
        <w:gridCol w:w="2223"/>
        <w:gridCol w:w="695"/>
        <w:gridCol w:w="695"/>
        <w:gridCol w:w="695"/>
        <w:gridCol w:w="694"/>
        <w:gridCol w:w="694"/>
        <w:gridCol w:w="694"/>
        <w:gridCol w:w="694"/>
        <w:gridCol w:w="694"/>
        <w:gridCol w:w="694"/>
        <w:gridCol w:w="689"/>
      </w:tblGrid>
      <w:tr w:rsidR="006F5521" w:rsidRPr="00EB1AF3" w14:paraId="581EDC2A" w14:textId="77777777" w:rsidTr="00B94D3E">
        <w:trPr>
          <w:cantSplit/>
          <w:trHeight w:val="20"/>
          <w:tblHeader/>
        </w:trPr>
        <w:tc>
          <w:tcPr>
            <w:tcW w:w="1213" w:type="pct"/>
            <w:noWrap/>
            <w:vAlign w:val="center"/>
            <w:hideMark/>
          </w:tcPr>
          <w:p w14:paraId="03C9E129" w14:textId="77777777" w:rsidR="006F5521" w:rsidRPr="00D23AFA" w:rsidRDefault="006F5521" w:rsidP="00AF0ADF">
            <w:pPr>
              <w:ind w:firstLineChars="100" w:firstLine="201"/>
              <w:rPr>
                <w:rFonts w:cstheme="minorHAnsi"/>
                <w:b/>
                <w:bCs/>
                <w:color w:val="000000"/>
                <w:sz w:val="20"/>
                <w:szCs w:val="20"/>
              </w:rPr>
            </w:pPr>
          </w:p>
        </w:tc>
        <w:tc>
          <w:tcPr>
            <w:tcW w:w="379" w:type="pct"/>
            <w:vAlign w:val="center"/>
          </w:tcPr>
          <w:p w14:paraId="72CF8542" w14:textId="77777777" w:rsidR="006F5521" w:rsidRPr="00D23AFA" w:rsidRDefault="006F5521" w:rsidP="00B94D3E">
            <w:pPr>
              <w:jc w:val="center"/>
              <w:rPr>
                <w:rFonts w:cstheme="minorHAnsi"/>
                <w:b/>
                <w:bCs/>
                <w:color w:val="000000"/>
                <w:sz w:val="20"/>
                <w:szCs w:val="20"/>
              </w:rPr>
            </w:pPr>
            <w:r>
              <w:rPr>
                <w:rFonts w:cstheme="minorHAnsi"/>
                <w:b/>
                <w:bCs/>
                <w:color w:val="000000"/>
                <w:sz w:val="20"/>
                <w:szCs w:val="20"/>
              </w:rPr>
              <w:t>2010</w:t>
            </w:r>
          </w:p>
        </w:tc>
        <w:tc>
          <w:tcPr>
            <w:tcW w:w="379" w:type="pct"/>
            <w:vAlign w:val="center"/>
          </w:tcPr>
          <w:p w14:paraId="1E382AFE" w14:textId="77777777" w:rsidR="006F5521" w:rsidRPr="00D23AFA" w:rsidRDefault="006F5521" w:rsidP="00B94D3E">
            <w:pPr>
              <w:jc w:val="center"/>
              <w:rPr>
                <w:rFonts w:cstheme="minorHAnsi"/>
                <w:b/>
                <w:bCs/>
                <w:color w:val="000000"/>
                <w:sz w:val="20"/>
                <w:szCs w:val="20"/>
              </w:rPr>
            </w:pPr>
            <w:r>
              <w:rPr>
                <w:rFonts w:cstheme="minorHAnsi"/>
                <w:b/>
                <w:bCs/>
                <w:color w:val="000000"/>
                <w:sz w:val="20"/>
                <w:szCs w:val="20"/>
              </w:rPr>
              <w:t>2011</w:t>
            </w:r>
          </w:p>
        </w:tc>
        <w:tc>
          <w:tcPr>
            <w:tcW w:w="379" w:type="pct"/>
            <w:noWrap/>
            <w:vAlign w:val="center"/>
            <w:hideMark/>
          </w:tcPr>
          <w:p w14:paraId="6BD6090B" w14:textId="77777777" w:rsidR="006F5521" w:rsidRPr="00D23AFA" w:rsidRDefault="006F5521" w:rsidP="00B94D3E">
            <w:pPr>
              <w:jc w:val="center"/>
              <w:rPr>
                <w:rFonts w:cstheme="minorHAnsi"/>
                <w:b/>
                <w:bCs/>
                <w:color w:val="000000"/>
                <w:sz w:val="20"/>
                <w:szCs w:val="20"/>
              </w:rPr>
            </w:pPr>
            <w:r w:rsidRPr="00D23AFA">
              <w:rPr>
                <w:rFonts w:cstheme="minorHAnsi"/>
                <w:b/>
                <w:bCs/>
                <w:color w:val="000000"/>
                <w:sz w:val="20"/>
                <w:szCs w:val="20"/>
              </w:rPr>
              <w:t>2012</w:t>
            </w:r>
          </w:p>
        </w:tc>
        <w:tc>
          <w:tcPr>
            <w:tcW w:w="379" w:type="pct"/>
            <w:noWrap/>
            <w:vAlign w:val="center"/>
            <w:hideMark/>
          </w:tcPr>
          <w:p w14:paraId="0D25E2BC" w14:textId="77777777" w:rsidR="006F5521" w:rsidRPr="00D23AFA" w:rsidRDefault="006F5521" w:rsidP="00B94D3E">
            <w:pPr>
              <w:jc w:val="center"/>
              <w:rPr>
                <w:rFonts w:cstheme="minorHAnsi"/>
                <w:b/>
                <w:bCs/>
                <w:color w:val="000000"/>
                <w:sz w:val="20"/>
                <w:szCs w:val="20"/>
              </w:rPr>
            </w:pPr>
            <w:r w:rsidRPr="00D23AFA">
              <w:rPr>
                <w:rFonts w:cstheme="minorHAnsi"/>
                <w:b/>
                <w:bCs/>
                <w:color w:val="000000"/>
                <w:sz w:val="20"/>
                <w:szCs w:val="20"/>
              </w:rPr>
              <w:t>2013</w:t>
            </w:r>
          </w:p>
        </w:tc>
        <w:tc>
          <w:tcPr>
            <w:tcW w:w="379" w:type="pct"/>
            <w:noWrap/>
            <w:vAlign w:val="center"/>
            <w:hideMark/>
          </w:tcPr>
          <w:p w14:paraId="017803F8" w14:textId="77777777" w:rsidR="006F5521" w:rsidRPr="00D23AFA" w:rsidRDefault="006F5521" w:rsidP="00B94D3E">
            <w:pPr>
              <w:jc w:val="center"/>
              <w:rPr>
                <w:rFonts w:cstheme="minorHAnsi"/>
                <w:b/>
                <w:bCs/>
                <w:color w:val="000000"/>
                <w:sz w:val="20"/>
                <w:szCs w:val="20"/>
              </w:rPr>
            </w:pPr>
            <w:r w:rsidRPr="00D23AFA">
              <w:rPr>
                <w:rFonts w:cstheme="minorHAnsi"/>
                <w:b/>
                <w:bCs/>
                <w:color w:val="000000"/>
                <w:sz w:val="20"/>
                <w:szCs w:val="20"/>
              </w:rPr>
              <w:t>2014</w:t>
            </w:r>
          </w:p>
        </w:tc>
        <w:tc>
          <w:tcPr>
            <w:tcW w:w="379" w:type="pct"/>
            <w:noWrap/>
            <w:vAlign w:val="center"/>
            <w:hideMark/>
          </w:tcPr>
          <w:p w14:paraId="743CE103" w14:textId="77777777" w:rsidR="006F5521" w:rsidRPr="00D23AFA" w:rsidRDefault="006F5521" w:rsidP="00B94D3E">
            <w:pPr>
              <w:jc w:val="center"/>
              <w:rPr>
                <w:rFonts w:cstheme="minorHAnsi"/>
                <w:b/>
                <w:bCs/>
                <w:color w:val="000000"/>
                <w:sz w:val="20"/>
                <w:szCs w:val="20"/>
              </w:rPr>
            </w:pPr>
            <w:r w:rsidRPr="00D23AFA">
              <w:rPr>
                <w:rFonts w:cstheme="minorHAnsi"/>
                <w:b/>
                <w:bCs/>
                <w:color w:val="000000"/>
                <w:sz w:val="20"/>
                <w:szCs w:val="20"/>
              </w:rPr>
              <w:t>2015</w:t>
            </w:r>
          </w:p>
        </w:tc>
        <w:tc>
          <w:tcPr>
            <w:tcW w:w="379" w:type="pct"/>
            <w:noWrap/>
            <w:vAlign w:val="center"/>
            <w:hideMark/>
          </w:tcPr>
          <w:p w14:paraId="5E911877" w14:textId="77777777" w:rsidR="006F5521" w:rsidRPr="00D23AFA" w:rsidRDefault="006F5521" w:rsidP="00B94D3E">
            <w:pPr>
              <w:jc w:val="center"/>
              <w:rPr>
                <w:rFonts w:cstheme="minorHAnsi"/>
                <w:b/>
                <w:bCs/>
                <w:color w:val="000000"/>
                <w:sz w:val="20"/>
                <w:szCs w:val="20"/>
              </w:rPr>
            </w:pPr>
            <w:r w:rsidRPr="00D23AFA">
              <w:rPr>
                <w:rFonts w:cstheme="minorHAnsi"/>
                <w:b/>
                <w:bCs/>
                <w:color w:val="000000"/>
                <w:sz w:val="20"/>
                <w:szCs w:val="20"/>
              </w:rPr>
              <w:t>2016</w:t>
            </w:r>
          </w:p>
        </w:tc>
        <w:tc>
          <w:tcPr>
            <w:tcW w:w="379" w:type="pct"/>
            <w:noWrap/>
            <w:vAlign w:val="center"/>
            <w:hideMark/>
          </w:tcPr>
          <w:p w14:paraId="7F6473A7" w14:textId="77777777" w:rsidR="006F5521" w:rsidRPr="00D23AFA" w:rsidRDefault="006F5521" w:rsidP="00B94D3E">
            <w:pPr>
              <w:jc w:val="center"/>
              <w:rPr>
                <w:rFonts w:cstheme="minorHAnsi"/>
                <w:b/>
                <w:bCs/>
                <w:color w:val="000000"/>
                <w:sz w:val="20"/>
                <w:szCs w:val="20"/>
              </w:rPr>
            </w:pPr>
            <w:r w:rsidRPr="00D23AFA">
              <w:rPr>
                <w:rFonts w:cstheme="minorHAnsi"/>
                <w:b/>
                <w:bCs/>
                <w:color w:val="000000"/>
                <w:sz w:val="20"/>
                <w:szCs w:val="20"/>
              </w:rPr>
              <w:t>2017</w:t>
            </w:r>
          </w:p>
        </w:tc>
        <w:tc>
          <w:tcPr>
            <w:tcW w:w="379" w:type="pct"/>
            <w:noWrap/>
            <w:vAlign w:val="center"/>
            <w:hideMark/>
          </w:tcPr>
          <w:p w14:paraId="4BB5D97C" w14:textId="77777777" w:rsidR="006F5521" w:rsidRPr="00D23AFA" w:rsidRDefault="006F5521" w:rsidP="00B94D3E">
            <w:pPr>
              <w:jc w:val="center"/>
              <w:rPr>
                <w:rFonts w:cstheme="minorHAnsi"/>
                <w:b/>
                <w:bCs/>
                <w:color w:val="000000"/>
                <w:sz w:val="20"/>
                <w:szCs w:val="20"/>
              </w:rPr>
            </w:pPr>
            <w:r w:rsidRPr="00D23AFA">
              <w:rPr>
                <w:rFonts w:cstheme="minorHAnsi"/>
                <w:b/>
                <w:bCs/>
                <w:color w:val="000000"/>
                <w:sz w:val="20"/>
                <w:szCs w:val="20"/>
              </w:rPr>
              <w:t>2018</w:t>
            </w:r>
          </w:p>
        </w:tc>
        <w:tc>
          <w:tcPr>
            <w:tcW w:w="376" w:type="pct"/>
            <w:noWrap/>
            <w:vAlign w:val="center"/>
            <w:hideMark/>
          </w:tcPr>
          <w:p w14:paraId="1A6541CA" w14:textId="77777777" w:rsidR="006F5521" w:rsidRPr="00D23AFA" w:rsidRDefault="006F5521" w:rsidP="00B94D3E">
            <w:pPr>
              <w:jc w:val="center"/>
              <w:rPr>
                <w:rFonts w:cstheme="minorHAnsi"/>
                <w:b/>
                <w:bCs/>
                <w:color w:val="000000"/>
                <w:sz w:val="20"/>
                <w:szCs w:val="20"/>
              </w:rPr>
            </w:pPr>
            <w:r w:rsidRPr="00D23AFA">
              <w:rPr>
                <w:rFonts w:cstheme="minorHAnsi"/>
                <w:b/>
                <w:bCs/>
                <w:color w:val="000000"/>
                <w:sz w:val="20"/>
                <w:szCs w:val="20"/>
              </w:rPr>
              <w:t>2019</w:t>
            </w:r>
          </w:p>
        </w:tc>
      </w:tr>
      <w:tr w:rsidR="006F5521" w:rsidRPr="00EB1AF3" w14:paraId="071130C8" w14:textId="77777777" w:rsidTr="006F5521">
        <w:trPr>
          <w:cantSplit/>
          <w:trHeight w:val="20"/>
          <w:tblHeader/>
        </w:trPr>
        <w:tc>
          <w:tcPr>
            <w:tcW w:w="1213" w:type="pct"/>
            <w:noWrap/>
            <w:vAlign w:val="center"/>
            <w:hideMark/>
          </w:tcPr>
          <w:p w14:paraId="32F1215B" w14:textId="77777777" w:rsidR="006F5521" w:rsidRPr="00D23AFA" w:rsidRDefault="006F5521" w:rsidP="00AF0ADF">
            <w:pPr>
              <w:jc w:val="right"/>
              <w:rPr>
                <w:rFonts w:cstheme="minorHAnsi"/>
                <w:b/>
                <w:bCs/>
                <w:color w:val="000000"/>
                <w:sz w:val="20"/>
                <w:szCs w:val="20"/>
              </w:rPr>
            </w:pPr>
          </w:p>
        </w:tc>
        <w:tc>
          <w:tcPr>
            <w:tcW w:w="3787" w:type="pct"/>
            <w:gridSpan w:val="10"/>
          </w:tcPr>
          <w:p w14:paraId="7557A99C" w14:textId="7E56F999" w:rsidR="006F5521" w:rsidRPr="00D23AFA" w:rsidRDefault="006F5521" w:rsidP="00A166CD">
            <w:pPr>
              <w:jc w:val="center"/>
              <w:rPr>
                <w:rFonts w:cstheme="minorHAnsi"/>
                <w:b/>
                <w:bCs/>
                <w:sz w:val="20"/>
                <w:szCs w:val="20"/>
              </w:rPr>
            </w:pPr>
            <w:r w:rsidRPr="00D23AFA">
              <w:rPr>
                <w:rFonts w:cstheme="minorHAnsi"/>
                <w:b/>
                <w:bCs/>
                <w:color w:val="000000"/>
                <w:sz w:val="20"/>
                <w:szCs w:val="20"/>
              </w:rPr>
              <w:t>In per cent (%)</w:t>
            </w:r>
          </w:p>
        </w:tc>
      </w:tr>
      <w:tr w:rsidR="006F5521" w:rsidRPr="00EB1AF3" w14:paraId="647682D8" w14:textId="77777777" w:rsidTr="006F5521">
        <w:trPr>
          <w:cantSplit/>
          <w:trHeight w:val="20"/>
        </w:trPr>
        <w:tc>
          <w:tcPr>
            <w:tcW w:w="5000" w:type="pct"/>
            <w:gridSpan w:val="11"/>
            <w:noWrap/>
            <w:vAlign w:val="center"/>
            <w:hideMark/>
          </w:tcPr>
          <w:p w14:paraId="3C35BC68" w14:textId="454213AF" w:rsidR="006F5521" w:rsidRPr="00D23AFA" w:rsidRDefault="006F5521" w:rsidP="00B94D3E">
            <w:pPr>
              <w:rPr>
                <w:rFonts w:cstheme="minorHAnsi"/>
                <w:b/>
                <w:bCs/>
                <w:sz w:val="20"/>
                <w:szCs w:val="20"/>
              </w:rPr>
            </w:pPr>
            <w:r w:rsidRPr="00D23AFA">
              <w:rPr>
                <w:rFonts w:cstheme="minorHAnsi"/>
                <w:b/>
                <w:bCs/>
                <w:color w:val="000000"/>
                <w:sz w:val="20"/>
                <w:szCs w:val="20"/>
              </w:rPr>
              <w:t>Australia</w:t>
            </w:r>
          </w:p>
        </w:tc>
      </w:tr>
      <w:tr w:rsidR="006F5521" w:rsidRPr="00D23AFA" w14:paraId="62E64A75" w14:textId="77777777" w:rsidTr="00B94D3E">
        <w:trPr>
          <w:cantSplit/>
          <w:trHeight w:val="20"/>
        </w:trPr>
        <w:tc>
          <w:tcPr>
            <w:tcW w:w="1213" w:type="pct"/>
            <w:noWrap/>
            <w:vAlign w:val="center"/>
            <w:hideMark/>
          </w:tcPr>
          <w:p w14:paraId="318680FF"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Total</w:t>
            </w:r>
          </w:p>
        </w:tc>
        <w:tc>
          <w:tcPr>
            <w:tcW w:w="379" w:type="pct"/>
            <w:vAlign w:val="center"/>
          </w:tcPr>
          <w:p w14:paraId="100F7907"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56.0</w:t>
            </w:r>
          </w:p>
        </w:tc>
        <w:tc>
          <w:tcPr>
            <w:tcW w:w="379" w:type="pct"/>
            <w:vAlign w:val="center"/>
          </w:tcPr>
          <w:p w14:paraId="3CA2B279"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54.8</w:t>
            </w:r>
          </w:p>
        </w:tc>
        <w:tc>
          <w:tcPr>
            <w:tcW w:w="379" w:type="pct"/>
            <w:noWrap/>
            <w:vAlign w:val="center"/>
          </w:tcPr>
          <w:p w14:paraId="48A596E3"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54.2</w:t>
            </w:r>
          </w:p>
        </w:tc>
        <w:tc>
          <w:tcPr>
            <w:tcW w:w="379" w:type="pct"/>
            <w:noWrap/>
            <w:vAlign w:val="center"/>
          </w:tcPr>
          <w:p w14:paraId="139A4E8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52.7</w:t>
            </w:r>
          </w:p>
        </w:tc>
        <w:tc>
          <w:tcPr>
            <w:tcW w:w="379" w:type="pct"/>
            <w:noWrap/>
            <w:vAlign w:val="center"/>
          </w:tcPr>
          <w:p w14:paraId="21C305C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51.3</w:t>
            </w:r>
          </w:p>
        </w:tc>
        <w:tc>
          <w:tcPr>
            <w:tcW w:w="379" w:type="pct"/>
            <w:noWrap/>
            <w:vAlign w:val="center"/>
          </w:tcPr>
          <w:p w14:paraId="51C2803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50.1</w:t>
            </w:r>
          </w:p>
        </w:tc>
        <w:tc>
          <w:tcPr>
            <w:tcW w:w="379" w:type="pct"/>
            <w:noWrap/>
            <w:vAlign w:val="center"/>
          </w:tcPr>
          <w:p w14:paraId="2DBE53D1"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48.4</w:t>
            </w:r>
          </w:p>
        </w:tc>
        <w:tc>
          <w:tcPr>
            <w:tcW w:w="379" w:type="pct"/>
            <w:noWrap/>
            <w:vAlign w:val="center"/>
          </w:tcPr>
          <w:p w14:paraId="79A2407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45.6</w:t>
            </w:r>
          </w:p>
        </w:tc>
        <w:tc>
          <w:tcPr>
            <w:tcW w:w="379" w:type="pct"/>
            <w:noWrap/>
            <w:vAlign w:val="center"/>
          </w:tcPr>
          <w:p w14:paraId="60909A6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43.2</w:t>
            </w:r>
          </w:p>
        </w:tc>
        <w:tc>
          <w:tcPr>
            <w:tcW w:w="376" w:type="pct"/>
            <w:noWrap/>
            <w:vAlign w:val="center"/>
          </w:tcPr>
          <w:p w14:paraId="26814F98"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42.5</w:t>
            </w:r>
          </w:p>
        </w:tc>
      </w:tr>
      <w:tr w:rsidR="00DB4C27" w:rsidRPr="00EB1AF3" w14:paraId="66C40D96" w14:textId="77777777" w:rsidTr="00DB4C27">
        <w:trPr>
          <w:cantSplit/>
          <w:trHeight w:val="20"/>
        </w:trPr>
        <w:tc>
          <w:tcPr>
            <w:tcW w:w="5000" w:type="pct"/>
            <w:gridSpan w:val="11"/>
            <w:noWrap/>
            <w:vAlign w:val="center"/>
            <w:hideMark/>
          </w:tcPr>
          <w:p w14:paraId="760FC22B" w14:textId="01E1CF5F" w:rsidR="00DB4C27" w:rsidRPr="00D23AFA" w:rsidRDefault="00DB4C27" w:rsidP="00B94D3E">
            <w:pPr>
              <w:rPr>
                <w:rFonts w:cstheme="minorHAnsi"/>
                <w:b/>
                <w:bCs/>
                <w:sz w:val="20"/>
                <w:szCs w:val="20"/>
              </w:rPr>
            </w:pPr>
            <w:r w:rsidRPr="00D23AFA">
              <w:rPr>
                <w:rFonts w:cstheme="minorHAnsi"/>
                <w:b/>
                <w:bCs/>
                <w:color w:val="000000"/>
                <w:sz w:val="20"/>
                <w:szCs w:val="20"/>
              </w:rPr>
              <w:t>Mother's age at birth</w:t>
            </w:r>
          </w:p>
        </w:tc>
      </w:tr>
      <w:tr w:rsidR="006F5521" w:rsidRPr="00D23AFA" w14:paraId="26E9D888" w14:textId="77777777" w:rsidTr="00B94D3E">
        <w:trPr>
          <w:cantSplit/>
          <w:trHeight w:val="20"/>
        </w:trPr>
        <w:tc>
          <w:tcPr>
            <w:tcW w:w="1213" w:type="pct"/>
            <w:noWrap/>
            <w:vAlign w:val="center"/>
            <w:hideMark/>
          </w:tcPr>
          <w:p w14:paraId="0A4A26E3"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Younger than 20</w:t>
            </w:r>
          </w:p>
        </w:tc>
        <w:tc>
          <w:tcPr>
            <w:tcW w:w="379" w:type="pct"/>
            <w:vAlign w:val="center"/>
          </w:tcPr>
          <w:p w14:paraId="59C27B73"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69.4</w:t>
            </w:r>
          </w:p>
        </w:tc>
        <w:tc>
          <w:tcPr>
            <w:tcW w:w="379" w:type="pct"/>
            <w:vAlign w:val="center"/>
          </w:tcPr>
          <w:p w14:paraId="1506D255"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67.9</w:t>
            </w:r>
          </w:p>
        </w:tc>
        <w:tc>
          <w:tcPr>
            <w:tcW w:w="379" w:type="pct"/>
            <w:noWrap/>
            <w:vAlign w:val="center"/>
          </w:tcPr>
          <w:p w14:paraId="41BFBB67"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67.3</w:t>
            </w:r>
          </w:p>
        </w:tc>
        <w:tc>
          <w:tcPr>
            <w:tcW w:w="379" w:type="pct"/>
            <w:noWrap/>
            <w:vAlign w:val="center"/>
          </w:tcPr>
          <w:p w14:paraId="738544E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66.1</w:t>
            </w:r>
          </w:p>
        </w:tc>
        <w:tc>
          <w:tcPr>
            <w:tcW w:w="379" w:type="pct"/>
            <w:noWrap/>
            <w:vAlign w:val="center"/>
          </w:tcPr>
          <w:p w14:paraId="5AB1D7C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63.8</w:t>
            </w:r>
          </w:p>
        </w:tc>
        <w:tc>
          <w:tcPr>
            <w:tcW w:w="379" w:type="pct"/>
            <w:noWrap/>
            <w:vAlign w:val="center"/>
          </w:tcPr>
          <w:p w14:paraId="73B05A4A"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62.6</w:t>
            </w:r>
          </w:p>
        </w:tc>
        <w:tc>
          <w:tcPr>
            <w:tcW w:w="379" w:type="pct"/>
            <w:noWrap/>
            <w:vAlign w:val="center"/>
          </w:tcPr>
          <w:p w14:paraId="4F84B707"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61.0</w:t>
            </w:r>
          </w:p>
        </w:tc>
        <w:tc>
          <w:tcPr>
            <w:tcW w:w="379" w:type="pct"/>
            <w:noWrap/>
            <w:vAlign w:val="center"/>
          </w:tcPr>
          <w:p w14:paraId="316E61F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57.4</w:t>
            </w:r>
          </w:p>
        </w:tc>
        <w:tc>
          <w:tcPr>
            <w:tcW w:w="379" w:type="pct"/>
            <w:noWrap/>
            <w:vAlign w:val="center"/>
          </w:tcPr>
          <w:p w14:paraId="72B1BD3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54.7</w:t>
            </w:r>
          </w:p>
        </w:tc>
        <w:tc>
          <w:tcPr>
            <w:tcW w:w="376" w:type="pct"/>
            <w:noWrap/>
            <w:vAlign w:val="center"/>
          </w:tcPr>
          <w:p w14:paraId="27B5ABF2"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55.3</w:t>
            </w:r>
          </w:p>
        </w:tc>
      </w:tr>
      <w:tr w:rsidR="006F5521" w:rsidRPr="00D23AFA" w14:paraId="7ED4D30F" w14:textId="77777777" w:rsidTr="00B94D3E">
        <w:trPr>
          <w:cantSplit/>
          <w:trHeight w:val="20"/>
        </w:trPr>
        <w:tc>
          <w:tcPr>
            <w:tcW w:w="1213" w:type="pct"/>
            <w:noWrap/>
            <w:vAlign w:val="center"/>
            <w:hideMark/>
          </w:tcPr>
          <w:p w14:paraId="742495DF"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20-24</w:t>
            </w:r>
          </w:p>
        </w:tc>
        <w:tc>
          <w:tcPr>
            <w:tcW w:w="379" w:type="pct"/>
            <w:vAlign w:val="center"/>
          </w:tcPr>
          <w:p w14:paraId="3A967C41"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65.0</w:t>
            </w:r>
          </w:p>
        </w:tc>
        <w:tc>
          <w:tcPr>
            <w:tcW w:w="379" w:type="pct"/>
            <w:vAlign w:val="center"/>
          </w:tcPr>
          <w:p w14:paraId="3A29A759"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63.6</w:t>
            </w:r>
          </w:p>
        </w:tc>
        <w:tc>
          <w:tcPr>
            <w:tcW w:w="379" w:type="pct"/>
            <w:noWrap/>
            <w:vAlign w:val="center"/>
          </w:tcPr>
          <w:p w14:paraId="6B05E41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62.9</w:t>
            </w:r>
          </w:p>
        </w:tc>
        <w:tc>
          <w:tcPr>
            <w:tcW w:w="379" w:type="pct"/>
            <w:noWrap/>
            <w:vAlign w:val="center"/>
          </w:tcPr>
          <w:p w14:paraId="5C0C0944"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61.3</w:t>
            </w:r>
          </w:p>
        </w:tc>
        <w:tc>
          <w:tcPr>
            <w:tcW w:w="379" w:type="pct"/>
            <w:noWrap/>
            <w:vAlign w:val="center"/>
          </w:tcPr>
          <w:p w14:paraId="54CC577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59.7</w:t>
            </w:r>
          </w:p>
        </w:tc>
        <w:tc>
          <w:tcPr>
            <w:tcW w:w="379" w:type="pct"/>
            <w:noWrap/>
            <w:vAlign w:val="center"/>
          </w:tcPr>
          <w:p w14:paraId="3E450B7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58.7</w:t>
            </w:r>
          </w:p>
        </w:tc>
        <w:tc>
          <w:tcPr>
            <w:tcW w:w="379" w:type="pct"/>
            <w:noWrap/>
            <w:vAlign w:val="center"/>
          </w:tcPr>
          <w:p w14:paraId="79D5786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56.6</w:t>
            </w:r>
          </w:p>
        </w:tc>
        <w:tc>
          <w:tcPr>
            <w:tcW w:w="379" w:type="pct"/>
            <w:noWrap/>
            <w:vAlign w:val="center"/>
          </w:tcPr>
          <w:p w14:paraId="0D7996D0"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53.1</w:t>
            </w:r>
          </w:p>
        </w:tc>
        <w:tc>
          <w:tcPr>
            <w:tcW w:w="379" w:type="pct"/>
            <w:noWrap/>
            <w:vAlign w:val="center"/>
          </w:tcPr>
          <w:p w14:paraId="0C9B5972"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50.8</w:t>
            </w:r>
          </w:p>
        </w:tc>
        <w:tc>
          <w:tcPr>
            <w:tcW w:w="376" w:type="pct"/>
            <w:noWrap/>
            <w:vAlign w:val="center"/>
          </w:tcPr>
          <w:p w14:paraId="3EC32083"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50.9</w:t>
            </w:r>
          </w:p>
        </w:tc>
      </w:tr>
      <w:tr w:rsidR="006F5521" w:rsidRPr="00D23AFA" w14:paraId="75E4B5E1" w14:textId="77777777" w:rsidTr="00B94D3E">
        <w:trPr>
          <w:cantSplit/>
          <w:trHeight w:val="20"/>
        </w:trPr>
        <w:tc>
          <w:tcPr>
            <w:tcW w:w="1213" w:type="pct"/>
            <w:noWrap/>
            <w:vAlign w:val="center"/>
            <w:hideMark/>
          </w:tcPr>
          <w:p w14:paraId="45B1E826"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25-29</w:t>
            </w:r>
          </w:p>
        </w:tc>
        <w:tc>
          <w:tcPr>
            <w:tcW w:w="379" w:type="pct"/>
            <w:vAlign w:val="center"/>
          </w:tcPr>
          <w:p w14:paraId="5523E3D4"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59.4</w:t>
            </w:r>
          </w:p>
        </w:tc>
        <w:tc>
          <w:tcPr>
            <w:tcW w:w="379" w:type="pct"/>
            <w:vAlign w:val="center"/>
          </w:tcPr>
          <w:p w14:paraId="5CE816AD"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58.3</w:t>
            </w:r>
          </w:p>
        </w:tc>
        <w:tc>
          <w:tcPr>
            <w:tcW w:w="379" w:type="pct"/>
            <w:noWrap/>
            <w:vAlign w:val="center"/>
          </w:tcPr>
          <w:p w14:paraId="4EBAE2CF"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57.8</w:t>
            </w:r>
          </w:p>
        </w:tc>
        <w:tc>
          <w:tcPr>
            <w:tcW w:w="379" w:type="pct"/>
            <w:noWrap/>
            <w:vAlign w:val="center"/>
          </w:tcPr>
          <w:p w14:paraId="729BF19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56.2</w:t>
            </w:r>
          </w:p>
        </w:tc>
        <w:tc>
          <w:tcPr>
            <w:tcW w:w="379" w:type="pct"/>
            <w:noWrap/>
            <w:vAlign w:val="center"/>
          </w:tcPr>
          <w:p w14:paraId="6391331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54.9</w:t>
            </w:r>
          </w:p>
        </w:tc>
        <w:tc>
          <w:tcPr>
            <w:tcW w:w="379" w:type="pct"/>
            <w:noWrap/>
            <w:vAlign w:val="center"/>
          </w:tcPr>
          <w:p w14:paraId="546284A0"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53.8</w:t>
            </w:r>
          </w:p>
        </w:tc>
        <w:tc>
          <w:tcPr>
            <w:tcW w:w="379" w:type="pct"/>
            <w:noWrap/>
            <w:vAlign w:val="center"/>
          </w:tcPr>
          <w:p w14:paraId="6286C497"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52.3</w:t>
            </w:r>
          </w:p>
        </w:tc>
        <w:tc>
          <w:tcPr>
            <w:tcW w:w="379" w:type="pct"/>
            <w:noWrap/>
            <w:vAlign w:val="center"/>
          </w:tcPr>
          <w:p w14:paraId="6730C638"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49.4</w:t>
            </w:r>
          </w:p>
        </w:tc>
        <w:tc>
          <w:tcPr>
            <w:tcW w:w="379" w:type="pct"/>
            <w:noWrap/>
            <w:vAlign w:val="center"/>
          </w:tcPr>
          <w:p w14:paraId="55314BBA"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47.0</w:t>
            </w:r>
          </w:p>
        </w:tc>
        <w:tc>
          <w:tcPr>
            <w:tcW w:w="376" w:type="pct"/>
            <w:noWrap/>
            <w:vAlign w:val="center"/>
          </w:tcPr>
          <w:p w14:paraId="5F33024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46.4</w:t>
            </w:r>
          </w:p>
        </w:tc>
      </w:tr>
      <w:tr w:rsidR="006F5521" w:rsidRPr="00D23AFA" w14:paraId="132A87CB" w14:textId="77777777" w:rsidTr="00B94D3E">
        <w:trPr>
          <w:cantSplit/>
          <w:trHeight w:val="20"/>
        </w:trPr>
        <w:tc>
          <w:tcPr>
            <w:tcW w:w="1213" w:type="pct"/>
            <w:noWrap/>
            <w:vAlign w:val="center"/>
            <w:hideMark/>
          </w:tcPr>
          <w:p w14:paraId="6222786A"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30-34</w:t>
            </w:r>
          </w:p>
        </w:tc>
        <w:tc>
          <w:tcPr>
            <w:tcW w:w="379" w:type="pct"/>
            <w:vAlign w:val="center"/>
          </w:tcPr>
          <w:p w14:paraId="5F726820"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54.0</w:t>
            </w:r>
          </w:p>
        </w:tc>
        <w:tc>
          <w:tcPr>
            <w:tcW w:w="379" w:type="pct"/>
            <w:vAlign w:val="center"/>
          </w:tcPr>
          <w:p w14:paraId="431189DD"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53.1</w:t>
            </w:r>
          </w:p>
        </w:tc>
        <w:tc>
          <w:tcPr>
            <w:tcW w:w="379" w:type="pct"/>
            <w:noWrap/>
            <w:vAlign w:val="center"/>
          </w:tcPr>
          <w:p w14:paraId="12E2AEE4"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52.6</w:t>
            </w:r>
          </w:p>
        </w:tc>
        <w:tc>
          <w:tcPr>
            <w:tcW w:w="379" w:type="pct"/>
            <w:noWrap/>
            <w:vAlign w:val="center"/>
          </w:tcPr>
          <w:p w14:paraId="1D5C1EDF"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51.3</w:t>
            </w:r>
          </w:p>
        </w:tc>
        <w:tc>
          <w:tcPr>
            <w:tcW w:w="379" w:type="pct"/>
            <w:noWrap/>
            <w:vAlign w:val="center"/>
          </w:tcPr>
          <w:p w14:paraId="721913C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50.2</w:t>
            </w:r>
          </w:p>
        </w:tc>
        <w:tc>
          <w:tcPr>
            <w:tcW w:w="379" w:type="pct"/>
            <w:noWrap/>
            <w:vAlign w:val="center"/>
          </w:tcPr>
          <w:p w14:paraId="471866B3"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49.5</w:t>
            </w:r>
          </w:p>
        </w:tc>
        <w:tc>
          <w:tcPr>
            <w:tcW w:w="379" w:type="pct"/>
            <w:noWrap/>
            <w:vAlign w:val="center"/>
          </w:tcPr>
          <w:p w14:paraId="0E28BDD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47.6</w:t>
            </w:r>
          </w:p>
        </w:tc>
        <w:tc>
          <w:tcPr>
            <w:tcW w:w="379" w:type="pct"/>
            <w:noWrap/>
            <w:vAlign w:val="center"/>
          </w:tcPr>
          <w:p w14:paraId="4C08A32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45.4</w:t>
            </w:r>
          </w:p>
        </w:tc>
        <w:tc>
          <w:tcPr>
            <w:tcW w:w="379" w:type="pct"/>
            <w:noWrap/>
            <w:vAlign w:val="center"/>
          </w:tcPr>
          <w:p w14:paraId="0267B6CF"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43.1</w:t>
            </w:r>
          </w:p>
        </w:tc>
        <w:tc>
          <w:tcPr>
            <w:tcW w:w="376" w:type="pct"/>
            <w:noWrap/>
            <w:vAlign w:val="center"/>
          </w:tcPr>
          <w:p w14:paraId="5FDCDA0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42.5</w:t>
            </w:r>
          </w:p>
        </w:tc>
      </w:tr>
      <w:tr w:rsidR="006F5521" w:rsidRPr="00D23AFA" w14:paraId="027C34A3" w14:textId="77777777" w:rsidTr="00B94D3E">
        <w:trPr>
          <w:cantSplit/>
          <w:trHeight w:val="20"/>
        </w:trPr>
        <w:tc>
          <w:tcPr>
            <w:tcW w:w="1213" w:type="pct"/>
            <w:noWrap/>
            <w:vAlign w:val="center"/>
            <w:hideMark/>
          </w:tcPr>
          <w:p w14:paraId="61A82666"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35-39</w:t>
            </w:r>
          </w:p>
        </w:tc>
        <w:tc>
          <w:tcPr>
            <w:tcW w:w="379" w:type="pct"/>
            <w:vAlign w:val="center"/>
          </w:tcPr>
          <w:p w14:paraId="0AD604FA"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48.0</w:t>
            </w:r>
          </w:p>
        </w:tc>
        <w:tc>
          <w:tcPr>
            <w:tcW w:w="379" w:type="pct"/>
            <w:vAlign w:val="center"/>
          </w:tcPr>
          <w:p w14:paraId="4F89B034"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46.8</w:t>
            </w:r>
          </w:p>
        </w:tc>
        <w:tc>
          <w:tcPr>
            <w:tcW w:w="379" w:type="pct"/>
            <w:noWrap/>
            <w:vAlign w:val="center"/>
          </w:tcPr>
          <w:p w14:paraId="70399C5F"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46.4</w:t>
            </w:r>
          </w:p>
        </w:tc>
        <w:tc>
          <w:tcPr>
            <w:tcW w:w="379" w:type="pct"/>
            <w:noWrap/>
            <w:vAlign w:val="center"/>
          </w:tcPr>
          <w:p w14:paraId="6D30CE69"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45.1</w:t>
            </w:r>
          </w:p>
        </w:tc>
        <w:tc>
          <w:tcPr>
            <w:tcW w:w="379" w:type="pct"/>
            <w:noWrap/>
            <w:vAlign w:val="center"/>
          </w:tcPr>
          <w:p w14:paraId="046B938D"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43.8</w:t>
            </w:r>
          </w:p>
        </w:tc>
        <w:tc>
          <w:tcPr>
            <w:tcW w:w="379" w:type="pct"/>
            <w:noWrap/>
            <w:vAlign w:val="center"/>
          </w:tcPr>
          <w:p w14:paraId="2E083003"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42.6</w:t>
            </w:r>
          </w:p>
        </w:tc>
        <w:tc>
          <w:tcPr>
            <w:tcW w:w="379" w:type="pct"/>
            <w:noWrap/>
            <w:vAlign w:val="center"/>
          </w:tcPr>
          <w:p w14:paraId="0B26A7E1"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42.1</w:t>
            </w:r>
          </w:p>
        </w:tc>
        <w:tc>
          <w:tcPr>
            <w:tcW w:w="379" w:type="pct"/>
            <w:noWrap/>
            <w:vAlign w:val="center"/>
          </w:tcPr>
          <w:p w14:paraId="65030C79"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39.2</w:t>
            </w:r>
          </w:p>
        </w:tc>
        <w:tc>
          <w:tcPr>
            <w:tcW w:w="379" w:type="pct"/>
            <w:noWrap/>
            <w:vAlign w:val="center"/>
          </w:tcPr>
          <w:p w14:paraId="41025E77"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37.3</w:t>
            </w:r>
          </w:p>
        </w:tc>
        <w:tc>
          <w:tcPr>
            <w:tcW w:w="376" w:type="pct"/>
            <w:noWrap/>
            <w:vAlign w:val="center"/>
          </w:tcPr>
          <w:p w14:paraId="12EED34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36.3</w:t>
            </w:r>
          </w:p>
        </w:tc>
      </w:tr>
      <w:tr w:rsidR="006F5521" w:rsidRPr="00D23AFA" w14:paraId="37E04A7A" w14:textId="77777777" w:rsidTr="00B94D3E">
        <w:trPr>
          <w:cantSplit/>
          <w:trHeight w:val="20"/>
        </w:trPr>
        <w:tc>
          <w:tcPr>
            <w:tcW w:w="1213" w:type="pct"/>
            <w:noWrap/>
            <w:vAlign w:val="center"/>
            <w:hideMark/>
          </w:tcPr>
          <w:p w14:paraId="71FBF028"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40 and over</w:t>
            </w:r>
          </w:p>
        </w:tc>
        <w:tc>
          <w:tcPr>
            <w:tcW w:w="379" w:type="pct"/>
            <w:vAlign w:val="center"/>
          </w:tcPr>
          <w:p w14:paraId="69392F68"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41.1</w:t>
            </w:r>
          </w:p>
        </w:tc>
        <w:tc>
          <w:tcPr>
            <w:tcW w:w="379" w:type="pct"/>
            <w:vAlign w:val="center"/>
          </w:tcPr>
          <w:p w14:paraId="51DCA9E2"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39.1</w:t>
            </w:r>
          </w:p>
        </w:tc>
        <w:tc>
          <w:tcPr>
            <w:tcW w:w="379" w:type="pct"/>
            <w:noWrap/>
            <w:vAlign w:val="center"/>
          </w:tcPr>
          <w:p w14:paraId="196E1BA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37.2</w:t>
            </w:r>
          </w:p>
        </w:tc>
        <w:tc>
          <w:tcPr>
            <w:tcW w:w="379" w:type="pct"/>
            <w:noWrap/>
            <w:vAlign w:val="center"/>
          </w:tcPr>
          <w:p w14:paraId="30283D6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35.4</w:t>
            </w:r>
          </w:p>
        </w:tc>
        <w:tc>
          <w:tcPr>
            <w:tcW w:w="379" w:type="pct"/>
            <w:noWrap/>
            <w:vAlign w:val="center"/>
          </w:tcPr>
          <w:p w14:paraId="12C92AF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32.6</w:t>
            </w:r>
          </w:p>
        </w:tc>
        <w:tc>
          <w:tcPr>
            <w:tcW w:w="379" w:type="pct"/>
            <w:noWrap/>
            <w:vAlign w:val="center"/>
          </w:tcPr>
          <w:p w14:paraId="4A81C0D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29.8</w:t>
            </w:r>
          </w:p>
        </w:tc>
        <w:tc>
          <w:tcPr>
            <w:tcW w:w="379" w:type="pct"/>
            <w:noWrap/>
            <w:vAlign w:val="center"/>
          </w:tcPr>
          <w:p w14:paraId="6ED0992D"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28.2</w:t>
            </w:r>
          </w:p>
        </w:tc>
        <w:tc>
          <w:tcPr>
            <w:tcW w:w="379" w:type="pct"/>
            <w:noWrap/>
            <w:vAlign w:val="center"/>
          </w:tcPr>
          <w:p w14:paraId="53914AB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26.1</w:t>
            </w:r>
          </w:p>
        </w:tc>
        <w:tc>
          <w:tcPr>
            <w:tcW w:w="379" w:type="pct"/>
            <w:noWrap/>
            <w:vAlign w:val="center"/>
          </w:tcPr>
          <w:p w14:paraId="07EBE93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24.1</w:t>
            </w:r>
          </w:p>
        </w:tc>
        <w:tc>
          <w:tcPr>
            <w:tcW w:w="376" w:type="pct"/>
            <w:noWrap/>
            <w:vAlign w:val="center"/>
          </w:tcPr>
          <w:p w14:paraId="005F505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23.9</w:t>
            </w:r>
          </w:p>
        </w:tc>
      </w:tr>
      <w:tr w:rsidR="00DB4C27" w:rsidRPr="00EB1AF3" w14:paraId="3D5D098B" w14:textId="77777777" w:rsidTr="00DB4C27">
        <w:trPr>
          <w:cantSplit/>
          <w:trHeight w:val="20"/>
        </w:trPr>
        <w:tc>
          <w:tcPr>
            <w:tcW w:w="5000" w:type="pct"/>
            <w:gridSpan w:val="11"/>
            <w:noWrap/>
            <w:vAlign w:val="center"/>
            <w:hideMark/>
          </w:tcPr>
          <w:p w14:paraId="7B15815E" w14:textId="6DEB52F1" w:rsidR="00DB4C27" w:rsidRPr="00D23AFA" w:rsidRDefault="00DB4C27" w:rsidP="00B94D3E">
            <w:pPr>
              <w:rPr>
                <w:rFonts w:cstheme="minorHAnsi"/>
                <w:b/>
                <w:bCs/>
                <w:sz w:val="20"/>
                <w:szCs w:val="20"/>
              </w:rPr>
            </w:pPr>
            <w:r w:rsidRPr="00D23AFA">
              <w:rPr>
                <w:rFonts w:cstheme="minorHAnsi"/>
                <w:b/>
                <w:bCs/>
                <w:color w:val="000000"/>
                <w:sz w:val="20"/>
                <w:szCs w:val="20"/>
              </w:rPr>
              <w:t>Mother's country of birth</w:t>
            </w:r>
          </w:p>
        </w:tc>
      </w:tr>
      <w:tr w:rsidR="006F5521" w:rsidRPr="00D23AFA" w14:paraId="1343794D" w14:textId="77777777" w:rsidTr="00B94D3E">
        <w:trPr>
          <w:cantSplit/>
          <w:trHeight w:val="20"/>
        </w:trPr>
        <w:tc>
          <w:tcPr>
            <w:tcW w:w="1213" w:type="pct"/>
            <w:noWrap/>
            <w:vAlign w:val="center"/>
            <w:hideMark/>
          </w:tcPr>
          <w:p w14:paraId="3543FE5A"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Born in Australia</w:t>
            </w:r>
          </w:p>
        </w:tc>
        <w:tc>
          <w:tcPr>
            <w:tcW w:w="379" w:type="pct"/>
            <w:vAlign w:val="center"/>
          </w:tcPr>
          <w:p w14:paraId="0C819FE9"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54.6</w:t>
            </w:r>
          </w:p>
        </w:tc>
        <w:tc>
          <w:tcPr>
            <w:tcW w:w="379" w:type="pct"/>
            <w:vAlign w:val="center"/>
          </w:tcPr>
          <w:p w14:paraId="63E05F9F"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53.4</w:t>
            </w:r>
          </w:p>
        </w:tc>
        <w:tc>
          <w:tcPr>
            <w:tcW w:w="379" w:type="pct"/>
            <w:noWrap/>
            <w:vAlign w:val="center"/>
          </w:tcPr>
          <w:p w14:paraId="31C1368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52.8</w:t>
            </w:r>
          </w:p>
        </w:tc>
        <w:tc>
          <w:tcPr>
            <w:tcW w:w="379" w:type="pct"/>
            <w:noWrap/>
            <w:vAlign w:val="center"/>
          </w:tcPr>
          <w:p w14:paraId="5C556B6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51.5</w:t>
            </w:r>
          </w:p>
        </w:tc>
        <w:tc>
          <w:tcPr>
            <w:tcW w:w="379" w:type="pct"/>
            <w:noWrap/>
            <w:vAlign w:val="center"/>
          </w:tcPr>
          <w:p w14:paraId="5406152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50.1</w:t>
            </w:r>
          </w:p>
        </w:tc>
        <w:tc>
          <w:tcPr>
            <w:tcW w:w="379" w:type="pct"/>
            <w:noWrap/>
            <w:vAlign w:val="center"/>
          </w:tcPr>
          <w:p w14:paraId="08663EA1"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49.2</w:t>
            </w:r>
          </w:p>
        </w:tc>
        <w:tc>
          <w:tcPr>
            <w:tcW w:w="379" w:type="pct"/>
            <w:noWrap/>
            <w:vAlign w:val="center"/>
          </w:tcPr>
          <w:p w14:paraId="557D6893"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47.4</w:t>
            </w:r>
          </w:p>
        </w:tc>
        <w:tc>
          <w:tcPr>
            <w:tcW w:w="379" w:type="pct"/>
            <w:noWrap/>
            <w:vAlign w:val="center"/>
          </w:tcPr>
          <w:p w14:paraId="4721B12F"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44.8</w:t>
            </w:r>
          </w:p>
        </w:tc>
        <w:tc>
          <w:tcPr>
            <w:tcW w:w="379" w:type="pct"/>
            <w:noWrap/>
            <w:vAlign w:val="center"/>
          </w:tcPr>
          <w:p w14:paraId="7297337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42.6</w:t>
            </w:r>
          </w:p>
        </w:tc>
        <w:tc>
          <w:tcPr>
            <w:tcW w:w="376" w:type="pct"/>
            <w:noWrap/>
            <w:vAlign w:val="center"/>
          </w:tcPr>
          <w:p w14:paraId="2D9F0CF7"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42.0</w:t>
            </w:r>
          </w:p>
        </w:tc>
      </w:tr>
      <w:tr w:rsidR="006F5521" w:rsidRPr="00D23AFA" w14:paraId="0D4640C4" w14:textId="77777777" w:rsidTr="00B94D3E">
        <w:trPr>
          <w:cantSplit/>
          <w:trHeight w:val="20"/>
        </w:trPr>
        <w:tc>
          <w:tcPr>
            <w:tcW w:w="1213" w:type="pct"/>
            <w:noWrap/>
            <w:vAlign w:val="center"/>
            <w:hideMark/>
          </w:tcPr>
          <w:p w14:paraId="1E914961"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Born overseas</w:t>
            </w:r>
          </w:p>
        </w:tc>
        <w:tc>
          <w:tcPr>
            <w:tcW w:w="379" w:type="pct"/>
            <w:vAlign w:val="center"/>
          </w:tcPr>
          <w:p w14:paraId="46B8CFE0"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59.4</w:t>
            </w:r>
          </w:p>
        </w:tc>
        <w:tc>
          <w:tcPr>
            <w:tcW w:w="379" w:type="pct"/>
            <w:vAlign w:val="center"/>
          </w:tcPr>
          <w:p w14:paraId="3B0BA2B6"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58.1</w:t>
            </w:r>
          </w:p>
        </w:tc>
        <w:tc>
          <w:tcPr>
            <w:tcW w:w="379" w:type="pct"/>
            <w:noWrap/>
            <w:vAlign w:val="center"/>
          </w:tcPr>
          <w:p w14:paraId="486DEDE4"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57.1</w:t>
            </w:r>
          </w:p>
        </w:tc>
        <w:tc>
          <w:tcPr>
            <w:tcW w:w="379" w:type="pct"/>
            <w:noWrap/>
            <w:vAlign w:val="center"/>
          </w:tcPr>
          <w:p w14:paraId="3C4C327F"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55.0</w:t>
            </w:r>
          </w:p>
        </w:tc>
        <w:tc>
          <w:tcPr>
            <w:tcW w:w="379" w:type="pct"/>
            <w:noWrap/>
            <w:vAlign w:val="center"/>
          </w:tcPr>
          <w:p w14:paraId="523A16D7"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53.4</w:t>
            </w:r>
          </w:p>
        </w:tc>
        <w:tc>
          <w:tcPr>
            <w:tcW w:w="379" w:type="pct"/>
            <w:noWrap/>
            <w:vAlign w:val="center"/>
          </w:tcPr>
          <w:p w14:paraId="198B14B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51.8</w:t>
            </w:r>
          </w:p>
        </w:tc>
        <w:tc>
          <w:tcPr>
            <w:tcW w:w="379" w:type="pct"/>
            <w:noWrap/>
            <w:vAlign w:val="center"/>
          </w:tcPr>
          <w:p w14:paraId="07A78050"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50.1</w:t>
            </w:r>
          </w:p>
        </w:tc>
        <w:tc>
          <w:tcPr>
            <w:tcW w:w="379" w:type="pct"/>
            <w:noWrap/>
            <w:vAlign w:val="center"/>
          </w:tcPr>
          <w:p w14:paraId="3FF234E2"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46.9</w:t>
            </w:r>
          </w:p>
        </w:tc>
        <w:tc>
          <w:tcPr>
            <w:tcW w:w="379" w:type="pct"/>
            <w:noWrap/>
            <w:vAlign w:val="center"/>
          </w:tcPr>
          <w:p w14:paraId="49E3A84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44.2</w:t>
            </w:r>
          </w:p>
        </w:tc>
        <w:tc>
          <w:tcPr>
            <w:tcW w:w="376" w:type="pct"/>
            <w:noWrap/>
            <w:vAlign w:val="center"/>
          </w:tcPr>
          <w:p w14:paraId="3DBC88E2"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43.3</w:t>
            </w:r>
          </w:p>
        </w:tc>
      </w:tr>
      <w:tr w:rsidR="00DB4C27" w:rsidRPr="00EB1AF3" w14:paraId="1CCC45AB" w14:textId="77777777" w:rsidTr="00DB4C27">
        <w:trPr>
          <w:cantSplit/>
          <w:trHeight w:val="20"/>
        </w:trPr>
        <w:tc>
          <w:tcPr>
            <w:tcW w:w="5000" w:type="pct"/>
            <w:gridSpan w:val="11"/>
            <w:noWrap/>
            <w:vAlign w:val="center"/>
            <w:hideMark/>
          </w:tcPr>
          <w:p w14:paraId="48C8F0BC" w14:textId="1BEC601A" w:rsidR="00DB4C27" w:rsidRPr="00D23AFA" w:rsidRDefault="00DB4C27" w:rsidP="00B94D3E">
            <w:pPr>
              <w:rPr>
                <w:rFonts w:cstheme="minorHAnsi"/>
                <w:b/>
                <w:bCs/>
                <w:sz w:val="20"/>
                <w:szCs w:val="20"/>
              </w:rPr>
            </w:pPr>
            <w:r w:rsidRPr="00D23AFA">
              <w:rPr>
                <w:rFonts w:cstheme="minorHAnsi"/>
                <w:b/>
                <w:bCs/>
                <w:color w:val="000000"/>
                <w:sz w:val="20"/>
                <w:szCs w:val="20"/>
              </w:rPr>
              <w:t xml:space="preserve">Mother's </w:t>
            </w:r>
            <w:r w:rsidR="00FB0C38">
              <w:rPr>
                <w:rFonts w:cstheme="minorHAnsi"/>
                <w:b/>
                <w:bCs/>
                <w:color w:val="000000"/>
                <w:sz w:val="20"/>
                <w:szCs w:val="20"/>
              </w:rPr>
              <w:t>Indig</w:t>
            </w:r>
            <w:r w:rsidRPr="00D23AFA">
              <w:rPr>
                <w:rFonts w:cstheme="minorHAnsi"/>
                <w:b/>
                <w:bCs/>
                <w:color w:val="000000"/>
                <w:sz w:val="20"/>
                <w:szCs w:val="20"/>
              </w:rPr>
              <w:t xml:space="preserve">enous status </w:t>
            </w:r>
            <w:r w:rsidR="009C3E6A">
              <w:rPr>
                <w:rFonts w:cstheme="minorHAnsi"/>
                <w:b/>
                <w:bCs/>
                <w:color w:val="000000"/>
                <w:sz w:val="20"/>
                <w:szCs w:val="20"/>
              </w:rPr>
              <w:t>(Age-standardised)</w:t>
            </w:r>
          </w:p>
        </w:tc>
      </w:tr>
      <w:tr w:rsidR="006F5521" w:rsidRPr="00D23AFA" w14:paraId="1804B270" w14:textId="77777777" w:rsidTr="00B94D3E">
        <w:trPr>
          <w:cantSplit/>
          <w:trHeight w:val="20"/>
        </w:trPr>
        <w:tc>
          <w:tcPr>
            <w:tcW w:w="1213" w:type="pct"/>
            <w:noWrap/>
            <w:vAlign w:val="center"/>
            <w:hideMark/>
          </w:tcPr>
          <w:p w14:paraId="63997108"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Indigenous</w:t>
            </w:r>
          </w:p>
        </w:tc>
        <w:tc>
          <w:tcPr>
            <w:tcW w:w="379" w:type="pct"/>
            <w:vAlign w:val="center"/>
          </w:tcPr>
          <w:p w14:paraId="10923DCA"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59.0</w:t>
            </w:r>
          </w:p>
        </w:tc>
        <w:tc>
          <w:tcPr>
            <w:tcW w:w="379" w:type="pct"/>
            <w:vAlign w:val="center"/>
          </w:tcPr>
          <w:p w14:paraId="555927DA"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57.0</w:t>
            </w:r>
          </w:p>
        </w:tc>
        <w:tc>
          <w:tcPr>
            <w:tcW w:w="379" w:type="pct"/>
            <w:noWrap/>
            <w:vAlign w:val="center"/>
          </w:tcPr>
          <w:p w14:paraId="585ABC3F"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58.0</w:t>
            </w:r>
          </w:p>
        </w:tc>
        <w:tc>
          <w:tcPr>
            <w:tcW w:w="379" w:type="pct"/>
            <w:noWrap/>
            <w:vAlign w:val="center"/>
          </w:tcPr>
          <w:p w14:paraId="2BF4A5DD"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54.9</w:t>
            </w:r>
          </w:p>
        </w:tc>
        <w:tc>
          <w:tcPr>
            <w:tcW w:w="379" w:type="pct"/>
            <w:noWrap/>
            <w:vAlign w:val="center"/>
          </w:tcPr>
          <w:p w14:paraId="638BD51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52.7</w:t>
            </w:r>
          </w:p>
        </w:tc>
        <w:tc>
          <w:tcPr>
            <w:tcW w:w="379" w:type="pct"/>
            <w:noWrap/>
            <w:vAlign w:val="center"/>
          </w:tcPr>
          <w:p w14:paraId="067BC4D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50.9</w:t>
            </w:r>
          </w:p>
        </w:tc>
        <w:tc>
          <w:tcPr>
            <w:tcW w:w="379" w:type="pct"/>
            <w:noWrap/>
            <w:vAlign w:val="center"/>
          </w:tcPr>
          <w:p w14:paraId="553AC631"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49.7</w:t>
            </w:r>
          </w:p>
        </w:tc>
        <w:tc>
          <w:tcPr>
            <w:tcW w:w="379" w:type="pct"/>
            <w:noWrap/>
            <w:vAlign w:val="center"/>
          </w:tcPr>
          <w:p w14:paraId="4AD2231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46.3</w:t>
            </w:r>
          </w:p>
        </w:tc>
        <w:tc>
          <w:tcPr>
            <w:tcW w:w="379" w:type="pct"/>
            <w:noWrap/>
            <w:vAlign w:val="center"/>
          </w:tcPr>
          <w:p w14:paraId="7A98E24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44.1</w:t>
            </w:r>
          </w:p>
        </w:tc>
        <w:tc>
          <w:tcPr>
            <w:tcW w:w="376" w:type="pct"/>
            <w:noWrap/>
            <w:vAlign w:val="center"/>
          </w:tcPr>
          <w:p w14:paraId="562E7F9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44.2</w:t>
            </w:r>
          </w:p>
        </w:tc>
      </w:tr>
      <w:tr w:rsidR="006F5521" w:rsidRPr="00D23AFA" w14:paraId="27F8D013" w14:textId="77777777" w:rsidTr="00B94D3E">
        <w:trPr>
          <w:cantSplit/>
          <w:trHeight w:val="20"/>
        </w:trPr>
        <w:tc>
          <w:tcPr>
            <w:tcW w:w="1213" w:type="pct"/>
            <w:noWrap/>
            <w:vAlign w:val="center"/>
            <w:hideMark/>
          </w:tcPr>
          <w:p w14:paraId="073E1F6C"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Non-Indigenous</w:t>
            </w:r>
          </w:p>
        </w:tc>
        <w:tc>
          <w:tcPr>
            <w:tcW w:w="379" w:type="pct"/>
            <w:vAlign w:val="center"/>
          </w:tcPr>
          <w:p w14:paraId="75483691"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55.5</w:t>
            </w:r>
          </w:p>
        </w:tc>
        <w:tc>
          <w:tcPr>
            <w:tcW w:w="379" w:type="pct"/>
            <w:vAlign w:val="center"/>
          </w:tcPr>
          <w:p w14:paraId="6E624BB0"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54.0</w:t>
            </w:r>
          </w:p>
        </w:tc>
        <w:tc>
          <w:tcPr>
            <w:tcW w:w="379" w:type="pct"/>
            <w:noWrap/>
            <w:vAlign w:val="center"/>
          </w:tcPr>
          <w:p w14:paraId="4BFE983F"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53.3</w:t>
            </w:r>
          </w:p>
        </w:tc>
        <w:tc>
          <w:tcPr>
            <w:tcW w:w="379" w:type="pct"/>
            <w:noWrap/>
            <w:vAlign w:val="center"/>
          </w:tcPr>
          <w:p w14:paraId="012385BA"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51.8</w:t>
            </w:r>
          </w:p>
        </w:tc>
        <w:tc>
          <w:tcPr>
            <w:tcW w:w="379" w:type="pct"/>
            <w:noWrap/>
            <w:vAlign w:val="center"/>
          </w:tcPr>
          <w:p w14:paraId="4ACDE612"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50.2</w:t>
            </w:r>
          </w:p>
        </w:tc>
        <w:tc>
          <w:tcPr>
            <w:tcW w:w="379" w:type="pct"/>
            <w:noWrap/>
            <w:vAlign w:val="center"/>
          </w:tcPr>
          <w:p w14:paraId="58000E8A"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48.7</w:t>
            </w:r>
          </w:p>
        </w:tc>
        <w:tc>
          <w:tcPr>
            <w:tcW w:w="379" w:type="pct"/>
            <w:noWrap/>
            <w:vAlign w:val="center"/>
          </w:tcPr>
          <w:p w14:paraId="153AACD0"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47.2</w:t>
            </w:r>
          </w:p>
        </w:tc>
        <w:tc>
          <w:tcPr>
            <w:tcW w:w="379" w:type="pct"/>
            <w:noWrap/>
            <w:vAlign w:val="center"/>
          </w:tcPr>
          <w:p w14:paraId="07045187"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44.4</w:t>
            </w:r>
          </w:p>
        </w:tc>
        <w:tc>
          <w:tcPr>
            <w:tcW w:w="379" w:type="pct"/>
            <w:noWrap/>
            <w:vAlign w:val="center"/>
          </w:tcPr>
          <w:p w14:paraId="4BB850B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42.1</w:t>
            </w:r>
          </w:p>
        </w:tc>
        <w:tc>
          <w:tcPr>
            <w:tcW w:w="376" w:type="pct"/>
            <w:noWrap/>
            <w:vAlign w:val="center"/>
          </w:tcPr>
          <w:p w14:paraId="78FDE19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41.8</w:t>
            </w:r>
          </w:p>
        </w:tc>
      </w:tr>
      <w:tr w:rsidR="00DB4C27" w:rsidRPr="00EB1AF3" w14:paraId="62510DE2" w14:textId="77777777" w:rsidTr="00DB4C27">
        <w:trPr>
          <w:cantSplit/>
          <w:trHeight w:val="20"/>
        </w:trPr>
        <w:tc>
          <w:tcPr>
            <w:tcW w:w="5000" w:type="pct"/>
            <w:gridSpan w:val="11"/>
            <w:noWrap/>
            <w:vAlign w:val="center"/>
            <w:hideMark/>
          </w:tcPr>
          <w:p w14:paraId="3B5CEDDF" w14:textId="47BC2B90" w:rsidR="00DB4C27" w:rsidRPr="00D23AFA" w:rsidRDefault="00DB4C27" w:rsidP="00B94D3E">
            <w:pPr>
              <w:rPr>
                <w:rFonts w:cstheme="minorHAnsi"/>
                <w:b/>
                <w:bCs/>
                <w:sz w:val="20"/>
                <w:szCs w:val="20"/>
              </w:rPr>
            </w:pPr>
            <w:r w:rsidRPr="00D23AFA">
              <w:rPr>
                <w:rFonts w:cstheme="minorHAnsi"/>
                <w:b/>
                <w:bCs/>
                <w:color w:val="000000"/>
                <w:sz w:val="20"/>
                <w:szCs w:val="20"/>
              </w:rPr>
              <w:t>Remoteness of mother's usual residence</w:t>
            </w:r>
          </w:p>
        </w:tc>
      </w:tr>
      <w:tr w:rsidR="00A166CD" w:rsidRPr="00D23AFA" w14:paraId="61F29997" w14:textId="77777777" w:rsidTr="00B94D3E">
        <w:trPr>
          <w:cantSplit/>
          <w:trHeight w:val="20"/>
        </w:trPr>
        <w:tc>
          <w:tcPr>
            <w:tcW w:w="1213" w:type="pct"/>
            <w:noWrap/>
            <w:vAlign w:val="center"/>
            <w:hideMark/>
          </w:tcPr>
          <w:p w14:paraId="5A8E89D1" w14:textId="77777777" w:rsidR="00A166CD" w:rsidRPr="00D23AFA" w:rsidRDefault="00A166CD" w:rsidP="00A166CD">
            <w:pPr>
              <w:ind w:firstLineChars="100" w:firstLine="200"/>
              <w:rPr>
                <w:rFonts w:cstheme="minorHAnsi"/>
                <w:color w:val="000000"/>
                <w:sz w:val="20"/>
                <w:szCs w:val="20"/>
              </w:rPr>
            </w:pPr>
            <w:r w:rsidRPr="00D23AFA">
              <w:rPr>
                <w:rFonts w:cstheme="minorHAnsi"/>
                <w:color w:val="000000"/>
                <w:sz w:val="20"/>
                <w:szCs w:val="20"/>
              </w:rPr>
              <w:t>Major cities</w:t>
            </w:r>
          </w:p>
        </w:tc>
        <w:tc>
          <w:tcPr>
            <w:tcW w:w="379" w:type="pct"/>
          </w:tcPr>
          <w:p w14:paraId="2949F44A" w14:textId="24D22AA2" w:rsidR="00A166CD" w:rsidRPr="004C6C91" w:rsidRDefault="00A166CD" w:rsidP="00A166CD">
            <w:pPr>
              <w:jc w:val="right"/>
              <w:rPr>
                <w:rFonts w:cstheme="minorHAnsi"/>
                <w:color w:val="000000"/>
                <w:sz w:val="20"/>
                <w:szCs w:val="20"/>
              </w:rPr>
            </w:pPr>
            <w:r w:rsidRPr="00B639EC">
              <w:rPr>
                <w:rFonts w:cstheme="minorHAnsi"/>
                <w:color w:val="000000"/>
                <w:sz w:val="20"/>
                <w:szCs w:val="20"/>
              </w:rPr>
              <w:t>n.a.</w:t>
            </w:r>
          </w:p>
        </w:tc>
        <w:tc>
          <w:tcPr>
            <w:tcW w:w="379" w:type="pct"/>
          </w:tcPr>
          <w:p w14:paraId="152D7ACD" w14:textId="7EA5C203" w:rsidR="00A166CD" w:rsidRPr="004C6C91" w:rsidRDefault="00A166CD" w:rsidP="00A166CD">
            <w:pPr>
              <w:jc w:val="right"/>
              <w:rPr>
                <w:rFonts w:cstheme="minorHAnsi"/>
                <w:color w:val="000000"/>
                <w:sz w:val="20"/>
                <w:szCs w:val="20"/>
              </w:rPr>
            </w:pPr>
            <w:r w:rsidRPr="00B639EC">
              <w:rPr>
                <w:rFonts w:cstheme="minorHAnsi"/>
                <w:color w:val="000000"/>
                <w:sz w:val="20"/>
                <w:szCs w:val="20"/>
              </w:rPr>
              <w:t>n.a.</w:t>
            </w:r>
          </w:p>
        </w:tc>
        <w:tc>
          <w:tcPr>
            <w:tcW w:w="379" w:type="pct"/>
            <w:noWrap/>
            <w:vAlign w:val="center"/>
          </w:tcPr>
          <w:p w14:paraId="0CCCBBA1"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53.7</w:t>
            </w:r>
          </w:p>
        </w:tc>
        <w:tc>
          <w:tcPr>
            <w:tcW w:w="379" w:type="pct"/>
            <w:noWrap/>
            <w:vAlign w:val="center"/>
          </w:tcPr>
          <w:p w14:paraId="2546C8F6"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52.0</w:t>
            </w:r>
          </w:p>
        </w:tc>
        <w:tc>
          <w:tcPr>
            <w:tcW w:w="379" w:type="pct"/>
            <w:noWrap/>
            <w:vAlign w:val="center"/>
          </w:tcPr>
          <w:p w14:paraId="2798450F"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50.7</w:t>
            </w:r>
          </w:p>
        </w:tc>
        <w:tc>
          <w:tcPr>
            <w:tcW w:w="379" w:type="pct"/>
            <w:noWrap/>
            <w:vAlign w:val="center"/>
          </w:tcPr>
          <w:p w14:paraId="179E1310"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49.2</w:t>
            </w:r>
          </w:p>
        </w:tc>
        <w:tc>
          <w:tcPr>
            <w:tcW w:w="379" w:type="pct"/>
            <w:noWrap/>
            <w:vAlign w:val="center"/>
          </w:tcPr>
          <w:p w14:paraId="264E12A6"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47.8</w:t>
            </w:r>
          </w:p>
        </w:tc>
        <w:tc>
          <w:tcPr>
            <w:tcW w:w="379" w:type="pct"/>
            <w:noWrap/>
            <w:vAlign w:val="center"/>
          </w:tcPr>
          <w:p w14:paraId="1C2E28DF"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44.7</w:t>
            </w:r>
          </w:p>
        </w:tc>
        <w:tc>
          <w:tcPr>
            <w:tcW w:w="379" w:type="pct"/>
            <w:noWrap/>
            <w:vAlign w:val="center"/>
          </w:tcPr>
          <w:p w14:paraId="31E2C030"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42.3</w:t>
            </w:r>
          </w:p>
        </w:tc>
        <w:tc>
          <w:tcPr>
            <w:tcW w:w="376" w:type="pct"/>
            <w:noWrap/>
            <w:vAlign w:val="center"/>
          </w:tcPr>
          <w:p w14:paraId="62F3CEB9"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41.5</w:t>
            </w:r>
          </w:p>
        </w:tc>
      </w:tr>
      <w:tr w:rsidR="00A166CD" w:rsidRPr="00D23AFA" w14:paraId="79F657A4" w14:textId="77777777" w:rsidTr="00B94D3E">
        <w:trPr>
          <w:cantSplit/>
          <w:trHeight w:val="20"/>
        </w:trPr>
        <w:tc>
          <w:tcPr>
            <w:tcW w:w="1213" w:type="pct"/>
            <w:noWrap/>
            <w:vAlign w:val="center"/>
            <w:hideMark/>
          </w:tcPr>
          <w:p w14:paraId="32FB1551" w14:textId="77777777" w:rsidR="00A166CD" w:rsidRPr="00D23AFA" w:rsidRDefault="00A166CD" w:rsidP="00A166CD">
            <w:pPr>
              <w:ind w:firstLineChars="100" w:firstLine="200"/>
              <w:rPr>
                <w:rFonts w:cstheme="minorHAnsi"/>
                <w:color w:val="000000"/>
                <w:sz w:val="20"/>
                <w:szCs w:val="20"/>
              </w:rPr>
            </w:pPr>
            <w:r w:rsidRPr="00D23AFA">
              <w:rPr>
                <w:rFonts w:cstheme="minorHAnsi"/>
                <w:color w:val="000000"/>
                <w:sz w:val="20"/>
                <w:szCs w:val="20"/>
              </w:rPr>
              <w:t>Inner regional</w:t>
            </w:r>
          </w:p>
        </w:tc>
        <w:tc>
          <w:tcPr>
            <w:tcW w:w="379" w:type="pct"/>
          </w:tcPr>
          <w:p w14:paraId="656D87A2" w14:textId="2DBA514F" w:rsidR="00A166CD" w:rsidRPr="004C6C91" w:rsidRDefault="00A166CD" w:rsidP="00A166CD">
            <w:pPr>
              <w:jc w:val="right"/>
              <w:rPr>
                <w:rFonts w:cstheme="minorHAnsi"/>
                <w:color w:val="000000"/>
                <w:sz w:val="20"/>
                <w:szCs w:val="20"/>
              </w:rPr>
            </w:pPr>
            <w:r w:rsidRPr="00B639EC">
              <w:rPr>
                <w:rFonts w:cstheme="minorHAnsi"/>
                <w:color w:val="000000"/>
                <w:sz w:val="20"/>
                <w:szCs w:val="20"/>
              </w:rPr>
              <w:t>n.a.</w:t>
            </w:r>
          </w:p>
        </w:tc>
        <w:tc>
          <w:tcPr>
            <w:tcW w:w="379" w:type="pct"/>
          </w:tcPr>
          <w:p w14:paraId="35F94F6F" w14:textId="3810EA98" w:rsidR="00A166CD" w:rsidRPr="004C6C91" w:rsidRDefault="00A166CD" w:rsidP="00A166CD">
            <w:pPr>
              <w:jc w:val="right"/>
              <w:rPr>
                <w:rFonts w:cstheme="minorHAnsi"/>
                <w:color w:val="000000"/>
                <w:sz w:val="20"/>
                <w:szCs w:val="20"/>
              </w:rPr>
            </w:pPr>
            <w:r w:rsidRPr="00B639EC">
              <w:rPr>
                <w:rFonts w:cstheme="minorHAnsi"/>
                <w:color w:val="000000"/>
                <w:sz w:val="20"/>
                <w:szCs w:val="20"/>
              </w:rPr>
              <w:t>n.a.</w:t>
            </w:r>
          </w:p>
        </w:tc>
        <w:tc>
          <w:tcPr>
            <w:tcW w:w="379" w:type="pct"/>
            <w:noWrap/>
            <w:vAlign w:val="center"/>
          </w:tcPr>
          <w:p w14:paraId="38691949"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56.2</w:t>
            </w:r>
          </w:p>
        </w:tc>
        <w:tc>
          <w:tcPr>
            <w:tcW w:w="379" w:type="pct"/>
            <w:noWrap/>
            <w:vAlign w:val="center"/>
          </w:tcPr>
          <w:p w14:paraId="32FBD5B2"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54.2</w:t>
            </w:r>
          </w:p>
        </w:tc>
        <w:tc>
          <w:tcPr>
            <w:tcW w:w="379" w:type="pct"/>
            <w:noWrap/>
            <w:vAlign w:val="center"/>
          </w:tcPr>
          <w:p w14:paraId="0241CEC8"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52.4</w:t>
            </w:r>
          </w:p>
        </w:tc>
        <w:tc>
          <w:tcPr>
            <w:tcW w:w="379" w:type="pct"/>
            <w:noWrap/>
            <w:vAlign w:val="center"/>
          </w:tcPr>
          <w:p w14:paraId="31A67C37"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52.2</w:t>
            </w:r>
          </w:p>
        </w:tc>
        <w:tc>
          <w:tcPr>
            <w:tcW w:w="379" w:type="pct"/>
            <w:noWrap/>
            <w:vAlign w:val="center"/>
          </w:tcPr>
          <w:p w14:paraId="5AF80E3E"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49.7</w:t>
            </w:r>
          </w:p>
        </w:tc>
        <w:tc>
          <w:tcPr>
            <w:tcW w:w="379" w:type="pct"/>
            <w:noWrap/>
            <w:vAlign w:val="center"/>
          </w:tcPr>
          <w:p w14:paraId="79473D35"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47.2</w:t>
            </w:r>
          </w:p>
        </w:tc>
        <w:tc>
          <w:tcPr>
            <w:tcW w:w="379" w:type="pct"/>
            <w:noWrap/>
            <w:vAlign w:val="center"/>
          </w:tcPr>
          <w:p w14:paraId="3D040E8B"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44.8</w:t>
            </w:r>
          </w:p>
        </w:tc>
        <w:tc>
          <w:tcPr>
            <w:tcW w:w="376" w:type="pct"/>
            <w:noWrap/>
            <w:vAlign w:val="center"/>
          </w:tcPr>
          <w:p w14:paraId="5FAEC0BD"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44.6</w:t>
            </w:r>
          </w:p>
        </w:tc>
      </w:tr>
      <w:tr w:rsidR="00A166CD" w:rsidRPr="00D23AFA" w14:paraId="2D232D73" w14:textId="77777777" w:rsidTr="00B94D3E">
        <w:trPr>
          <w:cantSplit/>
          <w:trHeight w:val="20"/>
        </w:trPr>
        <w:tc>
          <w:tcPr>
            <w:tcW w:w="1213" w:type="pct"/>
            <w:noWrap/>
            <w:vAlign w:val="center"/>
            <w:hideMark/>
          </w:tcPr>
          <w:p w14:paraId="7A8D378B" w14:textId="77777777" w:rsidR="00A166CD" w:rsidRPr="00D23AFA" w:rsidRDefault="00A166CD" w:rsidP="00A166CD">
            <w:pPr>
              <w:ind w:firstLineChars="100" w:firstLine="200"/>
              <w:rPr>
                <w:rFonts w:cstheme="minorHAnsi"/>
                <w:color w:val="000000"/>
                <w:sz w:val="20"/>
                <w:szCs w:val="20"/>
              </w:rPr>
            </w:pPr>
            <w:r w:rsidRPr="00D23AFA">
              <w:rPr>
                <w:rFonts w:cstheme="minorHAnsi"/>
                <w:color w:val="000000"/>
                <w:sz w:val="20"/>
                <w:szCs w:val="20"/>
              </w:rPr>
              <w:t>Outer regional</w:t>
            </w:r>
          </w:p>
        </w:tc>
        <w:tc>
          <w:tcPr>
            <w:tcW w:w="379" w:type="pct"/>
          </w:tcPr>
          <w:p w14:paraId="1698D133" w14:textId="5FCE0FF9" w:rsidR="00A166CD" w:rsidRPr="004C6C91" w:rsidRDefault="00A166CD" w:rsidP="00A166CD">
            <w:pPr>
              <w:jc w:val="right"/>
              <w:rPr>
                <w:rFonts w:cstheme="minorHAnsi"/>
                <w:color w:val="000000"/>
                <w:sz w:val="20"/>
                <w:szCs w:val="20"/>
              </w:rPr>
            </w:pPr>
            <w:r w:rsidRPr="00B639EC">
              <w:rPr>
                <w:rFonts w:cstheme="minorHAnsi"/>
                <w:color w:val="000000"/>
                <w:sz w:val="20"/>
                <w:szCs w:val="20"/>
              </w:rPr>
              <w:t>n.a.</w:t>
            </w:r>
          </w:p>
        </w:tc>
        <w:tc>
          <w:tcPr>
            <w:tcW w:w="379" w:type="pct"/>
          </w:tcPr>
          <w:p w14:paraId="7F9E552F" w14:textId="7C04ACA5" w:rsidR="00A166CD" w:rsidRPr="004C6C91" w:rsidRDefault="00A166CD" w:rsidP="00A166CD">
            <w:pPr>
              <w:jc w:val="right"/>
              <w:rPr>
                <w:rFonts w:cstheme="minorHAnsi"/>
                <w:color w:val="000000"/>
                <w:sz w:val="20"/>
                <w:szCs w:val="20"/>
              </w:rPr>
            </w:pPr>
            <w:r w:rsidRPr="00B639EC">
              <w:rPr>
                <w:rFonts w:cstheme="minorHAnsi"/>
                <w:color w:val="000000"/>
                <w:sz w:val="20"/>
                <w:szCs w:val="20"/>
              </w:rPr>
              <w:t>n.a.</w:t>
            </w:r>
          </w:p>
        </w:tc>
        <w:tc>
          <w:tcPr>
            <w:tcW w:w="379" w:type="pct"/>
            <w:noWrap/>
            <w:vAlign w:val="center"/>
          </w:tcPr>
          <w:p w14:paraId="7836ED19"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55.3</w:t>
            </w:r>
          </w:p>
        </w:tc>
        <w:tc>
          <w:tcPr>
            <w:tcW w:w="379" w:type="pct"/>
            <w:noWrap/>
            <w:vAlign w:val="center"/>
          </w:tcPr>
          <w:p w14:paraId="6E32D031"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54.4</w:t>
            </w:r>
          </w:p>
        </w:tc>
        <w:tc>
          <w:tcPr>
            <w:tcW w:w="379" w:type="pct"/>
            <w:noWrap/>
            <w:vAlign w:val="center"/>
          </w:tcPr>
          <w:p w14:paraId="2E69C83C"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53.1</w:t>
            </w:r>
          </w:p>
        </w:tc>
        <w:tc>
          <w:tcPr>
            <w:tcW w:w="379" w:type="pct"/>
            <w:noWrap/>
            <w:vAlign w:val="center"/>
          </w:tcPr>
          <w:p w14:paraId="2B3376F2"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52.1</w:t>
            </w:r>
          </w:p>
        </w:tc>
        <w:tc>
          <w:tcPr>
            <w:tcW w:w="379" w:type="pct"/>
            <w:noWrap/>
            <w:vAlign w:val="center"/>
          </w:tcPr>
          <w:p w14:paraId="7066F0E3"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50.9</w:t>
            </w:r>
          </w:p>
        </w:tc>
        <w:tc>
          <w:tcPr>
            <w:tcW w:w="379" w:type="pct"/>
            <w:noWrap/>
            <w:vAlign w:val="center"/>
          </w:tcPr>
          <w:p w14:paraId="38341F8A"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48.6</w:t>
            </w:r>
          </w:p>
        </w:tc>
        <w:tc>
          <w:tcPr>
            <w:tcW w:w="379" w:type="pct"/>
            <w:noWrap/>
            <w:vAlign w:val="center"/>
          </w:tcPr>
          <w:p w14:paraId="42AABA57"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46.5</w:t>
            </w:r>
          </w:p>
        </w:tc>
        <w:tc>
          <w:tcPr>
            <w:tcW w:w="376" w:type="pct"/>
            <w:noWrap/>
            <w:vAlign w:val="center"/>
          </w:tcPr>
          <w:p w14:paraId="2ABB60D7"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46.6</w:t>
            </w:r>
          </w:p>
        </w:tc>
      </w:tr>
      <w:tr w:rsidR="00A166CD" w:rsidRPr="00D23AFA" w14:paraId="6DBA432E" w14:textId="77777777" w:rsidTr="00B94D3E">
        <w:trPr>
          <w:cantSplit/>
          <w:trHeight w:val="20"/>
        </w:trPr>
        <w:tc>
          <w:tcPr>
            <w:tcW w:w="1213" w:type="pct"/>
            <w:noWrap/>
            <w:vAlign w:val="center"/>
            <w:hideMark/>
          </w:tcPr>
          <w:p w14:paraId="39936F37" w14:textId="77777777" w:rsidR="00A166CD" w:rsidRPr="00D23AFA" w:rsidRDefault="00A166CD" w:rsidP="00A166CD">
            <w:pPr>
              <w:ind w:firstLineChars="100" w:firstLine="200"/>
              <w:rPr>
                <w:rFonts w:cstheme="minorHAnsi"/>
                <w:color w:val="000000"/>
                <w:sz w:val="20"/>
                <w:szCs w:val="20"/>
              </w:rPr>
            </w:pPr>
            <w:r w:rsidRPr="00D23AFA">
              <w:rPr>
                <w:rFonts w:cstheme="minorHAnsi"/>
                <w:color w:val="000000"/>
                <w:sz w:val="20"/>
                <w:szCs w:val="20"/>
              </w:rPr>
              <w:t>Remote</w:t>
            </w:r>
          </w:p>
        </w:tc>
        <w:tc>
          <w:tcPr>
            <w:tcW w:w="379" w:type="pct"/>
          </w:tcPr>
          <w:p w14:paraId="681E7409" w14:textId="7F47C036" w:rsidR="00A166CD" w:rsidRPr="004C6C91" w:rsidRDefault="00A166CD" w:rsidP="00A166CD">
            <w:pPr>
              <w:jc w:val="right"/>
              <w:rPr>
                <w:rFonts w:cstheme="minorHAnsi"/>
                <w:color w:val="000000"/>
                <w:sz w:val="20"/>
                <w:szCs w:val="20"/>
              </w:rPr>
            </w:pPr>
            <w:r w:rsidRPr="00B639EC">
              <w:rPr>
                <w:rFonts w:cstheme="minorHAnsi"/>
                <w:color w:val="000000"/>
                <w:sz w:val="20"/>
                <w:szCs w:val="20"/>
              </w:rPr>
              <w:t>n.a.</w:t>
            </w:r>
          </w:p>
        </w:tc>
        <w:tc>
          <w:tcPr>
            <w:tcW w:w="379" w:type="pct"/>
          </w:tcPr>
          <w:p w14:paraId="73565C0D" w14:textId="5A603791" w:rsidR="00A166CD" w:rsidRPr="004C6C91" w:rsidRDefault="00A166CD" w:rsidP="00A166CD">
            <w:pPr>
              <w:jc w:val="right"/>
              <w:rPr>
                <w:rFonts w:cstheme="minorHAnsi"/>
                <w:color w:val="000000"/>
                <w:sz w:val="20"/>
                <w:szCs w:val="20"/>
              </w:rPr>
            </w:pPr>
            <w:r w:rsidRPr="00B639EC">
              <w:rPr>
                <w:rFonts w:cstheme="minorHAnsi"/>
                <w:color w:val="000000"/>
                <w:sz w:val="20"/>
                <w:szCs w:val="20"/>
              </w:rPr>
              <w:t>n.a.</w:t>
            </w:r>
          </w:p>
        </w:tc>
        <w:tc>
          <w:tcPr>
            <w:tcW w:w="379" w:type="pct"/>
            <w:noWrap/>
            <w:vAlign w:val="center"/>
          </w:tcPr>
          <w:p w14:paraId="5316564F"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54.7</w:t>
            </w:r>
          </w:p>
        </w:tc>
        <w:tc>
          <w:tcPr>
            <w:tcW w:w="379" w:type="pct"/>
            <w:noWrap/>
            <w:vAlign w:val="center"/>
          </w:tcPr>
          <w:p w14:paraId="1AF9EAA5"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54.6</w:t>
            </w:r>
          </w:p>
        </w:tc>
        <w:tc>
          <w:tcPr>
            <w:tcW w:w="379" w:type="pct"/>
            <w:noWrap/>
            <w:vAlign w:val="center"/>
          </w:tcPr>
          <w:p w14:paraId="00AB7C89"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53.8</w:t>
            </w:r>
          </w:p>
        </w:tc>
        <w:tc>
          <w:tcPr>
            <w:tcW w:w="379" w:type="pct"/>
            <w:noWrap/>
            <w:vAlign w:val="center"/>
          </w:tcPr>
          <w:p w14:paraId="4DD536E9"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54.6</w:t>
            </w:r>
          </w:p>
        </w:tc>
        <w:tc>
          <w:tcPr>
            <w:tcW w:w="379" w:type="pct"/>
            <w:noWrap/>
            <w:vAlign w:val="center"/>
          </w:tcPr>
          <w:p w14:paraId="07A869C2"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51.0</w:t>
            </w:r>
          </w:p>
        </w:tc>
        <w:tc>
          <w:tcPr>
            <w:tcW w:w="379" w:type="pct"/>
            <w:noWrap/>
            <w:vAlign w:val="center"/>
          </w:tcPr>
          <w:p w14:paraId="62EDDFA3"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50.4</w:t>
            </w:r>
          </w:p>
        </w:tc>
        <w:tc>
          <w:tcPr>
            <w:tcW w:w="379" w:type="pct"/>
            <w:noWrap/>
            <w:vAlign w:val="center"/>
          </w:tcPr>
          <w:p w14:paraId="5AA957D7"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47.8</w:t>
            </w:r>
          </w:p>
        </w:tc>
        <w:tc>
          <w:tcPr>
            <w:tcW w:w="376" w:type="pct"/>
            <w:noWrap/>
            <w:vAlign w:val="center"/>
          </w:tcPr>
          <w:p w14:paraId="2D9BB4F7" w14:textId="77777777" w:rsidR="00A166CD" w:rsidRPr="00D23AFA" w:rsidRDefault="00A166CD" w:rsidP="00A166CD">
            <w:pPr>
              <w:jc w:val="right"/>
              <w:rPr>
                <w:rFonts w:cstheme="minorHAnsi"/>
                <w:color w:val="000000"/>
                <w:sz w:val="20"/>
                <w:szCs w:val="20"/>
              </w:rPr>
            </w:pPr>
            <w:r w:rsidRPr="004C6C91">
              <w:rPr>
                <w:rFonts w:cstheme="minorHAnsi"/>
                <w:color w:val="000000"/>
                <w:sz w:val="20"/>
                <w:szCs w:val="20"/>
              </w:rPr>
              <w:t>48.3</w:t>
            </w:r>
          </w:p>
        </w:tc>
      </w:tr>
      <w:tr w:rsidR="006F5521" w:rsidRPr="00D23AFA" w14:paraId="7E85369D" w14:textId="77777777" w:rsidTr="00B94D3E">
        <w:trPr>
          <w:cantSplit/>
          <w:trHeight w:val="20"/>
        </w:trPr>
        <w:tc>
          <w:tcPr>
            <w:tcW w:w="1213" w:type="pct"/>
            <w:noWrap/>
            <w:vAlign w:val="center"/>
            <w:hideMark/>
          </w:tcPr>
          <w:p w14:paraId="1DB03206"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Very remote</w:t>
            </w:r>
          </w:p>
        </w:tc>
        <w:tc>
          <w:tcPr>
            <w:tcW w:w="379" w:type="pct"/>
            <w:vAlign w:val="center"/>
          </w:tcPr>
          <w:p w14:paraId="0B7BE2D4" w14:textId="58814C7E" w:rsidR="006F5521" w:rsidRPr="004C6C91" w:rsidRDefault="00A166CD" w:rsidP="00AF0ADF">
            <w:pPr>
              <w:jc w:val="right"/>
              <w:rPr>
                <w:rFonts w:cstheme="minorHAnsi"/>
                <w:color w:val="000000"/>
                <w:sz w:val="20"/>
                <w:szCs w:val="20"/>
              </w:rPr>
            </w:pPr>
            <w:r>
              <w:rPr>
                <w:rFonts w:cstheme="minorHAnsi"/>
                <w:color w:val="000000"/>
                <w:sz w:val="20"/>
                <w:szCs w:val="20"/>
              </w:rPr>
              <w:t>n.a.</w:t>
            </w:r>
          </w:p>
        </w:tc>
        <w:tc>
          <w:tcPr>
            <w:tcW w:w="379" w:type="pct"/>
            <w:vAlign w:val="center"/>
          </w:tcPr>
          <w:p w14:paraId="2AB99FE8" w14:textId="2E488C5D" w:rsidR="006F5521" w:rsidRPr="004C6C91" w:rsidRDefault="00A166CD" w:rsidP="00AF0ADF">
            <w:pPr>
              <w:jc w:val="right"/>
              <w:rPr>
                <w:rFonts w:cstheme="minorHAnsi"/>
                <w:color w:val="000000"/>
                <w:sz w:val="20"/>
                <w:szCs w:val="20"/>
              </w:rPr>
            </w:pPr>
            <w:r>
              <w:rPr>
                <w:rFonts w:cstheme="minorHAnsi"/>
                <w:color w:val="000000"/>
                <w:sz w:val="20"/>
                <w:szCs w:val="20"/>
              </w:rPr>
              <w:t>n.a.</w:t>
            </w:r>
          </w:p>
        </w:tc>
        <w:tc>
          <w:tcPr>
            <w:tcW w:w="379" w:type="pct"/>
            <w:noWrap/>
            <w:vAlign w:val="center"/>
          </w:tcPr>
          <w:p w14:paraId="2E38464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57.9</w:t>
            </w:r>
          </w:p>
        </w:tc>
        <w:tc>
          <w:tcPr>
            <w:tcW w:w="379" w:type="pct"/>
            <w:noWrap/>
            <w:vAlign w:val="center"/>
          </w:tcPr>
          <w:p w14:paraId="3FEDA23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56.6</w:t>
            </w:r>
          </w:p>
        </w:tc>
        <w:tc>
          <w:tcPr>
            <w:tcW w:w="379" w:type="pct"/>
            <w:noWrap/>
            <w:vAlign w:val="center"/>
          </w:tcPr>
          <w:p w14:paraId="1A759C5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54.0</w:t>
            </w:r>
          </w:p>
        </w:tc>
        <w:tc>
          <w:tcPr>
            <w:tcW w:w="379" w:type="pct"/>
            <w:noWrap/>
            <w:vAlign w:val="center"/>
          </w:tcPr>
          <w:p w14:paraId="2CFC309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54.4</w:t>
            </w:r>
          </w:p>
        </w:tc>
        <w:tc>
          <w:tcPr>
            <w:tcW w:w="379" w:type="pct"/>
            <w:noWrap/>
            <w:vAlign w:val="center"/>
          </w:tcPr>
          <w:p w14:paraId="61E1E3E7"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51.4</w:t>
            </w:r>
          </w:p>
        </w:tc>
        <w:tc>
          <w:tcPr>
            <w:tcW w:w="379" w:type="pct"/>
            <w:noWrap/>
            <w:vAlign w:val="center"/>
          </w:tcPr>
          <w:p w14:paraId="31F11233"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51.6</w:t>
            </w:r>
          </w:p>
        </w:tc>
        <w:tc>
          <w:tcPr>
            <w:tcW w:w="379" w:type="pct"/>
            <w:noWrap/>
            <w:vAlign w:val="center"/>
          </w:tcPr>
          <w:p w14:paraId="0853FCF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48.8</w:t>
            </w:r>
          </w:p>
        </w:tc>
        <w:tc>
          <w:tcPr>
            <w:tcW w:w="376" w:type="pct"/>
            <w:noWrap/>
            <w:vAlign w:val="center"/>
          </w:tcPr>
          <w:p w14:paraId="191CE37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48.0</w:t>
            </w:r>
          </w:p>
        </w:tc>
      </w:tr>
      <w:tr w:rsidR="00DB4C27" w:rsidRPr="00EB1AF3" w14:paraId="4E841B8B" w14:textId="77777777" w:rsidTr="00DB4C27">
        <w:trPr>
          <w:cantSplit/>
          <w:trHeight w:val="20"/>
        </w:trPr>
        <w:tc>
          <w:tcPr>
            <w:tcW w:w="5000" w:type="pct"/>
            <w:gridSpan w:val="11"/>
            <w:noWrap/>
            <w:vAlign w:val="center"/>
            <w:hideMark/>
          </w:tcPr>
          <w:p w14:paraId="22CF9F64" w14:textId="0D9BA0EF" w:rsidR="00DB4C27" w:rsidRPr="00D23AFA" w:rsidRDefault="00DB4C27" w:rsidP="00B94D3E">
            <w:pPr>
              <w:rPr>
                <w:rFonts w:cstheme="minorHAnsi"/>
                <w:b/>
                <w:bCs/>
                <w:sz w:val="20"/>
                <w:szCs w:val="20"/>
              </w:rPr>
            </w:pPr>
            <w:r w:rsidRPr="00D23AFA">
              <w:rPr>
                <w:rFonts w:cstheme="minorHAnsi"/>
                <w:b/>
                <w:bCs/>
                <w:color w:val="000000"/>
                <w:sz w:val="20"/>
                <w:szCs w:val="20"/>
              </w:rPr>
              <w:t>Hospital sector</w:t>
            </w:r>
          </w:p>
        </w:tc>
      </w:tr>
      <w:tr w:rsidR="006F5521" w:rsidRPr="00D23AFA" w14:paraId="12FD4CEA" w14:textId="77777777" w:rsidTr="00B94D3E">
        <w:trPr>
          <w:cantSplit/>
          <w:trHeight w:val="20"/>
        </w:trPr>
        <w:tc>
          <w:tcPr>
            <w:tcW w:w="1213" w:type="pct"/>
            <w:noWrap/>
            <w:vAlign w:val="center"/>
            <w:hideMark/>
          </w:tcPr>
          <w:p w14:paraId="3D21777E"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Private</w:t>
            </w:r>
          </w:p>
        </w:tc>
        <w:tc>
          <w:tcPr>
            <w:tcW w:w="379" w:type="pct"/>
            <w:vAlign w:val="center"/>
          </w:tcPr>
          <w:p w14:paraId="47F1E800"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42.8</w:t>
            </w:r>
          </w:p>
        </w:tc>
        <w:tc>
          <w:tcPr>
            <w:tcW w:w="379" w:type="pct"/>
            <w:vAlign w:val="center"/>
          </w:tcPr>
          <w:p w14:paraId="265E2FED"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41.8</w:t>
            </w:r>
          </w:p>
        </w:tc>
        <w:tc>
          <w:tcPr>
            <w:tcW w:w="379" w:type="pct"/>
            <w:noWrap/>
            <w:vAlign w:val="center"/>
          </w:tcPr>
          <w:p w14:paraId="06616E78"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41.5</w:t>
            </w:r>
          </w:p>
        </w:tc>
        <w:tc>
          <w:tcPr>
            <w:tcW w:w="379" w:type="pct"/>
            <w:noWrap/>
            <w:vAlign w:val="center"/>
          </w:tcPr>
          <w:p w14:paraId="62D79D20"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40.0</w:t>
            </w:r>
          </w:p>
        </w:tc>
        <w:tc>
          <w:tcPr>
            <w:tcW w:w="379" w:type="pct"/>
            <w:noWrap/>
            <w:vAlign w:val="center"/>
          </w:tcPr>
          <w:p w14:paraId="04B3C2EC"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38.6</w:t>
            </w:r>
          </w:p>
        </w:tc>
        <w:tc>
          <w:tcPr>
            <w:tcW w:w="379" w:type="pct"/>
            <w:noWrap/>
            <w:vAlign w:val="center"/>
          </w:tcPr>
          <w:p w14:paraId="7F499998"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37.3</w:t>
            </w:r>
          </w:p>
        </w:tc>
        <w:tc>
          <w:tcPr>
            <w:tcW w:w="379" w:type="pct"/>
            <w:noWrap/>
            <w:vAlign w:val="center"/>
          </w:tcPr>
          <w:p w14:paraId="45964F7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36.0</w:t>
            </w:r>
          </w:p>
        </w:tc>
        <w:tc>
          <w:tcPr>
            <w:tcW w:w="379" w:type="pct"/>
            <w:noWrap/>
            <w:vAlign w:val="center"/>
          </w:tcPr>
          <w:p w14:paraId="3273236E"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34.0</w:t>
            </w:r>
          </w:p>
        </w:tc>
        <w:tc>
          <w:tcPr>
            <w:tcW w:w="379" w:type="pct"/>
            <w:noWrap/>
            <w:vAlign w:val="center"/>
          </w:tcPr>
          <w:p w14:paraId="06230A5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31.7</w:t>
            </w:r>
          </w:p>
        </w:tc>
        <w:tc>
          <w:tcPr>
            <w:tcW w:w="376" w:type="pct"/>
            <w:noWrap/>
            <w:vAlign w:val="center"/>
          </w:tcPr>
          <w:p w14:paraId="09500A6A"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30.0</w:t>
            </w:r>
          </w:p>
        </w:tc>
      </w:tr>
      <w:tr w:rsidR="006F5521" w:rsidRPr="00D23AFA" w14:paraId="6088FA59" w14:textId="77777777" w:rsidTr="00B94D3E">
        <w:trPr>
          <w:cantSplit/>
          <w:trHeight w:val="20"/>
        </w:trPr>
        <w:tc>
          <w:tcPr>
            <w:tcW w:w="1213" w:type="pct"/>
            <w:noWrap/>
            <w:vAlign w:val="center"/>
            <w:hideMark/>
          </w:tcPr>
          <w:p w14:paraId="1A7C79E3" w14:textId="77777777" w:rsidR="006F5521" w:rsidRPr="00D23AFA" w:rsidRDefault="006F5521" w:rsidP="00AF0ADF">
            <w:pPr>
              <w:ind w:firstLineChars="100" w:firstLine="200"/>
              <w:rPr>
                <w:rFonts w:cstheme="minorHAnsi"/>
                <w:color w:val="000000"/>
                <w:sz w:val="20"/>
                <w:szCs w:val="20"/>
              </w:rPr>
            </w:pPr>
            <w:r w:rsidRPr="00D23AFA">
              <w:rPr>
                <w:rFonts w:cstheme="minorHAnsi"/>
                <w:color w:val="000000"/>
                <w:sz w:val="20"/>
                <w:szCs w:val="20"/>
              </w:rPr>
              <w:t>Public</w:t>
            </w:r>
          </w:p>
        </w:tc>
        <w:tc>
          <w:tcPr>
            <w:tcW w:w="379" w:type="pct"/>
            <w:vAlign w:val="center"/>
          </w:tcPr>
          <w:p w14:paraId="345CBAE1"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59.8</w:t>
            </w:r>
          </w:p>
        </w:tc>
        <w:tc>
          <w:tcPr>
            <w:tcW w:w="379" w:type="pct"/>
            <w:vAlign w:val="center"/>
          </w:tcPr>
          <w:p w14:paraId="647A132B" w14:textId="77777777" w:rsidR="006F5521" w:rsidRPr="004C6C91" w:rsidRDefault="006F5521" w:rsidP="00AF0ADF">
            <w:pPr>
              <w:jc w:val="right"/>
              <w:rPr>
                <w:rFonts w:cstheme="minorHAnsi"/>
                <w:color w:val="000000"/>
                <w:sz w:val="20"/>
                <w:szCs w:val="20"/>
              </w:rPr>
            </w:pPr>
            <w:r w:rsidRPr="004C6C91">
              <w:rPr>
                <w:rFonts w:cstheme="minorHAnsi"/>
                <w:color w:val="000000"/>
                <w:sz w:val="20"/>
                <w:szCs w:val="20"/>
              </w:rPr>
              <w:t>58.4</w:t>
            </w:r>
          </w:p>
        </w:tc>
        <w:tc>
          <w:tcPr>
            <w:tcW w:w="379" w:type="pct"/>
            <w:noWrap/>
            <w:vAlign w:val="center"/>
          </w:tcPr>
          <w:p w14:paraId="3A3E32C3"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57.5</w:t>
            </w:r>
          </w:p>
        </w:tc>
        <w:tc>
          <w:tcPr>
            <w:tcW w:w="379" w:type="pct"/>
            <w:noWrap/>
            <w:vAlign w:val="center"/>
          </w:tcPr>
          <w:p w14:paraId="7F2E2A05"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56.0</w:t>
            </w:r>
          </w:p>
        </w:tc>
        <w:tc>
          <w:tcPr>
            <w:tcW w:w="379" w:type="pct"/>
            <w:noWrap/>
            <w:vAlign w:val="center"/>
          </w:tcPr>
          <w:p w14:paraId="290EF11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54.6</w:t>
            </w:r>
          </w:p>
        </w:tc>
        <w:tc>
          <w:tcPr>
            <w:tcW w:w="379" w:type="pct"/>
            <w:noWrap/>
            <w:vAlign w:val="center"/>
          </w:tcPr>
          <w:p w14:paraId="3D43A8CB"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53.2</w:t>
            </w:r>
          </w:p>
        </w:tc>
        <w:tc>
          <w:tcPr>
            <w:tcW w:w="379" w:type="pct"/>
            <w:noWrap/>
            <w:vAlign w:val="center"/>
          </w:tcPr>
          <w:p w14:paraId="67AF3861"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51.2</w:t>
            </w:r>
          </w:p>
        </w:tc>
        <w:tc>
          <w:tcPr>
            <w:tcW w:w="379" w:type="pct"/>
            <w:noWrap/>
            <w:vAlign w:val="center"/>
          </w:tcPr>
          <w:p w14:paraId="4812C9C3"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47.7</w:t>
            </w:r>
          </w:p>
        </w:tc>
        <w:tc>
          <w:tcPr>
            <w:tcW w:w="379" w:type="pct"/>
            <w:noWrap/>
            <w:vAlign w:val="center"/>
          </w:tcPr>
          <w:p w14:paraId="13D32698"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45.0</w:t>
            </w:r>
          </w:p>
        </w:tc>
        <w:tc>
          <w:tcPr>
            <w:tcW w:w="376" w:type="pct"/>
            <w:noWrap/>
            <w:vAlign w:val="center"/>
          </w:tcPr>
          <w:p w14:paraId="267C4626" w14:textId="77777777" w:rsidR="006F5521" w:rsidRPr="00D23AFA" w:rsidRDefault="006F5521" w:rsidP="00AF0ADF">
            <w:pPr>
              <w:jc w:val="right"/>
              <w:rPr>
                <w:rFonts w:cstheme="minorHAnsi"/>
                <w:color w:val="000000"/>
                <w:sz w:val="20"/>
                <w:szCs w:val="20"/>
              </w:rPr>
            </w:pPr>
            <w:r w:rsidRPr="004C6C91">
              <w:rPr>
                <w:rFonts w:cstheme="minorHAnsi"/>
                <w:color w:val="000000"/>
                <w:sz w:val="20"/>
                <w:szCs w:val="20"/>
              </w:rPr>
              <w:t>44.7</w:t>
            </w:r>
          </w:p>
        </w:tc>
      </w:tr>
    </w:tbl>
    <w:p w14:paraId="4AA160FA" w14:textId="5E27B803" w:rsidR="00A166CD" w:rsidRDefault="00A166CD" w:rsidP="007667EF">
      <w:pPr>
        <w:rPr>
          <w:sz w:val="18"/>
          <w:szCs w:val="18"/>
        </w:rPr>
      </w:pPr>
      <w:r>
        <w:rPr>
          <w:rFonts w:cstheme="minorHAnsi"/>
          <w:color w:val="000000"/>
          <w:sz w:val="20"/>
          <w:szCs w:val="20"/>
        </w:rPr>
        <w:t>n.a</w:t>
      </w:r>
      <w:r w:rsidR="009C3E6A">
        <w:rPr>
          <w:rFonts w:cstheme="minorHAnsi"/>
          <w:color w:val="000000"/>
          <w:sz w:val="20"/>
          <w:szCs w:val="20"/>
        </w:rPr>
        <w:t>.</w:t>
      </w:r>
      <w:r w:rsidR="009C3E6A">
        <w:rPr>
          <w:sz w:val="18"/>
          <w:szCs w:val="18"/>
        </w:rPr>
        <w:t>.</w:t>
      </w:r>
      <w:r w:rsidRPr="007667EF">
        <w:rPr>
          <w:sz w:val="18"/>
          <w:szCs w:val="18"/>
        </w:rPr>
        <w:t xml:space="preserve">: </w:t>
      </w:r>
      <w:r>
        <w:rPr>
          <w:sz w:val="18"/>
          <w:szCs w:val="18"/>
        </w:rPr>
        <w:t>data not available</w:t>
      </w:r>
      <w:r w:rsidR="009C3E6A">
        <w:rPr>
          <w:sz w:val="18"/>
          <w:szCs w:val="18"/>
        </w:rPr>
        <w:t>.</w:t>
      </w:r>
    </w:p>
    <w:p w14:paraId="67219420" w14:textId="77777777" w:rsidR="00C05A23" w:rsidRPr="00E8746E" w:rsidRDefault="00C05A23" w:rsidP="007667EF"/>
    <w:p w14:paraId="6CE6D9FC" w14:textId="77777777" w:rsidR="00940A8B" w:rsidRPr="00940A8B" w:rsidRDefault="00940A8B" w:rsidP="00940A8B">
      <w:pPr>
        <w:ind w:left="360" w:hanging="360"/>
        <w:rPr>
          <w:b/>
          <w:bCs/>
          <w:sz w:val="18"/>
          <w:szCs w:val="18"/>
        </w:rPr>
      </w:pPr>
      <w:r w:rsidRPr="00940A8B">
        <w:rPr>
          <w:b/>
          <w:bCs/>
          <w:sz w:val="18"/>
          <w:szCs w:val="18"/>
        </w:rPr>
        <w:t>Data notes</w:t>
      </w:r>
    </w:p>
    <w:p w14:paraId="413516FA" w14:textId="77777777" w:rsidR="00AF0ADF" w:rsidRPr="00940A8B" w:rsidRDefault="00AF0ADF" w:rsidP="008D3FB5">
      <w:pPr>
        <w:pStyle w:val="pf0"/>
        <w:numPr>
          <w:ilvl w:val="0"/>
          <w:numId w:val="37"/>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Country of birth (mother): Prior to 2012, data were mapped to the ABS 2008 Standard Australian Classification of Countries (SACC). Between 2012 and 2016, data were mapped to the ABS 2011 SACC. From 2017, data were mapped to the ABS 2016 SACC, with the exception of Qld which used the ABS 2011 SACC until 30 June 2017.</w:t>
      </w:r>
    </w:p>
    <w:p w14:paraId="2CBF5362" w14:textId="77777777" w:rsidR="00AF0ADF" w:rsidRPr="00940A8B" w:rsidRDefault="00AF0ADF" w:rsidP="008D3FB5">
      <w:pPr>
        <w:pStyle w:val="pf0"/>
        <w:numPr>
          <w:ilvl w:val="0"/>
          <w:numId w:val="37"/>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Hospital sector: Includes women who gave birth in hospital only (excludes birth centres attached to hospitals).</w:t>
      </w:r>
    </w:p>
    <w:p w14:paraId="42EE92EB" w14:textId="77777777" w:rsidR="00AF0ADF" w:rsidRPr="00940A8B" w:rsidRDefault="00AF0ADF" w:rsidP="008D3FB5">
      <w:pPr>
        <w:pStyle w:val="pf0"/>
        <w:numPr>
          <w:ilvl w:val="0"/>
          <w:numId w:val="37"/>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Indigenous status (mother, age-standardised): Percentages are directly age-standardised using the 30 June 2001 Australian female Estimated Resident Population (ERP) aged 15–44 as the standard population. Five-year age groups are used for age-standardisation. The lowest age group was 15–19 years and the highest was 40–44 years.</w:t>
      </w:r>
    </w:p>
    <w:p w14:paraId="558723AD" w14:textId="6C35E7C6" w:rsidR="00AF0ADF" w:rsidRDefault="00AF0ADF" w:rsidP="008D3FB5">
      <w:pPr>
        <w:pStyle w:val="pf0"/>
        <w:numPr>
          <w:ilvl w:val="0"/>
          <w:numId w:val="37"/>
        </w:numPr>
        <w:spacing w:before="0" w:beforeAutospacing="0" w:after="0" w:afterAutospacing="0"/>
        <w:ind w:left="284" w:hanging="284"/>
        <w:rPr>
          <w:rFonts w:asciiTheme="minorHAnsi" w:hAnsiTheme="minorHAnsi"/>
          <w:sz w:val="18"/>
          <w:szCs w:val="18"/>
        </w:rPr>
      </w:pPr>
      <w:r w:rsidRPr="00940A8B">
        <w:rPr>
          <w:rFonts w:asciiTheme="minorHAnsi" w:hAnsiTheme="minorHAnsi"/>
          <w:sz w:val="18"/>
          <w:szCs w:val="18"/>
        </w:rPr>
        <w:t>Remoteness area: 1. Between 2012 and 2016, Remoteness area derived by applying ABS 2011 Australian Statistical Geography Standard (ASGS) to area of mother’s usual residence. From 2017, Remoteness area derived by applying ABS 2016 ASGS. Remoteness area only calculated where geographic area of usual residence was provided. Excludes mothers not usually resident in Australia and those whose state or territory of usual residence was ‘Not stated’. 2. Data may not add to the total due to rounding.</w:t>
      </w:r>
    </w:p>
    <w:p w14:paraId="445E85EB" w14:textId="739C0E92" w:rsidR="00AF0ADF" w:rsidRPr="00C459D0" w:rsidRDefault="002D3C98" w:rsidP="00AF0ADF">
      <w:pPr>
        <w:pStyle w:val="ListParagraph"/>
        <w:numPr>
          <w:ilvl w:val="0"/>
          <w:numId w:val="37"/>
        </w:numPr>
        <w:rPr>
          <w:sz w:val="18"/>
          <w:szCs w:val="18"/>
        </w:rPr>
      </w:pPr>
      <w:r w:rsidRPr="002D3C98">
        <w:rPr>
          <w:sz w:val="18"/>
          <w:szCs w:val="18"/>
        </w:rPr>
        <w:t>Source: AIHW analysis of National Perinatal Data Collection. National Perinatal Data Collection annual update 2020—data tables</w:t>
      </w:r>
    </w:p>
    <w:p w14:paraId="4C849008" w14:textId="77777777" w:rsidR="00C6217C" w:rsidRDefault="00C6217C" w:rsidP="00B94D3E">
      <w:bookmarkStart w:id="424" w:name="_Ref117927801"/>
      <w:bookmarkStart w:id="425" w:name="_Ref117126318"/>
      <w:r>
        <w:br w:type="page"/>
      </w:r>
    </w:p>
    <w:p w14:paraId="751F3833" w14:textId="1B24AE96" w:rsidR="00C6217C" w:rsidRPr="0054118D" w:rsidRDefault="00C6217C" w:rsidP="00C6217C">
      <w:pPr>
        <w:pStyle w:val="Caption"/>
        <w:rPr>
          <w:sz w:val="20"/>
          <w:szCs w:val="20"/>
        </w:rPr>
      </w:pPr>
      <w:bookmarkStart w:id="426" w:name="_Ref117927933"/>
      <w:bookmarkStart w:id="427" w:name="_Toc121429194"/>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18</w:t>
      </w:r>
      <w:r w:rsidR="00A64FC5" w:rsidRPr="0054118D">
        <w:rPr>
          <w:noProof/>
          <w:sz w:val="20"/>
          <w:szCs w:val="20"/>
        </w:rPr>
        <w:fldChar w:fldCharType="end"/>
      </w:r>
      <w:bookmarkEnd w:id="424"/>
      <w:bookmarkEnd w:id="426"/>
      <w:r w:rsidRPr="0054118D">
        <w:rPr>
          <w:sz w:val="20"/>
          <w:szCs w:val="20"/>
        </w:rPr>
        <w:tab/>
        <w:t>Induction of labour</w:t>
      </w:r>
      <w:r w:rsidR="0054118D">
        <w:rPr>
          <w:sz w:val="20"/>
          <w:szCs w:val="20"/>
        </w:rPr>
        <w:t>,</w:t>
      </w:r>
      <w:r w:rsidRPr="0054118D">
        <w:rPr>
          <w:sz w:val="20"/>
          <w:szCs w:val="20"/>
        </w:rPr>
        <w:t xml:space="preserve"> selected women</w:t>
      </w:r>
      <w:r w:rsidR="00C134AD">
        <w:rPr>
          <w:sz w:val="20"/>
          <w:szCs w:val="20"/>
        </w:rPr>
        <w:t>, first birth</w:t>
      </w:r>
      <w:r w:rsidRPr="0054118D">
        <w:rPr>
          <w:sz w:val="20"/>
          <w:szCs w:val="20"/>
        </w:rPr>
        <w:t xml:space="preserve"> (PI05), 2011–2019</w:t>
      </w:r>
      <w:bookmarkEnd w:id="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753"/>
        <w:gridCol w:w="753"/>
        <w:gridCol w:w="753"/>
        <w:gridCol w:w="753"/>
        <w:gridCol w:w="753"/>
        <w:gridCol w:w="753"/>
        <w:gridCol w:w="753"/>
        <w:gridCol w:w="753"/>
        <w:gridCol w:w="759"/>
      </w:tblGrid>
      <w:tr w:rsidR="00C6217C" w:rsidRPr="00D960DD" w14:paraId="1EB867F3" w14:textId="77777777" w:rsidTr="00B94D3E">
        <w:trPr>
          <w:trHeight w:val="225"/>
        </w:trPr>
        <w:tc>
          <w:tcPr>
            <w:tcW w:w="1559" w:type="pct"/>
            <w:shd w:val="clear" w:color="auto" w:fill="auto"/>
            <w:noWrap/>
          </w:tcPr>
          <w:p w14:paraId="49BBE953" w14:textId="77777777" w:rsidR="00C6217C" w:rsidRPr="00D960DD" w:rsidRDefault="00C6217C" w:rsidP="0006071B">
            <w:pPr>
              <w:rPr>
                <w:rFonts w:cstheme="minorHAnsi"/>
                <w:b/>
                <w:bCs/>
                <w:color w:val="000000"/>
                <w:sz w:val="20"/>
                <w:szCs w:val="20"/>
              </w:rPr>
            </w:pPr>
          </w:p>
        </w:tc>
        <w:tc>
          <w:tcPr>
            <w:tcW w:w="382" w:type="pct"/>
            <w:shd w:val="clear" w:color="auto" w:fill="auto"/>
            <w:noWrap/>
            <w:vAlign w:val="center"/>
            <w:hideMark/>
          </w:tcPr>
          <w:p w14:paraId="48F2E51A"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2011</w:t>
            </w:r>
          </w:p>
        </w:tc>
        <w:tc>
          <w:tcPr>
            <w:tcW w:w="382" w:type="pct"/>
            <w:shd w:val="clear" w:color="auto" w:fill="auto"/>
            <w:noWrap/>
            <w:vAlign w:val="center"/>
            <w:hideMark/>
          </w:tcPr>
          <w:p w14:paraId="294BE905"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2012</w:t>
            </w:r>
          </w:p>
        </w:tc>
        <w:tc>
          <w:tcPr>
            <w:tcW w:w="382" w:type="pct"/>
            <w:shd w:val="clear" w:color="auto" w:fill="auto"/>
            <w:noWrap/>
            <w:vAlign w:val="center"/>
            <w:hideMark/>
          </w:tcPr>
          <w:p w14:paraId="60371EBC"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2013</w:t>
            </w:r>
          </w:p>
        </w:tc>
        <w:tc>
          <w:tcPr>
            <w:tcW w:w="382" w:type="pct"/>
            <w:shd w:val="clear" w:color="auto" w:fill="auto"/>
            <w:noWrap/>
            <w:vAlign w:val="center"/>
            <w:hideMark/>
          </w:tcPr>
          <w:p w14:paraId="3DA2FBCC"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2014</w:t>
            </w:r>
          </w:p>
        </w:tc>
        <w:tc>
          <w:tcPr>
            <w:tcW w:w="382" w:type="pct"/>
            <w:shd w:val="clear" w:color="auto" w:fill="auto"/>
            <w:noWrap/>
            <w:vAlign w:val="center"/>
            <w:hideMark/>
          </w:tcPr>
          <w:p w14:paraId="30A2915C"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2015</w:t>
            </w:r>
          </w:p>
        </w:tc>
        <w:tc>
          <w:tcPr>
            <w:tcW w:w="382" w:type="pct"/>
            <w:shd w:val="clear" w:color="auto" w:fill="auto"/>
            <w:noWrap/>
            <w:vAlign w:val="center"/>
            <w:hideMark/>
          </w:tcPr>
          <w:p w14:paraId="67AF3E80"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2016</w:t>
            </w:r>
          </w:p>
        </w:tc>
        <w:tc>
          <w:tcPr>
            <w:tcW w:w="382" w:type="pct"/>
            <w:shd w:val="clear" w:color="auto" w:fill="auto"/>
            <w:noWrap/>
            <w:vAlign w:val="center"/>
            <w:hideMark/>
          </w:tcPr>
          <w:p w14:paraId="48FDAAA9"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2017</w:t>
            </w:r>
          </w:p>
        </w:tc>
        <w:tc>
          <w:tcPr>
            <w:tcW w:w="382" w:type="pct"/>
            <w:shd w:val="clear" w:color="auto" w:fill="auto"/>
            <w:noWrap/>
            <w:vAlign w:val="center"/>
            <w:hideMark/>
          </w:tcPr>
          <w:p w14:paraId="46890064"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2018</w:t>
            </w:r>
          </w:p>
        </w:tc>
        <w:tc>
          <w:tcPr>
            <w:tcW w:w="385" w:type="pct"/>
            <w:shd w:val="clear" w:color="auto" w:fill="auto"/>
            <w:noWrap/>
            <w:vAlign w:val="center"/>
            <w:hideMark/>
          </w:tcPr>
          <w:p w14:paraId="10E0E4DB" w14:textId="77777777" w:rsidR="00C6217C" w:rsidRPr="00D960DD" w:rsidRDefault="00C6217C" w:rsidP="00B94D3E">
            <w:pPr>
              <w:jc w:val="center"/>
              <w:rPr>
                <w:rFonts w:cstheme="minorHAnsi"/>
                <w:b/>
                <w:bCs/>
                <w:color w:val="000000"/>
                <w:sz w:val="20"/>
                <w:szCs w:val="20"/>
              </w:rPr>
            </w:pPr>
            <w:r w:rsidRPr="00D960DD">
              <w:rPr>
                <w:rFonts w:cstheme="minorHAnsi"/>
                <w:b/>
                <w:bCs/>
                <w:color w:val="000000"/>
                <w:sz w:val="20"/>
                <w:szCs w:val="20"/>
              </w:rPr>
              <w:t>2019</w:t>
            </w:r>
          </w:p>
        </w:tc>
      </w:tr>
      <w:tr w:rsidR="00C6217C" w:rsidRPr="00D960DD" w14:paraId="54135920" w14:textId="77777777" w:rsidTr="0006071B">
        <w:trPr>
          <w:trHeight w:val="225"/>
        </w:trPr>
        <w:tc>
          <w:tcPr>
            <w:tcW w:w="1559" w:type="pct"/>
            <w:shd w:val="clear" w:color="auto" w:fill="auto"/>
            <w:noWrap/>
          </w:tcPr>
          <w:p w14:paraId="23788635" w14:textId="77777777" w:rsidR="00C6217C" w:rsidRPr="00D960DD" w:rsidRDefault="00C6217C" w:rsidP="0006071B">
            <w:pPr>
              <w:rPr>
                <w:rFonts w:cstheme="minorHAnsi"/>
                <w:b/>
                <w:bCs/>
                <w:color w:val="000000"/>
                <w:sz w:val="20"/>
                <w:szCs w:val="20"/>
              </w:rPr>
            </w:pPr>
          </w:p>
        </w:tc>
        <w:tc>
          <w:tcPr>
            <w:tcW w:w="3441" w:type="pct"/>
            <w:gridSpan w:val="9"/>
            <w:shd w:val="clear" w:color="auto" w:fill="auto"/>
            <w:noWrap/>
          </w:tcPr>
          <w:p w14:paraId="61C16A2E" w14:textId="77777777" w:rsidR="00C6217C" w:rsidRPr="00D960DD" w:rsidRDefault="00C6217C" w:rsidP="0006071B">
            <w:pPr>
              <w:jc w:val="center"/>
              <w:rPr>
                <w:rFonts w:cstheme="minorHAnsi"/>
                <w:b/>
                <w:bCs/>
                <w:color w:val="000000"/>
                <w:sz w:val="20"/>
                <w:szCs w:val="20"/>
              </w:rPr>
            </w:pPr>
            <w:r w:rsidRPr="00D960DD">
              <w:rPr>
                <w:rFonts w:cstheme="minorHAnsi"/>
                <w:b/>
                <w:bCs/>
                <w:sz w:val="20"/>
                <w:szCs w:val="20"/>
              </w:rPr>
              <w:t>In per cent (%)</w:t>
            </w:r>
          </w:p>
        </w:tc>
      </w:tr>
      <w:tr w:rsidR="00C6217C" w:rsidRPr="00D960DD" w14:paraId="440500B8" w14:textId="77777777" w:rsidTr="0006071B">
        <w:trPr>
          <w:trHeight w:val="225"/>
        </w:trPr>
        <w:tc>
          <w:tcPr>
            <w:tcW w:w="5000" w:type="pct"/>
            <w:gridSpan w:val="10"/>
            <w:shd w:val="clear" w:color="auto" w:fill="auto"/>
            <w:noWrap/>
            <w:hideMark/>
          </w:tcPr>
          <w:p w14:paraId="054F087B" w14:textId="77777777" w:rsidR="00C6217C" w:rsidRPr="00D960DD" w:rsidRDefault="00C6217C" w:rsidP="0006071B">
            <w:pPr>
              <w:rPr>
                <w:rFonts w:cstheme="minorHAnsi"/>
                <w:sz w:val="20"/>
                <w:szCs w:val="20"/>
              </w:rPr>
            </w:pPr>
            <w:r w:rsidRPr="00D960DD">
              <w:rPr>
                <w:rFonts w:cstheme="minorHAnsi"/>
                <w:b/>
                <w:bCs/>
                <w:color w:val="000000"/>
                <w:sz w:val="20"/>
                <w:szCs w:val="20"/>
              </w:rPr>
              <w:t>Australia</w:t>
            </w:r>
          </w:p>
        </w:tc>
      </w:tr>
      <w:tr w:rsidR="00C6217C" w:rsidRPr="00D960DD" w14:paraId="14C84061" w14:textId="77777777" w:rsidTr="0006071B">
        <w:trPr>
          <w:trHeight w:val="225"/>
        </w:trPr>
        <w:tc>
          <w:tcPr>
            <w:tcW w:w="1559" w:type="pct"/>
            <w:shd w:val="clear" w:color="auto" w:fill="auto"/>
            <w:noWrap/>
            <w:hideMark/>
          </w:tcPr>
          <w:p w14:paraId="0EF968DD"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Total</w:t>
            </w:r>
          </w:p>
        </w:tc>
        <w:tc>
          <w:tcPr>
            <w:tcW w:w="382" w:type="pct"/>
            <w:shd w:val="clear" w:color="auto" w:fill="auto"/>
            <w:noWrap/>
            <w:hideMark/>
          </w:tcPr>
          <w:p w14:paraId="1138ADD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33.6</w:t>
            </w:r>
          </w:p>
        </w:tc>
        <w:tc>
          <w:tcPr>
            <w:tcW w:w="382" w:type="pct"/>
            <w:shd w:val="clear" w:color="auto" w:fill="auto"/>
            <w:noWrap/>
            <w:hideMark/>
          </w:tcPr>
          <w:p w14:paraId="4671FCD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34.0</w:t>
            </w:r>
          </w:p>
        </w:tc>
        <w:tc>
          <w:tcPr>
            <w:tcW w:w="382" w:type="pct"/>
            <w:shd w:val="clear" w:color="auto" w:fill="auto"/>
            <w:noWrap/>
            <w:hideMark/>
          </w:tcPr>
          <w:p w14:paraId="1DFE18A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36.1</w:t>
            </w:r>
          </w:p>
        </w:tc>
        <w:tc>
          <w:tcPr>
            <w:tcW w:w="382" w:type="pct"/>
            <w:shd w:val="clear" w:color="auto" w:fill="auto"/>
            <w:noWrap/>
            <w:hideMark/>
          </w:tcPr>
          <w:p w14:paraId="38058AC0"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37.3</w:t>
            </w:r>
          </w:p>
        </w:tc>
        <w:tc>
          <w:tcPr>
            <w:tcW w:w="382" w:type="pct"/>
            <w:shd w:val="clear" w:color="auto" w:fill="auto"/>
            <w:noWrap/>
            <w:hideMark/>
          </w:tcPr>
          <w:p w14:paraId="47A8C2C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38.9</w:t>
            </w:r>
          </w:p>
        </w:tc>
        <w:tc>
          <w:tcPr>
            <w:tcW w:w="382" w:type="pct"/>
            <w:shd w:val="clear" w:color="auto" w:fill="auto"/>
            <w:noWrap/>
            <w:hideMark/>
          </w:tcPr>
          <w:p w14:paraId="30458D76"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40.5</w:t>
            </w:r>
          </w:p>
        </w:tc>
        <w:tc>
          <w:tcPr>
            <w:tcW w:w="382" w:type="pct"/>
            <w:shd w:val="clear" w:color="auto" w:fill="auto"/>
            <w:noWrap/>
            <w:hideMark/>
          </w:tcPr>
          <w:p w14:paraId="7750A5A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43.1</w:t>
            </w:r>
          </w:p>
        </w:tc>
        <w:tc>
          <w:tcPr>
            <w:tcW w:w="382" w:type="pct"/>
            <w:shd w:val="clear" w:color="auto" w:fill="auto"/>
            <w:noWrap/>
            <w:hideMark/>
          </w:tcPr>
          <w:p w14:paraId="6BF0FECB"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45.3</w:t>
            </w:r>
          </w:p>
        </w:tc>
        <w:tc>
          <w:tcPr>
            <w:tcW w:w="385" w:type="pct"/>
            <w:shd w:val="clear" w:color="auto" w:fill="auto"/>
            <w:noWrap/>
            <w:hideMark/>
          </w:tcPr>
          <w:p w14:paraId="176B91E2"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46.8</w:t>
            </w:r>
          </w:p>
        </w:tc>
      </w:tr>
      <w:tr w:rsidR="00C6217C" w:rsidRPr="00D960DD" w14:paraId="6846E073" w14:textId="77777777" w:rsidTr="0006071B">
        <w:trPr>
          <w:trHeight w:val="225"/>
        </w:trPr>
        <w:tc>
          <w:tcPr>
            <w:tcW w:w="5000" w:type="pct"/>
            <w:gridSpan w:val="10"/>
            <w:shd w:val="clear" w:color="auto" w:fill="auto"/>
            <w:noWrap/>
            <w:hideMark/>
          </w:tcPr>
          <w:p w14:paraId="615A8255" w14:textId="381441AC" w:rsidR="00C6217C" w:rsidRPr="00D960DD" w:rsidRDefault="00C6217C" w:rsidP="0006071B">
            <w:pPr>
              <w:rPr>
                <w:rFonts w:cstheme="minorHAnsi"/>
                <w:sz w:val="20"/>
                <w:szCs w:val="20"/>
              </w:rPr>
            </w:pPr>
            <w:r w:rsidRPr="00D960DD">
              <w:rPr>
                <w:rFonts w:cstheme="minorHAnsi"/>
                <w:b/>
                <w:bCs/>
                <w:color w:val="000000"/>
                <w:sz w:val="20"/>
                <w:szCs w:val="20"/>
              </w:rPr>
              <w:t xml:space="preserve">Mother's </w:t>
            </w:r>
            <w:r w:rsidR="00FB0C38">
              <w:rPr>
                <w:rFonts w:cstheme="minorHAnsi"/>
                <w:b/>
                <w:bCs/>
                <w:color w:val="000000"/>
                <w:sz w:val="20"/>
                <w:szCs w:val="20"/>
              </w:rPr>
              <w:t>Indig</w:t>
            </w:r>
            <w:r w:rsidRPr="00D960DD">
              <w:rPr>
                <w:rFonts w:cstheme="minorHAnsi"/>
                <w:b/>
                <w:bCs/>
                <w:color w:val="000000"/>
                <w:sz w:val="20"/>
                <w:szCs w:val="20"/>
              </w:rPr>
              <w:t>enous status</w:t>
            </w:r>
          </w:p>
        </w:tc>
      </w:tr>
      <w:tr w:rsidR="00C6217C" w:rsidRPr="00D960DD" w14:paraId="07A6B9F8" w14:textId="77777777" w:rsidTr="0006071B">
        <w:trPr>
          <w:trHeight w:val="225"/>
        </w:trPr>
        <w:tc>
          <w:tcPr>
            <w:tcW w:w="1559" w:type="pct"/>
            <w:shd w:val="clear" w:color="auto" w:fill="auto"/>
            <w:noWrap/>
            <w:hideMark/>
          </w:tcPr>
          <w:p w14:paraId="021D995C"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Indigenous</w:t>
            </w:r>
          </w:p>
        </w:tc>
        <w:tc>
          <w:tcPr>
            <w:tcW w:w="382" w:type="pct"/>
            <w:shd w:val="clear" w:color="auto" w:fill="auto"/>
            <w:noWrap/>
            <w:hideMark/>
          </w:tcPr>
          <w:p w14:paraId="44912262"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36.8</w:t>
            </w:r>
          </w:p>
        </w:tc>
        <w:tc>
          <w:tcPr>
            <w:tcW w:w="382" w:type="pct"/>
            <w:shd w:val="clear" w:color="auto" w:fill="auto"/>
            <w:noWrap/>
            <w:hideMark/>
          </w:tcPr>
          <w:p w14:paraId="0EE0D9C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33.6</w:t>
            </w:r>
          </w:p>
        </w:tc>
        <w:tc>
          <w:tcPr>
            <w:tcW w:w="382" w:type="pct"/>
            <w:shd w:val="clear" w:color="auto" w:fill="auto"/>
            <w:noWrap/>
            <w:hideMark/>
          </w:tcPr>
          <w:p w14:paraId="630F7F6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39.1</w:t>
            </w:r>
          </w:p>
        </w:tc>
        <w:tc>
          <w:tcPr>
            <w:tcW w:w="382" w:type="pct"/>
            <w:shd w:val="clear" w:color="auto" w:fill="auto"/>
            <w:noWrap/>
            <w:hideMark/>
          </w:tcPr>
          <w:p w14:paraId="6497A9FF"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44.8</w:t>
            </w:r>
          </w:p>
        </w:tc>
        <w:tc>
          <w:tcPr>
            <w:tcW w:w="382" w:type="pct"/>
            <w:shd w:val="clear" w:color="auto" w:fill="auto"/>
            <w:noWrap/>
            <w:hideMark/>
          </w:tcPr>
          <w:p w14:paraId="29618716"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44.7</w:t>
            </w:r>
          </w:p>
        </w:tc>
        <w:tc>
          <w:tcPr>
            <w:tcW w:w="382" w:type="pct"/>
            <w:shd w:val="clear" w:color="auto" w:fill="auto"/>
            <w:noWrap/>
            <w:hideMark/>
          </w:tcPr>
          <w:p w14:paraId="1D881C9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43.3</w:t>
            </w:r>
          </w:p>
        </w:tc>
        <w:tc>
          <w:tcPr>
            <w:tcW w:w="382" w:type="pct"/>
            <w:shd w:val="clear" w:color="auto" w:fill="auto"/>
            <w:noWrap/>
            <w:hideMark/>
          </w:tcPr>
          <w:p w14:paraId="09BE0FF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44.1</w:t>
            </w:r>
          </w:p>
        </w:tc>
        <w:tc>
          <w:tcPr>
            <w:tcW w:w="382" w:type="pct"/>
            <w:shd w:val="clear" w:color="auto" w:fill="auto"/>
            <w:noWrap/>
            <w:hideMark/>
          </w:tcPr>
          <w:p w14:paraId="5B7776A2"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48.6</w:t>
            </w:r>
          </w:p>
        </w:tc>
        <w:tc>
          <w:tcPr>
            <w:tcW w:w="385" w:type="pct"/>
            <w:shd w:val="clear" w:color="auto" w:fill="auto"/>
            <w:noWrap/>
            <w:hideMark/>
          </w:tcPr>
          <w:p w14:paraId="110F010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49.9</w:t>
            </w:r>
          </w:p>
        </w:tc>
      </w:tr>
      <w:tr w:rsidR="00C6217C" w:rsidRPr="00D960DD" w14:paraId="1C66FFCF" w14:textId="77777777" w:rsidTr="0006071B">
        <w:trPr>
          <w:trHeight w:val="225"/>
        </w:trPr>
        <w:tc>
          <w:tcPr>
            <w:tcW w:w="1559" w:type="pct"/>
            <w:shd w:val="clear" w:color="auto" w:fill="auto"/>
            <w:noWrap/>
            <w:hideMark/>
          </w:tcPr>
          <w:p w14:paraId="22390576"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Non-Indigenous</w:t>
            </w:r>
          </w:p>
        </w:tc>
        <w:tc>
          <w:tcPr>
            <w:tcW w:w="382" w:type="pct"/>
            <w:shd w:val="clear" w:color="auto" w:fill="auto"/>
            <w:noWrap/>
            <w:hideMark/>
          </w:tcPr>
          <w:p w14:paraId="0093335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33.5</w:t>
            </w:r>
          </w:p>
        </w:tc>
        <w:tc>
          <w:tcPr>
            <w:tcW w:w="382" w:type="pct"/>
            <w:shd w:val="clear" w:color="auto" w:fill="auto"/>
            <w:noWrap/>
            <w:hideMark/>
          </w:tcPr>
          <w:p w14:paraId="2A2588A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33.8</w:t>
            </w:r>
          </w:p>
        </w:tc>
        <w:tc>
          <w:tcPr>
            <w:tcW w:w="382" w:type="pct"/>
            <w:shd w:val="clear" w:color="auto" w:fill="auto"/>
            <w:noWrap/>
            <w:hideMark/>
          </w:tcPr>
          <w:p w14:paraId="7CF7D4F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35.9</w:t>
            </w:r>
          </w:p>
        </w:tc>
        <w:tc>
          <w:tcPr>
            <w:tcW w:w="382" w:type="pct"/>
            <w:shd w:val="clear" w:color="auto" w:fill="auto"/>
            <w:noWrap/>
            <w:hideMark/>
          </w:tcPr>
          <w:p w14:paraId="4AB207D2"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37.0</w:t>
            </w:r>
          </w:p>
        </w:tc>
        <w:tc>
          <w:tcPr>
            <w:tcW w:w="382" w:type="pct"/>
            <w:shd w:val="clear" w:color="auto" w:fill="auto"/>
            <w:noWrap/>
            <w:hideMark/>
          </w:tcPr>
          <w:p w14:paraId="2AE2DDBB"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38.7</w:t>
            </w:r>
          </w:p>
        </w:tc>
        <w:tc>
          <w:tcPr>
            <w:tcW w:w="382" w:type="pct"/>
            <w:shd w:val="clear" w:color="auto" w:fill="auto"/>
            <w:noWrap/>
            <w:hideMark/>
          </w:tcPr>
          <w:p w14:paraId="5C610BA0"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40.5</w:t>
            </w:r>
          </w:p>
        </w:tc>
        <w:tc>
          <w:tcPr>
            <w:tcW w:w="382" w:type="pct"/>
            <w:shd w:val="clear" w:color="auto" w:fill="auto"/>
            <w:noWrap/>
            <w:hideMark/>
          </w:tcPr>
          <w:p w14:paraId="1207D7E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43.3</w:t>
            </w:r>
          </w:p>
        </w:tc>
        <w:tc>
          <w:tcPr>
            <w:tcW w:w="382" w:type="pct"/>
            <w:shd w:val="clear" w:color="auto" w:fill="auto"/>
            <w:noWrap/>
            <w:hideMark/>
          </w:tcPr>
          <w:p w14:paraId="51F2D6D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45.3</w:t>
            </w:r>
          </w:p>
        </w:tc>
        <w:tc>
          <w:tcPr>
            <w:tcW w:w="385" w:type="pct"/>
            <w:shd w:val="clear" w:color="auto" w:fill="auto"/>
            <w:noWrap/>
            <w:hideMark/>
          </w:tcPr>
          <w:p w14:paraId="6C29D89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46.7</w:t>
            </w:r>
          </w:p>
        </w:tc>
      </w:tr>
      <w:tr w:rsidR="00C6217C" w:rsidRPr="00D960DD" w14:paraId="12CCA73E" w14:textId="77777777" w:rsidTr="0006071B">
        <w:trPr>
          <w:trHeight w:val="225"/>
        </w:trPr>
        <w:tc>
          <w:tcPr>
            <w:tcW w:w="5000" w:type="pct"/>
            <w:gridSpan w:val="10"/>
            <w:shd w:val="clear" w:color="auto" w:fill="auto"/>
            <w:noWrap/>
            <w:hideMark/>
          </w:tcPr>
          <w:p w14:paraId="367071DB" w14:textId="77777777" w:rsidR="00C6217C" w:rsidRPr="00D960DD" w:rsidRDefault="00C6217C" w:rsidP="0006071B">
            <w:pPr>
              <w:rPr>
                <w:rFonts w:cstheme="minorHAnsi"/>
                <w:sz w:val="20"/>
                <w:szCs w:val="20"/>
              </w:rPr>
            </w:pPr>
            <w:r w:rsidRPr="00D960DD">
              <w:rPr>
                <w:rFonts w:cstheme="minorHAnsi"/>
                <w:b/>
                <w:bCs/>
                <w:color w:val="000000"/>
                <w:sz w:val="20"/>
                <w:szCs w:val="20"/>
              </w:rPr>
              <w:t>Remoteness of mother's usual residence</w:t>
            </w:r>
          </w:p>
        </w:tc>
      </w:tr>
      <w:tr w:rsidR="00C6217C" w:rsidRPr="00D960DD" w14:paraId="5C1D2EBF" w14:textId="77777777" w:rsidTr="0006071B">
        <w:trPr>
          <w:trHeight w:val="225"/>
        </w:trPr>
        <w:tc>
          <w:tcPr>
            <w:tcW w:w="1559" w:type="pct"/>
            <w:shd w:val="clear" w:color="auto" w:fill="auto"/>
            <w:noWrap/>
            <w:hideMark/>
          </w:tcPr>
          <w:p w14:paraId="5038B057"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Major cities</w:t>
            </w:r>
          </w:p>
        </w:tc>
        <w:tc>
          <w:tcPr>
            <w:tcW w:w="382" w:type="pct"/>
            <w:shd w:val="clear" w:color="auto" w:fill="auto"/>
            <w:noWrap/>
            <w:hideMark/>
          </w:tcPr>
          <w:p w14:paraId="29D1EA00" w14:textId="0A73EEA3" w:rsidR="00C6217C" w:rsidRPr="00D960DD" w:rsidRDefault="00FA0F67" w:rsidP="0006071B">
            <w:pPr>
              <w:ind w:firstLineChars="100" w:firstLine="200"/>
              <w:rPr>
                <w:rFonts w:cstheme="minorHAnsi"/>
                <w:color w:val="000000"/>
                <w:sz w:val="20"/>
                <w:szCs w:val="20"/>
              </w:rPr>
            </w:pPr>
            <w:r>
              <w:rPr>
                <w:rFonts w:cstheme="minorHAnsi"/>
                <w:color w:val="000000"/>
                <w:sz w:val="20"/>
                <w:szCs w:val="20"/>
              </w:rPr>
              <w:t>n.a.</w:t>
            </w:r>
          </w:p>
        </w:tc>
        <w:tc>
          <w:tcPr>
            <w:tcW w:w="382" w:type="pct"/>
            <w:shd w:val="clear" w:color="auto" w:fill="auto"/>
            <w:noWrap/>
            <w:hideMark/>
          </w:tcPr>
          <w:p w14:paraId="750AC72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34.3</w:t>
            </w:r>
          </w:p>
        </w:tc>
        <w:tc>
          <w:tcPr>
            <w:tcW w:w="382" w:type="pct"/>
            <w:shd w:val="clear" w:color="auto" w:fill="auto"/>
            <w:noWrap/>
            <w:hideMark/>
          </w:tcPr>
          <w:p w14:paraId="39873C7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36.1</w:t>
            </w:r>
          </w:p>
        </w:tc>
        <w:tc>
          <w:tcPr>
            <w:tcW w:w="382" w:type="pct"/>
            <w:shd w:val="clear" w:color="auto" w:fill="auto"/>
            <w:noWrap/>
            <w:hideMark/>
          </w:tcPr>
          <w:p w14:paraId="1427BA03"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37.4</w:t>
            </w:r>
          </w:p>
        </w:tc>
        <w:tc>
          <w:tcPr>
            <w:tcW w:w="382" w:type="pct"/>
            <w:shd w:val="clear" w:color="auto" w:fill="auto"/>
            <w:noWrap/>
            <w:hideMark/>
          </w:tcPr>
          <w:p w14:paraId="5317C69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39.3</w:t>
            </w:r>
          </w:p>
        </w:tc>
        <w:tc>
          <w:tcPr>
            <w:tcW w:w="382" w:type="pct"/>
            <w:shd w:val="clear" w:color="auto" w:fill="auto"/>
            <w:noWrap/>
            <w:hideMark/>
          </w:tcPr>
          <w:p w14:paraId="5229EC2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40.8</w:t>
            </w:r>
          </w:p>
        </w:tc>
        <w:tc>
          <w:tcPr>
            <w:tcW w:w="382" w:type="pct"/>
            <w:shd w:val="clear" w:color="auto" w:fill="auto"/>
            <w:noWrap/>
            <w:hideMark/>
          </w:tcPr>
          <w:p w14:paraId="2D55DD4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43.5</w:t>
            </w:r>
          </w:p>
        </w:tc>
        <w:tc>
          <w:tcPr>
            <w:tcW w:w="382" w:type="pct"/>
            <w:shd w:val="clear" w:color="auto" w:fill="auto"/>
            <w:noWrap/>
            <w:hideMark/>
          </w:tcPr>
          <w:p w14:paraId="5216B45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45.6</w:t>
            </w:r>
          </w:p>
        </w:tc>
        <w:tc>
          <w:tcPr>
            <w:tcW w:w="385" w:type="pct"/>
            <w:shd w:val="clear" w:color="auto" w:fill="auto"/>
            <w:noWrap/>
            <w:hideMark/>
          </w:tcPr>
          <w:p w14:paraId="4C11A61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47.4</w:t>
            </w:r>
          </w:p>
        </w:tc>
      </w:tr>
      <w:tr w:rsidR="00C6217C" w:rsidRPr="00D960DD" w14:paraId="1A34B19E" w14:textId="77777777" w:rsidTr="0006071B">
        <w:trPr>
          <w:trHeight w:val="225"/>
        </w:trPr>
        <w:tc>
          <w:tcPr>
            <w:tcW w:w="1559" w:type="pct"/>
            <w:shd w:val="clear" w:color="auto" w:fill="auto"/>
            <w:noWrap/>
            <w:hideMark/>
          </w:tcPr>
          <w:p w14:paraId="66973B4A"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Inner regional</w:t>
            </w:r>
          </w:p>
        </w:tc>
        <w:tc>
          <w:tcPr>
            <w:tcW w:w="382" w:type="pct"/>
            <w:shd w:val="clear" w:color="auto" w:fill="auto"/>
            <w:noWrap/>
            <w:hideMark/>
          </w:tcPr>
          <w:p w14:paraId="52CA60EB" w14:textId="52BFE135" w:rsidR="00C6217C" w:rsidRPr="00D960DD" w:rsidRDefault="00FA0F67" w:rsidP="0006071B">
            <w:pPr>
              <w:ind w:firstLineChars="100" w:firstLine="200"/>
              <w:rPr>
                <w:rFonts w:cstheme="minorHAnsi"/>
                <w:color w:val="000000"/>
                <w:sz w:val="20"/>
                <w:szCs w:val="20"/>
              </w:rPr>
            </w:pPr>
            <w:r>
              <w:rPr>
                <w:rFonts w:cstheme="minorHAnsi"/>
                <w:color w:val="000000"/>
                <w:sz w:val="20"/>
                <w:szCs w:val="20"/>
              </w:rPr>
              <w:t>n.a.</w:t>
            </w:r>
          </w:p>
        </w:tc>
        <w:tc>
          <w:tcPr>
            <w:tcW w:w="382" w:type="pct"/>
            <w:shd w:val="clear" w:color="auto" w:fill="auto"/>
            <w:noWrap/>
            <w:hideMark/>
          </w:tcPr>
          <w:p w14:paraId="38F50BCF"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33.4</w:t>
            </w:r>
          </w:p>
        </w:tc>
        <w:tc>
          <w:tcPr>
            <w:tcW w:w="382" w:type="pct"/>
            <w:shd w:val="clear" w:color="auto" w:fill="auto"/>
            <w:noWrap/>
            <w:hideMark/>
          </w:tcPr>
          <w:p w14:paraId="2BD2E861"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36.4</w:t>
            </w:r>
          </w:p>
        </w:tc>
        <w:tc>
          <w:tcPr>
            <w:tcW w:w="382" w:type="pct"/>
            <w:shd w:val="clear" w:color="auto" w:fill="auto"/>
            <w:noWrap/>
            <w:hideMark/>
          </w:tcPr>
          <w:p w14:paraId="5529A575"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36.9</w:t>
            </w:r>
          </w:p>
        </w:tc>
        <w:tc>
          <w:tcPr>
            <w:tcW w:w="382" w:type="pct"/>
            <w:shd w:val="clear" w:color="auto" w:fill="auto"/>
            <w:noWrap/>
            <w:hideMark/>
          </w:tcPr>
          <w:p w14:paraId="39BD59A3"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37.1</w:t>
            </w:r>
          </w:p>
        </w:tc>
        <w:tc>
          <w:tcPr>
            <w:tcW w:w="382" w:type="pct"/>
            <w:shd w:val="clear" w:color="auto" w:fill="auto"/>
            <w:noWrap/>
            <w:hideMark/>
          </w:tcPr>
          <w:p w14:paraId="30249DC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40.1</w:t>
            </w:r>
          </w:p>
        </w:tc>
        <w:tc>
          <w:tcPr>
            <w:tcW w:w="382" w:type="pct"/>
            <w:shd w:val="clear" w:color="auto" w:fill="auto"/>
            <w:noWrap/>
            <w:hideMark/>
          </w:tcPr>
          <w:p w14:paraId="07C5B3C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42.6</w:t>
            </w:r>
          </w:p>
        </w:tc>
        <w:tc>
          <w:tcPr>
            <w:tcW w:w="382" w:type="pct"/>
            <w:shd w:val="clear" w:color="auto" w:fill="auto"/>
            <w:noWrap/>
            <w:hideMark/>
          </w:tcPr>
          <w:p w14:paraId="468EED5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45.0</w:t>
            </w:r>
          </w:p>
        </w:tc>
        <w:tc>
          <w:tcPr>
            <w:tcW w:w="385" w:type="pct"/>
            <w:shd w:val="clear" w:color="auto" w:fill="auto"/>
            <w:noWrap/>
            <w:hideMark/>
          </w:tcPr>
          <w:p w14:paraId="74346C8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45.5</w:t>
            </w:r>
          </w:p>
        </w:tc>
      </w:tr>
      <w:tr w:rsidR="00C6217C" w:rsidRPr="00D960DD" w14:paraId="0308AB44" w14:textId="77777777" w:rsidTr="0006071B">
        <w:trPr>
          <w:trHeight w:val="225"/>
        </w:trPr>
        <w:tc>
          <w:tcPr>
            <w:tcW w:w="1559" w:type="pct"/>
            <w:shd w:val="clear" w:color="auto" w:fill="auto"/>
            <w:noWrap/>
            <w:hideMark/>
          </w:tcPr>
          <w:p w14:paraId="728EB8F6"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Outer regional</w:t>
            </w:r>
          </w:p>
        </w:tc>
        <w:tc>
          <w:tcPr>
            <w:tcW w:w="382" w:type="pct"/>
            <w:shd w:val="clear" w:color="auto" w:fill="auto"/>
            <w:noWrap/>
            <w:hideMark/>
          </w:tcPr>
          <w:p w14:paraId="685AA8E8" w14:textId="05340D4C" w:rsidR="00C6217C" w:rsidRPr="00D960DD" w:rsidRDefault="00FA0F67" w:rsidP="0006071B">
            <w:pPr>
              <w:ind w:firstLineChars="100" w:firstLine="200"/>
              <w:rPr>
                <w:rFonts w:cstheme="minorHAnsi"/>
                <w:color w:val="000000"/>
                <w:sz w:val="20"/>
                <w:szCs w:val="20"/>
              </w:rPr>
            </w:pPr>
            <w:r>
              <w:rPr>
                <w:rFonts w:cstheme="minorHAnsi"/>
                <w:color w:val="000000"/>
                <w:sz w:val="20"/>
                <w:szCs w:val="20"/>
              </w:rPr>
              <w:t>n.a.</w:t>
            </w:r>
          </w:p>
        </w:tc>
        <w:tc>
          <w:tcPr>
            <w:tcW w:w="382" w:type="pct"/>
            <w:shd w:val="clear" w:color="auto" w:fill="auto"/>
            <w:noWrap/>
            <w:hideMark/>
          </w:tcPr>
          <w:p w14:paraId="790EA9B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34.1</w:t>
            </w:r>
          </w:p>
        </w:tc>
        <w:tc>
          <w:tcPr>
            <w:tcW w:w="382" w:type="pct"/>
            <w:shd w:val="clear" w:color="auto" w:fill="auto"/>
            <w:noWrap/>
            <w:hideMark/>
          </w:tcPr>
          <w:p w14:paraId="4291BEB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34.9</w:t>
            </w:r>
          </w:p>
        </w:tc>
        <w:tc>
          <w:tcPr>
            <w:tcW w:w="382" w:type="pct"/>
            <w:shd w:val="clear" w:color="auto" w:fill="auto"/>
            <w:noWrap/>
            <w:hideMark/>
          </w:tcPr>
          <w:p w14:paraId="6C4EB91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36.4</w:t>
            </w:r>
          </w:p>
        </w:tc>
        <w:tc>
          <w:tcPr>
            <w:tcW w:w="382" w:type="pct"/>
            <w:shd w:val="clear" w:color="auto" w:fill="auto"/>
            <w:noWrap/>
            <w:hideMark/>
          </w:tcPr>
          <w:p w14:paraId="23207BAF"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38.4</w:t>
            </w:r>
          </w:p>
        </w:tc>
        <w:tc>
          <w:tcPr>
            <w:tcW w:w="382" w:type="pct"/>
            <w:shd w:val="clear" w:color="auto" w:fill="auto"/>
            <w:noWrap/>
            <w:hideMark/>
          </w:tcPr>
          <w:p w14:paraId="30359CA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38.3</w:t>
            </w:r>
          </w:p>
        </w:tc>
        <w:tc>
          <w:tcPr>
            <w:tcW w:w="382" w:type="pct"/>
            <w:shd w:val="clear" w:color="auto" w:fill="auto"/>
            <w:noWrap/>
            <w:hideMark/>
          </w:tcPr>
          <w:p w14:paraId="13C76F5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41.0</w:t>
            </w:r>
          </w:p>
        </w:tc>
        <w:tc>
          <w:tcPr>
            <w:tcW w:w="382" w:type="pct"/>
            <w:shd w:val="clear" w:color="auto" w:fill="auto"/>
            <w:noWrap/>
            <w:hideMark/>
          </w:tcPr>
          <w:p w14:paraId="6507FB3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43.4</w:t>
            </w:r>
          </w:p>
        </w:tc>
        <w:tc>
          <w:tcPr>
            <w:tcW w:w="385" w:type="pct"/>
            <w:shd w:val="clear" w:color="auto" w:fill="auto"/>
            <w:noWrap/>
            <w:hideMark/>
          </w:tcPr>
          <w:p w14:paraId="7E3CF17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43.8</w:t>
            </w:r>
          </w:p>
        </w:tc>
      </w:tr>
      <w:tr w:rsidR="00C6217C" w:rsidRPr="00D960DD" w14:paraId="38CBDB82" w14:textId="77777777" w:rsidTr="0006071B">
        <w:trPr>
          <w:trHeight w:val="225"/>
        </w:trPr>
        <w:tc>
          <w:tcPr>
            <w:tcW w:w="1559" w:type="pct"/>
            <w:shd w:val="clear" w:color="auto" w:fill="auto"/>
            <w:noWrap/>
            <w:hideMark/>
          </w:tcPr>
          <w:p w14:paraId="7E9F105D"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Remote</w:t>
            </w:r>
          </w:p>
        </w:tc>
        <w:tc>
          <w:tcPr>
            <w:tcW w:w="382" w:type="pct"/>
            <w:shd w:val="clear" w:color="auto" w:fill="auto"/>
            <w:noWrap/>
            <w:hideMark/>
          </w:tcPr>
          <w:p w14:paraId="3743B6A0" w14:textId="5B827BCB" w:rsidR="00C6217C" w:rsidRPr="00D960DD" w:rsidRDefault="00FA0F67" w:rsidP="0006071B">
            <w:pPr>
              <w:ind w:firstLineChars="100" w:firstLine="200"/>
              <w:rPr>
                <w:rFonts w:cstheme="minorHAnsi"/>
                <w:color w:val="000000"/>
                <w:sz w:val="20"/>
                <w:szCs w:val="20"/>
              </w:rPr>
            </w:pPr>
            <w:r>
              <w:rPr>
                <w:rFonts w:cstheme="minorHAnsi"/>
                <w:color w:val="000000"/>
                <w:sz w:val="20"/>
                <w:szCs w:val="20"/>
              </w:rPr>
              <w:t>n.a.</w:t>
            </w:r>
          </w:p>
        </w:tc>
        <w:tc>
          <w:tcPr>
            <w:tcW w:w="382" w:type="pct"/>
            <w:shd w:val="clear" w:color="auto" w:fill="auto"/>
            <w:noWrap/>
            <w:hideMark/>
          </w:tcPr>
          <w:p w14:paraId="3BC1E5D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38.0</w:t>
            </w:r>
          </w:p>
        </w:tc>
        <w:tc>
          <w:tcPr>
            <w:tcW w:w="382" w:type="pct"/>
            <w:shd w:val="clear" w:color="auto" w:fill="auto"/>
            <w:noWrap/>
            <w:hideMark/>
          </w:tcPr>
          <w:p w14:paraId="189AB75B"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36.4</w:t>
            </w:r>
          </w:p>
        </w:tc>
        <w:tc>
          <w:tcPr>
            <w:tcW w:w="382" w:type="pct"/>
            <w:shd w:val="clear" w:color="auto" w:fill="auto"/>
            <w:noWrap/>
            <w:hideMark/>
          </w:tcPr>
          <w:p w14:paraId="0278E086"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37.1</w:t>
            </w:r>
          </w:p>
        </w:tc>
        <w:tc>
          <w:tcPr>
            <w:tcW w:w="382" w:type="pct"/>
            <w:shd w:val="clear" w:color="auto" w:fill="auto"/>
            <w:noWrap/>
            <w:hideMark/>
          </w:tcPr>
          <w:p w14:paraId="724A2C93"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34.3</w:t>
            </w:r>
          </w:p>
        </w:tc>
        <w:tc>
          <w:tcPr>
            <w:tcW w:w="382" w:type="pct"/>
            <w:shd w:val="clear" w:color="auto" w:fill="auto"/>
            <w:noWrap/>
            <w:hideMark/>
          </w:tcPr>
          <w:p w14:paraId="229CF09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38.6</w:t>
            </w:r>
          </w:p>
        </w:tc>
        <w:tc>
          <w:tcPr>
            <w:tcW w:w="382" w:type="pct"/>
            <w:shd w:val="clear" w:color="auto" w:fill="auto"/>
            <w:noWrap/>
            <w:hideMark/>
          </w:tcPr>
          <w:p w14:paraId="79C61AD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39.5</w:t>
            </w:r>
          </w:p>
        </w:tc>
        <w:tc>
          <w:tcPr>
            <w:tcW w:w="382" w:type="pct"/>
            <w:shd w:val="clear" w:color="auto" w:fill="auto"/>
            <w:noWrap/>
            <w:hideMark/>
          </w:tcPr>
          <w:p w14:paraId="400038A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43.3</w:t>
            </w:r>
          </w:p>
        </w:tc>
        <w:tc>
          <w:tcPr>
            <w:tcW w:w="385" w:type="pct"/>
            <w:shd w:val="clear" w:color="auto" w:fill="auto"/>
            <w:noWrap/>
            <w:hideMark/>
          </w:tcPr>
          <w:p w14:paraId="6389CEB5"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43.3</w:t>
            </w:r>
          </w:p>
        </w:tc>
      </w:tr>
      <w:tr w:rsidR="00C6217C" w:rsidRPr="00D960DD" w14:paraId="23D55E13" w14:textId="77777777" w:rsidTr="0006071B">
        <w:trPr>
          <w:trHeight w:val="225"/>
        </w:trPr>
        <w:tc>
          <w:tcPr>
            <w:tcW w:w="1559" w:type="pct"/>
            <w:shd w:val="clear" w:color="auto" w:fill="auto"/>
            <w:noWrap/>
            <w:hideMark/>
          </w:tcPr>
          <w:p w14:paraId="7FB0D753"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Very remote</w:t>
            </w:r>
          </w:p>
        </w:tc>
        <w:tc>
          <w:tcPr>
            <w:tcW w:w="382" w:type="pct"/>
            <w:shd w:val="clear" w:color="auto" w:fill="auto"/>
            <w:noWrap/>
            <w:hideMark/>
          </w:tcPr>
          <w:p w14:paraId="3E4187D5" w14:textId="21ED1F56" w:rsidR="00C6217C" w:rsidRPr="00D960DD" w:rsidRDefault="00FA0F67" w:rsidP="0006071B">
            <w:pPr>
              <w:ind w:firstLineChars="100" w:firstLine="200"/>
              <w:rPr>
                <w:rFonts w:cstheme="minorHAnsi"/>
                <w:color w:val="000000"/>
                <w:sz w:val="20"/>
                <w:szCs w:val="20"/>
              </w:rPr>
            </w:pPr>
            <w:r>
              <w:rPr>
                <w:rFonts w:cstheme="minorHAnsi"/>
                <w:color w:val="000000"/>
                <w:sz w:val="20"/>
                <w:szCs w:val="20"/>
              </w:rPr>
              <w:t>n.a.</w:t>
            </w:r>
          </w:p>
        </w:tc>
        <w:tc>
          <w:tcPr>
            <w:tcW w:w="382" w:type="pct"/>
            <w:shd w:val="clear" w:color="auto" w:fill="auto"/>
            <w:noWrap/>
            <w:hideMark/>
          </w:tcPr>
          <w:p w14:paraId="7304D9C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35.6</w:t>
            </w:r>
          </w:p>
        </w:tc>
        <w:tc>
          <w:tcPr>
            <w:tcW w:w="382" w:type="pct"/>
            <w:shd w:val="clear" w:color="auto" w:fill="auto"/>
            <w:noWrap/>
            <w:hideMark/>
          </w:tcPr>
          <w:p w14:paraId="1C24B57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37.7</w:t>
            </w:r>
          </w:p>
        </w:tc>
        <w:tc>
          <w:tcPr>
            <w:tcW w:w="382" w:type="pct"/>
            <w:shd w:val="clear" w:color="auto" w:fill="auto"/>
            <w:noWrap/>
            <w:hideMark/>
          </w:tcPr>
          <w:p w14:paraId="475252FF"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38.1</w:t>
            </w:r>
          </w:p>
        </w:tc>
        <w:tc>
          <w:tcPr>
            <w:tcW w:w="382" w:type="pct"/>
            <w:shd w:val="clear" w:color="auto" w:fill="auto"/>
            <w:noWrap/>
            <w:hideMark/>
          </w:tcPr>
          <w:p w14:paraId="3C46E66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38.7</w:t>
            </w:r>
          </w:p>
        </w:tc>
        <w:tc>
          <w:tcPr>
            <w:tcW w:w="382" w:type="pct"/>
            <w:shd w:val="clear" w:color="auto" w:fill="auto"/>
            <w:noWrap/>
            <w:hideMark/>
          </w:tcPr>
          <w:p w14:paraId="0701576F"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37.8</w:t>
            </w:r>
          </w:p>
        </w:tc>
        <w:tc>
          <w:tcPr>
            <w:tcW w:w="382" w:type="pct"/>
            <w:shd w:val="clear" w:color="auto" w:fill="auto"/>
            <w:noWrap/>
            <w:hideMark/>
          </w:tcPr>
          <w:p w14:paraId="5983ED4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37.1</w:t>
            </w:r>
          </w:p>
        </w:tc>
        <w:tc>
          <w:tcPr>
            <w:tcW w:w="382" w:type="pct"/>
            <w:shd w:val="clear" w:color="auto" w:fill="auto"/>
            <w:noWrap/>
            <w:hideMark/>
          </w:tcPr>
          <w:p w14:paraId="3532A03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42.9</w:t>
            </w:r>
          </w:p>
        </w:tc>
        <w:tc>
          <w:tcPr>
            <w:tcW w:w="385" w:type="pct"/>
            <w:shd w:val="clear" w:color="auto" w:fill="auto"/>
            <w:noWrap/>
            <w:hideMark/>
          </w:tcPr>
          <w:p w14:paraId="723985F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44.6</w:t>
            </w:r>
          </w:p>
        </w:tc>
      </w:tr>
      <w:tr w:rsidR="00C6217C" w:rsidRPr="00D960DD" w14:paraId="0EEB0610" w14:textId="77777777" w:rsidTr="0006071B">
        <w:trPr>
          <w:trHeight w:val="225"/>
        </w:trPr>
        <w:tc>
          <w:tcPr>
            <w:tcW w:w="5000" w:type="pct"/>
            <w:gridSpan w:val="10"/>
            <w:shd w:val="clear" w:color="auto" w:fill="auto"/>
            <w:noWrap/>
            <w:hideMark/>
          </w:tcPr>
          <w:p w14:paraId="4B86D6CB" w14:textId="77777777" w:rsidR="00C6217C" w:rsidRPr="00D960DD" w:rsidRDefault="00C6217C" w:rsidP="0006071B">
            <w:pPr>
              <w:rPr>
                <w:rFonts w:cstheme="minorHAnsi"/>
                <w:sz w:val="20"/>
                <w:szCs w:val="20"/>
              </w:rPr>
            </w:pPr>
            <w:r w:rsidRPr="00D960DD">
              <w:rPr>
                <w:rFonts w:cstheme="minorHAnsi"/>
                <w:b/>
                <w:bCs/>
                <w:color w:val="000000"/>
                <w:sz w:val="20"/>
                <w:szCs w:val="20"/>
              </w:rPr>
              <w:t>Hospital sector</w:t>
            </w:r>
          </w:p>
        </w:tc>
      </w:tr>
      <w:tr w:rsidR="00C6217C" w:rsidRPr="00D960DD" w14:paraId="2358D581" w14:textId="77777777" w:rsidTr="0006071B">
        <w:trPr>
          <w:trHeight w:val="225"/>
        </w:trPr>
        <w:tc>
          <w:tcPr>
            <w:tcW w:w="1559" w:type="pct"/>
            <w:shd w:val="clear" w:color="auto" w:fill="auto"/>
            <w:noWrap/>
            <w:hideMark/>
          </w:tcPr>
          <w:p w14:paraId="69543EE5"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Private</w:t>
            </w:r>
          </w:p>
        </w:tc>
        <w:tc>
          <w:tcPr>
            <w:tcW w:w="382" w:type="pct"/>
            <w:shd w:val="clear" w:color="auto" w:fill="auto"/>
            <w:noWrap/>
            <w:hideMark/>
          </w:tcPr>
          <w:p w14:paraId="5FFDC20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35.6</w:t>
            </w:r>
          </w:p>
        </w:tc>
        <w:tc>
          <w:tcPr>
            <w:tcW w:w="382" w:type="pct"/>
            <w:shd w:val="clear" w:color="auto" w:fill="auto"/>
            <w:noWrap/>
            <w:hideMark/>
          </w:tcPr>
          <w:p w14:paraId="2509D43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34.8</w:t>
            </w:r>
          </w:p>
        </w:tc>
        <w:tc>
          <w:tcPr>
            <w:tcW w:w="382" w:type="pct"/>
            <w:shd w:val="clear" w:color="auto" w:fill="auto"/>
            <w:noWrap/>
            <w:hideMark/>
          </w:tcPr>
          <w:p w14:paraId="051F595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36.7</w:t>
            </w:r>
          </w:p>
        </w:tc>
        <w:tc>
          <w:tcPr>
            <w:tcW w:w="382" w:type="pct"/>
            <w:shd w:val="clear" w:color="auto" w:fill="auto"/>
            <w:noWrap/>
            <w:hideMark/>
          </w:tcPr>
          <w:p w14:paraId="1EB30EC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37.1</w:t>
            </w:r>
          </w:p>
        </w:tc>
        <w:tc>
          <w:tcPr>
            <w:tcW w:w="382" w:type="pct"/>
            <w:shd w:val="clear" w:color="auto" w:fill="auto"/>
            <w:noWrap/>
            <w:hideMark/>
          </w:tcPr>
          <w:p w14:paraId="564B06F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39.0</w:t>
            </w:r>
          </w:p>
        </w:tc>
        <w:tc>
          <w:tcPr>
            <w:tcW w:w="382" w:type="pct"/>
            <w:shd w:val="clear" w:color="auto" w:fill="auto"/>
            <w:noWrap/>
            <w:hideMark/>
          </w:tcPr>
          <w:p w14:paraId="17580D2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39.6</w:t>
            </w:r>
          </w:p>
        </w:tc>
        <w:tc>
          <w:tcPr>
            <w:tcW w:w="382" w:type="pct"/>
            <w:shd w:val="clear" w:color="auto" w:fill="auto"/>
            <w:noWrap/>
            <w:hideMark/>
          </w:tcPr>
          <w:p w14:paraId="27FE351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40.8</w:t>
            </w:r>
          </w:p>
        </w:tc>
        <w:tc>
          <w:tcPr>
            <w:tcW w:w="382" w:type="pct"/>
            <w:shd w:val="clear" w:color="auto" w:fill="auto"/>
            <w:noWrap/>
            <w:hideMark/>
          </w:tcPr>
          <w:p w14:paraId="5E47809B"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43.4</w:t>
            </w:r>
          </w:p>
        </w:tc>
        <w:tc>
          <w:tcPr>
            <w:tcW w:w="385" w:type="pct"/>
            <w:shd w:val="clear" w:color="auto" w:fill="auto"/>
            <w:noWrap/>
            <w:hideMark/>
          </w:tcPr>
          <w:p w14:paraId="781D9E8F"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46.0</w:t>
            </w:r>
          </w:p>
        </w:tc>
      </w:tr>
      <w:tr w:rsidR="00C6217C" w:rsidRPr="00D960DD" w14:paraId="442E1596" w14:textId="77777777" w:rsidTr="0006071B">
        <w:trPr>
          <w:trHeight w:val="225"/>
        </w:trPr>
        <w:tc>
          <w:tcPr>
            <w:tcW w:w="1559" w:type="pct"/>
            <w:shd w:val="clear" w:color="auto" w:fill="auto"/>
            <w:noWrap/>
            <w:hideMark/>
          </w:tcPr>
          <w:p w14:paraId="22036B97"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Public</w:t>
            </w:r>
          </w:p>
        </w:tc>
        <w:tc>
          <w:tcPr>
            <w:tcW w:w="382" w:type="pct"/>
            <w:shd w:val="clear" w:color="auto" w:fill="auto"/>
            <w:noWrap/>
            <w:hideMark/>
          </w:tcPr>
          <w:p w14:paraId="78433C65"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33.8</w:t>
            </w:r>
          </w:p>
        </w:tc>
        <w:tc>
          <w:tcPr>
            <w:tcW w:w="382" w:type="pct"/>
            <w:shd w:val="clear" w:color="auto" w:fill="auto"/>
            <w:noWrap/>
            <w:hideMark/>
          </w:tcPr>
          <w:p w14:paraId="4670E5E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34.7</w:t>
            </w:r>
          </w:p>
        </w:tc>
        <w:tc>
          <w:tcPr>
            <w:tcW w:w="382" w:type="pct"/>
            <w:shd w:val="clear" w:color="auto" w:fill="auto"/>
            <w:noWrap/>
            <w:hideMark/>
          </w:tcPr>
          <w:p w14:paraId="7430A87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36.7</w:t>
            </w:r>
          </w:p>
        </w:tc>
        <w:tc>
          <w:tcPr>
            <w:tcW w:w="382" w:type="pct"/>
            <w:shd w:val="clear" w:color="auto" w:fill="auto"/>
            <w:noWrap/>
            <w:hideMark/>
          </w:tcPr>
          <w:p w14:paraId="09BB6CAB"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38.2</w:t>
            </w:r>
          </w:p>
        </w:tc>
        <w:tc>
          <w:tcPr>
            <w:tcW w:w="382" w:type="pct"/>
            <w:shd w:val="clear" w:color="auto" w:fill="auto"/>
            <w:noWrap/>
            <w:hideMark/>
          </w:tcPr>
          <w:p w14:paraId="76449FC7"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39.7</w:t>
            </w:r>
          </w:p>
        </w:tc>
        <w:tc>
          <w:tcPr>
            <w:tcW w:w="382" w:type="pct"/>
            <w:shd w:val="clear" w:color="auto" w:fill="auto"/>
            <w:noWrap/>
            <w:hideMark/>
          </w:tcPr>
          <w:p w14:paraId="41B29652"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41.7</w:t>
            </w:r>
          </w:p>
        </w:tc>
        <w:tc>
          <w:tcPr>
            <w:tcW w:w="382" w:type="pct"/>
            <w:shd w:val="clear" w:color="auto" w:fill="auto"/>
            <w:noWrap/>
            <w:hideMark/>
          </w:tcPr>
          <w:p w14:paraId="7B3D998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45.0</w:t>
            </w:r>
          </w:p>
        </w:tc>
        <w:tc>
          <w:tcPr>
            <w:tcW w:w="382" w:type="pct"/>
            <w:shd w:val="clear" w:color="auto" w:fill="auto"/>
            <w:noWrap/>
            <w:hideMark/>
          </w:tcPr>
          <w:p w14:paraId="0537FD22"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47.1</w:t>
            </w:r>
          </w:p>
        </w:tc>
        <w:tc>
          <w:tcPr>
            <w:tcW w:w="385" w:type="pct"/>
            <w:shd w:val="clear" w:color="auto" w:fill="auto"/>
            <w:noWrap/>
            <w:hideMark/>
          </w:tcPr>
          <w:p w14:paraId="4FF6A53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48.1</w:t>
            </w:r>
          </w:p>
        </w:tc>
      </w:tr>
      <w:tr w:rsidR="00C6217C" w:rsidRPr="00D960DD" w14:paraId="6FFF3990" w14:textId="77777777" w:rsidTr="0006071B">
        <w:trPr>
          <w:trHeight w:val="225"/>
        </w:trPr>
        <w:tc>
          <w:tcPr>
            <w:tcW w:w="5000" w:type="pct"/>
            <w:gridSpan w:val="10"/>
            <w:shd w:val="clear" w:color="auto" w:fill="auto"/>
            <w:noWrap/>
            <w:hideMark/>
          </w:tcPr>
          <w:p w14:paraId="36FF0212" w14:textId="77777777" w:rsidR="00C6217C" w:rsidRPr="00D960DD" w:rsidRDefault="00C6217C" w:rsidP="0006071B">
            <w:pPr>
              <w:rPr>
                <w:rFonts w:cstheme="minorHAnsi"/>
                <w:sz w:val="20"/>
                <w:szCs w:val="20"/>
              </w:rPr>
            </w:pPr>
            <w:r w:rsidRPr="00D960DD">
              <w:rPr>
                <w:rFonts w:cstheme="minorHAnsi"/>
                <w:b/>
                <w:bCs/>
                <w:color w:val="000000"/>
                <w:sz w:val="20"/>
                <w:szCs w:val="20"/>
              </w:rPr>
              <w:t>Hospitals annual number of births</w:t>
            </w:r>
          </w:p>
        </w:tc>
      </w:tr>
      <w:tr w:rsidR="00C6217C" w:rsidRPr="00D960DD" w14:paraId="74A03770" w14:textId="77777777" w:rsidTr="0006071B">
        <w:trPr>
          <w:trHeight w:val="225"/>
        </w:trPr>
        <w:tc>
          <w:tcPr>
            <w:tcW w:w="1559" w:type="pct"/>
            <w:shd w:val="clear" w:color="auto" w:fill="auto"/>
            <w:noWrap/>
            <w:hideMark/>
          </w:tcPr>
          <w:p w14:paraId="2D503F07"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1-100 births</w:t>
            </w:r>
          </w:p>
        </w:tc>
        <w:tc>
          <w:tcPr>
            <w:tcW w:w="382" w:type="pct"/>
            <w:shd w:val="clear" w:color="auto" w:fill="auto"/>
            <w:noWrap/>
            <w:hideMark/>
          </w:tcPr>
          <w:p w14:paraId="7A8EB0C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22.5</w:t>
            </w:r>
          </w:p>
        </w:tc>
        <w:tc>
          <w:tcPr>
            <w:tcW w:w="382" w:type="pct"/>
            <w:shd w:val="clear" w:color="auto" w:fill="auto"/>
            <w:noWrap/>
            <w:hideMark/>
          </w:tcPr>
          <w:p w14:paraId="4F21B0B1"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21.6</w:t>
            </w:r>
          </w:p>
        </w:tc>
        <w:tc>
          <w:tcPr>
            <w:tcW w:w="382" w:type="pct"/>
            <w:shd w:val="clear" w:color="auto" w:fill="auto"/>
            <w:noWrap/>
            <w:hideMark/>
          </w:tcPr>
          <w:p w14:paraId="5A8458D5"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23.8</w:t>
            </w:r>
          </w:p>
        </w:tc>
        <w:tc>
          <w:tcPr>
            <w:tcW w:w="382" w:type="pct"/>
            <w:shd w:val="clear" w:color="auto" w:fill="auto"/>
            <w:noWrap/>
            <w:hideMark/>
          </w:tcPr>
          <w:p w14:paraId="2250B7C0"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20.5</w:t>
            </w:r>
          </w:p>
        </w:tc>
        <w:tc>
          <w:tcPr>
            <w:tcW w:w="382" w:type="pct"/>
            <w:shd w:val="clear" w:color="auto" w:fill="auto"/>
            <w:noWrap/>
            <w:hideMark/>
          </w:tcPr>
          <w:p w14:paraId="0DA60876"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18.3</w:t>
            </w:r>
          </w:p>
        </w:tc>
        <w:tc>
          <w:tcPr>
            <w:tcW w:w="382" w:type="pct"/>
            <w:shd w:val="clear" w:color="auto" w:fill="auto"/>
            <w:noWrap/>
            <w:hideMark/>
          </w:tcPr>
          <w:p w14:paraId="359F43D3"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23.8</w:t>
            </w:r>
          </w:p>
        </w:tc>
        <w:tc>
          <w:tcPr>
            <w:tcW w:w="382" w:type="pct"/>
            <w:shd w:val="clear" w:color="auto" w:fill="auto"/>
            <w:noWrap/>
            <w:hideMark/>
          </w:tcPr>
          <w:p w14:paraId="39F9CEE5"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21.2</w:t>
            </w:r>
          </w:p>
        </w:tc>
        <w:tc>
          <w:tcPr>
            <w:tcW w:w="382" w:type="pct"/>
            <w:shd w:val="clear" w:color="auto" w:fill="auto"/>
            <w:noWrap/>
            <w:hideMark/>
          </w:tcPr>
          <w:p w14:paraId="3F82E77B"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22.8</w:t>
            </w:r>
          </w:p>
        </w:tc>
        <w:tc>
          <w:tcPr>
            <w:tcW w:w="385" w:type="pct"/>
            <w:shd w:val="clear" w:color="auto" w:fill="auto"/>
            <w:noWrap/>
            <w:hideMark/>
          </w:tcPr>
          <w:p w14:paraId="1BF72DA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24.0</w:t>
            </w:r>
          </w:p>
        </w:tc>
      </w:tr>
      <w:tr w:rsidR="00C6217C" w:rsidRPr="00D960DD" w14:paraId="059735D7" w14:textId="77777777" w:rsidTr="0006071B">
        <w:trPr>
          <w:trHeight w:val="225"/>
        </w:trPr>
        <w:tc>
          <w:tcPr>
            <w:tcW w:w="1559" w:type="pct"/>
            <w:shd w:val="clear" w:color="auto" w:fill="auto"/>
            <w:noWrap/>
            <w:hideMark/>
          </w:tcPr>
          <w:p w14:paraId="417BAB9D"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101-500 births</w:t>
            </w:r>
          </w:p>
        </w:tc>
        <w:tc>
          <w:tcPr>
            <w:tcW w:w="382" w:type="pct"/>
            <w:shd w:val="clear" w:color="auto" w:fill="auto"/>
            <w:noWrap/>
            <w:hideMark/>
          </w:tcPr>
          <w:p w14:paraId="40737D7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28.1</w:t>
            </w:r>
          </w:p>
        </w:tc>
        <w:tc>
          <w:tcPr>
            <w:tcW w:w="382" w:type="pct"/>
            <w:shd w:val="clear" w:color="auto" w:fill="auto"/>
            <w:noWrap/>
            <w:hideMark/>
          </w:tcPr>
          <w:p w14:paraId="29A18A30"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26.4</w:t>
            </w:r>
          </w:p>
        </w:tc>
        <w:tc>
          <w:tcPr>
            <w:tcW w:w="382" w:type="pct"/>
            <w:shd w:val="clear" w:color="auto" w:fill="auto"/>
            <w:noWrap/>
            <w:hideMark/>
          </w:tcPr>
          <w:p w14:paraId="353F1740"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28.6</w:t>
            </w:r>
          </w:p>
        </w:tc>
        <w:tc>
          <w:tcPr>
            <w:tcW w:w="382" w:type="pct"/>
            <w:shd w:val="clear" w:color="auto" w:fill="auto"/>
            <w:noWrap/>
            <w:hideMark/>
          </w:tcPr>
          <w:p w14:paraId="506BB47C"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29.0</w:t>
            </w:r>
          </w:p>
        </w:tc>
        <w:tc>
          <w:tcPr>
            <w:tcW w:w="382" w:type="pct"/>
            <w:shd w:val="clear" w:color="auto" w:fill="auto"/>
            <w:noWrap/>
            <w:hideMark/>
          </w:tcPr>
          <w:p w14:paraId="4EF7E8C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29.2</w:t>
            </w:r>
          </w:p>
        </w:tc>
        <w:tc>
          <w:tcPr>
            <w:tcW w:w="382" w:type="pct"/>
            <w:shd w:val="clear" w:color="auto" w:fill="auto"/>
            <w:noWrap/>
            <w:hideMark/>
          </w:tcPr>
          <w:p w14:paraId="17A97A60"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31.3</w:t>
            </w:r>
          </w:p>
        </w:tc>
        <w:tc>
          <w:tcPr>
            <w:tcW w:w="382" w:type="pct"/>
            <w:shd w:val="clear" w:color="auto" w:fill="auto"/>
            <w:noWrap/>
            <w:hideMark/>
          </w:tcPr>
          <w:p w14:paraId="5BC8802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35.4</w:t>
            </w:r>
          </w:p>
        </w:tc>
        <w:tc>
          <w:tcPr>
            <w:tcW w:w="382" w:type="pct"/>
            <w:shd w:val="clear" w:color="auto" w:fill="auto"/>
            <w:noWrap/>
            <w:hideMark/>
          </w:tcPr>
          <w:p w14:paraId="35EA2D3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38.4</w:t>
            </w:r>
          </w:p>
        </w:tc>
        <w:tc>
          <w:tcPr>
            <w:tcW w:w="385" w:type="pct"/>
            <w:shd w:val="clear" w:color="auto" w:fill="auto"/>
            <w:noWrap/>
            <w:hideMark/>
          </w:tcPr>
          <w:p w14:paraId="73D676C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39.9</w:t>
            </w:r>
          </w:p>
        </w:tc>
      </w:tr>
      <w:tr w:rsidR="00C6217C" w:rsidRPr="00D960DD" w14:paraId="615E2838" w14:textId="77777777" w:rsidTr="0006071B">
        <w:trPr>
          <w:trHeight w:val="225"/>
        </w:trPr>
        <w:tc>
          <w:tcPr>
            <w:tcW w:w="1559" w:type="pct"/>
            <w:shd w:val="clear" w:color="auto" w:fill="auto"/>
            <w:noWrap/>
            <w:hideMark/>
          </w:tcPr>
          <w:p w14:paraId="14F93DAB"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501-1,000 births</w:t>
            </w:r>
          </w:p>
        </w:tc>
        <w:tc>
          <w:tcPr>
            <w:tcW w:w="382" w:type="pct"/>
            <w:shd w:val="clear" w:color="auto" w:fill="auto"/>
            <w:noWrap/>
            <w:hideMark/>
          </w:tcPr>
          <w:p w14:paraId="38BF8451"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36.5</w:t>
            </w:r>
          </w:p>
        </w:tc>
        <w:tc>
          <w:tcPr>
            <w:tcW w:w="382" w:type="pct"/>
            <w:shd w:val="clear" w:color="auto" w:fill="auto"/>
            <w:noWrap/>
            <w:hideMark/>
          </w:tcPr>
          <w:p w14:paraId="2643DDEF"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35.0</w:t>
            </w:r>
          </w:p>
        </w:tc>
        <w:tc>
          <w:tcPr>
            <w:tcW w:w="382" w:type="pct"/>
            <w:shd w:val="clear" w:color="auto" w:fill="auto"/>
            <w:noWrap/>
            <w:hideMark/>
          </w:tcPr>
          <w:p w14:paraId="14A5F0B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37.6</w:t>
            </w:r>
          </w:p>
        </w:tc>
        <w:tc>
          <w:tcPr>
            <w:tcW w:w="382" w:type="pct"/>
            <w:shd w:val="clear" w:color="auto" w:fill="auto"/>
            <w:noWrap/>
            <w:hideMark/>
          </w:tcPr>
          <w:p w14:paraId="3D11777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38.4</w:t>
            </w:r>
          </w:p>
        </w:tc>
        <w:tc>
          <w:tcPr>
            <w:tcW w:w="382" w:type="pct"/>
            <w:shd w:val="clear" w:color="auto" w:fill="auto"/>
            <w:noWrap/>
            <w:hideMark/>
          </w:tcPr>
          <w:p w14:paraId="62213D9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39.5</w:t>
            </w:r>
          </w:p>
        </w:tc>
        <w:tc>
          <w:tcPr>
            <w:tcW w:w="382" w:type="pct"/>
            <w:shd w:val="clear" w:color="auto" w:fill="auto"/>
            <w:noWrap/>
            <w:hideMark/>
          </w:tcPr>
          <w:p w14:paraId="3045960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41.4</w:t>
            </w:r>
          </w:p>
        </w:tc>
        <w:tc>
          <w:tcPr>
            <w:tcW w:w="382" w:type="pct"/>
            <w:shd w:val="clear" w:color="auto" w:fill="auto"/>
            <w:noWrap/>
            <w:hideMark/>
          </w:tcPr>
          <w:p w14:paraId="7898D31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42.1</w:t>
            </w:r>
          </w:p>
        </w:tc>
        <w:tc>
          <w:tcPr>
            <w:tcW w:w="382" w:type="pct"/>
            <w:shd w:val="clear" w:color="auto" w:fill="auto"/>
            <w:noWrap/>
            <w:hideMark/>
          </w:tcPr>
          <w:p w14:paraId="19E7300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44.2</w:t>
            </w:r>
          </w:p>
        </w:tc>
        <w:tc>
          <w:tcPr>
            <w:tcW w:w="385" w:type="pct"/>
            <w:shd w:val="clear" w:color="auto" w:fill="auto"/>
            <w:noWrap/>
            <w:hideMark/>
          </w:tcPr>
          <w:p w14:paraId="552AADE6"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46.7</w:t>
            </w:r>
          </w:p>
        </w:tc>
      </w:tr>
      <w:tr w:rsidR="00C6217C" w:rsidRPr="00D960DD" w14:paraId="5FB6ACBF" w14:textId="77777777" w:rsidTr="0006071B">
        <w:trPr>
          <w:trHeight w:val="225"/>
        </w:trPr>
        <w:tc>
          <w:tcPr>
            <w:tcW w:w="1559" w:type="pct"/>
            <w:shd w:val="clear" w:color="auto" w:fill="auto"/>
            <w:noWrap/>
            <w:hideMark/>
          </w:tcPr>
          <w:p w14:paraId="7439DA1C"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1,001-2,000 births</w:t>
            </w:r>
          </w:p>
        </w:tc>
        <w:tc>
          <w:tcPr>
            <w:tcW w:w="382" w:type="pct"/>
            <w:shd w:val="clear" w:color="auto" w:fill="auto"/>
            <w:noWrap/>
            <w:hideMark/>
          </w:tcPr>
          <w:p w14:paraId="6A71685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32.9</w:t>
            </w:r>
          </w:p>
        </w:tc>
        <w:tc>
          <w:tcPr>
            <w:tcW w:w="382" w:type="pct"/>
            <w:shd w:val="clear" w:color="auto" w:fill="auto"/>
            <w:noWrap/>
            <w:hideMark/>
          </w:tcPr>
          <w:p w14:paraId="1BBCE1B2"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32.7</w:t>
            </w:r>
          </w:p>
        </w:tc>
        <w:tc>
          <w:tcPr>
            <w:tcW w:w="382" w:type="pct"/>
            <w:shd w:val="clear" w:color="auto" w:fill="auto"/>
            <w:noWrap/>
            <w:hideMark/>
          </w:tcPr>
          <w:p w14:paraId="382B2874"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34.3</w:t>
            </w:r>
          </w:p>
        </w:tc>
        <w:tc>
          <w:tcPr>
            <w:tcW w:w="382" w:type="pct"/>
            <w:shd w:val="clear" w:color="auto" w:fill="auto"/>
            <w:noWrap/>
            <w:hideMark/>
          </w:tcPr>
          <w:p w14:paraId="6ABBCC38"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36.3</w:t>
            </w:r>
          </w:p>
        </w:tc>
        <w:tc>
          <w:tcPr>
            <w:tcW w:w="382" w:type="pct"/>
            <w:shd w:val="clear" w:color="auto" w:fill="auto"/>
            <w:noWrap/>
            <w:hideMark/>
          </w:tcPr>
          <w:p w14:paraId="419677A1"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37.7</w:t>
            </w:r>
          </w:p>
        </w:tc>
        <w:tc>
          <w:tcPr>
            <w:tcW w:w="382" w:type="pct"/>
            <w:shd w:val="clear" w:color="auto" w:fill="auto"/>
            <w:noWrap/>
            <w:hideMark/>
          </w:tcPr>
          <w:p w14:paraId="44783BEC"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40.3</w:t>
            </w:r>
          </w:p>
        </w:tc>
        <w:tc>
          <w:tcPr>
            <w:tcW w:w="382" w:type="pct"/>
            <w:shd w:val="clear" w:color="auto" w:fill="auto"/>
            <w:noWrap/>
            <w:hideMark/>
          </w:tcPr>
          <w:p w14:paraId="539F9DCE"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42.8</w:t>
            </w:r>
          </w:p>
        </w:tc>
        <w:tc>
          <w:tcPr>
            <w:tcW w:w="382" w:type="pct"/>
            <w:shd w:val="clear" w:color="auto" w:fill="auto"/>
            <w:noWrap/>
            <w:hideMark/>
          </w:tcPr>
          <w:p w14:paraId="2D75D635"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46.0</w:t>
            </w:r>
          </w:p>
        </w:tc>
        <w:tc>
          <w:tcPr>
            <w:tcW w:w="385" w:type="pct"/>
            <w:shd w:val="clear" w:color="auto" w:fill="auto"/>
            <w:noWrap/>
            <w:hideMark/>
          </w:tcPr>
          <w:p w14:paraId="1CA77816"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47.2</w:t>
            </w:r>
          </w:p>
        </w:tc>
      </w:tr>
      <w:tr w:rsidR="00C6217C" w:rsidRPr="00D960DD" w14:paraId="74846021" w14:textId="77777777" w:rsidTr="0006071B">
        <w:trPr>
          <w:trHeight w:val="225"/>
        </w:trPr>
        <w:tc>
          <w:tcPr>
            <w:tcW w:w="1559" w:type="pct"/>
            <w:shd w:val="clear" w:color="auto" w:fill="auto"/>
            <w:noWrap/>
            <w:hideMark/>
          </w:tcPr>
          <w:p w14:paraId="7E0E0389" w14:textId="77777777" w:rsidR="00C6217C" w:rsidRPr="00D960DD" w:rsidRDefault="00C6217C" w:rsidP="0006071B">
            <w:pPr>
              <w:ind w:firstLineChars="100" w:firstLine="200"/>
              <w:rPr>
                <w:rFonts w:cstheme="minorHAnsi"/>
                <w:color w:val="000000"/>
                <w:sz w:val="20"/>
                <w:szCs w:val="20"/>
              </w:rPr>
            </w:pPr>
            <w:r w:rsidRPr="00D960DD">
              <w:rPr>
                <w:rFonts w:cstheme="minorHAnsi"/>
                <w:color w:val="000000"/>
                <w:sz w:val="20"/>
                <w:szCs w:val="20"/>
              </w:rPr>
              <w:t>2,001 births and over</w:t>
            </w:r>
          </w:p>
        </w:tc>
        <w:tc>
          <w:tcPr>
            <w:tcW w:w="382" w:type="pct"/>
            <w:shd w:val="clear" w:color="auto" w:fill="auto"/>
            <w:noWrap/>
            <w:hideMark/>
          </w:tcPr>
          <w:p w14:paraId="7AAA8B0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34.3</w:t>
            </w:r>
          </w:p>
        </w:tc>
        <w:tc>
          <w:tcPr>
            <w:tcW w:w="382" w:type="pct"/>
            <w:shd w:val="clear" w:color="auto" w:fill="auto"/>
            <w:noWrap/>
            <w:hideMark/>
          </w:tcPr>
          <w:p w14:paraId="7BA4EA9A"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34.6</w:t>
            </w:r>
          </w:p>
        </w:tc>
        <w:tc>
          <w:tcPr>
            <w:tcW w:w="382" w:type="pct"/>
            <w:shd w:val="clear" w:color="auto" w:fill="auto"/>
            <w:noWrap/>
            <w:hideMark/>
          </w:tcPr>
          <w:p w14:paraId="00C90C69"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37.6</w:t>
            </w:r>
          </w:p>
        </w:tc>
        <w:tc>
          <w:tcPr>
            <w:tcW w:w="382" w:type="pct"/>
            <w:shd w:val="clear" w:color="auto" w:fill="auto"/>
            <w:noWrap/>
            <w:hideMark/>
          </w:tcPr>
          <w:p w14:paraId="3BEDD25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38.7</w:t>
            </w:r>
          </w:p>
        </w:tc>
        <w:tc>
          <w:tcPr>
            <w:tcW w:w="382" w:type="pct"/>
            <w:shd w:val="clear" w:color="auto" w:fill="auto"/>
            <w:noWrap/>
            <w:hideMark/>
          </w:tcPr>
          <w:p w14:paraId="2DAC18CC"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40.4</w:t>
            </w:r>
          </w:p>
        </w:tc>
        <w:tc>
          <w:tcPr>
            <w:tcW w:w="382" w:type="pct"/>
            <w:shd w:val="clear" w:color="auto" w:fill="auto"/>
            <w:noWrap/>
            <w:hideMark/>
          </w:tcPr>
          <w:p w14:paraId="3E401556"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41.7</w:t>
            </w:r>
          </w:p>
        </w:tc>
        <w:tc>
          <w:tcPr>
            <w:tcW w:w="382" w:type="pct"/>
            <w:shd w:val="clear" w:color="auto" w:fill="auto"/>
            <w:noWrap/>
            <w:hideMark/>
          </w:tcPr>
          <w:p w14:paraId="3B7F6C2B"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44.7</w:t>
            </w:r>
          </w:p>
        </w:tc>
        <w:tc>
          <w:tcPr>
            <w:tcW w:w="382" w:type="pct"/>
            <w:shd w:val="clear" w:color="auto" w:fill="auto"/>
            <w:noWrap/>
            <w:hideMark/>
          </w:tcPr>
          <w:p w14:paraId="226584FD"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46.5</w:t>
            </w:r>
          </w:p>
        </w:tc>
        <w:tc>
          <w:tcPr>
            <w:tcW w:w="385" w:type="pct"/>
            <w:shd w:val="clear" w:color="auto" w:fill="auto"/>
            <w:noWrap/>
            <w:hideMark/>
          </w:tcPr>
          <w:p w14:paraId="2BABAFCF" w14:textId="77777777" w:rsidR="00C6217C" w:rsidRPr="00D960DD" w:rsidRDefault="00C6217C" w:rsidP="0006071B">
            <w:pPr>
              <w:jc w:val="right"/>
              <w:rPr>
                <w:rFonts w:cstheme="minorHAnsi"/>
                <w:color w:val="000000"/>
                <w:sz w:val="20"/>
                <w:szCs w:val="20"/>
              </w:rPr>
            </w:pPr>
            <w:r w:rsidRPr="00D960DD">
              <w:rPr>
                <w:rFonts w:cstheme="minorHAnsi"/>
                <w:color w:val="000000"/>
                <w:sz w:val="20"/>
                <w:szCs w:val="20"/>
              </w:rPr>
              <w:t>48.2</w:t>
            </w:r>
          </w:p>
        </w:tc>
      </w:tr>
    </w:tbl>
    <w:p w14:paraId="4F29A4CF" w14:textId="2F57CE16" w:rsidR="00753D1B" w:rsidRDefault="00753D1B" w:rsidP="00753D1B">
      <w:pPr>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9C3E6A">
        <w:rPr>
          <w:sz w:val="18"/>
          <w:szCs w:val="18"/>
        </w:rPr>
        <w:t>.</w:t>
      </w:r>
    </w:p>
    <w:p w14:paraId="3AC238D3" w14:textId="77777777" w:rsidR="00AF0315" w:rsidRPr="007667EF" w:rsidRDefault="00AF0315" w:rsidP="00753D1B">
      <w:pPr>
        <w:rPr>
          <w:sz w:val="18"/>
          <w:szCs w:val="18"/>
        </w:rPr>
      </w:pPr>
    </w:p>
    <w:p w14:paraId="6DBC9CEE" w14:textId="36E17DF4" w:rsidR="00C6217C" w:rsidRPr="00B94D3E" w:rsidRDefault="00C6217C" w:rsidP="00FE0A19">
      <w:pPr>
        <w:ind w:left="284" w:hanging="284"/>
        <w:rPr>
          <w:b/>
          <w:sz w:val="18"/>
          <w:szCs w:val="18"/>
        </w:rPr>
      </w:pPr>
      <w:r w:rsidRPr="00B94D3E">
        <w:rPr>
          <w:b/>
          <w:sz w:val="18"/>
          <w:szCs w:val="18"/>
        </w:rPr>
        <w:t>Data notes</w:t>
      </w:r>
    </w:p>
    <w:p w14:paraId="77DD4534" w14:textId="5689DCCF" w:rsidR="00C6217C" w:rsidRPr="007667EF" w:rsidRDefault="00FE0A19" w:rsidP="00C24842">
      <w:pPr>
        <w:pStyle w:val="pf0"/>
        <w:numPr>
          <w:ilvl w:val="0"/>
          <w:numId w:val="13"/>
        </w:numPr>
        <w:spacing w:before="0" w:beforeAutospacing="0" w:after="0" w:afterAutospacing="0"/>
        <w:ind w:left="284" w:hanging="284"/>
        <w:rPr>
          <w:rFonts w:asciiTheme="minorHAnsi" w:hAnsiTheme="minorHAnsi"/>
          <w:sz w:val="18"/>
          <w:szCs w:val="18"/>
        </w:rPr>
      </w:pPr>
      <w:r w:rsidRPr="00FE0A19">
        <w:rPr>
          <w:rFonts w:asciiTheme="minorHAnsi" w:hAnsiTheme="minorHAnsi"/>
          <w:sz w:val="18"/>
          <w:szCs w:val="18"/>
        </w:rPr>
        <w:t>Selected women are defined as ‘aged between 20 and 34 years, where gestational age at birth was between 37 and 41 completed weeks, with a singleton baby in the vertex presentation)’. They are reported on separately as it is expected that they will have fewer labour complications and more optimal birth outcomes due to their lower risk. This cohort represents about one quarter of all women who give birth in Australia.</w:t>
      </w:r>
    </w:p>
    <w:p w14:paraId="785E79A4" w14:textId="77777777" w:rsidR="00C6217C" w:rsidRPr="007667EF" w:rsidRDefault="00C6217C" w:rsidP="008D3FB5">
      <w:pPr>
        <w:pStyle w:val="pf0"/>
        <w:numPr>
          <w:ilvl w:val="0"/>
          <w:numId w:val="13"/>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Data for Tasmania was not available until 2013. Presentations via caesarean births between 2005 and 2012 were not reported by hospitals who were still using the paper-based form. In these instances, if a caesarean section occurred the presentation was recorded as ‘Not stated’. Presentations via caesarean births was included in the paper-based form from 1 January 2013.</w:t>
      </w:r>
    </w:p>
    <w:p w14:paraId="5B6D7167" w14:textId="18346B90" w:rsidR="00C6217C" w:rsidRPr="00B94D3E" w:rsidRDefault="00C6217C" w:rsidP="008D3FB5">
      <w:pPr>
        <w:pStyle w:val="pf0"/>
        <w:numPr>
          <w:ilvl w:val="0"/>
          <w:numId w:val="13"/>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Percentages for mother's Indigenous status are age-standardised.</w:t>
      </w:r>
    </w:p>
    <w:p w14:paraId="030F470F" w14:textId="27C4DC26" w:rsidR="00C6217C" w:rsidRPr="00C459D0" w:rsidRDefault="00541C09" w:rsidP="00C6217C">
      <w:pPr>
        <w:pStyle w:val="pf0"/>
        <w:numPr>
          <w:ilvl w:val="0"/>
          <w:numId w:val="13"/>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3C10B7BB" w14:textId="77777777" w:rsidR="00940A8B" w:rsidRDefault="00940A8B" w:rsidP="00B94D3E">
      <w:r>
        <w:br w:type="page"/>
      </w:r>
    </w:p>
    <w:p w14:paraId="79445A90" w14:textId="7A1CF594" w:rsidR="00AF0ADF" w:rsidRPr="0054118D" w:rsidRDefault="00AF0ADF" w:rsidP="00AF0ADF">
      <w:pPr>
        <w:pStyle w:val="Caption"/>
        <w:rPr>
          <w:sz w:val="20"/>
          <w:szCs w:val="20"/>
        </w:rPr>
      </w:pPr>
      <w:bookmarkStart w:id="428" w:name="_Ref117928069"/>
      <w:bookmarkStart w:id="429" w:name="_Toc121429195"/>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19</w:t>
      </w:r>
      <w:r w:rsidR="00A64FC5" w:rsidRPr="0054118D">
        <w:rPr>
          <w:noProof/>
          <w:sz w:val="20"/>
          <w:szCs w:val="20"/>
        </w:rPr>
        <w:fldChar w:fldCharType="end"/>
      </w:r>
      <w:bookmarkEnd w:id="425"/>
      <w:bookmarkEnd w:id="428"/>
      <w:r w:rsidRPr="0054118D">
        <w:rPr>
          <w:sz w:val="20"/>
          <w:szCs w:val="20"/>
        </w:rPr>
        <w:tab/>
        <w:t>Non-instrumental vaginal birth, 2010–</w:t>
      </w:r>
      <w:r w:rsidR="00753D1B" w:rsidRPr="0054118D">
        <w:rPr>
          <w:sz w:val="20"/>
          <w:szCs w:val="20"/>
        </w:rPr>
        <w:t>2019</w:t>
      </w:r>
      <w:bookmarkEnd w:id="429"/>
    </w:p>
    <w:tbl>
      <w:tblPr>
        <w:tblStyle w:val="TableGrid"/>
        <w:tblW w:w="4888" w:type="pct"/>
        <w:tblLayout w:type="fixed"/>
        <w:tblLook w:val="04A0" w:firstRow="1" w:lastRow="0" w:firstColumn="1" w:lastColumn="0" w:noHBand="0" w:noVBand="1"/>
      </w:tblPr>
      <w:tblGrid>
        <w:gridCol w:w="2548"/>
        <w:gridCol w:w="707"/>
        <w:gridCol w:w="709"/>
        <w:gridCol w:w="709"/>
        <w:gridCol w:w="709"/>
        <w:gridCol w:w="709"/>
        <w:gridCol w:w="709"/>
        <w:gridCol w:w="709"/>
        <w:gridCol w:w="709"/>
        <w:gridCol w:w="709"/>
        <w:gridCol w:w="707"/>
      </w:tblGrid>
      <w:tr w:rsidR="00EF4E5C" w:rsidRPr="00EB1AF3" w14:paraId="7E8241B0" w14:textId="77777777" w:rsidTr="00B94D3E">
        <w:trPr>
          <w:cantSplit/>
          <w:trHeight w:val="20"/>
          <w:tblHeader/>
        </w:trPr>
        <w:tc>
          <w:tcPr>
            <w:tcW w:w="1322" w:type="pct"/>
            <w:noWrap/>
            <w:vAlign w:val="center"/>
            <w:hideMark/>
          </w:tcPr>
          <w:p w14:paraId="4E53507B" w14:textId="77777777" w:rsidR="00963C0F" w:rsidRPr="00D23AFA" w:rsidRDefault="00963C0F" w:rsidP="00AF0ADF">
            <w:pPr>
              <w:ind w:firstLineChars="100" w:firstLine="201"/>
              <w:rPr>
                <w:rFonts w:cstheme="minorHAnsi"/>
                <w:b/>
                <w:bCs/>
                <w:color w:val="000000"/>
                <w:sz w:val="20"/>
                <w:szCs w:val="20"/>
              </w:rPr>
            </w:pPr>
          </w:p>
        </w:tc>
        <w:tc>
          <w:tcPr>
            <w:tcW w:w="367" w:type="pct"/>
            <w:vAlign w:val="center"/>
          </w:tcPr>
          <w:p w14:paraId="6D43566C" w14:textId="77777777" w:rsidR="00963C0F" w:rsidRPr="00D23AFA" w:rsidRDefault="00963C0F" w:rsidP="00B94D3E">
            <w:pPr>
              <w:jc w:val="center"/>
              <w:rPr>
                <w:rFonts w:cstheme="minorHAnsi"/>
                <w:b/>
                <w:bCs/>
                <w:color w:val="000000"/>
                <w:sz w:val="20"/>
                <w:szCs w:val="20"/>
              </w:rPr>
            </w:pPr>
            <w:r>
              <w:rPr>
                <w:rFonts w:cstheme="minorHAnsi"/>
                <w:b/>
                <w:bCs/>
                <w:color w:val="000000"/>
                <w:sz w:val="20"/>
                <w:szCs w:val="20"/>
              </w:rPr>
              <w:t>2010</w:t>
            </w:r>
          </w:p>
        </w:tc>
        <w:tc>
          <w:tcPr>
            <w:tcW w:w="368" w:type="pct"/>
            <w:vAlign w:val="center"/>
          </w:tcPr>
          <w:p w14:paraId="4B5761F9" w14:textId="77777777" w:rsidR="00963C0F" w:rsidRPr="00D23AFA" w:rsidRDefault="00963C0F" w:rsidP="00B94D3E">
            <w:pPr>
              <w:jc w:val="center"/>
              <w:rPr>
                <w:rFonts w:cstheme="minorHAnsi"/>
                <w:b/>
                <w:bCs/>
                <w:color w:val="000000"/>
                <w:sz w:val="20"/>
                <w:szCs w:val="20"/>
              </w:rPr>
            </w:pPr>
            <w:r>
              <w:rPr>
                <w:rFonts w:cstheme="minorHAnsi"/>
                <w:b/>
                <w:bCs/>
                <w:color w:val="000000"/>
                <w:sz w:val="20"/>
                <w:szCs w:val="20"/>
              </w:rPr>
              <w:t>2011</w:t>
            </w:r>
          </w:p>
        </w:tc>
        <w:tc>
          <w:tcPr>
            <w:tcW w:w="367" w:type="pct"/>
            <w:noWrap/>
            <w:vAlign w:val="center"/>
            <w:hideMark/>
          </w:tcPr>
          <w:p w14:paraId="7256674B" w14:textId="77777777" w:rsidR="00963C0F" w:rsidRPr="00D23AFA" w:rsidRDefault="00963C0F" w:rsidP="00B94D3E">
            <w:pPr>
              <w:jc w:val="center"/>
              <w:rPr>
                <w:rFonts w:cstheme="minorHAnsi"/>
                <w:b/>
                <w:bCs/>
                <w:color w:val="000000"/>
                <w:sz w:val="20"/>
                <w:szCs w:val="20"/>
              </w:rPr>
            </w:pPr>
            <w:r w:rsidRPr="00D23AFA">
              <w:rPr>
                <w:rFonts w:cstheme="minorHAnsi"/>
                <w:b/>
                <w:bCs/>
                <w:color w:val="000000"/>
                <w:sz w:val="20"/>
                <w:szCs w:val="20"/>
              </w:rPr>
              <w:t>2012</w:t>
            </w:r>
          </w:p>
        </w:tc>
        <w:tc>
          <w:tcPr>
            <w:tcW w:w="368" w:type="pct"/>
            <w:noWrap/>
            <w:vAlign w:val="center"/>
            <w:hideMark/>
          </w:tcPr>
          <w:p w14:paraId="77C5A047" w14:textId="77777777" w:rsidR="00963C0F" w:rsidRPr="00D23AFA" w:rsidRDefault="00963C0F" w:rsidP="00B94D3E">
            <w:pPr>
              <w:jc w:val="center"/>
              <w:rPr>
                <w:rFonts w:cstheme="minorHAnsi"/>
                <w:b/>
                <w:bCs/>
                <w:color w:val="000000"/>
                <w:sz w:val="20"/>
                <w:szCs w:val="20"/>
              </w:rPr>
            </w:pPr>
            <w:r w:rsidRPr="00D23AFA">
              <w:rPr>
                <w:rFonts w:cstheme="minorHAnsi"/>
                <w:b/>
                <w:bCs/>
                <w:color w:val="000000"/>
                <w:sz w:val="20"/>
                <w:szCs w:val="20"/>
              </w:rPr>
              <w:t>2013</w:t>
            </w:r>
          </w:p>
        </w:tc>
        <w:tc>
          <w:tcPr>
            <w:tcW w:w="368" w:type="pct"/>
            <w:noWrap/>
            <w:vAlign w:val="center"/>
            <w:hideMark/>
          </w:tcPr>
          <w:p w14:paraId="73A2C3B1" w14:textId="77777777" w:rsidR="00963C0F" w:rsidRPr="00D23AFA" w:rsidRDefault="00963C0F" w:rsidP="00B94D3E">
            <w:pPr>
              <w:jc w:val="center"/>
              <w:rPr>
                <w:rFonts w:cstheme="minorHAnsi"/>
                <w:b/>
                <w:bCs/>
                <w:color w:val="000000"/>
                <w:sz w:val="20"/>
                <w:szCs w:val="20"/>
              </w:rPr>
            </w:pPr>
            <w:r w:rsidRPr="00D23AFA">
              <w:rPr>
                <w:rFonts w:cstheme="minorHAnsi"/>
                <w:b/>
                <w:bCs/>
                <w:color w:val="000000"/>
                <w:sz w:val="20"/>
                <w:szCs w:val="20"/>
              </w:rPr>
              <w:t>2014</w:t>
            </w:r>
          </w:p>
        </w:tc>
        <w:tc>
          <w:tcPr>
            <w:tcW w:w="367" w:type="pct"/>
            <w:noWrap/>
            <w:vAlign w:val="center"/>
            <w:hideMark/>
          </w:tcPr>
          <w:p w14:paraId="463A5FE7" w14:textId="77777777" w:rsidR="00963C0F" w:rsidRPr="00D23AFA" w:rsidRDefault="00963C0F" w:rsidP="00B94D3E">
            <w:pPr>
              <w:jc w:val="center"/>
              <w:rPr>
                <w:rFonts w:cstheme="minorHAnsi"/>
                <w:b/>
                <w:bCs/>
                <w:color w:val="000000"/>
                <w:sz w:val="20"/>
                <w:szCs w:val="20"/>
              </w:rPr>
            </w:pPr>
            <w:r w:rsidRPr="00D23AFA">
              <w:rPr>
                <w:rFonts w:cstheme="minorHAnsi"/>
                <w:b/>
                <w:bCs/>
                <w:color w:val="000000"/>
                <w:sz w:val="20"/>
                <w:szCs w:val="20"/>
              </w:rPr>
              <w:t>2015</w:t>
            </w:r>
          </w:p>
        </w:tc>
        <w:tc>
          <w:tcPr>
            <w:tcW w:w="368" w:type="pct"/>
            <w:noWrap/>
            <w:vAlign w:val="center"/>
            <w:hideMark/>
          </w:tcPr>
          <w:p w14:paraId="487DEB79" w14:textId="77777777" w:rsidR="00963C0F" w:rsidRPr="00D23AFA" w:rsidRDefault="00963C0F" w:rsidP="00B94D3E">
            <w:pPr>
              <w:jc w:val="center"/>
              <w:rPr>
                <w:rFonts w:cstheme="minorHAnsi"/>
                <w:b/>
                <w:bCs/>
                <w:color w:val="000000"/>
                <w:sz w:val="20"/>
                <w:szCs w:val="20"/>
              </w:rPr>
            </w:pPr>
            <w:r w:rsidRPr="00D23AFA">
              <w:rPr>
                <w:rFonts w:cstheme="minorHAnsi"/>
                <w:b/>
                <w:bCs/>
                <w:color w:val="000000"/>
                <w:sz w:val="20"/>
                <w:szCs w:val="20"/>
              </w:rPr>
              <w:t>2016</w:t>
            </w:r>
          </w:p>
        </w:tc>
        <w:tc>
          <w:tcPr>
            <w:tcW w:w="367" w:type="pct"/>
            <w:noWrap/>
            <w:vAlign w:val="center"/>
            <w:hideMark/>
          </w:tcPr>
          <w:p w14:paraId="21BF5088" w14:textId="77777777" w:rsidR="00963C0F" w:rsidRPr="00D23AFA" w:rsidRDefault="00963C0F" w:rsidP="00B94D3E">
            <w:pPr>
              <w:jc w:val="center"/>
              <w:rPr>
                <w:rFonts w:cstheme="minorHAnsi"/>
                <w:b/>
                <w:bCs/>
                <w:color w:val="000000"/>
                <w:sz w:val="20"/>
                <w:szCs w:val="20"/>
              </w:rPr>
            </w:pPr>
            <w:r w:rsidRPr="00D23AFA">
              <w:rPr>
                <w:rFonts w:cstheme="minorHAnsi"/>
                <w:b/>
                <w:bCs/>
                <w:color w:val="000000"/>
                <w:sz w:val="20"/>
                <w:szCs w:val="20"/>
              </w:rPr>
              <w:t>2017</w:t>
            </w:r>
          </w:p>
        </w:tc>
        <w:tc>
          <w:tcPr>
            <w:tcW w:w="368" w:type="pct"/>
            <w:noWrap/>
            <w:vAlign w:val="center"/>
            <w:hideMark/>
          </w:tcPr>
          <w:p w14:paraId="43814780" w14:textId="77777777" w:rsidR="00963C0F" w:rsidRPr="00D23AFA" w:rsidRDefault="00963C0F" w:rsidP="00B94D3E">
            <w:pPr>
              <w:jc w:val="center"/>
              <w:rPr>
                <w:rFonts w:cstheme="minorHAnsi"/>
                <w:b/>
                <w:bCs/>
                <w:color w:val="000000"/>
                <w:sz w:val="20"/>
                <w:szCs w:val="20"/>
              </w:rPr>
            </w:pPr>
            <w:r w:rsidRPr="00D23AFA">
              <w:rPr>
                <w:rFonts w:cstheme="minorHAnsi"/>
                <w:b/>
                <w:bCs/>
                <w:color w:val="000000"/>
                <w:sz w:val="20"/>
                <w:szCs w:val="20"/>
              </w:rPr>
              <w:t>2018</w:t>
            </w:r>
          </w:p>
        </w:tc>
        <w:tc>
          <w:tcPr>
            <w:tcW w:w="368" w:type="pct"/>
            <w:noWrap/>
            <w:vAlign w:val="center"/>
            <w:hideMark/>
          </w:tcPr>
          <w:p w14:paraId="51A0C806" w14:textId="77777777" w:rsidR="00963C0F" w:rsidRPr="00D23AFA" w:rsidRDefault="00963C0F" w:rsidP="00B94D3E">
            <w:pPr>
              <w:jc w:val="center"/>
              <w:rPr>
                <w:rFonts w:cstheme="minorHAnsi"/>
                <w:b/>
                <w:bCs/>
                <w:color w:val="000000"/>
                <w:sz w:val="20"/>
                <w:szCs w:val="20"/>
              </w:rPr>
            </w:pPr>
            <w:r w:rsidRPr="00D23AFA">
              <w:rPr>
                <w:rFonts w:cstheme="minorHAnsi"/>
                <w:b/>
                <w:bCs/>
                <w:color w:val="000000"/>
                <w:sz w:val="20"/>
                <w:szCs w:val="20"/>
              </w:rPr>
              <w:t>2019</w:t>
            </w:r>
          </w:p>
        </w:tc>
      </w:tr>
      <w:tr w:rsidR="00AC2766" w:rsidRPr="00EB1AF3" w14:paraId="1246E98D" w14:textId="77777777" w:rsidTr="00B94D3E">
        <w:trPr>
          <w:cantSplit/>
          <w:trHeight w:val="20"/>
          <w:tblHeader/>
        </w:trPr>
        <w:tc>
          <w:tcPr>
            <w:tcW w:w="1322" w:type="pct"/>
            <w:noWrap/>
            <w:vAlign w:val="center"/>
            <w:hideMark/>
          </w:tcPr>
          <w:p w14:paraId="661F05AE" w14:textId="77777777" w:rsidR="00AC2766" w:rsidRPr="00D23AFA" w:rsidRDefault="00AC2766" w:rsidP="00AF0ADF">
            <w:pPr>
              <w:jc w:val="right"/>
              <w:rPr>
                <w:rFonts w:cstheme="minorHAnsi"/>
                <w:b/>
                <w:bCs/>
                <w:color w:val="000000"/>
                <w:sz w:val="20"/>
                <w:szCs w:val="20"/>
              </w:rPr>
            </w:pPr>
          </w:p>
        </w:tc>
        <w:tc>
          <w:tcPr>
            <w:tcW w:w="3678" w:type="pct"/>
            <w:gridSpan w:val="10"/>
          </w:tcPr>
          <w:p w14:paraId="229700F4" w14:textId="6C9C8D4A" w:rsidR="00AC2766" w:rsidRPr="00D23AFA" w:rsidRDefault="00AC2766" w:rsidP="00AF0ADF">
            <w:pPr>
              <w:jc w:val="center"/>
              <w:rPr>
                <w:rFonts w:cstheme="minorHAnsi"/>
                <w:b/>
                <w:bCs/>
                <w:sz w:val="20"/>
                <w:szCs w:val="20"/>
              </w:rPr>
            </w:pPr>
            <w:r w:rsidRPr="00D23AFA">
              <w:rPr>
                <w:rFonts w:cstheme="minorHAnsi"/>
                <w:b/>
                <w:bCs/>
                <w:color w:val="000000"/>
                <w:sz w:val="20"/>
                <w:szCs w:val="20"/>
              </w:rPr>
              <w:t>In per cent (%)</w:t>
            </w:r>
          </w:p>
        </w:tc>
      </w:tr>
      <w:tr w:rsidR="00AC2766" w:rsidRPr="00EB1AF3" w14:paraId="1007FEF4" w14:textId="77777777" w:rsidTr="00B94D3E">
        <w:trPr>
          <w:cantSplit/>
          <w:trHeight w:val="20"/>
        </w:trPr>
        <w:tc>
          <w:tcPr>
            <w:tcW w:w="5000" w:type="pct"/>
            <w:gridSpan w:val="11"/>
            <w:noWrap/>
            <w:vAlign w:val="center"/>
            <w:hideMark/>
          </w:tcPr>
          <w:p w14:paraId="0E2F4579" w14:textId="67D17B6A" w:rsidR="00AC2766" w:rsidRPr="00D23AFA" w:rsidRDefault="00AC2766" w:rsidP="00B94D3E">
            <w:pPr>
              <w:rPr>
                <w:rFonts w:cstheme="minorHAnsi"/>
                <w:b/>
                <w:bCs/>
                <w:sz w:val="20"/>
                <w:szCs w:val="20"/>
              </w:rPr>
            </w:pPr>
            <w:r w:rsidRPr="00D23AFA">
              <w:rPr>
                <w:rFonts w:cstheme="minorHAnsi"/>
                <w:b/>
                <w:bCs/>
                <w:color w:val="000000"/>
                <w:sz w:val="20"/>
                <w:szCs w:val="20"/>
              </w:rPr>
              <w:t>Australia</w:t>
            </w:r>
          </w:p>
        </w:tc>
      </w:tr>
      <w:tr w:rsidR="00964D50" w:rsidRPr="00D23AFA" w14:paraId="1AD087D9" w14:textId="77777777" w:rsidTr="00B94D3E">
        <w:trPr>
          <w:cantSplit/>
          <w:trHeight w:val="20"/>
        </w:trPr>
        <w:tc>
          <w:tcPr>
            <w:tcW w:w="1322" w:type="pct"/>
            <w:noWrap/>
            <w:vAlign w:val="center"/>
            <w:hideMark/>
          </w:tcPr>
          <w:p w14:paraId="1DCC8566"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Total</w:t>
            </w:r>
          </w:p>
        </w:tc>
        <w:tc>
          <w:tcPr>
            <w:tcW w:w="367" w:type="pct"/>
            <w:vAlign w:val="center"/>
          </w:tcPr>
          <w:p w14:paraId="4A265AB8"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56.3</w:t>
            </w:r>
          </w:p>
        </w:tc>
        <w:tc>
          <w:tcPr>
            <w:tcW w:w="368" w:type="pct"/>
            <w:vAlign w:val="center"/>
          </w:tcPr>
          <w:p w14:paraId="3C731551"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55.6</w:t>
            </w:r>
          </w:p>
        </w:tc>
        <w:tc>
          <w:tcPr>
            <w:tcW w:w="368" w:type="pct"/>
            <w:noWrap/>
            <w:vAlign w:val="center"/>
          </w:tcPr>
          <w:p w14:paraId="2605A16A"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55.2</w:t>
            </w:r>
          </w:p>
        </w:tc>
        <w:tc>
          <w:tcPr>
            <w:tcW w:w="368" w:type="pct"/>
            <w:noWrap/>
            <w:vAlign w:val="center"/>
          </w:tcPr>
          <w:p w14:paraId="410E22F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54.8</w:t>
            </w:r>
          </w:p>
        </w:tc>
        <w:tc>
          <w:tcPr>
            <w:tcW w:w="368" w:type="pct"/>
            <w:noWrap/>
            <w:vAlign w:val="center"/>
          </w:tcPr>
          <w:p w14:paraId="565F63AC"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54.4</w:t>
            </w:r>
          </w:p>
        </w:tc>
        <w:tc>
          <w:tcPr>
            <w:tcW w:w="368" w:type="pct"/>
            <w:noWrap/>
            <w:vAlign w:val="center"/>
          </w:tcPr>
          <w:p w14:paraId="247F9B7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54.2</w:t>
            </w:r>
          </w:p>
        </w:tc>
        <w:tc>
          <w:tcPr>
            <w:tcW w:w="368" w:type="pct"/>
            <w:noWrap/>
            <w:vAlign w:val="center"/>
          </w:tcPr>
          <w:p w14:paraId="4E7B35B6"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53.4</w:t>
            </w:r>
          </w:p>
        </w:tc>
        <w:tc>
          <w:tcPr>
            <w:tcW w:w="368" w:type="pct"/>
            <w:noWrap/>
            <w:vAlign w:val="center"/>
          </w:tcPr>
          <w:p w14:paraId="67C86407"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52.8</w:t>
            </w:r>
          </w:p>
        </w:tc>
        <w:tc>
          <w:tcPr>
            <w:tcW w:w="368" w:type="pct"/>
            <w:noWrap/>
            <w:vAlign w:val="center"/>
          </w:tcPr>
          <w:p w14:paraId="0DB2436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52.0</w:t>
            </w:r>
          </w:p>
        </w:tc>
        <w:tc>
          <w:tcPr>
            <w:tcW w:w="367" w:type="pct"/>
            <w:noWrap/>
            <w:vAlign w:val="center"/>
          </w:tcPr>
          <w:p w14:paraId="0ACF83C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51.3</w:t>
            </w:r>
          </w:p>
        </w:tc>
      </w:tr>
      <w:tr w:rsidR="00AC2766" w:rsidRPr="00EB1AF3" w14:paraId="7B8ECC02" w14:textId="77777777" w:rsidTr="00B94D3E">
        <w:trPr>
          <w:cantSplit/>
          <w:trHeight w:val="20"/>
        </w:trPr>
        <w:tc>
          <w:tcPr>
            <w:tcW w:w="5000" w:type="pct"/>
            <w:gridSpan w:val="11"/>
            <w:noWrap/>
            <w:vAlign w:val="center"/>
            <w:hideMark/>
          </w:tcPr>
          <w:p w14:paraId="61AE0FA7" w14:textId="46BF5AC8" w:rsidR="00AC2766" w:rsidRPr="00D23AFA" w:rsidRDefault="00AC2766" w:rsidP="00B94D3E">
            <w:pPr>
              <w:rPr>
                <w:rFonts w:cstheme="minorHAnsi"/>
                <w:b/>
                <w:bCs/>
                <w:sz w:val="20"/>
                <w:szCs w:val="20"/>
              </w:rPr>
            </w:pPr>
            <w:r w:rsidRPr="00D23AFA">
              <w:rPr>
                <w:rFonts w:cstheme="minorHAnsi"/>
                <w:b/>
                <w:bCs/>
                <w:color w:val="000000"/>
                <w:sz w:val="20"/>
                <w:szCs w:val="20"/>
              </w:rPr>
              <w:t>Mother's age at birth</w:t>
            </w:r>
          </w:p>
        </w:tc>
      </w:tr>
      <w:tr w:rsidR="00964D50" w:rsidRPr="00D23AFA" w14:paraId="6A53A81F" w14:textId="77777777" w:rsidTr="00B94D3E">
        <w:trPr>
          <w:cantSplit/>
          <w:trHeight w:val="20"/>
        </w:trPr>
        <w:tc>
          <w:tcPr>
            <w:tcW w:w="1322" w:type="pct"/>
            <w:noWrap/>
            <w:vAlign w:val="center"/>
            <w:hideMark/>
          </w:tcPr>
          <w:p w14:paraId="3035535A"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Younger than 20</w:t>
            </w:r>
          </w:p>
        </w:tc>
        <w:tc>
          <w:tcPr>
            <w:tcW w:w="367" w:type="pct"/>
            <w:vAlign w:val="center"/>
          </w:tcPr>
          <w:p w14:paraId="08CB6975"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70.3</w:t>
            </w:r>
          </w:p>
        </w:tc>
        <w:tc>
          <w:tcPr>
            <w:tcW w:w="368" w:type="pct"/>
            <w:vAlign w:val="center"/>
          </w:tcPr>
          <w:p w14:paraId="7E996519"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69.7</w:t>
            </w:r>
          </w:p>
        </w:tc>
        <w:tc>
          <w:tcPr>
            <w:tcW w:w="368" w:type="pct"/>
            <w:noWrap/>
            <w:vAlign w:val="center"/>
          </w:tcPr>
          <w:p w14:paraId="5DC867BE"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70.3</w:t>
            </w:r>
          </w:p>
        </w:tc>
        <w:tc>
          <w:tcPr>
            <w:tcW w:w="368" w:type="pct"/>
            <w:noWrap/>
            <w:vAlign w:val="center"/>
          </w:tcPr>
          <w:p w14:paraId="6C40C10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68.7</w:t>
            </w:r>
          </w:p>
        </w:tc>
        <w:tc>
          <w:tcPr>
            <w:tcW w:w="368" w:type="pct"/>
            <w:noWrap/>
            <w:vAlign w:val="center"/>
          </w:tcPr>
          <w:p w14:paraId="0B395387"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69.2</w:t>
            </w:r>
          </w:p>
        </w:tc>
        <w:tc>
          <w:tcPr>
            <w:tcW w:w="368" w:type="pct"/>
            <w:noWrap/>
            <w:vAlign w:val="center"/>
          </w:tcPr>
          <w:p w14:paraId="314627CD"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68.8</w:t>
            </w:r>
          </w:p>
        </w:tc>
        <w:tc>
          <w:tcPr>
            <w:tcW w:w="368" w:type="pct"/>
            <w:noWrap/>
            <w:vAlign w:val="center"/>
          </w:tcPr>
          <w:p w14:paraId="6B71C16E"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68.9</w:t>
            </w:r>
          </w:p>
        </w:tc>
        <w:tc>
          <w:tcPr>
            <w:tcW w:w="368" w:type="pct"/>
            <w:noWrap/>
            <w:vAlign w:val="center"/>
          </w:tcPr>
          <w:p w14:paraId="061690A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67.7</w:t>
            </w:r>
          </w:p>
        </w:tc>
        <w:tc>
          <w:tcPr>
            <w:tcW w:w="368" w:type="pct"/>
            <w:noWrap/>
            <w:vAlign w:val="center"/>
          </w:tcPr>
          <w:p w14:paraId="2AB700C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66.5</w:t>
            </w:r>
          </w:p>
        </w:tc>
        <w:tc>
          <w:tcPr>
            <w:tcW w:w="367" w:type="pct"/>
            <w:noWrap/>
            <w:vAlign w:val="center"/>
          </w:tcPr>
          <w:p w14:paraId="49A4892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67.2</w:t>
            </w:r>
          </w:p>
        </w:tc>
      </w:tr>
      <w:tr w:rsidR="00964D50" w:rsidRPr="00D23AFA" w14:paraId="765BC11A" w14:textId="77777777" w:rsidTr="00B94D3E">
        <w:trPr>
          <w:cantSplit/>
          <w:trHeight w:val="20"/>
        </w:trPr>
        <w:tc>
          <w:tcPr>
            <w:tcW w:w="1322" w:type="pct"/>
            <w:noWrap/>
            <w:vAlign w:val="center"/>
            <w:hideMark/>
          </w:tcPr>
          <w:p w14:paraId="2665A4ED"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20-24</w:t>
            </w:r>
          </w:p>
        </w:tc>
        <w:tc>
          <w:tcPr>
            <w:tcW w:w="367" w:type="pct"/>
            <w:vAlign w:val="center"/>
          </w:tcPr>
          <w:p w14:paraId="2474CEA6"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66.9</w:t>
            </w:r>
          </w:p>
        </w:tc>
        <w:tc>
          <w:tcPr>
            <w:tcW w:w="368" w:type="pct"/>
            <w:vAlign w:val="center"/>
          </w:tcPr>
          <w:p w14:paraId="302872C6"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66.2</w:t>
            </w:r>
          </w:p>
        </w:tc>
        <w:tc>
          <w:tcPr>
            <w:tcW w:w="368" w:type="pct"/>
            <w:noWrap/>
            <w:vAlign w:val="center"/>
          </w:tcPr>
          <w:p w14:paraId="1AC7DFD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66.0</w:t>
            </w:r>
          </w:p>
        </w:tc>
        <w:tc>
          <w:tcPr>
            <w:tcW w:w="368" w:type="pct"/>
            <w:noWrap/>
            <w:vAlign w:val="center"/>
          </w:tcPr>
          <w:p w14:paraId="00E1E5CA"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65.6</w:t>
            </w:r>
          </w:p>
        </w:tc>
        <w:tc>
          <w:tcPr>
            <w:tcW w:w="368" w:type="pct"/>
            <w:noWrap/>
            <w:vAlign w:val="center"/>
          </w:tcPr>
          <w:p w14:paraId="753924D6"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65.3</w:t>
            </w:r>
          </w:p>
        </w:tc>
        <w:tc>
          <w:tcPr>
            <w:tcW w:w="368" w:type="pct"/>
            <w:noWrap/>
            <w:vAlign w:val="center"/>
          </w:tcPr>
          <w:p w14:paraId="2C47174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65.1</w:t>
            </w:r>
          </w:p>
        </w:tc>
        <w:tc>
          <w:tcPr>
            <w:tcW w:w="368" w:type="pct"/>
            <w:noWrap/>
            <w:vAlign w:val="center"/>
          </w:tcPr>
          <w:p w14:paraId="3E542B8C"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64.9</w:t>
            </w:r>
          </w:p>
        </w:tc>
        <w:tc>
          <w:tcPr>
            <w:tcW w:w="368" w:type="pct"/>
            <w:noWrap/>
            <w:vAlign w:val="center"/>
          </w:tcPr>
          <w:p w14:paraId="3E177B44"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64.1</w:t>
            </w:r>
          </w:p>
        </w:tc>
        <w:tc>
          <w:tcPr>
            <w:tcW w:w="368" w:type="pct"/>
            <w:noWrap/>
            <w:vAlign w:val="center"/>
          </w:tcPr>
          <w:p w14:paraId="25E0BEA4"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63.0</w:t>
            </w:r>
          </w:p>
        </w:tc>
        <w:tc>
          <w:tcPr>
            <w:tcW w:w="367" w:type="pct"/>
            <w:noWrap/>
            <w:vAlign w:val="center"/>
          </w:tcPr>
          <w:p w14:paraId="39FE526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62.7</w:t>
            </w:r>
          </w:p>
        </w:tc>
      </w:tr>
      <w:tr w:rsidR="00964D50" w:rsidRPr="00D23AFA" w14:paraId="5A3F3E49" w14:textId="77777777" w:rsidTr="00B94D3E">
        <w:trPr>
          <w:cantSplit/>
          <w:trHeight w:val="20"/>
        </w:trPr>
        <w:tc>
          <w:tcPr>
            <w:tcW w:w="1322" w:type="pct"/>
            <w:noWrap/>
            <w:vAlign w:val="center"/>
            <w:hideMark/>
          </w:tcPr>
          <w:p w14:paraId="390BEB45"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25-29</w:t>
            </w:r>
          </w:p>
        </w:tc>
        <w:tc>
          <w:tcPr>
            <w:tcW w:w="367" w:type="pct"/>
            <w:vAlign w:val="center"/>
          </w:tcPr>
          <w:p w14:paraId="194D9467"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58.7</w:t>
            </w:r>
          </w:p>
        </w:tc>
        <w:tc>
          <w:tcPr>
            <w:tcW w:w="368" w:type="pct"/>
            <w:vAlign w:val="center"/>
          </w:tcPr>
          <w:p w14:paraId="50430131"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58.0</w:t>
            </w:r>
          </w:p>
        </w:tc>
        <w:tc>
          <w:tcPr>
            <w:tcW w:w="368" w:type="pct"/>
            <w:noWrap/>
            <w:vAlign w:val="center"/>
          </w:tcPr>
          <w:p w14:paraId="3591A379"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58.1</w:t>
            </w:r>
          </w:p>
        </w:tc>
        <w:tc>
          <w:tcPr>
            <w:tcW w:w="368" w:type="pct"/>
            <w:noWrap/>
            <w:vAlign w:val="center"/>
          </w:tcPr>
          <w:p w14:paraId="2F39174C"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57.4</w:t>
            </w:r>
          </w:p>
        </w:tc>
        <w:tc>
          <w:tcPr>
            <w:tcW w:w="368" w:type="pct"/>
            <w:noWrap/>
            <w:vAlign w:val="center"/>
          </w:tcPr>
          <w:p w14:paraId="3C3F9D3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57.2</w:t>
            </w:r>
          </w:p>
        </w:tc>
        <w:tc>
          <w:tcPr>
            <w:tcW w:w="368" w:type="pct"/>
            <w:noWrap/>
            <w:vAlign w:val="center"/>
          </w:tcPr>
          <w:p w14:paraId="6F803D2B"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57.4</w:t>
            </w:r>
          </w:p>
        </w:tc>
        <w:tc>
          <w:tcPr>
            <w:tcW w:w="368" w:type="pct"/>
            <w:noWrap/>
            <w:vAlign w:val="center"/>
          </w:tcPr>
          <w:p w14:paraId="25B79F2C"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56.6</w:t>
            </w:r>
          </w:p>
        </w:tc>
        <w:tc>
          <w:tcPr>
            <w:tcW w:w="368" w:type="pct"/>
            <w:noWrap/>
            <w:vAlign w:val="center"/>
          </w:tcPr>
          <w:p w14:paraId="10621AE7"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56.3</w:t>
            </w:r>
          </w:p>
        </w:tc>
        <w:tc>
          <w:tcPr>
            <w:tcW w:w="368" w:type="pct"/>
            <w:noWrap/>
            <w:vAlign w:val="center"/>
          </w:tcPr>
          <w:p w14:paraId="1EAEC11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55.7</w:t>
            </w:r>
          </w:p>
        </w:tc>
        <w:tc>
          <w:tcPr>
            <w:tcW w:w="367" w:type="pct"/>
            <w:noWrap/>
            <w:vAlign w:val="center"/>
          </w:tcPr>
          <w:p w14:paraId="3131AF6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54.9</w:t>
            </w:r>
          </w:p>
        </w:tc>
      </w:tr>
      <w:tr w:rsidR="00964D50" w:rsidRPr="00D23AFA" w14:paraId="07E03829" w14:textId="77777777" w:rsidTr="00B94D3E">
        <w:trPr>
          <w:cantSplit/>
          <w:trHeight w:val="20"/>
        </w:trPr>
        <w:tc>
          <w:tcPr>
            <w:tcW w:w="1322" w:type="pct"/>
            <w:noWrap/>
            <w:vAlign w:val="center"/>
            <w:hideMark/>
          </w:tcPr>
          <w:p w14:paraId="474562B7"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30-34</w:t>
            </w:r>
          </w:p>
        </w:tc>
        <w:tc>
          <w:tcPr>
            <w:tcW w:w="367" w:type="pct"/>
            <w:vAlign w:val="center"/>
          </w:tcPr>
          <w:p w14:paraId="4BE8EB69"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53.5</w:t>
            </w:r>
          </w:p>
        </w:tc>
        <w:tc>
          <w:tcPr>
            <w:tcW w:w="368" w:type="pct"/>
            <w:vAlign w:val="center"/>
          </w:tcPr>
          <w:p w14:paraId="419BE852"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53.2</w:t>
            </w:r>
          </w:p>
        </w:tc>
        <w:tc>
          <w:tcPr>
            <w:tcW w:w="368" w:type="pct"/>
            <w:noWrap/>
            <w:vAlign w:val="center"/>
          </w:tcPr>
          <w:p w14:paraId="152C6F14"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52.4</w:t>
            </w:r>
          </w:p>
        </w:tc>
        <w:tc>
          <w:tcPr>
            <w:tcW w:w="368" w:type="pct"/>
            <w:noWrap/>
            <w:vAlign w:val="center"/>
          </w:tcPr>
          <w:p w14:paraId="64AE0B36"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52.3</w:t>
            </w:r>
          </w:p>
        </w:tc>
        <w:tc>
          <w:tcPr>
            <w:tcW w:w="368" w:type="pct"/>
            <w:noWrap/>
            <w:vAlign w:val="center"/>
          </w:tcPr>
          <w:p w14:paraId="03F0F24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51.9</w:t>
            </w:r>
          </w:p>
        </w:tc>
        <w:tc>
          <w:tcPr>
            <w:tcW w:w="368" w:type="pct"/>
            <w:noWrap/>
            <w:vAlign w:val="center"/>
          </w:tcPr>
          <w:p w14:paraId="4D8A871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52.0</w:t>
            </w:r>
          </w:p>
        </w:tc>
        <w:tc>
          <w:tcPr>
            <w:tcW w:w="368" w:type="pct"/>
            <w:noWrap/>
            <w:vAlign w:val="center"/>
          </w:tcPr>
          <w:p w14:paraId="566CA71D"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51.1</w:t>
            </w:r>
          </w:p>
        </w:tc>
        <w:tc>
          <w:tcPr>
            <w:tcW w:w="368" w:type="pct"/>
            <w:noWrap/>
            <w:vAlign w:val="center"/>
          </w:tcPr>
          <w:p w14:paraId="2153DAC1"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50.6</w:t>
            </w:r>
          </w:p>
        </w:tc>
        <w:tc>
          <w:tcPr>
            <w:tcW w:w="368" w:type="pct"/>
            <w:noWrap/>
            <w:vAlign w:val="center"/>
          </w:tcPr>
          <w:p w14:paraId="28FBE21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50.2</w:t>
            </w:r>
          </w:p>
        </w:tc>
        <w:tc>
          <w:tcPr>
            <w:tcW w:w="367" w:type="pct"/>
            <w:noWrap/>
            <w:vAlign w:val="center"/>
          </w:tcPr>
          <w:p w14:paraId="621CC31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49.5</w:t>
            </w:r>
          </w:p>
        </w:tc>
      </w:tr>
      <w:tr w:rsidR="00964D50" w:rsidRPr="00D23AFA" w14:paraId="601F4033" w14:textId="77777777" w:rsidTr="00B94D3E">
        <w:trPr>
          <w:cantSplit/>
          <w:trHeight w:val="20"/>
        </w:trPr>
        <w:tc>
          <w:tcPr>
            <w:tcW w:w="1322" w:type="pct"/>
            <w:noWrap/>
            <w:vAlign w:val="center"/>
            <w:hideMark/>
          </w:tcPr>
          <w:p w14:paraId="3FD74128"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35-39</w:t>
            </w:r>
          </w:p>
        </w:tc>
        <w:tc>
          <w:tcPr>
            <w:tcW w:w="367" w:type="pct"/>
            <w:vAlign w:val="center"/>
          </w:tcPr>
          <w:p w14:paraId="3FEB6137"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49.6</w:t>
            </w:r>
          </w:p>
        </w:tc>
        <w:tc>
          <w:tcPr>
            <w:tcW w:w="368" w:type="pct"/>
            <w:vAlign w:val="center"/>
          </w:tcPr>
          <w:p w14:paraId="43FD51F9"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48.4</w:t>
            </w:r>
          </w:p>
        </w:tc>
        <w:tc>
          <w:tcPr>
            <w:tcW w:w="368" w:type="pct"/>
            <w:noWrap/>
            <w:vAlign w:val="center"/>
          </w:tcPr>
          <w:p w14:paraId="683E92E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48.3</w:t>
            </w:r>
          </w:p>
        </w:tc>
        <w:tc>
          <w:tcPr>
            <w:tcW w:w="368" w:type="pct"/>
            <w:noWrap/>
            <w:vAlign w:val="center"/>
          </w:tcPr>
          <w:p w14:paraId="439577E9"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48.1</w:t>
            </w:r>
          </w:p>
        </w:tc>
        <w:tc>
          <w:tcPr>
            <w:tcW w:w="368" w:type="pct"/>
            <w:noWrap/>
            <w:vAlign w:val="center"/>
          </w:tcPr>
          <w:p w14:paraId="58260BF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48.0</w:t>
            </w:r>
          </w:p>
        </w:tc>
        <w:tc>
          <w:tcPr>
            <w:tcW w:w="368" w:type="pct"/>
            <w:noWrap/>
            <w:vAlign w:val="center"/>
          </w:tcPr>
          <w:p w14:paraId="46A7141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47.5</w:t>
            </w:r>
          </w:p>
        </w:tc>
        <w:tc>
          <w:tcPr>
            <w:tcW w:w="368" w:type="pct"/>
            <w:noWrap/>
            <w:vAlign w:val="center"/>
          </w:tcPr>
          <w:p w14:paraId="12BBC4FA"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47.2</w:t>
            </w:r>
          </w:p>
        </w:tc>
        <w:tc>
          <w:tcPr>
            <w:tcW w:w="368" w:type="pct"/>
            <w:noWrap/>
            <w:vAlign w:val="center"/>
          </w:tcPr>
          <w:p w14:paraId="48806AE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46.7</w:t>
            </w:r>
          </w:p>
        </w:tc>
        <w:tc>
          <w:tcPr>
            <w:tcW w:w="368" w:type="pct"/>
            <w:noWrap/>
            <w:vAlign w:val="center"/>
          </w:tcPr>
          <w:p w14:paraId="0191458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45.9</w:t>
            </w:r>
          </w:p>
        </w:tc>
        <w:tc>
          <w:tcPr>
            <w:tcW w:w="367" w:type="pct"/>
            <w:noWrap/>
            <w:vAlign w:val="center"/>
          </w:tcPr>
          <w:p w14:paraId="3D26302D"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45.4</w:t>
            </w:r>
          </w:p>
        </w:tc>
      </w:tr>
      <w:tr w:rsidR="00964D50" w:rsidRPr="00D23AFA" w14:paraId="3591319B" w14:textId="77777777" w:rsidTr="00B94D3E">
        <w:trPr>
          <w:cantSplit/>
          <w:trHeight w:val="20"/>
        </w:trPr>
        <w:tc>
          <w:tcPr>
            <w:tcW w:w="1322" w:type="pct"/>
            <w:noWrap/>
            <w:vAlign w:val="center"/>
            <w:hideMark/>
          </w:tcPr>
          <w:p w14:paraId="29EEC5DC"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40 and over</w:t>
            </w:r>
          </w:p>
        </w:tc>
        <w:tc>
          <w:tcPr>
            <w:tcW w:w="367" w:type="pct"/>
            <w:vAlign w:val="center"/>
          </w:tcPr>
          <w:p w14:paraId="482960E3"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43.3</w:t>
            </w:r>
          </w:p>
        </w:tc>
        <w:tc>
          <w:tcPr>
            <w:tcW w:w="368" w:type="pct"/>
            <w:vAlign w:val="center"/>
          </w:tcPr>
          <w:p w14:paraId="7676C7BE"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42.7</w:t>
            </w:r>
          </w:p>
        </w:tc>
        <w:tc>
          <w:tcPr>
            <w:tcW w:w="368" w:type="pct"/>
            <w:noWrap/>
            <w:vAlign w:val="center"/>
          </w:tcPr>
          <w:p w14:paraId="45D9B7B6"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41.4</w:t>
            </w:r>
          </w:p>
        </w:tc>
        <w:tc>
          <w:tcPr>
            <w:tcW w:w="368" w:type="pct"/>
            <w:noWrap/>
            <w:vAlign w:val="center"/>
          </w:tcPr>
          <w:p w14:paraId="4C69AC57"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41.3</w:t>
            </w:r>
          </w:p>
        </w:tc>
        <w:tc>
          <w:tcPr>
            <w:tcW w:w="368" w:type="pct"/>
            <w:noWrap/>
            <w:vAlign w:val="center"/>
          </w:tcPr>
          <w:p w14:paraId="0D055CAD"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40.6</w:t>
            </w:r>
          </w:p>
        </w:tc>
        <w:tc>
          <w:tcPr>
            <w:tcW w:w="368" w:type="pct"/>
            <w:noWrap/>
            <w:vAlign w:val="center"/>
          </w:tcPr>
          <w:p w14:paraId="21C10EE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39.5</w:t>
            </w:r>
          </w:p>
        </w:tc>
        <w:tc>
          <w:tcPr>
            <w:tcW w:w="368" w:type="pct"/>
            <w:noWrap/>
            <w:vAlign w:val="center"/>
          </w:tcPr>
          <w:p w14:paraId="0664596E"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38.7</w:t>
            </w:r>
          </w:p>
        </w:tc>
        <w:tc>
          <w:tcPr>
            <w:tcW w:w="368" w:type="pct"/>
            <w:noWrap/>
            <w:vAlign w:val="center"/>
          </w:tcPr>
          <w:p w14:paraId="52C7915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38.1</w:t>
            </w:r>
          </w:p>
        </w:tc>
        <w:tc>
          <w:tcPr>
            <w:tcW w:w="368" w:type="pct"/>
            <w:noWrap/>
            <w:vAlign w:val="center"/>
          </w:tcPr>
          <w:p w14:paraId="4D1EF81D"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37.5</w:t>
            </w:r>
          </w:p>
        </w:tc>
        <w:tc>
          <w:tcPr>
            <w:tcW w:w="367" w:type="pct"/>
            <w:noWrap/>
            <w:vAlign w:val="center"/>
          </w:tcPr>
          <w:p w14:paraId="38215E0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37.4</w:t>
            </w:r>
          </w:p>
        </w:tc>
      </w:tr>
      <w:tr w:rsidR="004468D9" w:rsidRPr="00EB1AF3" w14:paraId="66194F44" w14:textId="77777777" w:rsidTr="00B94D3E">
        <w:trPr>
          <w:cantSplit/>
          <w:trHeight w:val="20"/>
        </w:trPr>
        <w:tc>
          <w:tcPr>
            <w:tcW w:w="5000" w:type="pct"/>
            <w:gridSpan w:val="11"/>
            <w:noWrap/>
            <w:vAlign w:val="center"/>
            <w:hideMark/>
          </w:tcPr>
          <w:p w14:paraId="31769717" w14:textId="28F175F8" w:rsidR="004468D9" w:rsidRPr="00D23AFA" w:rsidRDefault="004468D9" w:rsidP="00B94D3E">
            <w:pPr>
              <w:rPr>
                <w:rFonts w:cstheme="minorHAnsi"/>
                <w:b/>
                <w:bCs/>
                <w:sz w:val="20"/>
                <w:szCs w:val="20"/>
              </w:rPr>
            </w:pPr>
            <w:r w:rsidRPr="00D23AFA">
              <w:rPr>
                <w:rFonts w:cstheme="minorHAnsi"/>
                <w:b/>
                <w:bCs/>
                <w:color w:val="000000"/>
                <w:sz w:val="20"/>
                <w:szCs w:val="20"/>
              </w:rPr>
              <w:t>Mother's country of birth</w:t>
            </w:r>
          </w:p>
        </w:tc>
      </w:tr>
      <w:tr w:rsidR="00964D50" w:rsidRPr="00D23AFA" w14:paraId="3D507DCD" w14:textId="77777777" w:rsidTr="00B94D3E">
        <w:trPr>
          <w:cantSplit/>
          <w:trHeight w:val="20"/>
        </w:trPr>
        <w:tc>
          <w:tcPr>
            <w:tcW w:w="1322" w:type="pct"/>
            <w:noWrap/>
            <w:vAlign w:val="center"/>
            <w:hideMark/>
          </w:tcPr>
          <w:p w14:paraId="7402E267"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Born in Australia</w:t>
            </w:r>
          </w:p>
        </w:tc>
        <w:tc>
          <w:tcPr>
            <w:tcW w:w="367" w:type="pct"/>
            <w:vAlign w:val="center"/>
          </w:tcPr>
          <w:p w14:paraId="2DB48F8B"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57.1</w:t>
            </w:r>
          </w:p>
        </w:tc>
        <w:tc>
          <w:tcPr>
            <w:tcW w:w="368" w:type="pct"/>
            <w:vAlign w:val="center"/>
          </w:tcPr>
          <w:p w14:paraId="02F3805F"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56.4</w:t>
            </w:r>
          </w:p>
        </w:tc>
        <w:tc>
          <w:tcPr>
            <w:tcW w:w="368" w:type="pct"/>
            <w:noWrap/>
            <w:vAlign w:val="center"/>
          </w:tcPr>
          <w:p w14:paraId="52906AD1"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56.1</w:t>
            </w:r>
          </w:p>
        </w:tc>
        <w:tc>
          <w:tcPr>
            <w:tcW w:w="368" w:type="pct"/>
            <w:noWrap/>
            <w:vAlign w:val="center"/>
          </w:tcPr>
          <w:p w14:paraId="095EB78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55.8</w:t>
            </w:r>
          </w:p>
        </w:tc>
        <w:tc>
          <w:tcPr>
            <w:tcW w:w="368" w:type="pct"/>
            <w:noWrap/>
            <w:vAlign w:val="center"/>
          </w:tcPr>
          <w:p w14:paraId="11B2D01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55.5</w:t>
            </w:r>
          </w:p>
        </w:tc>
        <w:tc>
          <w:tcPr>
            <w:tcW w:w="368" w:type="pct"/>
            <w:noWrap/>
            <w:vAlign w:val="center"/>
          </w:tcPr>
          <w:p w14:paraId="13E4EDDA"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55.4</w:t>
            </w:r>
          </w:p>
        </w:tc>
        <w:tc>
          <w:tcPr>
            <w:tcW w:w="368" w:type="pct"/>
            <w:noWrap/>
            <w:vAlign w:val="center"/>
          </w:tcPr>
          <w:p w14:paraId="50857739"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54.8</w:t>
            </w:r>
          </w:p>
        </w:tc>
        <w:tc>
          <w:tcPr>
            <w:tcW w:w="368" w:type="pct"/>
            <w:noWrap/>
            <w:vAlign w:val="center"/>
          </w:tcPr>
          <w:p w14:paraId="2B3B93E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54.4</w:t>
            </w:r>
          </w:p>
        </w:tc>
        <w:tc>
          <w:tcPr>
            <w:tcW w:w="368" w:type="pct"/>
            <w:noWrap/>
            <w:vAlign w:val="center"/>
          </w:tcPr>
          <w:p w14:paraId="27A70394"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53.8</w:t>
            </w:r>
          </w:p>
        </w:tc>
        <w:tc>
          <w:tcPr>
            <w:tcW w:w="367" w:type="pct"/>
            <w:noWrap/>
            <w:vAlign w:val="center"/>
          </w:tcPr>
          <w:p w14:paraId="4D4110BE"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53.3</w:t>
            </w:r>
          </w:p>
        </w:tc>
      </w:tr>
      <w:tr w:rsidR="00964D50" w:rsidRPr="00D23AFA" w14:paraId="36565A70" w14:textId="77777777" w:rsidTr="00B94D3E">
        <w:trPr>
          <w:cantSplit/>
          <w:trHeight w:val="20"/>
        </w:trPr>
        <w:tc>
          <w:tcPr>
            <w:tcW w:w="1322" w:type="pct"/>
            <w:noWrap/>
            <w:vAlign w:val="center"/>
            <w:hideMark/>
          </w:tcPr>
          <w:p w14:paraId="53F6F71D"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Born overseas</w:t>
            </w:r>
          </w:p>
        </w:tc>
        <w:tc>
          <w:tcPr>
            <w:tcW w:w="367" w:type="pct"/>
            <w:vAlign w:val="center"/>
          </w:tcPr>
          <w:p w14:paraId="447304FA"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54.3</w:t>
            </w:r>
          </w:p>
        </w:tc>
        <w:tc>
          <w:tcPr>
            <w:tcW w:w="368" w:type="pct"/>
            <w:vAlign w:val="center"/>
          </w:tcPr>
          <w:p w14:paraId="0B92C4D0"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53.6</w:t>
            </w:r>
          </w:p>
        </w:tc>
        <w:tc>
          <w:tcPr>
            <w:tcW w:w="368" w:type="pct"/>
            <w:noWrap/>
            <w:vAlign w:val="center"/>
          </w:tcPr>
          <w:p w14:paraId="189518C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53.2</w:t>
            </w:r>
          </w:p>
        </w:tc>
        <w:tc>
          <w:tcPr>
            <w:tcW w:w="368" w:type="pct"/>
            <w:noWrap/>
            <w:vAlign w:val="center"/>
          </w:tcPr>
          <w:p w14:paraId="2AE58E59"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52.6</w:t>
            </w:r>
          </w:p>
        </w:tc>
        <w:tc>
          <w:tcPr>
            <w:tcW w:w="368" w:type="pct"/>
            <w:noWrap/>
            <w:vAlign w:val="center"/>
          </w:tcPr>
          <w:p w14:paraId="4392BB4E"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52.1</w:t>
            </w:r>
          </w:p>
        </w:tc>
        <w:tc>
          <w:tcPr>
            <w:tcW w:w="368" w:type="pct"/>
            <w:noWrap/>
            <w:vAlign w:val="center"/>
          </w:tcPr>
          <w:p w14:paraId="6F288A68"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51.6</w:t>
            </w:r>
          </w:p>
        </w:tc>
        <w:tc>
          <w:tcPr>
            <w:tcW w:w="368" w:type="pct"/>
            <w:noWrap/>
            <w:vAlign w:val="center"/>
          </w:tcPr>
          <w:p w14:paraId="0152A747"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50.9</w:t>
            </w:r>
          </w:p>
        </w:tc>
        <w:tc>
          <w:tcPr>
            <w:tcW w:w="368" w:type="pct"/>
            <w:noWrap/>
            <w:vAlign w:val="center"/>
          </w:tcPr>
          <w:p w14:paraId="5AE80D0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49.9</w:t>
            </w:r>
          </w:p>
        </w:tc>
        <w:tc>
          <w:tcPr>
            <w:tcW w:w="368" w:type="pct"/>
            <w:noWrap/>
            <w:vAlign w:val="center"/>
          </w:tcPr>
          <w:p w14:paraId="1349D01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48.6</w:t>
            </w:r>
          </w:p>
        </w:tc>
        <w:tc>
          <w:tcPr>
            <w:tcW w:w="367" w:type="pct"/>
            <w:noWrap/>
            <w:vAlign w:val="center"/>
          </w:tcPr>
          <w:p w14:paraId="11C1E1C6"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47.5</w:t>
            </w:r>
          </w:p>
        </w:tc>
      </w:tr>
      <w:tr w:rsidR="004468D9" w:rsidRPr="00EB1AF3" w14:paraId="54443206" w14:textId="77777777" w:rsidTr="00B94D3E">
        <w:trPr>
          <w:cantSplit/>
          <w:trHeight w:val="20"/>
        </w:trPr>
        <w:tc>
          <w:tcPr>
            <w:tcW w:w="5000" w:type="pct"/>
            <w:gridSpan w:val="11"/>
            <w:noWrap/>
            <w:vAlign w:val="center"/>
            <w:hideMark/>
          </w:tcPr>
          <w:p w14:paraId="06188E8C" w14:textId="3482330A" w:rsidR="004468D9" w:rsidRPr="00D23AFA" w:rsidRDefault="004468D9" w:rsidP="00B94D3E">
            <w:pPr>
              <w:rPr>
                <w:rFonts w:cstheme="minorHAnsi"/>
                <w:b/>
                <w:bCs/>
                <w:sz w:val="20"/>
                <w:szCs w:val="20"/>
              </w:rPr>
            </w:pPr>
            <w:r w:rsidRPr="00D23AFA">
              <w:rPr>
                <w:rFonts w:cstheme="minorHAnsi"/>
                <w:b/>
                <w:bCs/>
                <w:color w:val="000000"/>
                <w:sz w:val="20"/>
                <w:szCs w:val="20"/>
              </w:rPr>
              <w:t xml:space="preserve">Mother's </w:t>
            </w:r>
            <w:r w:rsidR="00FB0C38">
              <w:rPr>
                <w:rFonts w:cstheme="minorHAnsi"/>
                <w:b/>
                <w:bCs/>
                <w:color w:val="000000"/>
                <w:sz w:val="20"/>
                <w:szCs w:val="20"/>
              </w:rPr>
              <w:t>Indig</w:t>
            </w:r>
            <w:r w:rsidRPr="00D23AFA">
              <w:rPr>
                <w:rFonts w:cstheme="minorHAnsi"/>
                <w:b/>
                <w:bCs/>
                <w:color w:val="000000"/>
                <w:sz w:val="20"/>
                <w:szCs w:val="20"/>
              </w:rPr>
              <w:t xml:space="preserve">enous status </w:t>
            </w:r>
            <w:r w:rsidR="009C3E6A">
              <w:rPr>
                <w:rFonts w:cstheme="minorHAnsi"/>
                <w:b/>
                <w:bCs/>
                <w:color w:val="000000"/>
                <w:sz w:val="20"/>
                <w:szCs w:val="20"/>
              </w:rPr>
              <w:t>(Age-standardised)</w:t>
            </w:r>
          </w:p>
        </w:tc>
      </w:tr>
      <w:tr w:rsidR="00964D50" w:rsidRPr="00D23AFA" w14:paraId="077E852A" w14:textId="77777777" w:rsidTr="00B94D3E">
        <w:trPr>
          <w:cantSplit/>
          <w:trHeight w:val="20"/>
        </w:trPr>
        <w:tc>
          <w:tcPr>
            <w:tcW w:w="1322" w:type="pct"/>
            <w:noWrap/>
            <w:vAlign w:val="center"/>
            <w:hideMark/>
          </w:tcPr>
          <w:p w14:paraId="573FE91E"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Indigenous</w:t>
            </w:r>
          </w:p>
        </w:tc>
        <w:tc>
          <w:tcPr>
            <w:tcW w:w="367" w:type="pct"/>
            <w:vAlign w:val="center"/>
          </w:tcPr>
          <w:p w14:paraId="49DF150A"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64.9</w:t>
            </w:r>
          </w:p>
        </w:tc>
        <w:tc>
          <w:tcPr>
            <w:tcW w:w="368" w:type="pct"/>
            <w:vAlign w:val="center"/>
          </w:tcPr>
          <w:p w14:paraId="0E37051D"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63.3</w:t>
            </w:r>
          </w:p>
        </w:tc>
        <w:tc>
          <w:tcPr>
            <w:tcW w:w="368" w:type="pct"/>
            <w:noWrap/>
            <w:vAlign w:val="center"/>
          </w:tcPr>
          <w:p w14:paraId="6FCBF34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64.8</w:t>
            </w:r>
          </w:p>
        </w:tc>
        <w:tc>
          <w:tcPr>
            <w:tcW w:w="368" w:type="pct"/>
            <w:noWrap/>
            <w:vAlign w:val="center"/>
          </w:tcPr>
          <w:p w14:paraId="7E404759"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64.7</w:t>
            </w:r>
          </w:p>
        </w:tc>
        <w:tc>
          <w:tcPr>
            <w:tcW w:w="368" w:type="pct"/>
            <w:noWrap/>
            <w:vAlign w:val="center"/>
          </w:tcPr>
          <w:p w14:paraId="02FE24D6"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62.4</w:t>
            </w:r>
          </w:p>
        </w:tc>
        <w:tc>
          <w:tcPr>
            <w:tcW w:w="368" w:type="pct"/>
            <w:noWrap/>
            <w:vAlign w:val="center"/>
          </w:tcPr>
          <w:p w14:paraId="6AD7D0D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61.2</w:t>
            </w:r>
          </w:p>
        </w:tc>
        <w:tc>
          <w:tcPr>
            <w:tcW w:w="368" w:type="pct"/>
            <w:noWrap/>
            <w:vAlign w:val="center"/>
          </w:tcPr>
          <w:p w14:paraId="7473198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61.8</w:t>
            </w:r>
          </w:p>
        </w:tc>
        <w:tc>
          <w:tcPr>
            <w:tcW w:w="368" w:type="pct"/>
            <w:noWrap/>
            <w:vAlign w:val="center"/>
          </w:tcPr>
          <w:p w14:paraId="7EA6352A"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61.7</w:t>
            </w:r>
          </w:p>
        </w:tc>
        <w:tc>
          <w:tcPr>
            <w:tcW w:w="368" w:type="pct"/>
            <w:noWrap/>
            <w:vAlign w:val="center"/>
          </w:tcPr>
          <w:p w14:paraId="49527B3A"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59.6</w:t>
            </w:r>
          </w:p>
        </w:tc>
        <w:tc>
          <w:tcPr>
            <w:tcW w:w="367" w:type="pct"/>
            <w:noWrap/>
            <w:vAlign w:val="center"/>
          </w:tcPr>
          <w:p w14:paraId="7C4E3A5B"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59.6</w:t>
            </w:r>
          </w:p>
        </w:tc>
      </w:tr>
      <w:tr w:rsidR="00964D50" w:rsidRPr="00D23AFA" w14:paraId="7725A599" w14:textId="77777777" w:rsidTr="00B94D3E">
        <w:trPr>
          <w:cantSplit/>
          <w:trHeight w:val="20"/>
        </w:trPr>
        <w:tc>
          <w:tcPr>
            <w:tcW w:w="1322" w:type="pct"/>
            <w:noWrap/>
            <w:vAlign w:val="center"/>
            <w:hideMark/>
          </w:tcPr>
          <w:p w14:paraId="1BC7465F"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Non-Indigenous</w:t>
            </w:r>
          </w:p>
        </w:tc>
        <w:tc>
          <w:tcPr>
            <w:tcW w:w="367" w:type="pct"/>
            <w:vAlign w:val="center"/>
          </w:tcPr>
          <w:p w14:paraId="46E36122"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56.3</w:t>
            </w:r>
          </w:p>
        </w:tc>
        <w:tc>
          <w:tcPr>
            <w:tcW w:w="368" w:type="pct"/>
            <w:vAlign w:val="center"/>
          </w:tcPr>
          <w:p w14:paraId="1C123F27"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55.7</w:t>
            </w:r>
          </w:p>
        </w:tc>
        <w:tc>
          <w:tcPr>
            <w:tcW w:w="368" w:type="pct"/>
            <w:noWrap/>
            <w:vAlign w:val="center"/>
          </w:tcPr>
          <w:p w14:paraId="030D80EE"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55.3</w:t>
            </w:r>
          </w:p>
        </w:tc>
        <w:tc>
          <w:tcPr>
            <w:tcW w:w="368" w:type="pct"/>
            <w:noWrap/>
            <w:vAlign w:val="center"/>
          </w:tcPr>
          <w:p w14:paraId="3817E20F"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54.8</w:t>
            </w:r>
          </w:p>
        </w:tc>
        <w:tc>
          <w:tcPr>
            <w:tcW w:w="368" w:type="pct"/>
            <w:noWrap/>
            <w:vAlign w:val="center"/>
          </w:tcPr>
          <w:p w14:paraId="07482AC1"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54.7</w:t>
            </w:r>
          </w:p>
        </w:tc>
        <w:tc>
          <w:tcPr>
            <w:tcW w:w="368" w:type="pct"/>
            <w:noWrap/>
            <w:vAlign w:val="center"/>
          </w:tcPr>
          <w:p w14:paraId="769CD54C"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54.3</w:t>
            </w:r>
          </w:p>
        </w:tc>
        <w:tc>
          <w:tcPr>
            <w:tcW w:w="368" w:type="pct"/>
            <w:noWrap/>
            <w:vAlign w:val="center"/>
          </w:tcPr>
          <w:p w14:paraId="79AFC4BC"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53.8</w:t>
            </w:r>
          </w:p>
        </w:tc>
        <w:tc>
          <w:tcPr>
            <w:tcW w:w="368" w:type="pct"/>
            <w:noWrap/>
            <w:vAlign w:val="center"/>
          </w:tcPr>
          <w:p w14:paraId="671B5183"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53.3</w:t>
            </w:r>
          </w:p>
        </w:tc>
        <w:tc>
          <w:tcPr>
            <w:tcW w:w="368" w:type="pct"/>
            <w:noWrap/>
            <w:vAlign w:val="center"/>
          </w:tcPr>
          <w:p w14:paraId="1E12FA1D"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52.5</w:t>
            </w:r>
          </w:p>
        </w:tc>
        <w:tc>
          <w:tcPr>
            <w:tcW w:w="367" w:type="pct"/>
            <w:noWrap/>
            <w:vAlign w:val="center"/>
          </w:tcPr>
          <w:p w14:paraId="5911F71C"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52.1</w:t>
            </w:r>
          </w:p>
        </w:tc>
      </w:tr>
      <w:tr w:rsidR="004468D9" w:rsidRPr="00EB1AF3" w14:paraId="2F488668" w14:textId="77777777" w:rsidTr="00B94D3E">
        <w:trPr>
          <w:cantSplit/>
          <w:trHeight w:val="20"/>
        </w:trPr>
        <w:tc>
          <w:tcPr>
            <w:tcW w:w="5000" w:type="pct"/>
            <w:gridSpan w:val="11"/>
            <w:noWrap/>
            <w:vAlign w:val="center"/>
            <w:hideMark/>
          </w:tcPr>
          <w:p w14:paraId="271CE8BC" w14:textId="7AA2E6A9" w:rsidR="004468D9" w:rsidRPr="00D23AFA" w:rsidRDefault="004468D9" w:rsidP="00B94D3E">
            <w:pPr>
              <w:rPr>
                <w:rFonts w:cstheme="minorHAnsi"/>
                <w:b/>
                <w:bCs/>
                <w:sz w:val="20"/>
                <w:szCs w:val="20"/>
              </w:rPr>
            </w:pPr>
            <w:r w:rsidRPr="00D23AFA">
              <w:rPr>
                <w:rFonts w:cstheme="minorHAnsi"/>
                <w:b/>
                <w:bCs/>
                <w:color w:val="000000"/>
                <w:sz w:val="20"/>
                <w:szCs w:val="20"/>
              </w:rPr>
              <w:t>Remoteness of mother's usual residence</w:t>
            </w:r>
          </w:p>
        </w:tc>
      </w:tr>
      <w:tr w:rsidR="00964D50" w:rsidRPr="00D23AFA" w14:paraId="57AF2F11" w14:textId="77777777" w:rsidTr="00B94D3E">
        <w:trPr>
          <w:cantSplit/>
          <w:trHeight w:val="20"/>
        </w:trPr>
        <w:tc>
          <w:tcPr>
            <w:tcW w:w="1322" w:type="pct"/>
            <w:noWrap/>
            <w:vAlign w:val="center"/>
            <w:hideMark/>
          </w:tcPr>
          <w:p w14:paraId="0C58FD7B"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Major cities</w:t>
            </w:r>
          </w:p>
        </w:tc>
        <w:tc>
          <w:tcPr>
            <w:tcW w:w="367" w:type="pct"/>
          </w:tcPr>
          <w:p w14:paraId="4D0105EA" w14:textId="5E39A294"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tcPr>
          <w:p w14:paraId="3B4CBE9F" w14:textId="26D9FBA6"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noWrap/>
            <w:vAlign w:val="center"/>
          </w:tcPr>
          <w:p w14:paraId="0A39A0B9"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53.9</w:t>
            </w:r>
          </w:p>
        </w:tc>
        <w:tc>
          <w:tcPr>
            <w:tcW w:w="368" w:type="pct"/>
            <w:noWrap/>
            <w:vAlign w:val="center"/>
          </w:tcPr>
          <w:p w14:paraId="5FD78D35"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53.1</w:t>
            </w:r>
          </w:p>
        </w:tc>
        <w:tc>
          <w:tcPr>
            <w:tcW w:w="368" w:type="pct"/>
            <w:noWrap/>
            <w:vAlign w:val="center"/>
          </w:tcPr>
          <w:p w14:paraId="6B510657"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52.7</w:t>
            </w:r>
          </w:p>
        </w:tc>
        <w:tc>
          <w:tcPr>
            <w:tcW w:w="368" w:type="pct"/>
            <w:noWrap/>
            <w:vAlign w:val="center"/>
          </w:tcPr>
          <w:p w14:paraId="1E6D1A8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52.5</w:t>
            </w:r>
          </w:p>
        </w:tc>
        <w:tc>
          <w:tcPr>
            <w:tcW w:w="368" w:type="pct"/>
            <w:noWrap/>
            <w:vAlign w:val="center"/>
          </w:tcPr>
          <w:p w14:paraId="5A9EE470"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51.9</w:t>
            </w:r>
          </w:p>
        </w:tc>
        <w:tc>
          <w:tcPr>
            <w:tcW w:w="368" w:type="pct"/>
            <w:noWrap/>
            <w:vAlign w:val="center"/>
          </w:tcPr>
          <w:p w14:paraId="1CAE7628"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51.1</w:t>
            </w:r>
          </w:p>
        </w:tc>
        <w:tc>
          <w:tcPr>
            <w:tcW w:w="368" w:type="pct"/>
            <w:noWrap/>
            <w:vAlign w:val="center"/>
          </w:tcPr>
          <w:p w14:paraId="6BF78B5C"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50.4</w:t>
            </w:r>
          </w:p>
        </w:tc>
        <w:tc>
          <w:tcPr>
            <w:tcW w:w="367" w:type="pct"/>
            <w:noWrap/>
            <w:vAlign w:val="center"/>
          </w:tcPr>
          <w:p w14:paraId="12AA366B"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49.6</w:t>
            </w:r>
          </w:p>
        </w:tc>
      </w:tr>
      <w:tr w:rsidR="00964D50" w:rsidRPr="00D23AFA" w14:paraId="578B4E02" w14:textId="77777777" w:rsidTr="00B94D3E">
        <w:trPr>
          <w:cantSplit/>
          <w:trHeight w:val="20"/>
        </w:trPr>
        <w:tc>
          <w:tcPr>
            <w:tcW w:w="1322" w:type="pct"/>
            <w:noWrap/>
            <w:vAlign w:val="center"/>
            <w:hideMark/>
          </w:tcPr>
          <w:p w14:paraId="76AD8573"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Inner regional</w:t>
            </w:r>
          </w:p>
        </w:tc>
        <w:tc>
          <w:tcPr>
            <w:tcW w:w="367" w:type="pct"/>
          </w:tcPr>
          <w:p w14:paraId="79E58AA7" w14:textId="641EDFA8"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tcPr>
          <w:p w14:paraId="76052EDD" w14:textId="1397D9F0"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noWrap/>
            <w:vAlign w:val="center"/>
          </w:tcPr>
          <w:p w14:paraId="3FE3BA6A"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59.6</w:t>
            </w:r>
          </w:p>
        </w:tc>
        <w:tc>
          <w:tcPr>
            <w:tcW w:w="368" w:type="pct"/>
            <w:noWrap/>
            <w:vAlign w:val="center"/>
          </w:tcPr>
          <w:p w14:paraId="1E733E2A"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58.8</w:t>
            </w:r>
          </w:p>
        </w:tc>
        <w:tc>
          <w:tcPr>
            <w:tcW w:w="368" w:type="pct"/>
            <w:noWrap/>
            <w:vAlign w:val="center"/>
          </w:tcPr>
          <w:p w14:paraId="462499F0"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58.7</w:t>
            </w:r>
          </w:p>
        </w:tc>
        <w:tc>
          <w:tcPr>
            <w:tcW w:w="368" w:type="pct"/>
            <w:noWrap/>
            <w:vAlign w:val="center"/>
          </w:tcPr>
          <w:p w14:paraId="05326D60"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58.5</w:t>
            </w:r>
          </w:p>
        </w:tc>
        <w:tc>
          <w:tcPr>
            <w:tcW w:w="368" w:type="pct"/>
            <w:noWrap/>
            <w:vAlign w:val="center"/>
          </w:tcPr>
          <w:p w14:paraId="7A9A9F8A"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57.0</w:t>
            </w:r>
          </w:p>
        </w:tc>
        <w:tc>
          <w:tcPr>
            <w:tcW w:w="368" w:type="pct"/>
            <w:noWrap/>
            <w:vAlign w:val="center"/>
          </w:tcPr>
          <w:p w14:paraId="18E75CA8"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56.8</w:t>
            </w:r>
          </w:p>
        </w:tc>
        <w:tc>
          <w:tcPr>
            <w:tcW w:w="368" w:type="pct"/>
            <w:noWrap/>
            <w:vAlign w:val="center"/>
          </w:tcPr>
          <w:p w14:paraId="7EDA65AE"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55.9</w:t>
            </w:r>
          </w:p>
        </w:tc>
        <w:tc>
          <w:tcPr>
            <w:tcW w:w="367" w:type="pct"/>
            <w:noWrap/>
            <w:vAlign w:val="center"/>
          </w:tcPr>
          <w:p w14:paraId="1B7BBD7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55.6</w:t>
            </w:r>
          </w:p>
        </w:tc>
      </w:tr>
      <w:tr w:rsidR="00964D50" w:rsidRPr="00D23AFA" w14:paraId="22B62EBC" w14:textId="77777777" w:rsidTr="00B94D3E">
        <w:trPr>
          <w:cantSplit/>
          <w:trHeight w:val="20"/>
        </w:trPr>
        <w:tc>
          <w:tcPr>
            <w:tcW w:w="1322" w:type="pct"/>
            <w:noWrap/>
            <w:vAlign w:val="center"/>
            <w:hideMark/>
          </w:tcPr>
          <w:p w14:paraId="163C92BF"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Outer regional</w:t>
            </w:r>
          </w:p>
        </w:tc>
        <w:tc>
          <w:tcPr>
            <w:tcW w:w="367" w:type="pct"/>
          </w:tcPr>
          <w:p w14:paraId="2CD67212" w14:textId="0F770C59"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tcPr>
          <w:p w14:paraId="39E2D75C" w14:textId="43907C5E"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noWrap/>
            <w:vAlign w:val="center"/>
          </w:tcPr>
          <w:p w14:paraId="4E6CAE7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59.8</w:t>
            </w:r>
          </w:p>
        </w:tc>
        <w:tc>
          <w:tcPr>
            <w:tcW w:w="368" w:type="pct"/>
            <w:noWrap/>
            <w:vAlign w:val="center"/>
          </w:tcPr>
          <w:p w14:paraId="3A6D5D4D"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59.6</w:t>
            </w:r>
          </w:p>
        </w:tc>
        <w:tc>
          <w:tcPr>
            <w:tcW w:w="368" w:type="pct"/>
            <w:noWrap/>
            <w:vAlign w:val="center"/>
          </w:tcPr>
          <w:p w14:paraId="10A11F8D"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59.0</w:t>
            </w:r>
          </w:p>
        </w:tc>
        <w:tc>
          <w:tcPr>
            <w:tcW w:w="368" w:type="pct"/>
            <w:noWrap/>
            <w:vAlign w:val="center"/>
          </w:tcPr>
          <w:p w14:paraId="10443021"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59.1</w:t>
            </w:r>
          </w:p>
        </w:tc>
        <w:tc>
          <w:tcPr>
            <w:tcW w:w="368" w:type="pct"/>
            <w:noWrap/>
            <w:vAlign w:val="center"/>
          </w:tcPr>
          <w:p w14:paraId="22F7158B"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58.0</w:t>
            </w:r>
          </w:p>
        </w:tc>
        <w:tc>
          <w:tcPr>
            <w:tcW w:w="368" w:type="pct"/>
            <w:noWrap/>
            <w:vAlign w:val="center"/>
          </w:tcPr>
          <w:p w14:paraId="7C0227C5"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58.0</w:t>
            </w:r>
          </w:p>
        </w:tc>
        <w:tc>
          <w:tcPr>
            <w:tcW w:w="368" w:type="pct"/>
            <w:noWrap/>
            <w:vAlign w:val="center"/>
          </w:tcPr>
          <w:p w14:paraId="79BCAC32"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57.0</w:t>
            </w:r>
          </w:p>
        </w:tc>
        <w:tc>
          <w:tcPr>
            <w:tcW w:w="367" w:type="pct"/>
            <w:noWrap/>
            <w:vAlign w:val="center"/>
          </w:tcPr>
          <w:p w14:paraId="5626EF47"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56.6</w:t>
            </w:r>
          </w:p>
        </w:tc>
      </w:tr>
      <w:tr w:rsidR="00964D50" w:rsidRPr="00D23AFA" w14:paraId="4836AEAD" w14:textId="77777777" w:rsidTr="00B94D3E">
        <w:trPr>
          <w:cantSplit/>
          <w:trHeight w:val="20"/>
        </w:trPr>
        <w:tc>
          <w:tcPr>
            <w:tcW w:w="1322" w:type="pct"/>
            <w:noWrap/>
            <w:vAlign w:val="center"/>
            <w:hideMark/>
          </w:tcPr>
          <w:p w14:paraId="422B9B51"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Remote</w:t>
            </w:r>
          </w:p>
        </w:tc>
        <w:tc>
          <w:tcPr>
            <w:tcW w:w="367" w:type="pct"/>
          </w:tcPr>
          <w:p w14:paraId="1DF25509" w14:textId="65215D6A"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tcPr>
          <w:p w14:paraId="74B4EF3E" w14:textId="18FFF41F"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noWrap/>
            <w:vAlign w:val="center"/>
          </w:tcPr>
          <w:p w14:paraId="5C4B0778"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60.7</w:t>
            </w:r>
          </w:p>
        </w:tc>
        <w:tc>
          <w:tcPr>
            <w:tcW w:w="368" w:type="pct"/>
            <w:noWrap/>
            <w:vAlign w:val="center"/>
          </w:tcPr>
          <w:p w14:paraId="456A80CD"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60.8</w:t>
            </w:r>
          </w:p>
        </w:tc>
        <w:tc>
          <w:tcPr>
            <w:tcW w:w="368" w:type="pct"/>
            <w:noWrap/>
            <w:vAlign w:val="center"/>
          </w:tcPr>
          <w:p w14:paraId="21DC1C21"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60.0</w:t>
            </w:r>
          </w:p>
        </w:tc>
        <w:tc>
          <w:tcPr>
            <w:tcW w:w="368" w:type="pct"/>
            <w:noWrap/>
            <w:vAlign w:val="center"/>
          </w:tcPr>
          <w:p w14:paraId="142FE7CC"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60.7</w:t>
            </w:r>
          </w:p>
        </w:tc>
        <w:tc>
          <w:tcPr>
            <w:tcW w:w="368" w:type="pct"/>
            <w:noWrap/>
            <w:vAlign w:val="center"/>
          </w:tcPr>
          <w:p w14:paraId="0CDC2D5E"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59.9</w:t>
            </w:r>
          </w:p>
        </w:tc>
        <w:tc>
          <w:tcPr>
            <w:tcW w:w="368" w:type="pct"/>
            <w:noWrap/>
            <w:vAlign w:val="center"/>
          </w:tcPr>
          <w:p w14:paraId="75C521B9"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59.0</w:t>
            </w:r>
          </w:p>
        </w:tc>
        <w:tc>
          <w:tcPr>
            <w:tcW w:w="368" w:type="pct"/>
            <w:noWrap/>
            <w:vAlign w:val="center"/>
          </w:tcPr>
          <w:p w14:paraId="26ABA75A"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58.3</w:t>
            </w:r>
          </w:p>
        </w:tc>
        <w:tc>
          <w:tcPr>
            <w:tcW w:w="367" w:type="pct"/>
            <w:noWrap/>
            <w:vAlign w:val="center"/>
          </w:tcPr>
          <w:p w14:paraId="223FE5F6"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58.7</w:t>
            </w:r>
          </w:p>
        </w:tc>
      </w:tr>
      <w:tr w:rsidR="00964D50" w:rsidRPr="00D23AFA" w14:paraId="54706F0D" w14:textId="77777777" w:rsidTr="00B94D3E">
        <w:trPr>
          <w:cantSplit/>
          <w:trHeight w:val="20"/>
        </w:trPr>
        <w:tc>
          <w:tcPr>
            <w:tcW w:w="1322" w:type="pct"/>
            <w:noWrap/>
            <w:vAlign w:val="center"/>
            <w:hideMark/>
          </w:tcPr>
          <w:p w14:paraId="74D800A8"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Very remote</w:t>
            </w:r>
          </w:p>
        </w:tc>
        <w:tc>
          <w:tcPr>
            <w:tcW w:w="367" w:type="pct"/>
          </w:tcPr>
          <w:p w14:paraId="1D9E16C2" w14:textId="4C09965B"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tcPr>
          <w:p w14:paraId="54DBCF57" w14:textId="2E45182A" w:rsidR="00963C0F" w:rsidRPr="008169B3" w:rsidRDefault="00963C0F" w:rsidP="00963C0F">
            <w:pPr>
              <w:jc w:val="right"/>
              <w:rPr>
                <w:rFonts w:cstheme="minorHAnsi"/>
                <w:color w:val="000000"/>
                <w:sz w:val="20"/>
                <w:szCs w:val="20"/>
              </w:rPr>
            </w:pPr>
            <w:r w:rsidRPr="004B110F">
              <w:rPr>
                <w:rFonts w:cstheme="minorHAnsi"/>
                <w:color w:val="000000"/>
                <w:sz w:val="20"/>
                <w:szCs w:val="20"/>
              </w:rPr>
              <w:t>n.a.</w:t>
            </w:r>
          </w:p>
        </w:tc>
        <w:tc>
          <w:tcPr>
            <w:tcW w:w="368" w:type="pct"/>
            <w:noWrap/>
            <w:vAlign w:val="center"/>
          </w:tcPr>
          <w:p w14:paraId="0FAE25A9"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63.2</w:t>
            </w:r>
          </w:p>
        </w:tc>
        <w:tc>
          <w:tcPr>
            <w:tcW w:w="368" w:type="pct"/>
            <w:noWrap/>
            <w:vAlign w:val="center"/>
          </w:tcPr>
          <w:p w14:paraId="26E76AD6"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61.6</w:t>
            </w:r>
          </w:p>
        </w:tc>
        <w:tc>
          <w:tcPr>
            <w:tcW w:w="368" w:type="pct"/>
            <w:noWrap/>
            <w:vAlign w:val="center"/>
          </w:tcPr>
          <w:p w14:paraId="16FA4E30"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60.3</w:t>
            </w:r>
          </w:p>
        </w:tc>
        <w:tc>
          <w:tcPr>
            <w:tcW w:w="368" w:type="pct"/>
            <w:noWrap/>
            <w:vAlign w:val="center"/>
          </w:tcPr>
          <w:p w14:paraId="1B9654FE"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61.1</w:t>
            </w:r>
          </w:p>
        </w:tc>
        <w:tc>
          <w:tcPr>
            <w:tcW w:w="368" w:type="pct"/>
            <w:noWrap/>
            <w:vAlign w:val="center"/>
          </w:tcPr>
          <w:p w14:paraId="714747AC"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59.5</w:t>
            </w:r>
          </w:p>
        </w:tc>
        <w:tc>
          <w:tcPr>
            <w:tcW w:w="368" w:type="pct"/>
            <w:noWrap/>
            <w:vAlign w:val="center"/>
          </w:tcPr>
          <w:p w14:paraId="5695828D"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59.9</w:t>
            </w:r>
          </w:p>
        </w:tc>
        <w:tc>
          <w:tcPr>
            <w:tcW w:w="368" w:type="pct"/>
            <w:noWrap/>
            <w:vAlign w:val="center"/>
          </w:tcPr>
          <w:p w14:paraId="40BE38CF"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59.2</w:t>
            </w:r>
          </w:p>
        </w:tc>
        <w:tc>
          <w:tcPr>
            <w:tcW w:w="367" w:type="pct"/>
            <w:noWrap/>
            <w:vAlign w:val="center"/>
          </w:tcPr>
          <w:p w14:paraId="5C963204"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59.1</w:t>
            </w:r>
          </w:p>
        </w:tc>
      </w:tr>
      <w:tr w:rsidR="004468D9" w:rsidRPr="00EB1AF3" w14:paraId="64ABF752" w14:textId="77777777" w:rsidTr="00B94D3E">
        <w:trPr>
          <w:cantSplit/>
          <w:trHeight w:val="20"/>
        </w:trPr>
        <w:tc>
          <w:tcPr>
            <w:tcW w:w="5000" w:type="pct"/>
            <w:gridSpan w:val="11"/>
            <w:noWrap/>
            <w:vAlign w:val="center"/>
            <w:hideMark/>
          </w:tcPr>
          <w:p w14:paraId="795B72E7" w14:textId="60E69973" w:rsidR="004468D9" w:rsidRPr="00D23AFA" w:rsidRDefault="004468D9" w:rsidP="00B94D3E">
            <w:pPr>
              <w:rPr>
                <w:rFonts w:cstheme="minorHAnsi"/>
                <w:b/>
                <w:bCs/>
                <w:sz w:val="20"/>
                <w:szCs w:val="20"/>
              </w:rPr>
            </w:pPr>
            <w:r w:rsidRPr="00D23AFA">
              <w:rPr>
                <w:rFonts w:cstheme="minorHAnsi"/>
                <w:b/>
                <w:bCs/>
                <w:color w:val="000000"/>
                <w:sz w:val="20"/>
                <w:szCs w:val="20"/>
              </w:rPr>
              <w:t>Disadvantage quintile of mother's usual residence</w:t>
            </w:r>
          </w:p>
        </w:tc>
      </w:tr>
      <w:tr w:rsidR="00964D50" w:rsidRPr="00D23AFA" w14:paraId="2A644AFF" w14:textId="77777777" w:rsidTr="00B94D3E">
        <w:trPr>
          <w:cantSplit/>
          <w:trHeight w:val="20"/>
        </w:trPr>
        <w:tc>
          <w:tcPr>
            <w:tcW w:w="1322" w:type="pct"/>
            <w:noWrap/>
            <w:vAlign w:val="center"/>
            <w:hideMark/>
          </w:tcPr>
          <w:p w14:paraId="343BECA4"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Q1 - most disadvantaged</w:t>
            </w:r>
          </w:p>
        </w:tc>
        <w:tc>
          <w:tcPr>
            <w:tcW w:w="367" w:type="pct"/>
          </w:tcPr>
          <w:p w14:paraId="79F21FF9" w14:textId="33033625"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tcPr>
          <w:p w14:paraId="58C18FD6" w14:textId="28C0A4C4"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noWrap/>
            <w:vAlign w:val="center"/>
          </w:tcPr>
          <w:p w14:paraId="14B7F2AA"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61.8</w:t>
            </w:r>
          </w:p>
        </w:tc>
        <w:tc>
          <w:tcPr>
            <w:tcW w:w="368" w:type="pct"/>
            <w:noWrap/>
            <w:vAlign w:val="center"/>
          </w:tcPr>
          <w:p w14:paraId="6FE52924"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61.0</w:t>
            </w:r>
          </w:p>
        </w:tc>
        <w:tc>
          <w:tcPr>
            <w:tcW w:w="368" w:type="pct"/>
            <w:noWrap/>
            <w:vAlign w:val="center"/>
          </w:tcPr>
          <w:p w14:paraId="45682B8F"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60.7</w:t>
            </w:r>
          </w:p>
        </w:tc>
        <w:tc>
          <w:tcPr>
            <w:tcW w:w="368" w:type="pct"/>
            <w:noWrap/>
            <w:vAlign w:val="center"/>
          </w:tcPr>
          <w:p w14:paraId="485BF2ED"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60.1</w:t>
            </w:r>
          </w:p>
        </w:tc>
        <w:tc>
          <w:tcPr>
            <w:tcW w:w="368" w:type="pct"/>
            <w:noWrap/>
            <w:vAlign w:val="center"/>
          </w:tcPr>
          <w:p w14:paraId="0A83501C"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59.2</w:t>
            </w:r>
          </w:p>
        </w:tc>
        <w:tc>
          <w:tcPr>
            <w:tcW w:w="368" w:type="pct"/>
            <w:noWrap/>
            <w:vAlign w:val="center"/>
          </w:tcPr>
          <w:p w14:paraId="6AA4E5C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59.0</w:t>
            </w:r>
          </w:p>
        </w:tc>
        <w:tc>
          <w:tcPr>
            <w:tcW w:w="368" w:type="pct"/>
            <w:noWrap/>
            <w:vAlign w:val="center"/>
          </w:tcPr>
          <w:p w14:paraId="530F4E65"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58.0</w:t>
            </w:r>
          </w:p>
        </w:tc>
        <w:tc>
          <w:tcPr>
            <w:tcW w:w="367" w:type="pct"/>
            <w:noWrap/>
            <w:vAlign w:val="center"/>
          </w:tcPr>
          <w:p w14:paraId="0D3F4965"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57.3</w:t>
            </w:r>
          </w:p>
        </w:tc>
      </w:tr>
      <w:tr w:rsidR="00964D50" w:rsidRPr="00D23AFA" w14:paraId="42ED968B" w14:textId="77777777" w:rsidTr="00B94D3E">
        <w:trPr>
          <w:cantSplit/>
          <w:trHeight w:val="20"/>
        </w:trPr>
        <w:tc>
          <w:tcPr>
            <w:tcW w:w="1322" w:type="pct"/>
            <w:noWrap/>
            <w:vAlign w:val="center"/>
            <w:hideMark/>
          </w:tcPr>
          <w:p w14:paraId="649DDF84"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Q2</w:t>
            </w:r>
          </w:p>
        </w:tc>
        <w:tc>
          <w:tcPr>
            <w:tcW w:w="367" w:type="pct"/>
          </w:tcPr>
          <w:p w14:paraId="1794C4B7" w14:textId="1D40FB31"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tcPr>
          <w:p w14:paraId="414B5A53" w14:textId="017DC999"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noWrap/>
            <w:vAlign w:val="center"/>
          </w:tcPr>
          <w:p w14:paraId="02D504B0"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58.0</w:t>
            </w:r>
          </w:p>
        </w:tc>
        <w:tc>
          <w:tcPr>
            <w:tcW w:w="368" w:type="pct"/>
            <w:noWrap/>
            <w:vAlign w:val="center"/>
          </w:tcPr>
          <w:p w14:paraId="412181F2"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57.2</w:t>
            </w:r>
          </w:p>
        </w:tc>
        <w:tc>
          <w:tcPr>
            <w:tcW w:w="368" w:type="pct"/>
            <w:noWrap/>
            <w:vAlign w:val="center"/>
          </w:tcPr>
          <w:p w14:paraId="3D82E8A0"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56.8</w:t>
            </w:r>
          </w:p>
        </w:tc>
        <w:tc>
          <w:tcPr>
            <w:tcW w:w="368" w:type="pct"/>
            <w:noWrap/>
            <w:vAlign w:val="center"/>
          </w:tcPr>
          <w:p w14:paraId="62230615"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56.4</w:t>
            </w:r>
          </w:p>
        </w:tc>
        <w:tc>
          <w:tcPr>
            <w:tcW w:w="368" w:type="pct"/>
            <w:noWrap/>
            <w:vAlign w:val="center"/>
          </w:tcPr>
          <w:p w14:paraId="74AD4A2A"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55.6</w:t>
            </w:r>
          </w:p>
        </w:tc>
        <w:tc>
          <w:tcPr>
            <w:tcW w:w="368" w:type="pct"/>
            <w:noWrap/>
            <w:vAlign w:val="center"/>
          </w:tcPr>
          <w:p w14:paraId="370314BC"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55.2</w:t>
            </w:r>
          </w:p>
        </w:tc>
        <w:tc>
          <w:tcPr>
            <w:tcW w:w="368" w:type="pct"/>
            <w:noWrap/>
            <w:vAlign w:val="center"/>
          </w:tcPr>
          <w:p w14:paraId="0C3F444C"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54.1</w:t>
            </w:r>
          </w:p>
        </w:tc>
        <w:tc>
          <w:tcPr>
            <w:tcW w:w="367" w:type="pct"/>
            <w:noWrap/>
            <w:vAlign w:val="center"/>
          </w:tcPr>
          <w:p w14:paraId="722BBC79"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53.9</w:t>
            </w:r>
          </w:p>
        </w:tc>
      </w:tr>
      <w:tr w:rsidR="00964D50" w:rsidRPr="00D23AFA" w14:paraId="6FAFEF32" w14:textId="77777777" w:rsidTr="00B94D3E">
        <w:trPr>
          <w:cantSplit/>
          <w:trHeight w:val="20"/>
        </w:trPr>
        <w:tc>
          <w:tcPr>
            <w:tcW w:w="1322" w:type="pct"/>
            <w:noWrap/>
            <w:vAlign w:val="center"/>
            <w:hideMark/>
          </w:tcPr>
          <w:p w14:paraId="2FB52B5D"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Q3</w:t>
            </w:r>
          </w:p>
        </w:tc>
        <w:tc>
          <w:tcPr>
            <w:tcW w:w="367" w:type="pct"/>
          </w:tcPr>
          <w:p w14:paraId="544D5298" w14:textId="60F140CB"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tcPr>
          <w:p w14:paraId="356679D2" w14:textId="51ABB69E"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noWrap/>
            <w:vAlign w:val="center"/>
          </w:tcPr>
          <w:p w14:paraId="375C36A5"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55.3</w:t>
            </w:r>
          </w:p>
        </w:tc>
        <w:tc>
          <w:tcPr>
            <w:tcW w:w="368" w:type="pct"/>
            <w:noWrap/>
            <w:vAlign w:val="center"/>
          </w:tcPr>
          <w:p w14:paraId="67A92B1C"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54.6</w:t>
            </w:r>
          </w:p>
        </w:tc>
        <w:tc>
          <w:tcPr>
            <w:tcW w:w="368" w:type="pct"/>
            <w:noWrap/>
            <w:vAlign w:val="center"/>
          </w:tcPr>
          <w:p w14:paraId="5FE7C2D6"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53.9</w:t>
            </w:r>
          </w:p>
        </w:tc>
        <w:tc>
          <w:tcPr>
            <w:tcW w:w="368" w:type="pct"/>
            <w:noWrap/>
            <w:vAlign w:val="center"/>
          </w:tcPr>
          <w:p w14:paraId="592A7AA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53.6</w:t>
            </w:r>
          </w:p>
        </w:tc>
        <w:tc>
          <w:tcPr>
            <w:tcW w:w="368" w:type="pct"/>
            <w:noWrap/>
            <w:vAlign w:val="center"/>
          </w:tcPr>
          <w:p w14:paraId="4DAF9276"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53.3</w:t>
            </w:r>
          </w:p>
        </w:tc>
        <w:tc>
          <w:tcPr>
            <w:tcW w:w="368" w:type="pct"/>
            <w:noWrap/>
            <w:vAlign w:val="center"/>
          </w:tcPr>
          <w:p w14:paraId="63928B2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52.4</w:t>
            </w:r>
          </w:p>
        </w:tc>
        <w:tc>
          <w:tcPr>
            <w:tcW w:w="368" w:type="pct"/>
            <w:noWrap/>
            <w:vAlign w:val="center"/>
          </w:tcPr>
          <w:p w14:paraId="07F0A87E"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51.9</w:t>
            </w:r>
          </w:p>
        </w:tc>
        <w:tc>
          <w:tcPr>
            <w:tcW w:w="367" w:type="pct"/>
            <w:noWrap/>
            <w:vAlign w:val="center"/>
          </w:tcPr>
          <w:p w14:paraId="367C9708"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51.2</w:t>
            </w:r>
          </w:p>
        </w:tc>
      </w:tr>
      <w:tr w:rsidR="00964D50" w:rsidRPr="00D23AFA" w14:paraId="0ED35B9A" w14:textId="77777777" w:rsidTr="00B94D3E">
        <w:trPr>
          <w:cantSplit/>
          <w:trHeight w:val="20"/>
        </w:trPr>
        <w:tc>
          <w:tcPr>
            <w:tcW w:w="1322" w:type="pct"/>
            <w:noWrap/>
            <w:vAlign w:val="center"/>
            <w:hideMark/>
          </w:tcPr>
          <w:p w14:paraId="4B784D05"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Q4</w:t>
            </w:r>
          </w:p>
        </w:tc>
        <w:tc>
          <w:tcPr>
            <w:tcW w:w="367" w:type="pct"/>
          </w:tcPr>
          <w:p w14:paraId="612F9C65" w14:textId="224F9C37"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tcPr>
          <w:p w14:paraId="7A8FB7E3" w14:textId="4389A28B"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noWrap/>
            <w:vAlign w:val="center"/>
          </w:tcPr>
          <w:p w14:paraId="768E8090"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52.2</w:t>
            </w:r>
          </w:p>
        </w:tc>
        <w:tc>
          <w:tcPr>
            <w:tcW w:w="368" w:type="pct"/>
            <w:noWrap/>
            <w:vAlign w:val="center"/>
          </w:tcPr>
          <w:p w14:paraId="53E71351"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51.4</w:t>
            </w:r>
          </w:p>
        </w:tc>
        <w:tc>
          <w:tcPr>
            <w:tcW w:w="368" w:type="pct"/>
            <w:noWrap/>
            <w:vAlign w:val="center"/>
          </w:tcPr>
          <w:p w14:paraId="62DCDFC4"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51.4</w:t>
            </w:r>
          </w:p>
        </w:tc>
        <w:tc>
          <w:tcPr>
            <w:tcW w:w="368" w:type="pct"/>
            <w:noWrap/>
            <w:vAlign w:val="center"/>
          </w:tcPr>
          <w:p w14:paraId="4E815E22"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51.2</w:t>
            </w:r>
          </w:p>
        </w:tc>
        <w:tc>
          <w:tcPr>
            <w:tcW w:w="368" w:type="pct"/>
            <w:noWrap/>
            <w:vAlign w:val="center"/>
          </w:tcPr>
          <w:p w14:paraId="540528D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50.4</w:t>
            </w:r>
          </w:p>
        </w:tc>
        <w:tc>
          <w:tcPr>
            <w:tcW w:w="368" w:type="pct"/>
            <w:noWrap/>
            <w:vAlign w:val="center"/>
          </w:tcPr>
          <w:p w14:paraId="64FC04C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49.9</w:t>
            </w:r>
          </w:p>
        </w:tc>
        <w:tc>
          <w:tcPr>
            <w:tcW w:w="368" w:type="pct"/>
            <w:noWrap/>
            <w:vAlign w:val="center"/>
          </w:tcPr>
          <w:p w14:paraId="334F8C1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49.3</w:t>
            </w:r>
          </w:p>
        </w:tc>
        <w:tc>
          <w:tcPr>
            <w:tcW w:w="367" w:type="pct"/>
            <w:noWrap/>
            <w:vAlign w:val="center"/>
          </w:tcPr>
          <w:p w14:paraId="0DBD8993"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48.3</w:t>
            </w:r>
          </w:p>
        </w:tc>
      </w:tr>
      <w:tr w:rsidR="00964D50" w:rsidRPr="00D23AFA" w14:paraId="0F5CCA27" w14:textId="77777777" w:rsidTr="00B94D3E">
        <w:trPr>
          <w:cantSplit/>
          <w:trHeight w:val="20"/>
        </w:trPr>
        <w:tc>
          <w:tcPr>
            <w:tcW w:w="1322" w:type="pct"/>
            <w:noWrap/>
            <w:vAlign w:val="center"/>
            <w:hideMark/>
          </w:tcPr>
          <w:p w14:paraId="5D6DD752" w14:textId="77777777" w:rsidR="00963C0F" w:rsidRPr="00D23AFA" w:rsidRDefault="00963C0F" w:rsidP="00963C0F">
            <w:pPr>
              <w:ind w:firstLineChars="100" w:firstLine="200"/>
              <w:rPr>
                <w:rFonts w:cstheme="minorHAnsi"/>
                <w:color w:val="000000"/>
                <w:sz w:val="20"/>
                <w:szCs w:val="20"/>
              </w:rPr>
            </w:pPr>
            <w:r w:rsidRPr="00D23AFA">
              <w:rPr>
                <w:rFonts w:cstheme="minorHAnsi"/>
                <w:color w:val="000000"/>
                <w:sz w:val="20"/>
                <w:szCs w:val="20"/>
              </w:rPr>
              <w:t>Q5 - least disadvantaged</w:t>
            </w:r>
          </w:p>
        </w:tc>
        <w:tc>
          <w:tcPr>
            <w:tcW w:w="367" w:type="pct"/>
          </w:tcPr>
          <w:p w14:paraId="59EA3D5A" w14:textId="2BDF18A1"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tcPr>
          <w:p w14:paraId="0A409A5D" w14:textId="122D76F4" w:rsidR="00963C0F" w:rsidRPr="008169B3" w:rsidRDefault="00963C0F" w:rsidP="00963C0F">
            <w:pPr>
              <w:jc w:val="right"/>
              <w:rPr>
                <w:rFonts w:cstheme="minorHAnsi"/>
                <w:color w:val="000000"/>
                <w:sz w:val="20"/>
                <w:szCs w:val="20"/>
              </w:rPr>
            </w:pPr>
            <w:r w:rsidRPr="00FD064B">
              <w:rPr>
                <w:rFonts w:cstheme="minorHAnsi"/>
                <w:color w:val="000000"/>
                <w:sz w:val="20"/>
                <w:szCs w:val="20"/>
              </w:rPr>
              <w:t>n.a.</w:t>
            </w:r>
          </w:p>
        </w:tc>
        <w:tc>
          <w:tcPr>
            <w:tcW w:w="368" w:type="pct"/>
            <w:noWrap/>
            <w:vAlign w:val="center"/>
          </w:tcPr>
          <w:p w14:paraId="6B6E8E24"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49.5</w:t>
            </w:r>
          </w:p>
        </w:tc>
        <w:tc>
          <w:tcPr>
            <w:tcW w:w="368" w:type="pct"/>
            <w:noWrap/>
            <w:vAlign w:val="center"/>
          </w:tcPr>
          <w:p w14:paraId="0B4FE94D"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49.1</w:t>
            </w:r>
          </w:p>
        </w:tc>
        <w:tc>
          <w:tcPr>
            <w:tcW w:w="368" w:type="pct"/>
            <w:noWrap/>
            <w:vAlign w:val="center"/>
          </w:tcPr>
          <w:p w14:paraId="13B5E9F2"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48.8</w:t>
            </w:r>
          </w:p>
        </w:tc>
        <w:tc>
          <w:tcPr>
            <w:tcW w:w="368" w:type="pct"/>
            <w:noWrap/>
            <w:vAlign w:val="center"/>
          </w:tcPr>
          <w:p w14:paraId="44DC9A84"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49.3</w:t>
            </w:r>
          </w:p>
        </w:tc>
        <w:tc>
          <w:tcPr>
            <w:tcW w:w="368" w:type="pct"/>
            <w:noWrap/>
            <w:vAlign w:val="center"/>
          </w:tcPr>
          <w:p w14:paraId="5E209D3B"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48.5</w:t>
            </w:r>
          </w:p>
        </w:tc>
        <w:tc>
          <w:tcPr>
            <w:tcW w:w="368" w:type="pct"/>
            <w:noWrap/>
            <w:vAlign w:val="center"/>
          </w:tcPr>
          <w:p w14:paraId="243CD420"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47.1</w:t>
            </w:r>
          </w:p>
        </w:tc>
        <w:tc>
          <w:tcPr>
            <w:tcW w:w="368" w:type="pct"/>
            <w:noWrap/>
            <w:vAlign w:val="center"/>
          </w:tcPr>
          <w:p w14:paraId="4CA2947C"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46.6</w:t>
            </w:r>
          </w:p>
        </w:tc>
        <w:tc>
          <w:tcPr>
            <w:tcW w:w="367" w:type="pct"/>
            <w:noWrap/>
            <w:vAlign w:val="center"/>
          </w:tcPr>
          <w:p w14:paraId="1427301E" w14:textId="77777777" w:rsidR="00963C0F" w:rsidRPr="00D23AFA" w:rsidRDefault="00963C0F" w:rsidP="00963C0F">
            <w:pPr>
              <w:jc w:val="right"/>
              <w:rPr>
                <w:rFonts w:cstheme="minorHAnsi"/>
                <w:color w:val="000000"/>
                <w:sz w:val="20"/>
                <w:szCs w:val="20"/>
              </w:rPr>
            </w:pPr>
            <w:r w:rsidRPr="008169B3">
              <w:rPr>
                <w:rFonts w:cstheme="minorHAnsi"/>
                <w:color w:val="000000"/>
                <w:sz w:val="20"/>
                <w:szCs w:val="20"/>
              </w:rPr>
              <w:t>45.9</w:t>
            </w:r>
          </w:p>
        </w:tc>
      </w:tr>
      <w:tr w:rsidR="004468D9" w:rsidRPr="00EB1AF3" w14:paraId="31BB7CB4" w14:textId="77777777" w:rsidTr="00B94D3E">
        <w:trPr>
          <w:cantSplit/>
          <w:trHeight w:val="20"/>
        </w:trPr>
        <w:tc>
          <w:tcPr>
            <w:tcW w:w="5000" w:type="pct"/>
            <w:gridSpan w:val="11"/>
            <w:noWrap/>
            <w:vAlign w:val="center"/>
            <w:hideMark/>
          </w:tcPr>
          <w:p w14:paraId="03D4A817" w14:textId="5DD10104" w:rsidR="004468D9" w:rsidRPr="00D23AFA" w:rsidRDefault="004468D9" w:rsidP="00B94D3E">
            <w:pPr>
              <w:rPr>
                <w:rFonts w:cstheme="minorHAnsi"/>
                <w:b/>
                <w:bCs/>
                <w:sz w:val="20"/>
                <w:szCs w:val="20"/>
              </w:rPr>
            </w:pPr>
            <w:r w:rsidRPr="00D23AFA">
              <w:rPr>
                <w:rFonts w:cstheme="minorHAnsi"/>
                <w:b/>
                <w:bCs/>
                <w:color w:val="000000"/>
                <w:sz w:val="20"/>
                <w:szCs w:val="20"/>
              </w:rPr>
              <w:t>Hospital sector</w:t>
            </w:r>
          </w:p>
        </w:tc>
      </w:tr>
      <w:tr w:rsidR="00964D50" w:rsidRPr="00D23AFA" w14:paraId="29A5F550" w14:textId="77777777" w:rsidTr="00B94D3E">
        <w:trPr>
          <w:cantSplit/>
          <w:trHeight w:val="20"/>
        </w:trPr>
        <w:tc>
          <w:tcPr>
            <w:tcW w:w="1322" w:type="pct"/>
            <w:noWrap/>
            <w:vAlign w:val="center"/>
            <w:hideMark/>
          </w:tcPr>
          <w:p w14:paraId="00ABDCB0"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Private</w:t>
            </w:r>
          </w:p>
        </w:tc>
        <w:tc>
          <w:tcPr>
            <w:tcW w:w="367" w:type="pct"/>
            <w:vAlign w:val="center"/>
          </w:tcPr>
          <w:p w14:paraId="5C3DF080"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42.5</w:t>
            </w:r>
          </w:p>
        </w:tc>
        <w:tc>
          <w:tcPr>
            <w:tcW w:w="368" w:type="pct"/>
            <w:vAlign w:val="center"/>
          </w:tcPr>
          <w:p w14:paraId="4F4050EB"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41.9</w:t>
            </w:r>
          </w:p>
        </w:tc>
        <w:tc>
          <w:tcPr>
            <w:tcW w:w="368" w:type="pct"/>
            <w:noWrap/>
            <w:vAlign w:val="center"/>
          </w:tcPr>
          <w:p w14:paraId="716D145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41.0</w:t>
            </w:r>
          </w:p>
        </w:tc>
        <w:tc>
          <w:tcPr>
            <w:tcW w:w="368" w:type="pct"/>
            <w:noWrap/>
            <w:vAlign w:val="center"/>
          </w:tcPr>
          <w:p w14:paraId="00B17C8A"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40.8</w:t>
            </w:r>
          </w:p>
        </w:tc>
        <w:tc>
          <w:tcPr>
            <w:tcW w:w="368" w:type="pct"/>
            <w:noWrap/>
            <w:vAlign w:val="center"/>
          </w:tcPr>
          <w:p w14:paraId="3403593B"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40.1</w:t>
            </w:r>
          </w:p>
        </w:tc>
        <w:tc>
          <w:tcPr>
            <w:tcW w:w="368" w:type="pct"/>
            <w:noWrap/>
            <w:vAlign w:val="center"/>
          </w:tcPr>
          <w:p w14:paraId="7F82EE85"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39.7</w:t>
            </w:r>
          </w:p>
        </w:tc>
        <w:tc>
          <w:tcPr>
            <w:tcW w:w="368" w:type="pct"/>
            <w:noWrap/>
            <w:vAlign w:val="center"/>
          </w:tcPr>
          <w:p w14:paraId="5D055199"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38.8</w:t>
            </w:r>
          </w:p>
        </w:tc>
        <w:tc>
          <w:tcPr>
            <w:tcW w:w="368" w:type="pct"/>
            <w:noWrap/>
            <w:vAlign w:val="center"/>
          </w:tcPr>
          <w:p w14:paraId="301844C2"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38.1</w:t>
            </w:r>
          </w:p>
        </w:tc>
        <w:tc>
          <w:tcPr>
            <w:tcW w:w="368" w:type="pct"/>
            <w:noWrap/>
            <w:vAlign w:val="center"/>
          </w:tcPr>
          <w:p w14:paraId="2E1288B7"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38.1</w:t>
            </w:r>
          </w:p>
        </w:tc>
        <w:tc>
          <w:tcPr>
            <w:tcW w:w="367" w:type="pct"/>
            <w:noWrap/>
            <w:vAlign w:val="center"/>
          </w:tcPr>
          <w:p w14:paraId="18139DD7"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37.0</w:t>
            </w:r>
          </w:p>
        </w:tc>
      </w:tr>
      <w:tr w:rsidR="00964D50" w:rsidRPr="00D23AFA" w14:paraId="7D2BB998" w14:textId="77777777" w:rsidTr="00B94D3E">
        <w:trPr>
          <w:cantSplit/>
          <w:trHeight w:val="20"/>
        </w:trPr>
        <w:tc>
          <w:tcPr>
            <w:tcW w:w="1322" w:type="pct"/>
            <w:noWrap/>
            <w:vAlign w:val="center"/>
            <w:hideMark/>
          </w:tcPr>
          <w:p w14:paraId="5EC0C697" w14:textId="77777777" w:rsidR="00963C0F" w:rsidRPr="00D23AFA" w:rsidRDefault="00963C0F" w:rsidP="00AF0ADF">
            <w:pPr>
              <w:ind w:firstLineChars="100" w:firstLine="200"/>
              <w:rPr>
                <w:rFonts w:cstheme="minorHAnsi"/>
                <w:color w:val="000000"/>
                <w:sz w:val="20"/>
                <w:szCs w:val="20"/>
              </w:rPr>
            </w:pPr>
            <w:r w:rsidRPr="00D23AFA">
              <w:rPr>
                <w:rFonts w:cstheme="minorHAnsi"/>
                <w:color w:val="000000"/>
                <w:sz w:val="20"/>
                <w:szCs w:val="20"/>
              </w:rPr>
              <w:t>Public</w:t>
            </w:r>
          </w:p>
        </w:tc>
        <w:tc>
          <w:tcPr>
            <w:tcW w:w="367" w:type="pct"/>
            <w:vAlign w:val="center"/>
          </w:tcPr>
          <w:p w14:paraId="248F8877"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60.3</w:t>
            </w:r>
          </w:p>
        </w:tc>
        <w:tc>
          <w:tcPr>
            <w:tcW w:w="368" w:type="pct"/>
            <w:vAlign w:val="center"/>
          </w:tcPr>
          <w:p w14:paraId="31730F81" w14:textId="77777777" w:rsidR="00963C0F" w:rsidRPr="008169B3" w:rsidRDefault="00963C0F" w:rsidP="00AF0ADF">
            <w:pPr>
              <w:jc w:val="right"/>
              <w:rPr>
                <w:rFonts w:cstheme="minorHAnsi"/>
                <w:color w:val="000000"/>
                <w:sz w:val="20"/>
                <w:szCs w:val="20"/>
              </w:rPr>
            </w:pPr>
            <w:r w:rsidRPr="008169B3">
              <w:rPr>
                <w:rFonts w:cstheme="minorHAnsi"/>
                <w:color w:val="000000"/>
                <w:sz w:val="20"/>
                <w:szCs w:val="20"/>
              </w:rPr>
              <w:t>59.3</w:t>
            </w:r>
          </w:p>
        </w:tc>
        <w:tc>
          <w:tcPr>
            <w:tcW w:w="368" w:type="pct"/>
            <w:noWrap/>
            <w:vAlign w:val="center"/>
          </w:tcPr>
          <w:p w14:paraId="26268C46"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59.1</w:t>
            </w:r>
          </w:p>
        </w:tc>
        <w:tc>
          <w:tcPr>
            <w:tcW w:w="368" w:type="pct"/>
            <w:noWrap/>
            <w:vAlign w:val="center"/>
          </w:tcPr>
          <w:p w14:paraId="2FE02D0D"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58.7</w:t>
            </w:r>
          </w:p>
        </w:tc>
        <w:tc>
          <w:tcPr>
            <w:tcW w:w="368" w:type="pct"/>
            <w:noWrap/>
            <w:vAlign w:val="center"/>
          </w:tcPr>
          <w:p w14:paraId="462D1A79"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58.3</w:t>
            </w:r>
          </w:p>
        </w:tc>
        <w:tc>
          <w:tcPr>
            <w:tcW w:w="368" w:type="pct"/>
            <w:noWrap/>
            <w:vAlign w:val="center"/>
          </w:tcPr>
          <w:p w14:paraId="4B5D6A20"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58.0</w:t>
            </w:r>
          </w:p>
        </w:tc>
        <w:tc>
          <w:tcPr>
            <w:tcW w:w="368" w:type="pct"/>
            <w:noWrap/>
            <w:vAlign w:val="center"/>
          </w:tcPr>
          <w:p w14:paraId="59BD231E"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57.1</w:t>
            </w:r>
          </w:p>
        </w:tc>
        <w:tc>
          <w:tcPr>
            <w:tcW w:w="368" w:type="pct"/>
            <w:noWrap/>
            <w:vAlign w:val="center"/>
          </w:tcPr>
          <w:p w14:paraId="47F91967"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55.9</w:t>
            </w:r>
          </w:p>
        </w:tc>
        <w:tc>
          <w:tcPr>
            <w:tcW w:w="368" w:type="pct"/>
            <w:noWrap/>
            <w:vAlign w:val="center"/>
          </w:tcPr>
          <w:p w14:paraId="3A5066A6"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54.5</w:t>
            </w:r>
          </w:p>
        </w:tc>
        <w:tc>
          <w:tcPr>
            <w:tcW w:w="367" w:type="pct"/>
            <w:noWrap/>
            <w:vAlign w:val="center"/>
          </w:tcPr>
          <w:p w14:paraId="397ECD2A" w14:textId="77777777" w:rsidR="00963C0F" w:rsidRPr="00D23AFA" w:rsidRDefault="00963C0F" w:rsidP="00AF0ADF">
            <w:pPr>
              <w:jc w:val="right"/>
              <w:rPr>
                <w:rFonts w:cstheme="minorHAnsi"/>
                <w:color w:val="000000"/>
                <w:sz w:val="20"/>
                <w:szCs w:val="20"/>
              </w:rPr>
            </w:pPr>
            <w:r w:rsidRPr="008169B3">
              <w:rPr>
                <w:rFonts w:cstheme="minorHAnsi"/>
                <w:color w:val="000000"/>
                <w:sz w:val="20"/>
                <w:szCs w:val="20"/>
              </w:rPr>
              <w:t>54.0</w:t>
            </w:r>
          </w:p>
        </w:tc>
      </w:tr>
    </w:tbl>
    <w:p w14:paraId="7736D6F9" w14:textId="0AC2DAD2" w:rsidR="00963C0F" w:rsidRPr="007667EF" w:rsidRDefault="00963C0F" w:rsidP="00963C0F">
      <w:pPr>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9C3E6A">
        <w:rPr>
          <w:sz w:val="18"/>
          <w:szCs w:val="18"/>
        </w:rPr>
        <w:t>.</w:t>
      </w:r>
    </w:p>
    <w:p w14:paraId="67E3BA53" w14:textId="77777777" w:rsidR="00B94D3E" w:rsidRDefault="00B94D3E" w:rsidP="00940A8B">
      <w:pPr>
        <w:ind w:left="360" w:hanging="360"/>
        <w:rPr>
          <w:b/>
          <w:sz w:val="18"/>
          <w:szCs w:val="18"/>
        </w:rPr>
      </w:pPr>
    </w:p>
    <w:p w14:paraId="5782AA17" w14:textId="7C230E2C" w:rsidR="00940A8B" w:rsidRPr="00B94D3E" w:rsidRDefault="00940A8B" w:rsidP="00940A8B">
      <w:pPr>
        <w:ind w:left="360" w:hanging="360"/>
        <w:rPr>
          <w:b/>
          <w:sz w:val="18"/>
          <w:szCs w:val="18"/>
        </w:rPr>
      </w:pPr>
      <w:r w:rsidRPr="00B94D3E">
        <w:rPr>
          <w:b/>
          <w:sz w:val="18"/>
          <w:szCs w:val="18"/>
        </w:rPr>
        <w:t>Data notes</w:t>
      </w:r>
    </w:p>
    <w:p w14:paraId="5E94F5B3" w14:textId="77777777" w:rsidR="00AF0ADF" w:rsidRPr="007667EF" w:rsidRDefault="00AF0ADF" w:rsidP="008D3FB5">
      <w:pPr>
        <w:pStyle w:val="pf0"/>
        <w:numPr>
          <w:ilvl w:val="0"/>
          <w:numId w:val="28"/>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For multiple births, the method of birth of the first-born baby was used.</w:t>
      </w:r>
    </w:p>
    <w:p w14:paraId="67C05819" w14:textId="77777777" w:rsidR="00AF0ADF" w:rsidRPr="007667EF" w:rsidRDefault="00AF0ADF" w:rsidP="008D3FB5">
      <w:pPr>
        <w:pStyle w:val="pf0"/>
        <w:numPr>
          <w:ilvl w:val="0"/>
          <w:numId w:val="28"/>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Country of birth (mother): Prior to 2012, data were mapped to the ABS 2008 Standard Australian Classification of Countries (SACC). Between 2012 and 2016, data were mapped to the ABS 2011 SACC. From 2017, data were mapped to the ABS 2016 SACC, with the exception of Qld which used the ABS 2011 SACC until 30 June 2017.</w:t>
      </w:r>
    </w:p>
    <w:p w14:paraId="5900957E" w14:textId="77777777" w:rsidR="00AF0ADF" w:rsidRPr="007667EF" w:rsidRDefault="00AF0ADF" w:rsidP="008D3FB5">
      <w:pPr>
        <w:pStyle w:val="pf0"/>
        <w:numPr>
          <w:ilvl w:val="0"/>
          <w:numId w:val="28"/>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Hospital sector: Includes women who gave birth in hospital only (excludes birth centres attached to hospitals).</w:t>
      </w:r>
    </w:p>
    <w:p w14:paraId="0673D785" w14:textId="77777777" w:rsidR="00AF0ADF" w:rsidRPr="007667EF" w:rsidRDefault="00AF0ADF" w:rsidP="008D3FB5">
      <w:pPr>
        <w:pStyle w:val="pf0"/>
        <w:numPr>
          <w:ilvl w:val="0"/>
          <w:numId w:val="28"/>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Indigenous status (mother, age-standardised): Percentages are directly age-standardised using the 30 June 2001 Australian female Estimated Resident Population (ERP) aged 15–44 as the standard population. Five-year age groups are used for age-standardisation. The lowest age group was 15–19 years and the highest was 40–44 years.</w:t>
      </w:r>
    </w:p>
    <w:p w14:paraId="251FCD81" w14:textId="77777777" w:rsidR="00AF0ADF" w:rsidRPr="007667EF" w:rsidRDefault="00AF0ADF" w:rsidP="008D3FB5">
      <w:pPr>
        <w:pStyle w:val="pf0"/>
        <w:numPr>
          <w:ilvl w:val="0"/>
          <w:numId w:val="28"/>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Remoteness area: 1. Between 2012 and 2016, Remoteness area derived by applying ABS 2011 Australian Statistical Geography Standard (ASGS) to area of mother’s usual residence. From 2017, Remoteness area derived by applying ABS 2016 ASGS. Remoteness area only calculated where geographic area of usual residence was provided. Excludes mothers not usually resident in Australia and those whose state or territory of usual residence was ‘Not stated’. 2. Data may not add to the total due to rounding.</w:t>
      </w:r>
    </w:p>
    <w:p w14:paraId="586861F6" w14:textId="77777777" w:rsidR="00962D67" w:rsidRPr="00962D67" w:rsidRDefault="00AF0ADF" w:rsidP="008D3FB5">
      <w:pPr>
        <w:pStyle w:val="pf0"/>
        <w:numPr>
          <w:ilvl w:val="0"/>
          <w:numId w:val="28"/>
        </w:numPr>
        <w:spacing w:before="0" w:beforeAutospacing="0" w:after="0" w:afterAutospacing="0"/>
        <w:ind w:left="284" w:hanging="284"/>
        <w:rPr>
          <w:sz w:val="18"/>
          <w:szCs w:val="18"/>
        </w:rPr>
      </w:pPr>
      <w:r w:rsidRPr="007667EF">
        <w:rPr>
          <w:rFonts w:asciiTheme="minorHAnsi" w:hAnsiTheme="minorHAnsi"/>
          <w:sz w:val="18"/>
          <w:szCs w:val="18"/>
        </w:rPr>
        <w:t>Socioeconomic status: Between 2012 and 2016, Socioeconomic status derived by applying ABS 2011 Socio-Economic Indexes for Areas Index of Relative Socio-economic Disadvantage (SEIFA IRSD) to area of mother's usual residence. From 2017, socioeconomic status derived by applying ABS 2016 SEIFA IRSD. Socioeconomic status only calculated where geographic area of usual residence was provided. Excludes mothers not usually resident in Australia and those whose state or territory of usual residence was ‘Not stated’.</w:t>
      </w:r>
    </w:p>
    <w:p w14:paraId="3F3F26FE" w14:textId="0DA04449" w:rsidR="00962D67" w:rsidRPr="00962D67" w:rsidRDefault="00962D67" w:rsidP="008D3FB5">
      <w:pPr>
        <w:pStyle w:val="pf0"/>
        <w:numPr>
          <w:ilvl w:val="0"/>
          <w:numId w:val="28"/>
        </w:numPr>
        <w:spacing w:before="0" w:beforeAutospacing="0" w:after="0" w:afterAutospacing="0"/>
        <w:ind w:left="284" w:hanging="284"/>
        <w:rPr>
          <w:sz w:val="18"/>
          <w:szCs w:val="18"/>
        </w:rPr>
      </w:pPr>
      <w:r w:rsidRPr="00962D67">
        <w:rPr>
          <w:rFonts w:asciiTheme="minorHAnsi" w:hAnsiTheme="minorHAnsi"/>
          <w:sz w:val="18"/>
          <w:szCs w:val="18"/>
        </w:rPr>
        <w:t>Source: AIHW analysis of National Perinatal Data Collection. National Perinatal Data Collection annual update 2020—data tables</w:t>
      </w:r>
    </w:p>
    <w:p w14:paraId="7F8A15D5" w14:textId="77777777" w:rsidR="00940A8B" w:rsidRDefault="00940A8B" w:rsidP="00B94D3E">
      <w:bookmarkStart w:id="430" w:name="_Ref117126320"/>
      <w:r>
        <w:br w:type="page"/>
      </w:r>
    </w:p>
    <w:p w14:paraId="012EB8B8" w14:textId="5364DE17" w:rsidR="00AF0ADF" w:rsidRPr="0054118D" w:rsidRDefault="00AF0ADF" w:rsidP="00AF0ADF">
      <w:pPr>
        <w:pStyle w:val="Caption"/>
        <w:rPr>
          <w:sz w:val="20"/>
          <w:szCs w:val="20"/>
        </w:rPr>
      </w:pPr>
      <w:bookmarkStart w:id="431" w:name="_Toc121429196"/>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20</w:t>
      </w:r>
      <w:r w:rsidR="00A64FC5" w:rsidRPr="0054118D">
        <w:rPr>
          <w:noProof/>
          <w:sz w:val="20"/>
          <w:szCs w:val="20"/>
        </w:rPr>
        <w:fldChar w:fldCharType="end"/>
      </w:r>
      <w:bookmarkEnd w:id="430"/>
      <w:r w:rsidRPr="0054118D">
        <w:rPr>
          <w:sz w:val="20"/>
          <w:szCs w:val="20"/>
        </w:rPr>
        <w:tab/>
        <w:t>Instrumental vaginal birth, 2010–20</w:t>
      </w:r>
      <w:r w:rsidR="005809B7" w:rsidRPr="0054118D">
        <w:rPr>
          <w:sz w:val="20"/>
          <w:szCs w:val="20"/>
        </w:rPr>
        <w:t>19</w:t>
      </w:r>
      <w:bookmarkEnd w:id="431"/>
    </w:p>
    <w:tbl>
      <w:tblPr>
        <w:tblStyle w:val="TableGrid"/>
        <w:tblW w:w="4647" w:type="pct"/>
        <w:tblLayout w:type="fixed"/>
        <w:tblLook w:val="04A0" w:firstRow="1" w:lastRow="0" w:firstColumn="1" w:lastColumn="0" w:noHBand="0" w:noVBand="1"/>
      </w:tblPr>
      <w:tblGrid>
        <w:gridCol w:w="2221"/>
        <w:gridCol w:w="693"/>
        <w:gridCol w:w="692"/>
        <w:gridCol w:w="692"/>
        <w:gridCol w:w="692"/>
        <w:gridCol w:w="692"/>
        <w:gridCol w:w="692"/>
        <w:gridCol w:w="692"/>
        <w:gridCol w:w="691"/>
        <w:gridCol w:w="702"/>
        <w:gridCol w:w="700"/>
      </w:tblGrid>
      <w:tr w:rsidR="005809B7" w:rsidRPr="00EB1AF3" w14:paraId="6C3C4398" w14:textId="77777777" w:rsidTr="00B94D3E">
        <w:trPr>
          <w:cantSplit/>
          <w:trHeight w:val="20"/>
          <w:tblHeader/>
        </w:trPr>
        <w:tc>
          <w:tcPr>
            <w:tcW w:w="1212" w:type="pct"/>
            <w:noWrap/>
            <w:vAlign w:val="center"/>
            <w:hideMark/>
          </w:tcPr>
          <w:p w14:paraId="78711912" w14:textId="77777777" w:rsidR="005809B7" w:rsidRPr="002A2C7D" w:rsidRDefault="005809B7" w:rsidP="00AF0ADF">
            <w:pPr>
              <w:ind w:firstLineChars="100" w:firstLine="201"/>
              <w:rPr>
                <w:rFonts w:cstheme="minorHAnsi"/>
                <w:b/>
                <w:bCs/>
                <w:color w:val="000000"/>
                <w:sz w:val="20"/>
                <w:szCs w:val="20"/>
              </w:rPr>
            </w:pPr>
          </w:p>
        </w:tc>
        <w:tc>
          <w:tcPr>
            <w:tcW w:w="378" w:type="pct"/>
            <w:vAlign w:val="center"/>
          </w:tcPr>
          <w:p w14:paraId="25DBCA84"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2010</w:t>
            </w:r>
          </w:p>
        </w:tc>
        <w:tc>
          <w:tcPr>
            <w:tcW w:w="378" w:type="pct"/>
            <w:vAlign w:val="center"/>
          </w:tcPr>
          <w:p w14:paraId="7BF4FC72"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2011</w:t>
            </w:r>
          </w:p>
        </w:tc>
        <w:tc>
          <w:tcPr>
            <w:tcW w:w="378" w:type="pct"/>
            <w:noWrap/>
            <w:vAlign w:val="center"/>
            <w:hideMark/>
          </w:tcPr>
          <w:p w14:paraId="0085A119"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2012</w:t>
            </w:r>
          </w:p>
        </w:tc>
        <w:tc>
          <w:tcPr>
            <w:tcW w:w="378" w:type="pct"/>
            <w:noWrap/>
            <w:vAlign w:val="center"/>
            <w:hideMark/>
          </w:tcPr>
          <w:p w14:paraId="2181DCFA"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2013</w:t>
            </w:r>
          </w:p>
        </w:tc>
        <w:tc>
          <w:tcPr>
            <w:tcW w:w="378" w:type="pct"/>
            <w:noWrap/>
            <w:vAlign w:val="center"/>
            <w:hideMark/>
          </w:tcPr>
          <w:p w14:paraId="0E0732B3"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2014</w:t>
            </w:r>
          </w:p>
        </w:tc>
        <w:tc>
          <w:tcPr>
            <w:tcW w:w="378" w:type="pct"/>
            <w:noWrap/>
            <w:vAlign w:val="center"/>
            <w:hideMark/>
          </w:tcPr>
          <w:p w14:paraId="4530ADC5"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2015</w:t>
            </w:r>
          </w:p>
        </w:tc>
        <w:tc>
          <w:tcPr>
            <w:tcW w:w="378" w:type="pct"/>
            <w:noWrap/>
            <w:vAlign w:val="center"/>
            <w:hideMark/>
          </w:tcPr>
          <w:p w14:paraId="77872B41"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2016</w:t>
            </w:r>
          </w:p>
        </w:tc>
        <w:tc>
          <w:tcPr>
            <w:tcW w:w="377" w:type="pct"/>
            <w:noWrap/>
            <w:vAlign w:val="center"/>
            <w:hideMark/>
          </w:tcPr>
          <w:p w14:paraId="1793461D"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2017</w:t>
            </w:r>
          </w:p>
        </w:tc>
        <w:tc>
          <w:tcPr>
            <w:tcW w:w="383" w:type="pct"/>
            <w:noWrap/>
            <w:vAlign w:val="center"/>
            <w:hideMark/>
          </w:tcPr>
          <w:p w14:paraId="07F596C9"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2018</w:t>
            </w:r>
          </w:p>
        </w:tc>
        <w:tc>
          <w:tcPr>
            <w:tcW w:w="382" w:type="pct"/>
            <w:noWrap/>
            <w:vAlign w:val="center"/>
            <w:hideMark/>
          </w:tcPr>
          <w:p w14:paraId="73A66519" w14:textId="77777777" w:rsidR="005809B7" w:rsidRPr="002A2C7D" w:rsidRDefault="005809B7" w:rsidP="00B94D3E">
            <w:pPr>
              <w:jc w:val="center"/>
              <w:rPr>
                <w:rFonts w:cstheme="minorHAnsi"/>
                <w:b/>
                <w:bCs/>
                <w:color w:val="000000"/>
                <w:sz w:val="20"/>
                <w:szCs w:val="20"/>
              </w:rPr>
            </w:pPr>
            <w:r w:rsidRPr="002A2C7D">
              <w:rPr>
                <w:rFonts w:cstheme="minorHAnsi"/>
                <w:b/>
                <w:bCs/>
                <w:color w:val="000000"/>
                <w:sz w:val="20"/>
                <w:szCs w:val="20"/>
              </w:rPr>
              <w:t>2019</w:t>
            </w:r>
          </w:p>
        </w:tc>
      </w:tr>
      <w:tr w:rsidR="005809B7" w:rsidRPr="00EB1AF3" w14:paraId="4FE9EE0D" w14:textId="77777777" w:rsidTr="005809B7">
        <w:trPr>
          <w:cantSplit/>
          <w:trHeight w:val="20"/>
          <w:tblHeader/>
        </w:trPr>
        <w:tc>
          <w:tcPr>
            <w:tcW w:w="1212" w:type="pct"/>
            <w:noWrap/>
            <w:vAlign w:val="center"/>
            <w:hideMark/>
          </w:tcPr>
          <w:p w14:paraId="5EFA0DB6" w14:textId="77777777" w:rsidR="005809B7" w:rsidRPr="002A2C7D" w:rsidRDefault="005809B7" w:rsidP="00AF0ADF">
            <w:pPr>
              <w:jc w:val="right"/>
              <w:rPr>
                <w:rFonts w:cstheme="minorHAnsi"/>
                <w:b/>
                <w:bCs/>
                <w:color w:val="000000"/>
                <w:sz w:val="20"/>
                <w:szCs w:val="20"/>
              </w:rPr>
            </w:pPr>
          </w:p>
        </w:tc>
        <w:tc>
          <w:tcPr>
            <w:tcW w:w="3788" w:type="pct"/>
            <w:gridSpan w:val="10"/>
          </w:tcPr>
          <w:p w14:paraId="2A05BE80" w14:textId="094D5483" w:rsidR="005809B7" w:rsidRPr="002A2C7D" w:rsidRDefault="005809B7" w:rsidP="00AF0ADF">
            <w:pPr>
              <w:jc w:val="center"/>
              <w:rPr>
                <w:rFonts w:cstheme="minorHAnsi"/>
                <w:b/>
                <w:bCs/>
                <w:sz w:val="20"/>
                <w:szCs w:val="20"/>
              </w:rPr>
            </w:pPr>
            <w:r w:rsidRPr="002A2C7D">
              <w:rPr>
                <w:rFonts w:cstheme="minorHAnsi"/>
                <w:b/>
                <w:bCs/>
                <w:color w:val="000000"/>
                <w:sz w:val="20"/>
                <w:szCs w:val="20"/>
              </w:rPr>
              <w:t>In per cent (%)</w:t>
            </w:r>
          </w:p>
        </w:tc>
      </w:tr>
      <w:tr w:rsidR="005809B7" w:rsidRPr="00EB1AF3" w14:paraId="396BDC45" w14:textId="77777777" w:rsidTr="005809B7">
        <w:trPr>
          <w:cantSplit/>
          <w:trHeight w:val="20"/>
        </w:trPr>
        <w:tc>
          <w:tcPr>
            <w:tcW w:w="5000" w:type="pct"/>
            <w:gridSpan w:val="11"/>
            <w:noWrap/>
            <w:vAlign w:val="center"/>
            <w:hideMark/>
          </w:tcPr>
          <w:p w14:paraId="36CC63CD" w14:textId="28B860B5" w:rsidR="005809B7" w:rsidRPr="002A2C7D" w:rsidRDefault="005809B7" w:rsidP="00B94D3E">
            <w:pPr>
              <w:rPr>
                <w:rFonts w:cstheme="minorHAnsi"/>
                <w:b/>
                <w:bCs/>
                <w:sz w:val="20"/>
                <w:szCs w:val="20"/>
              </w:rPr>
            </w:pPr>
            <w:r w:rsidRPr="002A2C7D">
              <w:rPr>
                <w:rFonts w:cstheme="minorHAnsi"/>
                <w:b/>
                <w:bCs/>
                <w:color w:val="000000"/>
                <w:sz w:val="20"/>
                <w:szCs w:val="20"/>
              </w:rPr>
              <w:t>Australia</w:t>
            </w:r>
          </w:p>
        </w:tc>
      </w:tr>
      <w:tr w:rsidR="005809B7" w:rsidRPr="00D23AFA" w14:paraId="7818BAA0" w14:textId="77777777" w:rsidTr="00B94D3E">
        <w:trPr>
          <w:cantSplit/>
          <w:trHeight w:val="20"/>
        </w:trPr>
        <w:tc>
          <w:tcPr>
            <w:tcW w:w="1212" w:type="pct"/>
            <w:noWrap/>
            <w:vAlign w:val="center"/>
            <w:hideMark/>
          </w:tcPr>
          <w:p w14:paraId="79EE1FE6" w14:textId="77777777" w:rsidR="005809B7" w:rsidRPr="002A2C7D" w:rsidRDefault="005809B7" w:rsidP="00AF0ADF">
            <w:pPr>
              <w:ind w:firstLineChars="100" w:firstLine="200"/>
              <w:rPr>
                <w:rFonts w:cstheme="minorHAnsi"/>
                <w:color w:val="000000"/>
                <w:sz w:val="20"/>
                <w:szCs w:val="20"/>
              </w:rPr>
            </w:pPr>
            <w:r w:rsidRPr="002A2C7D">
              <w:rPr>
                <w:rFonts w:cstheme="minorHAnsi"/>
                <w:color w:val="000000"/>
                <w:sz w:val="20"/>
                <w:szCs w:val="20"/>
              </w:rPr>
              <w:t>Total</w:t>
            </w:r>
          </w:p>
        </w:tc>
        <w:tc>
          <w:tcPr>
            <w:tcW w:w="378" w:type="pct"/>
            <w:vAlign w:val="center"/>
          </w:tcPr>
          <w:p w14:paraId="3F4ABCC8"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12.0</w:t>
            </w:r>
          </w:p>
        </w:tc>
        <w:tc>
          <w:tcPr>
            <w:tcW w:w="378" w:type="pct"/>
            <w:vAlign w:val="center"/>
          </w:tcPr>
          <w:p w14:paraId="313912CF"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12.1</w:t>
            </w:r>
          </w:p>
        </w:tc>
        <w:tc>
          <w:tcPr>
            <w:tcW w:w="378" w:type="pct"/>
            <w:noWrap/>
            <w:vAlign w:val="center"/>
          </w:tcPr>
          <w:p w14:paraId="759353FB"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12.4</w:t>
            </w:r>
          </w:p>
        </w:tc>
        <w:tc>
          <w:tcPr>
            <w:tcW w:w="378" w:type="pct"/>
            <w:noWrap/>
            <w:vAlign w:val="center"/>
          </w:tcPr>
          <w:p w14:paraId="3009BAA6"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12.4</w:t>
            </w:r>
          </w:p>
        </w:tc>
        <w:tc>
          <w:tcPr>
            <w:tcW w:w="378" w:type="pct"/>
            <w:noWrap/>
            <w:vAlign w:val="center"/>
          </w:tcPr>
          <w:p w14:paraId="004A2C87"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12.5</w:t>
            </w:r>
          </w:p>
        </w:tc>
        <w:tc>
          <w:tcPr>
            <w:tcW w:w="378" w:type="pct"/>
            <w:noWrap/>
            <w:vAlign w:val="center"/>
          </w:tcPr>
          <w:p w14:paraId="389AEFB1"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12.5</w:t>
            </w:r>
          </w:p>
        </w:tc>
        <w:tc>
          <w:tcPr>
            <w:tcW w:w="378" w:type="pct"/>
            <w:noWrap/>
            <w:vAlign w:val="center"/>
          </w:tcPr>
          <w:p w14:paraId="2AEA1911"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12.8</w:t>
            </w:r>
          </w:p>
        </w:tc>
        <w:tc>
          <w:tcPr>
            <w:tcW w:w="377" w:type="pct"/>
            <w:noWrap/>
            <w:vAlign w:val="center"/>
          </w:tcPr>
          <w:p w14:paraId="71D07924"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12.6</w:t>
            </w:r>
          </w:p>
        </w:tc>
        <w:tc>
          <w:tcPr>
            <w:tcW w:w="383" w:type="pct"/>
            <w:noWrap/>
            <w:vAlign w:val="center"/>
          </w:tcPr>
          <w:p w14:paraId="65C43D5B"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12.7</w:t>
            </w:r>
          </w:p>
        </w:tc>
        <w:tc>
          <w:tcPr>
            <w:tcW w:w="382" w:type="pct"/>
            <w:noWrap/>
            <w:vAlign w:val="center"/>
          </w:tcPr>
          <w:p w14:paraId="3472BFD3" w14:textId="77777777" w:rsidR="005809B7" w:rsidRPr="002A2C7D" w:rsidRDefault="005809B7" w:rsidP="00AF0ADF">
            <w:pPr>
              <w:jc w:val="right"/>
              <w:rPr>
                <w:rFonts w:cstheme="minorHAnsi"/>
                <w:color w:val="000000"/>
                <w:sz w:val="20"/>
                <w:szCs w:val="20"/>
              </w:rPr>
            </w:pPr>
            <w:r w:rsidRPr="002A2C7D">
              <w:rPr>
                <w:rFonts w:cstheme="minorHAnsi"/>
                <w:color w:val="000000"/>
                <w:sz w:val="20"/>
                <w:szCs w:val="20"/>
              </w:rPr>
              <w:t>12.6</w:t>
            </w:r>
          </w:p>
        </w:tc>
      </w:tr>
      <w:tr w:rsidR="005809B7" w:rsidRPr="00EB1AF3" w14:paraId="5C5F3B5F" w14:textId="77777777" w:rsidTr="005809B7">
        <w:trPr>
          <w:cantSplit/>
          <w:trHeight w:val="20"/>
        </w:trPr>
        <w:tc>
          <w:tcPr>
            <w:tcW w:w="5000" w:type="pct"/>
            <w:gridSpan w:val="11"/>
            <w:noWrap/>
            <w:vAlign w:val="center"/>
            <w:hideMark/>
          </w:tcPr>
          <w:p w14:paraId="0096BD7C" w14:textId="3D485572" w:rsidR="005809B7" w:rsidRPr="002A2C7D" w:rsidRDefault="005809B7" w:rsidP="00B94D3E">
            <w:pPr>
              <w:rPr>
                <w:rFonts w:cstheme="minorHAnsi"/>
                <w:b/>
                <w:bCs/>
                <w:sz w:val="20"/>
                <w:szCs w:val="20"/>
              </w:rPr>
            </w:pPr>
            <w:r w:rsidRPr="002A2C7D">
              <w:rPr>
                <w:rFonts w:cstheme="minorHAnsi"/>
                <w:b/>
                <w:bCs/>
                <w:color w:val="000000"/>
                <w:sz w:val="20"/>
                <w:szCs w:val="20"/>
              </w:rPr>
              <w:t>Mother's age at birth</w:t>
            </w:r>
          </w:p>
        </w:tc>
      </w:tr>
      <w:tr w:rsidR="009C3E6A" w:rsidRPr="00D23AFA" w14:paraId="1D72DD7B" w14:textId="77777777" w:rsidTr="00B94D3E">
        <w:trPr>
          <w:cantSplit/>
          <w:trHeight w:val="20"/>
        </w:trPr>
        <w:tc>
          <w:tcPr>
            <w:tcW w:w="1212" w:type="pct"/>
            <w:noWrap/>
            <w:vAlign w:val="center"/>
            <w:hideMark/>
          </w:tcPr>
          <w:p w14:paraId="4C75835D"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Younger than 20</w:t>
            </w:r>
          </w:p>
        </w:tc>
        <w:tc>
          <w:tcPr>
            <w:tcW w:w="378" w:type="pct"/>
            <w:vAlign w:val="center"/>
          </w:tcPr>
          <w:p w14:paraId="533D72D5" w14:textId="7DE2CA39" w:rsidR="009C3E6A" w:rsidRPr="002A2C7D" w:rsidRDefault="009C3E6A" w:rsidP="009C3E6A">
            <w:pPr>
              <w:jc w:val="right"/>
              <w:rPr>
                <w:rFonts w:cstheme="minorHAnsi"/>
                <w:color w:val="000000"/>
                <w:sz w:val="20"/>
                <w:szCs w:val="20"/>
              </w:rPr>
            </w:pPr>
            <w:r w:rsidRPr="002A2C7D">
              <w:rPr>
                <w:rFonts w:cstheme="minorHAnsi"/>
                <w:color w:val="000000"/>
                <w:sz w:val="20"/>
                <w:szCs w:val="20"/>
              </w:rPr>
              <w:t>12.1</w:t>
            </w:r>
          </w:p>
        </w:tc>
        <w:tc>
          <w:tcPr>
            <w:tcW w:w="378" w:type="pct"/>
            <w:vAlign w:val="center"/>
          </w:tcPr>
          <w:p w14:paraId="776B2C5E" w14:textId="0074EC9D" w:rsidR="009C3E6A" w:rsidRPr="002A2C7D" w:rsidRDefault="009C3E6A" w:rsidP="009C3E6A">
            <w:pPr>
              <w:jc w:val="right"/>
              <w:rPr>
                <w:rFonts w:cstheme="minorHAnsi"/>
                <w:color w:val="000000"/>
                <w:sz w:val="20"/>
                <w:szCs w:val="20"/>
              </w:rPr>
            </w:pPr>
            <w:r w:rsidRPr="002A2C7D">
              <w:rPr>
                <w:rFonts w:cstheme="minorHAnsi"/>
                <w:color w:val="000000"/>
                <w:sz w:val="20"/>
                <w:szCs w:val="20"/>
              </w:rPr>
              <w:t>12.</w:t>
            </w:r>
            <w:r>
              <w:rPr>
                <w:rFonts w:cstheme="minorHAnsi"/>
                <w:color w:val="000000"/>
                <w:sz w:val="20"/>
                <w:szCs w:val="20"/>
              </w:rPr>
              <w:t>6</w:t>
            </w:r>
          </w:p>
        </w:tc>
        <w:tc>
          <w:tcPr>
            <w:tcW w:w="378" w:type="pct"/>
            <w:noWrap/>
            <w:vAlign w:val="center"/>
          </w:tcPr>
          <w:p w14:paraId="65920DEE" w14:textId="20A5F8E9" w:rsidR="009C3E6A" w:rsidRPr="002A2C7D" w:rsidRDefault="009C3E6A" w:rsidP="009C3E6A">
            <w:pPr>
              <w:jc w:val="right"/>
              <w:rPr>
                <w:rFonts w:cstheme="minorHAnsi"/>
                <w:color w:val="000000"/>
                <w:sz w:val="20"/>
                <w:szCs w:val="20"/>
              </w:rPr>
            </w:pPr>
            <w:r w:rsidRPr="002A2C7D">
              <w:rPr>
                <w:rFonts w:cstheme="minorHAnsi"/>
                <w:color w:val="000000"/>
                <w:sz w:val="20"/>
                <w:szCs w:val="20"/>
              </w:rPr>
              <w:t>12.7</w:t>
            </w:r>
          </w:p>
        </w:tc>
        <w:tc>
          <w:tcPr>
            <w:tcW w:w="378" w:type="pct"/>
            <w:noWrap/>
            <w:vAlign w:val="center"/>
          </w:tcPr>
          <w:p w14:paraId="2F2D4000" w14:textId="1A4ACD21" w:rsidR="009C3E6A" w:rsidRPr="002A2C7D" w:rsidRDefault="009C3E6A" w:rsidP="009C3E6A">
            <w:pPr>
              <w:jc w:val="right"/>
              <w:rPr>
                <w:rFonts w:cstheme="minorHAnsi"/>
                <w:color w:val="000000"/>
                <w:sz w:val="20"/>
                <w:szCs w:val="20"/>
              </w:rPr>
            </w:pPr>
            <w:r w:rsidRPr="002A2C7D">
              <w:rPr>
                <w:rFonts w:cstheme="minorHAnsi"/>
                <w:color w:val="000000"/>
                <w:sz w:val="20"/>
                <w:szCs w:val="20"/>
              </w:rPr>
              <w:t>13.0</w:t>
            </w:r>
          </w:p>
        </w:tc>
        <w:tc>
          <w:tcPr>
            <w:tcW w:w="378" w:type="pct"/>
            <w:noWrap/>
            <w:vAlign w:val="center"/>
          </w:tcPr>
          <w:p w14:paraId="75FCFFFC" w14:textId="42AC18BB" w:rsidR="009C3E6A" w:rsidRPr="002A2C7D" w:rsidRDefault="009C3E6A" w:rsidP="009C3E6A">
            <w:pPr>
              <w:jc w:val="right"/>
              <w:rPr>
                <w:rFonts w:cstheme="minorHAnsi"/>
                <w:color w:val="000000"/>
                <w:sz w:val="20"/>
                <w:szCs w:val="20"/>
              </w:rPr>
            </w:pPr>
            <w:r w:rsidRPr="002A2C7D">
              <w:rPr>
                <w:rFonts w:cstheme="minorHAnsi"/>
                <w:color w:val="000000"/>
                <w:sz w:val="20"/>
                <w:szCs w:val="20"/>
              </w:rPr>
              <w:t>12.6</w:t>
            </w:r>
          </w:p>
        </w:tc>
        <w:tc>
          <w:tcPr>
            <w:tcW w:w="378" w:type="pct"/>
            <w:noWrap/>
            <w:vAlign w:val="center"/>
          </w:tcPr>
          <w:p w14:paraId="05F56B66" w14:textId="5F3DA6CB" w:rsidR="009C3E6A" w:rsidRPr="002A2C7D" w:rsidRDefault="009C3E6A" w:rsidP="009C3E6A">
            <w:pPr>
              <w:jc w:val="right"/>
              <w:rPr>
                <w:rFonts w:cstheme="minorHAnsi"/>
                <w:color w:val="000000"/>
                <w:sz w:val="20"/>
                <w:szCs w:val="20"/>
              </w:rPr>
            </w:pPr>
            <w:r>
              <w:rPr>
                <w:rFonts w:cstheme="minorHAnsi"/>
                <w:color w:val="000000"/>
                <w:sz w:val="20"/>
                <w:szCs w:val="20"/>
              </w:rPr>
              <w:t>12.9</w:t>
            </w:r>
          </w:p>
        </w:tc>
        <w:tc>
          <w:tcPr>
            <w:tcW w:w="378" w:type="pct"/>
            <w:noWrap/>
            <w:vAlign w:val="center"/>
          </w:tcPr>
          <w:p w14:paraId="3325DD7B" w14:textId="5B34AEA2" w:rsidR="009C3E6A" w:rsidRPr="002A2C7D" w:rsidRDefault="009C3E6A" w:rsidP="009C3E6A">
            <w:pPr>
              <w:jc w:val="right"/>
              <w:rPr>
                <w:rFonts w:cstheme="minorHAnsi"/>
                <w:color w:val="000000"/>
                <w:sz w:val="20"/>
                <w:szCs w:val="20"/>
              </w:rPr>
            </w:pPr>
            <w:r w:rsidRPr="002A2C7D">
              <w:rPr>
                <w:rFonts w:cstheme="minorHAnsi"/>
                <w:color w:val="000000"/>
                <w:sz w:val="20"/>
                <w:szCs w:val="20"/>
              </w:rPr>
              <w:t>13.5</w:t>
            </w:r>
          </w:p>
        </w:tc>
        <w:tc>
          <w:tcPr>
            <w:tcW w:w="377" w:type="pct"/>
            <w:noWrap/>
            <w:vAlign w:val="center"/>
          </w:tcPr>
          <w:p w14:paraId="4EAE7EB7" w14:textId="0F1C647B" w:rsidR="009C3E6A" w:rsidRPr="002A2C7D" w:rsidRDefault="009C3E6A" w:rsidP="009C3E6A">
            <w:pPr>
              <w:jc w:val="right"/>
              <w:rPr>
                <w:rFonts w:cstheme="minorHAnsi"/>
                <w:color w:val="000000"/>
                <w:sz w:val="20"/>
                <w:szCs w:val="20"/>
              </w:rPr>
            </w:pPr>
            <w:r w:rsidRPr="002A2C7D">
              <w:rPr>
                <w:rFonts w:cstheme="minorHAnsi"/>
                <w:color w:val="000000"/>
                <w:sz w:val="20"/>
                <w:szCs w:val="20"/>
              </w:rPr>
              <w:t>12.6</w:t>
            </w:r>
          </w:p>
        </w:tc>
        <w:tc>
          <w:tcPr>
            <w:tcW w:w="383" w:type="pct"/>
            <w:noWrap/>
            <w:vAlign w:val="center"/>
          </w:tcPr>
          <w:p w14:paraId="174013D1" w14:textId="4F477E2D" w:rsidR="009C3E6A" w:rsidRPr="002A2C7D" w:rsidRDefault="009C3E6A" w:rsidP="009C3E6A">
            <w:pPr>
              <w:jc w:val="right"/>
              <w:rPr>
                <w:rFonts w:cstheme="minorHAnsi"/>
                <w:color w:val="000000"/>
                <w:sz w:val="20"/>
                <w:szCs w:val="20"/>
              </w:rPr>
            </w:pPr>
            <w:r w:rsidRPr="002A2C7D">
              <w:rPr>
                <w:rFonts w:cstheme="minorHAnsi"/>
                <w:color w:val="000000"/>
                <w:sz w:val="20"/>
                <w:szCs w:val="20"/>
              </w:rPr>
              <w:t>13.</w:t>
            </w:r>
            <w:r>
              <w:rPr>
                <w:rFonts w:cstheme="minorHAnsi"/>
                <w:color w:val="000000"/>
                <w:sz w:val="20"/>
                <w:szCs w:val="20"/>
              </w:rPr>
              <w:t>7</w:t>
            </w:r>
          </w:p>
        </w:tc>
        <w:tc>
          <w:tcPr>
            <w:tcW w:w="382" w:type="pct"/>
            <w:noWrap/>
            <w:vAlign w:val="center"/>
          </w:tcPr>
          <w:p w14:paraId="1044EA88" w14:textId="6431DA5D" w:rsidR="009C3E6A" w:rsidRPr="002A2C7D" w:rsidRDefault="009C3E6A" w:rsidP="009C3E6A">
            <w:pPr>
              <w:jc w:val="right"/>
              <w:rPr>
                <w:rFonts w:cstheme="minorHAnsi"/>
                <w:color w:val="000000"/>
                <w:sz w:val="20"/>
                <w:szCs w:val="20"/>
              </w:rPr>
            </w:pPr>
            <w:r w:rsidRPr="002A2C7D">
              <w:rPr>
                <w:rFonts w:cstheme="minorHAnsi"/>
                <w:color w:val="000000"/>
                <w:sz w:val="20"/>
                <w:szCs w:val="20"/>
              </w:rPr>
              <w:t>13.</w:t>
            </w:r>
            <w:r>
              <w:rPr>
                <w:rFonts w:cstheme="minorHAnsi"/>
                <w:color w:val="000000"/>
                <w:sz w:val="20"/>
                <w:szCs w:val="20"/>
              </w:rPr>
              <w:t>2</w:t>
            </w:r>
          </w:p>
        </w:tc>
      </w:tr>
      <w:tr w:rsidR="009C3E6A" w:rsidRPr="00D23AFA" w14:paraId="5ABA8A28" w14:textId="77777777" w:rsidTr="00B94D3E">
        <w:trPr>
          <w:cantSplit/>
          <w:trHeight w:val="20"/>
        </w:trPr>
        <w:tc>
          <w:tcPr>
            <w:tcW w:w="1212" w:type="pct"/>
            <w:noWrap/>
            <w:vAlign w:val="center"/>
            <w:hideMark/>
          </w:tcPr>
          <w:p w14:paraId="5AA77C8B"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20-24</w:t>
            </w:r>
          </w:p>
        </w:tc>
        <w:tc>
          <w:tcPr>
            <w:tcW w:w="378" w:type="pct"/>
            <w:vAlign w:val="center"/>
          </w:tcPr>
          <w:p w14:paraId="6661B790" w14:textId="67931818" w:rsidR="009C3E6A" w:rsidRPr="002A2C7D" w:rsidRDefault="009C3E6A" w:rsidP="009C3E6A">
            <w:pPr>
              <w:jc w:val="right"/>
              <w:rPr>
                <w:rFonts w:cstheme="minorHAnsi"/>
                <w:color w:val="000000"/>
                <w:sz w:val="20"/>
                <w:szCs w:val="20"/>
              </w:rPr>
            </w:pPr>
            <w:r w:rsidRPr="002A2C7D">
              <w:rPr>
                <w:rFonts w:cstheme="minorHAnsi"/>
                <w:color w:val="000000"/>
                <w:sz w:val="20"/>
                <w:szCs w:val="20"/>
              </w:rPr>
              <w:t>11.</w:t>
            </w:r>
            <w:r>
              <w:rPr>
                <w:rFonts w:cstheme="minorHAnsi"/>
                <w:color w:val="000000"/>
                <w:sz w:val="20"/>
                <w:szCs w:val="20"/>
              </w:rPr>
              <w:t>8</w:t>
            </w:r>
          </w:p>
        </w:tc>
        <w:tc>
          <w:tcPr>
            <w:tcW w:w="378" w:type="pct"/>
            <w:vAlign w:val="center"/>
          </w:tcPr>
          <w:p w14:paraId="4DCBEBB3" w14:textId="111049A8" w:rsidR="009C3E6A" w:rsidRPr="002A2C7D" w:rsidRDefault="009C3E6A" w:rsidP="009C3E6A">
            <w:pPr>
              <w:jc w:val="right"/>
              <w:rPr>
                <w:rFonts w:cstheme="minorHAnsi"/>
                <w:color w:val="000000"/>
                <w:sz w:val="20"/>
                <w:szCs w:val="20"/>
              </w:rPr>
            </w:pPr>
            <w:r w:rsidRPr="002A2C7D">
              <w:rPr>
                <w:rFonts w:cstheme="minorHAnsi"/>
                <w:color w:val="000000"/>
                <w:sz w:val="20"/>
                <w:szCs w:val="20"/>
              </w:rPr>
              <w:t>11.</w:t>
            </w:r>
            <w:r>
              <w:rPr>
                <w:rFonts w:cstheme="minorHAnsi"/>
                <w:color w:val="000000"/>
                <w:sz w:val="20"/>
                <w:szCs w:val="20"/>
              </w:rPr>
              <w:t>5</w:t>
            </w:r>
          </w:p>
        </w:tc>
        <w:tc>
          <w:tcPr>
            <w:tcW w:w="378" w:type="pct"/>
            <w:noWrap/>
            <w:vAlign w:val="center"/>
          </w:tcPr>
          <w:p w14:paraId="231E0A72" w14:textId="38E66BF4"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c>
          <w:tcPr>
            <w:tcW w:w="378" w:type="pct"/>
            <w:noWrap/>
            <w:vAlign w:val="center"/>
          </w:tcPr>
          <w:p w14:paraId="528377C7" w14:textId="7AC832C6" w:rsidR="009C3E6A" w:rsidRPr="002A2C7D" w:rsidRDefault="009C3E6A" w:rsidP="009C3E6A">
            <w:pPr>
              <w:jc w:val="right"/>
              <w:rPr>
                <w:rFonts w:cstheme="minorHAnsi"/>
                <w:color w:val="000000"/>
                <w:sz w:val="20"/>
                <w:szCs w:val="20"/>
              </w:rPr>
            </w:pPr>
            <w:r w:rsidRPr="002A2C7D">
              <w:rPr>
                <w:rFonts w:cstheme="minorHAnsi"/>
                <w:color w:val="000000"/>
                <w:sz w:val="20"/>
                <w:szCs w:val="20"/>
              </w:rPr>
              <w:t>11.9</w:t>
            </w:r>
          </w:p>
        </w:tc>
        <w:tc>
          <w:tcPr>
            <w:tcW w:w="378" w:type="pct"/>
            <w:noWrap/>
            <w:vAlign w:val="center"/>
          </w:tcPr>
          <w:p w14:paraId="1896E842" w14:textId="6D50CC8A" w:rsidR="009C3E6A" w:rsidRPr="002A2C7D" w:rsidRDefault="009C3E6A" w:rsidP="009C3E6A">
            <w:pPr>
              <w:jc w:val="right"/>
              <w:rPr>
                <w:rFonts w:cstheme="minorHAnsi"/>
                <w:color w:val="000000"/>
                <w:sz w:val="20"/>
                <w:szCs w:val="20"/>
              </w:rPr>
            </w:pPr>
            <w:r w:rsidRPr="002A2C7D">
              <w:rPr>
                <w:rFonts w:cstheme="minorHAnsi"/>
                <w:color w:val="000000"/>
                <w:sz w:val="20"/>
                <w:szCs w:val="20"/>
              </w:rPr>
              <w:t>11.6</w:t>
            </w:r>
          </w:p>
        </w:tc>
        <w:tc>
          <w:tcPr>
            <w:tcW w:w="378" w:type="pct"/>
            <w:noWrap/>
            <w:vAlign w:val="center"/>
          </w:tcPr>
          <w:p w14:paraId="7058F315" w14:textId="4FC3B8A7" w:rsidR="009C3E6A" w:rsidRPr="002A2C7D" w:rsidRDefault="009C3E6A" w:rsidP="009C3E6A">
            <w:pPr>
              <w:jc w:val="right"/>
              <w:rPr>
                <w:rFonts w:cstheme="minorHAnsi"/>
                <w:color w:val="000000"/>
                <w:sz w:val="20"/>
                <w:szCs w:val="20"/>
              </w:rPr>
            </w:pPr>
            <w:r w:rsidRPr="002A2C7D">
              <w:rPr>
                <w:rFonts w:cstheme="minorHAnsi"/>
                <w:color w:val="000000"/>
                <w:sz w:val="20"/>
                <w:szCs w:val="20"/>
              </w:rPr>
              <w:t>11.</w:t>
            </w:r>
            <w:r>
              <w:rPr>
                <w:rFonts w:cstheme="minorHAnsi"/>
                <w:color w:val="000000"/>
                <w:sz w:val="20"/>
                <w:szCs w:val="20"/>
              </w:rPr>
              <w:t>7</w:t>
            </w:r>
          </w:p>
        </w:tc>
        <w:tc>
          <w:tcPr>
            <w:tcW w:w="378" w:type="pct"/>
            <w:noWrap/>
            <w:vAlign w:val="center"/>
          </w:tcPr>
          <w:p w14:paraId="1F7254EE" w14:textId="228FB583" w:rsidR="009C3E6A" w:rsidRPr="002A2C7D" w:rsidRDefault="009C3E6A" w:rsidP="009C3E6A">
            <w:pPr>
              <w:jc w:val="right"/>
              <w:rPr>
                <w:rFonts w:cstheme="minorHAnsi"/>
                <w:color w:val="000000"/>
                <w:sz w:val="20"/>
                <w:szCs w:val="20"/>
              </w:rPr>
            </w:pPr>
            <w:r w:rsidRPr="002A2C7D">
              <w:rPr>
                <w:rFonts w:cstheme="minorHAnsi"/>
                <w:color w:val="000000"/>
                <w:sz w:val="20"/>
                <w:szCs w:val="20"/>
              </w:rPr>
              <w:t>12.0</w:t>
            </w:r>
          </w:p>
        </w:tc>
        <w:tc>
          <w:tcPr>
            <w:tcW w:w="377" w:type="pct"/>
            <w:noWrap/>
            <w:vAlign w:val="center"/>
          </w:tcPr>
          <w:p w14:paraId="0031024F" w14:textId="7E332A11" w:rsidR="009C3E6A" w:rsidRPr="002A2C7D" w:rsidRDefault="009C3E6A" w:rsidP="009C3E6A">
            <w:pPr>
              <w:jc w:val="right"/>
              <w:rPr>
                <w:rFonts w:cstheme="minorHAnsi"/>
                <w:color w:val="000000"/>
                <w:sz w:val="20"/>
                <w:szCs w:val="20"/>
              </w:rPr>
            </w:pPr>
            <w:r w:rsidRPr="002A2C7D">
              <w:rPr>
                <w:rFonts w:cstheme="minorHAnsi"/>
                <w:color w:val="000000"/>
                <w:sz w:val="20"/>
                <w:szCs w:val="20"/>
              </w:rPr>
              <w:t>12.</w:t>
            </w:r>
            <w:r>
              <w:rPr>
                <w:rFonts w:cstheme="minorHAnsi"/>
                <w:color w:val="000000"/>
                <w:sz w:val="20"/>
                <w:szCs w:val="20"/>
              </w:rPr>
              <w:t>1</w:t>
            </w:r>
          </w:p>
        </w:tc>
        <w:tc>
          <w:tcPr>
            <w:tcW w:w="383" w:type="pct"/>
            <w:noWrap/>
            <w:vAlign w:val="center"/>
          </w:tcPr>
          <w:p w14:paraId="73324DFD" w14:textId="0BE1D952" w:rsidR="009C3E6A" w:rsidRPr="002A2C7D" w:rsidRDefault="009C3E6A" w:rsidP="009C3E6A">
            <w:pPr>
              <w:jc w:val="right"/>
              <w:rPr>
                <w:rFonts w:cstheme="minorHAnsi"/>
                <w:color w:val="000000"/>
                <w:sz w:val="20"/>
                <w:szCs w:val="20"/>
              </w:rPr>
            </w:pPr>
            <w:r w:rsidRPr="002A2C7D">
              <w:rPr>
                <w:rFonts w:cstheme="minorHAnsi"/>
                <w:color w:val="000000"/>
                <w:sz w:val="20"/>
                <w:szCs w:val="20"/>
              </w:rPr>
              <w:t>12.3</w:t>
            </w:r>
          </w:p>
        </w:tc>
        <w:tc>
          <w:tcPr>
            <w:tcW w:w="382" w:type="pct"/>
            <w:noWrap/>
            <w:vAlign w:val="center"/>
          </w:tcPr>
          <w:p w14:paraId="6BE6D314" w14:textId="725ADE1A" w:rsidR="009C3E6A" w:rsidRPr="002A2C7D" w:rsidRDefault="009C3E6A" w:rsidP="009C3E6A">
            <w:pPr>
              <w:jc w:val="right"/>
              <w:rPr>
                <w:rFonts w:cstheme="minorHAnsi"/>
                <w:color w:val="000000"/>
                <w:sz w:val="20"/>
                <w:szCs w:val="20"/>
              </w:rPr>
            </w:pPr>
            <w:r w:rsidRPr="002A2C7D">
              <w:rPr>
                <w:rFonts w:cstheme="minorHAnsi"/>
                <w:color w:val="000000"/>
                <w:sz w:val="20"/>
                <w:szCs w:val="20"/>
              </w:rPr>
              <w:t>12.1</w:t>
            </w:r>
          </w:p>
        </w:tc>
      </w:tr>
      <w:tr w:rsidR="009C3E6A" w:rsidRPr="00D23AFA" w14:paraId="4099E8F8" w14:textId="77777777" w:rsidTr="00B94D3E">
        <w:trPr>
          <w:cantSplit/>
          <w:trHeight w:val="20"/>
        </w:trPr>
        <w:tc>
          <w:tcPr>
            <w:tcW w:w="1212" w:type="pct"/>
            <w:noWrap/>
            <w:vAlign w:val="center"/>
            <w:hideMark/>
          </w:tcPr>
          <w:p w14:paraId="4152FC8B"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25-29</w:t>
            </w:r>
          </w:p>
        </w:tc>
        <w:tc>
          <w:tcPr>
            <w:tcW w:w="378" w:type="pct"/>
            <w:vAlign w:val="center"/>
          </w:tcPr>
          <w:p w14:paraId="27AF3C6F" w14:textId="230777F2" w:rsidR="009C3E6A" w:rsidRPr="002A2C7D" w:rsidRDefault="009C3E6A" w:rsidP="009C3E6A">
            <w:pPr>
              <w:jc w:val="right"/>
              <w:rPr>
                <w:rFonts w:cstheme="minorHAnsi"/>
                <w:color w:val="000000"/>
                <w:sz w:val="20"/>
                <w:szCs w:val="20"/>
              </w:rPr>
            </w:pPr>
            <w:r w:rsidRPr="002A2C7D">
              <w:rPr>
                <w:rFonts w:cstheme="minorHAnsi"/>
                <w:color w:val="000000"/>
                <w:sz w:val="20"/>
                <w:szCs w:val="20"/>
              </w:rPr>
              <w:t>13.5</w:t>
            </w:r>
          </w:p>
        </w:tc>
        <w:tc>
          <w:tcPr>
            <w:tcW w:w="378" w:type="pct"/>
            <w:vAlign w:val="center"/>
          </w:tcPr>
          <w:p w14:paraId="08AE434C" w14:textId="709132FD" w:rsidR="009C3E6A" w:rsidRPr="002A2C7D" w:rsidRDefault="009C3E6A" w:rsidP="009C3E6A">
            <w:pPr>
              <w:jc w:val="right"/>
              <w:rPr>
                <w:rFonts w:cstheme="minorHAnsi"/>
                <w:color w:val="000000"/>
                <w:sz w:val="20"/>
                <w:szCs w:val="20"/>
              </w:rPr>
            </w:pPr>
            <w:r w:rsidRPr="002A2C7D">
              <w:rPr>
                <w:rFonts w:cstheme="minorHAnsi"/>
                <w:color w:val="000000"/>
                <w:sz w:val="20"/>
                <w:szCs w:val="20"/>
              </w:rPr>
              <w:t>13.6</w:t>
            </w:r>
          </w:p>
        </w:tc>
        <w:tc>
          <w:tcPr>
            <w:tcW w:w="378" w:type="pct"/>
            <w:noWrap/>
            <w:vAlign w:val="center"/>
          </w:tcPr>
          <w:p w14:paraId="20586D57" w14:textId="0D5DF6F8" w:rsidR="009C3E6A" w:rsidRPr="002A2C7D" w:rsidRDefault="009C3E6A" w:rsidP="009C3E6A">
            <w:pPr>
              <w:jc w:val="right"/>
              <w:rPr>
                <w:rFonts w:cstheme="minorHAnsi"/>
                <w:color w:val="000000"/>
                <w:sz w:val="20"/>
                <w:szCs w:val="20"/>
              </w:rPr>
            </w:pPr>
            <w:r w:rsidRPr="002A2C7D">
              <w:rPr>
                <w:rFonts w:cstheme="minorHAnsi"/>
                <w:color w:val="000000"/>
                <w:sz w:val="20"/>
                <w:szCs w:val="20"/>
              </w:rPr>
              <w:t>13.8</w:t>
            </w:r>
          </w:p>
        </w:tc>
        <w:tc>
          <w:tcPr>
            <w:tcW w:w="378" w:type="pct"/>
            <w:noWrap/>
            <w:vAlign w:val="center"/>
          </w:tcPr>
          <w:p w14:paraId="7B6754F4" w14:textId="68D840AA" w:rsidR="009C3E6A" w:rsidRPr="002A2C7D" w:rsidRDefault="009C3E6A" w:rsidP="009C3E6A">
            <w:pPr>
              <w:jc w:val="right"/>
              <w:rPr>
                <w:rFonts w:cstheme="minorHAnsi"/>
                <w:color w:val="000000"/>
                <w:sz w:val="20"/>
                <w:szCs w:val="20"/>
              </w:rPr>
            </w:pPr>
            <w:r w:rsidRPr="002A2C7D">
              <w:rPr>
                <w:rFonts w:cstheme="minorHAnsi"/>
                <w:color w:val="000000"/>
                <w:sz w:val="20"/>
                <w:szCs w:val="20"/>
              </w:rPr>
              <w:t>13.9</w:t>
            </w:r>
          </w:p>
        </w:tc>
        <w:tc>
          <w:tcPr>
            <w:tcW w:w="378" w:type="pct"/>
            <w:noWrap/>
            <w:vAlign w:val="center"/>
          </w:tcPr>
          <w:p w14:paraId="4633173E" w14:textId="4B3598EB" w:rsidR="009C3E6A" w:rsidRPr="002A2C7D" w:rsidRDefault="009C3E6A" w:rsidP="009C3E6A">
            <w:pPr>
              <w:jc w:val="right"/>
              <w:rPr>
                <w:rFonts w:cstheme="minorHAnsi"/>
                <w:color w:val="000000"/>
                <w:sz w:val="20"/>
                <w:szCs w:val="20"/>
              </w:rPr>
            </w:pPr>
            <w:r w:rsidRPr="002A2C7D">
              <w:rPr>
                <w:rFonts w:cstheme="minorHAnsi"/>
                <w:color w:val="000000"/>
                <w:sz w:val="20"/>
                <w:szCs w:val="20"/>
              </w:rPr>
              <w:t>13.9</w:t>
            </w:r>
          </w:p>
        </w:tc>
        <w:tc>
          <w:tcPr>
            <w:tcW w:w="378" w:type="pct"/>
            <w:noWrap/>
            <w:vAlign w:val="center"/>
          </w:tcPr>
          <w:p w14:paraId="310F7014" w14:textId="62383D12" w:rsidR="009C3E6A" w:rsidRPr="002A2C7D" w:rsidRDefault="009C3E6A" w:rsidP="009C3E6A">
            <w:pPr>
              <w:jc w:val="right"/>
              <w:rPr>
                <w:rFonts w:cstheme="minorHAnsi"/>
                <w:color w:val="000000"/>
                <w:sz w:val="20"/>
                <w:szCs w:val="20"/>
              </w:rPr>
            </w:pPr>
            <w:r w:rsidRPr="002A2C7D">
              <w:rPr>
                <w:rFonts w:cstheme="minorHAnsi"/>
                <w:color w:val="000000"/>
                <w:sz w:val="20"/>
                <w:szCs w:val="20"/>
              </w:rPr>
              <w:t>13.9</w:t>
            </w:r>
          </w:p>
        </w:tc>
        <w:tc>
          <w:tcPr>
            <w:tcW w:w="378" w:type="pct"/>
            <w:noWrap/>
            <w:vAlign w:val="center"/>
          </w:tcPr>
          <w:p w14:paraId="384B7ED7" w14:textId="228BC33E" w:rsidR="009C3E6A" w:rsidRPr="002A2C7D" w:rsidRDefault="009C3E6A" w:rsidP="009C3E6A">
            <w:pPr>
              <w:jc w:val="right"/>
              <w:rPr>
                <w:rFonts w:cstheme="minorHAnsi"/>
                <w:color w:val="000000"/>
                <w:sz w:val="20"/>
                <w:szCs w:val="20"/>
              </w:rPr>
            </w:pPr>
            <w:r w:rsidRPr="002A2C7D">
              <w:rPr>
                <w:rFonts w:cstheme="minorHAnsi"/>
                <w:color w:val="000000"/>
                <w:sz w:val="20"/>
                <w:szCs w:val="20"/>
              </w:rPr>
              <w:t>14.3</w:t>
            </w:r>
          </w:p>
        </w:tc>
        <w:tc>
          <w:tcPr>
            <w:tcW w:w="377" w:type="pct"/>
            <w:noWrap/>
            <w:vAlign w:val="center"/>
          </w:tcPr>
          <w:p w14:paraId="434DD433" w14:textId="66CDE3FC" w:rsidR="009C3E6A" w:rsidRPr="002A2C7D" w:rsidRDefault="009C3E6A" w:rsidP="009C3E6A">
            <w:pPr>
              <w:jc w:val="right"/>
              <w:rPr>
                <w:rFonts w:cstheme="minorHAnsi"/>
                <w:color w:val="000000"/>
                <w:sz w:val="20"/>
                <w:szCs w:val="20"/>
              </w:rPr>
            </w:pPr>
            <w:r w:rsidRPr="002A2C7D">
              <w:rPr>
                <w:rFonts w:cstheme="minorHAnsi"/>
                <w:color w:val="000000"/>
                <w:sz w:val="20"/>
                <w:szCs w:val="20"/>
              </w:rPr>
              <w:t>14.1</w:t>
            </w:r>
          </w:p>
        </w:tc>
        <w:tc>
          <w:tcPr>
            <w:tcW w:w="383" w:type="pct"/>
            <w:noWrap/>
            <w:vAlign w:val="center"/>
          </w:tcPr>
          <w:p w14:paraId="1BD2770E" w14:textId="03B018D0" w:rsidR="009C3E6A" w:rsidRPr="002A2C7D" w:rsidRDefault="009C3E6A" w:rsidP="009C3E6A">
            <w:pPr>
              <w:jc w:val="right"/>
              <w:rPr>
                <w:rFonts w:cstheme="minorHAnsi"/>
                <w:color w:val="000000"/>
                <w:sz w:val="20"/>
                <w:szCs w:val="20"/>
              </w:rPr>
            </w:pPr>
            <w:r w:rsidRPr="002A2C7D">
              <w:rPr>
                <w:rFonts w:cstheme="minorHAnsi"/>
                <w:color w:val="000000"/>
                <w:sz w:val="20"/>
                <w:szCs w:val="20"/>
              </w:rPr>
              <w:t>14.0</w:t>
            </w:r>
          </w:p>
        </w:tc>
        <w:tc>
          <w:tcPr>
            <w:tcW w:w="382" w:type="pct"/>
            <w:noWrap/>
            <w:vAlign w:val="center"/>
          </w:tcPr>
          <w:p w14:paraId="742E1558" w14:textId="15B48402" w:rsidR="009C3E6A" w:rsidRPr="002A2C7D" w:rsidRDefault="009C3E6A" w:rsidP="009C3E6A">
            <w:pPr>
              <w:jc w:val="right"/>
              <w:rPr>
                <w:rFonts w:cstheme="minorHAnsi"/>
                <w:color w:val="000000"/>
                <w:sz w:val="20"/>
                <w:szCs w:val="20"/>
              </w:rPr>
            </w:pPr>
            <w:r w:rsidRPr="002A2C7D">
              <w:rPr>
                <w:rFonts w:cstheme="minorHAnsi"/>
                <w:color w:val="000000"/>
                <w:sz w:val="20"/>
                <w:szCs w:val="20"/>
              </w:rPr>
              <w:t>14.0</w:t>
            </w:r>
          </w:p>
        </w:tc>
      </w:tr>
      <w:tr w:rsidR="009C3E6A" w:rsidRPr="00D23AFA" w14:paraId="4E8E0AF6" w14:textId="77777777" w:rsidTr="00B94D3E">
        <w:trPr>
          <w:cantSplit/>
          <w:trHeight w:val="20"/>
        </w:trPr>
        <w:tc>
          <w:tcPr>
            <w:tcW w:w="1212" w:type="pct"/>
            <w:noWrap/>
            <w:vAlign w:val="center"/>
            <w:hideMark/>
          </w:tcPr>
          <w:p w14:paraId="6B8B4676"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30-34</w:t>
            </w:r>
          </w:p>
        </w:tc>
        <w:tc>
          <w:tcPr>
            <w:tcW w:w="378" w:type="pct"/>
            <w:vAlign w:val="center"/>
          </w:tcPr>
          <w:p w14:paraId="591B0AF0" w14:textId="49390D27" w:rsidR="009C3E6A" w:rsidRPr="002A2C7D" w:rsidRDefault="009C3E6A" w:rsidP="009C3E6A">
            <w:pPr>
              <w:jc w:val="right"/>
              <w:rPr>
                <w:rFonts w:cstheme="minorHAnsi"/>
                <w:color w:val="000000"/>
                <w:sz w:val="20"/>
                <w:szCs w:val="20"/>
              </w:rPr>
            </w:pPr>
            <w:r w:rsidRPr="002A2C7D">
              <w:rPr>
                <w:rFonts w:cstheme="minorHAnsi"/>
                <w:color w:val="000000"/>
                <w:sz w:val="20"/>
                <w:szCs w:val="20"/>
              </w:rPr>
              <w:t>12.5</w:t>
            </w:r>
          </w:p>
        </w:tc>
        <w:tc>
          <w:tcPr>
            <w:tcW w:w="378" w:type="pct"/>
            <w:vAlign w:val="center"/>
          </w:tcPr>
          <w:p w14:paraId="7D7F6C94" w14:textId="2CBA7580" w:rsidR="009C3E6A" w:rsidRPr="002A2C7D" w:rsidRDefault="009C3E6A" w:rsidP="009C3E6A">
            <w:pPr>
              <w:jc w:val="right"/>
              <w:rPr>
                <w:rFonts w:cstheme="minorHAnsi"/>
                <w:color w:val="000000"/>
                <w:sz w:val="20"/>
                <w:szCs w:val="20"/>
              </w:rPr>
            </w:pPr>
            <w:r w:rsidRPr="002A2C7D">
              <w:rPr>
                <w:rFonts w:cstheme="minorHAnsi"/>
                <w:color w:val="000000"/>
                <w:sz w:val="20"/>
                <w:szCs w:val="20"/>
              </w:rPr>
              <w:t>12.6</w:t>
            </w:r>
          </w:p>
        </w:tc>
        <w:tc>
          <w:tcPr>
            <w:tcW w:w="378" w:type="pct"/>
            <w:noWrap/>
            <w:vAlign w:val="center"/>
          </w:tcPr>
          <w:p w14:paraId="1C757057" w14:textId="083A6B4C" w:rsidR="009C3E6A" w:rsidRPr="002A2C7D" w:rsidRDefault="009C3E6A" w:rsidP="009C3E6A">
            <w:pPr>
              <w:jc w:val="right"/>
              <w:rPr>
                <w:rFonts w:cstheme="minorHAnsi"/>
                <w:color w:val="000000"/>
                <w:sz w:val="20"/>
                <w:szCs w:val="20"/>
              </w:rPr>
            </w:pPr>
            <w:r w:rsidRPr="002A2C7D">
              <w:rPr>
                <w:rFonts w:cstheme="minorHAnsi"/>
                <w:color w:val="000000"/>
                <w:sz w:val="20"/>
                <w:szCs w:val="20"/>
              </w:rPr>
              <w:t>13.0</w:t>
            </w:r>
          </w:p>
        </w:tc>
        <w:tc>
          <w:tcPr>
            <w:tcW w:w="378" w:type="pct"/>
            <w:noWrap/>
            <w:vAlign w:val="center"/>
          </w:tcPr>
          <w:p w14:paraId="606375C5" w14:textId="4432F423" w:rsidR="009C3E6A" w:rsidRPr="002A2C7D" w:rsidRDefault="009C3E6A" w:rsidP="009C3E6A">
            <w:pPr>
              <w:jc w:val="right"/>
              <w:rPr>
                <w:rFonts w:cstheme="minorHAnsi"/>
                <w:color w:val="000000"/>
                <w:sz w:val="20"/>
                <w:szCs w:val="20"/>
              </w:rPr>
            </w:pPr>
            <w:r w:rsidRPr="002A2C7D">
              <w:rPr>
                <w:rFonts w:cstheme="minorHAnsi"/>
                <w:color w:val="000000"/>
                <w:sz w:val="20"/>
                <w:szCs w:val="20"/>
              </w:rPr>
              <w:t>13.0</w:t>
            </w:r>
          </w:p>
        </w:tc>
        <w:tc>
          <w:tcPr>
            <w:tcW w:w="378" w:type="pct"/>
            <w:noWrap/>
            <w:vAlign w:val="center"/>
          </w:tcPr>
          <w:p w14:paraId="62AA014C" w14:textId="71CCBF06" w:rsidR="009C3E6A" w:rsidRPr="002A2C7D" w:rsidRDefault="009C3E6A" w:rsidP="009C3E6A">
            <w:pPr>
              <w:jc w:val="right"/>
              <w:rPr>
                <w:rFonts w:cstheme="minorHAnsi"/>
                <w:color w:val="000000"/>
                <w:sz w:val="20"/>
                <w:szCs w:val="20"/>
              </w:rPr>
            </w:pPr>
            <w:r w:rsidRPr="002A2C7D">
              <w:rPr>
                <w:rFonts w:cstheme="minorHAnsi"/>
                <w:color w:val="000000"/>
                <w:sz w:val="20"/>
                <w:szCs w:val="20"/>
              </w:rPr>
              <w:t>13.3</w:t>
            </w:r>
          </w:p>
        </w:tc>
        <w:tc>
          <w:tcPr>
            <w:tcW w:w="378" w:type="pct"/>
            <w:noWrap/>
            <w:vAlign w:val="center"/>
          </w:tcPr>
          <w:p w14:paraId="2F00AEAE" w14:textId="56C940FD" w:rsidR="009C3E6A" w:rsidRPr="002A2C7D" w:rsidRDefault="009C3E6A" w:rsidP="009C3E6A">
            <w:pPr>
              <w:jc w:val="right"/>
              <w:rPr>
                <w:rFonts w:cstheme="minorHAnsi"/>
                <w:color w:val="000000"/>
                <w:sz w:val="20"/>
                <w:szCs w:val="20"/>
              </w:rPr>
            </w:pPr>
            <w:r w:rsidRPr="002A2C7D">
              <w:rPr>
                <w:rFonts w:cstheme="minorHAnsi"/>
                <w:color w:val="000000"/>
                <w:sz w:val="20"/>
                <w:szCs w:val="20"/>
              </w:rPr>
              <w:t>13.2</w:t>
            </w:r>
          </w:p>
        </w:tc>
        <w:tc>
          <w:tcPr>
            <w:tcW w:w="378" w:type="pct"/>
            <w:noWrap/>
            <w:vAlign w:val="center"/>
          </w:tcPr>
          <w:p w14:paraId="483A1C88" w14:textId="01CF14D6" w:rsidR="009C3E6A" w:rsidRPr="002A2C7D" w:rsidRDefault="009C3E6A" w:rsidP="009C3E6A">
            <w:pPr>
              <w:jc w:val="right"/>
              <w:rPr>
                <w:rFonts w:cstheme="minorHAnsi"/>
                <w:color w:val="000000"/>
                <w:sz w:val="20"/>
                <w:szCs w:val="20"/>
              </w:rPr>
            </w:pPr>
            <w:r w:rsidRPr="002A2C7D">
              <w:rPr>
                <w:rFonts w:cstheme="minorHAnsi"/>
                <w:color w:val="000000"/>
                <w:sz w:val="20"/>
                <w:szCs w:val="20"/>
              </w:rPr>
              <w:t>13.4</w:t>
            </w:r>
          </w:p>
        </w:tc>
        <w:tc>
          <w:tcPr>
            <w:tcW w:w="377" w:type="pct"/>
            <w:noWrap/>
            <w:vAlign w:val="center"/>
          </w:tcPr>
          <w:p w14:paraId="786566A5" w14:textId="005F10F1" w:rsidR="009C3E6A" w:rsidRPr="002A2C7D" w:rsidRDefault="009C3E6A" w:rsidP="009C3E6A">
            <w:pPr>
              <w:jc w:val="right"/>
              <w:rPr>
                <w:rFonts w:cstheme="minorHAnsi"/>
                <w:color w:val="000000"/>
                <w:sz w:val="20"/>
                <w:szCs w:val="20"/>
              </w:rPr>
            </w:pPr>
            <w:r w:rsidRPr="002A2C7D">
              <w:rPr>
                <w:rFonts w:cstheme="minorHAnsi"/>
                <w:color w:val="000000"/>
                <w:sz w:val="20"/>
                <w:szCs w:val="20"/>
              </w:rPr>
              <w:t>13.</w:t>
            </w:r>
            <w:r>
              <w:rPr>
                <w:rFonts w:cstheme="minorHAnsi"/>
                <w:color w:val="000000"/>
                <w:sz w:val="20"/>
                <w:szCs w:val="20"/>
              </w:rPr>
              <w:t>4</w:t>
            </w:r>
          </w:p>
        </w:tc>
        <w:tc>
          <w:tcPr>
            <w:tcW w:w="383" w:type="pct"/>
            <w:noWrap/>
            <w:vAlign w:val="center"/>
          </w:tcPr>
          <w:p w14:paraId="651FAE97" w14:textId="5A198DB2" w:rsidR="009C3E6A" w:rsidRPr="002A2C7D" w:rsidRDefault="009C3E6A" w:rsidP="009C3E6A">
            <w:pPr>
              <w:jc w:val="right"/>
              <w:rPr>
                <w:rFonts w:cstheme="minorHAnsi"/>
                <w:color w:val="000000"/>
                <w:sz w:val="20"/>
                <w:szCs w:val="20"/>
              </w:rPr>
            </w:pPr>
            <w:r w:rsidRPr="002A2C7D">
              <w:rPr>
                <w:rFonts w:cstheme="minorHAnsi"/>
                <w:color w:val="000000"/>
                <w:sz w:val="20"/>
                <w:szCs w:val="20"/>
              </w:rPr>
              <w:t>13.4</w:t>
            </w:r>
          </w:p>
        </w:tc>
        <w:tc>
          <w:tcPr>
            <w:tcW w:w="382" w:type="pct"/>
            <w:noWrap/>
            <w:vAlign w:val="center"/>
          </w:tcPr>
          <w:p w14:paraId="0B79D15E" w14:textId="215DD395" w:rsidR="009C3E6A" w:rsidRPr="002A2C7D" w:rsidRDefault="009C3E6A" w:rsidP="009C3E6A">
            <w:pPr>
              <w:jc w:val="right"/>
              <w:rPr>
                <w:rFonts w:cstheme="minorHAnsi"/>
                <w:color w:val="000000"/>
                <w:sz w:val="20"/>
                <w:szCs w:val="20"/>
              </w:rPr>
            </w:pPr>
            <w:r w:rsidRPr="002A2C7D">
              <w:rPr>
                <w:rFonts w:cstheme="minorHAnsi"/>
                <w:color w:val="000000"/>
                <w:sz w:val="20"/>
                <w:szCs w:val="20"/>
              </w:rPr>
              <w:t>13.6</w:t>
            </w:r>
          </w:p>
        </w:tc>
      </w:tr>
      <w:tr w:rsidR="009C3E6A" w:rsidRPr="00D23AFA" w14:paraId="1E9F95D6" w14:textId="77777777" w:rsidTr="00B94D3E">
        <w:trPr>
          <w:cantSplit/>
          <w:trHeight w:val="20"/>
        </w:trPr>
        <w:tc>
          <w:tcPr>
            <w:tcW w:w="1212" w:type="pct"/>
            <w:noWrap/>
            <w:vAlign w:val="center"/>
            <w:hideMark/>
          </w:tcPr>
          <w:p w14:paraId="3A47577C"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35-39</w:t>
            </w:r>
          </w:p>
        </w:tc>
        <w:tc>
          <w:tcPr>
            <w:tcW w:w="378" w:type="pct"/>
            <w:vAlign w:val="center"/>
          </w:tcPr>
          <w:p w14:paraId="5DF3FAE6" w14:textId="278AB041" w:rsidR="009C3E6A" w:rsidRPr="002A2C7D" w:rsidRDefault="009C3E6A" w:rsidP="009C3E6A">
            <w:pPr>
              <w:jc w:val="right"/>
              <w:rPr>
                <w:rFonts w:cstheme="minorHAnsi"/>
                <w:color w:val="000000"/>
                <w:sz w:val="20"/>
                <w:szCs w:val="20"/>
              </w:rPr>
            </w:pPr>
            <w:r w:rsidRPr="002A2C7D">
              <w:rPr>
                <w:rFonts w:cstheme="minorHAnsi"/>
                <w:color w:val="000000"/>
                <w:sz w:val="20"/>
                <w:szCs w:val="20"/>
              </w:rPr>
              <w:t>10.1</w:t>
            </w:r>
          </w:p>
        </w:tc>
        <w:tc>
          <w:tcPr>
            <w:tcW w:w="378" w:type="pct"/>
            <w:vAlign w:val="center"/>
          </w:tcPr>
          <w:p w14:paraId="73ED3500" w14:textId="0E987F23" w:rsidR="009C3E6A" w:rsidRPr="002A2C7D" w:rsidRDefault="009C3E6A" w:rsidP="009C3E6A">
            <w:pPr>
              <w:jc w:val="right"/>
              <w:rPr>
                <w:rFonts w:cstheme="minorHAnsi"/>
                <w:color w:val="000000"/>
                <w:sz w:val="20"/>
                <w:szCs w:val="20"/>
              </w:rPr>
            </w:pPr>
            <w:r w:rsidRPr="002A2C7D">
              <w:rPr>
                <w:rFonts w:cstheme="minorHAnsi"/>
                <w:color w:val="000000"/>
                <w:sz w:val="20"/>
                <w:szCs w:val="20"/>
              </w:rPr>
              <w:t>10.1</w:t>
            </w:r>
          </w:p>
        </w:tc>
        <w:tc>
          <w:tcPr>
            <w:tcW w:w="378" w:type="pct"/>
            <w:noWrap/>
            <w:vAlign w:val="center"/>
          </w:tcPr>
          <w:p w14:paraId="6E172CF8" w14:textId="0B522D2C" w:rsidR="009C3E6A" w:rsidRPr="002A2C7D" w:rsidRDefault="009C3E6A" w:rsidP="009C3E6A">
            <w:pPr>
              <w:jc w:val="right"/>
              <w:rPr>
                <w:rFonts w:cstheme="minorHAnsi"/>
                <w:color w:val="000000"/>
                <w:sz w:val="20"/>
                <w:szCs w:val="20"/>
              </w:rPr>
            </w:pPr>
            <w:r w:rsidRPr="002A2C7D">
              <w:rPr>
                <w:rFonts w:cstheme="minorHAnsi"/>
                <w:color w:val="000000"/>
                <w:sz w:val="20"/>
                <w:szCs w:val="20"/>
              </w:rPr>
              <w:t>10.4</w:t>
            </w:r>
          </w:p>
        </w:tc>
        <w:tc>
          <w:tcPr>
            <w:tcW w:w="378" w:type="pct"/>
            <w:noWrap/>
            <w:vAlign w:val="center"/>
          </w:tcPr>
          <w:p w14:paraId="0A251C8F" w14:textId="6A9BA116" w:rsidR="009C3E6A" w:rsidRPr="002A2C7D" w:rsidRDefault="009C3E6A" w:rsidP="009C3E6A">
            <w:pPr>
              <w:jc w:val="right"/>
              <w:rPr>
                <w:rFonts w:cstheme="minorHAnsi"/>
                <w:color w:val="000000"/>
                <w:sz w:val="20"/>
                <w:szCs w:val="20"/>
              </w:rPr>
            </w:pPr>
            <w:r w:rsidRPr="002A2C7D">
              <w:rPr>
                <w:rFonts w:cstheme="minorHAnsi"/>
                <w:color w:val="000000"/>
                <w:sz w:val="20"/>
                <w:szCs w:val="20"/>
              </w:rPr>
              <w:t>10.3</w:t>
            </w:r>
          </w:p>
        </w:tc>
        <w:tc>
          <w:tcPr>
            <w:tcW w:w="378" w:type="pct"/>
            <w:noWrap/>
            <w:vAlign w:val="center"/>
          </w:tcPr>
          <w:p w14:paraId="4CC5542B" w14:textId="6F7FBA5B" w:rsidR="009C3E6A" w:rsidRPr="002A2C7D" w:rsidRDefault="009C3E6A" w:rsidP="009C3E6A">
            <w:pPr>
              <w:jc w:val="right"/>
              <w:rPr>
                <w:rFonts w:cstheme="minorHAnsi"/>
                <w:color w:val="000000"/>
                <w:sz w:val="20"/>
                <w:szCs w:val="20"/>
              </w:rPr>
            </w:pPr>
            <w:r w:rsidRPr="002A2C7D">
              <w:rPr>
                <w:rFonts w:cstheme="minorHAnsi"/>
                <w:color w:val="000000"/>
                <w:sz w:val="20"/>
                <w:szCs w:val="20"/>
              </w:rPr>
              <w:t>10.</w:t>
            </w:r>
            <w:r>
              <w:rPr>
                <w:rFonts w:cstheme="minorHAnsi"/>
                <w:color w:val="000000"/>
                <w:sz w:val="20"/>
                <w:szCs w:val="20"/>
              </w:rPr>
              <w:t>4</w:t>
            </w:r>
          </w:p>
        </w:tc>
        <w:tc>
          <w:tcPr>
            <w:tcW w:w="378" w:type="pct"/>
            <w:noWrap/>
            <w:vAlign w:val="center"/>
          </w:tcPr>
          <w:p w14:paraId="493AD4A1" w14:textId="121D2E72" w:rsidR="009C3E6A" w:rsidRPr="002A2C7D" w:rsidRDefault="009C3E6A" w:rsidP="009C3E6A">
            <w:pPr>
              <w:jc w:val="right"/>
              <w:rPr>
                <w:rFonts w:cstheme="minorHAnsi"/>
                <w:color w:val="000000"/>
                <w:sz w:val="20"/>
                <w:szCs w:val="20"/>
              </w:rPr>
            </w:pPr>
            <w:r w:rsidRPr="002A2C7D">
              <w:rPr>
                <w:rFonts w:cstheme="minorHAnsi"/>
                <w:color w:val="000000"/>
                <w:sz w:val="20"/>
                <w:szCs w:val="20"/>
              </w:rPr>
              <w:t>10.5</w:t>
            </w:r>
          </w:p>
        </w:tc>
        <w:tc>
          <w:tcPr>
            <w:tcW w:w="378" w:type="pct"/>
            <w:noWrap/>
            <w:vAlign w:val="center"/>
          </w:tcPr>
          <w:p w14:paraId="70FC0A9D" w14:textId="048B88C9" w:rsidR="009C3E6A" w:rsidRPr="002A2C7D" w:rsidRDefault="009C3E6A" w:rsidP="009C3E6A">
            <w:pPr>
              <w:jc w:val="right"/>
              <w:rPr>
                <w:rFonts w:cstheme="minorHAnsi"/>
                <w:color w:val="000000"/>
                <w:sz w:val="20"/>
                <w:szCs w:val="20"/>
              </w:rPr>
            </w:pPr>
            <w:r w:rsidRPr="002A2C7D">
              <w:rPr>
                <w:rFonts w:cstheme="minorHAnsi"/>
                <w:color w:val="000000"/>
                <w:sz w:val="20"/>
                <w:szCs w:val="20"/>
              </w:rPr>
              <w:t>10.7</w:t>
            </w:r>
          </w:p>
        </w:tc>
        <w:tc>
          <w:tcPr>
            <w:tcW w:w="377" w:type="pct"/>
            <w:noWrap/>
            <w:vAlign w:val="center"/>
          </w:tcPr>
          <w:p w14:paraId="103018FB" w14:textId="780B316D" w:rsidR="009C3E6A" w:rsidRPr="002A2C7D" w:rsidRDefault="009C3E6A" w:rsidP="009C3E6A">
            <w:pPr>
              <w:jc w:val="right"/>
              <w:rPr>
                <w:rFonts w:cstheme="minorHAnsi"/>
                <w:color w:val="000000"/>
                <w:sz w:val="20"/>
                <w:szCs w:val="20"/>
              </w:rPr>
            </w:pPr>
            <w:r w:rsidRPr="002A2C7D">
              <w:rPr>
                <w:rFonts w:cstheme="minorHAnsi"/>
                <w:color w:val="000000"/>
                <w:sz w:val="20"/>
                <w:szCs w:val="20"/>
              </w:rPr>
              <w:t>10.4</w:t>
            </w:r>
          </w:p>
        </w:tc>
        <w:tc>
          <w:tcPr>
            <w:tcW w:w="383" w:type="pct"/>
            <w:noWrap/>
            <w:vAlign w:val="center"/>
          </w:tcPr>
          <w:p w14:paraId="203B170C" w14:textId="60741B75" w:rsidR="009C3E6A" w:rsidRPr="002A2C7D" w:rsidRDefault="009C3E6A" w:rsidP="009C3E6A">
            <w:pPr>
              <w:jc w:val="right"/>
              <w:rPr>
                <w:rFonts w:cstheme="minorHAnsi"/>
                <w:color w:val="000000"/>
                <w:sz w:val="20"/>
                <w:szCs w:val="20"/>
              </w:rPr>
            </w:pPr>
            <w:r w:rsidRPr="002A2C7D">
              <w:rPr>
                <w:rFonts w:cstheme="minorHAnsi"/>
                <w:color w:val="000000"/>
                <w:sz w:val="20"/>
                <w:szCs w:val="20"/>
              </w:rPr>
              <w:t>10.6</w:t>
            </w:r>
          </w:p>
        </w:tc>
        <w:tc>
          <w:tcPr>
            <w:tcW w:w="382" w:type="pct"/>
            <w:noWrap/>
            <w:vAlign w:val="center"/>
          </w:tcPr>
          <w:p w14:paraId="15EFF43D" w14:textId="614E30E4" w:rsidR="009C3E6A" w:rsidRPr="002A2C7D" w:rsidRDefault="009C3E6A" w:rsidP="009C3E6A">
            <w:pPr>
              <w:jc w:val="right"/>
              <w:rPr>
                <w:rFonts w:cstheme="minorHAnsi"/>
                <w:color w:val="000000"/>
                <w:sz w:val="20"/>
                <w:szCs w:val="20"/>
              </w:rPr>
            </w:pPr>
            <w:r w:rsidRPr="002A2C7D">
              <w:rPr>
                <w:rFonts w:cstheme="minorHAnsi"/>
                <w:color w:val="000000"/>
                <w:sz w:val="20"/>
                <w:szCs w:val="20"/>
              </w:rPr>
              <w:t>10.4</w:t>
            </w:r>
          </w:p>
        </w:tc>
      </w:tr>
      <w:tr w:rsidR="009C3E6A" w:rsidRPr="00D23AFA" w14:paraId="44156959" w14:textId="77777777" w:rsidTr="00B94D3E">
        <w:trPr>
          <w:cantSplit/>
          <w:trHeight w:val="20"/>
        </w:trPr>
        <w:tc>
          <w:tcPr>
            <w:tcW w:w="1212" w:type="pct"/>
            <w:noWrap/>
            <w:vAlign w:val="center"/>
            <w:hideMark/>
          </w:tcPr>
          <w:p w14:paraId="6B43E684"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40 and over</w:t>
            </w:r>
          </w:p>
        </w:tc>
        <w:tc>
          <w:tcPr>
            <w:tcW w:w="378" w:type="pct"/>
            <w:vAlign w:val="center"/>
          </w:tcPr>
          <w:p w14:paraId="26EF4380" w14:textId="0FB68F6B" w:rsidR="009C3E6A" w:rsidRPr="002A2C7D" w:rsidRDefault="009C3E6A" w:rsidP="009C3E6A">
            <w:pPr>
              <w:jc w:val="right"/>
              <w:rPr>
                <w:rFonts w:cstheme="minorHAnsi"/>
                <w:color w:val="000000"/>
                <w:sz w:val="20"/>
                <w:szCs w:val="20"/>
              </w:rPr>
            </w:pPr>
            <w:r w:rsidRPr="002A2C7D">
              <w:rPr>
                <w:rFonts w:cstheme="minorHAnsi"/>
                <w:color w:val="000000"/>
                <w:sz w:val="20"/>
                <w:szCs w:val="20"/>
              </w:rPr>
              <w:t>8.</w:t>
            </w:r>
            <w:r>
              <w:rPr>
                <w:rFonts w:cstheme="minorHAnsi"/>
                <w:color w:val="000000"/>
                <w:sz w:val="20"/>
                <w:szCs w:val="20"/>
              </w:rPr>
              <w:t>6</w:t>
            </w:r>
          </w:p>
        </w:tc>
        <w:tc>
          <w:tcPr>
            <w:tcW w:w="378" w:type="pct"/>
            <w:vAlign w:val="center"/>
          </w:tcPr>
          <w:p w14:paraId="43FD4E8E" w14:textId="69A8C79F" w:rsidR="009C3E6A" w:rsidRPr="002A2C7D" w:rsidRDefault="009C3E6A" w:rsidP="009C3E6A">
            <w:pPr>
              <w:jc w:val="right"/>
              <w:rPr>
                <w:rFonts w:cstheme="minorHAnsi"/>
                <w:color w:val="000000"/>
                <w:sz w:val="20"/>
                <w:szCs w:val="20"/>
              </w:rPr>
            </w:pPr>
            <w:r w:rsidRPr="002A2C7D">
              <w:rPr>
                <w:rFonts w:cstheme="minorHAnsi"/>
                <w:color w:val="000000"/>
                <w:sz w:val="20"/>
                <w:szCs w:val="20"/>
              </w:rPr>
              <w:t>8.4</w:t>
            </w:r>
          </w:p>
        </w:tc>
        <w:tc>
          <w:tcPr>
            <w:tcW w:w="378" w:type="pct"/>
            <w:noWrap/>
            <w:vAlign w:val="center"/>
          </w:tcPr>
          <w:p w14:paraId="67BB7B3F" w14:textId="0AFF111B" w:rsidR="009C3E6A" w:rsidRPr="002A2C7D" w:rsidRDefault="009C3E6A" w:rsidP="009C3E6A">
            <w:pPr>
              <w:jc w:val="right"/>
              <w:rPr>
                <w:rFonts w:cstheme="minorHAnsi"/>
                <w:color w:val="000000"/>
                <w:sz w:val="20"/>
                <w:szCs w:val="20"/>
              </w:rPr>
            </w:pPr>
            <w:r w:rsidRPr="002A2C7D">
              <w:rPr>
                <w:rFonts w:cstheme="minorHAnsi"/>
                <w:color w:val="000000"/>
                <w:sz w:val="20"/>
                <w:szCs w:val="20"/>
              </w:rPr>
              <w:t>8.7</w:t>
            </w:r>
          </w:p>
        </w:tc>
        <w:tc>
          <w:tcPr>
            <w:tcW w:w="378" w:type="pct"/>
            <w:noWrap/>
            <w:vAlign w:val="center"/>
          </w:tcPr>
          <w:p w14:paraId="1E73FBAD" w14:textId="763FF353" w:rsidR="009C3E6A" w:rsidRPr="002A2C7D" w:rsidRDefault="009C3E6A" w:rsidP="009C3E6A">
            <w:pPr>
              <w:jc w:val="right"/>
              <w:rPr>
                <w:rFonts w:cstheme="minorHAnsi"/>
                <w:color w:val="000000"/>
                <w:sz w:val="20"/>
                <w:szCs w:val="20"/>
              </w:rPr>
            </w:pPr>
            <w:r w:rsidRPr="002A2C7D">
              <w:rPr>
                <w:rFonts w:cstheme="minorHAnsi"/>
                <w:color w:val="000000"/>
                <w:sz w:val="20"/>
                <w:szCs w:val="20"/>
              </w:rPr>
              <w:t>8.1</w:t>
            </w:r>
          </w:p>
        </w:tc>
        <w:tc>
          <w:tcPr>
            <w:tcW w:w="378" w:type="pct"/>
            <w:noWrap/>
            <w:vAlign w:val="center"/>
          </w:tcPr>
          <w:p w14:paraId="628AE2E1" w14:textId="0E66B20A" w:rsidR="009C3E6A" w:rsidRPr="002A2C7D" w:rsidRDefault="009C3E6A" w:rsidP="009C3E6A">
            <w:pPr>
              <w:jc w:val="right"/>
              <w:rPr>
                <w:rFonts w:cstheme="minorHAnsi"/>
                <w:color w:val="000000"/>
                <w:sz w:val="20"/>
                <w:szCs w:val="20"/>
              </w:rPr>
            </w:pPr>
            <w:r w:rsidRPr="002A2C7D">
              <w:rPr>
                <w:rFonts w:cstheme="minorHAnsi"/>
                <w:color w:val="000000"/>
                <w:sz w:val="20"/>
                <w:szCs w:val="20"/>
              </w:rPr>
              <w:t>7.8</w:t>
            </w:r>
          </w:p>
        </w:tc>
        <w:tc>
          <w:tcPr>
            <w:tcW w:w="378" w:type="pct"/>
            <w:noWrap/>
            <w:vAlign w:val="center"/>
          </w:tcPr>
          <w:p w14:paraId="052EB313" w14:textId="14C8D8EA" w:rsidR="009C3E6A" w:rsidRPr="002A2C7D" w:rsidRDefault="009C3E6A" w:rsidP="009C3E6A">
            <w:pPr>
              <w:jc w:val="right"/>
              <w:rPr>
                <w:rFonts w:cstheme="minorHAnsi"/>
                <w:color w:val="000000"/>
                <w:sz w:val="20"/>
                <w:szCs w:val="20"/>
              </w:rPr>
            </w:pPr>
            <w:r w:rsidRPr="002A2C7D">
              <w:rPr>
                <w:rFonts w:cstheme="minorHAnsi"/>
                <w:color w:val="000000"/>
                <w:sz w:val="20"/>
                <w:szCs w:val="20"/>
              </w:rPr>
              <w:t>8.3</w:t>
            </w:r>
          </w:p>
        </w:tc>
        <w:tc>
          <w:tcPr>
            <w:tcW w:w="378" w:type="pct"/>
            <w:noWrap/>
            <w:vAlign w:val="center"/>
          </w:tcPr>
          <w:p w14:paraId="6B989181" w14:textId="78365415" w:rsidR="009C3E6A" w:rsidRPr="002A2C7D" w:rsidRDefault="009C3E6A" w:rsidP="009C3E6A">
            <w:pPr>
              <w:jc w:val="right"/>
              <w:rPr>
                <w:rFonts w:cstheme="minorHAnsi"/>
                <w:color w:val="000000"/>
                <w:sz w:val="20"/>
                <w:szCs w:val="20"/>
              </w:rPr>
            </w:pPr>
            <w:r w:rsidRPr="002A2C7D">
              <w:rPr>
                <w:rFonts w:cstheme="minorHAnsi"/>
                <w:color w:val="000000"/>
                <w:sz w:val="20"/>
                <w:szCs w:val="20"/>
              </w:rPr>
              <w:t>8.4</w:t>
            </w:r>
          </w:p>
        </w:tc>
        <w:tc>
          <w:tcPr>
            <w:tcW w:w="377" w:type="pct"/>
            <w:noWrap/>
            <w:vAlign w:val="center"/>
          </w:tcPr>
          <w:p w14:paraId="5712E524" w14:textId="5744A9FB" w:rsidR="009C3E6A" w:rsidRPr="002A2C7D" w:rsidRDefault="009C3E6A" w:rsidP="009C3E6A">
            <w:pPr>
              <w:jc w:val="right"/>
              <w:rPr>
                <w:rFonts w:cstheme="minorHAnsi"/>
                <w:color w:val="000000"/>
                <w:sz w:val="20"/>
                <w:szCs w:val="20"/>
              </w:rPr>
            </w:pPr>
            <w:r w:rsidRPr="002A2C7D">
              <w:rPr>
                <w:rFonts w:cstheme="minorHAnsi"/>
                <w:color w:val="000000"/>
                <w:sz w:val="20"/>
                <w:szCs w:val="20"/>
              </w:rPr>
              <w:t>7.</w:t>
            </w:r>
            <w:r>
              <w:rPr>
                <w:rFonts w:cstheme="minorHAnsi"/>
                <w:color w:val="000000"/>
                <w:sz w:val="20"/>
                <w:szCs w:val="20"/>
              </w:rPr>
              <w:t>8</w:t>
            </w:r>
          </w:p>
        </w:tc>
        <w:tc>
          <w:tcPr>
            <w:tcW w:w="383" w:type="pct"/>
            <w:noWrap/>
            <w:vAlign w:val="center"/>
          </w:tcPr>
          <w:p w14:paraId="0AED89D9" w14:textId="0039E1DF" w:rsidR="009C3E6A" w:rsidRPr="002A2C7D" w:rsidRDefault="009C3E6A" w:rsidP="009C3E6A">
            <w:pPr>
              <w:jc w:val="right"/>
              <w:rPr>
                <w:rFonts w:cstheme="minorHAnsi"/>
                <w:color w:val="000000"/>
                <w:sz w:val="20"/>
                <w:szCs w:val="20"/>
              </w:rPr>
            </w:pPr>
            <w:r w:rsidRPr="002A2C7D">
              <w:rPr>
                <w:rFonts w:cstheme="minorHAnsi"/>
                <w:color w:val="000000"/>
                <w:sz w:val="20"/>
                <w:szCs w:val="20"/>
              </w:rPr>
              <w:t>8.4</w:t>
            </w:r>
          </w:p>
        </w:tc>
        <w:tc>
          <w:tcPr>
            <w:tcW w:w="382" w:type="pct"/>
            <w:noWrap/>
            <w:vAlign w:val="center"/>
          </w:tcPr>
          <w:p w14:paraId="55CDEF4C" w14:textId="479AD9C4" w:rsidR="009C3E6A" w:rsidRPr="002A2C7D" w:rsidRDefault="009C3E6A" w:rsidP="009C3E6A">
            <w:pPr>
              <w:jc w:val="right"/>
              <w:rPr>
                <w:rFonts w:cstheme="minorHAnsi"/>
                <w:color w:val="000000"/>
                <w:sz w:val="20"/>
                <w:szCs w:val="20"/>
              </w:rPr>
            </w:pPr>
            <w:r w:rsidRPr="002A2C7D">
              <w:rPr>
                <w:rFonts w:cstheme="minorHAnsi"/>
                <w:color w:val="000000"/>
                <w:sz w:val="20"/>
                <w:szCs w:val="20"/>
              </w:rPr>
              <w:t>7.7</w:t>
            </w:r>
          </w:p>
        </w:tc>
      </w:tr>
      <w:tr w:rsidR="005809B7" w:rsidRPr="00EB1AF3" w14:paraId="4D27EFD6" w14:textId="77777777" w:rsidTr="005809B7">
        <w:trPr>
          <w:cantSplit/>
          <w:trHeight w:val="20"/>
        </w:trPr>
        <w:tc>
          <w:tcPr>
            <w:tcW w:w="5000" w:type="pct"/>
            <w:gridSpan w:val="11"/>
            <w:noWrap/>
            <w:vAlign w:val="center"/>
            <w:hideMark/>
          </w:tcPr>
          <w:p w14:paraId="3903777F" w14:textId="0187E8C9" w:rsidR="005809B7" w:rsidRPr="002A2C7D" w:rsidRDefault="005809B7" w:rsidP="00B94D3E">
            <w:pPr>
              <w:rPr>
                <w:rFonts w:cstheme="minorHAnsi"/>
                <w:b/>
                <w:bCs/>
                <w:sz w:val="20"/>
                <w:szCs w:val="20"/>
              </w:rPr>
            </w:pPr>
            <w:r w:rsidRPr="002A2C7D">
              <w:rPr>
                <w:rFonts w:cstheme="minorHAnsi"/>
                <w:b/>
                <w:bCs/>
                <w:color w:val="000000"/>
                <w:sz w:val="20"/>
                <w:szCs w:val="20"/>
              </w:rPr>
              <w:t>Mother's country of birth</w:t>
            </w:r>
          </w:p>
        </w:tc>
      </w:tr>
      <w:tr w:rsidR="009C3E6A" w:rsidRPr="00D23AFA" w14:paraId="7B41E5F4" w14:textId="77777777" w:rsidTr="00B94D3E">
        <w:trPr>
          <w:cantSplit/>
          <w:trHeight w:val="20"/>
        </w:trPr>
        <w:tc>
          <w:tcPr>
            <w:tcW w:w="1212" w:type="pct"/>
            <w:noWrap/>
            <w:vAlign w:val="center"/>
            <w:hideMark/>
          </w:tcPr>
          <w:p w14:paraId="1028C33B"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Born in Australia</w:t>
            </w:r>
          </w:p>
        </w:tc>
        <w:tc>
          <w:tcPr>
            <w:tcW w:w="378" w:type="pct"/>
            <w:vAlign w:val="center"/>
          </w:tcPr>
          <w:p w14:paraId="06D663C9" w14:textId="1AA0FF10" w:rsidR="009C3E6A" w:rsidRPr="002A2C7D" w:rsidRDefault="009C3E6A" w:rsidP="009C3E6A">
            <w:pPr>
              <w:jc w:val="right"/>
              <w:rPr>
                <w:rFonts w:cstheme="minorHAnsi"/>
                <w:color w:val="000000"/>
                <w:sz w:val="20"/>
                <w:szCs w:val="20"/>
              </w:rPr>
            </w:pPr>
            <w:r w:rsidRPr="002A2C7D">
              <w:rPr>
                <w:rFonts w:cstheme="minorHAnsi"/>
                <w:color w:val="000000"/>
                <w:sz w:val="20"/>
                <w:szCs w:val="20"/>
              </w:rPr>
              <w:t>11.4</w:t>
            </w:r>
          </w:p>
        </w:tc>
        <w:tc>
          <w:tcPr>
            <w:tcW w:w="378" w:type="pct"/>
            <w:vAlign w:val="center"/>
          </w:tcPr>
          <w:p w14:paraId="69BED615" w14:textId="2D65B5EC" w:rsidR="009C3E6A" w:rsidRPr="002A2C7D" w:rsidRDefault="009C3E6A" w:rsidP="009C3E6A">
            <w:pPr>
              <w:jc w:val="right"/>
              <w:rPr>
                <w:rFonts w:cstheme="minorHAnsi"/>
                <w:color w:val="000000"/>
                <w:sz w:val="20"/>
                <w:szCs w:val="20"/>
              </w:rPr>
            </w:pPr>
            <w:r w:rsidRPr="002A2C7D">
              <w:rPr>
                <w:rFonts w:cstheme="minorHAnsi"/>
                <w:color w:val="000000"/>
                <w:sz w:val="20"/>
                <w:szCs w:val="20"/>
              </w:rPr>
              <w:t>11.4</w:t>
            </w:r>
          </w:p>
        </w:tc>
        <w:tc>
          <w:tcPr>
            <w:tcW w:w="378" w:type="pct"/>
            <w:noWrap/>
            <w:vAlign w:val="center"/>
          </w:tcPr>
          <w:p w14:paraId="5927C915" w14:textId="3200DF8C"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c>
          <w:tcPr>
            <w:tcW w:w="378" w:type="pct"/>
            <w:noWrap/>
            <w:vAlign w:val="center"/>
          </w:tcPr>
          <w:p w14:paraId="665A0238" w14:textId="668CDC44"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c>
          <w:tcPr>
            <w:tcW w:w="378" w:type="pct"/>
            <w:noWrap/>
            <w:vAlign w:val="center"/>
          </w:tcPr>
          <w:p w14:paraId="26140526" w14:textId="44EB17CF"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c>
          <w:tcPr>
            <w:tcW w:w="378" w:type="pct"/>
            <w:noWrap/>
            <w:vAlign w:val="center"/>
          </w:tcPr>
          <w:p w14:paraId="69163E5F" w14:textId="09FD4AC0"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c>
          <w:tcPr>
            <w:tcW w:w="378" w:type="pct"/>
            <w:noWrap/>
            <w:vAlign w:val="center"/>
          </w:tcPr>
          <w:p w14:paraId="1563ABDD" w14:textId="55296677" w:rsidR="009C3E6A" w:rsidRPr="002A2C7D" w:rsidRDefault="009C3E6A" w:rsidP="009C3E6A">
            <w:pPr>
              <w:jc w:val="right"/>
              <w:rPr>
                <w:rFonts w:cstheme="minorHAnsi"/>
                <w:color w:val="000000"/>
                <w:sz w:val="20"/>
                <w:szCs w:val="20"/>
              </w:rPr>
            </w:pPr>
            <w:r w:rsidRPr="002A2C7D">
              <w:rPr>
                <w:rFonts w:cstheme="minorHAnsi"/>
                <w:color w:val="000000"/>
                <w:sz w:val="20"/>
                <w:szCs w:val="20"/>
              </w:rPr>
              <w:t>11.8</w:t>
            </w:r>
          </w:p>
        </w:tc>
        <w:tc>
          <w:tcPr>
            <w:tcW w:w="377" w:type="pct"/>
            <w:noWrap/>
            <w:vAlign w:val="center"/>
          </w:tcPr>
          <w:p w14:paraId="2BC4FF99" w14:textId="304CBE58" w:rsidR="009C3E6A" w:rsidRPr="002A2C7D" w:rsidRDefault="009C3E6A" w:rsidP="009C3E6A">
            <w:pPr>
              <w:jc w:val="right"/>
              <w:rPr>
                <w:rFonts w:cstheme="minorHAnsi"/>
                <w:color w:val="000000"/>
                <w:sz w:val="20"/>
                <w:szCs w:val="20"/>
              </w:rPr>
            </w:pPr>
            <w:r w:rsidRPr="002A2C7D">
              <w:rPr>
                <w:rFonts w:cstheme="minorHAnsi"/>
                <w:color w:val="000000"/>
                <w:sz w:val="20"/>
                <w:szCs w:val="20"/>
              </w:rPr>
              <w:t>11.6</w:t>
            </w:r>
          </w:p>
        </w:tc>
        <w:tc>
          <w:tcPr>
            <w:tcW w:w="383" w:type="pct"/>
            <w:noWrap/>
            <w:vAlign w:val="center"/>
          </w:tcPr>
          <w:p w14:paraId="3F8E60E8" w14:textId="0B2F0B04" w:rsidR="009C3E6A" w:rsidRPr="002A2C7D" w:rsidRDefault="009C3E6A" w:rsidP="009C3E6A">
            <w:pPr>
              <w:jc w:val="right"/>
              <w:rPr>
                <w:rFonts w:cstheme="minorHAnsi"/>
                <w:color w:val="000000"/>
                <w:sz w:val="20"/>
                <w:szCs w:val="20"/>
              </w:rPr>
            </w:pPr>
            <w:r w:rsidRPr="002A2C7D">
              <w:rPr>
                <w:rFonts w:cstheme="minorHAnsi"/>
                <w:color w:val="000000"/>
                <w:sz w:val="20"/>
                <w:szCs w:val="20"/>
              </w:rPr>
              <w:t>11.6</w:t>
            </w:r>
          </w:p>
        </w:tc>
        <w:tc>
          <w:tcPr>
            <w:tcW w:w="382" w:type="pct"/>
            <w:noWrap/>
            <w:vAlign w:val="center"/>
          </w:tcPr>
          <w:p w14:paraId="54287354" w14:textId="26C65226"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r>
      <w:tr w:rsidR="009C3E6A" w:rsidRPr="00D23AFA" w14:paraId="05B661E7" w14:textId="77777777" w:rsidTr="00B94D3E">
        <w:trPr>
          <w:cantSplit/>
          <w:trHeight w:val="20"/>
        </w:trPr>
        <w:tc>
          <w:tcPr>
            <w:tcW w:w="1212" w:type="pct"/>
            <w:noWrap/>
            <w:vAlign w:val="center"/>
            <w:hideMark/>
          </w:tcPr>
          <w:p w14:paraId="2A1FCD02"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Born overseas</w:t>
            </w:r>
          </w:p>
        </w:tc>
        <w:tc>
          <w:tcPr>
            <w:tcW w:w="378" w:type="pct"/>
            <w:vAlign w:val="center"/>
          </w:tcPr>
          <w:p w14:paraId="210899E0" w14:textId="214A5067" w:rsidR="009C3E6A" w:rsidRPr="002A2C7D" w:rsidRDefault="009C3E6A" w:rsidP="009C3E6A">
            <w:pPr>
              <w:jc w:val="right"/>
              <w:rPr>
                <w:rFonts w:cstheme="minorHAnsi"/>
                <w:color w:val="000000"/>
                <w:sz w:val="20"/>
                <w:szCs w:val="20"/>
              </w:rPr>
            </w:pPr>
            <w:r w:rsidRPr="002A2C7D">
              <w:rPr>
                <w:rFonts w:cstheme="minorHAnsi"/>
                <w:color w:val="000000"/>
                <w:sz w:val="20"/>
                <w:szCs w:val="20"/>
              </w:rPr>
              <w:t>13.</w:t>
            </w:r>
            <w:r>
              <w:rPr>
                <w:rFonts w:cstheme="minorHAnsi"/>
                <w:color w:val="000000"/>
                <w:sz w:val="20"/>
                <w:szCs w:val="20"/>
              </w:rPr>
              <w:t>7</w:t>
            </w:r>
          </w:p>
        </w:tc>
        <w:tc>
          <w:tcPr>
            <w:tcW w:w="378" w:type="pct"/>
            <w:vAlign w:val="center"/>
          </w:tcPr>
          <w:p w14:paraId="6203D92D" w14:textId="3AFB35AB" w:rsidR="009C3E6A" w:rsidRPr="002A2C7D" w:rsidRDefault="009C3E6A" w:rsidP="009C3E6A">
            <w:pPr>
              <w:jc w:val="right"/>
              <w:rPr>
                <w:rFonts w:cstheme="minorHAnsi"/>
                <w:color w:val="000000"/>
                <w:sz w:val="20"/>
                <w:szCs w:val="20"/>
              </w:rPr>
            </w:pPr>
            <w:r w:rsidRPr="002A2C7D">
              <w:rPr>
                <w:rFonts w:cstheme="minorHAnsi"/>
                <w:color w:val="000000"/>
                <w:sz w:val="20"/>
                <w:szCs w:val="20"/>
              </w:rPr>
              <w:t>13.8</w:t>
            </w:r>
          </w:p>
        </w:tc>
        <w:tc>
          <w:tcPr>
            <w:tcW w:w="378" w:type="pct"/>
            <w:noWrap/>
            <w:vAlign w:val="center"/>
          </w:tcPr>
          <w:p w14:paraId="48AF7308" w14:textId="5246A814" w:rsidR="009C3E6A" w:rsidRPr="002A2C7D" w:rsidRDefault="009C3E6A" w:rsidP="009C3E6A">
            <w:pPr>
              <w:jc w:val="right"/>
              <w:rPr>
                <w:rFonts w:cstheme="minorHAnsi"/>
                <w:color w:val="000000"/>
                <w:sz w:val="20"/>
                <w:szCs w:val="20"/>
              </w:rPr>
            </w:pPr>
            <w:r w:rsidRPr="002A2C7D">
              <w:rPr>
                <w:rFonts w:cstheme="minorHAnsi"/>
                <w:color w:val="000000"/>
                <w:sz w:val="20"/>
                <w:szCs w:val="20"/>
              </w:rPr>
              <w:t>14.</w:t>
            </w:r>
            <w:r>
              <w:rPr>
                <w:rFonts w:cstheme="minorHAnsi"/>
                <w:color w:val="000000"/>
                <w:sz w:val="20"/>
                <w:szCs w:val="20"/>
              </w:rPr>
              <w:t>0</w:t>
            </w:r>
          </w:p>
        </w:tc>
        <w:tc>
          <w:tcPr>
            <w:tcW w:w="378" w:type="pct"/>
            <w:noWrap/>
            <w:vAlign w:val="center"/>
          </w:tcPr>
          <w:p w14:paraId="0DDCD206" w14:textId="7BAAE1A0" w:rsidR="009C3E6A" w:rsidRPr="002A2C7D" w:rsidRDefault="009C3E6A" w:rsidP="009C3E6A">
            <w:pPr>
              <w:jc w:val="right"/>
              <w:rPr>
                <w:rFonts w:cstheme="minorHAnsi"/>
                <w:color w:val="000000"/>
                <w:sz w:val="20"/>
                <w:szCs w:val="20"/>
              </w:rPr>
            </w:pPr>
            <w:r w:rsidRPr="002A2C7D">
              <w:rPr>
                <w:rFonts w:cstheme="minorHAnsi"/>
                <w:color w:val="000000"/>
                <w:sz w:val="20"/>
                <w:szCs w:val="20"/>
              </w:rPr>
              <w:t>14.0</w:t>
            </w:r>
          </w:p>
        </w:tc>
        <w:tc>
          <w:tcPr>
            <w:tcW w:w="378" w:type="pct"/>
            <w:noWrap/>
            <w:vAlign w:val="center"/>
          </w:tcPr>
          <w:p w14:paraId="6B71FB08" w14:textId="659EB993" w:rsidR="009C3E6A" w:rsidRPr="002A2C7D" w:rsidRDefault="009C3E6A" w:rsidP="009C3E6A">
            <w:pPr>
              <w:jc w:val="right"/>
              <w:rPr>
                <w:rFonts w:cstheme="minorHAnsi"/>
                <w:color w:val="000000"/>
                <w:sz w:val="20"/>
                <w:szCs w:val="20"/>
              </w:rPr>
            </w:pPr>
            <w:r w:rsidRPr="002A2C7D">
              <w:rPr>
                <w:rFonts w:cstheme="minorHAnsi"/>
                <w:color w:val="000000"/>
                <w:sz w:val="20"/>
                <w:szCs w:val="20"/>
              </w:rPr>
              <w:t>14.0</w:t>
            </w:r>
          </w:p>
        </w:tc>
        <w:tc>
          <w:tcPr>
            <w:tcW w:w="378" w:type="pct"/>
            <w:noWrap/>
            <w:vAlign w:val="center"/>
          </w:tcPr>
          <w:p w14:paraId="0EB84D5B" w14:textId="15421F63" w:rsidR="009C3E6A" w:rsidRPr="002A2C7D" w:rsidRDefault="009C3E6A" w:rsidP="009C3E6A">
            <w:pPr>
              <w:jc w:val="right"/>
              <w:rPr>
                <w:rFonts w:cstheme="minorHAnsi"/>
                <w:color w:val="000000"/>
                <w:sz w:val="20"/>
                <w:szCs w:val="20"/>
              </w:rPr>
            </w:pPr>
            <w:r w:rsidRPr="002A2C7D">
              <w:rPr>
                <w:rFonts w:cstheme="minorHAnsi"/>
                <w:color w:val="000000"/>
                <w:sz w:val="20"/>
                <w:szCs w:val="20"/>
              </w:rPr>
              <w:t>14.0</w:t>
            </w:r>
          </w:p>
        </w:tc>
        <w:tc>
          <w:tcPr>
            <w:tcW w:w="378" w:type="pct"/>
            <w:noWrap/>
            <w:vAlign w:val="center"/>
          </w:tcPr>
          <w:p w14:paraId="4F7C61D1" w14:textId="24BACA6B" w:rsidR="009C3E6A" w:rsidRPr="002A2C7D" w:rsidRDefault="009C3E6A" w:rsidP="009C3E6A">
            <w:pPr>
              <w:jc w:val="right"/>
              <w:rPr>
                <w:rFonts w:cstheme="minorHAnsi"/>
                <w:color w:val="000000"/>
                <w:sz w:val="20"/>
                <w:szCs w:val="20"/>
              </w:rPr>
            </w:pPr>
            <w:r w:rsidRPr="002A2C7D">
              <w:rPr>
                <w:rFonts w:cstheme="minorHAnsi"/>
                <w:color w:val="000000"/>
                <w:sz w:val="20"/>
                <w:szCs w:val="20"/>
              </w:rPr>
              <w:t>14.5</w:t>
            </w:r>
          </w:p>
        </w:tc>
        <w:tc>
          <w:tcPr>
            <w:tcW w:w="377" w:type="pct"/>
            <w:noWrap/>
            <w:vAlign w:val="center"/>
          </w:tcPr>
          <w:p w14:paraId="71C16CE2" w14:textId="2CF44037" w:rsidR="009C3E6A" w:rsidRPr="002A2C7D" w:rsidRDefault="009C3E6A" w:rsidP="009C3E6A">
            <w:pPr>
              <w:jc w:val="right"/>
              <w:rPr>
                <w:rFonts w:cstheme="minorHAnsi"/>
                <w:color w:val="000000"/>
                <w:sz w:val="20"/>
                <w:szCs w:val="20"/>
              </w:rPr>
            </w:pPr>
            <w:r w:rsidRPr="002A2C7D">
              <w:rPr>
                <w:rFonts w:cstheme="minorHAnsi"/>
                <w:color w:val="000000"/>
                <w:sz w:val="20"/>
                <w:szCs w:val="20"/>
              </w:rPr>
              <w:t>14.</w:t>
            </w:r>
            <w:r>
              <w:rPr>
                <w:rFonts w:cstheme="minorHAnsi"/>
                <w:color w:val="000000"/>
                <w:sz w:val="20"/>
                <w:szCs w:val="20"/>
              </w:rPr>
              <w:t>4</w:t>
            </w:r>
          </w:p>
        </w:tc>
        <w:tc>
          <w:tcPr>
            <w:tcW w:w="383" w:type="pct"/>
            <w:noWrap/>
            <w:vAlign w:val="center"/>
          </w:tcPr>
          <w:p w14:paraId="247B11C4" w14:textId="3150538D" w:rsidR="009C3E6A" w:rsidRPr="002A2C7D" w:rsidRDefault="009C3E6A" w:rsidP="009C3E6A">
            <w:pPr>
              <w:jc w:val="right"/>
              <w:rPr>
                <w:rFonts w:cstheme="minorHAnsi"/>
                <w:color w:val="000000"/>
                <w:sz w:val="20"/>
                <w:szCs w:val="20"/>
              </w:rPr>
            </w:pPr>
            <w:r w:rsidRPr="002A2C7D">
              <w:rPr>
                <w:rFonts w:cstheme="minorHAnsi"/>
                <w:color w:val="000000"/>
                <w:sz w:val="20"/>
                <w:szCs w:val="20"/>
              </w:rPr>
              <w:t>14.5</w:t>
            </w:r>
          </w:p>
        </w:tc>
        <w:tc>
          <w:tcPr>
            <w:tcW w:w="382" w:type="pct"/>
            <w:noWrap/>
            <w:vAlign w:val="center"/>
          </w:tcPr>
          <w:p w14:paraId="206542D4" w14:textId="71A20C54" w:rsidR="009C3E6A" w:rsidRPr="002A2C7D" w:rsidRDefault="009C3E6A" w:rsidP="009C3E6A">
            <w:pPr>
              <w:jc w:val="right"/>
              <w:rPr>
                <w:rFonts w:cstheme="minorHAnsi"/>
                <w:color w:val="000000"/>
                <w:sz w:val="20"/>
                <w:szCs w:val="20"/>
              </w:rPr>
            </w:pPr>
            <w:r w:rsidRPr="002A2C7D">
              <w:rPr>
                <w:rFonts w:cstheme="minorHAnsi"/>
                <w:color w:val="000000"/>
                <w:sz w:val="20"/>
                <w:szCs w:val="20"/>
              </w:rPr>
              <w:t>14.3</w:t>
            </w:r>
          </w:p>
        </w:tc>
      </w:tr>
      <w:tr w:rsidR="005809B7" w:rsidRPr="00EB1AF3" w14:paraId="19D93EEF" w14:textId="77777777" w:rsidTr="00C24842">
        <w:trPr>
          <w:cantSplit/>
          <w:trHeight w:val="20"/>
        </w:trPr>
        <w:tc>
          <w:tcPr>
            <w:tcW w:w="5000" w:type="pct"/>
            <w:gridSpan w:val="11"/>
            <w:noWrap/>
            <w:vAlign w:val="center"/>
          </w:tcPr>
          <w:p w14:paraId="6900AD37" w14:textId="4FB18B2F" w:rsidR="005809B7" w:rsidRPr="002A2C7D" w:rsidRDefault="005809B7" w:rsidP="00B94D3E">
            <w:pPr>
              <w:rPr>
                <w:rFonts w:cstheme="minorHAnsi"/>
                <w:b/>
                <w:bCs/>
                <w:sz w:val="20"/>
                <w:szCs w:val="20"/>
              </w:rPr>
            </w:pPr>
          </w:p>
        </w:tc>
      </w:tr>
      <w:tr w:rsidR="005809B7" w:rsidRPr="00D23AFA" w14:paraId="264CB9BA" w14:textId="77777777" w:rsidTr="00C24842">
        <w:trPr>
          <w:cantSplit/>
          <w:trHeight w:val="20"/>
        </w:trPr>
        <w:tc>
          <w:tcPr>
            <w:tcW w:w="1212" w:type="pct"/>
            <w:noWrap/>
            <w:vAlign w:val="center"/>
          </w:tcPr>
          <w:p w14:paraId="3E501EE8" w14:textId="6935749F" w:rsidR="005809B7" w:rsidRPr="002A2C7D" w:rsidRDefault="005809B7" w:rsidP="00AF0ADF">
            <w:pPr>
              <w:ind w:firstLineChars="100" w:firstLine="200"/>
              <w:rPr>
                <w:rFonts w:cstheme="minorHAnsi"/>
                <w:color w:val="000000"/>
                <w:sz w:val="20"/>
                <w:szCs w:val="20"/>
              </w:rPr>
            </w:pPr>
          </w:p>
        </w:tc>
        <w:tc>
          <w:tcPr>
            <w:tcW w:w="378" w:type="pct"/>
            <w:vAlign w:val="center"/>
          </w:tcPr>
          <w:p w14:paraId="22BE7A15" w14:textId="42C7DCD7" w:rsidR="005809B7" w:rsidRPr="002A2C7D" w:rsidRDefault="005809B7" w:rsidP="00AF0ADF">
            <w:pPr>
              <w:jc w:val="right"/>
              <w:rPr>
                <w:rFonts w:cstheme="minorHAnsi"/>
                <w:color w:val="000000"/>
                <w:sz w:val="20"/>
                <w:szCs w:val="20"/>
              </w:rPr>
            </w:pPr>
          </w:p>
        </w:tc>
        <w:tc>
          <w:tcPr>
            <w:tcW w:w="378" w:type="pct"/>
            <w:vAlign w:val="center"/>
          </w:tcPr>
          <w:p w14:paraId="005E3C44" w14:textId="086FFF39" w:rsidR="005809B7" w:rsidRPr="002A2C7D" w:rsidRDefault="005809B7" w:rsidP="00AF0ADF">
            <w:pPr>
              <w:jc w:val="right"/>
              <w:rPr>
                <w:rFonts w:cstheme="minorHAnsi"/>
                <w:color w:val="000000"/>
                <w:sz w:val="20"/>
                <w:szCs w:val="20"/>
              </w:rPr>
            </w:pPr>
          </w:p>
        </w:tc>
        <w:tc>
          <w:tcPr>
            <w:tcW w:w="378" w:type="pct"/>
            <w:noWrap/>
            <w:vAlign w:val="center"/>
          </w:tcPr>
          <w:p w14:paraId="3A3ABEDE" w14:textId="4B9EDC63" w:rsidR="005809B7" w:rsidRPr="002A2C7D" w:rsidRDefault="005809B7" w:rsidP="00AF0ADF">
            <w:pPr>
              <w:jc w:val="right"/>
              <w:rPr>
                <w:rFonts w:cstheme="minorHAnsi"/>
                <w:color w:val="000000"/>
                <w:sz w:val="20"/>
                <w:szCs w:val="20"/>
              </w:rPr>
            </w:pPr>
          </w:p>
        </w:tc>
        <w:tc>
          <w:tcPr>
            <w:tcW w:w="378" w:type="pct"/>
            <w:noWrap/>
            <w:vAlign w:val="center"/>
          </w:tcPr>
          <w:p w14:paraId="7AB90D08" w14:textId="2879A206" w:rsidR="005809B7" w:rsidRPr="002A2C7D" w:rsidRDefault="005809B7" w:rsidP="00AF0ADF">
            <w:pPr>
              <w:jc w:val="right"/>
              <w:rPr>
                <w:rFonts w:cstheme="minorHAnsi"/>
                <w:color w:val="000000"/>
                <w:sz w:val="20"/>
                <w:szCs w:val="20"/>
              </w:rPr>
            </w:pPr>
          </w:p>
        </w:tc>
        <w:tc>
          <w:tcPr>
            <w:tcW w:w="378" w:type="pct"/>
            <w:noWrap/>
            <w:vAlign w:val="center"/>
          </w:tcPr>
          <w:p w14:paraId="2835F7F3" w14:textId="5D4994C6" w:rsidR="005809B7" w:rsidRPr="002A2C7D" w:rsidRDefault="005809B7" w:rsidP="00AF0ADF">
            <w:pPr>
              <w:jc w:val="right"/>
              <w:rPr>
                <w:rFonts w:cstheme="minorHAnsi"/>
                <w:color w:val="000000"/>
                <w:sz w:val="20"/>
                <w:szCs w:val="20"/>
              </w:rPr>
            </w:pPr>
          </w:p>
        </w:tc>
        <w:tc>
          <w:tcPr>
            <w:tcW w:w="378" w:type="pct"/>
            <w:noWrap/>
            <w:vAlign w:val="center"/>
          </w:tcPr>
          <w:p w14:paraId="3975EB7C" w14:textId="6ADD4C8A" w:rsidR="005809B7" w:rsidRPr="002A2C7D" w:rsidRDefault="005809B7" w:rsidP="00AF0ADF">
            <w:pPr>
              <w:jc w:val="right"/>
              <w:rPr>
                <w:rFonts w:cstheme="minorHAnsi"/>
                <w:color w:val="000000"/>
                <w:sz w:val="20"/>
                <w:szCs w:val="20"/>
              </w:rPr>
            </w:pPr>
          </w:p>
        </w:tc>
        <w:tc>
          <w:tcPr>
            <w:tcW w:w="378" w:type="pct"/>
            <w:noWrap/>
            <w:vAlign w:val="center"/>
          </w:tcPr>
          <w:p w14:paraId="7BD7D573" w14:textId="46CE3774" w:rsidR="005809B7" w:rsidRPr="002A2C7D" w:rsidRDefault="005809B7" w:rsidP="00AF0ADF">
            <w:pPr>
              <w:jc w:val="right"/>
              <w:rPr>
                <w:rFonts w:cstheme="minorHAnsi"/>
                <w:color w:val="000000"/>
                <w:sz w:val="20"/>
                <w:szCs w:val="20"/>
              </w:rPr>
            </w:pPr>
          </w:p>
        </w:tc>
        <w:tc>
          <w:tcPr>
            <w:tcW w:w="377" w:type="pct"/>
            <w:noWrap/>
            <w:vAlign w:val="center"/>
          </w:tcPr>
          <w:p w14:paraId="2224A214" w14:textId="70323794" w:rsidR="005809B7" w:rsidRPr="002A2C7D" w:rsidRDefault="005809B7" w:rsidP="00AF0ADF">
            <w:pPr>
              <w:jc w:val="right"/>
              <w:rPr>
                <w:rFonts w:cstheme="minorHAnsi"/>
                <w:color w:val="000000"/>
                <w:sz w:val="20"/>
                <w:szCs w:val="20"/>
              </w:rPr>
            </w:pPr>
          </w:p>
        </w:tc>
        <w:tc>
          <w:tcPr>
            <w:tcW w:w="383" w:type="pct"/>
            <w:noWrap/>
            <w:vAlign w:val="center"/>
          </w:tcPr>
          <w:p w14:paraId="726A9222" w14:textId="518B0BD2" w:rsidR="005809B7" w:rsidRPr="002A2C7D" w:rsidRDefault="005809B7" w:rsidP="00AF0ADF">
            <w:pPr>
              <w:jc w:val="right"/>
              <w:rPr>
                <w:rFonts w:cstheme="minorHAnsi"/>
                <w:color w:val="000000"/>
                <w:sz w:val="20"/>
                <w:szCs w:val="20"/>
              </w:rPr>
            </w:pPr>
          </w:p>
        </w:tc>
        <w:tc>
          <w:tcPr>
            <w:tcW w:w="382" w:type="pct"/>
            <w:noWrap/>
            <w:vAlign w:val="center"/>
          </w:tcPr>
          <w:p w14:paraId="7D751D61" w14:textId="5E515639" w:rsidR="005809B7" w:rsidRPr="002A2C7D" w:rsidRDefault="005809B7" w:rsidP="00AF0ADF">
            <w:pPr>
              <w:jc w:val="right"/>
              <w:rPr>
                <w:rFonts w:cstheme="minorHAnsi"/>
                <w:color w:val="000000"/>
                <w:sz w:val="20"/>
                <w:szCs w:val="20"/>
              </w:rPr>
            </w:pPr>
          </w:p>
        </w:tc>
      </w:tr>
      <w:tr w:rsidR="005809B7" w:rsidRPr="00D23AFA" w14:paraId="332266BA" w14:textId="77777777" w:rsidTr="00C24842">
        <w:trPr>
          <w:cantSplit/>
          <w:trHeight w:val="20"/>
        </w:trPr>
        <w:tc>
          <w:tcPr>
            <w:tcW w:w="1212" w:type="pct"/>
            <w:noWrap/>
            <w:vAlign w:val="center"/>
          </w:tcPr>
          <w:p w14:paraId="687DEE08" w14:textId="7165A7DD" w:rsidR="005809B7" w:rsidRPr="002A2C7D" w:rsidRDefault="005809B7" w:rsidP="00AF0ADF">
            <w:pPr>
              <w:ind w:firstLineChars="100" w:firstLine="200"/>
              <w:rPr>
                <w:rFonts w:cstheme="minorHAnsi"/>
                <w:color w:val="000000"/>
                <w:sz w:val="20"/>
                <w:szCs w:val="20"/>
              </w:rPr>
            </w:pPr>
          </w:p>
        </w:tc>
        <w:tc>
          <w:tcPr>
            <w:tcW w:w="378" w:type="pct"/>
            <w:vAlign w:val="center"/>
          </w:tcPr>
          <w:p w14:paraId="4221A477" w14:textId="63E5BD59" w:rsidR="005809B7" w:rsidRPr="002A2C7D" w:rsidRDefault="005809B7" w:rsidP="00AF0ADF">
            <w:pPr>
              <w:jc w:val="right"/>
              <w:rPr>
                <w:rFonts w:cstheme="minorHAnsi"/>
                <w:color w:val="000000"/>
                <w:sz w:val="20"/>
                <w:szCs w:val="20"/>
              </w:rPr>
            </w:pPr>
          </w:p>
        </w:tc>
        <w:tc>
          <w:tcPr>
            <w:tcW w:w="378" w:type="pct"/>
            <w:vAlign w:val="center"/>
          </w:tcPr>
          <w:p w14:paraId="1FAF30DD" w14:textId="7F9DE71B" w:rsidR="005809B7" w:rsidRPr="002A2C7D" w:rsidRDefault="005809B7" w:rsidP="00AF0ADF">
            <w:pPr>
              <w:jc w:val="right"/>
              <w:rPr>
                <w:rFonts w:cstheme="minorHAnsi"/>
                <w:color w:val="000000"/>
                <w:sz w:val="20"/>
                <w:szCs w:val="20"/>
              </w:rPr>
            </w:pPr>
          </w:p>
        </w:tc>
        <w:tc>
          <w:tcPr>
            <w:tcW w:w="378" w:type="pct"/>
            <w:noWrap/>
            <w:vAlign w:val="center"/>
          </w:tcPr>
          <w:p w14:paraId="1EF25AA4" w14:textId="67B7E699" w:rsidR="005809B7" w:rsidRPr="002A2C7D" w:rsidRDefault="005809B7" w:rsidP="00AF0ADF">
            <w:pPr>
              <w:jc w:val="right"/>
              <w:rPr>
                <w:rFonts w:cstheme="minorHAnsi"/>
                <w:color w:val="000000"/>
                <w:sz w:val="20"/>
                <w:szCs w:val="20"/>
              </w:rPr>
            </w:pPr>
          </w:p>
        </w:tc>
        <w:tc>
          <w:tcPr>
            <w:tcW w:w="378" w:type="pct"/>
            <w:noWrap/>
            <w:vAlign w:val="center"/>
          </w:tcPr>
          <w:p w14:paraId="528BFC93" w14:textId="15167C16" w:rsidR="005809B7" w:rsidRPr="002A2C7D" w:rsidRDefault="005809B7" w:rsidP="00AF0ADF">
            <w:pPr>
              <w:jc w:val="right"/>
              <w:rPr>
                <w:rFonts w:cstheme="minorHAnsi"/>
                <w:color w:val="000000"/>
                <w:sz w:val="20"/>
                <w:szCs w:val="20"/>
              </w:rPr>
            </w:pPr>
          </w:p>
        </w:tc>
        <w:tc>
          <w:tcPr>
            <w:tcW w:w="378" w:type="pct"/>
            <w:noWrap/>
            <w:vAlign w:val="center"/>
          </w:tcPr>
          <w:p w14:paraId="5F6579AE" w14:textId="1AA31F2D" w:rsidR="005809B7" w:rsidRPr="002A2C7D" w:rsidRDefault="005809B7" w:rsidP="00AF0ADF">
            <w:pPr>
              <w:jc w:val="right"/>
              <w:rPr>
                <w:rFonts w:cstheme="minorHAnsi"/>
                <w:color w:val="000000"/>
                <w:sz w:val="20"/>
                <w:szCs w:val="20"/>
              </w:rPr>
            </w:pPr>
          </w:p>
        </w:tc>
        <w:tc>
          <w:tcPr>
            <w:tcW w:w="378" w:type="pct"/>
            <w:noWrap/>
            <w:vAlign w:val="center"/>
          </w:tcPr>
          <w:p w14:paraId="52F9DFBA" w14:textId="7EEFCA40" w:rsidR="005809B7" w:rsidRPr="002A2C7D" w:rsidRDefault="005809B7" w:rsidP="00AF0ADF">
            <w:pPr>
              <w:jc w:val="right"/>
              <w:rPr>
                <w:rFonts w:cstheme="minorHAnsi"/>
                <w:color w:val="000000"/>
                <w:sz w:val="20"/>
                <w:szCs w:val="20"/>
              </w:rPr>
            </w:pPr>
          </w:p>
        </w:tc>
        <w:tc>
          <w:tcPr>
            <w:tcW w:w="378" w:type="pct"/>
            <w:noWrap/>
            <w:vAlign w:val="center"/>
          </w:tcPr>
          <w:p w14:paraId="5708C267" w14:textId="502EEF56" w:rsidR="005809B7" w:rsidRPr="002A2C7D" w:rsidRDefault="005809B7" w:rsidP="00AF0ADF">
            <w:pPr>
              <w:jc w:val="right"/>
              <w:rPr>
                <w:rFonts w:cstheme="minorHAnsi"/>
                <w:color w:val="000000"/>
                <w:sz w:val="20"/>
                <w:szCs w:val="20"/>
              </w:rPr>
            </w:pPr>
          </w:p>
        </w:tc>
        <w:tc>
          <w:tcPr>
            <w:tcW w:w="377" w:type="pct"/>
            <w:noWrap/>
            <w:vAlign w:val="center"/>
          </w:tcPr>
          <w:p w14:paraId="0616CF79" w14:textId="33A09A46" w:rsidR="005809B7" w:rsidRPr="002A2C7D" w:rsidRDefault="005809B7" w:rsidP="00AF0ADF">
            <w:pPr>
              <w:jc w:val="right"/>
              <w:rPr>
                <w:rFonts w:cstheme="minorHAnsi"/>
                <w:color w:val="000000"/>
                <w:sz w:val="20"/>
                <w:szCs w:val="20"/>
              </w:rPr>
            </w:pPr>
          </w:p>
        </w:tc>
        <w:tc>
          <w:tcPr>
            <w:tcW w:w="383" w:type="pct"/>
            <w:noWrap/>
            <w:vAlign w:val="center"/>
          </w:tcPr>
          <w:p w14:paraId="34221792" w14:textId="334B35B7" w:rsidR="005809B7" w:rsidRPr="002A2C7D" w:rsidRDefault="005809B7" w:rsidP="00AF0ADF">
            <w:pPr>
              <w:jc w:val="right"/>
              <w:rPr>
                <w:rFonts w:cstheme="minorHAnsi"/>
                <w:color w:val="000000"/>
                <w:sz w:val="20"/>
                <w:szCs w:val="20"/>
              </w:rPr>
            </w:pPr>
          </w:p>
        </w:tc>
        <w:tc>
          <w:tcPr>
            <w:tcW w:w="382" w:type="pct"/>
            <w:noWrap/>
            <w:vAlign w:val="center"/>
          </w:tcPr>
          <w:p w14:paraId="1AEF01E0" w14:textId="67586F7D" w:rsidR="005809B7" w:rsidRPr="002A2C7D" w:rsidRDefault="005809B7" w:rsidP="00AF0ADF">
            <w:pPr>
              <w:jc w:val="right"/>
              <w:rPr>
                <w:rFonts w:cstheme="minorHAnsi"/>
                <w:color w:val="000000"/>
                <w:sz w:val="20"/>
                <w:szCs w:val="20"/>
              </w:rPr>
            </w:pPr>
          </w:p>
        </w:tc>
      </w:tr>
      <w:tr w:rsidR="005809B7" w:rsidRPr="00EB1AF3" w14:paraId="1EF96541" w14:textId="77777777" w:rsidTr="005809B7">
        <w:trPr>
          <w:cantSplit/>
          <w:trHeight w:val="20"/>
        </w:trPr>
        <w:tc>
          <w:tcPr>
            <w:tcW w:w="5000" w:type="pct"/>
            <w:gridSpan w:val="11"/>
            <w:noWrap/>
            <w:vAlign w:val="center"/>
            <w:hideMark/>
          </w:tcPr>
          <w:p w14:paraId="1012BE30" w14:textId="248BA27F" w:rsidR="005809B7" w:rsidRPr="002A2C7D" w:rsidRDefault="005809B7" w:rsidP="00B94D3E">
            <w:pPr>
              <w:rPr>
                <w:rFonts w:cstheme="minorHAnsi"/>
                <w:b/>
                <w:bCs/>
                <w:sz w:val="20"/>
                <w:szCs w:val="20"/>
              </w:rPr>
            </w:pPr>
            <w:r w:rsidRPr="002A2C7D">
              <w:rPr>
                <w:rFonts w:cstheme="minorHAnsi"/>
                <w:b/>
                <w:bCs/>
                <w:color w:val="000000"/>
                <w:sz w:val="20"/>
                <w:szCs w:val="20"/>
              </w:rPr>
              <w:t>Remoteness of mother's usual residence</w:t>
            </w:r>
          </w:p>
        </w:tc>
      </w:tr>
      <w:tr w:rsidR="009C3E6A" w:rsidRPr="00D23AFA" w14:paraId="1B3432C0" w14:textId="77777777" w:rsidTr="00B94D3E">
        <w:trPr>
          <w:cantSplit/>
          <w:trHeight w:val="20"/>
        </w:trPr>
        <w:tc>
          <w:tcPr>
            <w:tcW w:w="1212" w:type="pct"/>
            <w:noWrap/>
            <w:vAlign w:val="center"/>
            <w:hideMark/>
          </w:tcPr>
          <w:p w14:paraId="60AE4408"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Major cities</w:t>
            </w:r>
          </w:p>
        </w:tc>
        <w:tc>
          <w:tcPr>
            <w:tcW w:w="378" w:type="pct"/>
          </w:tcPr>
          <w:p w14:paraId="1874C372" w14:textId="46BA0F96"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tcPr>
          <w:p w14:paraId="527AAC67" w14:textId="6AF4CD06"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4734C9E7" w14:textId="4C6A4FB9" w:rsidR="009C3E6A" w:rsidRPr="002A2C7D" w:rsidRDefault="009C3E6A" w:rsidP="009C3E6A">
            <w:pPr>
              <w:jc w:val="right"/>
              <w:rPr>
                <w:rFonts w:cstheme="minorHAnsi"/>
                <w:color w:val="000000"/>
                <w:sz w:val="20"/>
                <w:szCs w:val="20"/>
              </w:rPr>
            </w:pPr>
            <w:r w:rsidRPr="002A2C7D">
              <w:rPr>
                <w:rFonts w:cstheme="minorHAnsi"/>
                <w:color w:val="000000"/>
                <w:sz w:val="20"/>
                <w:szCs w:val="20"/>
              </w:rPr>
              <w:t>13.2</w:t>
            </w:r>
          </w:p>
        </w:tc>
        <w:tc>
          <w:tcPr>
            <w:tcW w:w="378" w:type="pct"/>
            <w:noWrap/>
            <w:vAlign w:val="center"/>
          </w:tcPr>
          <w:p w14:paraId="4F327EA1" w14:textId="25813F74" w:rsidR="009C3E6A" w:rsidRPr="002A2C7D" w:rsidRDefault="009C3E6A" w:rsidP="009C3E6A">
            <w:pPr>
              <w:jc w:val="right"/>
              <w:rPr>
                <w:rFonts w:cstheme="minorHAnsi"/>
                <w:color w:val="000000"/>
                <w:sz w:val="20"/>
                <w:szCs w:val="20"/>
              </w:rPr>
            </w:pPr>
            <w:r w:rsidRPr="002A2C7D">
              <w:rPr>
                <w:rFonts w:cstheme="minorHAnsi"/>
                <w:color w:val="000000"/>
                <w:sz w:val="20"/>
                <w:szCs w:val="20"/>
              </w:rPr>
              <w:t>13.2</w:t>
            </w:r>
          </w:p>
        </w:tc>
        <w:tc>
          <w:tcPr>
            <w:tcW w:w="378" w:type="pct"/>
            <w:noWrap/>
            <w:vAlign w:val="center"/>
          </w:tcPr>
          <w:p w14:paraId="5F30CCEA" w14:textId="6A6C1769" w:rsidR="009C3E6A" w:rsidRPr="002A2C7D" w:rsidRDefault="009C3E6A" w:rsidP="009C3E6A">
            <w:pPr>
              <w:jc w:val="right"/>
              <w:rPr>
                <w:rFonts w:cstheme="minorHAnsi"/>
                <w:color w:val="000000"/>
                <w:sz w:val="20"/>
                <w:szCs w:val="20"/>
              </w:rPr>
            </w:pPr>
            <w:r w:rsidRPr="002A2C7D">
              <w:rPr>
                <w:rFonts w:cstheme="minorHAnsi"/>
                <w:color w:val="000000"/>
                <w:sz w:val="20"/>
                <w:szCs w:val="20"/>
              </w:rPr>
              <w:t>13.5</w:t>
            </w:r>
          </w:p>
        </w:tc>
        <w:tc>
          <w:tcPr>
            <w:tcW w:w="378" w:type="pct"/>
            <w:noWrap/>
            <w:vAlign w:val="center"/>
          </w:tcPr>
          <w:p w14:paraId="6E321275" w14:textId="4FCB01EB" w:rsidR="009C3E6A" w:rsidRPr="002A2C7D" w:rsidRDefault="009C3E6A" w:rsidP="009C3E6A">
            <w:pPr>
              <w:jc w:val="right"/>
              <w:rPr>
                <w:rFonts w:cstheme="minorHAnsi"/>
                <w:color w:val="000000"/>
                <w:sz w:val="20"/>
                <w:szCs w:val="20"/>
              </w:rPr>
            </w:pPr>
            <w:r w:rsidRPr="002A2C7D">
              <w:rPr>
                <w:rFonts w:cstheme="minorHAnsi"/>
                <w:color w:val="000000"/>
                <w:sz w:val="20"/>
                <w:szCs w:val="20"/>
              </w:rPr>
              <w:t>13.</w:t>
            </w:r>
            <w:r>
              <w:rPr>
                <w:rFonts w:cstheme="minorHAnsi"/>
                <w:color w:val="000000"/>
                <w:sz w:val="20"/>
                <w:szCs w:val="20"/>
              </w:rPr>
              <w:t>5</w:t>
            </w:r>
          </w:p>
        </w:tc>
        <w:tc>
          <w:tcPr>
            <w:tcW w:w="378" w:type="pct"/>
            <w:noWrap/>
            <w:vAlign w:val="center"/>
          </w:tcPr>
          <w:p w14:paraId="11FB1076" w14:textId="3A1567FE" w:rsidR="009C3E6A" w:rsidRPr="002A2C7D" w:rsidRDefault="009C3E6A" w:rsidP="009C3E6A">
            <w:pPr>
              <w:jc w:val="right"/>
              <w:rPr>
                <w:rFonts w:cstheme="minorHAnsi"/>
                <w:color w:val="000000"/>
                <w:sz w:val="20"/>
                <w:szCs w:val="20"/>
              </w:rPr>
            </w:pPr>
            <w:r w:rsidRPr="002A2C7D">
              <w:rPr>
                <w:rFonts w:cstheme="minorHAnsi"/>
                <w:color w:val="000000"/>
                <w:sz w:val="20"/>
                <w:szCs w:val="20"/>
              </w:rPr>
              <w:t>13.7</w:t>
            </w:r>
          </w:p>
        </w:tc>
        <w:tc>
          <w:tcPr>
            <w:tcW w:w="377" w:type="pct"/>
            <w:noWrap/>
            <w:vAlign w:val="center"/>
          </w:tcPr>
          <w:p w14:paraId="67B33F61" w14:textId="62434A05" w:rsidR="009C3E6A" w:rsidRPr="002A2C7D" w:rsidRDefault="009C3E6A" w:rsidP="009C3E6A">
            <w:pPr>
              <w:jc w:val="right"/>
              <w:rPr>
                <w:rFonts w:cstheme="minorHAnsi"/>
                <w:color w:val="000000"/>
                <w:sz w:val="20"/>
                <w:szCs w:val="20"/>
              </w:rPr>
            </w:pPr>
            <w:r w:rsidRPr="002A2C7D">
              <w:rPr>
                <w:rFonts w:cstheme="minorHAnsi"/>
                <w:color w:val="000000"/>
                <w:sz w:val="20"/>
                <w:szCs w:val="20"/>
              </w:rPr>
              <w:t>13.5</w:t>
            </w:r>
          </w:p>
        </w:tc>
        <w:tc>
          <w:tcPr>
            <w:tcW w:w="383" w:type="pct"/>
            <w:noWrap/>
            <w:vAlign w:val="center"/>
          </w:tcPr>
          <w:p w14:paraId="62935523" w14:textId="4A7B9E59" w:rsidR="009C3E6A" w:rsidRPr="002A2C7D" w:rsidRDefault="009C3E6A" w:rsidP="009C3E6A">
            <w:pPr>
              <w:jc w:val="right"/>
              <w:rPr>
                <w:rFonts w:cstheme="minorHAnsi"/>
                <w:color w:val="000000"/>
                <w:sz w:val="20"/>
                <w:szCs w:val="20"/>
              </w:rPr>
            </w:pPr>
            <w:r w:rsidRPr="002A2C7D">
              <w:rPr>
                <w:rFonts w:cstheme="minorHAnsi"/>
                <w:color w:val="000000"/>
                <w:sz w:val="20"/>
                <w:szCs w:val="20"/>
              </w:rPr>
              <w:t>13.5</w:t>
            </w:r>
          </w:p>
        </w:tc>
        <w:tc>
          <w:tcPr>
            <w:tcW w:w="382" w:type="pct"/>
            <w:noWrap/>
            <w:vAlign w:val="center"/>
          </w:tcPr>
          <w:p w14:paraId="493604F1" w14:textId="037691D4" w:rsidR="009C3E6A" w:rsidRPr="002A2C7D" w:rsidRDefault="009C3E6A" w:rsidP="009C3E6A">
            <w:pPr>
              <w:jc w:val="right"/>
              <w:rPr>
                <w:rFonts w:cstheme="minorHAnsi"/>
                <w:color w:val="000000"/>
                <w:sz w:val="20"/>
                <w:szCs w:val="20"/>
              </w:rPr>
            </w:pPr>
            <w:r w:rsidRPr="002A2C7D">
              <w:rPr>
                <w:rFonts w:cstheme="minorHAnsi"/>
                <w:color w:val="000000"/>
                <w:sz w:val="20"/>
                <w:szCs w:val="20"/>
              </w:rPr>
              <w:t>13.5</w:t>
            </w:r>
          </w:p>
        </w:tc>
      </w:tr>
      <w:tr w:rsidR="009C3E6A" w:rsidRPr="00D23AFA" w14:paraId="3D78130F" w14:textId="77777777" w:rsidTr="00B94D3E">
        <w:trPr>
          <w:cantSplit/>
          <w:trHeight w:val="20"/>
        </w:trPr>
        <w:tc>
          <w:tcPr>
            <w:tcW w:w="1212" w:type="pct"/>
            <w:noWrap/>
            <w:vAlign w:val="center"/>
            <w:hideMark/>
          </w:tcPr>
          <w:p w14:paraId="3C8BAA32"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Inner regional</w:t>
            </w:r>
          </w:p>
        </w:tc>
        <w:tc>
          <w:tcPr>
            <w:tcW w:w="378" w:type="pct"/>
          </w:tcPr>
          <w:p w14:paraId="550D0DB7" w14:textId="76C52F27"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tcPr>
          <w:p w14:paraId="70D3FF3E" w14:textId="05AEF3C4"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0FF3DE98" w14:textId="23CA5EC7" w:rsidR="009C3E6A" w:rsidRPr="002A2C7D" w:rsidRDefault="009C3E6A" w:rsidP="009C3E6A">
            <w:pPr>
              <w:jc w:val="right"/>
              <w:rPr>
                <w:rFonts w:cstheme="minorHAnsi"/>
                <w:color w:val="000000"/>
                <w:sz w:val="20"/>
                <w:szCs w:val="20"/>
              </w:rPr>
            </w:pPr>
            <w:r w:rsidRPr="002A2C7D">
              <w:rPr>
                <w:rFonts w:cstheme="minorHAnsi"/>
                <w:color w:val="000000"/>
                <w:sz w:val="20"/>
                <w:szCs w:val="20"/>
              </w:rPr>
              <w:t>10.6</w:t>
            </w:r>
          </w:p>
        </w:tc>
        <w:tc>
          <w:tcPr>
            <w:tcW w:w="378" w:type="pct"/>
            <w:noWrap/>
            <w:vAlign w:val="center"/>
          </w:tcPr>
          <w:p w14:paraId="19AF2472" w14:textId="25A2B117" w:rsidR="009C3E6A" w:rsidRPr="002A2C7D" w:rsidRDefault="009C3E6A" w:rsidP="009C3E6A">
            <w:pPr>
              <w:jc w:val="right"/>
              <w:rPr>
                <w:rFonts w:cstheme="minorHAnsi"/>
                <w:color w:val="000000"/>
                <w:sz w:val="20"/>
                <w:szCs w:val="20"/>
              </w:rPr>
            </w:pPr>
            <w:r w:rsidRPr="002A2C7D">
              <w:rPr>
                <w:rFonts w:cstheme="minorHAnsi"/>
                <w:color w:val="000000"/>
                <w:sz w:val="20"/>
                <w:szCs w:val="20"/>
              </w:rPr>
              <w:t>10.8</w:t>
            </w:r>
          </w:p>
        </w:tc>
        <w:tc>
          <w:tcPr>
            <w:tcW w:w="378" w:type="pct"/>
            <w:noWrap/>
            <w:vAlign w:val="center"/>
          </w:tcPr>
          <w:p w14:paraId="6F15D7DE" w14:textId="6D708D0E" w:rsidR="009C3E6A" w:rsidRPr="002A2C7D" w:rsidRDefault="009C3E6A" w:rsidP="009C3E6A">
            <w:pPr>
              <w:jc w:val="right"/>
              <w:rPr>
                <w:rFonts w:cstheme="minorHAnsi"/>
                <w:color w:val="000000"/>
                <w:sz w:val="20"/>
                <w:szCs w:val="20"/>
              </w:rPr>
            </w:pPr>
            <w:r w:rsidRPr="002A2C7D">
              <w:rPr>
                <w:rFonts w:cstheme="minorHAnsi"/>
                <w:color w:val="000000"/>
                <w:sz w:val="20"/>
                <w:szCs w:val="20"/>
              </w:rPr>
              <w:t>10.</w:t>
            </w:r>
            <w:r>
              <w:rPr>
                <w:rFonts w:cstheme="minorHAnsi"/>
                <w:color w:val="000000"/>
                <w:sz w:val="20"/>
                <w:szCs w:val="20"/>
              </w:rPr>
              <w:t>3</w:t>
            </w:r>
          </w:p>
        </w:tc>
        <w:tc>
          <w:tcPr>
            <w:tcW w:w="378" w:type="pct"/>
            <w:noWrap/>
            <w:vAlign w:val="center"/>
          </w:tcPr>
          <w:p w14:paraId="3407512A" w14:textId="11E039CA" w:rsidR="009C3E6A" w:rsidRPr="002A2C7D" w:rsidRDefault="009C3E6A" w:rsidP="009C3E6A">
            <w:pPr>
              <w:jc w:val="right"/>
              <w:rPr>
                <w:rFonts w:cstheme="minorHAnsi"/>
                <w:color w:val="000000"/>
                <w:sz w:val="20"/>
                <w:szCs w:val="20"/>
              </w:rPr>
            </w:pPr>
            <w:r w:rsidRPr="002A2C7D">
              <w:rPr>
                <w:rFonts w:cstheme="minorHAnsi"/>
                <w:color w:val="000000"/>
                <w:sz w:val="20"/>
                <w:szCs w:val="20"/>
              </w:rPr>
              <w:t>10.4</w:t>
            </w:r>
          </w:p>
        </w:tc>
        <w:tc>
          <w:tcPr>
            <w:tcW w:w="378" w:type="pct"/>
            <w:noWrap/>
            <w:vAlign w:val="center"/>
          </w:tcPr>
          <w:p w14:paraId="17C1994B" w14:textId="6215BCD8" w:rsidR="009C3E6A" w:rsidRPr="002A2C7D" w:rsidRDefault="009C3E6A" w:rsidP="009C3E6A">
            <w:pPr>
              <w:jc w:val="right"/>
              <w:rPr>
                <w:rFonts w:cstheme="minorHAnsi"/>
                <w:color w:val="000000"/>
                <w:sz w:val="20"/>
                <w:szCs w:val="20"/>
              </w:rPr>
            </w:pPr>
            <w:r w:rsidRPr="002A2C7D">
              <w:rPr>
                <w:rFonts w:cstheme="minorHAnsi"/>
                <w:color w:val="000000"/>
                <w:sz w:val="20"/>
                <w:szCs w:val="20"/>
              </w:rPr>
              <w:t>10.9</w:t>
            </w:r>
          </w:p>
        </w:tc>
        <w:tc>
          <w:tcPr>
            <w:tcW w:w="377" w:type="pct"/>
            <w:noWrap/>
            <w:vAlign w:val="center"/>
          </w:tcPr>
          <w:p w14:paraId="79228E56" w14:textId="76FA88BA" w:rsidR="009C3E6A" w:rsidRPr="002A2C7D" w:rsidRDefault="009C3E6A" w:rsidP="009C3E6A">
            <w:pPr>
              <w:jc w:val="right"/>
              <w:rPr>
                <w:rFonts w:cstheme="minorHAnsi"/>
                <w:color w:val="000000"/>
                <w:sz w:val="20"/>
                <w:szCs w:val="20"/>
              </w:rPr>
            </w:pPr>
            <w:r w:rsidRPr="002A2C7D">
              <w:rPr>
                <w:rFonts w:cstheme="minorHAnsi"/>
                <w:color w:val="000000"/>
                <w:sz w:val="20"/>
                <w:szCs w:val="20"/>
              </w:rPr>
              <w:t>10.</w:t>
            </w:r>
            <w:r>
              <w:rPr>
                <w:rFonts w:cstheme="minorHAnsi"/>
                <w:color w:val="000000"/>
                <w:sz w:val="20"/>
                <w:szCs w:val="20"/>
              </w:rPr>
              <w:t>6</w:t>
            </w:r>
          </w:p>
        </w:tc>
        <w:tc>
          <w:tcPr>
            <w:tcW w:w="383" w:type="pct"/>
            <w:noWrap/>
            <w:vAlign w:val="center"/>
          </w:tcPr>
          <w:p w14:paraId="3DBB6D02" w14:textId="045C34BF" w:rsidR="009C3E6A" w:rsidRPr="002A2C7D" w:rsidRDefault="009C3E6A" w:rsidP="009C3E6A">
            <w:pPr>
              <w:jc w:val="right"/>
              <w:rPr>
                <w:rFonts w:cstheme="minorHAnsi"/>
                <w:color w:val="000000"/>
                <w:sz w:val="20"/>
                <w:szCs w:val="20"/>
              </w:rPr>
            </w:pPr>
            <w:r w:rsidRPr="002A2C7D">
              <w:rPr>
                <w:rFonts w:cstheme="minorHAnsi"/>
                <w:color w:val="000000"/>
                <w:sz w:val="20"/>
                <w:szCs w:val="20"/>
              </w:rPr>
              <w:t>10.7</w:t>
            </w:r>
          </w:p>
        </w:tc>
        <w:tc>
          <w:tcPr>
            <w:tcW w:w="382" w:type="pct"/>
            <w:noWrap/>
            <w:vAlign w:val="center"/>
          </w:tcPr>
          <w:p w14:paraId="5A51B1A1" w14:textId="60602986" w:rsidR="009C3E6A" w:rsidRPr="002A2C7D" w:rsidRDefault="009C3E6A" w:rsidP="009C3E6A">
            <w:pPr>
              <w:jc w:val="right"/>
              <w:rPr>
                <w:rFonts w:cstheme="minorHAnsi"/>
                <w:color w:val="000000"/>
                <w:sz w:val="20"/>
                <w:szCs w:val="20"/>
              </w:rPr>
            </w:pPr>
            <w:r w:rsidRPr="002A2C7D">
              <w:rPr>
                <w:rFonts w:cstheme="minorHAnsi"/>
                <w:color w:val="000000"/>
                <w:sz w:val="20"/>
                <w:szCs w:val="20"/>
              </w:rPr>
              <w:t>10.</w:t>
            </w:r>
            <w:r>
              <w:rPr>
                <w:rFonts w:cstheme="minorHAnsi"/>
                <w:color w:val="000000"/>
                <w:sz w:val="20"/>
                <w:szCs w:val="20"/>
              </w:rPr>
              <w:t>5</w:t>
            </w:r>
          </w:p>
        </w:tc>
      </w:tr>
      <w:tr w:rsidR="009C3E6A" w:rsidRPr="00D23AFA" w14:paraId="0699F15E" w14:textId="77777777" w:rsidTr="00B94D3E">
        <w:trPr>
          <w:cantSplit/>
          <w:trHeight w:val="20"/>
        </w:trPr>
        <w:tc>
          <w:tcPr>
            <w:tcW w:w="1212" w:type="pct"/>
            <w:noWrap/>
            <w:vAlign w:val="center"/>
            <w:hideMark/>
          </w:tcPr>
          <w:p w14:paraId="427FFBB8"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Outer regional</w:t>
            </w:r>
          </w:p>
        </w:tc>
        <w:tc>
          <w:tcPr>
            <w:tcW w:w="378" w:type="pct"/>
          </w:tcPr>
          <w:p w14:paraId="42E89072" w14:textId="6425E4FA"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tcPr>
          <w:p w14:paraId="6EFA2DA4" w14:textId="1CCE28DC"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0EB5F0AE" w14:textId="2C0231D3" w:rsidR="009C3E6A" w:rsidRPr="002A2C7D" w:rsidRDefault="009C3E6A" w:rsidP="009C3E6A">
            <w:pPr>
              <w:jc w:val="right"/>
              <w:rPr>
                <w:rFonts w:cstheme="minorHAnsi"/>
                <w:color w:val="000000"/>
                <w:sz w:val="20"/>
                <w:szCs w:val="20"/>
              </w:rPr>
            </w:pPr>
            <w:r w:rsidRPr="002A2C7D">
              <w:rPr>
                <w:rFonts w:cstheme="minorHAnsi"/>
                <w:color w:val="000000"/>
                <w:sz w:val="20"/>
                <w:szCs w:val="20"/>
              </w:rPr>
              <w:t>9.</w:t>
            </w:r>
            <w:r>
              <w:rPr>
                <w:rFonts w:cstheme="minorHAnsi"/>
                <w:color w:val="000000"/>
                <w:sz w:val="20"/>
                <w:szCs w:val="20"/>
              </w:rPr>
              <w:t>3</w:t>
            </w:r>
          </w:p>
        </w:tc>
        <w:tc>
          <w:tcPr>
            <w:tcW w:w="378" w:type="pct"/>
            <w:noWrap/>
            <w:vAlign w:val="center"/>
          </w:tcPr>
          <w:p w14:paraId="74DEFFAD" w14:textId="6B3E4471" w:rsidR="009C3E6A" w:rsidRPr="002A2C7D" w:rsidRDefault="009C3E6A" w:rsidP="009C3E6A">
            <w:pPr>
              <w:jc w:val="right"/>
              <w:rPr>
                <w:rFonts w:cstheme="minorHAnsi"/>
                <w:color w:val="000000"/>
                <w:sz w:val="20"/>
                <w:szCs w:val="20"/>
              </w:rPr>
            </w:pPr>
            <w:r w:rsidRPr="002A2C7D">
              <w:rPr>
                <w:rFonts w:cstheme="minorHAnsi"/>
                <w:color w:val="000000"/>
                <w:sz w:val="20"/>
                <w:szCs w:val="20"/>
              </w:rPr>
              <w:t>9.4</w:t>
            </w:r>
          </w:p>
        </w:tc>
        <w:tc>
          <w:tcPr>
            <w:tcW w:w="378" w:type="pct"/>
            <w:noWrap/>
            <w:vAlign w:val="center"/>
          </w:tcPr>
          <w:p w14:paraId="2A038018" w14:textId="4ED48641" w:rsidR="009C3E6A" w:rsidRPr="002A2C7D" w:rsidRDefault="009C3E6A" w:rsidP="009C3E6A">
            <w:pPr>
              <w:jc w:val="right"/>
              <w:rPr>
                <w:rFonts w:cstheme="minorHAnsi"/>
                <w:color w:val="000000"/>
                <w:sz w:val="20"/>
                <w:szCs w:val="20"/>
              </w:rPr>
            </w:pPr>
            <w:r w:rsidRPr="002A2C7D">
              <w:rPr>
                <w:rFonts w:cstheme="minorHAnsi"/>
                <w:color w:val="000000"/>
                <w:sz w:val="20"/>
                <w:szCs w:val="20"/>
              </w:rPr>
              <w:t>9.3</w:t>
            </w:r>
          </w:p>
        </w:tc>
        <w:tc>
          <w:tcPr>
            <w:tcW w:w="378" w:type="pct"/>
            <w:noWrap/>
            <w:vAlign w:val="center"/>
          </w:tcPr>
          <w:p w14:paraId="6355D017" w14:textId="4A2F5855" w:rsidR="009C3E6A" w:rsidRPr="002A2C7D" w:rsidRDefault="009C3E6A" w:rsidP="009C3E6A">
            <w:pPr>
              <w:jc w:val="right"/>
              <w:rPr>
                <w:rFonts w:cstheme="minorHAnsi"/>
                <w:color w:val="000000"/>
                <w:sz w:val="20"/>
                <w:szCs w:val="20"/>
              </w:rPr>
            </w:pPr>
            <w:r w:rsidRPr="002A2C7D">
              <w:rPr>
                <w:rFonts w:cstheme="minorHAnsi"/>
                <w:color w:val="000000"/>
                <w:sz w:val="20"/>
                <w:szCs w:val="20"/>
              </w:rPr>
              <w:t>9.0</w:t>
            </w:r>
          </w:p>
        </w:tc>
        <w:tc>
          <w:tcPr>
            <w:tcW w:w="378" w:type="pct"/>
            <w:noWrap/>
            <w:vAlign w:val="center"/>
          </w:tcPr>
          <w:p w14:paraId="6E1CE51C" w14:textId="155CA43A" w:rsidR="009C3E6A" w:rsidRPr="002A2C7D" w:rsidRDefault="009C3E6A" w:rsidP="009C3E6A">
            <w:pPr>
              <w:jc w:val="right"/>
              <w:rPr>
                <w:rFonts w:cstheme="minorHAnsi"/>
                <w:color w:val="000000"/>
                <w:sz w:val="20"/>
                <w:szCs w:val="20"/>
              </w:rPr>
            </w:pPr>
            <w:r w:rsidRPr="002A2C7D">
              <w:rPr>
                <w:rFonts w:cstheme="minorHAnsi"/>
                <w:color w:val="000000"/>
                <w:sz w:val="20"/>
                <w:szCs w:val="20"/>
              </w:rPr>
              <w:t>9.2</w:t>
            </w:r>
          </w:p>
        </w:tc>
        <w:tc>
          <w:tcPr>
            <w:tcW w:w="377" w:type="pct"/>
            <w:noWrap/>
            <w:vAlign w:val="center"/>
          </w:tcPr>
          <w:p w14:paraId="658E4C72" w14:textId="1E14F567" w:rsidR="009C3E6A" w:rsidRPr="002A2C7D" w:rsidRDefault="009C3E6A" w:rsidP="009C3E6A">
            <w:pPr>
              <w:jc w:val="right"/>
              <w:rPr>
                <w:rFonts w:cstheme="minorHAnsi"/>
                <w:color w:val="000000"/>
                <w:sz w:val="20"/>
                <w:szCs w:val="20"/>
              </w:rPr>
            </w:pPr>
            <w:r w:rsidRPr="002A2C7D">
              <w:rPr>
                <w:rFonts w:cstheme="minorHAnsi"/>
                <w:color w:val="000000"/>
                <w:sz w:val="20"/>
                <w:szCs w:val="20"/>
              </w:rPr>
              <w:t>9.2</w:t>
            </w:r>
          </w:p>
        </w:tc>
        <w:tc>
          <w:tcPr>
            <w:tcW w:w="383" w:type="pct"/>
            <w:noWrap/>
            <w:vAlign w:val="center"/>
          </w:tcPr>
          <w:p w14:paraId="1F179333" w14:textId="251729F7" w:rsidR="009C3E6A" w:rsidRPr="002A2C7D" w:rsidRDefault="009C3E6A" w:rsidP="009C3E6A">
            <w:pPr>
              <w:jc w:val="right"/>
              <w:rPr>
                <w:rFonts w:cstheme="minorHAnsi"/>
                <w:color w:val="000000"/>
                <w:sz w:val="20"/>
                <w:szCs w:val="20"/>
              </w:rPr>
            </w:pPr>
            <w:r w:rsidRPr="002A2C7D">
              <w:rPr>
                <w:rFonts w:cstheme="minorHAnsi"/>
                <w:color w:val="000000"/>
                <w:sz w:val="20"/>
                <w:szCs w:val="20"/>
              </w:rPr>
              <w:t>9.4</w:t>
            </w:r>
          </w:p>
        </w:tc>
        <w:tc>
          <w:tcPr>
            <w:tcW w:w="382" w:type="pct"/>
            <w:noWrap/>
            <w:vAlign w:val="center"/>
          </w:tcPr>
          <w:p w14:paraId="6676C093" w14:textId="04B1AF64" w:rsidR="009C3E6A" w:rsidRPr="002A2C7D" w:rsidRDefault="009C3E6A" w:rsidP="009C3E6A">
            <w:pPr>
              <w:jc w:val="right"/>
              <w:rPr>
                <w:rFonts w:cstheme="minorHAnsi"/>
                <w:color w:val="000000"/>
                <w:sz w:val="20"/>
                <w:szCs w:val="20"/>
              </w:rPr>
            </w:pPr>
            <w:r w:rsidRPr="002A2C7D">
              <w:rPr>
                <w:rFonts w:cstheme="minorHAnsi"/>
                <w:color w:val="000000"/>
                <w:sz w:val="20"/>
                <w:szCs w:val="20"/>
              </w:rPr>
              <w:t>9.9</w:t>
            </w:r>
          </w:p>
        </w:tc>
      </w:tr>
      <w:tr w:rsidR="009C3E6A" w:rsidRPr="00D23AFA" w14:paraId="09C6C69F" w14:textId="77777777" w:rsidTr="00B94D3E">
        <w:trPr>
          <w:cantSplit/>
          <w:trHeight w:val="20"/>
        </w:trPr>
        <w:tc>
          <w:tcPr>
            <w:tcW w:w="1212" w:type="pct"/>
            <w:noWrap/>
            <w:vAlign w:val="center"/>
            <w:hideMark/>
          </w:tcPr>
          <w:p w14:paraId="5ACD5307"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Remote</w:t>
            </w:r>
          </w:p>
        </w:tc>
        <w:tc>
          <w:tcPr>
            <w:tcW w:w="378" w:type="pct"/>
          </w:tcPr>
          <w:p w14:paraId="11F71002" w14:textId="2FA24DD2"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tcPr>
          <w:p w14:paraId="4E2DD5BF" w14:textId="00903780"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4F6DE2FE" w14:textId="37ADE48B" w:rsidR="009C3E6A" w:rsidRPr="002A2C7D" w:rsidRDefault="009C3E6A" w:rsidP="009C3E6A">
            <w:pPr>
              <w:jc w:val="right"/>
              <w:rPr>
                <w:rFonts w:cstheme="minorHAnsi"/>
                <w:color w:val="000000"/>
                <w:sz w:val="20"/>
                <w:szCs w:val="20"/>
              </w:rPr>
            </w:pPr>
            <w:r w:rsidRPr="002A2C7D">
              <w:rPr>
                <w:rFonts w:cstheme="minorHAnsi"/>
                <w:color w:val="000000"/>
                <w:sz w:val="20"/>
                <w:szCs w:val="20"/>
              </w:rPr>
              <w:t>8.2</w:t>
            </w:r>
          </w:p>
        </w:tc>
        <w:tc>
          <w:tcPr>
            <w:tcW w:w="378" w:type="pct"/>
            <w:noWrap/>
            <w:vAlign w:val="center"/>
          </w:tcPr>
          <w:p w14:paraId="45AA059C" w14:textId="2525876F" w:rsidR="009C3E6A" w:rsidRPr="002A2C7D" w:rsidRDefault="009C3E6A" w:rsidP="009C3E6A">
            <w:pPr>
              <w:jc w:val="right"/>
              <w:rPr>
                <w:rFonts w:cstheme="minorHAnsi"/>
                <w:color w:val="000000"/>
                <w:sz w:val="20"/>
                <w:szCs w:val="20"/>
              </w:rPr>
            </w:pPr>
            <w:r>
              <w:rPr>
                <w:rFonts w:cstheme="minorHAnsi"/>
                <w:color w:val="000000"/>
                <w:sz w:val="20"/>
                <w:szCs w:val="20"/>
              </w:rPr>
              <w:t>9.0</w:t>
            </w:r>
          </w:p>
        </w:tc>
        <w:tc>
          <w:tcPr>
            <w:tcW w:w="378" w:type="pct"/>
            <w:noWrap/>
            <w:vAlign w:val="center"/>
          </w:tcPr>
          <w:p w14:paraId="26A61B9F" w14:textId="2BC97196" w:rsidR="009C3E6A" w:rsidRPr="002A2C7D" w:rsidRDefault="009C3E6A" w:rsidP="009C3E6A">
            <w:pPr>
              <w:jc w:val="right"/>
              <w:rPr>
                <w:rFonts w:cstheme="minorHAnsi"/>
                <w:color w:val="000000"/>
                <w:sz w:val="20"/>
                <w:szCs w:val="20"/>
              </w:rPr>
            </w:pPr>
            <w:r w:rsidRPr="002A2C7D">
              <w:rPr>
                <w:rFonts w:cstheme="minorHAnsi"/>
                <w:color w:val="000000"/>
                <w:sz w:val="20"/>
                <w:szCs w:val="20"/>
              </w:rPr>
              <w:t>8.2</w:t>
            </w:r>
          </w:p>
        </w:tc>
        <w:tc>
          <w:tcPr>
            <w:tcW w:w="378" w:type="pct"/>
            <w:noWrap/>
            <w:vAlign w:val="center"/>
          </w:tcPr>
          <w:p w14:paraId="4D7E7675" w14:textId="6A174D2C" w:rsidR="009C3E6A" w:rsidRPr="002A2C7D" w:rsidRDefault="009C3E6A" w:rsidP="009C3E6A">
            <w:pPr>
              <w:jc w:val="right"/>
              <w:rPr>
                <w:rFonts w:cstheme="minorHAnsi"/>
                <w:color w:val="000000"/>
                <w:sz w:val="20"/>
                <w:szCs w:val="20"/>
              </w:rPr>
            </w:pPr>
            <w:r w:rsidRPr="002A2C7D">
              <w:rPr>
                <w:rFonts w:cstheme="minorHAnsi"/>
                <w:color w:val="000000"/>
                <w:sz w:val="20"/>
                <w:szCs w:val="20"/>
              </w:rPr>
              <w:t>8.8</w:t>
            </w:r>
          </w:p>
        </w:tc>
        <w:tc>
          <w:tcPr>
            <w:tcW w:w="378" w:type="pct"/>
            <w:noWrap/>
            <w:vAlign w:val="center"/>
          </w:tcPr>
          <w:p w14:paraId="07933C3A" w14:textId="1AF88E58" w:rsidR="009C3E6A" w:rsidRPr="002A2C7D" w:rsidRDefault="009C3E6A" w:rsidP="009C3E6A">
            <w:pPr>
              <w:jc w:val="right"/>
              <w:rPr>
                <w:rFonts w:cstheme="minorHAnsi"/>
                <w:color w:val="000000"/>
                <w:sz w:val="20"/>
                <w:szCs w:val="20"/>
              </w:rPr>
            </w:pPr>
            <w:r w:rsidRPr="002A2C7D">
              <w:rPr>
                <w:rFonts w:cstheme="minorHAnsi"/>
                <w:color w:val="000000"/>
                <w:sz w:val="20"/>
                <w:szCs w:val="20"/>
              </w:rPr>
              <w:t>8.5</w:t>
            </w:r>
          </w:p>
        </w:tc>
        <w:tc>
          <w:tcPr>
            <w:tcW w:w="377" w:type="pct"/>
            <w:noWrap/>
            <w:vAlign w:val="center"/>
          </w:tcPr>
          <w:p w14:paraId="367A28C1" w14:textId="4C797506" w:rsidR="009C3E6A" w:rsidRPr="002A2C7D" w:rsidRDefault="009C3E6A" w:rsidP="009C3E6A">
            <w:pPr>
              <w:jc w:val="right"/>
              <w:rPr>
                <w:rFonts w:cstheme="minorHAnsi"/>
                <w:color w:val="000000"/>
                <w:sz w:val="20"/>
                <w:szCs w:val="20"/>
              </w:rPr>
            </w:pPr>
            <w:r w:rsidRPr="002A2C7D">
              <w:rPr>
                <w:rFonts w:cstheme="minorHAnsi"/>
                <w:color w:val="000000"/>
                <w:sz w:val="20"/>
                <w:szCs w:val="20"/>
              </w:rPr>
              <w:t>8.6</w:t>
            </w:r>
          </w:p>
        </w:tc>
        <w:tc>
          <w:tcPr>
            <w:tcW w:w="383" w:type="pct"/>
            <w:noWrap/>
            <w:vAlign w:val="center"/>
          </w:tcPr>
          <w:p w14:paraId="077A49FC" w14:textId="6A8B43B7" w:rsidR="009C3E6A" w:rsidRPr="002A2C7D" w:rsidRDefault="009C3E6A" w:rsidP="009C3E6A">
            <w:pPr>
              <w:jc w:val="right"/>
              <w:rPr>
                <w:rFonts w:cstheme="minorHAnsi"/>
                <w:color w:val="000000"/>
                <w:sz w:val="20"/>
                <w:szCs w:val="20"/>
              </w:rPr>
            </w:pPr>
            <w:r w:rsidRPr="002A2C7D">
              <w:rPr>
                <w:rFonts w:cstheme="minorHAnsi"/>
                <w:color w:val="000000"/>
                <w:sz w:val="20"/>
                <w:szCs w:val="20"/>
              </w:rPr>
              <w:t>8.</w:t>
            </w:r>
            <w:r>
              <w:rPr>
                <w:rFonts w:cstheme="minorHAnsi"/>
                <w:color w:val="000000"/>
                <w:sz w:val="20"/>
                <w:szCs w:val="20"/>
              </w:rPr>
              <w:t>6</w:t>
            </w:r>
          </w:p>
        </w:tc>
        <w:tc>
          <w:tcPr>
            <w:tcW w:w="382" w:type="pct"/>
            <w:noWrap/>
            <w:vAlign w:val="center"/>
          </w:tcPr>
          <w:p w14:paraId="7975022A" w14:textId="7BB1A9D4" w:rsidR="009C3E6A" w:rsidRPr="002A2C7D" w:rsidRDefault="009C3E6A" w:rsidP="009C3E6A">
            <w:pPr>
              <w:jc w:val="right"/>
              <w:rPr>
                <w:rFonts w:cstheme="minorHAnsi"/>
                <w:color w:val="000000"/>
                <w:sz w:val="20"/>
                <w:szCs w:val="20"/>
              </w:rPr>
            </w:pPr>
            <w:r w:rsidRPr="002A2C7D">
              <w:rPr>
                <w:rFonts w:cstheme="minorHAnsi"/>
                <w:color w:val="000000"/>
                <w:sz w:val="20"/>
                <w:szCs w:val="20"/>
              </w:rPr>
              <w:t>8.7</w:t>
            </w:r>
          </w:p>
        </w:tc>
      </w:tr>
      <w:tr w:rsidR="009C3E6A" w:rsidRPr="00D23AFA" w14:paraId="2547FA6E" w14:textId="77777777" w:rsidTr="00B94D3E">
        <w:trPr>
          <w:cantSplit/>
          <w:trHeight w:val="20"/>
        </w:trPr>
        <w:tc>
          <w:tcPr>
            <w:tcW w:w="1212" w:type="pct"/>
            <w:noWrap/>
            <w:vAlign w:val="center"/>
            <w:hideMark/>
          </w:tcPr>
          <w:p w14:paraId="29BE8859"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Very remote</w:t>
            </w:r>
          </w:p>
        </w:tc>
        <w:tc>
          <w:tcPr>
            <w:tcW w:w="378" w:type="pct"/>
          </w:tcPr>
          <w:p w14:paraId="0D8175DB" w14:textId="69CD2EDC"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tcPr>
          <w:p w14:paraId="3A931CE3" w14:textId="7F8BB012"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38C8117F" w14:textId="2CEE8FF0" w:rsidR="009C3E6A" w:rsidRPr="002A2C7D" w:rsidRDefault="009C3E6A" w:rsidP="009C3E6A">
            <w:pPr>
              <w:jc w:val="right"/>
              <w:rPr>
                <w:rFonts w:cstheme="minorHAnsi"/>
                <w:color w:val="000000"/>
                <w:sz w:val="20"/>
                <w:szCs w:val="20"/>
              </w:rPr>
            </w:pPr>
            <w:r w:rsidRPr="002A2C7D">
              <w:rPr>
                <w:rFonts w:cstheme="minorHAnsi"/>
                <w:color w:val="000000"/>
                <w:sz w:val="20"/>
                <w:szCs w:val="20"/>
              </w:rPr>
              <w:t>7.7</w:t>
            </w:r>
          </w:p>
        </w:tc>
        <w:tc>
          <w:tcPr>
            <w:tcW w:w="378" w:type="pct"/>
            <w:noWrap/>
            <w:vAlign w:val="center"/>
          </w:tcPr>
          <w:p w14:paraId="6E541797" w14:textId="5714A528" w:rsidR="009C3E6A" w:rsidRPr="002A2C7D" w:rsidRDefault="009C3E6A" w:rsidP="009C3E6A">
            <w:pPr>
              <w:jc w:val="right"/>
              <w:rPr>
                <w:rFonts w:cstheme="minorHAnsi"/>
                <w:color w:val="000000"/>
                <w:sz w:val="20"/>
                <w:szCs w:val="20"/>
              </w:rPr>
            </w:pPr>
            <w:r w:rsidRPr="002A2C7D">
              <w:rPr>
                <w:rFonts w:cstheme="minorHAnsi"/>
                <w:color w:val="000000"/>
                <w:sz w:val="20"/>
                <w:szCs w:val="20"/>
              </w:rPr>
              <w:t>8.</w:t>
            </w:r>
            <w:r>
              <w:rPr>
                <w:rFonts w:cstheme="minorHAnsi"/>
                <w:color w:val="000000"/>
                <w:sz w:val="20"/>
                <w:szCs w:val="20"/>
              </w:rPr>
              <w:t>4</w:t>
            </w:r>
          </w:p>
        </w:tc>
        <w:tc>
          <w:tcPr>
            <w:tcW w:w="378" w:type="pct"/>
            <w:noWrap/>
            <w:vAlign w:val="center"/>
          </w:tcPr>
          <w:p w14:paraId="2B19EF9F" w14:textId="4E10C77F" w:rsidR="009C3E6A" w:rsidRPr="002A2C7D" w:rsidRDefault="009C3E6A" w:rsidP="009C3E6A">
            <w:pPr>
              <w:jc w:val="right"/>
              <w:rPr>
                <w:rFonts w:cstheme="minorHAnsi"/>
                <w:color w:val="000000"/>
                <w:sz w:val="20"/>
                <w:szCs w:val="20"/>
              </w:rPr>
            </w:pPr>
            <w:r w:rsidRPr="002A2C7D">
              <w:rPr>
                <w:rFonts w:cstheme="minorHAnsi"/>
                <w:color w:val="000000"/>
                <w:sz w:val="20"/>
                <w:szCs w:val="20"/>
              </w:rPr>
              <w:t>8.</w:t>
            </w:r>
            <w:r>
              <w:rPr>
                <w:rFonts w:cstheme="minorHAnsi"/>
                <w:color w:val="000000"/>
                <w:sz w:val="20"/>
                <w:szCs w:val="20"/>
              </w:rPr>
              <w:t>5</w:t>
            </w:r>
          </w:p>
        </w:tc>
        <w:tc>
          <w:tcPr>
            <w:tcW w:w="378" w:type="pct"/>
            <w:noWrap/>
            <w:vAlign w:val="center"/>
          </w:tcPr>
          <w:p w14:paraId="1D0A72AB" w14:textId="74C2366A" w:rsidR="009C3E6A" w:rsidRPr="002A2C7D" w:rsidRDefault="009C3E6A" w:rsidP="009C3E6A">
            <w:pPr>
              <w:jc w:val="right"/>
              <w:rPr>
                <w:rFonts w:cstheme="minorHAnsi"/>
                <w:color w:val="000000"/>
                <w:sz w:val="20"/>
                <w:szCs w:val="20"/>
              </w:rPr>
            </w:pPr>
            <w:r w:rsidRPr="002A2C7D">
              <w:rPr>
                <w:rFonts w:cstheme="minorHAnsi"/>
                <w:color w:val="000000"/>
                <w:sz w:val="20"/>
                <w:szCs w:val="20"/>
              </w:rPr>
              <w:t>8.</w:t>
            </w:r>
            <w:r>
              <w:rPr>
                <w:rFonts w:cstheme="minorHAnsi"/>
                <w:color w:val="000000"/>
                <w:sz w:val="20"/>
                <w:szCs w:val="20"/>
              </w:rPr>
              <w:t>1</w:t>
            </w:r>
          </w:p>
        </w:tc>
        <w:tc>
          <w:tcPr>
            <w:tcW w:w="378" w:type="pct"/>
            <w:noWrap/>
            <w:vAlign w:val="center"/>
          </w:tcPr>
          <w:p w14:paraId="34DDBDAC" w14:textId="59AE7432" w:rsidR="009C3E6A" w:rsidRPr="002A2C7D" w:rsidRDefault="009C3E6A" w:rsidP="009C3E6A">
            <w:pPr>
              <w:jc w:val="right"/>
              <w:rPr>
                <w:rFonts w:cstheme="minorHAnsi"/>
                <w:color w:val="000000"/>
                <w:sz w:val="20"/>
                <w:szCs w:val="20"/>
              </w:rPr>
            </w:pPr>
            <w:r w:rsidRPr="002A2C7D">
              <w:rPr>
                <w:rFonts w:cstheme="minorHAnsi"/>
                <w:color w:val="000000"/>
                <w:sz w:val="20"/>
                <w:szCs w:val="20"/>
              </w:rPr>
              <w:t>7.9</w:t>
            </w:r>
          </w:p>
        </w:tc>
        <w:tc>
          <w:tcPr>
            <w:tcW w:w="377" w:type="pct"/>
            <w:noWrap/>
            <w:vAlign w:val="center"/>
          </w:tcPr>
          <w:p w14:paraId="39C24820" w14:textId="14AC8D64" w:rsidR="009C3E6A" w:rsidRPr="002A2C7D" w:rsidRDefault="009C3E6A" w:rsidP="009C3E6A">
            <w:pPr>
              <w:jc w:val="right"/>
              <w:rPr>
                <w:rFonts w:cstheme="minorHAnsi"/>
                <w:color w:val="000000"/>
                <w:sz w:val="20"/>
                <w:szCs w:val="20"/>
              </w:rPr>
            </w:pPr>
            <w:r w:rsidRPr="002A2C7D">
              <w:rPr>
                <w:rFonts w:cstheme="minorHAnsi"/>
                <w:color w:val="000000"/>
                <w:sz w:val="20"/>
                <w:szCs w:val="20"/>
              </w:rPr>
              <w:t>7.7</w:t>
            </w:r>
          </w:p>
        </w:tc>
        <w:tc>
          <w:tcPr>
            <w:tcW w:w="383" w:type="pct"/>
            <w:noWrap/>
            <w:vAlign w:val="center"/>
          </w:tcPr>
          <w:p w14:paraId="6D55C8E4" w14:textId="3AB8E608" w:rsidR="009C3E6A" w:rsidRPr="002A2C7D" w:rsidRDefault="009C3E6A" w:rsidP="009C3E6A">
            <w:pPr>
              <w:jc w:val="right"/>
              <w:rPr>
                <w:rFonts w:cstheme="minorHAnsi"/>
                <w:color w:val="000000"/>
                <w:sz w:val="20"/>
                <w:szCs w:val="20"/>
              </w:rPr>
            </w:pPr>
            <w:r w:rsidRPr="002A2C7D">
              <w:rPr>
                <w:rFonts w:cstheme="minorHAnsi"/>
                <w:color w:val="000000"/>
                <w:sz w:val="20"/>
                <w:szCs w:val="20"/>
              </w:rPr>
              <w:t>8.9</w:t>
            </w:r>
          </w:p>
        </w:tc>
        <w:tc>
          <w:tcPr>
            <w:tcW w:w="382" w:type="pct"/>
            <w:noWrap/>
            <w:vAlign w:val="center"/>
          </w:tcPr>
          <w:p w14:paraId="0F08C7CB" w14:textId="625D9D4B" w:rsidR="009C3E6A" w:rsidRPr="002A2C7D" w:rsidRDefault="009C3E6A" w:rsidP="009C3E6A">
            <w:pPr>
              <w:jc w:val="right"/>
              <w:rPr>
                <w:rFonts w:cstheme="minorHAnsi"/>
                <w:color w:val="000000"/>
                <w:sz w:val="20"/>
                <w:szCs w:val="20"/>
              </w:rPr>
            </w:pPr>
            <w:r w:rsidRPr="002A2C7D">
              <w:rPr>
                <w:rFonts w:cstheme="minorHAnsi"/>
                <w:color w:val="000000"/>
                <w:sz w:val="20"/>
                <w:szCs w:val="20"/>
              </w:rPr>
              <w:t>8.6</w:t>
            </w:r>
          </w:p>
        </w:tc>
      </w:tr>
      <w:tr w:rsidR="005809B7" w:rsidRPr="00EB1AF3" w14:paraId="4A6A34DA" w14:textId="77777777" w:rsidTr="005809B7">
        <w:trPr>
          <w:cantSplit/>
          <w:trHeight w:val="20"/>
        </w:trPr>
        <w:tc>
          <w:tcPr>
            <w:tcW w:w="5000" w:type="pct"/>
            <w:gridSpan w:val="11"/>
            <w:noWrap/>
            <w:vAlign w:val="center"/>
            <w:hideMark/>
          </w:tcPr>
          <w:p w14:paraId="7CFB1EF6" w14:textId="6A7AA59E" w:rsidR="005809B7" w:rsidRPr="002A2C7D" w:rsidRDefault="005809B7" w:rsidP="00B94D3E">
            <w:pPr>
              <w:rPr>
                <w:rFonts w:cstheme="minorHAnsi"/>
                <w:b/>
                <w:bCs/>
                <w:sz w:val="20"/>
                <w:szCs w:val="20"/>
              </w:rPr>
            </w:pPr>
            <w:r w:rsidRPr="002A2C7D">
              <w:rPr>
                <w:rFonts w:cstheme="minorHAnsi"/>
                <w:b/>
                <w:bCs/>
                <w:color w:val="000000"/>
                <w:sz w:val="20"/>
                <w:szCs w:val="20"/>
              </w:rPr>
              <w:t>Disadvantage quintile of mother's usual residence</w:t>
            </w:r>
          </w:p>
        </w:tc>
      </w:tr>
      <w:tr w:rsidR="009C3E6A" w:rsidRPr="00D23AFA" w14:paraId="459FE8B6" w14:textId="77777777" w:rsidTr="00B94D3E">
        <w:trPr>
          <w:cantSplit/>
          <w:trHeight w:val="20"/>
        </w:trPr>
        <w:tc>
          <w:tcPr>
            <w:tcW w:w="1212" w:type="pct"/>
            <w:noWrap/>
            <w:vAlign w:val="center"/>
            <w:hideMark/>
          </w:tcPr>
          <w:p w14:paraId="677A7B8A"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Q1 - most disadvantaged</w:t>
            </w:r>
          </w:p>
        </w:tc>
        <w:tc>
          <w:tcPr>
            <w:tcW w:w="378" w:type="pct"/>
            <w:vAlign w:val="center"/>
          </w:tcPr>
          <w:p w14:paraId="60E24FFF" w14:textId="3C681EA9"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vAlign w:val="center"/>
          </w:tcPr>
          <w:p w14:paraId="6523D4EF" w14:textId="016D2020"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2AACB2DC" w14:textId="52762039" w:rsidR="009C3E6A" w:rsidRPr="002A2C7D" w:rsidRDefault="009C3E6A" w:rsidP="009C3E6A">
            <w:pPr>
              <w:jc w:val="right"/>
              <w:rPr>
                <w:rFonts w:cstheme="minorHAnsi"/>
                <w:color w:val="000000"/>
                <w:sz w:val="20"/>
                <w:szCs w:val="20"/>
              </w:rPr>
            </w:pPr>
            <w:r w:rsidRPr="002A2C7D">
              <w:rPr>
                <w:rFonts w:cstheme="minorHAnsi"/>
                <w:color w:val="000000"/>
                <w:sz w:val="20"/>
                <w:szCs w:val="20"/>
              </w:rPr>
              <w:t>9.6</w:t>
            </w:r>
          </w:p>
        </w:tc>
        <w:tc>
          <w:tcPr>
            <w:tcW w:w="378" w:type="pct"/>
            <w:noWrap/>
            <w:vAlign w:val="center"/>
          </w:tcPr>
          <w:p w14:paraId="3E567A30" w14:textId="18BF182E" w:rsidR="009C3E6A" w:rsidRPr="002A2C7D" w:rsidRDefault="009C3E6A" w:rsidP="009C3E6A">
            <w:pPr>
              <w:jc w:val="right"/>
              <w:rPr>
                <w:rFonts w:cstheme="minorHAnsi"/>
                <w:color w:val="000000"/>
                <w:sz w:val="20"/>
                <w:szCs w:val="20"/>
              </w:rPr>
            </w:pPr>
            <w:r w:rsidRPr="002A2C7D">
              <w:rPr>
                <w:rFonts w:cstheme="minorHAnsi"/>
                <w:color w:val="000000"/>
                <w:sz w:val="20"/>
                <w:szCs w:val="20"/>
              </w:rPr>
              <w:t>9.6</w:t>
            </w:r>
          </w:p>
        </w:tc>
        <w:tc>
          <w:tcPr>
            <w:tcW w:w="378" w:type="pct"/>
            <w:noWrap/>
            <w:vAlign w:val="center"/>
          </w:tcPr>
          <w:p w14:paraId="169A5C3B" w14:textId="760F6A1C" w:rsidR="009C3E6A" w:rsidRPr="002A2C7D" w:rsidRDefault="009C3E6A" w:rsidP="009C3E6A">
            <w:pPr>
              <w:jc w:val="right"/>
              <w:rPr>
                <w:rFonts w:cstheme="minorHAnsi"/>
                <w:color w:val="000000"/>
                <w:sz w:val="20"/>
                <w:szCs w:val="20"/>
              </w:rPr>
            </w:pPr>
            <w:r w:rsidRPr="002A2C7D">
              <w:rPr>
                <w:rFonts w:cstheme="minorHAnsi"/>
                <w:color w:val="000000"/>
                <w:sz w:val="20"/>
                <w:szCs w:val="20"/>
              </w:rPr>
              <w:t>9.6</w:t>
            </w:r>
          </w:p>
        </w:tc>
        <w:tc>
          <w:tcPr>
            <w:tcW w:w="378" w:type="pct"/>
            <w:noWrap/>
            <w:vAlign w:val="center"/>
          </w:tcPr>
          <w:p w14:paraId="3AD10047" w14:textId="4866A65D" w:rsidR="009C3E6A" w:rsidRPr="002A2C7D" w:rsidRDefault="009C3E6A" w:rsidP="009C3E6A">
            <w:pPr>
              <w:jc w:val="right"/>
              <w:rPr>
                <w:rFonts w:cstheme="minorHAnsi"/>
                <w:color w:val="000000"/>
                <w:sz w:val="20"/>
                <w:szCs w:val="20"/>
              </w:rPr>
            </w:pPr>
            <w:r w:rsidRPr="002A2C7D">
              <w:rPr>
                <w:rFonts w:cstheme="minorHAnsi"/>
                <w:color w:val="000000"/>
                <w:sz w:val="20"/>
                <w:szCs w:val="20"/>
              </w:rPr>
              <w:t>9.8</w:t>
            </w:r>
          </w:p>
        </w:tc>
        <w:tc>
          <w:tcPr>
            <w:tcW w:w="378" w:type="pct"/>
            <w:noWrap/>
            <w:vAlign w:val="center"/>
          </w:tcPr>
          <w:p w14:paraId="7F046A26" w14:textId="250910BC" w:rsidR="009C3E6A" w:rsidRPr="002A2C7D" w:rsidRDefault="009C3E6A" w:rsidP="009C3E6A">
            <w:pPr>
              <w:jc w:val="right"/>
              <w:rPr>
                <w:rFonts w:cstheme="minorHAnsi"/>
                <w:color w:val="000000"/>
                <w:sz w:val="20"/>
                <w:szCs w:val="20"/>
              </w:rPr>
            </w:pPr>
            <w:r>
              <w:rPr>
                <w:rFonts w:cstheme="minorHAnsi"/>
                <w:color w:val="000000"/>
                <w:sz w:val="20"/>
                <w:szCs w:val="20"/>
              </w:rPr>
              <w:t>10.0</w:t>
            </w:r>
          </w:p>
        </w:tc>
        <w:tc>
          <w:tcPr>
            <w:tcW w:w="377" w:type="pct"/>
            <w:noWrap/>
            <w:vAlign w:val="center"/>
          </w:tcPr>
          <w:p w14:paraId="67692325" w14:textId="67D3B2B1" w:rsidR="009C3E6A" w:rsidRPr="002A2C7D" w:rsidRDefault="009C3E6A" w:rsidP="009C3E6A">
            <w:pPr>
              <w:jc w:val="right"/>
              <w:rPr>
                <w:rFonts w:cstheme="minorHAnsi"/>
                <w:color w:val="000000"/>
                <w:sz w:val="20"/>
                <w:szCs w:val="20"/>
              </w:rPr>
            </w:pPr>
            <w:r w:rsidRPr="002A2C7D">
              <w:rPr>
                <w:rFonts w:cstheme="minorHAnsi"/>
                <w:color w:val="000000"/>
                <w:sz w:val="20"/>
                <w:szCs w:val="20"/>
              </w:rPr>
              <w:t>10.0</w:t>
            </w:r>
          </w:p>
        </w:tc>
        <w:tc>
          <w:tcPr>
            <w:tcW w:w="383" w:type="pct"/>
            <w:noWrap/>
            <w:vAlign w:val="center"/>
          </w:tcPr>
          <w:p w14:paraId="47763FA5" w14:textId="3F7B2B8F" w:rsidR="009C3E6A" w:rsidRPr="002A2C7D" w:rsidRDefault="009C3E6A" w:rsidP="009C3E6A">
            <w:pPr>
              <w:jc w:val="right"/>
              <w:rPr>
                <w:rFonts w:cstheme="minorHAnsi"/>
                <w:color w:val="000000"/>
                <w:sz w:val="20"/>
                <w:szCs w:val="20"/>
              </w:rPr>
            </w:pPr>
            <w:r w:rsidRPr="002A2C7D">
              <w:rPr>
                <w:rFonts w:cstheme="minorHAnsi"/>
                <w:color w:val="000000"/>
                <w:sz w:val="20"/>
                <w:szCs w:val="20"/>
              </w:rPr>
              <w:t>10.2</w:t>
            </w:r>
          </w:p>
        </w:tc>
        <w:tc>
          <w:tcPr>
            <w:tcW w:w="382" w:type="pct"/>
            <w:noWrap/>
            <w:vAlign w:val="center"/>
          </w:tcPr>
          <w:p w14:paraId="1E748ACA" w14:textId="7342DF11" w:rsidR="009C3E6A" w:rsidRPr="002A2C7D" w:rsidRDefault="009C3E6A" w:rsidP="009C3E6A">
            <w:pPr>
              <w:jc w:val="right"/>
              <w:rPr>
                <w:rFonts w:cstheme="minorHAnsi"/>
                <w:color w:val="000000"/>
                <w:sz w:val="20"/>
                <w:szCs w:val="20"/>
              </w:rPr>
            </w:pPr>
            <w:r w:rsidRPr="002A2C7D">
              <w:rPr>
                <w:rFonts w:cstheme="minorHAnsi"/>
                <w:color w:val="000000"/>
                <w:sz w:val="20"/>
                <w:szCs w:val="20"/>
              </w:rPr>
              <w:t>10.1</w:t>
            </w:r>
          </w:p>
        </w:tc>
      </w:tr>
      <w:tr w:rsidR="009C3E6A" w:rsidRPr="00D23AFA" w14:paraId="3A9C8D8E" w14:textId="77777777" w:rsidTr="00B94D3E">
        <w:trPr>
          <w:cantSplit/>
          <w:trHeight w:val="20"/>
        </w:trPr>
        <w:tc>
          <w:tcPr>
            <w:tcW w:w="1212" w:type="pct"/>
            <w:noWrap/>
            <w:vAlign w:val="center"/>
            <w:hideMark/>
          </w:tcPr>
          <w:p w14:paraId="22AF73A6"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Q2</w:t>
            </w:r>
          </w:p>
        </w:tc>
        <w:tc>
          <w:tcPr>
            <w:tcW w:w="378" w:type="pct"/>
            <w:vAlign w:val="center"/>
          </w:tcPr>
          <w:p w14:paraId="3FF45F80" w14:textId="67749260"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vAlign w:val="center"/>
          </w:tcPr>
          <w:p w14:paraId="1D00942F" w14:textId="7E2048CF"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3A418B04" w14:textId="37962888" w:rsidR="009C3E6A" w:rsidRPr="002A2C7D" w:rsidRDefault="009C3E6A" w:rsidP="009C3E6A">
            <w:pPr>
              <w:jc w:val="right"/>
              <w:rPr>
                <w:rFonts w:cstheme="minorHAnsi"/>
                <w:color w:val="000000"/>
                <w:sz w:val="20"/>
                <w:szCs w:val="20"/>
              </w:rPr>
            </w:pPr>
            <w:r w:rsidRPr="002A2C7D">
              <w:rPr>
                <w:rFonts w:cstheme="minorHAnsi"/>
                <w:color w:val="000000"/>
                <w:sz w:val="20"/>
                <w:szCs w:val="20"/>
              </w:rPr>
              <w:t>11.3</w:t>
            </w:r>
          </w:p>
        </w:tc>
        <w:tc>
          <w:tcPr>
            <w:tcW w:w="378" w:type="pct"/>
            <w:noWrap/>
            <w:vAlign w:val="center"/>
          </w:tcPr>
          <w:p w14:paraId="7F7EFE47" w14:textId="169DC2A6" w:rsidR="009C3E6A" w:rsidRPr="002A2C7D" w:rsidRDefault="009C3E6A" w:rsidP="009C3E6A">
            <w:pPr>
              <w:jc w:val="right"/>
              <w:rPr>
                <w:rFonts w:cstheme="minorHAnsi"/>
                <w:color w:val="000000"/>
                <w:sz w:val="20"/>
                <w:szCs w:val="20"/>
              </w:rPr>
            </w:pPr>
            <w:r w:rsidRPr="002A2C7D">
              <w:rPr>
                <w:rFonts w:cstheme="minorHAnsi"/>
                <w:color w:val="000000"/>
                <w:sz w:val="20"/>
                <w:szCs w:val="20"/>
              </w:rPr>
              <w:t>11.6</w:t>
            </w:r>
          </w:p>
        </w:tc>
        <w:tc>
          <w:tcPr>
            <w:tcW w:w="378" w:type="pct"/>
            <w:noWrap/>
            <w:vAlign w:val="center"/>
          </w:tcPr>
          <w:p w14:paraId="45EDE43A" w14:textId="3D411A98" w:rsidR="009C3E6A" w:rsidRPr="002A2C7D" w:rsidRDefault="009C3E6A" w:rsidP="009C3E6A">
            <w:pPr>
              <w:jc w:val="right"/>
              <w:rPr>
                <w:rFonts w:cstheme="minorHAnsi"/>
                <w:color w:val="000000"/>
                <w:sz w:val="20"/>
                <w:szCs w:val="20"/>
              </w:rPr>
            </w:pPr>
            <w:r w:rsidRPr="002A2C7D">
              <w:rPr>
                <w:rFonts w:cstheme="minorHAnsi"/>
                <w:color w:val="000000"/>
                <w:sz w:val="20"/>
                <w:szCs w:val="20"/>
              </w:rPr>
              <w:t>11.</w:t>
            </w:r>
            <w:r>
              <w:rPr>
                <w:rFonts w:cstheme="minorHAnsi"/>
                <w:color w:val="000000"/>
                <w:sz w:val="20"/>
                <w:szCs w:val="20"/>
              </w:rPr>
              <w:t>4</w:t>
            </w:r>
          </w:p>
        </w:tc>
        <w:tc>
          <w:tcPr>
            <w:tcW w:w="378" w:type="pct"/>
            <w:noWrap/>
            <w:vAlign w:val="center"/>
          </w:tcPr>
          <w:p w14:paraId="5259576A" w14:textId="05A60D38"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c>
          <w:tcPr>
            <w:tcW w:w="378" w:type="pct"/>
            <w:noWrap/>
            <w:vAlign w:val="center"/>
          </w:tcPr>
          <w:p w14:paraId="487B6F40" w14:textId="4E55C235" w:rsidR="009C3E6A" w:rsidRPr="002A2C7D" w:rsidRDefault="009C3E6A" w:rsidP="009C3E6A">
            <w:pPr>
              <w:jc w:val="right"/>
              <w:rPr>
                <w:rFonts w:cstheme="minorHAnsi"/>
                <w:color w:val="000000"/>
                <w:sz w:val="20"/>
                <w:szCs w:val="20"/>
              </w:rPr>
            </w:pPr>
            <w:r w:rsidRPr="002A2C7D">
              <w:rPr>
                <w:rFonts w:cstheme="minorHAnsi"/>
                <w:color w:val="000000"/>
                <w:sz w:val="20"/>
                <w:szCs w:val="20"/>
              </w:rPr>
              <w:t>12.0</w:t>
            </w:r>
          </w:p>
        </w:tc>
        <w:tc>
          <w:tcPr>
            <w:tcW w:w="377" w:type="pct"/>
            <w:noWrap/>
            <w:vAlign w:val="center"/>
          </w:tcPr>
          <w:p w14:paraId="4267B9C0" w14:textId="4B08532E" w:rsidR="009C3E6A" w:rsidRPr="002A2C7D" w:rsidRDefault="009C3E6A" w:rsidP="009C3E6A">
            <w:pPr>
              <w:jc w:val="right"/>
              <w:rPr>
                <w:rFonts w:cstheme="minorHAnsi"/>
                <w:color w:val="000000"/>
                <w:sz w:val="20"/>
                <w:szCs w:val="20"/>
              </w:rPr>
            </w:pPr>
            <w:r w:rsidRPr="002A2C7D">
              <w:rPr>
                <w:rFonts w:cstheme="minorHAnsi"/>
                <w:color w:val="000000"/>
                <w:sz w:val="20"/>
                <w:szCs w:val="20"/>
              </w:rPr>
              <w:t>11.5</w:t>
            </w:r>
          </w:p>
        </w:tc>
        <w:tc>
          <w:tcPr>
            <w:tcW w:w="383" w:type="pct"/>
            <w:noWrap/>
            <w:vAlign w:val="center"/>
          </w:tcPr>
          <w:p w14:paraId="204DC9E0" w14:textId="196BE314" w:rsidR="009C3E6A" w:rsidRPr="002A2C7D" w:rsidRDefault="009C3E6A" w:rsidP="009C3E6A">
            <w:pPr>
              <w:jc w:val="right"/>
              <w:rPr>
                <w:rFonts w:cstheme="minorHAnsi"/>
                <w:color w:val="000000"/>
                <w:sz w:val="20"/>
                <w:szCs w:val="20"/>
              </w:rPr>
            </w:pPr>
            <w:r w:rsidRPr="002A2C7D">
              <w:rPr>
                <w:rFonts w:cstheme="minorHAnsi"/>
                <w:color w:val="000000"/>
                <w:sz w:val="20"/>
                <w:szCs w:val="20"/>
              </w:rPr>
              <w:t>11.</w:t>
            </w:r>
            <w:r>
              <w:rPr>
                <w:rFonts w:cstheme="minorHAnsi"/>
                <w:color w:val="000000"/>
                <w:sz w:val="20"/>
                <w:szCs w:val="20"/>
              </w:rPr>
              <w:t>7</w:t>
            </w:r>
          </w:p>
        </w:tc>
        <w:tc>
          <w:tcPr>
            <w:tcW w:w="382" w:type="pct"/>
            <w:noWrap/>
            <w:vAlign w:val="center"/>
          </w:tcPr>
          <w:p w14:paraId="63466905" w14:textId="5AF34829"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r>
      <w:tr w:rsidR="009C3E6A" w:rsidRPr="00D23AFA" w14:paraId="3DDC6350" w14:textId="77777777" w:rsidTr="00B94D3E">
        <w:trPr>
          <w:cantSplit/>
          <w:trHeight w:val="20"/>
        </w:trPr>
        <w:tc>
          <w:tcPr>
            <w:tcW w:w="1212" w:type="pct"/>
            <w:noWrap/>
            <w:vAlign w:val="center"/>
            <w:hideMark/>
          </w:tcPr>
          <w:p w14:paraId="22EF5136"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Q3</w:t>
            </w:r>
          </w:p>
        </w:tc>
        <w:tc>
          <w:tcPr>
            <w:tcW w:w="378" w:type="pct"/>
            <w:vAlign w:val="center"/>
          </w:tcPr>
          <w:p w14:paraId="520B492D" w14:textId="42243B30"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vAlign w:val="center"/>
          </w:tcPr>
          <w:p w14:paraId="160324E8" w14:textId="02FF88AB"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11AB9ECB" w14:textId="202AAEA3" w:rsidR="009C3E6A" w:rsidRPr="002A2C7D" w:rsidRDefault="009C3E6A" w:rsidP="009C3E6A">
            <w:pPr>
              <w:jc w:val="right"/>
              <w:rPr>
                <w:rFonts w:cstheme="minorHAnsi"/>
                <w:color w:val="000000"/>
                <w:sz w:val="20"/>
                <w:szCs w:val="20"/>
              </w:rPr>
            </w:pPr>
            <w:r w:rsidRPr="002A2C7D">
              <w:rPr>
                <w:rFonts w:cstheme="minorHAnsi"/>
                <w:color w:val="000000"/>
                <w:sz w:val="20"/>
                <w:szCs w:val="20"/>
              </w:rPr>
              <w:t>12.</w:t>
            </w:r>
            <w:r>
              <w:rPr>
                <w:rFonts w:cstheme="minorHAnsi"/>
                <w:color w:val="000000"/>
                <w:sz w:val="20"/>
                <w:szCs w:val="20"/>
              </w:rPr>
              <w:t>7</w:t>
            </w:r>
          </w:p>
        </w:tc>
        <w:tc>
          <w:tcPr>
            <w:tcW w:w="378" w:type="pct"/>
            <w:noWrap/>
            <w:vAlign w:val="center"/>
          </w:tcPr>
          <w:p w14:paraId="7FF7824C" w14:textId="207A64A2" w:rsidR="009C3E6A" w:rsidRPr="002A2C7D" w:rsidRDefault="009C3E6A" w:rsidP="009C3E6A">
            <w:pPr>
              <w:jc w:val="right"/>
              <w:rPr>
                <w:rFonts w:cstheme="minorHAnsi"/>
                <w:color w:val="000000"/>
                <w:sz w:val="20"/>
                <w:szCs w:val="20"/>
              </w:rPr>
            </w:pPr>
            <w:r w:rsidRPr="002A2C7D">
              <w:rPr>
                <w:rFonts w:cstheme="minorHAnsi"/>
                <w:color w:val="000000"/>
                <w:sz w:val="20"/>
                <w:szCs w:val="20"/>
              </w:rPr>
              <w:t>12.8</w:t>
            </w:r>
          </w:p>
        </w:tc>
        <w:tc>
          <w:tcPr>
            <w:tcW w:w="378" w:type="pct"/>
            <w:noWrap/>
            <w:vAlign w:val="center"/>
          </w:tcPr>
          <w:p w14:paraId="554E926C" w14:textId="127354ED" w:rsidR="009C3E6A" w:rsidRPr="002A2C7D" w:rsidRDefault="009C3E6A" w:rsidP="009C3E6A">
            <w:pPr>
              <w:jc w:val="right"/>
              <w:rPr>
                <w:rFonts w:cstheme="minorHAnsi"/>
                <w:color w:val="000000"/>
                <w:sz w:val="20"/>
                <w:szCs w:val="20"/>
              </w:rPr>
            </w:pPr>
            <w:r w:rsidRPr="002A2C7D">
              <w:rPr>
                <w:rFonts w:cstheme="minorHAnsi"/>
                <w:color w:val="000000"/>
                <w:sz w:val="20"/>
                <w:szCs w:val="20"/>
              </w:rPr>
              <w:t>12.9</w:t>
            </w:r>
          </w:p>
        </w:tc>
        <w:tc>
          <w:tcPr>
            <w:tcW w:w="378" w:type="pct"/>
            <w:noWrap/>
            <w:vAlign w:val="center"/>
          </w:tcPr>
          <w:p w14:paraId="425419F8" w14:textId="6D8DB2CE" w:rsidR="009C3E6A" w:rsidRPr="002A2C7D" w:rsidRDefault="009C3E6A" w:rsidP="009C3E6A">
            <w:pPr>
              <w:jc w:val="right"/>
              <w:rPr>
                <w:rFonts w:cstheme="minorHAnsi"/>
                <w:color w:val="000000"/>
                <w:sz w:val="20"/>
                <w:szCs w:val="20"/>
              </w:rPr>
            </w:pPr>
            <w:r w:rsidRPr="002A2C7D">
              <w:rPr>
                <w:rFonts w:cstheme="minorHAnsi"/>
                <w:color w:val="000000"/>
                <w:sz w:val="20"/>
                <w:szCs w:val="20"/>
              </w:rPr>
              <w:t>12.9</w:t>
            </w:r>
          </w:p>
        </w:tc>
        <w:tc>
          <w:tcPr>
            <w:tcW w:w="378" w:type="pct"/>
            <w:noWrap/>
            <w:vAlign w:val="center"/>
          </w:tcPr>
          <w:p w14:paraId="2F7505AD" w14:textId="70117734" w:rsidR="009C3E6A" w:rsidRPr="002A2C7D" w:rsidRDefault="009C3E6A" w:rsidP="009C3E6A">
            <w:pPr>
              <w:jc w:val="right"/>
              <w:rPr>
                <w:rFonts w:cstheme="minorHAnsi"/>
                <w:color w:val="000000"/>
                <w:sz w:val="20"/>
                <w:szCs w:val="20"/>
              </w:rPr>
            </w:pPr>
            <w:r w:rsidRPr="002A2C7D">
              <w:rPr>
                <w:rFonts w:cstheme="minorHAnsi"/>
                <w:color w:val="000000"/>
                <w:sz w:val="20"/>
                <w:szCs w:val="20"/>
              </w:rPr>
              <w:t>13.2</w:t>
            </w:r>
          </w:p>
        </w:tc>
        <w:tc>
          <w:tcPr>
            <w:tcW w:w="377" w:type="pct"/>
            <w:noWrap/>
            <w:vAlign w:val="center"/>
          </w:tcPr>
          <w:p w14:paraId="37679BBC" w14:textId="6916F528" w:rsidR="009C3E6A" w:rsidRPr="002A2C7D" w:rsidRDefault="009C3E6A" w:rsidP="009C3E6A">
            <w:pPr>
              <w:jc w:val="right"/>
              <w:rPr>
                <w:rFonts w:cstheme="minorHAnsi"/>
                <w:color w:val="000000"/>
                <w:sz w:val="20"/>
                <w:szCs w:val="20"/>
              </w:rPr>
            </w:pPr>
            <w:r w:rsidRPr="002A2C7D">
              <w:rPr>
                <w:rFonts w:cstheme="minorHAnsi"/>
                <w:color w:val="000000"/>
                <w:sz w:val="20"/>
                <w:szCs w:val="20"/>
              </w:rPr>
              <w:t>12.8</w:t>
            </w:r>
          </w:p>
        </w:tc>
        <w:tc>
          <w:tcPr>
            <w:tcW w:w="383" w:type="pct"/>
            <w:noWrap/>
            <w:vAlign w:val="center"/>
          </w:tcPr>
          <w:p w14:paraId="1CCE45A1" w14:textId="30C7F5B2" w:rsidR="009C3E6A" w:rsidRPr="002A2C7D" w:rsidRDefault="009C3E6A" w:rsidP="009C3E6A">
            <w:pPr>
              <w:jc w:val="right"/>
              <w:rPr>
                <w:rFonts w:cstheme="minorHAnsi"/>
                <w:color w:val="000000"/>
                <w:sz w:val="20"/>
                <w:szCs w:val="20"/>
              </w:rPr>
            </w:pPr>
            <w:r w:rsidRPr="002A2C7D">
              <w:rPr>
                <w:rFonts w:cstheme="minorHAnsi"/>
                <w:color w:val="000000"/>
                <w:sz w:val="20"/>
                <w:szCs w:val="20"/>
              </w:rPr>
              <w:t>12.8</w:t>
            </w:r>
          </w:p>
        </w:tc>
        <w:tc>
          <w:tcPr>
            <w:tcW w:w="382" w:type="pct"/>
            <w:noWrap/>
            <w:vAlign w:val="center"/>
          </w:tcPr>
          <w:p w14:paraId="3051EC29" w14:textId="0229724D" w:rsidR="009C3E6A" w:rsidRPr="002A2C7D" w:rsidRDefault="009C3E6A" w:rsidP="009C3E6A">
            <w:pPr>
              <w:jc w:val="right"/>
              <w:rPr>
                <w:rFonts w:cstheme="minorHAnsi"/>
                <w:color w:val="000000"/>
                <w:sz w:val="20"/>
                <w:szCs w:val="20"/>
              </w:rPr>
            </w:pPr>
            <w:r w:rsidRPr="002A2C7D">
              <w:rPr>
                <w:rFonts w:cstheme="minorHAnsi"/>
                <w:color w:val="000000"/>
                <w:sz w:val="20"/>
                <w:szCs w:val="20"/>
              </w:rPr>
              <w:t>12.8</w:t>
            </w:r>
          </w:p>
        </w:tc>
      </w:tr>
      <w:tr w:rsidR="009C3E6A" w:rsidRPr="00D23AFA" w14:paraId="510696E1" w14:textId="77777777" w:rsidTr="00B94D3E">
        <w:trPr>
          <w:cantSplit/>
          <w:trHeight w:val="20"/>
        </w:trPr>
        <w:tc>
          <w:tcPr>
            <w:tcW w:w="1212" w:type="pct"/>
            <w:noWrap/>
            <w:vAlign w:val="center"/>
            <w:hideMark/>
          </w:tcPr>
          <w:p w14:paraId="4ADABFE4"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Q4</w:t>
            </w:r>
          </w:p>
        </w:tc>
        <w:tc>
          <w:tcPr>
            <w:tcW w:w="378" w:type="pct"/>
            <w:vAlign w:val="center"/>
          </w:tcPr>
          <w:p w14:paraId="450060C6" w14:textId="0B12B623"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vAlign w:val="center"/>
          </w:tcPr>
          <w:p w14:paraId="3A8D68B1" w14:textId="67E21F1A"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5DF62331" w14:textId="68D016BA" w:rsidR="009C3E6A" w:rsidRPr="002A2C7D" w:rsidRDefault="009C3E6A" w:rsidP="009C3E6A">
            <w:pPr>
              <w:jc w:val="right"/>
              <w:rPr>
                <w:rFonts w:cstheme="minorHAnsi"/>
                <w:color w:val="000000"/>
                <w:sz w:val="20"/>
                <w:szCs w:val="20"/>
              </w:rPr>
            </w:pPr>
            <w:r w:rsidRPr="002A2C7D">
              <w:rPr>
                <w:rFonts w:cstheme="minorHAnsi"/>
                <w:color w:val="000000"/>
                <w:sz w:val="20"/>
                <w:szCs w:val="20"/>
              </w:rPr>
              <w:t>13.</w:t>
            </w:r>
            <w:r>
              <w:rPr>
                <w:rFonts w:cstheme="minorHAnsi"/>
                <w:color w:val="000000"/>
                <w:sz w:val="20"/>
                <w:szCs w:val="20"/>
              </w:rPr>
              <w:t>7</w:t>
            </w:r>
          </w:p>
        </w:tc>
        <w:tc>
          <w:tcPr>
            <w:tcW w:w="378" w:type="pct"/>
            <w:noWrap/>
            <w:vAlign w:val="center"/>
          </w:tcPr>
          <w:p w14:paraId="46B10749" w14:textId="1204DCE0" w:rsidR="009C3E6A" w:rsidRPr="002A2C7D" w:rsidRDefault="009C3E6A" w:rsidP="009C3E6A">
            <w:pPr>
              <w:jc w:val="right"/>
              <w:rPr>
                <w:rFonts w:cstheme="minorHAnsi"/>
                <w:color w:val="000000"/>
                <w:sz w:val="20"/>
                <w:szCs w:val="20"/>
              </w:rPr>
            </w:pPr>
            <w:r w:rsidRPr="002A2C7D">
              <w:rPr>
                <w:rFonts w:cstheme="minorHAnsi"/>
                <w:color w:val="000000"/>
                <w:sz w:val="20"/>
                <w:szCs w:val="20"/>
              </w:rPr>
              <w:t>13.7</w:t>
            </w:r>
          </w:p>
        </w:tc>
        <w:tc>
          <w:tcPr>
            <w:tcW w:w="378" w:type="pct"/>
            <w:noWrap/>
            <w:vAlign w:val="center"/>
          </w:tcPr>
          <w:p w14:paraId="1071585C" w14:textId="5F9A4827" w:rsidR="009C3E6A" w:rsidRPr="002A2C7D" w:rsidRDefault="009C3E6A" w:rsidP="009C3E6A">
            <w:pPr>
              <w:jc w:val="right"/>
              <w:rPr>
                <w:rFonts w:cstheme="minorHAnsi"/>
                <w:color w:val="000000"/>
                <w:sz w:val="20"/>
                <w:szCs w:val="20"/>
              </w:rPr>
            </w:pPr>
            <w:r w:rsidRPr="002A2C7D">
              <w:rPr>
                <w:rFonts w:cstheme="minorHAnsi"/>
                <w:color w:val="000000"/>
                <w:sz w:val="20"/>
                <w:szCs w:val="20"/>
              </w:rPr>
              <w:t>13.</w:t>
            </w:r>
            <w:r>
              <w:rPr>
                <w:rFonts w:cstheme="minorHAnsi"/>
                <w:color w:val="000000"/>
                <w:sz w:val="20"/>
                <w:szCs w:val="20"/>
              </w:rPr>
              <w:t>9</w:t>
            </w:r>
          </w:p>
        </w:tc>
        <w:tc>
          <w:tcPr>
            <w:tcW w:w="378" w:type="pct"/>
            <w:noWrap/>
            <w:vAlign w:val="center"/>
          </w:tcPr>
          <w:p w14:paraId="675776EB" w14:textId="3CCEE4A6" w:rsidR="009C3E6A" w:rsidRPr="002A2C7D" w:rsidRDefault="009C3E6A" w:rsidP="009C3E6A">
            <w:pPr>
              <w:jc w:val="right"/>
              <w:rPr>
                <w:rFonts w:cstheme="minorHAnsi"/>
                <w:color w:val="000000"/>
                <w:sz w:val="20"/>
                <w:szCs w:val="20"/>
              </w:rPr>
            </w:pPr>
            <w:r w:rsidRPr="002A2C7D">
              <w:rPr>
                <w:rFonts w:cstheme="minorHAnsi"/>
                <w:color w:val="000000"/>
                <w:sz w:val="20"/>
                <w:szCs w:val="20"/>
              </w:rPr>
              <w:t>13.8</w:t>
            </w:r>
          </w:p>
        </w:tc>
        <w:tc>
          <w:tcPr>
            <w:tcW w:w="378" w:type="pct"/>
            <w:noWrap/>
            <w:vAlign w:val="center"/>
          </w:tcPr>
          <w:p w14:paraId="217A09BD" w14:textId="68267E08" w:rsidR="009C3E6A" w:rsidRPr="002A2C7D" w:rsidRDefault="009C3E6A" w:rsidP="009C3E6A">
            <w:pPr>
              <w:jc w:val="right"/>
              <w:rPr>
                <w:rFonts w:cstheme="minorHAnsi"/>
                <w:color w:val="000000"/>
                <w:sz w:val="20"/>
                <w:szCs w:val="20"/>
              </w:rPr>
            </w:pPr>
            <w:r w:rsidRPr="002A2C7D">
              <w:rPr>
                <w:rFonts w:cstheme="minorHAnsi"/>
                <w:color w:val="000000"/>
                <w:sz w:val="20"/>
                <w:szCs w:val="20"/>
              </w:rPr>
              <w:t>14.</w:t>
            </w:r>
            <w:r>
              <w:rPr>
                <w:rFonts w:cstheme="minorHAnsi"/>
                <w:color w:val="000000"/>
                <w:sz w:val="20"/>
                <w:szCs w:val="20"/>
              </w:rPr>
              <w:t>2</w:t>
            </w:r>
          </w:p>
        </w:tc>
        <w:tc>
          <w:tcPr>
            <w:tcW w:w="377" w:type="pct"/>
            <w:noWrap/>
            <w:vAlign w:val="center"/>
          </w:tcPr>
          <w:p w14:paraId="61D44E82" w14:textId="27BDEEEC" w:rsidR="009C3E6A" w:rsidRPr="002A2C7D" w:rsidRDefault="009C3E6A" w:rsidP="009C3E6A">
            <w:pPr>
              <w:jc w:val="right"/>
              <w:rPr>
                <w:rFonts w:cstheme="minorHAnsi"/>
                <w:color w:val="000000"/>
                <w:sz w:val="20"/>
                <w:szCs w:val="20"/>
              </w:rPr>
            </w:pPr>
            <w:r>
              <w:rPr>
                <w:rFonts w:cstheme="minorHAnsi"/>
                <w:color w:val="000000"/>
                <w:sz w:val="20"/>
                <w:szCs w:val="20"/>
              </w:rPr>
              <w:t>14.0</w:t>
            </w:r>
          </w:p>
        </w:tc>
        <w:tc>
          <w:tcPr>
            <w:tcW w:w="383" w:type="pct"/>
            <w:noWrap/>
            <w:vAlign w:val="center"/>
          </w:tcPr>
          <w:p w14:paraId="28D4A992" w14:textId="3C838A6F" w:rsidR="009C3E6A" w:rsidRPr="002A2C7D" w:rsidRDefault="009C3E6A" w:rsidP="009C3E6A">
            <w:pPr>
              <w:jc w:val="right"/>
              <w:rPr>
                <w:rFonts w:cstheme="minorHAnsi"/>
                <w:color w:val="000000"/>
                <w:sz w:val="20"/>
                <w:szCs w:val="20"/>
              </w:rPr>
            </w:pPr>
            <w:r w:rsidRPr="002A2C7D">
              <w:rPr>
                <w:rFonts w:cstheme="minorHAnsi"/>
                <w:color w:val="000000"/>
                <w:sz w:val="20"/>
                <w:szCs w:val="20"/>
              </w:rPr>
              <w:t>13.7</w:t>
            </w:r>
          </w:p>
        </w:tc>
        <w:tc>
          <w:tcPr>
            <w:tcW w:w="382" w:type="pct"/>
            <w:noWrap/>
            <w:vAlign w:val="center"/>
          </w:tcPr>
          <w:p w14:paraId="0179FF70" w14:textId="1D628EBB" w:rsidR="009C3E6A" w:rsidRPr="002A2C7D" w:rsidRDefault="009C3E6A" w:rsidP="009C3E6A">
            <w:pPr>
              <w:jc w:val="right"/>
              <w:rPr>
                <w:rFonts w:cstheme="minorHAnsi"/>
                <w:color w:val="000000"/>
                <w:sz w:val="20"/>
                <w:szCs w:val="20"/>
              </w:rPr>
            </w:pPr>
            <w:r w:rsidRPr="002A2C7D">
              <w:rPr>
                <w:rFonts w:cstheme="minorHAnsi"/>
                <w:color w:val="000000"/>
                <w:sz w:val="20"/>
                <w:szCs w:val="20"/>
              </w:rPr>
              <w:t>13.9</w:t>
            </w:r>
          </w:p>
        </w:tc>
      </w:tr>
      <w:tr w:rsidR="009C3E6A" w:rsidRPr="00D23AFA" w14:paraId="156514D6" w14:textId="77777777" w:rsidTr="00B94D3E">
        <w:trPr>
          <w:cantSplit/>
          <w:trHeight w:val="20"/>
        </w:trPr>
        <w:tc>
          <w:tcPr>
            <w:tcW w:w="1212" w:type="pct"/>
            <w:noWrap/>
            <w:vAlign w:val="center"/>
            <w:hideMark/>
          </w:tcPr>
          <w:p w14:paraId="04D706AA"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Q5 - least disadvantaged</w:t>
            </w:r>
          </w:p>
        </w:tc>
        <w:tc>
          <w:tcPr>
            <w:tcW w:w="378" w:type="pct"/>
            <w:vAlign w:val="center"/>
          </w:tcPr>
          <w:p w14:paraId="482761D4" w14:textId="690A5D92"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vAlign w:val="center"/>
          </w:tcPr>
          <w:p w14:paraId="29E0D317" w14:textId="4DB48860" w:rsidR="009C3E6A" w:rsidRPr="002A2C7D" w:rsidRDefault="009C3E6A" w:rsidP="009C3E6A">
            <w:pPr>
              <w:jc w:val="right"/>
              <w:rPr>
                <w:rFonts w:cstheme="minorHAnsi"/>
                <w:color w:val="000000"/>
                <w:sz w:val="20"/>
                <w:szCs w:val="20"/>
              </w:rPr>
            </w:pPr>
            <w:r w:rsidRPr="002A2C7D">
              <w:rPr>
                <w:rFonts w:cstheme="minorHAnsi"/>
                <w:color w:val="000000"/>
                <w:sz w:val="20"/>
                <w:szCs w:val="20"/>
              </w:rPr>
              <w:t>n.a.</w:t>
            </w:r>
          </w:p>
        </w:tc>
        <w:tc>
          <w:tcPr>
            <w:tcW w:w="378" w:type="pct"/>
            <w:noWrap/>
            <w:vAlign w:val="center"/>
          </w:tcPr>
          <w:p w14:paraId="310EE15D" w14:textId="21E098A7" w:rsidR="009C3E6A" w:rsidRPr="002A2C7D" w:rsidRDefault="009C3E6A" w:rsidP="009C3E6A">
            <w:pPr>
              <w:jc w:val="right"/>
              <w:rPr>
                <w:rFonts w:cstheme="minorHAnsi"/>
                <w:color w:val="000000"/>
                <w:sz w:val="20"/>
                <w:szCs w:val="20"/>
              </w:rPr>
            </w:pPr>
            <w:r w:rsidRPr="002A2C7D">
              <w:rPr>
                <w:rFonts w:cstheme="minorHAnsi"/>
                <w:color w:val="000000"/>
                <w:sz w:val="20"/>
                <w:szCs w:val="20"/>
              </w:rPr>
              <w:t>14.5</w:t>
            </w:r>
          </w:p>
        </w:tc>
        <w:tc>
          <w:tcPr>
            <w:tcW w:w="378" w:type="pct"/>
            <w:noWrap/>
            <w:vAlign w:val="center"/>
          </w:tcPr>
          <w:p w14:paraId="22E8759E" w14:textId="404D06F9" w:rsidR="009C3E6A" w:rsidRPr="002A2C7D" w:rsidRDefault="009C3E6A" w:rsidP="009C3E6A">
            <w:pPr>
              <w:jc w:val="right"/>
              <w:rPr>
                <w:rFonts w:cstheme="minorHAnsi"/>
                <w:color w:val="000000"/>
                <w:sz w:val="20"/>
                <w:szCs w:val="20"/>
              </w:rPr>
            </w:pPr>
            <w:r w:rsidRPr="002A2C7D">
              <w:rPr>
                <w:rFonts w:cstheme="minorHAnsi"/>
                <w:color w:val="000000"/>
                <w:sz w:val="20"/>
                <w:szCs w:val="20"/>
              </w:rPr>
              <w:t>14.</w:t>
            </w:r>
            <w:r>
              <w:rPr>
                <w:rFonts w:cstheme="minorHAnsi"/>
                <w:color w:val="000000"/>
                <w:sz w:val="20"/>
                <w:szCs w:val="20"/>
              </w:rPr>
              <w:t>5</w:t>
            </w:r>
          </w:p>
        </w:tc>
        <w:tc>
          <w:tcPr>
            <w:tcW w:w="378" w:type="pct"/>
            <w:noWrap/>
            <w:vAlign w:val="center"/>
          </w:tcPr>
          <w:p w14:paraId="4AF4F727" w14:textId="66116329" w:rsidR="009C3E6A" w:rsidRPr="002A2C7D" w:rsidRDefault="009C3E6A" w:rsidP="009C3E6A">
            <w:pPr>
              <w:jc w:val="right"/>
              <w:rPr>
                <w:rFonts w:cstheme="minorHAnsi"/>
                <w:color w:val="000000"/>
                <w:sz w:val="20"/>
                <w:szCs w:val="20"/>
              </w:rPr>
            </w:pPr>
            <w:r w:rsidRPr="002A2C7D">
              <w:rPr>
                <w:rFonts w:cstheme="minorHAnsi"/>
                <w:color w:val="000000"/>
                <w:sz w:val="20"/>
                <w:szCs w:val="20"/>
              </w:rPr>
              <w:t>14.7</w:t>
            </w:r>
          </w:p>
        </w:tc>
        <w:tc>
          <w:tcPr>
            <w:tcW w:w="378" w:type="pct"/>
            <w:noWrap/>
            <w:vAlign w:val="center"/>
          </w:tcPr>
          <w:p w14:paraId="32BA7B52" w14:textId="4415FA87" w:rsidR="009C3E6A" w:rsidRPr="002A2C7D" w:rsidRDefault="009C3E6A" w:rsidP="009C3E6A">
            <w:pPr>
              <w:jc w:val="right"/>
              <w:rPr>
                <w:rFonts w:cstheme="minorHAnsi"/>
                <w:color w:val="000000"/>
                <w:sz w:val="20"/>
                <w:szCs w:val="20"/>
              </w:rPr>
            </w:pPr>
            <w:r w:rsidRPr="002A2C7D">
              <w:rPr>
                <w:rFonts w:cstheme="minorHAnsi"/>
                <w:color w:val="000000"/>
                <w:sz w:val="20"/>
                <w:szCs w:val="20"/>
              </w:rPr>
              <w:t>14.</w:t>
            </w:r>
            <w:r>
              <w:rPr>
                <w:rFonts w:cstheme="minorHAnsi"/>
                <w:color w:val="000000"/>
                <w:sz w:val="20"/>
                <w:szCs w:val="20"/>
              </w:rPr>
              <w:t>2</w:t>
            </w:r>
          </w:p>
        </w:tc>
        <w:tc>
          <w:tcPr>
            <w:tcW w:w="378" w:type="pct"/>
            <w:noWrap/>
            <w:vAlign w:val="center"/>
          </w:tcPr>
          <w:p w14:paraId="3719BEB3" w14:textId="1A38F6B2" w:rsidR="009C3E6A" w:rsidRPr="002A2C7D" w:rsidRDefault="009C3E6A" w:rsidP="009C3E6A">
            <w:pPr>
              <w:jc w:val="right"/>
              <w:rPr>
                <w:rFonts w:cstheme="minorHAnsi"/>
                <w:color w:val="000000"/>
                <w:sz w:val="20"/>
                <w:szCs w:val="20"/>
              </w:rPr>
            </w:pPr>
            <w:r w:rsidRPr="002A2C7D">
              <w:rPr>
                <w:rFonts w:cstheme="minorHAnsi"/>
                <w:color w:val="000000"/>
                <w:sz w:val="20"/>
                <w:szCs w:val="20"/>
              </w:rPr>
              <w:t>14.</w:t>
            </w:r>
            <w:r>
              <w:rPr>
                <w:rFonts w:cstheme="minorHAnsi"/>
                <w:color w:val="000000"/>
                <w:sz w:val="20"/>
                <w:szCs w:val="20"/>
              </w:rPr>
              <w:t>4</w:t>
            </w:r>
          </w:p>
        </w:tc>
        <w:tc>
          <w:tcPr>
            <w:tcW w:w="377" w:type="pct"/>
            <w:noWrap/>
            <w:vAlign w:val="center"/>
          </w:tcPr>
          <w:p w14:paraId="71B59E8F" w14:textId="165CC27D" w:rsidR="009C3E6A" w:rsidRPr="002A2C7D" w:rsidRDefault="009C3E6A" w:rsidP="009C3E6A">
            <w:pPr>
              <w:jc w:val="right"/>
              <w:rPr>
                <w:rFonts w:cstheme="minorHAnsi"/>
                <w:color w:val="000000"/>
                <w:sz w:val="20"/>
                <w:szCs w:val="20"/>
              </w:rPr>
            </w:pPr>
            <w:r w:rsidRPr="002A2C7D">
              <w:rPr>
                <w:rFonts w:cstheme="minorHAnsi"/>
                <w:color w:val="000000"/>
                <w:sz w:val="20"/>
                <w:szCs w:val="20"/>
              </w:rPr>
              <w:t>14.7</w:t>
            </w:r>
          </w:p>
        </w:tc>
        <w:tc>
          <w:tcPr>
            <w:tcW w:w="383" w:type="pct"/>
            <w:noWrap/>
            <w:vAlign w:val="center"/>
          </w:tcPr>
          <w:p w14:paraId="5F90C35E" w14:textId="7F9DF53F" w:rsidR="009C3E6A" w:rsidRPr="002A2C7D" w:rsidRDefault="009C3E6A" w:rsidP="009C3E6A">
            <w:pPr>
              <w:jc w:val="right"/>
              <w:rPr>
                <w:rFonts w:cstheme="minorHAnsi"/>
                <w:color w:val="000000"/>
                <w:sz w:val="20"/>
                <w:szCs w:val="20"/>
              </w:rPr>
            </w:pPr>
            <w:r w:rsidRPr="002A2C7D">
              <w:rPr>
                <w:rFonts w:cstheme="minorHAnsi"/>
                <w:color w:val="000000"/>
                <w:sz w:val="20"/>
                <w:szCs w:val="20"/>
              </w:rPr>
              <w:t>14.7</w:t>
            </w:r>
          </w:p>
        </w:tc>
        <w:tc>
          <w:tcPr>
            <w:tcW w:w="382" w:type="pct"/>
            <w:noWrap/>
            <w:vAlign w:val="center"/>
          </w:tcPr>
          <w:p w14:paraId="4FA3CAE2" w14:textId="69D668CC" w:rsidR="009C3E6A" w:rsidRPr="002A2C7D" w:rsidRDefault="009C3E6A" w:rsidP="009C3E6A">
            <w:pPr>
              <w:jc w:val="right"/>
              <w:rPr>
                <w:rFonts w:cstheme="minorHAnsi"/>
                <w:color w:val="000000"/>
                <w:sz w:val="20"/>
                <w:szCs w:val="20"/>
              </w:rPr>
            </w:pPr>
            <w:r w:rsidRPr="002A2C7D">
              <w:rPr>
                <w:rFonts w:cstheme="minorHAnsi"/>
                <w:color w:val="000000"/>
                <w:sz w:val="20"/>
                <w:szCs w:val="20"/>
              </w:rPr>
              <w:t>14.5</w:t>
            </w:r>
          </w:p>
        </w:tc>
      </w:tr>
      <w:tr w:rsidR="005809B7" w:rsidRPr="00EB1AF3" w14:paraId="61FB74CF" w14:textId="77777777" w:rsidTr="005809B7">
        <w:trPr>
          <w:cantSplit/>
          <w:trHeight w:val="20"/>
        </w:trPr>
        <w:tc>
          <w:tcPr>
            <w:tcW w:w="5000" w:type="pct"/>
            <w:gridSpan w:val="11"/>
            <w:noWrap/>
            <w:vAlign w:val="center"/>
            <w:hideMark/>
          </w:tcPr>
          <w:p w14:paraId="6E5D5C93" w14:textId="7B28D0EE" w:rsidR="005809B7" w:rsidRPr="002A2C7D" w:rsidRDefault="005809B7" w:rsidP="00B94D3E">
            <w:pPr>
              <w:rPr>
                <w:rFonts w:cstheme="minorHAnsi"/>
                <w:b/>
                <w:bCs/>
                <w:sz w:val="20"/>
                <w:szCs w:val="20"/>
              </w:rPr>
            </w:pPr>
            <w:r w:rsidRPr="002A2C7D">
              <w:rPr>
                <w:rFonts w:cstheme="minorHAnsi"/>
                <w:b/>
                <w:bCs/>
                <w:color w:val="000000"/>
                <w:sz w:val="20"/>
                <w:szCs w:val="20"/>
              </w:rPr>
              <w:t>Hospital sector</w:t>
            </w:r>
          </w:p>
        </w:tc>
      </w:tr>
      <w:tr w:rsidR="009C3E6A" w:rsidRPr="00D23AFA" w14:paraId="6386BE2D" w14:textId="77777777" w:rsidTr="00B94D3E">
        <w:trPr>
          <w:cantSplit/>
          <w:trHeight w:val="20"/>
        </w:trPr>
        <w:tc>
          <w:tcPr>
            <w:tcW w:w="1212" w:type="pct"/>
            <w:noWrap/>
            <w:vAlign w:val="center"/>
            <w:hideMark/>
          </w:tcPr>
          <w:p w14:paraId="06BD1FBD"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Private</w:t>
            </w:r>
          </w:p>
        </w:tc>
        <w:tc>
          <w:tcPr>
            <w:tcW w:w="378" w:type="pct"/>
            <w:vAlign w:val="center"/>
          </w:tcPr>
          <w:p w14:paraId="207756C6" w14:textId="617F3E23" w:rsidR="009C3E6A" w:rsidRPr="002A2C7D" w:rsidRDefault="009C3E6A" w:rsidP="009C3E6A">
            <w:pPr>
              <w:jc w:val="right"/>
              <w:rPr>
                <w:rFonts w:cstheme="minorHAnsi"/>
                <w:color w:val="000000"/>
                <w:sz w:val="20"/>
                <w:szCs w:val="20"/>
              </w:rPr>
            </w:pPr>
            <w:r w:rsidRPr="002A2C7D">
              <w:rPr>
                <w:rFonts w:cstheme="minorHAnsi"/>
                <w:color w:val="000000"/>
                <w:sz w:val="20"/>
                <w:szCs w:val="20"/>
              </w:rPr>
              <w:t>15.1</w:t>
            </w:r>
          </w:p>
        </w:tc>
        <w:tc>
          <w:tcPr>
            <w:tcW w:w="378" w:type="pct"/>
            <w:vAlign w:val="center"/>
          </w:tcPr>
          <w:p w14:paraId="1D48BDDA" w14:textId="697FB15C" w:rsidR="009C3E6A" w:rsidRPr="002A2C7D" w:rsidRDefault="009C3E6A" w:rsidP="009C3E6A">
            <w:pPr>
              <w:jc w:val="right"/>
              <w:rPr>
                <w:rFonts w:cstheme="minorHAnsi"/>
                <w:color w:val="000000"/>
                <w:sz w:val="20"/>
                <w:szCs w:val="20"/>
              </w:rPr>
            </w:pPr>
            <w:r w:rsidRPr="002A2C7D">
              <w:rPr>
                <w:rFonts w:cstheme="minorHAnsi"/>
                <w:color w:val="000000"/>
                <w:sz w:val="20"/>
                <w:szCs w:val="20"/>
              </w:rPr>
              <w:t>15.2</w:t>
            </w:r>
          </w:p>
        </w:tc>
        <w:tc>
          <w:tcPr>
            <w:tcW w:w="378" w:type="pct"/>
            <w:noWrap/>
            <w:vAlign w:val="center"/>
          </w:tcPr>
          <w:p w14:paraId="0AA81875" w14:textId="62C3FECC" w:rsidR="009C3E6A" w:rsidRPr="002A2C7D" w:rsidRDefault="009C3E6A" w:rsidP="009C3E6A">
            <w:pPr>
              <w:jc w:val="right"/>
              <w:rPr>
                <w:rFonts w:cstheme="minorHAnsi"/>
                <w:color w:val="000000"/>
                <w:sz w:val="20"/>
                <w:szCs w:val="20"/>
              </w:rPr>
            </w:pPr>
            <w:r w:rsidRPr="002A2C7D">
              <w:rPr>
                <w:rFonts w:cstheme="minorHAnsi"/>
                <w:color w:val="000000"/>
                <w:sz w:val="20"/>
                <w:szCs w:val="20"/>
              </w:rPr>
              <w:t>15.4</w:t>
            </w:r>
          </w:p>
        </w:tc>
        <w:tc>
          <w:tcPr>
            <w:tcW w:w="378" w:type="pct"/>
            <w:noWrap/>
            <w:vAlign w:val="center"/>
          </w:tcPr>
          <w:p w14:paraId="6DBF062F" w14:textId="1412B2ED" w:rsidR="009C3E6A" w:rsidRPr="002A2C7D" w:rsidRDefault="009C3E6A" w:rsidP="009C3E6A">
            <w:pPr>
              <w:jc w:val="right"/>
              <w:rPr>
                <w:rFonts w:cstheme="minorHAnsi"/>
                <w:color w:val="000000"/>
                <w:sz w:val="20"/>
                <w:szCs w:val="20"/>
              </w:rPr>
            </w:pPr>
            <w:r w:rsidRPr="002A2C7D">
              <w:rPr>
                <w:rFonts w:cstheme="minorHAnsi"/>
                <w:color w:val="000000"/>
                <w:sz w:val="20"/>
                <w:szCs w:val="20"/>
              </w:rPr>
              <w:t>15.2</w:t>
            </w:r>
          </w:p>
        </w:tc>
        <w:tc>
          <w:tcPr>
            <w:tcW w:w="378" w:type="pct"/>
            <w:noWrap/>
            <w:vAlign w:val="center"/>
          </w:tcPr>
          <w:p w14:paraId="545D366E" w14:textId="2C66E745" w:rsidR="009C3E6A" w:rsidRPr="002A2C7D" w:rsidRDefault="009C3E6A" w:rsidP="009C3E6A">
            <w:pPr>
              <w:jc w:val="right"/>
              <w:rPr>
                <w:rFonts w:cstheme="minorHAnsi"/>
                <w:color w:val="000000"/>
                <w:sz w:val="20"/>
                <w:szCs w:val="20"/>
              </w:rPr>
            </w:pPr>
            <w:r w:rsidRPr="002A2C7D">
              <w:rPr>
                <w:rFonts w:cstheme="minorHAnsi"/>
                <w:color w:val="000000"/>
                <w:sz w:val="20"/>
                <w:szCs w:val="20"/>
              </w:rPr>
              <w:t>15.3</w:t>
            </w:r>
          </w:p>
        </w:tc>
        <w:tc>
          <w:tcPr>
            <w:tcW w:w="378" w:type="pct"/>
            <w:noWrap/>
            <w:vAlign w:val="center"/>
          </w:tcPr>
          <w:p w14:paraId="16FDEF75" w14:textId="02C30C40" w:rsidR="009C3E6A" w:rsidRPr="002A2C7D" w:rsidRDefault="009C3E6A" w:rsidP="009C3E6A">
            <w:pPr>
              <w:jc w:val="right"/>
              <w:rPr>
                <w:rFonts w:cstheme="minorHAnsi"/>
                <w:color w:val="000000"/>
                <w:sz w:val="20"/>
                <w:szCs w:val="20"/>
              </w:rPr>
            </w:pPr>
            <w:r w:rsidRPr="002A2C7D">
              <w:rPr>
                <w:rFonts w:cstheme="minorHAnsi"/>
                <w:color w:val="000000"/>
                <w:sz w:val="20"/>
                <w:szCs w:val="20"/>
              </w:rPr>
              <w:t>15.3</w:t>
            </w:r>
          </w:p>
        </w:tc>
        <w:tc>
          <w:tcPr>
            <w:tcW w:w="378" w:type="pct"/>
            <w:noWrap/>
            <w:vAlign w:val="center"/>
          </w:tcPr>
          <w:p w14:paraId="26D818A6" w14:textId="0FB99FFC" w:rsidR="009C3E6A" w:rsidRPr="002A2C7D" w:rsidRDefault="009C3E6A" w:rsidP="009C3E6A">
            <w:pPr>
              <w:jc w:val="right"/>
              <w:rPr>
                <w:rFonts w:cstheme="minorHAnsi"/>
                <w:color w:val="000000"/>
                <w:sz w:val="20"/>
                <w:szCs w:val="20"/>
              </w:rPr>
            </w:pPr>
            <w:r w:rsidRPr="002A2C7D">
              <w:rPr>
                <w:rFonts w:cstheme="minorHAnsi"/>
                <w:color w:val="000000"/>
                <w:sz w:val="20"/>
                <w:szCs w:val="20"/>
              </w:rPr>
              <w:t>15.4</w:t>
            </w:r>
          </w:p>
        </w:tc>
        <w:tc>
          <w:tcPr>
            <w:tcW w:w="377" w:type="pct"/>
            <w:noWrap/>
            <w:vAlign w:val="center"/>
          </w:tcPr>
          <w:p w14:paraId="4B36542C" w14:textId="5F3B4AE2" w:rsidR="009C3E6A" w:rsidRPr="002A2C7D" w:rsidRDefault="009C3E6A" w:rsidP="009C3E6A">
            <w:pPr>
              <w:jc w:val="right"/>
              <w:rPr>
                <w:rFonts w:cstheme="minorHAnsi"/>
                <w:color w:val="000000"/>
                <w:sz w:val="20"/>
                <w:szCs w:val="20"/>
              </w:rPr>
            </w:pPr>
            <w:r w:rsidRPr="002A2C7D">
              <w:rPr>
                <w:rFonts w:cstheme="minorHAnsi"/>
                <w:color w:val="000000"/>
                <w:sz w:val="20"/>
                <w:szCs w:val="20"/>
              </w:rPr>
              <w:t>14.9</w:t>
            </w:r>
          </w:p>
        </w:tc>
        <w:tc>
          <w:tcPr>
            <w:tcW w:w="383" w:type="pct"/>
            <w:noWrap/>
            <w:vAlign w:val="center"/>
          </w:tcPr>
          <w:p w14:paraId="7E47FAD7" w14:textId="00B4A3C3" w:rsidR="009C3E6A" w:rsidRPr="002A2C7D" w:rsidRDefault="009C3E6A" w:rsidP="009C3E6A">
            <w:pPr>
              <w:jc w:val="right"/>
              <w:rPr>
                <w:rFonts w:cstheme="minorHAnsi"/>
                <w:color w:val="000000"/>
                <w:sz w:val="20"/>
                <w:szCs w:val="20"/>
              </w:rPr>
            </w:pPr>
            <w:r w:rsidRPr="002A2C7D">
              <w:rPr>
                <w:rFonts w:cstheme="minorHAnsi"/>
                <w:color w:val="000000"/>
                <w:sz w:val="20"/>
                <w:szCs w:val="20"/>
              </w:rPr>
              <w:t>14.4</w:t>
            </w:r>
          </w:p>
        </w:tc>
        <w:tc>
          <w:tcPr>
            <w:tcW w:w="382" w:type="pct"/>
            <w:noWrap/>
            <w:vAlign w:val="center"/>
          </w:tcPr>
          <w:p w14:paraId="2A6F08A9" w14:textId="2CFB1348" w:rsidR="009C3E6A" w:rsidRPr="002A2C7D" w:rsidRDefault="009C3E6A" w:rsidP="009C3E6A">
            <w:pPr>
              <w:jc w:val="right"/>
              <w:rPr>
                <w:rFonts w:cstheme="minorHAnsi"/>
                <w:color w:val="000000"/>
                <w:sz w:val="20"/>
                <w:szCs w:val="20"/>
              </w:rPr>
            </w:pPr>
            <w:r w:rsidRPr="002A2C7D">
              <w:rPr>
                <w:rFonts w:cstheme="minorHAnsi"/>
                <w:color w:val="000000"/>
                <w:sz w:val="20"/>
                <w:szCs w:val="20"/>
              </w:rPr>
              <w:t>14.5</w:t>
            </w:r>
          </w:p>
        </w:tc>
      </w:tr>
      <w:tr w:rsidR="009C3E6A" w:rsidRPr="00D23AFA" w14:paraId="09B3ACF8" w14:textId="77777777" w:rsidTr="00B94D3E">
        <w:trPr>
          <w:cantSplit/>
          <w:trHeight w:val="20"/>
        </w:trPr>
        <w:tc>
          <w:tcPr>
            <w:tcW w:w="1212" w:type="pct"/>
            <w:noWrap/>
            <w:vAlign w:val="center"/>
            <w:hideMark/>
          </w:tcPr>
          <w:p w14:paraId="433AAC93" w14:textId="77777777" w:rsidR="009C3E6A" w:rsidRPr="002A2C7D" w:rsidRDefault="009C3E6A" w:rsidP="009C3E6A">
            <w:pPr>
              <w:ind w:firstLineChars="100" w:firstLine="200"/>
              <w:rPr>
                <w:rFonts w:cstheme="minorHAnsi"/>
                <w:color w:val="000000"/>
                <w:sz w:val="20"/>
                <w:szCs w:val="20"/>
              </w:rPr>
            </w:pPr>
            <w:r w:rsidRPr="002A2C7D">
              <w:rPr>
                <w:rFonts w:cstheme="minorHAnsi"/>
                <w:color w:val="000000"/>
                <w:sz w:val="20"/>
                <w:szCs w:val="20"/>
              </w:rPr>
              <w:t>Public</w:t>
            </w:r>
          </w:p>
        </w:tc>
        <w:tc>
          <w:tcPr>
            <w:tcW w:w="378" w:type="pct"/>
            <w:vAlign w:val="center"/>
          </w:tcPr>
          <w:p w14:paraId="3CFB5BBE" w14:textId="371F87C7" w:rsidR="009C3E6A" w:rsidRPr="002A2C7D" w:rsidRDefault="009C3E6A" w:rsidP="009C3E6A">
            <w:pPr>
              <w:jc w:val="right"/>
              <w:rPr>
                <w:rFonts w:cstheme="minorHAnsi"/>
                <w:color w:val="000000"/>
                <w:sz w:val="20"/>
                <w:szCs w:val="20"/>
              </w:rPr>
            </w:pPr>
            <w:r w:rsidRPr="002A2C7D">
              <w:rPr>
                <w:rFonts w:cstheme="minorHAnsi"/>
                <w:color w:val="000000"/>
                <w:sz w:val="20"/>
                <w:szCs w:val="20"/>
              </w:rPr>
              <w:t>11.2</w:t>
            </w:r>
          </w:p>
        </w:tc>
        <w:tc>
          <w:tcPr>
            <w:tcW w:w="378" w:type="pct"/>
            <w:vAlign w:val="center"/>
          </w:tcPr>
          <w:p w14:paraId="11FB67C9" w14:textId="4FA89B5F" w:rsidR="009C3E6A" w:rsidRPr="002A2C7D" w:rsidRDefault="009C3E6A" w:rsidP="009C3E6A">
            <w:pPr>
              <w:jc w:val="right"/>
              <w:rPr>
                <w:rFonts w:cstheme="minorHAnsi"/>
                <w:color w:val="000000"/>
                <w:sz w:val="20"/>
                <w:szCs w:val="20"/>
              </w:rPr>
            </w:pPr>
            <w:r w:rsidRPr="002A2C7D">
              <w:rPr>
                <w:rFonts w:cstheme="minorHAnsi"/>
                <w:color w:val="000000"/>
                <w:sz w:val="20"/>
                <w:szCs w:val="20"/>
              </w:rPr>
              <w:t>11.3</w:t>
            </w:r>
          </w:p>
        </w:tc>
        <w:tc>
          <w:tcPr>
            <w:tcW w:w="378" w:type="pct"/>
            <w:noWrap/>
            <w:vAlign w:val="center"/>
          </w:tcPr>
          <w:p w14:paraId="74C942BD" w14:textId="125D64FB" w:rsidR="009C3E6A" w:rsidRPr="002A2C7D" w:rsidRDefault="009C3E6A" w:rsidP="009C3E6A">
            <w:pPr>
              <w:jc w:val="right"/>
              <w:rPr>
                <w:rFonts w:cstheme="minorHAnsi"/>
                <w:color w:val="000000"/>
                <w:sz w:val="20"/>
                <w:szCs w:val="20"/>
              </w:rPr>
            </w:pPr>
            <w:r w:rsidRPr="002A2C7D">
              <w:rPr>
                <w:rFonts w:cstheme="minorHAnsi"/>
                <w:color w:val="000000"/>
                <w:sz w:val="20"/>
                <w:szCs w:val="20"/>
              </w:rPr>
              <w:t>11.6</w:t>
            </w:r>
          </w:p>
        </w:tc>
        <w:tc>
          <w:tcPr>
            <w:tcW w:w="378" w:type="pct"/>
            <w:noWrap/>
            <w:vAlign w:val="center"/>
          </w:tcPr>
          <w:p w14:paraId="681239C1" w14:textId="23F7A004" w:rsidR="009C3E6A" w:rsidRPr="002A2C7D" w:rsidRDefault="009C3E6A" w:rsidP="009C3E6A">
            <w:pPr>
              <w:jc w:val="right"/>
              <w:rPr>
                <w:rFonts w:cstheme="minorHAnsi"/>
                <w:color w:val="000000"/>
                <w:sz w:val="20"/>
                <w:szCs w:val="20"/>
              </w:rPr>
            </w:pPr>
            <w:r w:rsidRPr="002A2C7D">
              <w:rPr>
                <w:rFonts w:cstheme="minorHAnsi"/>
                <w:color w:val="000000"/>
                <w:sz w:val="20"/>
                <w:szCs w:val="20"/>
              </w:rPr>
              <w:t>11.7</w:t>
            </w:r>
          </w:p>
        </w:tc>
        <w:tc>
          <w:tcPr>
            <w:tcW w:w="378" w:type="pct"/>
            <w:noWrap/>
            <w:vAlign w:val="center"/>
          </w:tcPr>
          <w:p w14:paraId="1E3E8CF0" w14:textId="6DC28115" w:rsidR="009C3E6A" w:rsidRPr="002A2C7D" w:rsidRDefault="009C3E6A" w:rsidP="009C3E6A">
            <w:pPr>
              <w:jc w:val="right"/>
              <w:rPr>
                <w:rFonts w:cstheme="minorHAnsi"/>
                <w:color w:val="000000"/>
                <w:sz w:val="20"/>
                <w:szCs w:val="20"/>
              </w:rPr>
            </w:pPr>
            <w:r w:rsidRPr="002A2C7D">
              <w:rPr>
                <w:rFonts w:cstheme="minorHAnsi"/>
                <w:color w:val="000000"/>
                <w:sz w:val="20"/>
                <w:szCs w:val="20"/>
              </w:rPr>
              <w:t>11.</w:t>
            </w:r>
            <w:r>
              <w:rPr>
                <w:rFonts w:cstheme="minorHAnsi"/>
                <w:color w:val="000000"/>
                <w:sz w:val="20"/>
                <w:szCs w:val="20"/>
              </w:rPr>
              <w:t>7</w:t>
            </w:r>
          </w:p>
        </w:tc>
        <w:tc>
          <w:tcPr>
            <w:tcW w:w="378" w:type="pct"/>
            <w:noWrap/>
            <w:vAlign w:val="center"/>
          </w:tcPr>
          <w:p w14:paraId="60B19546" w14:textId="59DEF558" w:rsidR="009C3E6A" w:rsidRPr="002A2C7D" w:rsidRDefault="009C3E6A" w:rsidP="009C3E6A">
            <w:pPr>
              <w:jc w:val="right"/>
              <w:rPr>
                <w:rFonts w:cstheme="minorHAnsi"/>
                <w:color w:val="000000"/>
                <w:sz w:val="20"/>
                <w:szCs w:val="20"/>
              </w:rPr>
            </w:pPr>
            <w:r w:rsidRPr="002A2C7D">
              <w:rPr>
                <w:rFonts w:cstheme="minorHAnsi"/>
                <w:color w:val="000000"/>
                <w:sz w:val="20"/>
                <w:szCs w:val="20"/>
              </w:rPr>
              <w:t>11.</w:t>
            </w:r>
            <w:r>
              <w:rPr>
                <w:rFonts w:cstheme="minorHAnsi"/>
                <w:color w:val="000000"/>
                <w:sz w:val="20"/>
                <w:szCs w:val="20"/>
              </w:rPr>
              <w:t>8</w:t>
            </w:r>
          </w:p>
        </w:tc>
        <w:tc>
          <w:tcPr>
            <w:tcW w:w="378" w:type="pct"/>
            <w:noWrap/>
            <w:vAlign w:val="center"/>
          </w:tcPr>
          <w:p w14:paraId="17B88037" w14:textId="59770E67" w:rsidR="009C3E6A" w:rsidRPr="002A2C7D" w:rsidRDefault="009C3E6A" w:rsidP="009C3E6A">
            <w:pPr>
              <w:jc w:val="right"/>
              <w:rPr>
                <w:rFonts w:cstheme="minorHAnsi"/>
                <w:color w:val="000000"/>
                <w:sz w:val="20"/>
                <w:szCs w:val="20"/>
              </w:rPr>
            </w:pPr>
            <w:r w:rsidRPr="002A2C7D">
              <w:rPr>
                <w:rFonts w:cstheme="minorHAnsi"/>
                <w:color w:val="000000"/>
                <w:sz w:val="20"/>
                <w:szCs w:val="20"/>
              </w:rPr>
              <w:t>12.</w:t>
            </w:r>
            <w:r>
              <w:rPr>
                <w:rFonts w:cstheme="minorHAnsi"/>
                <w:color w:val="000000"/>
                <w:sz w:val="20"/>
                <w:szCs w:val="20"/>
              </w:rPr>
              <w:t>2</w:t>
            </w:r>
          </w:p>
        </w:tc>
        <w:tc>
          <w:tcPr>
            <w:tcW w:w="377" w:type="pct"/>
            <w:noWrap/>
            <w:vAlign w:val="center"/>
          </w:tcPr>
          <w:p w14:paraId="1C1B7308" w14:textId="477072AA" w:rsidR="009C3E6A" w:rsidRPr="002A2C7D" w:rsidRDefault="009C3E6A" w:rsidP="009C3E6A">
            <w:pPr>
              <w:jc w:val="right"/>
              <w:rPr>
                <w:rFonts w:cstheme="minorHAnsi"/>
                <w:color w:val="000000"/>
                <w:sz w:val="20"/>
                <w:szCs w:val="20"/>
              </w:rPr>
            </w:pPr>
            <w:r w:rsidRPr="002A2C7D">
              <w:rPr>
                <w:rFonts w:cstheme="minorHAnsi"/>
                <w:color w:val="000000"/>
                <w:sz w:val="20"/>
                <w:szCs w:val="20"/>
              </w:rPr>
              <w:t>12.</w:t>
            </w:r>
            <w:r>
              <w:rPr>
                <w:rFonts w:cstheme="minorHAnsi"/>
                <w:color w:val="000000"/>
                <w:sz w:val="20"/>
                <w:szCs w:val="20"/>
              </w:rPr>
              <w:t>2</w:t>
            </w:r>
          </w:p>
        </w:tc>
        <w:tc>
          <w:tcPr>
            <w:tcW w:w="383" w:type="pct"/>
            <w:noWrap/>
            <w:vAlign w:val="center"/>
          </w:tcPr>
          <w:p w14:paraId="6418C475" w14:textId="3FEBB727" w:rsidR="009C3E6A" w:rsidRPr="002A2C7D" w:rsidRDefault="009C3E6A" w:rsidP="009C3E6A">
            <w:pPr>
              <w:jc w:val="right"/>
              <w:rPr>
                <w:rFonts w:cstheme="minorHAnsi"/>
                <w:color w:val="000000"/>
                <w:sz w:val="20"/>
                <w:szCs w:val="20"/>
              </w:rPr>
            </w:pPr>
            <w:r w:rsidRPr="002A2C7D">
              <w:rPr>
                <w:rFonts w:cstheme="minorHAnsi"/>
                <w:color w:val="000000"/>
                <w:sz w:val="20"/>
                <w:szCs w:val="20"/>
              </w:rPr>
              <w:t>12.4</w:t>
            </w:r>
          </w:p>
        </w:tc>
        <w:tc>
          <w:tcPr>
            <w:tcW w:w="382" w:type="pct"/>
            <w:noWrap/>
            <w:vAlign w:val="center"/>
          </w:tcPr>
          <w:p w14:paraId="2535B271" w14:textId="50DE3360" w:rsidR="009C3E6A" w:rsidRPr="002A2C7D" w:rsidRDefault="009C3E6A" w:rsidP="009C3E6A">
            <w:pPr>
              <w:jc w:val="right"/>
              <w:rPr>
                <w:rFonts w:cstheme="minorHAnsi"/>
                <w:color w:val="000000"/>
                <w:sz w:val="20"/>
                <w:szCs w:val="20"/>
              </w:rPr>
            </w:pPr>
            <w:r w:rsidRPr="002A2C7D">
              <w:rPr>
                <w:rFonts w:cstheme="minorHAnsi"/>
                <w:color w:val="000000"/>
                <w:sz w:val="20"/>
                <w:szCs w:val="20"/>
              </w:rPr>
              <w:t>12.4</w:t>
            </w:r>
          </w:p>
        </w:tc>
      </w:tr>
    </w:tbl>
    <w:p w14:paraId="208F8B66" w14:textId="0E801D71" w:rsidR="00B90252" w:rsidRPr="007667EF" w:rsidRDefault="00B90252" w:rsidP="00B90252">
      <w:pPr>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9C3E6A">
        <w:rPr>
          <w:sz w:val="18"/>
          <w:szCs w:val="18"/>
        </w:rPr>
        <w:t>.</w:t>
      </w:r>
    </w:p>
    <w:p w14:paraId="540C0DF3" w14:textId="77777777" w:rsidR="00B94D3E" w:rsidRDefault="00B94D3E" w:rsidP="007667EF">
      <w:pPr>
        <w:ind w:left="360" w:hanging="360"/>
        <w:rPr>
          <w:b/>
          <w:sz w:val="18"/>
          <w:szCs w:val="18"/>
        </w:rPr>
      </w:pPr>
    </w:p>
    <w:p w14:paraId="40538DB1" w14:textId="1C1B07EF" w:rsidR="007667EF" w:rsidRPr="00B94D3E" w:rsidRDefault="007667EF" w:rsidP="007667EF">
      <w:pPr>
        <w:ind w:left="360" w:hanging="360"/>
        <w:rPr>
          <w:b/>
          <w:sz w:val="18"/>
          <w:szCs w:val="18"/>
        </w:rPr>
      </w:pPr>
      <w:r w:rsidRPr="00B94D3E">
        <w:rPr>
          <w:b/>
          <w:sz w:val="18"/>
          <w:szCs w:val="18"/>
        </w:rPr>
        <w:t>Data notes</w:t>
      </w:r>
    </w:p>
    <w:p w14:paraId="606F97F0" w14:textId="77777777" w:rsidR="007667EF" w:rsidRPr="007667EF" w:rsidRDefault="007667EF" w:rsidP="008D3FB5">
      <w:pPr>
        <w:pStyle w:val="pf0"/>
        <w:numPr>
          <w:ilvl w:val="0"/>
          <w:numId w:val="34"/>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For multiple births, the method of birth of the first-born baby was used.</w:t>
      </w:r>
    </w:p>
    <w:p w14:paraId="3424CDD2" w14:textId="63F622AF" w:rsidR="007667EF" w:rsidRPr="007667EF" w:rsidRDefault="009C3E6A" w:rsidP="008D3FB5">
      <w:pPr>
        <w:pStyle w:val="pf0"/>
        <w:numPr>
          <w:ilvl w:val="0"/>
          <w:numId w:val="34"/>
        </w:numPr>
        <w:spacing w:before="0" w:beforeAutospacing="0" w:after="0" w:afterAutospacing="0"/>
        <w:ind w:left="284" w:hanging="284"/>
        <w:rPr>
          <w:rFonts w:asciiTheme="minorHAnsi" w:hAnsiTheme="minorHAnsi"/>
          <w:sz w:val="18"/>
          <w:szCs w:val="18"/>
        </w:rPr>
      </w:pPr>
      <w:r>
        <w:rPr>
          <w:rFonts w:asciiTheme="minorHAnsi" w:hAnsiTheme="minorHAnsi"/>
          <w:sz w:val="18"/>
          <w:szCs w:val="18"/>
        </w:rPr>
        <w:t>.</w:t>
      </w:r>
    </w:p>
    <w:p w14:paraId="02F8BFE5" w14:textId="77777777" w:rsidR="007667EF" w:rsidRPr="007667EF" w:rsidRDefault="007667EF" w:rsidP="008D3FB5">
      <w:pPr>
        <w:pStyle w:val="pf0"/>
        <w:numPr>
          <w:ilvl w:val="0"/>
          <w:numId w:val="34"/>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Country of birth (mother): Prior to 2012, data were mapped to the ABS 2008 Standard Australian Classification of Countries (SACC). Between 2012 and 2016, data were mapped to the ABS 2011 SACC. From 2017, data were mapped to the ABS 2016 SACC, with the exception of Qld which used the ABS 2011 SACC until 30 June 2017.</w:t>
      </w:r>
    </w:p>
    <w:p w14:paraId="1BE65610" w14:textId="77777777" w:rsidR="007667EF" w:rsidRPr="007667EF" w:rsidRDefault="007667EF" w:rsidP="008D3FB5">
      <w:pPr>
        <w:pStyle w:val="pf0"/>
        <w:numPr>
          <w:ilvl w:val="0"/>
          <w:numId w:val="34"/>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Hospital sector: Includes women who gave birth in hospital only (excludes birth centres attached to hospitals).</w:t>
      </w:r>
    </w:p>
    <w:p w14:paraId="6E805B2F" w14:textId="77777777" w:rsidR="007667EF" w:rsidRPr="007667EF" w:rsidRDefault="007667EF" w:rsidP="008D3FB5">
      <w:pPr>
        <w:pStyle w:val="pf0"/>
        <w:numPr>
          <w:ilvl w:val="0"/>
          <w:numId w:val="34"/>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Indigenous status (mother, age-standardised): Percentages are directly age-standardised using the 30 June 2001 Australian female Estimated Resident Population (ERP) aged 15–44 as the standard population. Five-year age groups are used for age-standardisation. The lowest age group was 15–19 years and the highest was 40–44 years.</w:t>
      </w:r>
    </w:p>
    <w:p w14:paraId="4D3713D5" w14:textId="77777777" w:rsidR="007667EF" w:rsidRPr="007667EF" w:rsidRDefault="007667EF" w:rsidP="008D3FB5">
      <w:pPr>
        <w:pStyle w:val="pf0"/>
        <w:numPr>
          <w:ilvl w:val="0"/>
          <w:numId w:val="34"/>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Remoteness area: 1. Between 2012 and 2016, Remoteness area derived by applying ABS 2011 Australian Statistical Geography Standard (ASGS) to area of mother’s usual residence. From 2017, Remoteness area derived by applying ABS 2016 ASGS. Remoteness area only calculated where geographic area of usual residence was provided. Excludes mothers not usually resident in Australia and those whose state or territory of usual residence was ‘Not stated’. 2. Data may not add to the total due to rounding.</w:t>
      </w:r>
    </w:p>
    <w:p w14:paraId="5500B2A9" w14:textId="5B437913" w:rsidR="007667EF" w:rsidRDefault="007667EF" w:rsidP="008D3FB5">
      <w:pPr>
        <w:pStyle w:val="pf0"/>
        <w:numPr>
          <w:ilvl w:val="0"/>
          <w:numId w:val="34"/>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Socioeconomic status: Between 2012 and 2016, Socioeconomic status derived by applying ABS 2011 Socio-Economic Indexes for Areas Index of Relative Socio-economic Disadvantage (SEIFA IRSD) to area of mother's usual residence. From 2017, socioeconomic status derived by applying ABS 2016 SEIFA IRSD. Socioeconomic status only calculated where geographic area of usual residence was provided. Excludes mothers not usually resident in Australia and those whose state or territory of usual residence was ‘Not stated’.</w:t>
      </w:r>
    </w:p>
    <w:p w14:paraId="692E5594" w14:textId="151F0ECD" w:rsidR="00962D67" w:rsidRPr="00B94D3E" w:rsidRDefault="00962D67" w:rsidP="008D3FB5">
      <w:pPr>
        <w:pStyle w:val="ListParagraph"/>
        <w:numPr>
          <w:ilvl w:val="0"/>
          <w:numId w:val="34"/>
        </w:numPr>
        <w:rPr>
          <w:sz w:val="18"/>
          <w:szCs w:val="18"/>
        </w:rPr>
      </w:pPr>
      <w:r w:rsidRPr="00B94D3E">
        <w:rPr>
          <w:sz w:val="18"/>
          <w:szCs w:val="18"/>
        </w:rPr>
        <w:t>Source: AIHW analysis of National Perinatal Data Collection. National Perinatal Data Collection annual update 2020—data tables</w:t>
      </w:r>
      <w:r w:rsidR="00F404D5" w:rsidRPr="00B94D3E">
        <w:rPr>
          <w:sz w:val="18"/>
          <w:szCs w:val="18"/>
        </w:rPr>
        <w:br w:type="page"/>
      </w:r>
    </w:p>
    <w:p w14:paraId="3FFCC664" w14:textId="2D690FA8" w:rsidR="00AF0ADF" w:rsidRPr="0054118D" w:rsidRDefault="00AF0ADF" w:rsidP="00AF0ADF">
      <w:pPr>
        <w:pStyle w:val="Caption"/>
        <w:rPr>
          <w:sz w:val="20"/>
          <w:szCs w:val="20"/>
        </w:rPr>
      </w:pPr>
      <w:bookmarkStart w:id="432" w:name="_Ref117126322"/>
      <w:bookmarkStart w:id="433" w:name="_Toc121429197"/>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21</w:t>
      </w:r>
      <w:r w:rsidR="00A64FC5" w:rsidRPr="0054118D">
        <w:rPr>
          <w:noProof/>
          <w:sz w:val="20"/>
          <w:szCs w:val="20"/>
        </w:rPr>
        <w:fldChar w:fldCharType="end"/>
      </w:r>
      <w:bookmarkEnd w:id="432"/>
      <w:r w:rsidRPr="0054118D">
        <w:rPr>
          <w:sz w:val="20"/>
          <w:szCs w:val="20"/>
        </w:rPr>
        <w:tab/>
        <w:t>Caesarean section, 2010</w:t>
      </w:r>
      <w:r w:rsidR="0054118D">
        <w:rPr>
          <w:sz w:val="20"/>
          <w:szCs w:val="20"/>
        </w:rPr>
        <w:t>–</w:t>
      </w:r>
      <w:r w:rsidRPr="0054118D">
        <w:rPr>
          <w:sz w:val="20"/>
          <w:szCs w:val="20"/>
        </w:rPr>
        <w:t>20</w:t>
      </w:r>
      <w:r w:rsidR="00E33D42" w:rsidRPr="0054118D">
        <w:rPr>
          <w:sz w:val="20"/>
          <w:szCs w:val="20"/>
        </w:rPr>
        <w:t>19</w:t>
      </w:r>
      <w:bookmarkEnd w:id="433"/>
    </w:p>
    <w:tbl>
      <w:tblPr>
        <w:tblStyle w:val="TableGrid"/>
        <w:tblW w:w="4960" w:type="pct"/>
        <w:tblLayout w:type="fixed"/>
        <w:tblLook w:val="04A0" w:firstRow="1" w:lastRow="0" w:firstColumn="1" w:lastColumn="0" w:noHBand="0" w:noVBand="1"/>
      </w:tblPr>
      <w:tblGrid>
        <w:gridCol w:w="2549"/>
        <w:gridCol w:w="722"/>
        <w:gridCol w:w="724"/>
        <w:gridCol w:w="723"/>
        <w:gridCol w:w="723"/>
        <w:gridCol w:w="723"/>
        <w:gridCol w:w="723"/>
        <w:gridCol w:w="723"/>
        <w:gridCol w:w="723"/>
        <w:gridCol w:w="723"/>
        <w:gridCol w:w="720"/>
      </w:tblGrid>
      <w:tr w:rsidR="007B513A" w:rsidRPr="00EB1AF3" w14:paraId="2B4B6E6C" w14:textId="77777777" w:rsidTr="00B94D3E">
        <w:trPr>
          <w:cantSplit/>
          <w:trHeight w:val="20"/>
          <w:tblHeader/>
        </w:trPr>
        <w:tc>
          <w:tcPr>
            <w:tcW w:w="1303" w:type="pct"/>
            <w:noWrap/>
            <w:vAlign w:val="center"/>
            <w:hideMark/>
          </w:tcPr>
          <w:p w14:paraId="5F53B0D6" w14:textId="77777777" w:rsidR="00BB1B05" w:rsidRPr="00E33D42" w:rsidRDefault="00BB1B05" w:rsidP="00AF0ADF">
            <w:pPr>
              <w:ind w:firstLineChars="100" w:firstLine="201"/>
              <w:rPr>
                <w:rFonts w:cstheme="minorHAnsi"/>
                <w:b/>
                <w:bCs/>
                <w:color w:val="000000"/>
                <w:sz w:val="20"/>
                <w:szCs w:val="20"/>
              </w:rPr>
            </w:pPr>
          </w:p>
        </w:tc>
        <w:tc>
          <w:tcPr>
            <w:tcW w:w="369" w:type="pct"/>
            <w:vAlign w:val="center"/>
          </w:tcPr>
          <w:p w14:paraId="28B3D8A9"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2010</w:t>
            </w:r>
          </w:p>
        </w:tc>
        <w:tc>
          <w:tcPr>
            <w:tcW w:w="370" w:type="pct"/>
            <w:vAlign w:val="center"/>
          </w:tcPr>
          <w:p w14:paraId="168B99D9"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2011</w:t>
            </w:r>
          </w:p>
        </w:tc>
        <w:tc>
          <w:tcPr>
            <w:tcW w:w="370" w:type="pct"/>
            <w:noWrap/>
            <w:vAlign w:val="center"/>
            <w:hideMark/>
          </w:tcPr>
          <w:p w14:paraId="0499D421"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2012</w:t>
            </w:r>
          </w:p>
        </w:tc>
        <w:tc>
          <w:tcPr>
            <w:tcW w:w="370" w:type="pct"/>
            <w:noWrap/>
            <w:vAlign w:val="center"/>
            <w:hideMark/>
          </w:tcPr>
          <w:p w14:paraId="1C6BB59B"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2013</w:t>
            </w:r>
          </w:p>
        </w:tc>
        <w:tc>
          <w:tcPr>
            <w:tcW w:w="370" w:type="pct"/>
            <w:noWrap/>
            <w:vAlign w:val="center"/>
            <w:hideMark/>
          </w:tcPr>
          <w:p w14:paraId="6B22B6F3"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2014</w:t>
            </w:r>
          </w:p>
        </w:tc>
        <w:tc>
          <w:tcPr>
            <w:tcW w:w="370" w:type="pct"/>
            <w:noWrap/>
            <w:vAlign w:val="center"/>
            <w:hideMark/>
          </w:tcPr>
          <w:p w14:paraId="2DD17899"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2015</w:t>
            </w:r>
          </w:p>
        </w:tc>
        <w:tc>
          <w:tcPr>
            <w:tcW w:w="370" w:type="pct"/>
            <w:noWrap/>
            <w:vAlign w:val="center"/>
            <w:hideMark/>
          </w:tcPr>
          <w:p w14:paraId="580C43D9"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2016</w:t>
            </w:r>
          </w:p>
        </w:tc>
        <w:tc>
          <w:tcPr>
            <w:tcW w:w="370" w:type="pct"/>
            <w:noWrap/>
            <w:vAlign w:val="center"/>
            <w:hideMark/>
          </w:tcPr>
          <w:p w14:paraId="6993B37F"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2017</w:t>
            </w:r>
          </w:p>
        </w:tc>
        <w:tc>
          <w:tcPr>
            <w:tcW w:w="370" w:type="pct"/>
            <w:noWrap/>
            <w:vAlign w:val="center"/>
            <w:hideMark/>
          </w:tcPr>
          <w:p w14:paraId="6259FCE8"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2018</w:t>
            </w:r>
          </w:p>
        </w:tc>
        <w:tc>
          <w:tcPr>
            <w:tcW w:w="370" w:type="pct"/>
            <w:noWrap/>
            <w:vAlign w:val="center"/>
            <w:hideMark/>
          </w:tcPr>
          <w:p w14:paraId="31482E18" w14:textId="77777777" w:rsidR="00BB1B05" w:rsidRPr="00E33D42" w:rsidRDefault="00BB1B05" w:rsidP="00B94D3E">
            <w:pPr>
              <w:jc w:val="center"/>
              <w:rPr>
                <w:rFonts w:cstheme="minorHAnsi"/>
                <w:b/>
                <w:bCs/>
                <w:color w:val="000000"/>
                <w:sz w:val="20"/>
                <w:szCs w:val="20"/>
              </w:rPr>
            </w:pPr>
            <w:r w:rsidRPr="00E33D42">
              <w:rPr>
                <w:rFonts w:cstheme="minorHAnsi"/>
                <w:b/>
                <w:bCs/>
                <w:color w:val="000000"/>
                <w:sz w:val="20"/>
                <w:szCs w:val="20"/>
              </w:rPr>
              <w:t>2019</w:t>
            </w:r>
          </w:p>
        </w:tc>
      </w:tr>
      <w:tr w:rsidR="00BB1B05" w:rsidRPr="00EB1AF3" w14:paraId="795791BE" w14:textId="77777777" w:rsidTr="00B94D3E">
        <w:trPr>
          <w:cantSplit/>
          <w:trHeight w:val="20"/>
          <w:tblHeader/>
        </w:trPr>
        <w:tc>
          <w:tcPr>
            <w:tcW w:w="1303" w:type="pct"/>
            <w:noWrap/>
            <w:vAlign w:val="center"/>
            <w:hideMark/>
          </w:tcPr>
          <w:p w14:paraId="07D7E0F5" w14:textId="77777777" w:rsidR="00BB1B05" w:rsidRPr="00E33D42" w:rsidRDefault="00BB1B05" w:rsidP="00AF0ADF">
            <w:pPr>
              <w:jc w:val="right"/>
              <w:rPr>
                <w:rFonts w:cstheme="minorHAnsi"/>
                <w:b/>
                <w:bCs/>
                <w:color w:val="000000"/>
                <w:sz w:val="20"/>
                <w:szCs w:val="20"/>
              </w:rPr>
            </w:pPr>
          </w:p>
        </w:tc>
        <w:tc>
          <w:tcPr>
            <w:tcW w:w="3697" w:type="pct"/>
            <w:gridSpan w:val="10"/>
          </w:tcPr>
          <w:p w14:paraId="6F355949" w14:textId="45DC6C07" w:rsidR="00BB1B05" w:rsidRPr="00E33D42" w:rsidRDefault="00BB1B05" w:rsidP="0082515E">
            <w:pPr>
              <w:jc w:val="center"/>
              <w:rPr>
                <w:rFonts w:cstheme="minorHAnsi"/>
                <w:b/>
                <w:bCs/>
                <w:sz w:val="20"/>
                <w:szCs w:val="20"/>
              </w:rPr>
            </w:pPr>
            <w:r w:rsidRPr="00E33D42">
              <w:rPr>
                <w:rFonts w:cstheme="minorHAnsi"/>
                <w:b/>
                <w:bCs/>
                <w:color w:val="000000"/>
                <w:sz w:val="20"/>
                <w:szCs w:val="20"/>
              </w:rPr>
              <w:t>In per cent (%)</w:t>
            </w:r>
          </w:p>
        </w:tc>
      </w:tr>
      <w:tr w:rsidR="008A76F1" w:rsidRPr="00EB1AF3" w14:paraId="5AC491F3" w14:textId="77777777" w:rsidTr="00B94D3E">
        <w:trPr>
          <w:cantSplit/>
          <w:trHeight w:val="20"/>
        </w:trPr>
        <w:tc>
          <w:tcPr>
            <w:tcW w:w="5000" w:type="pct"/>
            <w:gridSpan w:val="11"/>
            <w:noWrap/>
            <w:vAlign w:val="center"/>
            <w:hideMark/>
          </w:tcPr>
          <w:p w14:paraId="121A7E64" w14:textId="2E461764" w:rsidR="008A76F1" w:rsidRPr="00E33D42" w:rsidRDefault="008A76F1" w:rsidP="00B94D3E">
            <w:pPr>
              <w:rPr>
                <w:rFonts w:cstheme="minorHAnsi"/>
                <w:b/>
                <w:bCs/>
                <w:sz w:val="20"/>
                <w:szCs w:val="20"/>
              </w:rPr>
            </w:pPr>
            <w:r w:rsidRPr="00E33D42">
              <w:rPr>
                <w:rFonts w:cstheme="minorHAnsi"/>
                <w:b/>
                <w:bCs/>
                <w:color w:val="000000"/>
                <w:sz w:val="20"/>
                <w:szCs w:val="20"/>
              </w:rPr>
              <w:t>Australia</w:t>
            </w:r>
          </w:p>
        </w:tc>
      </w:tr>
      <w:tr w:rsidR="00311D66" w:rsidRPr="00D23AFA" w14:paraId="5558925F" w14:textId="77777777" w:rsidTr="00B94D3E">
        <w:trPr>
          <w:cantSplit/>
          <w:trHeight w:val="20"/>
        </w:trPr>
        <w:tc>
          <w:tcPr>
            <w:tcW w:w="1303" w:type="pct"/>
            <w:noWrap/>
            <w:vAlign w:val="center"/>
            <w:hideMark/>
          </w:tcPr>
          <w:p w14:paraId="42200EF0"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Total</w:t>
            </w:r>
          </w:p>
        </w:tc>
        <w:tc>
          <w:tcPr>
            <w:tcW w:w="369" w:type="pct"/>
            <w:tcBorders>
              <w:bottom w:val="single" w:sz="4" w:space="0" w:color="auto"/>
            </w:tcBorders>
            <w:vAlign w:val="center"/>
          </w:tcPr>
          <w:p w14:paraId="62E9EA19"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31.6</w:t>
            </w:r>
          </w:p>
        </w:tc>
        <w:tc>
          <w:tcPr>
            <w:tcW w:w="370" w:type="pct"/>
            <w:tcBorders>
              <w:bottom w:val="single" w:sz="4" w:space="0" w:color="auto"/>
            </w:tcBorders>
            <w:vAlign w:val="center"/>
          </w:tcPr>
          <w:p w14:paraId="42C6A3E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32.3</w:t>
            </w:r>
          </w:p>
        </w:tc>
        <w:tc>
          <w:tcPr>
            <w:tcW w:w="370" w:type="pct"/>
            <w:tcBorders>
              <w:bottom w:val="single" w:sz="4" w:space="0" w:color="auto"/>
            </w:tcBorders>
            <w:noWrap/>
            <w:vAlign w:val="center"/>
          </w:tcPr>
          <w:p w14:paraId="598B11E3"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32.4</w:t>
            </w:r>
          </w:p>
        </w:tc>
        <w:tc>
          <w:tcPr>
            <w:tcW w:w="370" w:type="pct"/>
            <w:tcBorders>
              <w:bottom w:val="single" w:sz="4" w:space="0" w:color="auto"/>
            </w:tcBorders>
            <w:noWrap/>
            <w:vAlign w:val="center"/>
          </w:tcPr>
          <w:p w14:paraId="473A0F0D"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32.8</w:t>
            </w:r>
          </w:p>
        </w:tc>
        <w:tc>
          <w:tcPr>
            <w:tcW w:w="370" w:type="pct"/>
            <w:tcBorders>
              <w:bottom w:val="single" w:sz="4" w:space="0" w:color="auto"/>
            </w:tcBorders>
            <w:noWrap/>
            <w:vAlign w:val="center"/>
          </w:tcPr>
          <w:p w14:paraId="19603A8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33.1</w:t>
            </w:r>
          </w:p>
        </w:tc>
        <w:tc>
          <w:tcPr>
            <w:tcW w:w="370" w:type="pct"/>
            <w:tcBorders>
              <w:bottom w:val="single" w:sz="4" w:space="0" w:color="auto"/>
            </w:tcBorders>
            <w:noWrap/>
            <w:vAlign w:val="center"/>
          </w:tcPr>
          <w:p w14:paraId="1BB2B1A7"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33.3</w:t>
            </w:r>
          </w:p>
        </w:tc>
        <w:tc>
          <w:tcPr>
            <w:tcW w:w="370" w:type="pct"/>
            <w:tcBorders>
              <w:bottom w:val="single" w:sz="4" w:space="0" w:color="auto"/>
            </w:tcBorders>
            <w:noWrap/>
            <w:vAlign w:val="center"/>
          </w:tcPr>
          <w:p w14:paraId="31560E43"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33.8</w:t>
            </w:r>
          </w:p>
        </w:tc>
        <w:tc>
          <w:tcPr>
            <w:tcW w:w="370" w:type="pct"/>
            <w:tcBorders>
              <w:bottom w:val="single" w:sz="4" w:space="0" w:color="auto"/>
            </w:tcBorders>
            <w:noWrap/>
            <w:vAlign w:val="center"/>
          </w:tcPr>
          <w:p w14:paraId="4D6DFBD4"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34.6</w:t>
            </w:r>
          </w:p>
        </w:tc>
        <w:tc>
          <w:tcPr>
            <w:tcW w:w="370" w:type="pct"/>
            <w:tcBorders>
              <w:bottom w:val="single" w:sz="4" w:space="0" w:color="auto"/>
            </w:tcBorders>
            <w:noWrap/>
            <w:vAlign w:val="center"/>
          </w:tcPr>
          <w:p w14:paraId="0F62C58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35.3</w:t>
            </w:r>
          </w:p>
        </w:tc>
        <w:tc>
          <w:tcPr>
            <w:tcW w:w="368" w:type="pct"/>
            <w:tcBorders>
              <w:bottom w:val="single" w:sz="4" w:space="0" w:color="auto"/>
            </w:tcBorders>
            <w:noWrap/>
            <w:vAlign w:val="center"/>
          </w:tcPr>
          <w:p w14:paraId="5B410A9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36.0</w:t>
            </w:r>
          </w:p>
        </w:tc>
      </w:tr>
      <w:tr w:rsidR="008A76F1" w:rsidRPr="00EB1AF3" w14:paraId="46C220C3" w14:textId="77777777" w:rsidTr="00B94D3E">
        <w:trPr>
          <w:cantSplit/>
          <w:trHeight w:val="20"/>
        </w:trPr>
        <w:tc>
          <w:tcPr>
            <w:tcW w:w="5000" w:type="pct"/>
            <w:gridSpan w:val="11"/>
            <w:noWrap/>
            <w:vAlign w:val="center"/>
            <w:hideMark/>
          </w:tcPr>
          <w:p w14:paraId="37F1A075" w14:textId="1CA14F12" w:rsidR="008A76F1" w:rsidRPr="00E33D42" w:rsidRDefault="008A76F1" w:rsidP="00B94D3E">
            <w:pPr>
              <w:rPr>
                <w:rFonts w:cstheme="minorHAnsi"/>
                <w:b/>
                <w:bCs/>
                <w:sz w:val="20"/>
                <w:szCs w:val="20"/>
              </w:rPr>
            </w:pPr>
            <w:r w:rsidRPr="00E33D42">
              <w:rPr>
                <w:rFonts w:cstheme="minorHAnsi"/>
                <w:b/>
                <w:bCs/>
                <w:color w:val="000000"/>
                <w:sz w:val="20"/>
                <w:szCs w:val="20"/>
              </w:rPr>
              <w:t>Mother's age at birth</w:t>
            </w:r>
          </w:p>
        </w:tc>
      </w:tr>
      <w:tr w:rsidR="00311D66" w:rsidRPr="00D23AFA" w14:paraId="641FF1BF" w14:textId="77777777" w:rsidTr="00B94D3E">
        <w:trPr>
          <w:cantSplit/>
          <w:trHeight w:val="20"/>
        </w:trPr>
        <w:tc>
          <w:tcPr>
            <w:tcW w:w="1303" w:type="pct"/>
            <w:noWrap/>
            <w:vAlign w:val="center"/>
            <w:hideMark/>
          </w:tcPr>
          <w:p w14:paraId="206FB06F"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Younger than 20</w:t>
            </w:r>
          </w:p>
        </w:tc>
        <w:tc>
          <w:tcPr>
            <w:tcW w:w="369" w:type="pct"/>
            <w:vAlign w:val="center"/>
          </w:tcPr>
          <w:p w14:paraId="77D052C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17.6</w:t>
            </w:r>
          </w:p>
        </w:tc>
        <w:tc>
          <w:tcPr>
            <w:tcW w:w="370" w:type="pct"/>
            <w:vAlign w:val="center"/>
          </w:tcPr>
          <w:p w14:paraId="0E03E4C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17.7</w:t>
            </w:r>
          </w:p>
        </w:tc>
        <w:tc>
          <w:tcPr>
            <w:tcW w:w="370" w:type="pct"/>
            <w:noWrap/>
            <w:vAlign w:val="center"/>
          </w:tcPr>
          <w:p w14:paraId="466C42FE"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17.1</w:t>
            </w:r>
          </w:p>
        </w:tc>
        <w:tc>
          <w:tcPr>
            <w:tcW w:w="370" w:type="pct"/>
            <w:noWrap/>
            <w:vAlign w:val="center"/>
          </w:tcPr>
          <w:p w14:paraId="4252D38E"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18.3</w:t>
            </w:r>
          </w:p>
        </w:tc>
        <w:tc>
          <w:tcPr>
            <w:tcW w:w="370" w:type="pct"/>
            <w:noWrap/>
            <w:vAlign w:val="center"/>
          </w:tcPr>
          <w:p w14:paraId="7E8ABAC9"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18.2</w:t>
            </w:r>
          </w:p>
        </w:tc>
        <w:tc>
          <w:tcPr>
            <w:tcW w:w="370" w:type="pct"/>
            <w:noWrap/>
            <w:vAlign w:val="center"/>
          </w:tcPr>
          <w:p w14:paraId="2B2CA6CF"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18.2</w:t>
            </w:r>
          </w:p>
        </w:tc>
        <w:tc>
          <w:tcPr>
            <w:tcW w:w="370" w:type="pct"/>
            <w:noWrap/>
            <w:vAlign w:val="center"/>
          </w:tcPr>
          <w:p w14:paraId="6B081B5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17.6</w:t>
            </w:r>
          </w:p>
        </w:tc>
        <w:tc>
          <w:tcPr>
            <w:tcW w:w="370" w:type="pct"/>
            <w:noWrap/>
            <w:vAlign w:val="center"/>
          </w:tcPr>
          <w:p w14:paraId="310E48D4"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19.7</w:t>
            </w:r>
          </w:p>
        </w:tc>
        <w:tc>
          <w:tcPr>
            <w:tcW w:w="370" w:type="pct"/>
            <w:noWrap/>
            <w:vAlign w:val="center"/>
          </w:tcPr>
          <w:p w14:paraId="0C0CADAF"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19.8</w:t>
            </w:r>
          </w:p>
        </w:tc>
        <w:tc>
          <w:tcPr>
            <w:tcW w:w="368" w:type="pct"/>
            <w:noWrap/>
            <w:vAlign w:val="center"/>
          </w:tcPr>
          <w:p w14:paraId="5D6FBCAF"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19.3</w:t>
            </w:r>
          </w:p>
        </w:tc>
      </w:tr>
      <w:tr w:rsidR="00311D66" w:rsidRPr="00D23AFA" w14:paraId="329841CE" w14:textId="77777777" w:rsidTr="00B94D3E">
        <w:trPr>
          <w:cantSplit/>
          <w:trHeight w:val="20"/>
        </w:trPr>
        <w:tc>
          <w:tcPr>
            <w:tcW w:w="1303" w:type="pct"/>
            <w:noWrap/>
            <w:vAlign w:val="center"/>
            <w:hideMark/>
          </w:tcPr>
          <w:p w14:paraId="388A1882"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20-24</w:t>
            </w:r>
          </w:p>
        </w:tc>
        <w:tc>
          <w:tcPr>
            <w:tcW w:w="369" w:type="pct"/>
            <w:vAlign w:val="center"/>
          </w:tcPr>
          <w:p w14:paraId="24DB113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21.4</w:t>
            </w:r>
          </w:p>
        </w:tc>
        <w:tc>
          <w:tcPr>
            <w:tcW w:w="370" w:type="pct"/>
            <w:vAlign w:val="center"/>
          </w:tcPr>
          <w:p w14:paraId="032F2FBD"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22.3</w:t>
            </w:r>
          </w:p>
        </w:tc>
        <w:tc>
          <w:tcPr>
            <w:tcW w:w="370" w:type="pct"/>
            <w:noWrap/>
            <w:vAlign w:val="center"/>
          </w:tcPr>
          <w:p w14:paraId="44471C3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22.3</w:t>
            </w:r>
          </w:p>
        </w:tc>
        <w:tc>
          <w:tcPr>
            <w:tcW w:w="370" w:type="pct"/>
            <w:noWrap/>
            <w:vAlign w:val="center"/>
          </w:tcPr>
          <w:p w14:paraId="7712001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22.5</w:t>
            </w:r>
          </w:p>
        </w:tc>
        <w:tc>
          <w:tcPr>
            <w:tcW w:w="370" w:type="pct"/>
            <w:noWrap/>
            <w:vAlign w:val="center"/>
          </w:tcPr>
          <w:p w14:paraId="089A2CE1"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23.2</w:t>
            </w:r>
          </w:p>
        </w:tc>
        <w:tc>
          <w:tcPr>
            <w:tcW w:w="370" w:type="pct"/>
            <w:noWrap/>
            <w:vAlign w:val="center"/>
          </w:tcPr>
          <w:p w14:paraId="1DB861F9"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23.3</w:t>
            </w:r>
          </w:p>
        </w:tc>
        <w:tc>
          <w:tcPr>
            <w:tcW w:w="370" w:type="pct"/>
            <w:noWrap/>
            <w:vAlign w:val="center"/>
          </w:tcPr>
          <w:p w14:paraId="459343B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23.1</w:t>
            </w:r>
          </w:p>
        </w:tc>
        <w:tc>
          <w:tcPr>
            <w:tcW w:w="370" w:type="pct"/>
            <w:noWrap/>
            <w:vAlign w:val="center"/>
          </w:tcPr>
          <w:p w14:paraId="3D993DB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23.8</w:t>
            </w:r>
          </w:p>
        </w:tc>
        <w:tc>
          <w:tcPr>
            <w:tcW w:w="370" w:type="pct"/>
            <w:noWrap/>
            <w:vAlign w:val="center"/>
          </w:tcPr>
          <w:p w14:paraId="3AE1497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24.7</w:t>
            </w:r>
          </w:p>
        </w:tc>
        <w:tc>
          <w:tcPr>
            <w:tcW w:w="368" w:type="pct"/>
            <w:noWrap/>
            <w:vAlign w:val="center"/>
          </w:tcPr>
          <w:p w14:paraId="6FCCCFC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25.0</w:t>
            </w:r>
          </w:p>
        </w:tc>
      </w:tr>
      <w:tr w:rsidR="00311D66" w:rsidRPr="00D23AFA" w14:paraId="06109678" w14:textId="77777777" w:rsidTr="00B94D3E">
        <w:trPr>
          <w:cantSplit/>
          <w:trHeight w:val="20"/>
        </w:trPr>
        <w:tc>
          <w:tcPr>
            <w:tcW w:w="1303" w:type="pct"/>
            <w:noWrap/>
            <w:vAlign w:val="center"/>
            <w:hideMark/>
          </w:tcPr>
          <w:p w14:paraId="1621554E"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25-29</w:t>
            </w:r>
          </w:p>
        </w:tc>
        <w:tc>
          <w:tcPr>
            <w:tcW w:w="369" w:type="pct"/>
            <w:vAlign w:val="center"/>
          </w:tcPr>
          <w:p w14:paraId="17D2402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27.8</w:t>
            </w:r>
          </w:p>
        </w:tc>
        <w:tc>
          <w:tcPr>
            <w:tcW w:w="370" w:type="pct"/>
            <w:vAlign w:val="center"/>
          </w:tcPr>
          <w:p w14:paraId="77F4794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28.4</w:t>
            </w:r>
          </w:p>
        </w:tc>
        <w:tc>
          <w:tcPr>
            <w:tcW w:w="370" w:type="pct"/>
            <w:noWrap/>
            <w:vAlign w:val="center"/>
          </w:tcPr>
          <w:p w14:paraId="78DC7EF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28.1</w:t>
            </w:r>
          </w:p>
        </w:tc>
        <w:tc>
          <w:tcPr>
            <w:tcW w:w="370" w:type="pct"/>
            <w:noWrap/>
            <w:vAlign w:val="center"/>
          </w:tcPr>
          <w:p w14:paraId="3DFFA72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28.7</w:t>
            </w:r>
          </w:p>
        </w:tc>
        <w:tc>
          <w:tcPr>
            <w:tcW w:w="370" w:type="pct"/>
            <w:noWrap/>
            <w:vAlign w:val="center"/>
          </w:tcPr>
          <w:p w14:paraId="13BCE39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28.9</w:t>
            </w:r>
          </w:p>
        </w:tc>
        <w:tc>
          <w:tcPr>
            <w:tcW w:w="370" w:type="pct"/>
            <w:noWrap/>
            <w:vAlign w:val="center"/>
          </w:tcPr>
          <w:p w14:paraId="50737F21"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28.8</w:t>
            </w:r>
          </w:p>
        </w:tc>
        <w:tc>
          <w:tcPr>
            <w:tcW w:w="370" w:type="pct"/>
            <w:noWrap/>
            <w:vAlign w:val="center"/>
          </w:tcPr>
          <w:p w14:paraId="79E0F11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29.1</w:t>
            </w:r>
          </w:p>
        </w:tc>
        <w:tc>
          <w:tcPr>
            <w:tcW w:w="370" w:type="pct"/>
            <w:noWrap/>
            <w:vAlign w:val="center"/>
          </w:tcPr>
          <w:p w14:paraId="458D48CF"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29.6</w:t>
            </w:r>
          </w:p>
        </w:tc>
        <w:tc>
          <w:tcPr>
            <w:tcW w:w="370" w:type="pct"/>
            <w:noWrap/>
            <w:vAlign w:val="center"/>
          </w:tcPr>
          <w:p w14:paraId="582EFE0C"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30.3</w:t>
            </w:r>
          </w:p>
        </w:tc>
        <w:tc>
          <w:tcPr>
            <w:tcW w:w="368" w:type="pct"/>
            <w:noWrap/>
            <w:vAlign w:val="center"/>
          </w:tcPr>
          <w:p w14:paraId="1DD4EBD3"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31.0</w:t>
            </w:r>
          </w:p>
        </w:tc>
      </w:tr>
      <w:tr w:rsidR="00311D66" w:rsidRPr="00D23AFA" w14:paraId="2B756F62" w14:textId="77777777" w:rsidTr="00B94D3E">
        <w:trPr>
          <w:cantSplit/>
          <w:trHeight w:val="20"/>
        </w:trPr>
        <w:tc>
          <w:tcPr>
            <w:tcW w:w="1303" w:type="pct"/>
            <w:noWrap/>
            <w:vAlign w:val="center"/>
            <w:hideMark/>
          </w:tcPr>
          <w:p w14:paraId="45691F95"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30-34</w:t>
            </w:r>
          </w:p>
        </w:tc>
        <w:tc>
          <w:tcPr>
            <w:tcW w:w="369" w:type="pct"/>
            <w:vAlign w:val="center"/>
          </w:tcPr>
          <w:p w14:paraId="6CED747D"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34.0</w:t>
            </w:r>
          </w:p>
        </w:tc>
        <w:tc>
          <w:tcPr>
            <w:tcW w:w="370" w:type="pct"/>
            <w:vAlign w:val="center"/>
          </w:tcPr>
          <w:p w14:paraId="6C9AC5AF"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34.2</w:t>
            </w:r>
          </w:p>
        </w:tc>
        <w:tc>
          <w:tcPr>
            <w:tcW w:w="370" w:type="pct"/>
            <w:noWrap/>
            <w:vAlign w:val="center"/>
          </w:tcPr>
          <w:p w14:paraId="089EC888"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34.6</w:t>
            </w:r>
          </w:p>
        </w:tc>
        <w:tc>
          <w:tcPr>
            <w:tcW w:w="370" w:type="pct"/>
            <w:noWrap/>
            <w:vAlign w:val="center"/>
          </w:tcPr>
          <w:p w14:paraId="4E7FC9E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34.7</w:t>
            </w:r>
          </w:p>
        </w:tc>
        <w:tc>
          <w:tcPr>
            <w:tcW w:w="370" w:type="pct"/>
            <w:noWrap/>
            <w:vAlign w:val="center"/>
          </w:tcPr>
          <w:p w14:paraId="1772254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34.8</w:t>
            </w:r>
          </w:p>
        </w:tc>
        <w:tc>
          <w:tcPr>
            <w:tcW w:w="370" w:type="pct"/>
            <w:noWrap/>
            <w:vAlign w:val="center"/>
          </w:tcPr>
          <w:p w14:paraId="110CAD4C"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34.9</w:t>
            </w:r>
          </w:p>
        </w:tc>
        <w:tc>
          <w:tcPr>
            <w:tcW w:w="370" w:type="pct"/>
            <w:noWrap/>
            <w:vAlign w:val="center"/>
          </w:tcPr>
          <w:p w14:paraId="2E60FF4C"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35.5</w:t>
            </w:r>
          </w:p>
        </w:tc>
        <w:tc>
          <w:tcPr>
            <w:tcW w:w="370" w:type="pct"/>
            <w:noWrap/>
            <w:vAlign w:val="center"/>
          </w:tcPr>
          <w:p w14:paraId="5A2ED369"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36.0</w:t>
            </w:r>
          </w:p>
        </w:tc>
        <w:tc>
          <w:tcPr>
            <w:tcW w:w="370" w:type="pct"/>
            <w:noWrap/>
            <w:vAlign w:val="center"/>
          </w:tcPr>
          <w:p w14:paraId="517143F3"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36.5</w:t>
            </w:r>
          </w:p>
        </w:tc>
        <w:tc>
          <w:tcPr>
            <w:tcW w:w="368" w:type="pct"/>
            <w:noWrap/>
            <w:vAlign w:val="center"/>
          </w:tcPr>
          <w:p w14:paraId="0148B53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36.8</w:t>
            </w:r>
          </w:p>
        </w:tc>
      </w:tr>
      <w:tr w:rsidR="00311D66" w:rsidRPr="00D23AFA" w14:paraId="12B9E128" w14:textId="77777777" w:rsidTr="00B94D3E">
        <w:trPr>
          <w:cantSplit/>
          <w:trHeight w:val="20"/>
        </w:trPr>
        <w:tc>
          <w:tcPr>
            <w:tcW w:w="1303" w:type="pct"/>
            <w:noWrap/>
            <w:vAlign w:val="center"/>
            <w:hideMark/>
          </w:tcPr>
          <w:p w14:paraId="533EC536"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35-39</w:t>
            </w:r>
          </w:p>
        </w:tc>
        <w:tc>
          <w:tcPr>
            <w:tcW w:w="369" w:type="pct"/>
            <w:vAlign w:val="center"/>
          </w:tcPr>
          <w:p w14:paraId="2A2094D1"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40.3</w:t>
            </w:r>
          </w:p>
        </w:tc>
        <w:tc>
          <w:tcPr>
            <w:tcW w:w="370" w:type="pct"/>
            <w:vAlign w:val="center"/>
          </w:tcPr>
          <w:p w14:paraId="3EF9D47E"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41.4</w:t>
            </w:r>
          </w:p>
        </w:tc>
        <w:tc>
          <w:tcPr>
            <w:tcW w:w="370" w:type="pct"/>
            <w:noWrap/>
            <w:vAlign w:val="center"/>
          </w:tcPr>
          <w:p w14:paraId="1159B2F4"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41.3</w:t>
            </w:r>
          </w:p>
        </w:tc>
        <w:tc>
          <w:tcPr>
            <w:tcW w:w="370" w:type="pct"/>
            <w:noWrap/>
            <w:vAlign w:val="center"/>
          </w:tcPr>
          <w:p w14:paraId="3932F19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41.6</w:t>
            </w:r>
          </w:p>
        </w:tc>
        <w:tc>
          <w:tcPr>
            <w:tcW w:w="370" w:type="pct"/>
            <w:noWrap/>
            <w:vAlign w:val="center"/>
          </w:tcPr>
          <w:p w14:paraId="726A009E"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41.6</w:t>
            </w:r>
          </w:p>
        </w:tc>
        <w:tc>
          <w:tcPr>
            <w:tcW w:w="370" w:type="pct"/>
            <w:noWrap/>
            <w:vAlign w:val="center"/>
          </w:tcPr>
          <w:p w14:paraId="67A6AF6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42.0</w:t>
            </w:r>
          </w:p>
        </w:tc>
        <w:tc>
          <w:tcPr>
            <w:tcW w:w="370" w:type="pct"/>
            <w:noWrap/>
            <w:vAlign w:val="center"/>
          </w:tcPr>
          <w:p w14:paraId="00A3BB98"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42.1</w:t>
            </w:r>
          </w:p>
        </w:tc>
        <w:tc>
          <w:tcPr>
            <w:tcW w:w="370" w:type="pct"/>
            <w:noWrap/>
            <w:vAlign w:val="center"/>
          </w:tcPr>
          <w:p w14:paraId="24605A09"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42.8</w:t>
            </w:r>
          </w:p>
        </w:tc>
        <w:tc>
          <w:tcPr>
            <w:tcW w:w="370" w:type="pct"/>
            <w:noWrap/>
            <w:vAlign w:val="center"/>
          </w:tcPr>
          <w:p w14:paraId="1F6ADE5E"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43.4</w:t>
            </w:r>
          </w:p>
        </w:tc>
        <w:tc>
          <w:tcPr>
            <w:tcW w:w="368" w:type="pct"/>
            <w:noWrap/>
            <w:vAlign w:val="center"/>
          </w:tcPr>
          <w:p w14:paraId="61E18BFC"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44.2</w:t>
            </w:r>
          </w:p>
        </w:tc>
      </w:tr>
      <w:tr w:rsidR="00311D66" w:rsidRPr="00D23AFA" w14:paraId="4C362399" w14:textId="77777777" w:rsidTr="00B94D3E">
        <w:trPr>
          <w:cantSplit/>
          <w:trHeight w:val="20"/>
        </w:trPr>
        <w:tc>
          <w:tcPr>
            <w:tcW w:w="1303" w:type="pct"/>
            <w:noWrap/>
            <w:vAlign w:val="center"/>
            <w:hideMark/>
          </w:tcPr>
          <w:p w14:paraId="7FFF6E67"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40 and over</w:t>
            </w:r>
          </w:p>
        </w:tc>
        <w:tc>
          <w:tcPr>
            <w:tcW w:w="369" w:type="pct"/>
            <w:tcBorders>
              <w:bottom w:val="single" w:sz="4" w:space="0" w:color="auto"/>
            </w:tcBorders>
            <w:vAlign w:val="center"/>
          </w:tcPr>
          <w:p w14:paraId="053B727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48.0</w:t>
            </w:r>
          </w:p>
        </w:tc>
        <w:tc>
          <w:tcPr>
            <w:tcW w:w="370" w:type="pct"/>
            <w:tcBorders>
              <w:bottom w:val="single" w:sz="4" w:space="0" w:color="auto"/>
            </w:tcBorders>
            <w:vAlign w:val="center"/>
          </w:tcPr>
          <w:p w14:paraId="54A1E078"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48.8</w:t>
            </w:r>
          </w:p>
        </w:tc>
        <w:tc>
          <w:tcPr>
            <w:tcW w:w="370" w:type="pct"/>
            <w:tcBorders>
              <w:bottom w:val="single" w:sz="4" w:space="0" w:color="auto"/>
            </w:tcBorders>
            <w:noWrap/>
            <w:vAlign w:val="center"/>
          </w:tcPr>
          <w:p w14:paraId="612D34C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49.9</w:t>
            </w:r>
          </w:p>
        </w:tc>
        <w:tc>
          <w:tcPr>
            <w:tcW w:w="370" w:type="pct"/>
            <w:tcBorders>
              <w:bottom w:val="single" w:sz="4" w:space="0" w:color="auto"/>
            </w:tcBorders>
            <w:noWrap/>
            <w:vAlign w:val="center"/>
          </w:tcPr>
          <w:p w14:paraId="1E4DD62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50.6</w:t>
            </w:r>
          </w:p>
        </w:tc>
        <w:tc>
          <w:tcPr>
            <w:tcW w:w="370" w:type="pct"/>
            <w:tcBorders>
              <w:bottom w:val="single" w:sz="4" w:space="0" w:color="auto"/>
            </w:tcBorders>
            <w:noWrap/>
            <w:vAlign w:val="center"/>
          </w:tcPr>
          <w:p w14:paraId="2B1DBB03"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51.6</w:t>
            </w:r>
          </w:p>
        </w:tc>
        <w:tc>
          <w:tcPr>
            <w:tcW w:w="370" w:type="pct"/>
            <w:tcBorders>
              <w:bottom w:val="single" w:sz="4" w:space="0" w:color="auto"/>
            </w:tcBorders>
            <w:noWrap/>
            <w:vAlign w:val="center"/>
          </w:tcPr>
          <w:p w14:paraId="2E9C2CF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52.2</w:t>
            </w:r>
          </w:p>
        </w:tc>
        <w:tc>
          <w:tcPr>
            <w:tcW w:w="370" w:type="pct"/>
            <w:tcBorders>
              <w:bottom w:val="single" w:sz="4" w:space="0" w:color="auto"/>
            </w:tcBorders>
            <w:noWrap/>
            <w:vAlign w:val="center"/>
          </w:tcPr>
          <w:p w14:paraId="3875050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52.9</w:t>
            </w:r>
          </w:p>
        </w:tc>
        <w:tc>
          <w:tcPr>
            <w:tcW w:w="370" w:type="pct"/>
            <w:tcBorders>
              <w:bottom w:val="single" w:sz="4" w:space="0" w:color="auto"/>
            </w:tcBorders>
            <w:noWrap/>
            <w:vAlign w:val="center"/>
          </w:tcPr>
          <w:p w14:paraId="7C4D969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54.0</w:t>
            </w:r>
          </w:p>
        </w:tc>
        <w:tc>
          <w:tcPr>
            <w:tcW w:w="370" w:type="pct"/>
            <w:tcBorders>
              <w:bottom w:val="single" w:sz="4" w:space="0" w:color="auto"/>
            </w:tcBorders>
            <w:noWrap/>
            <w:vAlign w:val="center"/>
          </w:tcPr>
          <w:p w14:paraId="4797AEB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54.0</w:t>
            </w:r>
          </w:p>
        </w:tc>
        <w:tc>
          <w:tcPr>
            <w:tcW w:w="368" w:type="pct"/>
            <w:tcBorders>
              <w:bottom w:val="single" w:sz="4" w:space="0" w:color="auto"/>
            </w:tcBorders>
            <w:noWrap/>
            <w:vAlign w:val="center"/>
          </w:tcPr>
          <w:p w14:paraId="2115BC3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54.8</w:t>
            </w:r>
          </w:p>
        </w:tc>
      </w:tr>
      <w:tr w:rsidR="00BB1B05" w:rsidRPr="00EB1AF3" w14:paraId="20681293" w14:textId="77777777" w:rsidTr="00B94D3E">
        <w:trPr>
          <w:cantSplit/>
          <w:trHeight w:val="20"/>
        </w:trPr>
        <w:tc>
          <w:tcPr>
            <w:tcW w:w="5000" w:type="pct"/>
            <w:gridSpan w:val="11"/>
            <w:noWrap/>
            <w:vAlign w:val="center"/>
            <w:hideMark/>
          </w:tcPr>
          <w:p w14:paraId="0BF814B2" w14:textId="5F43C7CB" w:rsidR="00BB1B05" w:rsidRPr="00E33D42" w:rsidRDefault="00BB1B05" w:rsidP="00B94D3E">
            <w:pPr>
              <w:rPr>
                <w:rFonts w:cstheme="minorHAnsi"/>
                <w:b/>
                <w:bCs/>
                <w:sz w:val="20"/>
                <w:szCs w:val="20"/>
              </w:rPr>
            </w:pPr>
            <w:r w:rsidRPr="00E33D42">
              <w:rPr>
                <w:rFonts w:cstheme="minorHAnsi"/>
                <w:b/>
                <w:bCs/>
                <w:color w:val="000000"/>
                <w:sz w:val="20"/>
                <w:szCs w:val="20"/>
              </w:rPr>
              <w:t>Mother's country of birth</w:t>
            </w:r>
          </w:p>
        </w:tc>
      </w:tr>
      <w:tr w:rsidR="00311D66" w:rsidRPr="00D23AFA" w14:paraId="0837C35B" w14:textId="77777777" w:rsidTr="00B94D3E">
        <w:trPr>
          <w:cantSplit/>
          <w:trHeight w:val="20"/>
        </w:trPr>
        <w:tc>
          <w:tcPr>
            <w:tcW w:w="1303" w:type="pct"/>
            <w:noWrap/>
            <w:vAlign w:val="center"/>
            <w:hideMark/>
          </w:tcPr>
          <w:p w14:paraId="539D622D"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Born in Australia</w:t>
            </w:r>
          </w:p>
        </w:tc>
        <w:tc>
          <w:tcPr>
            <w:tcW w:w="369" w:type="pct"/>
            <w:vAlign w:val="center"/>
          </w:tcPr>
          <w:p w14:paraId="57CC2AD8"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31.5</w:t>
            </w:r>
          </w:p>
        </w:tc>
        <w:tc>
          <w:tcPr>
            <w:tcW w:w="370" w:type="pct"/>
            <w:vAlign w:val="center"/>
          </w:tcPr>
          <w:p w14:paraId="4E9479C8"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32.2</w:t>
            </w:r>
          </w:p>
        </w:tc>
        <w:tc>
          <w:tcPr>
            <w:tcW w:w="370" w:type="pct"/>
            <w:noWrap/>
            <w:vAlign w:val="center"/>
          </w:tcPr>
          <w:p w14:paraId="3110DB47"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32.2</w:t>
            </w:r>
          </w:p>
        </w:tc>
        <w:tc>
          <w:tcPr>
            <w:tcW w:w="370" w:type="pct"/>
            <w:noWrap/>
            <w:vAlign w:val="center"/>
          </w:tcPr>
          <w:p w14:paraId="6EB902A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32.5</w:t>
            </w:r>
          </w:p>
        </w:tc>
        <w:tc>
          <w:tcPr>
            <w:tcW w:w="370" w:type="pct"/>
            <w:noWrap/>
            <w:vAlign w:val="center"/>
          </w:tcPr>
          <w:p w14:paraId="4AA825B9"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32.8</w:t>
            </w:r>
          </w:p>
        </w:tc>
        <w:tc>
          <w:tcPr>
            <w:tcW w:w="370" w:type="pct"/>
            <w:noWrap/>
            <w:vAlign w:val="center"/>
          </w:tcPr>
          <w:p w14:paraId="2FBC0EB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32.9</w:t>
            </w:r>
          </w:p>
        </w:tc>
        <w:tc>
          <w:tcPr>
            <w:tcW w:w="370" w:type="pct"/>
            <w:noWrap/>
            <w:vAlign w:val="center"/>
          </w:tcPr>
          <w:p w14:paraId="5C8C3FA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33.4</w:t>
            </w:r>
          </w:p>
        </w:tc>
        <w:tc>
          <w:tcPr>
            <w:tcW w:w="370" w:type="pct"/>
            <w:noWrap/>
            <w:vAlign w:val="center"/>
          </w:tcPr>
          <w:p w14:paraId="0B7352C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34.1</w:t>
            </w:r>
          </w:p>
        </w:tc>
        <w:tc>
          <w:tcPr>
            <w:tcW w:w="370" w:type="pct"/>
            <w:noWrap/>
            <w:vAlign w:val="center"/>
          </w:tcPr>
          <w:p w14:paraId="623B2CA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34.5</w:t>
            </w:r>
          </w:p>
        </w:tc>
        <w:tc>
          <w:tcPr>
            <w:tcW w:w="368" w:type="pct"/>
            <w:noWrap/>
            <w:vAlign w:val="center"/>
          </w:tcPr>
          <w:p w14:paraId="132BE6E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34.9</w:t>
            </w:r>
          </w:p>
        </w:tc>
      </w:tr>
      <w:tr w:rsidR="00311D66" w:rsidRPr="00D23AFA" w14:paraId="34985898" w14:textId="77777777" w:rsidTr="00B94D3E">
        <w:trPr>
          <w:cantSplit/>
          <w:trHeight w:val="20"/>
        </w:trPr>
        <w:tc>
          <w:tcPr>
            <w:tcW w:w="1303" w:type="pct"/>
            <w:noWrap/>
            <w:vAlign w:val="center"/>
            <w:hideMark/>
          </w:tcPr>
          <w:p w14:paraId="5E4E2178"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Born overseas</w:t>
            </w:r>
          </w:p>
        </w:tc>
        <w:tc>
          <w:tcPr>
            <w:tcW w:w="369" w:type="pct"/>
            <w:tcBorders>
              <w:bottom w:val="single" w:sz="4" w:space="0" w:color="auto"/>
            </w:tcBorders>
            <w:vAlign w:val="center"/>
          </w:tcPr>
          <w:p w14:paraId="7666E743"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32.0</w:t>
            </w:r>
          </w:p>
        </w:tc>
        <w:tc>
          <w:tcPr>
            <w:tcW w:w="370" w:type="pct"/>
            <w:tcBorders>
              <w:bottom w:val="single" w:sz="4" w:space="0" w:color="auto"/>
            </w:tcBorders>
            <w:vAlign w:val="center"/>
          </w:tcPr>
          <w:p w14:paraId="64C2DA0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32.6</w:t>
            </w:r>
          </w:p>
        </w:tc>
        <w:tc>
          <w:tcPr>
            <w:tcW w:w="370" w:type="pct"/>
            <w:tcBorders>
              <w:bottom w:val="single" w:sz="4" w:space="0" w:color="auto"/>
            </w:tcBorders>
            <w:noWrap/>
            <w:vAlign w:val="center"/>
          </w:tcPr>
          <w:p w14:paraId="2233B6A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32.8</w:t>
            </w:r>
          </w:p>
        </w:tc>
        <w:tc>
          <w:tcPr>
            <w:tcW w:w="370" w:type="pct"/>
            <w:tcBorders>
              <w:bottom w:val="single" w:sz="4" w:space="0" w:color="auto"/>
            </w:tcBorders>
            <w:noWrap/>
            <w:vAlign w:val="center"/>
          </w:tcPr>
          <w:p w14:paraId="34F22823"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33.4</w:t>
            </w:r>
          </w:p>
        </w:tc>
        <w:tc>
          <w:tcPr>
            <w:tcW w:w="370" w:type="pct"/>
            <w:tcBorders>
              <w:bottom w:val="single" w:sz="4" w:space="0" w:color="auto"/>
            </w:tcBorders>
            <w:noWrap/>
            <w:vAlign w:val="center"/>
          </w:tcPr>
          <w:p w14:paraId="48FAA4E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33.9</w:t>
            </w:r>
          </w:p>
        </w:tc>
        <w:tc>
          <w:tcPr>
            <w:tcW w:w="370" w:type="pct"/>
            <w:tcBorders>
              <w:bottom w:val="single" w:sz="4" w:space="0" w:color="auto"/>
            </w:tcBorders>
            <w:noWrap/>
            <w:vAlign w:val="center"/>
          </w:tcPr>
          <w:p w14:paraId="5294F1C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34.4</w:t>
            </w:r>
          </w:p>
        </w:tc>
        <w:tc>
          <w:tcPr>
            <w:tcW w:w="370" w:type="pct"/>
            <w:tcBorders>
              <w:bottom w:val="single" w:sz="4" w:space="0" w:color="auto"/>
            </w:tcBorders>
            <w:noWrap/>
            <w:vAlign w:val="center"/>
          </w:tcPr>
          <w:p w14:paraId="370B700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34.6</w:t>
            </w:r>
          </w:p>
        </w:tc>
        <w:tc>
          <w:tcPr>
            <w:tcW w:w="370" w:type="pct"/>
            <w:tcBorders>
              <w:bottom w:val="single" w:sz="4" w:space="0" w:color="auto"/>
            </w:tcBorders>
            <w:noWrap/>
            <w:vAlign w:val="center"/>
          </w:tcPr>
          <w:p w14:paraId="4CD57A2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35.7</w:t>
            </w:r>
          </w:p>
        </w:tc>
        <w:tc>
          <w:tcPr>
            <w:tcW w:w="370" w:type="pct"/>
            <w:tcBorders>
              <w:bottom w:val="single" w:sz="4" w:space="0" w:color="auto"/>
            </w:tcBorders>
            <w:noWrap/>
            <w:vAlign w:val="center"/>
          </w:tcPr>
          <w:p w14:paraId="34BB5008"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36.9</w:t>
            </w:r>
          </w:p>
        </w:tc>
        <w:tc>
          <w:tcPr>
            <w:tcW w:w="368" w:type="pct"/>
            <w:tcBorders>
              <w:bottom w:val="single" w:sz="4" w:space="0" w:color="auto"/>
            </w:tcBorders>
            <w:noWrap/>
            <w:vAlign w:val="center"/>
          </w:tcPr>
          <w:p w14:paraId="10FA090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38.1</w:t>
            </w:r>
          </w:p>
        </w:tc>
      </w:tr>
      <w:tr w:rsidR="00BB1B05" w:rsidRPr="00EB1AF3" w14:paraId="77DA9C1E" w14:textId="77777777" w:rsidTr="00B94D3E">
        <w:trPr>
          <w:cantSplit/>
          <w:trHeight w:val="20"/>
        </w:trPr>
        <w:tc>
          <w:tcPr>
            <w:tcW w:w="5000" w:type="pct"/>
            <w:gridSpan w:val="11"/>
            <w:noWrap/>
            <w:vAlign w:val="center"/>
            <w:hideMark/>
          </w:tcPr>
          <w:p w14:paraId="34E0152D" w14:textId="7B13CA7D" w:rsidR="00BB1B05" w:rsidRPr="00E33D42" w:rsidRDefault="00BB1B05" w:rsidP="00B94D3E">
            <w:pPr>
              <w:rPr>
                <w:rFonts w:cstheme="minorHAnsi"/>
                <w:b/>
                <w:bCs/>
                <w:sz w:val="20"/>
                <w:szCs w:val="20"/>
              </w:rPr>
            </w:pPr>
            <w:r w:rsidRPr="00E33D42">
              <w:rPr>
                <w:rFonts w:cstheme="minorHAnsi"/>
                <w:b/>
                <w:bCs/>
                <w:color w:val="000000"/>
                <w:sz w:val="20"/>
                <w:szCs w:val="20"/>
              </w:rPr>
              <w:t xml:space="preserve">Mother's </w:t>
            </w:r>
            <w:r w:rsidR="00FB0C38">
              <w:rPr>
                <w:rFonts w:cstheme="minorHAnsi"/>
                <w:b/>
                <w:bCs/>
                <w:color w:val="000000"/>
                <w:sz w:val="20"/>
                <w:szCs w:val="20"/>
              </w:rPr>
              <w:t>Indig</w:t>
            </w:r>
            <w:r w:rsidRPr="00E33D42">
              <w:rPr>
                <w:rFonts w:cstheme="minorHAnsi"/>
                <w:b/>
                <w:bCs/>
                <w:color w:val="000000"/>
                <w:sz w:val="20"/>
                <w:szCs w:val="20"/>
              </w:rPr>
              <w:t xml:space="preserve">enous status </w:t>
            </w:r>
            <w:r w:rsidR="009C3E6A">
              <w:rPr>
                <w:rFonts w:cstheme="minorHAnsi"/>
                <w:b/>
                <w:bCs/>
                <w:color w:val="000000"/>
                <w:sz w:val="20"/>
                <w:szCs w:val="20"/>
              </w:rPr>
              <w:t>(Age-standardised)</w:t>
            </w:r>
          </w:p>
        </w:tc>
      </w:tr>
      <w:tr w:rsidR="00311D66" w:rsidRPr="00D23AFA" w14:paraId="246FD21D" w14:textId="77777777" w:rsidTr="00B94D3E">
        <w:trPr>
          <w:cantSplit/>
          <w:trHeight w:val="20"/>
        </w:trPr>
        <w:tc>
          <w:tcPr>
            <w:tcW w:w="1303" w:type="pct"/>
            <w:noWrap/>
            <w:vAlign w:val="center"/>
            <w:hideMark/>
          </w:tcPr>
          <w:p w14:paraId="18A410F4"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Indigenous</w:t>
            </w:r>
          </w:p>
        </w:tc>
        <w:tc>
          <w:tcPr>
            <w:tcW w:w="369" w:type="pct"/>
            <w:vAlign w:val="center"/>
          </w:tcPr>
          <w:p w14:paraId="692B236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29.7</w:t>
            </w:r>
          </w:p>
        </w:tc>
        <w:tc>
          <w:tcPr>
            <w:tcW w:w="370" w:type="pct"/>
            <w:vAlign w:val="center"/>
          </w:tcPr>
          <w:p w14:paraId="36F9FA3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31.2</w:t>
            </w:r>
          </w:p>
        </w:tc>
        <w:tc>
          <w:tcPr>
            <w:tcW w:w="370" w:type="pct"/>
            <w:noWrap/>
            <w:vAlign w:val="center"/>
          </w:tcPr>
          <w:p w14:paraId="2EFFE02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29.8</w:t>
            </w:r>
          </w:p>
        </w:tc>
        <w:tc>
          <w:tcPr>
            <w:tcW w:w="370" w:type="pct"/>
            <w:noWrap/>
            <w:vAlign w:val="center"/>
          </w:tcPr>
          <w:p w14:paraId="2945F98D"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29.2</w:t>
            </w:r>
          </w:p>
        </w:tc>
        <w:tc>
          <w:tcPr>
            <w:tcW w:w="370" w:type="pct"/>
            <w:noWrap/>
            <w:vAlign w:val="center"/>
          </w:tcPr>
          <w:p w14:paraId="7C836C7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31.5</w:t>
            </w:r>
          </w:p>
        </w:tc>
        <w:tc>
          <w:tcPr>
            <w:tcW w:w="370" w:type="pct"/>
            <w:noWrap/>
            <w:vAlign w:val="center"/>
          </w:tcPr>
          <w:p w14:paraId="58E4EDB1"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32.4</w:t>
            </w:r>
          </w:p>
        </w:tc>
        <w:tc>
          <w:tcPr>
            <w:tcW w:w="370" w:type="pct"/>
            <w:noWrap/>
            <w:vAlign w:val="center"/>
          </w:tcPr>
          <w:p w14:paraId="617F7ED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31.8</w:t>
            </w:r>
          </w:p>
        </w:tc>
        <w:tc>
          <w:tcPr>
            <w:tcW w:w="370" w:type="pct"/>
            <w:noWrap/>
            <w:vAlign w:val="center"/>
          </w:tcPr>
          <w:p w14:paraId="7331A1E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32.3</w:t>
            </w:r>
          </w:p>
        </w:tc>
        <w:tc>
          <w:tcPr>
            <w:tcW w:w="370" w:type="pct"/>
            <w:noWrap/>
            <w:vAlign w:val="center"/>
          </w:tcPr>
          <w:p w14:paraId="521DADD4"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33.5</w:t>
            </w:r>
          </w:p>
        </w:tc>
        <w:tc>
          <w:tcPr>
            <w:tcW w:w="368" w:type="pct"/>
            <w:noWrap/>
            <w:vAlign w:val="center"/>
          </w:tcPr>
          <w:p w14:paraId="57A288C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33.7</w:t>
            </w:r>
          </w:p>
        </w:tc>
      </w:tr>
      <w:tr w:rsidR="00311D66" w:rsidRPr="00D23AFA" w14:paraId="26FD707C" w14:textId="77777777" w:rsidTr="00B94D3E">
        <w:trPr>
          <w:cantSplit/>
          <w:trHeight w:val="20"/>
        </w:trPr>
        <w:tc>
          <w:tcPr>
            <w:tcW w:w="1303" w:type="pct"/>
            <w:noWrap/>
            <w:vAlign w:val="center"/>
            <w:hideMark/>
          </w:tcPr>
          <w:p w14:paraId="70DC78B3"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Non-Indigenous</w:t>
            </w:r>
          </w:p>
        </w:tc>
        <w:tc>
          <w:tcPr>
            <w:tcW w:w="369" w:type="pct"/>
            <w:tcBorders>
              <w:bottom w:val="single" w:sz="4" w:space="0" w:color="auto"/>
            </w:tcBorders>
            <w:vAlign w:val="center"/>
          </w:tcPr>
          <w:p w14:paraId="550F66E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32.0</w:t>
            </w:r>
          </w:p>
        </w:tc>
        <w:tc>
          <w:tcPr>
            <w:tcW w:w="370" w:type="pct"/>
            <w:tcBorders>
              <w:bottom w:val="single" w:sz="4" w:space="0" w:color="auto"/>
            </w:tcBorders>
            <w:vAlign w:val="center"/>
          </w:tcPr>
          <w:p w14:paraId="4AEACFAE"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32.6</w:t>
            </w:r>
          </w:p>
        </w:tc>
        <w:tc>
          <w:tcPr>
            <w:tcW w:w="370" w:type="pct"/>
            <w:tcBorders>
              <w:bottom w:val="single" w:sz="4" w:space="0" w:color="auto"/>
            </w:tcBorders>
            <w:noWrap/>
            <w:vAlign w:val="center"/>
          </w:tcPr>
          <w:p w14:paraId="2D2E2F69"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32.7</w:t>
            </w:r>
          </w:p>
        </w:tc>
        <w:tc>
          <w:tcPr>
            <w:tcW w:w="370" w:type="pct"/>
            <w:tcBorders>
              <w:bottom w:val="single" w:sz="4" w:space="0" w:color="auto"/>
            </w:tcBorders>
            <w:noWrap/>
            <w:vAlign w:val="center"/>
          </w:tcPr>
          <w:p w14:paraId="5FDDA9E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33.3</w:t>
            </w:r>
          </w:p>
        </w:tc>
        <w:tc>
          <w:tcPr>
            <w:tcW w:w="370" w:type="pct"/>
            <w:tcBorders>
              <w:bottom w:val="single" w:sz="4" w:space="0" w:color="auto"/>
            </w:tcBorders>
            <w:noWrap/>
            <w:vAlign w:val="center"/>
          </w:tcPr>
          <w:p w14:paraId="55CB1BA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33.5</w:t>
            </w:r>
          </w:p>
        </w:tc>
        <w:tc>
          <w:tcPr>
            <w:tcW w:w="370" w:type="pct"/>
            <w:tcBorders>
              <w:bottom w:val="single" w:sz="4" w:space="0" w:color="auto"/>
            </w:tcBorders>
            <w:noWrap/>
            <w:vAlign w:val="center"/>
          </w:tcPr>
          <w:p w14:paraId="6BF13D6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33.7</w:t>
            </w:r>
          </w:p>
        </w:tc>
        <w:tc>
          <w:tcPr>
            <w:tcW w:w="370" w:type="pct"/>
            <w:tcBorders>
              <w:bottom w:val="single" w:sz="4" w:space="0" w:color="auto"/>
            </w:tcBorders>
            <w:noWrap/>
            <w:vAlign w:val="center"/>
          </w:tcPr>
          <w:p w14:paraId="20CE2AF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33.9</w:t>
            </w:r>
          </w:p>
        </w:tc>
        <w:tc>
          <w:tcPr>
            <w:tcW w:w="370" w:type="pct"/>
            <w:tcBorders>
              <w:bottom w:val="single" w:sz="4" w:space="0" w:color="auto"/>
            </w:tcBorders>
            <w:noWrap/>
            <w:vAlign w:val="center"/>
          </w:tcPr>
          <w:p w14:paraId="2052C0DD"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34.7</w:t>
            </w:r>
          </w:p>
        </w:tc>
        <w:tc>
          <w:tcPr>
            <w:tcW w:w="370" w:type="pct"/>
            <w:tcBorders>
              <w:bottom w:val="single" w:sz="4" w:space="0" w:color="auto"/>
            </w:tcBorders>
            <w:noWrap/>
            <w:vAlign w:val="center"/>
          </w:tcPr>
          <w:p w14:paraId="21BD992E"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35.2</w:t>
            </w:r>
          </w:p>
        </w:tc>
        <w:tc>
          <w:tcPr>
            <w:tcW w:w="368" w:type="pct"/>
            <w:tcBorders>
              <w:bottom w:val="single" w:sz="4" w:space="0" w:color="auto"/>
            </w:tcBorders>
            <w:noWrap/>
            <w:vAlign w:val="center"/>
          </w:tcPr>
          <w:p w14:paraId="01AA4AB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35.7</w:t>
            </w:r>
          </w:p>
        </w:tc>
      </w:tr>
      <w:tr w:rsidR="00BB1B05" w:rsidRPr="00EB1AF3" w14:paraId="2C10722D" w14:textId="77777777" w:rsidTr="00B94D3E">
        <w:trPr>
          <w:cantSplit/>
          <w:trHeight w:val="20"/>
        </w:trPr>
        <w:tc>
          <w:tcPr>
            <w:tcW w:w="5000" w:type="pct"/>
            <w:gridSpan w:val="11"/>
            <w:noWrap/>
            <w:vAlign w:val="center"/>
            <w:hideMark/>
          </w:tcPr>
          <w:p w14:paraId="715320F9" w14:textId="08BD0D52" w:rsidR="00BB1B05" w:rsidRPr="00B94D3E" w:rsidRDefault="00BB1B05" w:rsidP="00B94D3E">
            <w:pPr>
              <w:rPr>
                <w:rFonts w:cstheme="minorHAnsi"/>
                <w:b/>
                <w:bCs/>
                <w:color w:val="000000"/>
                <w:sz w:val="20"/>
                <w:szCs w:val="20"/>
              </w:rPr>
            </w:pPr>
            <w:r w:rsidRPr="00E33D42">
              <w:rPr>
                <w:rFonts w:cstheme="minorHAnsi"/>
                <w:b/>
                <w:bCs/>
                <w:color w:val="000000"/>
                <w:sz w:val="20"/>
                <w:szCs w:val="20"/>
              </w:rPr>
              <w:t>Remoteness of mother's usual residence</w:t>
            </w:r>
          </w:p>
        </w:tc>
      </w:tr>
      <w:tr w:rsidR="00311D66" w:rsidRPr="00D23AFA" w14:paraId="6082DDEB" w14:textId="77777777" w:rsidTr="00B94D3E">
        <w:trPr>
          <w:cantSplit/>
          <w:trHeight w:val="20"/>
        </w:trPr>
        <w:tc>
          <w:tcPr>
            <w:tcW w:w="1303" w:type="pct"/>
            <w:noWrap/>
            <w:vAlign w:val="center"/>
            <w:hideMark/>
          </w:tcPr>
          <w:p w14:paraId="0DF9045D"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Major cities</w:t>
            </w:r>
          </w:p>
        </w:tc>
        <w:tc>
          <w:tcPr>
            <w:tcW w:w="369" w:type="pct"/>
          </w:tcPr>
          <w:p w14:paraId="2529195C" w14:textId="21D1A099"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Pr>
          <w:p w14:paraId="34BEB364" w14:textId="61B47A71"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noWrap/>
            <w:vAlign w:val="center"/>
          </w:tcPr>
          <w:p w14:paraId="12F4DC6C"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32.9</w:t>
            </w:r>
          </w:p>
        </w:tc>
        <w:tc>
          <w:tcPr>
            <w:tcW w:w="370" w:type="pct"/>
            <w:noWrap/>
            <w:vAlign w:val="center"/>
          </w:tcPr>
          <w:p w14:paraId="56B8CD96"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33.7</w:t>
            </w:r>
          </w:p>
        </w:tc>
        <w:tc>
          <w:tcPr>
            <w:tcW w:w="370" w:type="pct"/>
            <w:noWrap/>
            <w:vAlign w:val="center"/>
          </w:tcPr>
          <w:p w14:paraId="0AB3CFBC"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33.8</w:t>
            </w:r>
          </w:p>
        </w:tc>
        <w:tc>
          <w:tcPr>
            <w:tcW w:w="370" w:type="pct"/>
            <w:noWrap/>
            <w:vAlign w:val="center"/>
          </w:tcPr>
          <w:p w14:paraId="2F35036A"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34.1</w:t>
            </w:r>
          </w:p>
        </w:tc>
        <w:tc>
          <w:tcPr>
            <w:tcW w:w="370" w:type="pct"/>
            <w:noWrap/>
            <w:vAlign w:val="center"/>
          </w:tcPr>
          <w:p w14:paraId="1FD0C21E"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34.4</w:t>
            </w:r>
          </w:p>
        </w:tc>
        <w:tc>
          <w:tcPr>
            <w:tcW w:w="370" w:type="pct"/>
            <w:noWrap/>
            <w:vAlign w:val="center"/>
          </w:tcPr>
          <w:p w14:paraId="26B3ACC0"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35.4</w:t>
            </w:r>
          </w:p>
        </w:tc>
        <w:tc>
          <w:tcPr>
            <w:tcW w:w="370" w:type="pct"/>
            <w:noWrap/>
            <w:vAlign w:val="center"/>
          </w:tcPr>
          <w:p w14:paraId="55F70FE6"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36.1</w:t>
            </w:r>
          </w:p>
        </w:tc>
        <w:tc>
          <w:tcPr>
            <w:tcW w:w="368" w:type="pct"/>
            <w:noWrap/>
            <w:vAlign w:val="center"/>
          </w:tcPr>
          <w:p w14:paraId="0229D5B5"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36.9</w:t>
            </w:r>
          </w:p>
        </w:tc>
      </w:tr>
      <w:tr w:rsidR="00311D66" w:rsidRPr="00D23AFA" w14:paraId="2C167776" w14:textId="77777777" w:rsidTr="00B94D3E">
        <w:trPr>
          <w:cantSplit/>
          <w:trHeight w:val="20"/>
        </w:trPr>
        <w:tc>
          <w:tcPr>
            <w:tcW w:w="1303" w:type="pct"/>
            <w:noWrap/>
            <w:vAlign w:val="center"/>
            <w:hideMark/>
          </w:tcPr>
          <w:p w14:paraId="17886F6B"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Inner regional</w:t>
            </w:r>
          </w:p>
        </w:tc>
        <w:tc>
          <w:tcPr>
            <w:tcW w:w="369" w:type="pct"/>
          </w:tcPr>
          <w:p w14:paraId="682716B0" w14:textId="020AD465"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Pr>
          <w:p w14:paraId="3E9E4E55" w14:textId="63CA1E2F"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noWrap/>
            <w:vAlign w:val="center"/>
          </w:tcPr>
          <w:p w14:paraId="5A2FD809"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29.8</w:t>
            </w:r>
          </w:p>
        </w:tc>
        <w:tc>
          <w:tcPr>
            <w:tcW w:w="370" w:type="pct"/>
            <w:noWrap/>
            <w:vAlign w:val="center"/>
          </w:tcPr>
          <w:p w14:paraId="787FC435"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30.4</w:t>
            </w:r>
          </w:p>
        </w:tc>
        <w:tc>
          <w:tcPr>
            <w:tcW w:w="370" w:type="pct"/>
            <w:noWrap/>
            <w:vAlign w:val="center"/>
          </w:tcPr>
          <w:p w14:paraId="58971785"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31.0</w:t>
            </w:r>
          </w:p>
        </w:tc>
        <w:tc>
          <w:tcPr>
            <w:tcW w:w="370" w:type="pct"/>
            <w:noWrap/>
            <w:vAlign w:val="center"/>
          </w:tcPr>
          <w:p w14:paraId="376E234E"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31.1</w:t>
            </w:r>
          </w:p>
        </w:tc>
        <w:tc>
          <w:tcPr>
            <w:tcW w:w="370" w:type="pct"/>
            <w:noWrap/>
            <w:vAlign w:val="center"/>
          </w:tcPr>
          <w:p w14:paraId="174D46F2"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32.1</w:t>
            </w:r>
          </w:p>
        </w:tc>
        <w:tc>
          <w:tcPr>
            <w:tcW w:w="370" w:type="pct"/>
            <w:noWrap/>
            <w:vAlign w:val="center"/>
          </w:tcPr>
          <w:p w14:paraId="0AA78311"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32.6</w:t>
            </w:r>
          </w:p>
        </w:tc>
        <w:tc>
          <w:tcPr>
            <w:tcW w:w="370" w:type="pct"/>
            <w:noWrap/>
            <w:vAlign w:val="center"/>
          </w:tcPr>
          <w:p w14:paraId="575BCBC9"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33.4</w:t>
            </w:r>
          </w:p>
        </w:tc>
        <w:tc>
          <w:tcPr>
            <w:tcW w:w="368" w:type="pct"/>
            <w:noWrap/>
            <w:vAlign w:val="center"/>
          </w:tcPr>
          <w:p w14:paraId="77A5C917"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33.8</w:t>
            </w:r>
          </w:p>
        </w:tc>
      </w:tr>
      <w:tr w:rsidR="00311D66" w:rsidRPr="00D23AFA" w14:paraId="0F2EDF3A" w14:textId="77777777" w:rsidTr="00B94D3E">
        <w:trPr>
          <w:cantSplit/>
          <w:trHeight w:val="20"/>
        </w:trPr>
        <w:tc>
          <w:tcPr>
            <w:tcW w:w="1303" w:type="pct"/>
            <w:noWrap/>
            <w:vAlign w:val="center"/>
            <w:hideMark/>
          </w:tcPr>
          <w:p w14:paraId="74F1C188"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Outer regional</w:t>
            </w:r>
          </w:p>
        </w:tc>
        <w:tc>
          <w:tcPr>
            <w:tcW w:w="369" w:type="pct"/>
          </w:tcPr>
          <w:p w14:paraId="799A6C2C" w14:textId="7482CCC1"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Pr>
          <w:p w14:paraId="3434D83C" w14:textId="5BF4E8CF"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noWrap/>
            <w:vAlign w:val="center"/>
          </w:tcPr>
          <w:p w14:paraId="6A584033"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30.8</w:t>
            </w:r>
          </w:p>
        </w:tc>
        <w:tc>
          <w:tcPr>
            <w:tcW w:w="370" w:type="pct"/>
            <w:noWrap/>
            <w:vAlign w:val="center"/>
          </w:tcPr>
          <w:p w14:paraId="56A3CC87"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31.0</w:t>
            </w:r>
          </w:p>
        </w:tc>
        <w:tc>
          <w:tcPr>
            <w:tcW w:w="370" w:type="pct"/>
            <w:noWrap/>
            <w:vAlign w:val="center"/>
          </w:tcPr>
          <w:p w14:paraId="64EA3560"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31.7</w:t>
            </w:r>
          </w:p>
        </w:tc>
        <w:tc>
          <w:tcPr>
            <w:tcW w:w="370" w:type="pct"/>
            <w:noWrap/>
            <w:vAlign w:val="center"/>
          </w:tcPr>
          <w:p w14:paraId="080E9805"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31.9</w:t>
            </w:r>
          </w:p>
        </w:tc>
        <w:tc>
          <w:tcPr>
            <w:tcW w:w="370" w:type="pct"/>
            <w:noWrap/>
            <w:vAlign w:val="center"/>
          </w:tcPr>
          <w:p w14:paraId="32EA99C3"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32.8</w:t>
            </w:r>
          </w:p>
        </w:tc>
        <w:tc>
          <w:tcPr>
            <w:tcW w:w="370" w:type="pct"/>
            <w:noWrap/>
            <w:vAlign w:val="center"/>
          </w:tcPr>
          <w:p w14:paraId="6D198C2E"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32.7</w:t>
            </w:r>
          </w:p>
        </w:tc>
        <w:tc>
          <w:tcPr>
            <w:tcW w:w="370" w:type="pct"/>
            <w:noWrap/>
            <w:vAlign w:val="center"/>
          </w:tcPr>
          <w:p w14:paraId="08239F59"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33.6</w:t>
            </w:r>
          </w:p>
        </w:tc>
        <w:tc>
          <w:tcPr>
            <w:tcW w:w="368" w:type="pct"/>
            <w:noWrap/>
            <w:vAlign w:val="center"/>
          </w:tcPr>
          <w:p w14:paraId="59A4DCB1"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33.5</w:t>
            </w:r>
          </w:p>
        </w:tc>
      </w:tr>
      <w:tr w:rsidR="00311D66" w:rsidRPr="00D23AFA" w14:paraId="237326A7" w14:textId="77777777" w:rsidTr="00B94D3E">
        <w:trPr>
          <w:cantSplit/>
          <w:trHeight w:val="20"/>
        </w:trPr>
        <w:tc>
          <w:tcPr>
            <w:tcW w:w="1303" w:type="pct"/>
            <w:noWrap/>
            <w:vAlign w:val="center"/>
            <w:hideMark/>
          </w:tcPr>
          <w:p w14:paraId="14365EA2"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Remote</w:t>
            </w:r>
          </w:p>
        </w:tc>
        <w:tc>
          <w:tcPr>
            <w:tcW w:w="369" w:type="pct"/>
          </w:tcPr>
          <w:p w14:paraId="04D926ED" w14:textId="58F5EC72"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Pr>
          <w:p w14:paraId="19B6FCCF" w14:textId="5D943114"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noWrap/>
            <w:vAlign w:val="center"/>
          </w:tcPr>
          <w:p w14:paraId="1C0D5935"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31.1</w:t>
            </w:r>
          </w:p>
        </w:tc>
        <w:tc>
          <w:tcPr>
            <w:tcW w:w="370" w:type="pct"/>
            <w:noWrap/>
            <w:vAlign w:val="center"/>
          </w:tcPr>
          <w:p w14:paraId="47240F16"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30.2</w:t>
            </w:r>
          </w:p>
        </w:tc>
        <w:tc>
          <w:tcPr>
            <w:tcW w:w="370" w:type="pct"/>
            <w:noWrap/>
            <w:vAlign w:val="center"/>
          </w:tcPr>
          <w:p w14:paraId="4D6387BF"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31.8</w:t>
            </w:r>
          </w:p>
        </w:tc>
        <w:tc>
          <w:tcPr>
            <w:tcW w:w="370" w:type="pct"/>
            <w:noWrap/>
            <w:vAlign w:val="center"/>
          </w:tcPr>
          <w:p w14:paraId="7E5B9289"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30.5</w:t>
            </w:r>
          </w:p>
        </w:tc>
        <w:tc>
          <w:tcPr>
            <w:tcW w:w="370" w:type="pct"/>
            <w:noWrap/>
            <w:vAlign w:val="center"/>
          </w:tcPr>
          <w:p w14:paraId="1A117E0B"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31.6</w:t>
            </w:r>
          </w:p>
        </w:tc>
        <w:tc>
          <w:tcPr>
            <w:tcW w:w="370" w:type="pct"/>
            <w:noWrap/>
            <w:vAlign w:val="center"/>
          </w:tcPr>
          <w:p w14:paraId="2C1D319B"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32.4</w:t>
            </w:r>
          </w:p>
        </w:tc>
        <w:tc>
          <w:tcPr>
            <w:tcW w:w="370" w:type="pct"/>
            <w:noWrap/>
            <w:vAlign w:val="center"/>
          </w:tcPr>
          <w:p w14:paraId="7704D754"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33.1</w:t>
            </w:r>
          </w:p>
        </w:tc>
        <w:tc>
          <w:tcPr>
            <w:tcW w:w="368" w:type="pct"/>
            <w:noWrap/>
            <w:vAlign w:val="center"/>
          </w:tcPr>
          <w:p w14:paraId="0FC5B16C"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32.6</w:t>
            </w:r>
          </w:p>
        </w:tc>
      </w:tr>
      <w:tr w:rsidR="00311D66" w:rsidRPr="00D23AFA" w14:paraId="0E8B62EA" w14:textId="77777777" w:rsidTr="00B94D3E">
        <w:trPr>
          <w:cantSplit/>
          <w:trHeight w:val="20"/>
        </w:trPr>
        <w:tc>
          <w:tcPr>
            <w:tcW w:w="1303" w:type="pct"/>
            <w:noWrap/>
            <w:vAlign w:val="center"/>
            <w:hideMark/>
          </w:tcPr>
          <w:p w14:paraId="139E9D47"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Very remote</w:t>
            </w:r>
          </w:p>
        </w:tc>
        <w:tc>
          <w:tcPr>
            <w:tcW w:w="369" w:type="pct"/>
            <w:tcBorders>
              <w:bottom w:val="single" w:sz="4" w:space="0" w:color="auto"/>
            </w:tcBorders>
          </w:tcPr>
          <w:p w14:paraId="470460A5" w14:textId="6D7CA435"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Borders>
              <w:bottom w:val="single" w:sz="4" w:space="0" w:color="auto"/>
            </w:tcBorders>
          </w:tcPr>
          <w:p w14:paraId="0DFC6818" w14:textId="192BAAFA"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Borders>
              <w:bottom w:val="single" w:sz="4" w:space="0" w:color="auto"/>
            </w:tcBorders>
            <w:noWrap/>
            <w:vAlign w:val="center"/>
          </w:tcPr>
          <w:p w14:paraId="27322581"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29.1</w:t>
            </w:r>
          </w:p>
        </w:tc>
        <w:tc>
          <w:tcPr>
            <w:tcW w:w="370" w:type="pct"/>
            <w:tcBorders>
              <w:bottom w:val="single" w:sz="4" w:space="0" w:color="auto"/>
            </w:tcBorders>
            <w:noWrap/>
            <w:vAlign w:val="center"/>
          </w:tcPr>
          <w:p w14:paraId="49D595F6"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30.0</w:t>
            </w:r>
          </w:p>
        </w:tc>
        <w:tc>
          <w:tcPr>
            <w:tcW w:w="370" w:type="pct"/>
            <w:tcBorders>
              <w:bottom w:val="single" w:sz="4" w:space="0" w:color="auto"/>
            </w:tcBorders>
            <w:noWrap/>
            <w:vAlign w:val="center"/>
          </w:tcPr>
          <w:p w14:paraId="21E6DEE1"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31.1</w:t>
            </w:r>
          </w:p>
        </w:tc>
        <w:tc>
          <w:tcPr>
            <w:tcW w:w="370" w:type="pct"/>
            <w:tcBorders>
              <w:bottom w:val="single" w:sz="4" w:space="0" w:color="auto"/>
            </w:tcBorders>
            <w:noWrap/>
            <w:vAlign w:val="center"/>
          </w:tcPr>
          <w:p w14:paraId="31010F6B"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30.8</w:t>
            </w:r>
          </w:p>
        </w:tc>
        <w:tc>
          <w:tcPr>
            <w:tcW w:w="370" w:type="pct"/>
            <w:tcBorders>
              <w:bottom w:val="single" w:sz="4" w:space="0" w:color="auto"/>
            </w:tcBorders>
            <w:noWrap/>
            <w:vAlign w:val="center"/>
          </w:tcPr>
          <w:p w14:paraId="10B93FC2"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32.6</w:t>
            </w:r>
          </w:p>
        </w:tc>
        <w:tc>
          <w:tcPr>
            <w:tcW w:w="370" w:type="pct"/>
            <w:tcBorders>
              <w:bottom w:val="single" w:sz="4" w:space="0" w:color="auto"/>
            </w:tcBorders>
            <w:noWrap/>
            <w:vAlign w:val="center"/>
          </w:tcPr>
          <w:p w14:paraId="2DCFBEAF"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32.4</w:t>
            </w:r>
          </w:p>
        </w:tc>
        <w:tc>
          <w:tcPr>
            <w:tcW w:w="370" w:type="pct"/>
            <w:tcBorders>
              <w:bottom w:val="single" w:sz="4" w:space="0" w:color="auto"/>
            </w:tcBorders>
            <w:noWrap/>
            <w:vAlign w:val="center"/>
          </w:tcPr>
          <w:p w14:paraId="15D304D0"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31.9</w:t>
            </w:r>
          </w:p>
        </w:tc>
        <w:tc>
          <w:tcPr>
            <w:tcW w:w="368" w:type="pct"/>
            <w:tcBorders>
              <w:bottom w:val="single" w:sz="4" w:space="0" w:color="auto"/>
            </w:tcBorders>
            <w:noWrap/>
            <w:vAlign w:val="center"/>
          </w:tcPr>
          <w:p w14:paraId="5B6C4CBE"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32.4</w:t>
            </w:r>
          </w:p>
        </w:tc>
      </w:tr>
      <w:tr w:rsidR="00BB1B05" w:rsidRPr="00EB1AF3" w14:paraId="17DC982F" w14:textId="77777777" w:rsidTr="00B94D3E">
        <w:trPr>
          <w:cantSplit/>
          <w:trHeight w:val="20"/>
        </w:trPr>
        <w:tc>
          <w:tcPr>
            <w:tcW w:w="5000" w:type="pct"/>
            <w:gridSpan w:val="11"/>
            <w:noWrap/>
            <w:vAlign w:val="center"/>
            <w:hideMark/>
          </w:tcPr>
          <w:p w14:paraId="003397EF" w14:textId="34808BE4" w:rsidR="00BB1B05" w:rsidRPr="00E33D42" w:rsidRDefault="00BB1B05" w:rsidP="00B94D3E">
            <w:pPr>
              <w:rPr>
                <w:rFonts w:cstheme="minorHAnsi"/>
                <w:b/>
                <w:bCs/>
                <w:sz w:val="20"/>
                <w:szCs w:val="20"/>
              </w:rPr>
            </w:pPr>
            <w:r w:rsidRPr="00E33D42">
              <w:rPr>
                <w:rFonts w:cstheme="minorHAnsi"/>
                <w:b/>
                <w:bCs/>
                <w:color w:val="000000"/>
                <w:sz w:val="20"/>
                <w:szCs w:val="20"/>
              </w:rPr>
              <w:t>Disadvantage quintile of mother's usual residence</w:t>
            </w:r>
          </w:p>
        </w:tc>
      </w:tr>
      <w:tr w:rsidR="00311D66" w:rsidRPr="00D23AFA" w14:paraId="67607F61" w14:textId="77777777" w:rsidTr="00B94D3E">
        <w:trPr>
          <w:cantSplit/>
          <w:trHeight w:val="20"/>
        </w:trPr>
        <w:tc>
          <w:tcPr>
            <w:tcW w:w="1303" w:type="pct"/>
            <w:noWrap/>
            <w:vAlign w:val="center"/>
            <w:hideMark/>
          </w:tcPr>
          <w:p w14:paraId="04C6F641"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Q1 - most disadvantaged</w:t>
            </w:r>
          </w:p>
        </w:tc>
        <w:tc>
          <w:tcPr>
            <w:tcW w:w="369" w:type="pct"/>
          </w:tcPr>
          <w:p w14:paraId="5FE1D169" w14:textId="3E427509"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Pr>
          <w:p w14:paraId="752B9304" w14:textId="4E71081A"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noWrap/>
            <w:vAlign w:val="center"/>
          </w:tcPr>
          <w:p w14:paraId="23B3F38C"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28.6</w:t>
            </w:r>
          </w:p>
        </w:tc>
        <w:tc>
          <w:tcPr>
            <w:tcW w:w="370" w:type="pct"/>
            <w:noWrap/>
            <w:vAlign w:val="center"/>
          </w:tcPr>
          <w:p w14:paraId="4992F556"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29.4</w:t>
            </w:r>
          </w:p>
        </w:tc>
        <w:tc>
          <w:tcPr>
            <w:tcW w:w="370" w:type="pct"/>
            <w:noWrap/>
            <w:vAlign w:val="center"/>
          </w:tcPr>
          <w:p w14:paraId="25DAB5EA"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29.7</w:t>
            </w:r>
          </w:p>
        </w:tc>
        <w:tc>
          <w:tcPr>
            <w:tcW w:w="370" w:type="pct"/>
            <w:noWrap/>
            <w:vAlign w:val="center"/>
          </w:tcPr>
          <w:p w14:paraId="5281AB65"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30.1</w:t>
            </w:r>
          </w:p>
        </w:tc>
        <w:tc>
          <w:tcPr>
            <w:tcW w:w="370" w:type="pct"/>
            <w:noWrap/>
            <w:vAlign w:val="center"/>
          </w:tcPr>
          <w:p w14:paraId="53993647"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30.8</w:t>
            </w:r>
          </w:p>
        </w:tc>
        <w:tc>
          <w:tcPr>
            <w:tcW w:w="370" w:type="pct"/>
            <w:noWrap/>
            <w:vAlign w:val="center"/>
          </w:tcPr>
          <w:p w14:paraId="37C433E9"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31.1</w:t>
            </w:r>
          </w:p>
        </w:tc>
        <w:tc>
          <w:tcPr>
            <w:tcW w:w="370" w:type="pct"/>
            <w:noWrap/>
            <w:vAlign w:val="center"/>
          </w:tcPr>
          <w:p w14:paraId="7D083D9E"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31.8</w:t>
            </w:r>
          </w:p>
        </w:tc>
        <w:tc>
          <w:tcPr>
            <w:tcW w:w="368" w:type="pct"/>
            <w:noWrap/>
            <w:vAlign w:val="center"/>
          </w:tcPr>
          <w:p w14:paraId="4030DDA5"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32.6</w:t>
            </w:r>
          </w:p>
        </w:tc>
      </w:tr>
      <w:tr w:rsidR="00311D66" w:rsidRPr="00D23AFA" w14:paraId="6798C5ED" w14:textId="77777777" w:rsidTr="00B94D3E">
        <w:trPr>
          <w:cantSplit/>
          <w:trHeight w:val="20"/>
        </w:trPr>
        <w:tc>
          <w:tcPr>
            <w:tcW w:w="1303" w:type="pct"/>
            <w:noWrap/>
            <w:vAlign w:val="center"/>
            <w:hideMark/>
          </w:tcPr>
          <w:p w14:paraId="7C03998E"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Q2</w:t>
            </w:r>
          </w:p>
        </w:tc>
        <w:tc>
          <w:tcPr>
            <w:tcW w:w="369" w:type="pct"/>
          </w:tcPr>
          <w:p w14:paraId="3126DD50" w14:textId="1690BAEE"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Pr>
          <w:p w14:paraId="3B05224D" w14:textId="6150A1BD"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noWrap/>
            <w:vAlign w:val="center"/>
          </w:tcPr>
          <w:p w14:paraId="4F01AE73"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30.7</w:t>
            </w:r>
          </w:p>
        </w:tc>
        <w:tc>
          <w:tcPr>
            <w:tcW w:w="370" w:type="pct"/>
            <w:noWrap/>
            <w:vAlign w:val="center"/>
          </w:tcPr>
          <w:p w14:paraId="0E8E60C0"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31.3</w:t>
            </w:r>
          </w:p>
        </w:tc>
        <w:tc>
          <w:tcPr>
            <w:tcW w:w="370" w:type="pct"/>
            <w:noWrap/>
            <w:vAlign w:val="center"/>
          </w:tcPr>
          <w:p w14:paraId="0722599B"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31.8</w:t>
            </w:r>
          </w:p>
        </w:tc>
        <w:tc>
          <w:tcPr>
            <w:tcW w:w="370" w:type="pct"/>
            <w:noWrap/>
            <w:vAlign w:val="center"/>
          </w:tcPr>
          <w:p w14:paraId="4BD43718"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31.9</w:t>
            </w:r>
          </w:p>
        </w:tc>
        <w:tc>
          <w:tcPr>
            <w:tcW w:w="370" w:type="pct"/>
            <w:noWrap/>
            <w:vAlign w:val="center"/>
          </w:tcPr>
          <w:p w14:paraId="27527EDE"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32.4</w:t>
            </w:r>
          </w:p>
        </w:tc>
        <w:tc>
          <w:tcPr>
            <w:tcW w:w="370" w:type="pct"/>
            <w:noWrap/>
            <w:vAlign w:val="center"/>
          </w:tcPr>
          <w:p w14:paraId="22D9DAC0"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33.3</w:t>
            </w:r>
          </w:p>
        </w:tc>
        <w:tc>
          <w:tcPr>
            <w:tcW w:w="370" w:type="pct"/>
            <w:noWrap/>
            <w:vAlign w:val="center"/>
          </w:tcPr>
          <w:p w14:paraId="1AA9B1E6"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34.2</w:t>
            </w:r>
          </w:p>
        </w:tc>
        <w:tc>
          <w:tcPr>
            <w:tcW w:w="368" w:type="pct"/>
            <w:noWrap/>
            <w:vAlign w:val="center"/>
          </w:tcPr>
          <w:p w14:paraId="7B1A763B"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34.4</w:t>
            </w:r>
          </w:p>
        </w:tc>
      </w:tr>
      <w:tr w:rsidR="00311D66" w:rsidRPr="00D23AFA" w14:paraId="6297B44F" w14:textId="77777777" w:rsidTr="00B94D3E">
        <w:trPr>
          <w:cantSplit/>
          <w:trHeight w:val="20"/>
        </w:trPr>
        <w:tc>
          <w:tcPr>
            <w:tcW w:w="1303" w:type="pct"/>
            <w:noWrap/>
            <w:vAlign w:val="center"/>
            <w:hideMark/>
          </w:tcPr>
          <w:p w14:paraId="6AEE0EA1"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Q3</w:t>
            </w:r>
          </w:p>
        </w:tc>
        <w:tc>
          <w:tcPr>
            <w:tcW w:w="369" w:type="pct"/>
          </w:tcPr>
          <w:p w14:paraId="49B42827" w14:textId="495FFC13"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Pr>
          <w:p w14:paraId="1F754F24" w14:textId="6D59B6C2"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noWrap/>
            <w:vAlign w:val="center"/>
          </w:tcPr>
          <w:p w14:paraId="7269CBED"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31.9</w:t>
            </w:r>
          </w:p>
        </w:tc>
        <w:tc>
          <w:tcPr>
            <w:tcW w:w="370" w:type="pct"/>
            <w:noWrap/>
            <w:vAlign w:val="center"/>
          </w:tcPr>
          <w:p w14:paraId="5FC1379C"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32.6</w:t>
            </w:r>
          </w:p>
        </w:tc>
        <w:tc>
          <w:tcPr>
            <w:tcW w:w="370" w:type="pct"/>
            <w:noWrap/>
            <w:vAlign w:val="center"/>
          </w:tcPr>
          <w:p w14:paraId="127F46E6"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33.3</w:t>
            </w:r>
          </w:p>
        </w:tc>
        <w:tc>
          <w:tcPr>
            <w:tcW w:w="370" w:type="pct"/>
            <w:noWrap/>
            <w:vAlign w:val="center"/>
          </w:tcPr>
          <w:p w14:paraId="37CF9642"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33.5</w:t>
            </w:r>
          </w:p>
        </w:tc>
        <w:tc>
          <w:tcPr>
            <w:tcW w:w="370" w:type="pct"/>
            <w:noWrap/>
            <w:vAlign w:val="center"/>
          </w:tcPr>
          <w:p w14:paraId="31C43E5D"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33.5</w:t>
            </w:r>
          </w:p>
        </w:tc>
        <w:tc>
          <w:tcPr>
            <w:tcW w:w="370" w:type="pct"/>
            <w:noWrap/>
            <w:vAlign w:val="center"/>
          </w:tcPr>
          <w:p w14:paraId="50994E33"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34.7</w:t>
            </w:r>
          </w:p>
        </w:tc>
        <w:tc>
          <w:tcPr>
            <w:tcW w:w="370" w:type="pct"/>
            <w:noWrap/>
            <w:vAlign w:val="center"/>
          </w:tcPr>
          <w:p w14:paraId="2459E142"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35.3</w:t>
            </w:r>
          </w:p>
        </w:tc>
        <w:tc>
          <w:tcPr>
            <w:tcW w:w="368" w:type="pct"/>
            <w:noWrap/>
            <w:vAlign w:val="center"/>
          </w:tcPr>
          <w:p w14:paraId="27235594"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36.0</w:t>
            </w:r>
          </w:p>
        </w:tc>
      </w:tr>
      <w:tr w:rsidR="00311D66" w:rsidRPr="00D23AFA" w14:paraId="77290D67" w14:textId="77777777" w:rsidTr="00B94D3E">
        <w:trPr>
          <w:cantSplit/>
          <w:trHeight w:val="20"/>
        </w:trPr>
        <w:tc>
          <w:tcPr>
            <w:tcW w:w="1303" w:type="pct"/>
            <w:noWrap/>
            <w:vAlign w:val="center"/>
            <w:hideMark/>
          </w:tcPr>
          <w:p w14:paraId="70ED34E8"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Q4</w:t>
            </w:r>
          </w:p>
        </w:tc>
        <w:tc>
          <w:tcPr>
            <w:tcW w:w="369" w:type="pct"/>
          </w:tcPr>
          <w:p w14:paraId="57138BEF" w14:textId="025646EA"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Pr>
          <w:p w14:paraId="23EC4025" w14:textId="25C52E48"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noWrap/>
            <w:vAlign w:val="center"/>
          </w:tcPr>
          <w:p w14:paraId="396589A2"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34.0</w:t>
            </w:r>
          </w:p>
        </w:tc>
        <w:tc>
          <w:tcPr>
            <w:tcW w:w="370" w:type="pct"/>
            <w:noWrap/>
            <w:vAlign w:val="center"/>
          </w:tcPr>
          <w:p w14:paraId="075DDC8E"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34.9</w:t>
            </w:r>
          </w:p>
        </w:tc>
        <w:tc>
          <w:tcPr>
            <w:tcW w:w="370" w:type="pct"/>
            <w:noWrap/>
            <w:vAlign w:val="center"/>
          </w:tcPr>
          <w:p w14:paraId="36E2D8C0"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34.7</w:t>
            </w:r>
          </w:p>
        </w:tc>
        <w:tc>
          <w:tcPr>
            <w:tcW w:w="370" w:type="pct"/>
            <w:noWrap/>
            <w:vAlign w:val="center"/>
          </w:tcPr>
          <w:p w14:paraId="37A21B30"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35.0</w:t>
            </w:r>
          </w:p>
        </w:tc>
        <w:tc>
          <w:tcPr>
            <w:tcW w:w="370" w:type="pct"/>
            <w:noWrap/>
            <w:vAlign w:val="center"/>
          </w:tcPr>
          <w:p w14:paraId="60F9C751"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35.3</w:t>
            </w:r>
          </w:p>
        </w:tc>
        <w:tc>
          <w:tcPr>
            <w:tcW w:w="370" w:type="pct"/>
            <w:noWrap/>
            <w:vAlign w:val="center"/>
          </w:tcPr>
          <w:p w14:paraId="6960682F"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36.1</w:t>
            </w:r>
          </w:p>
        </w:tc>
        <w:tc>
          <w:tcPr>
            <w:tcW w:w="370" w:type="pct"/>
            <w:noWrap/>
            <w:vAlign w:val="center"/>
          </w:tcPr>
          <w:p w14:paraId="3289B349"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37.0</w:t>
            </w:r>
          </w:p>
        </w:tc>
        <w:tc>
          <w:tcPr>
            <w:tcW w:w="368" w:type="pct"/>
            <w:noWrap/>
            <w:vAlign w:val="center"/>
          </w:tcPr>
          <w:p w14:paraId="67AFB3AF"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37.7</w:t>
            </w:r>
          </w:p>
        </w:tc>
      </w:tr>
      <w:tr w:rsidR="00311D66" w:rsidRPr="00D23AFA" w14:paraId="1EC074A6" w14:textId="77777777" w:rsidTr="00B94D3E">
        <w:trPr>
          <w:cantSplit/>
          <w:trHeight w:val="20"/>
        </w:trPr>
        <w:tc>
          <w:tcPr>
            <w:tcW w:w="1303" w:type="pct"/>
            <w:noWrap/>
            <w:vAlign w:val="center"/>
            <w:hideMark/>
          </w:tcPr>
          <w:p w14:paraId="7CF42219" w14:textId="77777777" w:rsidR="00BB1B05" w:rsidRPr="00E33D42" w:rsidRDefault="00BB1B05" w:rsidP="00E66106">
            <w:pPr>
              <w:ind w:firstLineChars="100" w:firstLine="200"/>
              <w:rPr>
                <w:rFonts w:cstheme="minorHAnsi"/>
                <w:color w:val="000000"/>
                <w:sz w:val="20"/>
                <w:szCs w:val="20"/>
              </w:rPr>
            </w:pPr>
            <w:r w:rsidRPr="00E33D42">
              <w:rPr>
                <w:rFonts w:cstheme="minorHAnsi"/>
                <w:color w:val="000000"/>
                <w:sz w:val="20"/>
                <w:szCs w:val="20"/>
              </w:rPr>
              <w:t>Q5 - least disadvantaged</w:t>
            </w:r>
          </w:p>
        </w:tc>
        <w:tc>
          <w:tcPr>
            <w:tcW w:w="369" w:type="pct"/>
            <w:tcBorders>
              <w:bottom w:val="single" w:sz="4" w:space="0" w:color="auto"/>
            </w:tcBorders>
          </w:tcPr>
          <w:p w14:paraId="3CCD18AF" w14:textId="42EB2299"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Borders>
              <w:bottom w:val="single" w:sz="4" w:space="0" w:color="auto"/>
            </w:tcBorders>
          </w:tcPr>
          <w:p w14:paraId="2338D84E" w14:textId="188D5919" w:rsidR="00BB1B05" w:rsidRPr="00E33D42" w:rsidRDefault="00BB1B05" w:rsidP="00E66106">
            <w:pPr>
              <w:jc w:val="right"/>
              <w:rPr>
                <w:rFonts w:cstheme="minorHAnsi"/>
                <w:color w:val="000000"/>
                <w:sz w:val="20"/>
                <w:szCs w:val="20"/>
              </w:rPr>
            </w:pPr>
            <w:r w:rsidRPr="00E33D42">
              <w:rPr>
                <w:rFonts w:cstheme="minorHAnsi"/>
                <w:color w:val="000000"/>
                <w:sz w:val="20"/>
                <w:szCs w:val="20"/>
              </w:rPr>
              <w:t>n.a.</w:t>
            </w:r>
          </w:p>
        </w:tc>
        <w:tc>
          <w:tcPr>
            <w:tcW w:w="370" w:type="pct"/>
            <w:tcBorders>
              <w:bottom w:val="single" w:sz="4" w:space="0" w:color="auto"/>
            </w:tcBorders>
            <w:noWrap/>
            <w:vAlign w:val="center"/>
          </w:tcPr>
          <w:p w14:paraId="56CEDCEF"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36.0</w:t>
            </w:r>
          </w:p>
        </w:tc>
        <w:tc>
          <w:tcPr>
            <w:tcW w:w="370" w:type="pct"/>
            <w:tcBorders>
              <w:bottom w:val="single" w:sz="4" w:space="0" w:color="auto"/>
            </w:tcBorders>
            <w:noWrap/>
            <w:vAlign w:val="center"/>
          </w:tcPr>
          <w:p w14:paraId="58FEAA4B"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36.4</w:t>
            </w:r>
          </w:p>
        </w:tc>
        <w:tc>
          <w:tcPr>
            <w:tcW w:w="370" w:type="pct"/>
            <w:tcBorders>
              <w:bottom w:val="single" w:sz="4" w:space="0" w:color="auto"/>
            </w:tcBorders>
            <w:noWrap/>
            <w:vAlign w:val="center"/>
          </w:tcPr>
          <w:p w14:paraId="3CD7E78C"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36.5</w:t>
            </w:r>
          </w:p>
        </w:tc>
        <w:tc>
          <w:tcPr>
            <w:tcW w:w="370" w:type="pct"/>
            <w:tcBorders>
              <w:bottom w:val="single" w:sz="4" w:space="0" w:color="auto"/>
            </w:tcBorders>
            <w:noWrap/>
            <w:vAlign w:val="center"/>
          </w:tcPr>
          <w:p w14:paraId="41DAB9B4"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36.5</w:t>
            </w:r>
          </w:p>
        </w:tc>
        <w:tc>
          <w:tcPr>
            <w:tcW w:w="370" w:type="pct"/>
            <w:tcBorders>
              <w:bottom w:val="single" w:sz="4" w:space="0" w:color="auto"/>
            </w:tcBorders>
            <w:noWrap/>
            <w:vAlign w:val="center"/>
          </w:tcPr>
          <w:p w14:paraId="7F13120B"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37.2</w:t>
            </w:r>
          </w:p>
        </w:tc>
        <w:tc>
          <w:tcPr>
            <w:tcW w:w="370" w:type="pct"/>
            <w:tcBorders>
              <w:bottom w:val="single" w:sz="4" w:space="0" w:color="auto"/>
            </w:tcBorders>
            <w:noWrap/>
            <w:vAlign w:val="center"/>
          </w:tcPr>
          <w:p w14:paraId="19A8202B"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38.2</w:t>
            </w:r>
          </w:p>
        </w:tc>
        <w:tc>
          <w:tcPr>
            <w:tcW w:w="370" w:type="pct"/>
            <w:tcBorders>
              <w:bottom w:val="single" w:sz="4" w:space="0" w:color="auto"/>
            </w:tcBorders>
            <w:noWrap/>
            <w:vAlign w:val="center"/>
          </w:tcPr>
          <w:p w14:paraId="61E6C1F3"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38.7</w:t>
            </w:r>
          </w:p>
        </w:tc>
        <w:tc>
          <w:tcPr>
            <w:tcW w:w="368" w:type="pct"/>
            <w:tcBorders>
              <w:bottom w:val="single" w:sz="4" w:space="0" w:color="auto"/>
            </w:tcBorders>
            <w:noWrap/>
            <w:vAlign w:val="center"/>
          </w:tcPr>
          <w:p w14:paraId="6CAB672F" w14:textId="77777777" w:rsidR="00BB1B05" w:rsidRPr="00E33D42" w:rsidRDefault="00BB1B05" w:rsidP="00E66106">
            <w:pPr>
              <w:jc w:val="right"/>
              <w:rPr>
                <w:rFonts w:cstheme="minorHAnsi"/>
                <w:color w:val="000000"/>
                <w:sz w:val="20"/>
                <w:szCs w:val="20"/>
              </w:rPr>
            </w:pPr>
            <w:r w:rsidRPr="00E33D42">
              <w:rPr>
                <w:rFonts w:cstheme="minorHAnsi"/>
                <w:color w:val="000000"/>
                <w:sz w:val="20"/>
                <w:szCs w:val="20"/>
              </w:rPr>
              <w:t>39.5</w:t>
            </w:r>
          </w:p>
        </w:tc>
      </w:tr>
      <w:tr w:rsidR="008A76F1" w:rsidRPr="00EB1AF3" w14:paraId="75CB3E4F" w14:textId="77777777" w:rsidTr="00B94D3E">
        <w:trPr>
          <w:cantSplit/>
          <w:trHeight w:val="20"/>
        </w:trPr>
        <w:tc>
          <w:tcPr>
            <w:tcW w:w="5000" w:type="pct"/>
            <w:gridSpan w:val="11"/>
            <w:noWrap/>
            <w:vAlign w:val="center"/>
            <w:hideMark/>
          </w:tcPr>
          <w:p w14:paraId="44DD0186" w14:textId="66F7A125" w:rsidR="008A76F1" w:rsidRPr="00E33D42" w:rsidRDefault="008A76F1" w:rsidP="00B94D3E">
            <w:pPr>
              <w:rPr>
                <w:rFonts w:cstheme="minorHAnsi"/>
                <w:b/>
                <w:bCs/>
                <w:sz w:val="20"/>
                <w:szCs w:val="20"/>
              </w:rPr>
            </w:pPr>
            <w:r w:rsidRPr="00E33D42">
              <w:rPr>
                <w:rFonts w:cstheme="minorHAnsi"/>
                <w:b/>
                <w:bCs/>
                <w:color w:val="000000"/>
                <w:sz w:val="20"/>
                <w:szCs w:val="20"/>
              </w:rPr>
              <w:t>Hospital sector</w:t>
            </w:r>
          </w:p>
        </w:tc>
      </w:tr>
      <w:tr w:rsidR="00311D66" w:rsidRPr="00D23AFA" w14:paraId="7A126188" w14:textId="77777777" w:rsidTr="00B94D3E">
        <w:trPr>
          <w:cantSplit/>
          <w:trHeight w:val="20"/>
        </w:trPr>
        <w:tc>
          <w:tcPr>
            <w:tcW w:w="1303" w:type="pct"/>
            <w:noWrap/>
            <w:vAlign w:val="center"/>
            <w:hideMark/>
          </w:tcPr>
          <w:p w14:paraId="11225A35"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Private</w:t>
            </w:r>
          </w:p>
        </w:tc>
        <w:tc>
          <w:tcPr>
            <w:tcW w:w="369" w:type="pct"/>
            <w:vAlign w:val="center"/>
          </w:tcPr>
          <w:p w14:paraId="6DEB6051"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42.4</w:t>
            </w:r>
          </w:p>
        </w:tc>
        <w:tc>
          <w:tcPr>
            <w:tcW w:w="370" w:type="pct"/>
            <w:vAlign w:val="center"/>
          </w:tcPr>
          <w:p w14:paraId="79DB050C"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42.8</w:t>
            </w:r>
          </w:p>
        </w:tc>
        <w:tc>
          <w:tcPr>
            <w:tcW w:w="370" w:type="pct"/>
            <w:noWrap/>
            <w:vAlign w:val="center"/>
          </w:tcPr>
          <w:p w14:paraId="625DA6DA"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43.6</w:t>
            </w:r>
          </w:p>
        </w:tc>
        <w:tc>
          <w:tcPr>
            <w:tcW w:w="370" w:type="pct"/>
            <w:noWrap/>
            <w:vAlign w:val="center"/>
          </w:tcPr>
          <w:p w14:paraId="3DD6DF06"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44.0</w:t>
            </w:r>
          </w:p>
        </w:tc>
        <w:tc>
          <w:tcPr>
            <w:tcW w:w="370" w:type="pct"/>
            <w:noWrap/>
            <w:vAlign w:val="center"/>
          </w:tcPr>
          <w:p w14:paraId="7736BD3F"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44.6</w:t>
            </w:r>
          </w:p>
        </w:tc>
        <w:tc>
          <w:tcPr>
            <w:tcW w:w="370" w:type="pct"/>
            <w:noWrap/>
            <w:vAlign w:val="center"/>
          </w:tcPr>
          <w:p w14:paraId="0A071273"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45.1</w:t>
            </w:r>
          </w:p>
        </w:tc>
        <w:tc>
          <w:tcPr>
            <w:tcW w:w="370" w:type="pct"/>
            <w:noWrap/>
            <w:vAlign w:val="center"/>
          </w:tcPr>
          <w:p w14:paraId="4C5B834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45.8</w:t>
            </w:r>
          </w:p>
        </w:tc>
        <w:tc>
          <w:tcPr>
            <w:tcW w:w="370" w:type="pct"/>
            <w:noWrap/>
            <w:vAlign w:val="center"/>
          </w:tcPr>
          <w:p w14:paraId="6DC8B2F4"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47.0</w:t>
            </w:r>
          </w:p>
        </w:tc>
        <w:tc>
          <w:tcPr>
            <w:tcW w:w="370" w:type="pct"/>
            <w:noWrap/>
            <w:vAlign w:val="center"/>
          </w:tcPr>
          <w:p w14:paraId="47862B42"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47.5</w:t>
            </w:r>
          </w:p>
        </w:tc>
        <w:tc>
          <w:tcPr>
            <w:tcW w:w="368" w:type="pct"/>
            <w:noWrap/>
            <w:vAlign w:val="center"/>
          </w:tcPr>
          <w:p w14:paraId="01365D1F"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48.4</w:t>
            </w:r>
          </w:p>
        </w:tc>
      </w:tr>
      <w:tr w:rsidR="00311D66" w:rsidRPr="00D23AFA" w14:paraId="36F8240F" w14:textId="77777777" w:rsidTr="00B94D3E">
        <w:trPr>
          <w:cantSplit/>
          <w:trHeight w:val="20"/>
        </w:trPr>
        <w:tc>
          <w:tcPr>
            <w:tcW w:w="1303" w:type="pct"/>
            <w:noWrap/>
            <w:vAlign w:val="center"/>
            <w:hideMark/>
          </w:tcPr>
          <w:p w14:paraId="2E349FFF" w14:textId="77777777" w:rsidR="00BB1B05" w:rsidRPr="00E33D42" w:rsidRDefault="00BB1B05" w:rsidP="00AF0ADF">
            <w:pPr>
              <w:ind w:firstLineChars="100" w:firstLine="200"/>
              <w:rPr>
                <w:rFonts w:cstheme="minorHAnsi"/>
                <w:color w:val="000000"/>
                <w:sz w:val="20"/>
                <w:szCs w:val="20"/>
              </w:rPr>
            </w:pPr>
            <w:r w:rsidRPr="00E33D42">
              <w:rPr>
                <w:rFonts w:cstheme="minorHAnsi"/>
                <w:color w:val="000000"/>
                <w:sz w:val="20"/>
                <w:szCs w:val="20"/>
              </w:rPr>
              <w:t>Public</w:t>
            </w:r>
          </w:p>
        </w:tc>
        <w:tc>
          <w:tcPr>
            <w:tcW w:w="369" w:type="pct"/>
            <w:vAlign w:val="center"/>
          </w:tcPr>
          <w:p w14:paraId="33EAC5FD"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28.5</w:t>
            </w:r>
          </w:p>
        </w:tc>
        <w:tc>
          <w:tcPr>
            <w:tcW w:w="370" w:type="pct"/>
            <w:vAlign w:val="center"/>
          </w:tcPr>
          <w:p w14:paraId="50BA5845"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29.4</w:t>
            </w:r>
          </w:p>
        </w:tc>
        <w:tc>
          <w:tcPr>
            <w:tcW w:w="370" w:type="pct"/>
            <w:noWrap/>
            <w:vAlign w:val="center"/>
          </w:tcPr>
          <w:p w14:paraId="17D93559"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29.2</w:t>
            </w:r>
          </w:p>
        </w:tc>
        <w:tc>
          <w:tcPr>
            <w:tcW w:w="370" w:type="pct"/>
            <w:noWrap/>
            <w:vAlign w:val="center"/>
          </w:tcPr>
          <w:p w14:paraId="02E0487D"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29.6</w:t>
            </w:r>
          </w:p>
        </w:tc>
        <w:tc>
          <w:tcPr>
            <w:tcW w:w="370" w:type="pct"/>
            <w:noWrap/>
            <w:vAlign w:val="center"/>
          </w:tcPr>
          <w:p w14:paraId="71499CE1"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29.9</w:t>
            </w:r>
          </w:p>
        </w:tc>
        <w:tc>
          <w:tcPr>
            <w:tcW w:w="370" w:type="pct"/>
            <w:noWrap/>
            <w:vAlign w:val="center"/>
          </w:tcPr>
          <w:p w14:paraId="301449CB"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30.2</w:t>
            </w:r>
          </w:p>
        </w:tc>
        <w:tc>
          <w:tcPr>
            <w:tcW w:w="370" w:type="pct"/>
            <w:noWrap/>
            <w:vAlign w:val="center"/>
          </w:tcPr>
          <w:p w14:paraId="155FCA70"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30.7</w:t>
            </w:r>
          </w:p>
        </w:tc>
        <w:tc>
          <w:tcPr>
            <w:tcW w:w="370" w:type="pct"/>
            <w:noWrap/>
            <w:vAlign w:val="center"/>
          </w:tcPr>
          <w:p w14:paraId="16E5EE6D"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31.9</w:t>
            </w:r>
          </w:p>
        </w:tc>
        <w:tc>
          <w:tcPr>
            <w:tcW w:w="370" w:type="pct"/>
            <w:noWrap/>
            <w:vAlign w:val="center"/>
          </w:tcPr>
          <w:p w14:paraId="0DF886DF"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33.0</w:t>
            </w:r>
          </w:p>
        </w:tc>
        <w:tc>
          <w:tcPr>
            <w:tcW w:w="368" w:type="pct"/>
            <w:noWrap/>
            <w:vAlign w:val="center"/>
          </w:tcPr>
          <w:p w14:paraId="125AC021" w14:textId="77777777" w:rsidR="00BB1B05" w:rsidRPr="00E33D42" w:rsidRDefault="00BB1B05" w:rsidP="00AF0ADF">
            <w:pPr>
              <w:jc w:val="right"/>
              <w:rPr>
                <w:rFonts w:cstheme="minorHAnsi"/>
                <w:color w:val="000000"/>
                <w:sz w:val="20"/>
                <w:szCs w:val="20"/>
              </w:rPr>
            </w:pPr>
            <w:r w:rsidRPr="00E33D42">
              <w:rPr>
                <w:rFonts w:cstheme="minorHAnsi"/>
                <w:color w:val="000000"/>
                <w:sz w:val="20"/>
                <w:szCs w:val="20"/>
              </w:rPr>
              <w:t>33.6</w:t>
            </w:r>
          </w:p>
        </w:tc>
      </w:tr>
    </w:tbl>
    <w:p w14:paraId="631028CC" w14:textId="4B159563" w:rsidR="00E33D42" w:rsidRPr="007667EF" w:rsidRDefault="00E33D42" w:rsidP="00E33D42">
      <w:pPr>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9C3E6A">
        <w:rPr>
          <w:sz w:val="18"/>
          <w:szCs w:val="18"/>
        </w:rPr>
        <w:t>.</w:t>
      </w:r>
    </w:p>
    <w:p w14:paraId="0033A70F" w14:textId="77777777" w:rsidR="00B94D3E" w:rsidRDefault="00B94D3E" w:rsidP="007667EF">
      <w:pPr>
        <w:ind w:left="284" w:hanging="284"/>
        <w:rPr>
          <w:b/>
          <w:sz w:val="18"/>
          <w:szCs w:val="18"/>
        </w:rPr>
      </w:pPr>
    </w:p>
    <w:p w14:paraId="5F17ADD7" w14:textId="2722E18D" w:rsidR="007667EF" w:rsidRPr="00B94D3E" w:rsidRDefault="007667EF" w:rsidP="007667EF">
      <w:pPr>
        <w:ind w:left="284" w:hanging="284"/>
        <w:rPr>
          <w:b/>
          <w:sz w:val="18"/>
          <w:szCs w:val="18"/>
        </w:rPr>
      </w:pPr>
      <w:r w:rsidRPr="00B94D3E">
        <w:rPr>
          <w:b/>
          <w:sz w:val="18"/>
          <w:szCs w:val="18"/>
        </w:rPr>
        <w:t>Data notes</w:t>
      </w:r>
    </w:p>
    <w:p w14:paraId="3A5ABAED" w14:textId="77777777" w:rsidR="007667EF" w:rsidRDefault="007667EF" w:rsidP="008D3FB5">
      <w:pPr>
        <w:pStyle w:val="pf0"/>
        <w:numPr>
          <w:ilvl w:val="0"/>
          <w:numId w:val="35"/>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For multiple births, the method of birth of the first-born baby was used.</w:t>
      </w:r>
    </w:p>
    <w:p w14:paraId="18765FA7" w14:textId="77777777" w:rsidR="007667EF" w:rsidRPr="007667EF" w:rsidRDefault="007667EF" w:rsidP="008D3FB5">
      <w:pPr>
        <w:pStyle w:val="pf0"/>
        <w:numPr>
          <w:ilvl w:val="0"/>
          <w:numId w:val="35"/>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Country of birth (mother): Prior to 2012, data were mapped to the ABS 2008 Standard Australian Classification of Countries (SACC). Between 2012 and 2016, data were mapped to the ABS 2011 SACC. From 2017, data were mapped to the ABS 2016 SACC, with the exception of Qld which used the ABS 2011 SACC until 30 June 2017.</w:t>
      </w:r>
    </w:p>
    <w:p w14:paraId="104039ED" w14:textId="77777777" w:rsidR="007667EF" w:rsidRPr="007667EF" w:rsidRDefault="007667EF" w:rsidP="008D3FB5">
      <w:pPr>
        <w:pStyle w:val="pf0"/>
        <w:numPr>
          <w:ilvl w:val="0"/>
          <w:numId w:val="35"/>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Hospital sector: Includes women who gave birth in hospital only (excludes birth centres attached to hospitals).</w:t>
      </w:r>
    </w:p>
    <w:p w14:paraId="0AFAEBAE" w14:textId="77777777" w:rsidR="007667EF" w:rsidRPr="007667EF" w:rsidRDefault="007667EF" w:rsidP="008D3FB5">
      <w:pPr>
        <w:pStyle w:val="pf0"/>
        <w:numPr>
          <w:ilvl w:val="0"/>
          <w:numId w:val="35"/>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Indigenous status (mother, age-standardised): Percentages are directly age-standardised using the 30 June 2001 Australian female Estimated Resident Population (ERP) aged 15–44 as the standard population. Five-year age groups are used for age-standardisation. The lowest age group was 15–19 years and the highest was 40–44 years.</w:t>
      </w:r>
    </w:p>
    <w:p w14:paraId="573016A0" w14:textId="77777777" w:rsidR="007667EF" w:rsidRPr="007667EF" w:rsidRDefault="007667EF" w:rsidP="008D3FB5">
      <w:pPr>
        <w:pStyle w:val="pf0"/>
        <w:numPr>
          <w:ilvl w:val="0"/>
          <w:numId w:val="35"/>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Remoteness area: 1. Between 2012 and 2016, Remoteness area derived by applying ABS 2011 Australian Statistical Geography Standard (ASGS) to area of mother’s usual residence. From 2017, Remoteness area derived by applying ABS 2016 ASGS. Remoteness area only calculated where geographic area of usual residence was provided. Excludes mothers not usually resident in Australia and those whose state or territory of usual residence was ‘Not stated’. 2. Data may not add to the total due to rounding.</w:t>
      </w:r>
    </w:p>
    <w:p w14:paraId="0C479D96" w14:textId="047E31F2" w:rsidR="006441B1" w:rsidRPr="006441B1" w:rsidRDefault="007667EF" w:rsidP="008D3FB5">
      <w:pPr>
        <w:pStyle w:val="pf0"/>
        <w:numPr>
          <w:ilvl w:val="0"/>
          <w:numId w:val="35"/>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Socioeconomic status: Between 2012 and 2016, Socioeconomic status derived by applying ABS 2011 Socio-Economic Indexes for Areas Index of Relative Socio-economic Disadvantage (SEIFA IRSD) to area of mother's usual residence. From 2017, socioeconomic status derived by applying ABS 2016 SEIFA IRSD. Socioeconomic status only calculated where geographic area of usual residence was provided. Excludes mothers not usually resident in Australia and those whose state or territory of usual residence was ‘Not stated’.</w:t>
      </w:r>
      <w:r w:rsidR="006441B1" w:rsidRPr="00A71004">
        <w:rPr>
          <w:rFonts w:asciiTheme="minorHAnsi" w:hAnsiTheme="minorHAnsi"/>
          <w:sz w:val="18"/>
          <w:szCs w:val="18"/>
        </w:rPr>
        <w:t xml:space="preserve"> </w:t>
      </w:r>
    </w:p>
    <w:p w14:paraId="774FEB2E" w14:textId="744A0843" w:rsidR="00A71004" w:rsidRPr="00B94D3E" w:rsidRDefault="00A71004" w:rsidP="008D3FB5">
      <w:pPr>
        <w:pStyle w:val="pf0"/>
        <w:numPr>
          <w:ilvl w:val="0"/>
          <w:numId w:val="35"/>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National Perinatal Data Collection annual update 2020—data tables</w:t>
      </w:r>
    </w:p>
    <w:bookmarkEnd w:id="414"/>
    <w:bookmarkEnd w:id="415"/>
    <w:p w14:paraId="5C9DF4E7" w14:textId="77777777" w:rsidR="00940A8B" w:rsidRDefault="00940A8B" w:rsidP="00B94D3E">
      <w:r>
        <w:br w:type="page"/>
      </w:r>
    </w:p>
    <w:p w14:paraId="5225F42C" w14:textId="3701F930" w:rsidR="00AF0ADF" w:rsidRPr="0054118D" w:rsidRDefault="00AF0ADF" w:rsidP="00AF0ADF">
      <w:pPr>
        <w:pStyle w:val="Caption"/>
        <w:rPr>
          <w:sz w:val="20"/>
          <w:szCs w:val="20"/>
        </w:rPr>
      </w:pPr>
      <w:bookmarkStart w:id="434" w:name="_Ref117928171"/>
      <w:bookmarkStart w:id="435" w:name="_Toc121429198"/>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22</w:t>
      </w:r>
      <w:r w:rsidR="00A64FC5" w:rsidRPr="0054118D">
        <w:rPr>
          <w:noProof/>
          <w:sz w:val="20"/>
          <w:szCs w:val="20"/>
        </w:rPr>
        <w:fldChar w:fldCharType="end"/>
      </w:r>
      <w:bookmarkEnd w:id="434"/>
      <w:r w:rsidRPr="0054118D">
        <w:rPr>
          <w:sz w:val="20"/>
          <w:szCs w:val="20"/>
        </w:rPr>
        <w:tab/>
        <w:t>Caesarean section</w:t>
      </w:r>
      <w:r w:rsidR="0054118D">
        <w:rPr>
          <w:sz w:val="20"/>
          <w:szCs w:val="20"/>
        </w:rPr>
        <w:t>,</w:t>
      </w:r>
      <w:r w:rsidRPr="0054118D">
        <w:rPr>
          <w:sz w:val="20"/>
          <w:szCs w:val="20"/>
        </w:rPr>
        <w:t xml:space="preserve"> selected women</w:t>
      </w:r>
      <w:r w:rsidR="009D1604">
        <w:rPr>
          <w:sz w:val="20"/>
          <w:szCs w:val="20"/>
        </w:rPr>
        <w:t>, first birth</w:t>
      </w:r>
      <w:r w:rsidR="0054118D">
        <w:rPr>
          <w:sz w:val="20"/>
          <w:szCs w:val="20"/>
        </w:rPr>
        <w:t xml:space="preserve"> (PI06), 2011–</w:t>
      </w:r>
      <w:r w:rsidRPr="0054118D">
        <w:rPr>
          <w:sz w:val="20"/>
          <w:szCs w:val="20"/>
        </w:rPr>
        <w:t>2019</w:t>
      </w:r>
      <w:bookmarkEnd w:id="435"/>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741"/>
        <w:gridCol w:w="742"/>
        <w:gridCol w:w="742"/>
        <w:gridCol w:w="742"/>
        <w:gridCol w:w="741"/>
        <w:gridCol w:w="742"/>
        <w:gridCol w:w="742"/>
        <w:gridCol w:w="742"/>
        <w:gridCol w:w="742"/>
      </w:tblGrid>
      <w:tr w:rsidR="00AF0ADF" w:rsidRPr="00D960DD" w14:paraId="4D3F4520" w14:textId="77777777" w:rsidTr="00B94D3E">
        <w:trPr>
          <w:trHeight w:val="209"/>
        </w:trPr>
        <w:tc>
          <w:tcPr>
            <w:tcW w:w="3060" w:type="dxa"/>
            <w:shd w:val="clear" w:color="auto" w:fill="auto"/>
            <w:noWrap/>
            <w:hideMark/>
          </w:tcPr>
          <w:p w14:paraId="15152B1B" w14:textId="4C8CB2FC" w:rsidR="00AF0ADF" w:rsidRPr="00D960DD" w:rsidRDefault="00AF0ADF" w:rsidP="00AF0ADF">
            <w:pPr>
              <w:rPr>
                <w:rFonts w:cstheme="minorHAnsi"/>
                <w:b/>
                <w:bCs/>
                <w:color w:val="000000"/>
                <w:sz w:val="20"/>
                <w:szCs w:val="20"/>
              </w:rPr>
            </w:pPr>
          </w:p>
        </w:tc>
        <w:tc>
          <w:tcPr>
            <w:tcW w:w="741" w:type="dxa"/>
            <w:shd w:val="clear" w:color="auto" w:fill="auto"/>
            <w:noWrap/>
            <w:vAlign w:val="center"/>
            <w:hideMark/>
          </w:tcPr>
          <w:p w14:paraId="68236C98"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2011</w:t>
            </w:r>
          </w:p>
        </w:tc>
        <w:tc>
          <w:tcPr>
            <w:tcW w:w="742" w:type="dxa"/>
            <w:shd w:val="clear" w:color="auto" w:fill="auto"/>
            <w:noWrap/>
            <w:vAlign w:val="center"/>
            <w:hideMark/>
          </w:tcPr>
          <w:p w14:paraId="3209EF7E"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2012</w:t>
            </w:r>
          </w:p>
        </w:tc>
        <w:tc>
          <w:tcPr>
            <w:tcW w:w="742" w:type="dxa"/>
            <w:shd w:val="clear" w:color="auto" w:fill="auto"/>
            <w:noWrap/>
            <w:vAlign w:val="center"/>
            <w:hideMark/>
          </w:tcPr>
          <w:p w14:paraId="42357A4F"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2013</w:t>
            </w:r>
          </w:p>
        </w:tc>
        <w:tc>
          <w:tcPr>
            <w:tcW w:w="742" w:type="dxa"/>
            <w:shd w:val="clear" w:color="auto" w:fill="auto"/>
            <w:noWrap/>
            <w:vAlign w:val="center"/>
            <w:hideMark/>
          </w:tcPr>
          <w:p w14:paraId="18A1F1C2"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2014</w:t>
            </w:r>
          </w:p>
        </w:tc>
        <w:tc>
          <w:tcPr>
            <w:tcW w:w="741" w:type="dxa"/>
            <w:shd w:val="clear" w:color="auto" w:fill="auto"/>
            <w:noWrap/>
            <w:vAlign w:val="center"/>
            <w:hideMark/>
          </w:tcPr>
          <w:p w14:paraId="17C456C7"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2015</w:t>
            </w:r>
          </w:p>
        </w:tc>
        <w:tc>
          <w:tcPr>
            <w:tcW w:w="742" w:type="dxa"/>
            <w:shd w:val="clear" w:color="auto" w:fill="auto"/>
            <w:noWrap/>
            <w:vAlign w:val="center"/>
            <w:hideMark/>
          </w:tcPr>
          <w:p w14:paraId="6241C5B7"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2016</w:t>
            </w:r>
          </w:p>
        </w:tc>
        <w:tc>
          <w:tcPr>
            <w:tcW w:w="742" w:type="dxa"/>
            <w:shd w:val="clear" w:color="auto" w:fill="auto"/>
            <w:noWrap/>
            <w:vAlign w:val="center"/>
            <w:hideMark/>
          </w:tcPr>
          <w:p w14:paraId="104AEAE1"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2017</w:t>
            </w:r>
          </w:p>
        </w:tc>
        <w:tc>
          <w:tcPr>
            <w:tcW w:w="742" w:type="dxa"/>
            <w:shd w:val="clear" w:color="auto" w:fill="auto"/>
            <w:noWrap/>
            <w:vAlign w:val="center"/>
            <w:hideMark/>
          </w:tcPr>
          <w:p w14:paraId="252174B5"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2018</w:t>
            </w:r>
          </w:p>
        </w:tc>
        <w:tc>
          <w:tcPr>
            <w:tcW w:w="742" w:type="dxa"/>
            <w:shd w:val="clear" w:color="auto" w:fill="auto"/>
            <w:noWrap/>
            <w:vAlign w:val="center"/>
            <w:hideMark/>
          </w:tcPr>
          <w:p w14:paraId="0F871BB9" w14:textId="77777777" w:rsidR="00AF0ADF" w:rsidRPr="00D960DD" w:rsidRDefault="00AF0ADF" w:rsidP="00B94D3E">
            <w:pPr>
              <w:jc w:val="center"/>
              <w:rPr>
                <w:rFonts w:cstheme="minorHAnsi"/>
                <w:b/>
                <w:bCs/>
                <w:color w:val="000000"/>
                <w:sz w:val="20"/>
                <w:szCs w:val="20"/>
              </w:rPr>
            </w:pPr>
            <w:r w:rsidRPr="00D960DD">
              <w:rPr>
                <w:rFonts w:cstheme="minorHAnsi"/>
                <w:b/>
                <w:bCs/>
                <w:color w:val="000000"/>
                <w:sz w:val="20"/>
                <w:szCs w:val="20"/>
              </w:rPr>
              <w:t>2019</w:t>
            </w:r>
          </w:p>
        </w:tc>
      </w:tr>
      <w:tr w:rsidR="00AF0ADF" w:rsidRPr="00D960DD" w14:paraId="43D69791" w14:textId="77777777" w:rsidTr="00B94D3E">
        <w:trPr>
          <w:trHeight w:val="209"/>
        </w:trPr>
        <w:tc>
          <w:tcPr>
            <w:tcW w:w="3060" w:type="dxa"/>
            <w:shd w:val="clear" w:color="auto" w:fill="auto"/>
            <w:noWrap/>
          </w:tcPr>
          <w:p w14:paraId="0F4BA9F4" w14:textId="77777777" w:rsidR="00AF0ADF" w:rsidRPr="00D960DD" w:rsidRDefault="00AF0ADF" w:rsidP="00AF0ADF">
            <w:pPr>
              <w:rPr>
                <w:rFonts w:cstheme="minorHAnsi"/>
                <w:b/>
                <w:bCs/>
                <w:color w:val="000000"/>
                <w:sz w:val="20"/>
                <w:szCs w:val="20"/>
              </w:rPr>
            </w:pPr>
          </w:p>
        </w:tc>
        <w:tc>
          <w:tcPr>
            <w:tcW w:w="6676" w:type="dxa"/>
            <w:gridSpan w:val="9"/>
            <w:shd w:val="clear" w:color="auto" w:fill="auto"/>
            <w:noWrap/>
          </w:tcPr>
          <w:p w14:paraId="64C3BA7F" w14:textId="77777777" w:rsidR="00AF0ADF" w:rsidRPr="00D960DD" w:rsidRDefault="00AF0ADF" w:rsidP="00AF0ADF">
            <w:pPr>
              <w:jc w:val="center"/>
              <w:rPr>
                <w:rFonts w:cstheme="minorHAnsi"/>
                <w:b/>
                <w:bCs/>
                <w:color w:val="000000"/>
                <w:sz w:val="20"/>
                <w:szCs w:val="20"/>
              </w:rPr>
            </w:pPr>
            <w:r w:rsidRPr="00D960DD">
              <w:rPr>
                <w:rFonts w:cstheme="minorHAnsi"/>
                <w:b/>
                <w:bCs/>
                <w:sz w:val="20"/>
                <w:szCs w:val="20"/>
              </w:rPr>
              <w:t>In per cent (%)</w:t>
            </w:r>
          </w:p>
        </w:tc>
      </w:tr>
      <w:tr w:rsidR="00AF0ADF" w:rsidRPr="00D960DD" w14:paraId="7301A83A" w14:textId="77777777" w:rsidTr="00B94D3E">
        <w:trPr>
          <w:trHeight w:val="209"/>
        </w:trPr>
        <w:tc>
          <w:tcPr>
            <w:tcW w:w="9736" w:type="dxa"/>
            <w:gridSpan w:val="10"/>
            <w:shd w:val="clear" w:color="auto" w:fill="auto"/>
            <w:noWrap/>
            <w:hideMark/>
          </w:tcPr>
          <w:p w14:paraId="1A817211" w14:textId="77777777" w:rsidR="00AF0ADF" w:rsidRPr="00D960DD" w:rsidRDefault="00AF0ADF" w:rsidP="00AF0ADF">
            <w:pPr>
              <w:rPr>
                <w:rFonts w:cstheme="minorHAnsi"/>
                <w:sz w:val="20"/>
                <w:szCs w:val="20"/>
              </w:rPr>
            </w:pPr>
            <w:r w:rsidRPr="00D960DD">
              <w:rPr>
                <w:rFonts w:cstheme="minorHAnsi"/>
                <w:b/>
                <w:bCs/>
                <w:color w:val="000000"/>
                <w:sz w:val="20"/>
                <w:szCs w:val="20"/>
              </w:rPr>
              <w:t>Australia</w:t>
            </w:r>
          </w:p>
        </w:tc>
      </w:tr>
      <w:tr w:rsidR="00AF0ADF" w:rsidRPr="00D960DD" w14:paraId="633D50EF" w14:textId="77777777" w:rsidTr="00B94D3E">
        <w:trPr>
          <w:trHeight w:val="209"/>
        </w:trPr>
        <w:tc>
          <w:tcPr>
            <w:tcW w:w="3060" w:type="dxa"/>
            <w:shd w:val="clear" w:color="auto" w:fill="auto"/>
            <w:noWrap/>
            <w:hideMark/>
          </w:tcPr>
          <w:p w14:paraId="219F9FCD"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Total</w:t>
            </w:r>
          </w:p>
        </w:tc>
        <w:tc>
          <w:tcPr>
            <w:tcW w:w="741" w:type="dxa"/>
            <w:shd w:val="clear" w:color="auto" w:fill="auto"/>
            <w:noWrap/>
            <w:hideMark/>
          </w:tcPr>
          <w:p w14:paraId="03C2302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27.4</w:t>
            </w:r>
          </w:p>
        </w:tc>
        <w:tc>
          <w:tcPr>
            <w:tcW w:w="742" w:type="dxa"/>
            <w:shd w:val="clear" w:color="auto" w:fill="auto"/>
            <w:noWrap/>
            <w:hideMark/>
          </w:tcPr>
          <w:p w14:paraId="4BBDEFE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27.1</w:t>
            </w:r>
          </w:p>
        </w:tc>
        <w:tc>
          <w:tcPr>
            <w:tcW w:w="742" w:type="dxa"/>
            <w:shd w:val="clear" w:color="auto" w:fill="auto"/>
            <w:noWrap/>
            <w:hideMark/>
          </w:tcPr>
          <w:p w14:paraId="50A86EE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27.5</w:t>
            </w:r>
          </w:p>
        </w:tc>
        <w:tc>
          <w:tcPr>
            <w:tcW w:w="742" w:type="dxa"/>
            <w:shd w:val="clear" w:color="auto" w:fill="auto"/>
            <w:noWrap/>
            <w:hideMark/>
          </w:tcPr>
          <w:p w14:paraId="68B4019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27.9</w:t>
            </w:r>
          </w:p>
        </w:tc>
        <w:tc>
          <w:tcPr>
            <w:tcW w:w="741" w:type="dxa"/>
            <w:shd w:val="clear" w:color="auto" w:fill="auto"/>
            <w:noWrap/>
            <w:hideMark/>
          </w:tcPr>
          <w:p w14:paraId="5CADDDF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27.9</w:t>
            </w:r>
          </w:p>
        </w:tc>
        <w:tc>
          <w:tcPr>
            <w:tcW w:w="742" w:type="dxa"/>
            <w:shd w:val="clear" w:color="auto" w:fill="auto"/>
            <w:noWrap/>
            <w:hideMark/>
          </w:tcPr>
          <w:p w14:paraId="152A0E7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28.5</w:t>
            </w:r>
          </w:p>
        </w:tc>
        <w:tc>
          <w:tcPr>
            <w:tcW w:w="742" w:type="dxa"/>
            <w:shd w:val="clear" w:color="auto" w:fill="auto"/>
            <w:noWrap/>
            <w:hideMark/>
          </w:tcPr>
          <w:p w14:paraId="097A107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29.3</w:t>
            </w:r>
          </w:p>
        </w:tc>
        <w:tc>
          <w:tcPr>
            <w:tcW w:w="742" w:type="dxa"/>
            <w:shd w:val="clear" w:color="auto" w:fill="auto"/>
            <w:noWrap/>
            <w:hideMark/>
          </w:tcPr>
          <w:p w14:paraId="2AD5D31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30.1</w:t>
            </w:r>
          </w:p>
        </w:tc>
        <w:tc>
          <w:tcPr>
            <w:tcW w:w="742" w:type="dxa"/>
            <w:shd w:val="clear" w:color="auto" w:fill="auto"/>
            <w:noWrap/>
            <w:hideMark/>
          </w:tcPr>
          <w:p w14:paraId="6810B00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30.7</w:t>
            </w:r>
          </w:p>
        </w:tc>
      </w:tr>
      <w:tr w:rsidR="00AF0ADF" w:rsidRPr="00D960DD" w14:paraId="15E78A8D" w14:textId="77777777" w:rsidTr="00B94D3E">
        <w:trPr>
          <w:trHeight w:val="209"/>
        </w:trPr>
        <w:tc>
          <w:tcPr>
            <w:tcW w:w="9736" w:type="dxa"/>
            <w:gridSpan w:val="10"/>
            <w:shd w:val="clear" w:color="auto" w:fill="auto"/>
            <w:noWrap/>
            <w:hideMark/>
          </w:tcPr>
          <w:p w14:paraId="4256C59A" w14:textId="22A7A601" w:rsidR="00AF0ADF" w:rsidRPr="00D960DD" w:rsidRDefault="00AF0ADF" w:rsidP="00AF0ADF">
            <w:pPr>
              <w:rPr>
                <w:rFonts w:cstheme="minorHAnsi"/>
                <w:sz w:val="20"/>
                <w:szCs w:val="20"/>
              </w:rPr>
            </w:pPr>
            <w:r w:rsidRPr="00D960DD">
              <w:rPr>
                <w:rFonts w:cstheme="minorHAnsi"/>
                <w:b/>
                <w:bCs/>
                <w:color w:val="000000"/>
                <w:sz w:val="20"/>
                <w:szCs w:val="20"/>
              </w:rPr>
              <w:t>Mother</w:t>
            </w:r>
            <w:r w:rsidR="006621B8">
              <w:rPr>
                <w:rFonts w:cstheme="minorHAnsi"/>
                <w:b/>
                <w:bCs/>
                <w:color w:val="000000"/>
                <w:sz w:val="20"/>
                <w:szCs w:val="20"/>
              </w:rPr>
              <w:t>’</w:t>
            </w:r>
            <w:r w:rsidRPr="00D960DD">
              <w:rPr>
                <w:rFonts w:cstheme="minorHAnsi"/>
                <w:b/>
                <w:bCs/>
                <w:color w:val="000000"/>
                <w:sz w:val="20"/>
                <w:szCs w:val="20"/>
              </w:rPr>
              <w:t xml:space="preserve">s </w:t>
            </w:r>
            <w:r w:rsidR="00FB0C38">
              <w:rPr>
                <w:rFonts w:cstheme="minorHAnsi"/>
                <w:b/>
                <w:bCs/>
                <w:color w:val="000000"/>
                <w:sz w:val="20"/>
                <w:szCs w:val="20"/>
              </w:rPr>
              <w:t>Indig</w:t>
            </w:r>
            <w:r w:rsidRPr="00D960DD">
              <w:rPr>
                <w:rFonts w:cstheme="minorHAnsi"/>
                <w:b/>
                <w:bCs/>
                <w:color w:val="000000"/>
                <w:sz w:val="20"/>
                <w:szCs w:val="20"/>
              </w:rPr>
              <w:t>enous status</w:t>
            </w:r>
          </w:p>
        </w:tc>
      </w:tr>
      <w:tr w:rsidR="00AF0ADF" w:rsidRPr="00D960DD" w14:paraId="461C7BC1" w14:textId="77777777" w:rsidTr="00B94D3E">
        <w:trPr>
          <w:trHeight w:val="209"/>
        </w:trPr>
        <w:tc>
          <w:tcPr>
            <w:tcW w:w="3060" w:type="dxa"/>
            <w:shd w:val="clear" w:color="auto" w:fill="auto"/>
            <w:noWrap/>
            <w:hideMark/>
          </w:tcPr>
          <w:p w14:paraId="6EBB0262"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Indigenous</w:t>
            </w:r>
          </w:p>
        </w:tc>
        <w:tc>
          <w:tcPr>
            <w:tcW w:w="741" w:type="dxa"/>
            <w:shd w:val="clear" w:color="auto" w:fill="auto"/>
            <w:noWrap/>
            <w:hideMark/>
          </w:tcPr>
          <w:p w14:paraId="17576E8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33.4</w:t>
            </w:r>
          </w:p>
        </w:tc>
        <w:tc>
          <w:tcPr>
            <w:tcW w:w="742" w:type="dxa"/>
            <w:shd w:val="clear" w:color="auto" w:fill="auto"/>
            <w:noWrap/>
            <w:hideMark/>
          </w:tcPr>
          <w:p w14:paraId="1037ED8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32.4</w:t>
            </w:r>
          </w:p>
        </w:tc>
        <w:tc>
          <w:tcPr>
            <w:tcW w:w="742" w:type="dxa"/>
            <w:shd w:val="clear" w:color="auto" w:fill="auto"/>
            <w:noWrap/>
            <w:hideMark/>
          </w:tcPr>
          <w:p w14:paraId="4C9F847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32.9</w:t>
            </w:r>
          </w:p>
        </w:tc>
        <w:tc>
          <w:tcPr>
            <w:tcW w:w="742" w:type="dxa"/>
            <w:shd w:val="clear" w:color="auto" w:fill="auto"/>
            <w:noWrap/>
            <w:hideMark/>
          </w:tcPr>
          <w:p w14:paraId="1EA9CD2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31.6</w:t>
            </w:r>
          </w:p>
        </w:tc>
        <w:tc>
          <w:tcPr>
            <w:tcW w:w="741" w:type="dxa"/>
            <w:shd w:val="clear" w:color="auto" w:fill="auto"/>
            <w:noWrap/>
            <w:hideMark/>
          </w:tcPr>
          <w:p w14:paraId="7331328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31.4</w:t>
            </w:r>
          </w:p>
        </w:tc>
        <w:tc>
          <w:tcPr>
            <w:tcW w:w="742" w:type="dxa"/>
            <w:shd w:val="clear" w:color="auto" w:fill="auto"/>
            <w:noWrap/>
            <w:hideMark/>
          </w:tcPr>
          <w:p w14:paraId="416C568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29.9</w:t>
            </w:r>
          </w:p>
        </w:tc>
        <w:tc>
          <w:tcPr>
            <w:tcW w:w="742" w:type="dxa"/>
            <w:shd w:val="clear" w:color="auto" w:fill="auto"/>
            <w:noWrap/>
            <w:hideMark/>
          </w:tcPr>
          <w:p w14:paraId="74418CF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30.6</w:t>
            </w:r>
          </w:p>
        </w:tc>
        <w:tc>
          <w:tcPr>
            <w:tcW w:w="742" w:type="dxa"/>
            <w:shd w:val="clear" w:color="auto" w:fill="auto"/>
            <w:noWrap/>
            <w:hideMark/>
          </w:tcPr>
          <w:p w14:paraId="11CA5BA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33.3</w:t>
            </w:r>
          </w:p>
        </w:tc>
        <w:tc>
          <w:tcPr>
            <w:tcW w:w="742" w:type="dxa"/>
            <w:shd w:val="clear" w:color="auto" w:fill="auto"/>
            <w:noWrap/>
            <w:hideMark/>
          </w:tcPr>
          <w:p w14:paraId="1B2A702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32.3</w:t>
            </w:r>
          </w:p>
        </w:tc>
      </w:tr>
      <w:tr w:rsidR="00AF0ADF" w:rsidRPr="00D960DD" w14:paraId="43DA2373" w14:textId="77777777" w:rsidTr="00B94D3E">
        <w:trPr>
          <w:trHeight w:val="209"/>
        </w:trPr>
        <w:tc>
          <w:tcPr>
            <w:tcW w:w="3060" w:type="dxa"/>
            <w:shd w:val="clear" w:color="auto" w:fill="auto"/>
            <w:noWrap/>
            <w:hideMark/>
          </w:tcPr>
          <w:p w14:paraId="4DC465D1"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Non-Indigenous</w:t>
            </w:r>
          </w:p>
        </w:tc>
        <w:tc>
          <w:tcPr>
            <w:tcW w:w="741" w:type="dxa"/>
            <w:shd w:val="clear" w:color="auto" w:fill="auto"/>
            <w:noWrap/>
            <w:hideMark/>
          </w:tcPr>
          <w:p w14:paraId="0282E07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26.8</w:t>
            </w:r>
          </w:p>
        </w:tc>
        <w:tc>
          <w:tcPr>
            <w:tcW w:w="742" w:type="dxa"/>
            <w:shd w:val="clear" w:color="auto" w:fill="auto"/>
            <w:noWrap/>
            <w:hideMark/>
          </w:tcPr>
          <w:p w14:paraId="71E8F68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26.5</w:t>
            </w:r>
          </w:p>
        </w:tc>
        <w:tc>
          <w:tcPr>
            <w:tcW w:w="742" w:type="dxa"/>
            <w:shd w:val="clear" w:color="auto" w:fill="auto"/>
            <w:noWrap/>
            <w:hideMark/>
          </w:tcPr>
          <w:p w14:paraId="1146DB6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26.7</w:t>
            </w:r>
          </w:p>
        </w:tc>
        <w:tc>
          <w:tcPr>
            <w:tcW w:w="742" w:type="dxa"/>
            <w:shd w:val="clear" w:color="auto" w:fill="auto"/>
            <w:noWrap/>
            <w:hideMark/>
          </w:tcPr>
          <w:p w14:paraId="665C1C7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27.1</w:t>
            </w:r>
          </w:p>
        </w:tc>
        <w:tc>
          <w:tcPr>
            <w:tcW w:w="741" w:type="dxa"/>
            <w:shd w:val="clear" w:color="auto" w:fill="auto"/>
            <w:noWrap/>
            <w:hideMark/>
          </w:tcPr>
          <w:p w14:paraId="76BBF7F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27.0</w:t>
            </w:r>
          </w:p>
        </w:tc>
        <w:tc>
          <w:tcPr>
            <w:tcW w:w="742" w:type="dxa"/>
            <w:shd w:val="clear" w:color="auto" w:fill="auto"/>
            <w:noWrap/>
            <w:hideMark/>
          </w:tcPr>
          <w:p w14:paraId="24247B3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27.4</w:t>
            </w:r>
          </w:p>
        </w:tc>
        <w:tc>
          <w:tcPr>
            <w:tcW w:w="742" w:type="dxa"/>
            <w:shd w:val="clear" w:color="auto" w:fill="auto"/>
            <w:noWrap/>
            <w:hideMark/>
          </w:tcPr>
          <w:p w14:paraId="26971D7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28.1</w:t>
            </w:r>
          </w:p>
        </w:tc>
        <w:tc>
          <w:tcPr>
            <w:tcW w:w="742" w:type="dxa"/>
            <w:shd w:val="clear" w:color="auto" w:fill="auto"/>
            <w:noWrap/>
            <w:hideMark/>
          </w:tcPr>
          <w:p w14:paraId="0E52DC3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28.9</w:t>
            </w:r>
          </w:p>
        </w:tc>
        <w:tc>
          <w:tcPr>
            <w:tcW w:w="742" w:type="dxa"/>
            <w:shd w:val="clear" w:color="auto" w:fill="auto"/>
            <w:noWrap/>
            <w:hideMark/>
          </w:tcPr>
          <w:p w14:paraId="1BD7E0D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29.4</w:t>
            </w:r>
          </w:p>
        </w:tc>
      </w:tr>
      <w:tr w:rsidR="00AF0ADF" w:rsidRPr="00D960DD" w14:paraId="5BD694DC" w14:textId="77777777" w:rsidTr="00B94D3E">
        <w:trPr>
          <w:trHeight w:val="209"/>
        </w:trPr>
        <w:tc>
          <w:tcPr>
            <w:tcW w:w="9736" w:type="dxa"/>
            <w:gridSpan w:val="10"/>
            <w:shd w:val="clear" w:color="auto" w:fill="auto"/>
            <w:noWrap/>
            <w:hideMark/>
          </w:tcPr>
          <w:p w14:paraId="228ED037" w14:textId="149830FC" w:rsidR="00AF0ADF" w:rsidRPr="00D960DD" w:rsidRDefault="00AF0ADF" w:rsidP="00AF0ADF">
            <w:pPr>
              <w:rPr>
                <w:rFonts w:cstheme="minorHAnsi"/>
                <w:sz w:val="20"/>
                <w:szCs w:val="20"/>
              </w:rPr>
            </w:pPr>
            <w:r w:rsidRPr="00D960DD">
              <w:rPr>
                <w:rFonts w:cstheme="minorHAnsi"/>
                <w:b/>
                <w:bCs/>
                <w:color w:val="000000"/>
                <w:sz w:val="20"/>
                <w:szCs w:val="20"/>
              </w:rPr>
              <w:t>Remoteness of mother</w:t>
            </w:r>
            <w:r w:rsidR="006621B8">
              <w:rPr>
                <w:rFonts w:cstheme="minorHAnsi"/>
                <w:b/>
                <w:bCs/>
                <w:color w:val="000000"/>
                <w:sz w:val="20"/>
                <w:szCs w:val="20"/>
              </w:rPr>
              <w:t>’</w:t>
            </w:r>
            <w:r w:rsidRPr="00D960DD">
              <w:rPr>
                <w:rFonts w:cstheme="minorHAnsi"/>
                <w:b/>
                <w:bCs/>
                <w:color w:val="000000"/>
                <w:sz w:val="20"/>
                <w:szCs w:val="20"/>
              </w:rPr>
              <w:t>s usual residence</w:t>
            </w:r>
          </w:p>
        </w:tc>
      </w:tr>
      <w:tr w:rsidR="00D53E76" w:rsidRPr="00D960DD" w14:paraId="15337A1B" w14:textId="77777777" w:rsidTr="00B94D3E">
        <w:trPr>
          <w:trHeight w:val="209"/>
        </w:trPr>
        <w:tc>
          <w:tcPr>
            <w:tcW w:w="3060" w:type="dxa"/>
            <w:shd w:val="clear" w:color="auto" w:fill="auto"/>
            <w:noWrap/>
            <w:hideMark/>
          </w:tcPr>
          <w:p w14:paraId="5219B5AE" w14:textId="77777777"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Major cities</w:t>
            </w:r>
          </w:p>
        </w:tc>
        <w:tc>
          <w:tcPr>
            <w:tcW w:w="741" w:type="dxa"/>
            <w:shd w:val="clear" w:color="auto" w:fill="auto"/>
            <w:noWrap/>
            <w:hideMark/>
          </w:tcPr>
          <w:p w14:paraId="3F5BB46B" w14:textId="023B0BBA" w:rsidR="00D53E76" w:rsidRPr="00D960DD" w:rsidRDefault="00D53E76" w:rsidP="00B94D3E">
            <w:pPr>
              <w:ind w:firstLineChars="100" w:firstLine="200"/>
              <w:jc w:val="right"/>
              <w:rPr>
                <w:rFonts w:cstheme="minorHAnsi"/>
                <w:color w:val="000000"/>
                <w:sz w:val="20"/>
                <w:szCs w:val="20"/>
              </w:rPr>
            </w:pPr>
            <w:r w:rsidRPr="007B7F0F">
              <w:rPr>
                <w:rFonts w:cstheme="minorHAnsi"/>
                <w:color w:val="000000"/>
                <w:sz w:val="20"/>
                <w:szCs w:val="20"/>
              </w:rPr>
              <w:t>n.a.</w:t>
            </w:r>
          </w:p>
        </w:tc>
        <w:tc>
          <w:tcPr>
            <w:tcW w:w="742" w:type="dxa"/>
            <w:shd w:val="clear" w:color="auto" w:fill="auto"/>
            <w:noWrap/>
            <w:hideMark/>
          </w:tcPr>
          <w:p w14:paraId="3C254F67"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27.3</w:t>
            </w:r>
          </w:p>
        </w:tc>
        <w:tc>
          <w:tcPr>
            <w:tcW w:w="742" w:type="dxa"/>
            <w:shd w:val="clear" w:color="auto" w:fill="auto"/>
            <w:noWrap/>
            <w:hideMark/>
          </w:tcPr>
          <w:p w14:paraId="7E63F6C9"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28.0</w:t>
            </w:r>
          </w:p>
        </w:tc>
        <w:tc>
          <w:tcPr>
            <w:tcW w:w="742" w:type="dxa"/>
            <w:shd w:val="clear" w:color="auto" w:fill="auto"/>
            <w:noWrap/>
            <w:hideMark/>
          </w:tcPr>
          <w:p w14:paraId="5BFF6B16"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28.1</w:t>
            </w:r>
          </w:p>
        </w:tc>
        <w:tc>
          <w:tcPr>
            <w:tcW w:w="741" w:type="dxa"/>
            <w:shd w:val="clear" w:color="auto" w:fill="auto"/>
            <w:noWrap/>
            <w:hideMark/>
          </w:tcPr>
          <w:p w14:paraId="70BC24BF"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28.2</w:t>
            </w:r>
          </w:p>
        </w:tc>
        <w:tc>
          <w:tcPr>
            <w:tcW w:w="742" w:type="dxa"/>
            <w:shd w:val="clear" w:color="auto" w:fill="auto"/>
            <w:noWrap/>
            <w:hideMark/>
          </w:tcPr>
          <w:p w14:paraId="7CDAB9F4"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28.8</w:t>
            </w:r>
          </w:p>
        </w:tc>
        <w:tc>
          <w:tcPr>
            <w:tcW w:w="742" w:type="dxa"/>
            <w:shd w:val="clear" w:color="auto" w:fill="auto"/>
            <w:noWrap/>
            <w:hideMark/>
          </w:tcPr>
          <w:p w14:paraId="6E1CCE88"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29.6</w:t>
            </w:r>
          </w:p>
        </w:tc>
        <w:tc>
          <w:tcPr>
            <w:tcW w:w="742" w:type="dxa"/>
            <w:shd w:val="clear" w:color="auto" w:fill="auto"/>
            <w:noWrap/>
            <w:hideMark/>
          </w:tcPr>
          <w:p w14:paraId="622C3236"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30.3</w:t>
            </w:r>
          </w:p>
        </w:tc>
        <w:tc>
          <w:tcPr>
            <w:tcW w:w="742" w:type="dxa"/>
            <w:shd w:val="clear" w:color="auto" w:fill="auto"/>
            <w:noWrap/>
            <w:hideMark/>
          </w:tcPr>
          <w:p w14:paraId="548F36BB"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31.1</w:t>
            </w:r>
          </w:p>
        </w:tc>
      </w:tr>
      <w:tr w:rsidR="00D53E76" w:rsidRPr="00D960DD" w14:paraId="3BA8826C" w14:textId="77777777" w:rsidTr="00B94D3E">
        <w:trPr>
          <w:trHeight w:val="209"/>
        </w:trPr>
        <w:tc>
          <w:tcPr>
            <w:tcW w:w="3060" w:type="dxa"/>
            <w:shd w:val="clear" w:color="auto" w:fill="auto"/>
            <w:noWrap/>
            <w:hideMark/>
          </w:tcPr>
          <w:p w14:paraId="72E00CF0" w14:textId="77777777"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Inner regional</w:t>
            </w:r>
          </w:p>
        </w:tc>
        <w:tc>
          <w:tcPr>
            <w:tcW w:w="741" w:type="dxa"/>
            <w:shd w:val="clear" w:color="auto" w:fill="auto"/>
            <w:noWrap/>
            <w:hideMark/>
          </w:tcPr>
          <w:p w14:paraId="185D36B2" w14:textId="2E3D8875" w:rsidR="00D53E76" w:rsidRPr="00D960DD" w:rsidRDefault="00D53E76" w:rsidP="00B94D3E">
            <w:pPr>
              <w:ind w:firstLineChars="100" w:firstLine="200"/>
              <w:jc w:val="right"/>
              <w:rPr>
                <w:rFonts w:cstheme="minorHAnsi"/>
                <w:color w:val="000000"/>
                <w:sz w:val="20"/>
                <w:szCs w:val="20"/>
              </w:rPr>
            </w:pPr>
            <w:r w:rsidRPr="007B7F0F">
              <w:rPr>
                <w:rFonts w:cstheme="minorHAnsi"/>
                <w:color w:val="000000"/>
                <w:sz w:val="20"/>
                <w:szCs w:val="20"/>
              </w:rPr>
              <w:t>n.a.</w:t>
            </w:r>
          </w:p>
        </w:tc>
        <w:tc>
          <w:tcPr>
            <w:tcW w:w="742" w:type="dxa"/>
            <w:shd w:val="clear" w:color="auto" w:fill="auto"/>
            <w:noWrap/>
            <w:hideMark/>
          </w:tcPr>
          <w:p w14:paraId="4B080688"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24.9</w:t>
            </w:r>
          </w:p>
        </w:tc>
        <w:tc>
          <w:tcPr>
            <w:tcW w:w="742" w:type="dxa"/>
            <w:shd w:val="clear" w:color="auto" w:fill="auto"/>
            <w:noWrap/>
            <w:hideMark/>
          </w:tcPr>
          <w:p w14:paraId="0DEF6E45"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26.1</w:t>
            </w:r>
          </w:p>
        </w:tc>
        <w:tc>
          <w:tcPr>
            <w:tcW w:w="742" w:type="dxa"/>
            <w:shd w:val="clear" w:color="auto" w:fill="auto"/>
            <w:noWrap/>
            <w:hideMark/>
          </w:tcPr>
          <w:p w14:paraId="3565FEE5"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26.9</w:t>
            </w:r>
          </w:p>
        </w:tc>
        <w:tc>
          <w:tcPr>
            <w:tcW w:w="741" w:type="dxa"/>
            <w:shd w:val="clear" w:color="auto" w:fill="auto"/>
            <w:noWrap/>
            <w:hideMark/>
          </w:tcPr>
          <w:p w14:paraId="24F06904"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26.9</w:t>
            </w:r>
          </w:p>
        </w:tc>
        <w:tc>
          <w:tcPr>
            <w:tcW w:w="742" w:type="dxa"/>
            <w:shd w:val="clear" w:color="auto" w:fill="auto"/>
            <w:noWrap/>
            <w:hideMark/>
          </w:tcPr>
          <w:p w14:paraId="35F97F6B"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27.3</w:t>
            </w:r>
          </w:p>
        </w:tc>
        <w:tc>
          <w:tcPr>
            <w:tcW w:w="742" w:type="dxa"/>
            <w:shd w:val="clear" w:color="auto" w:fill="auto"/>
            <w:noWrap/>
            <w:hideMark/>
          </w:tcPr>
          <w:p w14:paraId="3F99F1DB"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28.2</w:t>
            </w:r>
          </w:p>
        </w:tc>
        <w:tc>
          <w:tcPr>
            <w:tcW w:w="742" w:type="dxa"/>
            <w:shd w:val="clear" w:color="auto" w:fill="auto"/>
            <w:noWrap/>
            <w:hideMark/>
          </w:tcPr>
          <w:p w14:paraId="0FE02B10"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29.2</w:t>
            </w:r>
          </w:p>
        </w:tc>
        <w:tc>
          <w:tcPr>
            <w:tcW w:w="742" w:type="dxa"/>
            <w:shd w:val="clear" w:color="auto" w:fill="auto"/>
            <w:noWrap/>
            <w:hideMark/>
          </w:tcPr>
          <w:p w14:paraId="25E0C9C0"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29.6</w:t>
            </w:r>
          </w:p>
        </w:tc>
      </w:tr>
      <w:tr w:rsidR="00D53E76" w:rsidRPr="00D960DD" w14:paraId="71D99FC1" w14:textId="77777777" w:rsidTr="00B94D3E">
        <w:trPr>
          <w:trHeight w:val="209"/>
        </w:trPr>
        <w:tc>
          <w:tcPr>
            <w:tcW w:w="3060" w:type="dxa"/>
            <w:shd w:val="clear" w:color="auto" w:fill="auto"/>
            <w:noWrap/>
            <w:hideMark/>
          </w:tcPr>
          <w:p w14:paraId="4AA04180" w14:textId="77777777"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Outer regional</w:t>
            </w:r>
          </w:p>
        </w:tc>
        <w:tc>
          <w:tcPr>
            <w:tcW w:w="741" w:type="dxa"/>
            <w:shd w:val="clear" w:color="auto" w:fill="auto"/>
            <w:noWrap/>
            <w:hideMark/>
          </w:tcPr>
          <w:p w14:paraId="00FDA44B" w14:textId="09A8B897" w:rsidR="00D53E76" w:rsidRPr="00D960DD" w:rsidRDefault="00D53E76" w:rsidP="00B94D3E">
            <w:pPr>
              <w:ind w:firstLineChars="100" w:firstLine="200"/>
              <w:jc w:val="right"/>
              <w:rPr>
                <w:rFonts w:cstheme="minorHAnsi"/>
                <w:color w:val="000000"/>
                <w:sz w:val="20"/>
                <w:szCs w:val="20"/>
              </w:rPr>
            </w:pPr>
            <w:r w:rsidRPr="007B7F0F">
              <w:rPr>
                <w:rFonts w:cstheme="minorHAnsi"/>
                <w:color w:val="000000"/>
                <w:sz w:val="20"/>
                <w:szCs w:val="20"/>
              </w:rPr>
              <w:t>n.a.</w:t>
            </w:r>
          </w:p>
        </w:tc>
        <w:tc>
          <w:tcPr>
            <w:tcW w:w="742" w:type="dxa"/>
            <w:shd w:val="clear" w:color="auto" w:fill="auto"/>
            <w:noWrap/>
            <w:hideMark/>
          </w:tcPr>
          <w:p w14:paraId="1D948E17"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26.6</w:t>
            </w:r>
          </w:p>
        </w:tc>
        <w:tc>
          <w:tcPr>
            <w:tcW w:w="742" w:type="dxa"/>
            <w:shd w:val="clear" w:color="auto" w:fill="auto"/>
            <w:noWrap/>
            <w:hideMark/>
          </w:tcPr>
          <w:p w14:paraId="671BCEB6"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26.3</w:t>
            </w:r>
          </w:p>
        </w:tc>
        <w:tc>
          <w:tcPr>
            <w:tcW w:w="742" w:type="dxa"/>
            <w:shd w:val="clear" w:color="auto" w:fill="auto"/>
            <w:noWrap/>
            <w:hideMark/>
          </w:tcPr>
          <w:p w14:paraId="30D616F7"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27.9</w:t>
            </w:r>
          </w:p>
        </w:tc>
        <w:tc>
          <w:tcPr>
            <w:tcW w:w="741" w:type="dxa"/>
            <w:shd w:val="clear" w:color="auto" w:fill="auto"/>
            <w:noWrap/>
            <w:hideMark/>
          </w:tcPr>
          <w:p w14:paraId="203BC0AC"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28.0</w:t>
            </w:r>
          </w:p>
        </w:tc>
        <w:tc>
          <w:tcPr>
            <w:tcW w:w="742" w:type="dxa"/>
            <w:shd w:val="clear" w:color="auto" w:fill="auto"/>
            <w:noWrap/>
            <w:hideMark/>
          </w:tcPr>
          <w:p w14:paraId="2F5B5024"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28.8</w:t>
            </w:r>
          </w:p>
        </w:tc>
        <w:tc>
          <w:tcPr>
            <w:tcW w:w="742" w:type="dxa"/>
            <w:shd w:val="clear" w:color="auto" w:fill="auto"/>
            <w:noWrap/>
            <w:hideMark/>
          </w:tcPr>
          <w:p w14:paraId="5D1E3DC2"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28.7</w:t>
            </w:r>
          </w:p>
        </w:tc>
        <w:tc>
          <w:tcPr>
            <w:tcW w:w="742" w:type="dxa"/>
            <w:shd w:val="clear" w:color="auto" w:fill="auto"/>
            <w:noWrap/>
            <w:hideMark/>
          </w:tcPr>
          <w:p w14:paraId="6C341CA8"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29.9</w:t>
            </w:r>
          </w:p>
        </w:tc>
        <w:tc>
          <w:tcPr>
            <w:tcW w:w="742" w:type="dxa"/>
            <w:shd w:val="clear" w:color="auto" w:fill="auto"/>
            <w:noWrap/>
            <w:hideMark/>
          </w:tcPr>
          <w:p w14:paraId="263C496D"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29.0</w:t>
            </w:r>
          </w:p>
        </w:tc>
      </w:tr>
      <w:tr w:rsidR="00D53E76" w:rsidRPr="00D960DD" w14:paraId="3FC62500" w14:textId="77777777" w:rsidTr="00B94D3E">
        <w:trPr>
          <w:trHeight w:val="209"/>
        </w:trPr>
        <w:tc>
          <w:tcPr>
            <w:tcW w:w="3060" w:type="dxa"/>
            <w:shd w:val="clear" w:color="auto" w:fill="auto"/>
            <w:noWrap/>
            <w:hideMark/>
          </w:tcPr>
          <w:p w14:paraId="44D2A20E" w14:textId="77777777"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Remote</w:t>
            </w:r>
          </w:p>
        </w:tc>
        <w:tc>
          <w:tcPr>
            <w:tcW w:w="741" w:type="dxa"/>
            <w:shd w:val="clear" w:color="auto" w:fill="auto"/>
            <w:noWrap/>
            <w:hideMark/>
          </w:tcPr>
          <w:p w14:paraId="5F9FBF23" w14:textId="28BE394C" w:rsidR="00D53E76" w:rsidRPr="00D960DD" w:rsidRDefault="00D53E76" w:rsidP="00B94D3E">
            <w:pPr>
              <w:ind w:firstLineChars="100" w:firstLine="200"/>
              <w:jc w:val="right"/>
              <w:rPr>
                <w:rFonts w:cstheme="minorHAnsi"/>
                <w:color w:val="000000"/>
                <w:sz w:val="20"/>
                <w:szCs w:val="20"/>
              </w:rPr>
            </w:pPr>
            <w:r w:rsidRPr="007B7F0F">
              <w:rPr>
                <w:rFonts w:cstheme="minorHAnsi"/>
                <w:color w:val="000000"/>
                <w:sz w:val="20"/>
                <w:szCs w:val="20"/>
              </w:rPr>
              <w:t>n.a.</w:t>
            </w:r>
          </w:p>
        </w:tc>
        <w:tc>
          <w:tcPr>
            <w:tcW w:w="742" w:type="dxa"/>
            <w:shd w:val="clear" w:color="auto" w:fill="auto"/>
            <w:noWrap/>
            <w:hideMark/>
          </w:tcPr>
          <w:p w14:paraId="0E748992"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27.8</w:t>
            </w:r>
          </w:p>
        </w:tc>
        <w:tc>
          <w:tcPr>
            <w:tcW w:w="742" w:type="dxa"/>
            <w:shd w:val="clear" w:color="auto" w:fill="auto"/>
            <w:noWrap/>
            <w:hideMark/>
          </w:tcPr>
          <w:p w14:paraId="27CE5013"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27.0</w:t>
            </w:r>
          </w:p>
        </w:tc>
        <w:tc>
          <w:tcPr>
            <w:tcW w:w="742" w:type="dxa"/>
            <w:shd w:val="clear" w:color="auto" w:fill="auto"/>
            <w:noWrap/>
            <w:hideMark/>
          </w:tcPr>
          <w:p w14:paraId="30E2BEEC"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28.7</w:t>
            </w:r>
          </w:p>
        </w:tc>
        <w:tc>
          <w:tcPr>
            <w:tcW w:w="741" w:type="dxa"/>
            <w:shd w:val="clear" w:color="auto" w:fill="auto"/>
            <w:noWrap/>
            <w:hideMark/>
          </w:tcPr>
          <w:p w14:paraId="05C32B4B"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24.9</w:t>
            </w:r>
          </w:p>
        </w:tc>
        <w:tc>
          <w:tcPr>
            <w:tcW w:w="742" w:type="dxa"/>
            <w:shd w:val="clear" w:color="auto" w:fill="auto"/>
            <w:noWrap/>
            <w:hideMark/>
          </w:tcPr>
          <w:p w14:paraId="2B60A1A2"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26.3</w:t>
            </w:r>
          </w:p>
        </w:tc>
        <w:tc>
          <w:tcPr>
            <w:tcW w:w="742" w:type="dxa"/>
            <w:shd w:val="clear" w:color="auto" w:fill="auto"/>
            <w:noWrap/>
            <w:hideMark/>
          </w:tcPr>
          <w:p w14:paraId="35257EF9"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27.6</w:t>
            </w:r>
          </w:p>
        </w:tc>
        <w:tc>
          <w:tcPr>
            <w:tcW w:w="742" w:type="dxa"/>
            <w:shd w:val="clear" w:color="auto" w:fill="auto"/>
            <w:noWrap/>
            <w:hideMark/>
          </w:tcPr>
          <w:p w14:paraId="7A84D5FE"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28.7</w:t>
            </w:r>
          </w:p>
        </w:tc>
        <w:tc>
          <w:tcPr>
            <w:tcW w:w="742" w:type="dxa"/>
            <w:shd w:val="clear" w:color="auto" w:fill="auto"/>
            <w:noWrap/>
            <w:hideMark/>
          </w:tcPr>
          <w:p w14:paraId="551272AC"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28.6</w:t>
            </w:r>
          </w:p>
        </w:tc>
      </w:tr>
      <w:tr w:rsidR="00D53E76" w:rsidRPr="00D960DD" w14:paraId="6D0D5F5E" w14:textId="77777777" w:rsidTr="00B94D3E">
        <w:trPr>
          <w:trHeight w:val="209"/>
        </w:trPr>
        <w:tc>
          <w:tcPr>
            <w:tcW w:w="3060" w:type="dxa"/>
            <w:shd w:val="clear" w:color="auto" w:fill="auto"/>
            <w:noWrap/>
            <w:hideMark/>
          </w:tcPr>
          <w:p w14:paraId="2F8635C9" w14:textId="77777777"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Very remote</w:t>
            </w:r>
          </w:p>
        </w:tc>
        <w:tc>
          <w:tcPr>
            <w:tcW w:w="741" w:type="dxa"/>
            <w:shd w:val="clear" w:color="auto" w:fill="auto"/>
            <w:noWrap/>
            <w:hideMark/>
          </w:tcPr>
          <w:p w14:paraId="4ACA301E" w14:textId="24A8D42E" w:rsidR="00D53E76" w:rsidRPr="00D960DD" w:rsidRDefault="00D53E76" w:rsidP="00B94D3E">
            <w:pPr>
              <w:ind w:firstLineChars="100" w:firstLine="200"/>
              <w:jc w:val="right"/>
              <w:rPr>
                <w:rFonts w:cstheme="minorHAnsi"/>
                <w:color w:val="000000"/>
                <w:sz w:val="20"/>
                <w:szCs w:val="20"/>
              </w:rPr>
            </w:pPr>
            <w:r w:rsidRPr="007B7F0F">
              <w:rPr>
                <w:rFonts w:cstheme="minorHAnsi"/>
                <w:color w:val="000000"/>
                <w:sz w:val="20"/>
                <w:szCs w:val="20"/>
              </w:rPr>
              <w:t>n.a.</w:t>
            </w:r>
          </w:p>
        </w:tc>
        <w:tc>
          <w:tcPr>
            <w:tcW w:w="742" w:type="dxa"/>
            <w:shd w:val="clear" w:color="auto" w:fill="auto"/>
            <w:noWrap/>
            <w:hideMark/>
          </w:tcPr>
          <w:p w14:paraId="49A4CF68"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28.5</w:t>
            </w:r>
          </w:p>
        </w:tc>
        <w:tc>
          <w:tcPr>
            <w:tcW w:w="742" w:type="dxa"/>
            <w:shd w:val="clear" w:color="auto" w:fill="auto"/>
            <w:noWrap/>
            <w:hideMark/>
          </w:tcPr>
          <w:p w14:paraId="52B5A0D2"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28.6</w:t>
            </w:r>
          </w:p>
        </w:tc>
        <w:tc>
          <w:tcPr>
            <w:tcW w:w="742" w:type="dxa"/>
            <w:shd w:val="clear" w:color="auto" w:fill="auto"/>
            <w:noWrap/>
            <w:hideMark/>
          </w:tcPr>
          <w:p w14:paraId="1CE7828A"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28.6</w:t>
            </w:r>
          </w:p>
        </w:tc>
        <w:tc>
          <w:tcPr>
            <w:tcW w:w="741" w:type="dxa"/>
            <w:shd w:val="clear" w:color="auto" w:fill="auto"/>
            <w:noWrap/>
            <w:hideMark/>
          </w:tcPr>
          <w:p w14:paraId="7887B156"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29.2</w:t>
            </w:r>
          </w:p>
        </w:tc>
        <w:tc>
          <w:tcPr>
            <w:tcW w:w="742" w:type="dxa"/>
            <w:shd w:val="clear" w:color="auto" w:fill="auto"/>
            <w:noWrap/>
            <w:hideMark/>
          </w:tcPr>
          <w:p w14:paraId="08AB1BD8"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27.5</w:t>
            </w:r>
          </w:p>
        </w:tc>
        <w:tc>
          <w:tcPr>
            <w:tcW w:w="742" w:type="dxa"/>
            <w:shd w:val="clear" w:color="auto" w:fill="auto"/>
            <w:noWrap/>
            <w:hideMark/>
          </w:tcPr>
          <w:p w14:paraId="2757DAA7"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28.3</w:t>
            </w:r>
          </w:p>
        </w:tc>
        <w:tc>
          <w:tcPr>
            <w:tcW w:w="742" w:type="dxa"/>
            <w:shd w:val="clear" w:color="auto" w:fill="auto"/>
            <w:noWrap/>
            <w:hideMark/>
          </w:tcPr>
          <w:p w14:paraId="706C0072"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29.3</w:t>
            </w:r>
          </w:p>
        </w:tc>
        <w:tc>
          <w:tcPr>
            <w:tcW w:w="742" w:type="dxa"/>
            <w:shd w:val="clear" w:color="auto" w:fill="auto"/>
            <w:noWrap/>
            <w:hideMark/>
          </w:tcPr>
          <w:p w14:paraId="7A5A1610"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26.7</w:t>
            </w:r>
          </w:p>
        </w:tc>
      </w:tr>
      <w:tr w:rsidR="00AF0ADF" w:rsidRPr="00D960DD" w14:paraId="562042BD" w14:textId="77777777" w:rsidTr="00B94D3E">
        <w:trPr>
          <w:trHeight w:val="209"/>
        </w:trPr>
        <w:tc>
          <w:tcPr>
            <w:tcW w:w="9736" w:type="dxa"/>
            <w:gridSpan w:val="10"/>
            <w:shd w:val="clear" w:color="auto" w:fill="auto"/>
            <w:noWrap/>
            <w:hideMark/>
          </w:tcPr>
          <w:p w14:paraId="35108738" w14:textId="2D9BE500" w:rsidR="00AF0ADF" w:rsidRPr="00D960DD" w:rsidRDefault="00AF0ADF" w:rsidP="00AF0ADF">
            <w:pPr>
              <w:rPr>
                <w:rFonts w:cstheme="minorHAnsi"/>
                <w:sz w:val="20"/>
                <w:szCs w:val="20"/>
              </w:rPr>
            </w:pPr>
            <w:r w:rsidRPr="00D960DD">
              <w:rPr>
                <w:rFonts w:cstheme="minorHAnsi"/>
                <w:b/>
                <w:bCs/>
                <w:color w:val="000000"/>
                <w:sz w:val="20"/>
                <w:szCs w:val="20"/>
              </w:rPr>
              <w:t>Disadvantage quintile of mother</w:t>
            </w:r>
            <w:r w:rsidR="006621B8">
              <w:rPr>
                <w:rFonts w:cstheme="minorHAnsi"/>
                <w:b/>
                <w:bCs/>
                <w:color w:val="000000"/>
                <w:sz w:val="20"/>
                <w:szCs w:val="20"/>
              </w:rPr>
              <w:t>’</w:t>
            </w:r>
            <w:r w:rsidRPr="00D960DD">
              <w:rPr>
                <w:rFonts w:cstheme="minorHAnsi"/>
                <w:b/>
                <w:bCs/>
                <w:color w:val="000000"/>
                <w:sz w:val="20"/>
                <w:szCs w:val="20"/>
              </w:rPr>
              <w:t>s usual residence</w:t>
            </w:r>
          </w:p>
        </w:tc>
      </w:tr>
      <w:tr w:rsidR="00D53E76" w:rsidRPr="00D960DD" w14:paraId="43D8C344" w14:textId="77777777" w:rsidTr="00B94D3E">
        <w:trPr>
          <w:trHeight w:val="209"/>
        </w:trPr>
        <w:tc>
          <w:tcPr>
            <w:tcW w:w="3060" w:type="dxa"/>
            <w:shd w:val="clear" w:color="auto" w:fill="auto"/>
            <w:noWrap/>
            <w:hideMark/>
          </w:tcPr>
          <w:p w14:paraId="2EAD2CDF" w14:textId="50AD0658"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 xml:space="preserve">Q1 </w:t>
            </w:r>
            <w:r w:rsidR="006621B8">
              <w:rPr>
                <w:rFonts w:cstheme="minorHAnsi"/>
                <w:color w:val="000000"/>
                <w:sz w:val="20"/>
                <w:szCs w:val="20"/>
              </w:rPr>
              <w:t>–</w:t>
            </w:r>
            <w:r w:rsidRPr="00D960DD">
              <w:rPr>
                <w:rFonts w:cstheme="minorHAnsi"/>
                <w:color w:val="000000"/>
                <w:sz w:val="20"/>
                <w:szCs w:val="20"/>
              </w:rPr>
              <w:t xml:space="preserve"> most disadvantaged</w:t>
            </w:r>
          </w:p>
        </w:tc>
        <w:tc>
          <w:tcPr>
            <w:tcW w:w="741" w:type="dxa"/>
            <w:shd w:val="clear" w:color="auto" w:fill="auto"/>
            <w:noWrap/>
            <w:hideMark/>
          </w:tcPr>
          <w:p w14:paraId="449F232E" w14:textId="5E690E89" w:rsidR="00D53E76" w:rsidRPr="00D960DD" w:rsidRDefault="00D53E76" w:rsidP="00B94D3E">
            <w:pPr>
              <w:ind w:firstLineChars="100" w:firstLine="200"/>
              <w:jc w:val="right"/>
              <w:rPr>
                <w:rFonts w:cstheme="minorHAnsi"/>
                <w:color w:val="000000"/>
                <w:sz w:val="20"/>
                <w:szCs w:val="20"/>
              </w:rPr>
            </w:pPr>
            <w:r w:rsidRPr="00D47262">
              <w:rPr>
                <w:rFonts w:cstheme="minorHAnsi"/>
                <w:color w:val="000000"/>
                <w:sz w:val="20"/>
                <w:szCs w:val="20"/>
              </w:rPr>
              <w:t>n.a.</w:t>
            </w:r>
          </w:p>
        </w:tc>
        <w:tc>
          <w:tcPr>
            <w:tcW w:w="742" w:type="dxa"/>
            <w:shd w:val="clear" w:color="auto" w:fill="auto"/>
            <w:noWrap/>
            <w:hideMark/>
          </w:tcPr>
          <w:p w14:paraId="28157015"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25.1</w:t>
            </w:r>
          </w:p>
        </w:tc>
        <w:tc>
          <w:tcPr>
            <w:tcW w:w="742" w:type="dxa"/>
            <w:shd w:val="clear" w:color="auto" w:fill="auto"/>
            <w:noWrap/>
            <w:hideMark/>
          </w:tcPr>
          <w:p w14:paraId="59799D56"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26.4</w:t>
            </w:r>
          </w:p>
        </w:tc>
        <w:tc>
          <w:tcPr>
            <w:tcW w:w="742" w:type="dxa"/>
            <w:shd w:val="clear" w:color="auto" w:fill="auto"/>
            <w:noWrap/>
            <w:hideMark/>
          </w:tcPr>
          <w:p w14:paraId="2995BF90"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25.9</w:t>
            </w:r>
          </w:p>
        </w:tc>
        <w:tc>
          <w:tcPr>
            <w:tcW w:w="741" w:type="dxa"/>
            <w:shd w:val="clear" w:color="auto" w:fill="auto"/>
            <w:noWrap/>
            <w:hideMark/>
          </w:tcPr>
          <w:p w14:paraId="70E2D08D"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26.5</w:t>
            </w:r>
          </w:p>
        </w:tc>
        <w:tc>
          <w:tcPr>
            <w:tcW w:w="742" w:type="dxa"/>
            <w:shd w:val="clear" w:color="auto" w:fill="auto"/>
            <w:noWrap/>
            <w:hideMark/>
          </w:tcPr>
          <w:p w14:paraId="486797E0"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27.4</w:t>
            </w:r>
          </w:p>
        </w:tc>
        <w:tc>
          <w:tcPr>
            <w:tcW w:w="742" w:type="dxa"/>
            <w:shd w:val="clear" w:color="auto" w:fill="auto"/>
            <w:noWrap/>
            <w:hideMark/>
          </w:tcPr>
          <w:p w14:paraId="493A4085"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27.3</w:t>
            </w:r>
          </w:p>
        </w:tc>
        <w:tc>
          <w:tcPr>
            <w:tcW w:w="742" w:type="dxa"/>
            <w:shd w:val="clear" w:color="auto" w:fill="auto"/>
            <w:noWrap/>
            <w:hideMark/>
          </w:tcPr>
          <w:p w14:paraId="5ACA077B"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27.9</w:t>
            </w:r>
          </w:p>
        </w:tc>
        <w:tc>
          <w:tcPr>
            <w:tcW w:w="742" w:type="dxa"/>
            <w:shd w:val="clear" w:color="auto" w:fill="auto"/>
            <w:noWrap/>
            <w:hideMark/>
          </w:tcPr>
          <w:p w14:paraId="138DD95F"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28.6</w:t>
            </w:r>
          </w:p>
        </w:tc>
      </w:tr>
      <w:tr w:rsidR="00D53E76" w:rsidRPr="00D960DD" w14:paraId="23B30D32" w14:textId="77777777" w:rsidTr="00B94D3E">
        <w:trPr>
          <w:trHeight w:val="209"/>
        </w:trPr>
        <w:tc>
          <w:tcPr>
            <w:tcW w:w="3060" w:type="dxa"/>
            <w:shd w:val="clear" w:color="auto" w:fill="auto"/>
            <w:noWrap/>
            <w:hideMark/>
          </w:tcPr>
          <w:p w14:paraId="6DC7D28E" w14:textId="77777777"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Q2</w:t>
            </w:r>
          </w:p>
        </w:tc>
        <w:tc>
          <w:tcPr>
            <w:tcW w:w="741" w:type="dxa"/>
            <w:shd w:val="clear" w:color="auto" w:fill="auto"/>
            <w:noWrap/>
            <w:hideMark/>
          </w:tcPr>
          <w:p w14:paraId="25E57D09" w14:textId="7F5F78CE" w:rsidR="00D53E76" w:rsidRPr="00D960DD" w:rsidRDefault="00D53E76" w:rsidP="00B94D3E">
            <w:pPr>
              <w:ind w:firstLineChars="100" w:firstLine="200"/>
              <w:jc w:val="right"/>
              <w:rPr>
                <w:rFonts w:cstheme="minorHAnsi"/>
                <w:color w:val="000000"/>
                <w:sz w:val="20"/>
                <w:szCs w:val="20"/>
              </w:rPr>
            </w:pPr>
            <w:r w:rsidRPr="00D47262">
              <w:rPr>
                <w:rFonts w:cstheme="minorHAnsi"/>
                <w:color w:val="000000"/>
                <w:sz w:val="20"/>
                <w:szCs w:val="20"/>
              </w:rPr>
              <w:t>n.a.</w:t>
            </w:r>
          </w:p>
        </w:tc>
        <w:tc>
          <w:tcPr>
            <w:tcW w:w="742" w:type="dxa"/>
            <w:shd w:val="clear" w:color="auto" w:fill="auto"/>
            <w:noWrap/>
            <w:hideMark/>
          </w:tcPr>
          <w:p w14:paraId="6FFA8806"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26.5</w:t>
            </w:r>
          </w:p>
        </w:tc>
        <w:tc>
          <w:tcPr>
            <w:tcW w:w="742" w:type="dxa"/>
            <w:shd w:val="clear" w:color="auto" w:fill="auto"/>
            <w:noWrap/>
            <w:hideMark/>
          </w:tcPr>
          <w:p w14:paraId="79415280"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26.9</w:t>
            </w:r>
          </w:p>
        </w:tc>
        <w:tc>
          <w:tcPr>
            <w:tcW w:w="742" w:type="dxa"/>
            <w:shd w:val="clear" w:color="auto" w:fill="auto"/>
            <w:noWrap/>
            <w:hideMark/>
          </w:tcPr>
          <w:p w14:paraId="5A06F04F"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27.8</w:t>
            </w:r>
          </w:p>
        </w:tc>
        <w:tc>
          <w:tcPr>
            <w:tcW w:w="741" w:type="dxa"/>
            <w:shd w:val="clear" w:color="auto" w:fill="auto"/>
            <w:noWrap/>
            <w:hideMark/>
          </w:tcPr>
          <w:p w14:paraId="573DF19F"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27.5</w:t>
            </w:r>
          </w:p>
        </w:tc>
        <w:tc>
          <w:tcPr>
            <w:tcW w:w="742" w:type="dxa"/>
            <w:shd w:val="clear" w:color="auto" w:fill="auto"/>
            <w:noWrap/>
            <w:hideMark/>
          </w:tcPr>
          <w:p w14:paraId="7E6B4251"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27.8</w:t>
            </w:r>
          </w:p>
        </w:tc>
        <w:tc>
          <w:tcPr>
            <w:tcW w:w="742" w:type="dxa"/>
            <w:shd w:val="clear" w:color="auto" w:fill="auto"/>
            <w:noWrap/>
            <w:hideMark/>
          </w:tcPr>
          <w:p w14:paraId="73DC0A4B"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28.9</w:t>
            </w:r>
          </w:p>
        </w:tc>
        <w:tc>
          <w:tcPr>
            <w:tcW w:w="742" w:type="dxa"/>
            <w:shd w:val="clear" w:color="auto" w:fill="auto"/>
            <w:noWrap/>
            <w:hideMark/>
          </w:tcPr>
          <w:p w14:paraId="5B83DC9A"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30.2</w:t>
            </w:r>
          </w:p>
        </w:tc>
        <w:tc>
          <w:tcPr>
            <w:tcW w:w="742" w:type="dxa"/>
            <w:shd w:val="clear" w:color="auto" w:fill="auto"/>
            <w:noWrap/>
            <w:hideMark/>
          </w:tcPr>
          <w:p w14:paraId="6CB2D570"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30.6</w:t>
            </w:r>
          </w:p>
        </w:tc>
      </w:tr>
      <w:tr w:rsidR="00D53E76" w:rsidRPr="00D960DD" w14:paraId="134F67B3" w14:textId="77777777" w:rsidTr="00B94D3E">
        <w:trPr>
          <w:trHeight w:val="209"/>
        </w:trPr>
        <w:tc>
          <w:tcPr>
            <w:tcW w:w="3060" w:type="dxa"/>
            <w:shd w:val="clear" w:color="auto" w:fill="auto"/>
            <w:noWrap/>
            <w:hideMark/>
          </w:tcPr>
          <w:p w14:paraId="270DF309" w14:textId="77777777"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Q3</w:t>
            </w:r>
          </w:p>
        </w:tc>
        <w:tc>
          <w:tcPr>
            <w:tcW w:w="741" w:type="dxa"/>
            <w:shd w:val="clear" w:color="auto" w:fill="auto"/>
            <w:noWrap/>
            <w:hideMark/>
          </w:tcPr>
          <w:p w14:paraId="5D3158C4" w14:textId="0CAA6B47" w:rsidR="00D53E76" w:rsidRPr="00D960DD" w:rsidRDefault="00D53E76" w:rsidP="00B94D3E">
            <w:pPr>
              <w:ind w:firstLineChars="100" w:firstLine="200"/>
              <w:jc w:val="right"/>
              <w:rPr>
                <w:rFonts w:cstheme="minorHAnsi"/>
                <w:color w:val="000000"/>
                <w:sz w:val="20"/>
                <w:szCs w:val="20"/>
              </w:rPr>
            </w:pPr>
            <w:r w:rsidRPr="00D47262">
              <w:rPr>
                <w:rFonts w:cstheme="minorHAnsi"/>
                <w:color w:val="000000"/>
                <w:sz w:val="20"/>
                <w:szCs w:val="20"/>
              </w:rPr>
              <w:t>n.a.</w:t>
            </w:r>
          </w:p>
        </w:tc>
        <w:tc>
          <w:tcPr>
            <w:tcW w:w="742" w:type="dxa"/>
            <w:shd w:val="clear" w:color="auto" w:fill="auto"/>
            <w:noWrap/>
            <w:hideMark/>
          </w:tcPr>
          <w:p w14:paraId="49272F65"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26.6</w:t>
            </w:r>
          </w:p>
        </w:tc>
        <w:tc>
          <w:tcPr>
            <w:tcW w:w="742" w:type="dxa"/>
            <w:shd w:val="clear" w:color="auto" w:fill="auto"/>
            <w:noWrap/>
            <w:hideMark/>
          </w:tcPr>
          <w:p w14:paraId="7F520782"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27.2</w:t>
            </w:r>
          </w:p>
        </w:tc>
        <w:tc>
          <w:tcPr>
            <w:tcW w:w="742" w:type="dxa"/>
            <w:shd w:val="clear" w:color="auto" w:fill="auto"/>
            <w:noWrap/>
            <w:hideMark/>
          </w:tcPr>
          <w:p w14:paraId="08F713EB"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28.3</w:t>
            </w:r>
          </w:p>
        </w:tc>
        <w:tc>
          <w:tcPr>
            <w:tcW w:w="741" w:type="dxa"/>
            <w:shd w:val="clear" w:color="auto" w:fill="auto"/>
            <w:noWrap/>
            <w:hideMark/>
          </w:tcPr>
          <w:p w14:paraId="09C3E46F"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28.3</w:t>
            </w:r>
          </w:p>
        </w:tc>
        <w:tc>
          <w:tcPr>
            <w:tcW w:w="742" w:type="dxa"/>
            <w:shd w:val="clear" w:color="auto" w:fill="auto"/>
            <w:noWrap/>
            <w:hideMark/>
          </w:tcPr>
          <w:p w14:paraId="3B1F236F"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27.9</w:t>
            </w:r>
          </w:p>
        </w:tc>
        <w:tc>
          <w:tcPr>
            <w:tcW w:w="742" w:type="dxa"/>
            <w:shd w:val="clear" w:color="auto" w:fill="auto"/>
            <w:noWrap/>
            <w:hideMark/>
          </w:tcPr>
          <w:p w14:paraId="349F1A23"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29.3</w:t>
            </w:r>
          </w:p>
        </w:tc>
        <w:tc>
          <w:tcPr>
            <w:tcW w:w="742" w:type="dxa"/>
            <w:shd w:val="clear" w:color="auto" w:fill="auto"/>
            <w:noWrap/>
            <w:hideMark/>
          </w:tcPr>
          <w:p w14:paraId="56BA8F20"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30.2</w:t>
            </w:r>
          </w:p>
        </w:tc>
        <w:tc>
          <w:tcPr>
            <w:tcW w:w="742" w:type="dxa"/>
            <w:shd w:val="clear" w:color="auto" w:fill="auto"/>
            <w:noWrap/>
            <w:hideMark/>
          </w:tcPr>
          <w:p w14:paraId="4E11935E"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30.6</w:t>
            </w:r>
          </w:p>
        </w:tc>
      </w:tr>
      <w:tr w:rsidR="00D53E76" w:rsidRPr="00D960DD" w14:paraId="3BDFC73D" w14:textId="77777777" w:rsidTr="00B94D3E">
        <w:trPr>
          <w:trHeight w:val="209"/>
        </w:trPr>
        <w:tc>
          <w:tcPr>
            <w:tcW w:w="3060" w:type="dxa"/>
            <w:shd w:val="clear" w:color="auto" w:fill="auto"/>
            <w:noWrap/>
            <w:hideMark/>
          </w:tcPr>
          <w:p w14:paraId="6849FCBD" w14:textId="77777777" w:rsidR="00D53E76" w:rsidRPr="00D960DD" w:rsidRDefault="00D53E76" w:rsidP="00D53E76">
            <w:pPr>
              <w:ind w:firstLineChars="100" w:firstLine="200"/>
              <w:rPr>
                <w:rFonts w:cstheme="minorHAnsi"/>
                <w:color w:val="000000"/>
                <w:sz w:val="20"/>
                <w:szCs w:val="20"/>
              </w:rPr>
            </w:pPr>
            <w:r w:rsidRPr="00D960DD">
              <w:rPr>
                <w:rFonts w:cstheme="minorHAnsi"/>
                <w:color w:val="000000"/>
                <w:sz w:val="20"/>
                <w:szCs w:val="20"/>
              </w:rPr>
              <w:t>Q4</w:t>
            </w:r>
          </w:p>
        </w:tc>
        <w:tc>
          <w:tcPr>
            <w:tcW w:w="741" w:type="dxa"/>
            <w:shd w:val="clear" w:color="auto" w:fill="auto"/>
            <w:noWrap/>
            <w:hideMark/>
          </w:tcPr>
          <w:p w14:paraId="7971E022" w14:textId="00E240C3" w:rsidR="00D53E76" w:rsidRPr="00D960DD" w:rsidRDefault="00D53E76" w:rsidP="00B94D3E">
            <w:pPr>
              <w:ind w:firstLineChars="100" w:firstLine="200"/>
              <w:jc w:val="right"/>
              <w:rPr>
                <w:rFonts w:cstheme="minorHAnsi"/>
                <w:color w:val="000000"/>
                <w:sz w:val="20"/>
                <w:szCs w:val="20"/>
              </w:rPr>
            </w:pPr>
            <w:r w:rsidRPr="00D47262">
              <w:rPr>
                <w:rFonts w:cstheme="minorHAnsi"/>
                <w:color w:val="000000"/>
                <w:sz w:val="20"/>
                <w:szCs w:val="20"/>
              </w:rPr>
              <w:t>n.a.</w:t>
            </w:r>
          </w:p>
        </w:tc>
        <w:tc>
          <w:tcPr>
            <w:tcW w:w="742" w:type="dxa"/>
            <w:shd w:val="clear" w:color="auto" w:fill="auto"/>
            <w:noWrap/>
            <w:hideMark/>
          </w:tcPr>
          <w:p w14:paraId="20B073C3"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27.8</w:t>
            </w:r>
          </w:p>
        </w:tc>
        <w:tc>
          <w:tcPr>
            <w:tcW w:w="742" w:type="dxa"/>
            <w:shd w:val="clear" w:color="auto" w:fill="auto"/>
            <w:noWrap/>
            <w:hideMark/>
          </w:tcPr>
          <w:p w14:paraId="2C55B99C"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28.5</w:t>
            </w:r>
          </w:p>
        </w:tc>
        <w:tc>
          <w:tcPr>
            <w:tcW w:w="742" w:type="dxa"/>
            <w:shd w:val="clear" w:color="auto" w:fill="auto"/>
            <w:noWrap/>
            <w:hideMark/>
          </w:tcPr>
          <w:p w14:paraId="6FBE713B"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29.0</w:t>
            </w:r>
          </w:p>
        </w:tc>
        <w:tc>
          <w:tcPr>
            <w:tcW w:w="741" w:type="dxa"/>
            <w:shd w:val="clear" w:color="auto" w:fill="auto"/>
            <w:noWrap/>
            <w:hideMark/>
          </w:tcPr>
          <w:p w14:paraId="780AE349"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28.6</w:t>
            </w:r>
          </w:p>
        </w:tc>
        <w:tc>
          <w:tcPr>
            <w:tcW w:w="742" w:type="dxa"/>
            <w:shd w:val="clear" w:color="auto" w:fill="auto"/>
            <w:noWrap/>
            <w:hideMark/>
          </w:tcPr>
          <w:p w14:paraId="54BE554A"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29.4</w:t>
            </w:r>
          </w:p>
        </w:tc>
        <w:tc>
          <w:tcPr>
            <w:tcW w:w="742" w:type="dxa"/>
            <w:shd w:val="clear" w:color="auto" w:fill="auto"/>
            <w:noWrap/>
            <w:hideMark/>
          </w:tcPr>
          <w:p w14:paraId="24DAD5C5"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30.0</w:t>
            </w:r>
          </w:p>
        </w:tc>
        <w:tc>
          <w:tcPr>
            <w:tcW w:w="742" w:type="dxa"/>
            <w:shd w:val="clear" w:color="auto" w:fill="auto"/>
            <w:noWrap/>
            <w:hideMark/>
          </w:tcPr>
          <w:p w14:paraId="7A47B0E4"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30.6</w:t>
            </w:r>
          </w:p>
        </w:tc>
        <w:tc>
          <w:tcPr>
            <w:tcW w:w="742" w:type="dxa"/>
            <w:shd w:val="clear" w:color="auto" w:fill="auto"/>
            <w:noWrap/>
            <w:hideMark/>
          </w:tcPr>
          <w:p w14:paraId="2B5A223A" w14:textId="77777777" w:rsidR="00D53E76" w:rsidRPr="00D960DD" w:rsidRDefault="00D53E76" w:rsidP="00D53E76">
            <w:pPr>
              <w:jc w:val="right"/>
              <w:rPr>
                <w:rFonts w:cstheme="minorHAnsi"/>
                <w:color w:val="000000"/>
                <w:sz w:val="20"/>
                <w:szCs w:val="20"/>
              </w:rPr>
            </w:pPr>
            <w:r w:rsidRPr="00D960DD">
              <w:rPr>
                <w:rFonts w:cstheme="minorHAnsi"/>
                <w:color w:val="000000"/>
                <w:sz w:val="20"/>
                <w:szCs w:val="20"/>
              </w:rPr>
              <w:t>31.7</w:t>
            </w:r>
          </w:p>
        </w:tc>
      </w:tr>
      <w:tr w:rsidR="00AF0ADF" w:rsidRPr="00D960DD" w14:paraId="266BB1C2" w14:textId="77777777" w:rsidTr="00B94D3E">
        <w:trPr>
          <w:trHeight w:val="209"/>
        </w:trPr>
        <w:tc>
          <w:tcPr>
            <w:tcW w:w="3060" w:type="dxa"/>
            <w:shd w:val="clear" w:color="auto" w:fill="auto"/>
            <w:noWrap/>
            <w:hideMark/>
          </w:tcPr>
          <w:p w14:paraId="12EB4388" w14:textId="18D9338A"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 xml:space="preserve">Q5 </w:t>
            </w:r>
            <w:r w:rsidR="006621B8">
              <w:rPr>
                <w:rFonts w:cstheme="minorHAnsi"/>
                <w:color w:val="000000"/>
                <w:sz w:val="20"/>
                <w:szCs w:val="20"/>
              </w:rPr>
              <w:t>–</w:t>
            </w:r>
            <w:r w:rsidRPr="00D960DD">
              <w:rPr>
                <w:rFonts w:cstheme="minorHAnsi"/>
                <w:color w:val="000000"/>
                <w:sz w:val="20"/>
                <w:szCs w:val="20"/>
              </w:rPr>
              <w:t xml:space="preserve"> least disadvantaged</w:t>
            </w:r>
          </w:p>
        </w:tc>
        <w:tc>
          <w:tcPr>
            <w:tcW w:w="741" w:type="dxa"/>
            <w:shd w:val="clear" w:color="auto" w:fill="auto"/>
            <w:noWrap/>
            <w:hideMark/>
          </w:tcPr>
          <w:p w14:paraId="668A801C" w14:textId="682B96B6" w:rsidR="00AF0ADF" w:rsidRPr="00D960DD" w:rsidRDefault="00D53E76" w:rsidP="00B94D3E">
            <w:pPr>
              <w:ind w:firstLineChars="100" w:firstLine="200"/>
              <w:jc w:val="right"/>
              <w:rPr>
                <w:rFonts w:cstheme="minorHAnsi"/>
                <w:color w:val="000000"/>
                <w:sz w:val="20"/>
                <w:szCs w:val="20"/>
              </w:rPr>
            </w:pPr>
            <w:r>
              <w:rPr>
                <w:rFonts w:cstheme="minorHAnsi"/>
                <w:color w:val="000000"/>
                <w:sz w:val="20"/>
                <w:szCs w:val="20"/>
              </w:rPr>
              <w:t>n.a.</w:t>
            </w:r>
          </w:p>
        </w:tc>
        <w:tc>
          <w:tcPr>
            <w:tcW w:w="742" w:type="dxa"/>
            <w:shd w:val="clear" w:color="auto" w:fill="auto"/>
            <w:noWrap/>
            <w:hideMark/>
          </w:tcPr>
          <w:p w14:paraId="6A61ABD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28.5</w:t>
            </w:r>
          </w:p>
        </w:tc>
        <w:tc>
          <w:tcPr>
            <w:tcW w:w="742" w:type="dxa"/>
            <w:shd w:val="clear" w:color="auto" w:fill="auto"/>
            <w:noWrap/>
            <w:hideMark/>
          </w:tcPr>
          <w:p w14:paraId="400AC9C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29.0</w:t>
            </w:r>
          </w:p>
        </w:tc>
        <w:tc>
          <w:tcPr>
            <w:tcW w:w="742" w:type="dxa"/>
            <w:shd w:val="clear" w:color="auto" w:fill="auto"/>
            <w:noWrap/>
            <w:hideMark/>
          </w:tcPr>
          <w:p w14:paraId="78EC7DC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28.5</w:t>
            </w:r>
          </w:p>
        </w:tc>
        <w:tc>
          <w:tcPr>
            <w:tcW w:w="741" w:type="dxa"/>
            <w:shd w:val="clear" w:color="auto" w:fill="auto"/>
            <w:noWrap/>
            <w:hideMark/>
          </w:tcPr>
          <w:p w14:paraId="23A175D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28.7</w:t>
            </w:r>
          </w:p>
        </w:tc>
        <w:tc>
          <w:tcPr>
            <w:tcW w:w="742" w:type="dxa"/>
            <w:shd w:val="clear" w:color="auto" w:fill="auto"/>
            <w:noWrap/>
            <w:hideMark/>
          </w:tcPr>
          <w:p w14:paraId="04325E0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30.0</w:t>
            </w:r>
          </w:p>
        </w:tc>
        <w:tc>
          <w:tcPr>
            <w:tcW w:w="742" w:type="dxa"/>
            <w:shd w:val="clear" w:color="auto" w:fill="auto"/>
            <w:noWrap/>
            <w:hideMark/>
          </w:tcPr>
          <w:p w14:paraId="1B4EBAE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31.0</w:t>
            </w:r>
          </w:p>
        </w:tc>
        <w:tc>
          <w:tcPr>
            <w:tcW w:w="742" w:type="dxa"/>
            <w:shd w:val="clear" w:color="auto" w:fill="auto"/>
            <w:noWrap/>
            <w:hideMark/>
          </w:tcPr>
          <w:p w14:paraId="3664901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31.5</w:t>
            </w:r>
          </w:p>
        </w:tc>
        <w:tc>
          <w:tcPr>
            <w:tcW w:w="742" w:type="dxa"/>
            <w:shd w:val="clear" w:color="auto" w:fill="auto"/>
            <w:noWrap/>
            <w:hideMark/>
          </w:tcPr>
          <w:p w14:paraId="4AF7FB2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31.8</w:t>
            </w:r>
          </w:p>
        </w:tc>
      </w:tr>
      <w:tr w:rsidR="00AF0ADF" w:rsidRPr="00D960DD" w14:paraId="6CA814D4" w14:textId="77777777" w:rsidTr="00B94D3E">
        <w:trPr>
          <w:trHeight w:val="209"/>
        </w:trPr>
        <w:tc>
          <w:tcPr>
            <w:tcW w:w="9736" w:type="dxa"/>
            <w:gridSpan w:val="10"/>
            <w:shd w:val="clear" w:color="auto" w:fill="auto"/>
            <w:noWrap/>
            <w:hideMark/>
          </w:tcPr>
          <w:p w14:paraId="0C8F331A" w14:textId="77777777" w:rsidR="00AF0ADF" w:rsidRPr="00D960DD" w:rsidRDefault="00AF0ADF" w:rsidP="00AF0ADF">
            <w:pPr>
              <w:rPr>
                <w:rFonts w:cstheme="minorHAnsi"/>
                <w:sz w:val="20"/>
                <w:szCs w:val="20"/>
              </w:rPr>
            </w:pPr>
            <w:r w:rsidRPr="00D960DD">
              <w:rPr>
                <w:rFonts w:cstheme="minorHAnsi"/>
                <w:b/>
                <w:bCs/>
                <w:color w:val="000000"/>
                <w:sz w:val="20"/>
                <w:szCs w:val="20"/>
              </w:rPr>
              <w:t>Hospital sector</w:t>
            </w:r>
          </w:p>
        </w:tc>
      </w:tr>
      <w:tr w:rsidR="00AF0ADF" w:rsidRPr="00D960DD" w14:paraId="13FE244E" w14:textId="77777777" w:rsidTr="00B94D3E">
        <w:trPr>
          <w:trHeight w:val="209"/>
        </w:trPr>
        <w:tc>
          <w:tcPr>
            <w:tcW w:w="3060" w:type="dxa"/>
            <w:shd w:val="clear" w:color="auto" w:fill="auto"/>
            <w:noWrap/>
            <w:hideMark/>
          </w:tcPr>
          <w:p w14:paraId="0734058D"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Private</w:t>
            </w:r>
          </w:p>
        </w:tc>
        <w:tc>
          <w:tcPr>
            <w:tcW w:w="741" w:type="dxa"/>
            <w:shd w:val="clear" w:color="auto" w:fill="auto"/>
            <w:noWrap/>
            <w:hideMark/>
          </w:tcPr>
          <w:p w14:paraId="71C5A180"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35.7</w:t>
            </w:r>
          </w:p>
        </w:tc>
        <w:tc>
          <w:tcPr>
            <w:tcW w:w="742" w:type="dxa"/>
            <w:shd w:val="clear" w:color="auto" w:fill="auto"/>
            <w:noWrap/>
            <w:hideMark/>
          </w:tcPr>
          <w:p w14:paraId="45D19CF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36.5</w:t>
            </w:r>
          </w:p>
        </w:tc>
        <w:tc>
          <w:tcPr>
            <w:tcW w:w="742" w:type="dxa"/>
            <w:shd w:val="clear" w:color="auto" w:fill="auto"/>
            <w:noWrap/>
            <w:hideMark/>
          </w:tcPr>
          <w:p w14:paraId="157EA3B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36.5</w:t>
            </w:r>
          </w:p>
        </w:tc>
        <w:tc>
          <w:tcPr>
            <w:tcW w:w="742" w:type="dxa"/>
            <w:shd w:val="clear" w:color="auto" w:fill="auto"/>
            <w:noWrap/>
            <w:hideMark/>
          </w:tcPr>
          <w:p w14:paraId="365A847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37.1</w:t>
            </w:r>
          </w:p>
        </w:tc>
        <w:tc>
          <w:tcPr>
            <w:tcW w:w="741" w:type="dxa"/>
            <w:shd w:val="clear" w:color="auto" w:fill="auto"/>
            <w:noWrap/>
            <w:hideMark/>
          </w:tcPr>
          <w:p w14:paraId="499951F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37.3</w:t>
            </w:r>
          </w:p>
        </w:tc>
        <w:tc>
          <w:tcPr>
            <w:tcW w:w="742" w:type="dxa"/>
            <w:shd w:val="clear" w:color="auto" w:fill="auto"/>
            <w:noWrap/>
            <w:hideMark/>
          </w:tcPr>
          <w:p w14:paraId="19E9CD5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38.2</w:t>
            </w:r>
          </w:p>
        </w:tc>
        <w:tc>
          <w:tcPr>
            <w:tcW w:w="742" w:type="dxa"/>
            <w:shd w:val="clear" w:color="auto" w:fill="auto"/>
            <w:noWrap/>
            <w:hideMark/>
          </w:tcPr>
          <w:p w14:paraId="39784CD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39.9</w:t>
            </w:r>
          </w:p>
        </w:tc>
        <w:tc>
          <w:tcPr>
            <w:tcW w:w="742" w:type="dxa"/>
            <w:shd w:val="clear" w:color="auto" w:fill="auto"/>
            <w:noWrap/>
            <w:hideMark/>
          </w:tcPr>
          <w:p w14:paraId="5727B43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40.6</w:t>
            </w:r>
          </w:p>
        </w:tc>
        <w:tc>
          <w:tcPr>
            <w:tcW w:w="742" w:type="dxa"/>
            <w:shd w:val="clear" w:color="auto" w:fill="auto"/>
            <w:noWrap/>
            <w:hideMark/>
          </w:tcPr>
          <w:p w14:paraId="29393DA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41.3</w:t>
            </w:r>
          </w:p>
        </w:tc>
      </w:tr>
      <w:tr w:rsidR="00AF0ADF" w:rsidRPr="00D960DD" w14:paraId="65AE8E85" w14:textId="77777777" w:rsidTr="00B94D3E">
        <w:trPr>
          <w:trHeight w:val="209"/>
        </w:trPr>
        <w:tc>
          <w:tcPr>
            <w:tcW w:w="3060" w:type="dxa"/>
            <w:shd w:val="clear" w:color="auto" w:fill="auto"/>
            <w:noWrap/>
            <w:hideMark/>
          </w:tcPr>
          <w:p w14:paraId="17C37D82"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Public</w:t>
            </w:r>
          </w:p>
        </w:tc>
        <w:tc>
          <w:tcPr>
            <w:tcW w:w="741" w:type="dxa"/>
            <w:shd w:val="clear" w:color="auto" w:fill="auto"/>
            <w:noWrap/>
            <w:hideMark/>
          </w:tcPr>
          <w:p w14:paraId="41B2AE6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24.9</w:t>
            </w:r>
          </w:p>
        </w:tc>
        <w:tc>
          <w:tcPr>
            <w:tcW w:w="742" w:type="dxa"/>
            <w:shd w:val="clear" w:color="auto" w:fill="auto"/>
            <w:noWrap/>
            <w:hideMark/>
          </w:tcPr>
          <w:p w14:paraId="7ED99EE0"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24.4</w:t>
            </w:r>
          </w:p>
        </w:tc>
        <w:tc>
          <w:tcPr>
            <w:tcW w:w="742" w:type="dxa"/>
            <w:shd w:val="clear" w:color="auto" w:fill="auto"/>
            <w:noWrap/>
            <w:hideMark/>
          </w:tcPr>
          <w:p w14:paraId="7DB0E21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24.8</w:t>
            </w:r>
          </w:p>
        </w:tc>
        <w:tc>
          <w:tcPr>
            <w:tcW w:w="742" w:type="dxa"/>
            <w:shd w:val="clear" w:color="auto" w:fill="auto"/>
            <w:noWrap/>
            <w:hideMark/>
          </w:tcPr>
          <w:p w14:paraId="05DDBF8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25.1</w:t>
            </w:r>
          </w:p>
        </w:tc>
        <w:tc>
          <w:tcPr>
            <w:tcW w:w="741" w:type="dxa"/>
            <w:shd w:val="clear" w:color="auto" w:fill="auto"/>
            <w:noWrap/>
            <w:hideMark/>
          </w:tcPr>
          <w:p w14:paraId="270A7D8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25.2</w:t>
            </w:r>
          </w:p>
        </w:tc>
        <w:tc>
          <w:tcPr>
            <w:tcW w:w="742" w:type="dxa"/>
            <w:shd w:val="clear" w:color="auto" w:fill="auto"/>
            <w:noWrap/>
            <w:hideMark/>
          </w:tcPr>
          <w:p w14:paraId="587EA72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25.8</w:t>
            </w:r>
          </w:p>
        </w:tc>
        <w:tc>
          <w:tcPr>
            <w:tcW w:w="742" w:type="dxa"/>
            <w:shd w:val="clear" w:color="auto" w:fill="auto"/>
            <w:noWrap/>
            <w:hideMark/>
          </w:tcPr>
          <w:p w14:paraId="0DDFF18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26.6</w:t>
            </w:r>
          </w:p>
        </w:tc>
        <w:tc>
          <w:tcPr>
            <w:tcW w:w="742" w:type="dxa"/>
            <w:shd w:val="clear" w:color="auto" w:fill="auto"/>
            <w:noWrap/>
            <w:hideMark/>
          </w:tcPr>
          <w:p w14:paraId="6341271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27.9</w:t>
            </w:r>
          </w:p>
        </w:tc>
        <w:tc>
          <w:tcPr>
            <w:tcW w:w="742" w:type="dxa"/>
            <w:shd w:val="clear" w:color="auto" w:fill="auto"/>
            <w:noWrap/>
            <w:hideMark/>
          </w:tcPr>
          <w:p w14:paraId="5584E0B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28.3</w:t>
            </w:r>
          </w:p>
        </w:tc>
      </w:tr>
      <w:tr w:rsidR="00AF0ADF" w:rsidRPr="00D960DD" w14:paraId="7E88886B" w14:textId="77777777" w:rsidTr="00B94D3E">
        <w:trPr>
          <w:trHeight w:val="209"/>
        </w:trPr>
        <w:tc>
          <w:tcPr>
            <w:tcW w:w="9736" w:type="dxa"/>
            <w:gridSpan w:val="10"/>
            <w:shd w:val="clear" w:color="auto" w:fill="auto"/>
            <w:noWrap/>
            <w:hideMark/>
          </w:tcPr>
          <w:p w14:paraId="749E78AD" w14:textId="77777777" w:rsidR="00AF0ADF" w:rsidRPr="00D960DD" w:rsidRDefault="00AF0ADF" w:rsidP="00AF0ADF">
            <w:pPr>
              <w:rPr>
                <w:rFonts w:cstheme="minorHAnsi"/>
                <w:sz w:val="20"/>
                <w:szCs w:val="20"/>
              </w:rPr>
            </w:pPr>
            <w:r w:rsidRPr="00D960DD">
              <w:rPr>
                <w:rFonts w:cstheme="minorHAnsi"/>
                <w:b/>
                <w:bCs/>
                <w:color w:val="000000"/>
                <w:sz w:val="20"/>
                <w:szCs w:val="20"/>
              </w:rPr>
              <w:t>Hospitals annual number of births</w:t>
            </w:r>
          </w:p>
        </w:tc>
      </w:tr>
      <w:tr w:rsidR="00AF0ADF" w:rsidRPr="00D960DD" w14:paraId="78E3F6DF" w14:textId="77777777" w:rsidTr="00B94D3E">
        <w:trPr>
          <w:trHeight w:val="209"/>
        </w:trPr>
        <w:tc>
          <w:tcPr>
            <w:tcW w:w="3060" w:type="dxa"/>
            <w:shd w:val="clear" w:color="auto" w:fill="auto"/>
            <w:noWrap/>
            <w:hideMark/>
          </w:tcPr>
          <w:p w14:paraId="56E66F93"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1-100 births</w:t>
            </w:r>
          </w:p>
        </w:tc>
        <w:tc>
          <w:tcPr>
            <w:tcW w:w="741" w:type="dxa"/>
            <w:shd w:val="clear" w:color="auto" w:fill="auto"/>
            <w:noWrap/>
            <w:hideMark/>
          </w:tcPr>
          <w:p w14:paraId="61533A3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20.4</w:t>
            </w:r>
          </w:p>
        </w:tc>
        <w:tc>
          <w:tcPr>
            <w:tcW w:w="742" w:type="dxa"/>
            <w:shd w:val="clear" w:color="auto" w:fill="auto"/>
            <w:noWrap/>
            <w:hideMark/>
          </w:tcPr>
          <w:p w14:paraId="50EDF5D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15.8</w:t>
            </w:r>
          </w:p>
        </w:tc>
        <w:tc>
          <w:tcPr>
            <w:tcW w:w="742" w:type="dxa"/>
            <w:shd w:val="clear" w:color="auto" w:fill="auto"/>
            <w:noWrap/>
            <w:hideMark/>
          </w:tcPr>
          <w:p w14:paraId="53FD6EC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20.4</w:t>
            </w:r>
          </w:p>
        </w:tc>
        <w:tc>
          <w:tcPr>
            <w:tcW w:w="742" w:type="dxa"/>
            <w:shd w:val="clear" w:color="auto" w:fill="auto"/>
            <w:noWrap/>
            <w:hideMark/>
          </w:tcPr>
          <w:p w14:paraId="3C90C10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22.6</w:t>
            </w:r>
          </w:p>
        </w:tc>
        <w:tc>
          <w:tcPr>
            <w:tcW w:w="741" w:type="dxa"/>
            <w:shd w:val="clear" w:color="auto" w:fill="auto"/>
            <w:noWrap/>
            <w:hideMark/>
          </w:tcPr>
          <w:p w14:paraId="184A34D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21.2</w:t>
            </w:r>
          </w:p>
        </w:tc>
        <w:tc>
          <w:tcPr>
            <w:tcW w:w="742" w:type="dxa"/>
            <w:shd w:val="clear" w:color="auto" w:fill="auto"/>
            <w:noWrap/>
            <w:hideMark/>
          </w:tcPr>
          <w:p w14:paraId="71D9C2E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27.8</w:t>
            </w:r>
          </w:p>
        </w:tc>
        <w:tc>
          <w:tcPr>
            <w:tcW w:w="742" w:type="dxa"/>
            <w:shd w:val="clear" w:color="auto" w:fill="auto"/>
            <w:noWrap/>
            <w:hideMark/>
          </w:tcPr>
          <w:p w14:paraId="4A178EA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21.4</w:t>
            </w:r>
          </w:p>
        </w:tc>
        <w:tc>
          <w:tcPr>
            <w:tcW w:w="742" w:type="dxa"/>
            <w:shd w:val="clear" w:color="auto" w:fill="auto"/>
            <w:noWrap/>
            <w:hideMark/>
          </w:tcPr>
          <w:p w14:paraId="04C8A26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21.5</w:t>
            </w:r>
          </w:p>
        </w:tc>
        <w:tc>
          <w:tcPr>
            <w:tcW w:w="742" w:type="dxa"/>
            <w:shd w:val="clear" w:color="auto" w:fill="auto"/>
            <w:noWrap/>
            <w:hideMark/>
          </w:tcPr>
          <w:p w14:paraId="200B9F1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22.1</w:t>
            </w:r>
          </w:p>
        </w:tc>
      </w:tr>
      <w:tr w:rsidR="00AF0ADF" w:rsidRPr="00D960DD" w14:paraId="0A145D87" w14:textId="77777777" w:rsidTr="00B94D3E">
        <w:trPr>
          <w:trHeight w:val="209"/>
        </w:trPr>
        <w:tc>
          <w:tcPr>
            <w:tcW w:w="3060" w:type="dxa"/>
            <w:shd w:val="clear" w:color="auto" w:fill="auto"/>
            <w:noWrap/>
            <w:hideMark/>
          </w:tcPr>
          <w:p w14:paraId="5C82B2F5"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101-500 births</w:t>
            </w:r>
          </w:p>
        </w:tc>
        <w:tc>
          <w:tcPr>
            <w:tcW w:w="741" w:type="dxa"/>
            <w:shd w:val="clear" w:color="auto" w:fill="auto"/>
            <w:noWrap/>
            <w:hideMark/>
          </w:tcPr>
          <w:p w14:paraId="1D185B3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26.3</w:t>
            </w:r>
          </w:p>
        </w:tc>
        <w:tc>
          <w:tcPr>
            <w:tcW w:w="742" w:type="dxa"/>
            <w:shd w:val="clear" w:color="auto" w:fill="auto"/>
            <w:noWrap/>
            <w:hideMark/>
          </w:tcPr>
          <w:p w14:paraId="4A700A46"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24.4</w:t>
            </w:r>
          </w:p>
        </w:tc>
        <w:tc>
          <w:tcPr>
            <w:tcW w:w="742" w:type="dxa"/>
            <w:shd w:val="clear" w:color="auto" w:fill="auto"/>
            <w:noWrap/>
            <w:hideMark/>
          </w:tcPr>
          <w:p w14:paraId="4746E93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26.2</w:t>
            </w:r>
          </w:p>
        </w:tc>
        <w:tc>
          <w:tcPr>
            <w:tcW w:w="742" w:type="dxa"/>
            <w:shd w:val="clear" w:color="auto" w:fill="auto"/>
            <w:noWrap/>
            <w:hideMark/>
          </w:tcPr>
          <w:p w14:paraId="066E796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27.3</w:t>
            </w:r>
          </w:p>
        </w:tc>
        <w:tc>
          <w:tcPr>
            <w:tcW w:w="741" w:type="dxa"/>
            <w:shd w:val="clear" w:color="auto" w:fill="auto"/>
            <w:noWrap/>
            <w:hideMark/>
          </w:tcPr>
          <w:p w14:paraId="5734B07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26.2</w:t>
            </w:r>
          </w:p>
        </w:tc>
        <w:tc>
          <w:tcPr>
            <w:tcW w:w="742" w:type="dxa"/>
            <w:shd w:val="clear" w:color="auto" w:fill="auto"/>
            <w:noWrap/>
            <w:hideMark/>
          </w:tcPr>
          <w:p w14:paraId="1B61F68F"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26.8</w:t>
            </w:r>
          </w:p>
        </w:tc>
        <w:tc>
          <w:tcPr>
            <w:tcW w:w="742" w:type="dxa"/>
            <w:shd w:val="clear" w:color="auto" w:fill="auto"/>
            <w:noWrap/>
            <w:hideMark/>
          </w:tcPr>
          <w:p w14:paraId="183C8A11"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30.3</w:t>
            </w:r>
          </w:p>
        </w:tc>
        <w:tc>
          <w:tcPr>
            <w:tcW w:w="742" w:type="dxa"/>
            <w:shd w:val="clear" w:color="auto" w:fill="auto"/>
            <w:noWrap/>
            <w:hideMark/>
          </w:tcPr>
          <w:p w14:paraId="658977E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31.7</w:t>
            </w:r>
          </w:p>
        </w:tc>
        <w:tc>
          <w:tcPr>
            <w:tcW w:w="742" w:type="dxa"/>
            <w:shd w:val="clear" w:color="auto" w:fill="auto"/>
            <w:noWrap/>
            <w:hideMark/>
          </w:tcPr>
          <w:p w14:paraId="65C9CEE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32.7</w:t>
            </w:r>
          </w:p>
        </w:tc>
      </w:tr>
      <w:tr w:rsidR="00AF0ADF" w:rsidRPr="00D960DD" w14:paraId="423C301F" w14:textId="77777777" w:rsidTr="00B94D3E">
        <w:trPr>
          <w:trHeight w:val="209"/>
        </w:trPr>
        <w:tc>
          <w:tcPr>
            <w:tcW w:w="3060" w:type="dxa"/>
            <w:shd w:val="clear" w:color="auto" w:fill="auto"/>
            <w:noWrap/>
            <w:hideMark/>
          </w:tcPr>
          <w:p w14:paraId="4A54A815"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501-1,000 births</w:t>
            </w:r>
          </w:p>
        </w:tc>
        <w:tc>
          <w:tcPr>
            <w:tcW w:w="741" w:type="dxa"/>
            <w:shd w:val="clear" w:color="auto" w:fill="auto"/>
            <w:noWrap/>
            <w:hideMark/>
          </w:tcPr>
          <w:p w14:paraId="2CC115A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29.4</w:t>
            </w:r>
          </w:p>
        </w:tc>
        <w:tc>
          <w:tcPr>
            <w:tcW w:w="742" w:type="dxa"/>
            <w:shd w:val="clear" w:color="auto" w:fill="auto"/>
            <w:noWrap/>
            <w:hideMark/>
          </w:tcPr>
          <w:p w14:paraId="06679FD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29.6</w:t>
            </w:r>
          </w:p>
        </w:tc>
        <w:tc>
          <w:tcPr>
            <w:tcW w:w="742" w:type="dxa"/>
            <w:shd w:val="clear" w:color="auto" w:fill="auto"/>
            <w:noWrap/>
            <w:hideMark/>
          </w:tcPr>
          <w:p w14:paraId="506B2F6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30.5</w:t>
            </w:r>
          </w:p>
        </w:tc>
        <w:tc>
          <w:tcPr>
            <w:tcW w:w="742" w:type="dxa"/>
            <w:shd w:val="clear" w:color="auto" w:fill="auto"/>
            <w:noWrap/>
            <w:hideMark/>
          </w:tcPr>
          <w:p w14:paraId="3B075744"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31.9</w:t>
            </w:r>
          </w:p>
        </w:tc>
        <w:tc>
          <w:tcPr>
            <w:tcW w:w="741" w:type="dxa"/>
            <w:shd w:val="clear" w:color="auto" w:fill="auto"/>
            <w:noWrap/>
            <w:hideMark/>
          </w:tcPr>
          <w:p w14:paraId="23ABB06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32.2</w:t>
            </w:r>
          </w:p>
        </w:tc>
        <w:tc>
          <w:tcPr>
            <w:tcW w:w="742" w:type="dxa"/>
            <w:shd w:val="clear" w:color="auto" w:fill="auto"/>
            <w:noWrap/>
            <w:hideMark/>
          </w:tcPr>
          <w:p w14:paraId="0C9B646B"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31.9</w:t>
            </w:r>
          </w:p>
        </w:tc>
        <w:tc>
          <w:tcPr>
            <w:tcW w:w="742" w:type="dxa"/>
            <w:shd w:val="clear" w:color="auto" w:fill="auto"/>
            <w:noWrap/>
            <w:hideMark/>
          </w:tcPr>
          <w:p w14:paraId="4068202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30.6</w:t>
            </w:r>
          </w:p>
        </w:tc>
        <w:tc>
          <w:tcPr>
            <w:tcW w:w="742" w:type="dxa"/>
            <w:shd w:val="clear" w:color="auto" w:fill="auto"/>
            <w:noWrap/>
            <w:hideMark/>
          </w:tcPr>
          <w:p w14:paraId="75A67CB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31.2</w:t>
            </w:r>
          </w:p>
        </w:tc>
        <w:tc>
          <w:tcPr>
            <w:tcW w:w="742" w:type="dxa"/>
            <w:shd w:val="clear" w:color="auto" w:fill="auto"/>
            <w:noWrap/>
            <w:hideMark/>
          </w:tcPr>
          <w:p w14:paraId="0F0B5EB0"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34.8</w:t>
            </w:r>
          </w:p>
        </w:tc>
      </w:tr>
      <w:tr w:rsidR="00AF0ADF" w:rsidRPr="00D960DD" w14:paraId="733CFA54" w14:textId="77777777" w:rsidTr="00B94D3E">
        <w:trPr>
          <w:trHeight w:val="209"/>
        </w:trPr>
        <w:tc>
          <w:tcPr>
            <w:tcW w:w="3060" w:type="dxa"/>
            <w:shd w:val="clear" w:color="auto" w:fill="auto"/>
            <w:noWrap/>
            <w:hideMark/>
          </w:tcPr>
          <w:p w14:paraId="1A0EF938"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1,001-2,000 births</w:t>
            </w:r>
          </w:p>
        </w:tc>
        <w:tc>
          <w:tcPr>
            <w:tcW w:w="741" w:type="dxa"/>
            <w:shd w:val="clear" w:color="auto" w:fill="auto"/>
            <w:noWrap/>
            <w:hideMark/>
          </w:tcPr>
          <w:p w14:paraId="4B7B98A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27.5</w:t>
            </w:r>
          </w:p>
        </w:tc>
        <w:tc>
          <w:tcPr>
            <w:tcW w:w="742" w:type="dxa"/>
            <w:shd w:val="clear" w:color="auto" w:fill="auto"/>
            <w:noWrap/>
            <w:hideMark/>
          </w:tcPr>
          <w:p w14:paraId="5F9C518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27.5</w:t>
            </w:r>
          </w:p>
        </w:tc>
        <w:tc>
          <w:tcPr>
            <w:tcW w:w="742" w:type="dxa"/>
            <w:shd w:val="clear" w:color="auto" w:fill="auto"/>
            <w:noWrap/>
            <w:hideMark/>
          </w:tcPr>
          <w:p w14:paraId="0AF0827C"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28.1</w:t>
            </w:r>
          </w:p>
        </w:tc>
        <w:tc>
          <w:tcPr>
            <w:tcW w:w="742" w:type="dxa"/>
            <w:shd w:val="clear" w:color="auto" w:fill="auto"/>
            <w:noWrap/>
            <w:hideMark/>
          </w:tcPr>
          <w:p w14:paraId="47CA8BB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28.8</w:t>
            </w:r>
          </w:p>
        </w:tc>
        <w:tc>
          <w:tcPr>
            <w:tcW w:w="741" w:type="dxa"/>
            <w:shd w:val="clear" w:color="auto" w:fill="auto"/>
            <w:noWrap/>
            <w:hideMark/>
          </w:tcPr>
          <w:p w14:paraId="405FB07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27.9</w:t>
            </w:r>
          </w:p>
        </w:tc>
        <w:tc>
          <w:tcPr>
            <w:tcW w:w="742" w:type="dxa"/>
            <w:shd w:val="clear" w:color="auto" w:fill="auto"/>
            <w:noWrap/>
            <w:hideMark/>
          </w:tcPr>
          <w:p w14:paraId="3200D6A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28.7</w:t>
            </w:r>
          </w:p>
        </w:tc>
        <w:tc>
          <w:tcPr>
            <w:tcW w:w="742" w:type="dxa"/>
            <w:shd w:val="clear" w:color="auto" w:fill="auto"/>
            <w:noWrap/>
            <w:hideMark/>
          </w:tcPr>
          <w:p w14:paraId="6537012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30.8</w:t>
            </w:r>
          </w:p>
        </w:tc>
        <w:tc>
          <w:tcPr>
            <w:tcW w:w="742" w:type="dxa"/>
            <w:shd w:val="clear" w:color="auto" w:fill="auto"/>
            <w:noWrap/>
            <w:hideMark/>
          </w:tcPr>
          <w:p w14:paraId="0A34427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30.7</w:t>
            </w:r>
          </w:p>
        </w:tc>
        <w:tc>
          <w:tcPr>
            <w:tcW w:w="742" w:type="dxa"/>
            <w:shd w:val="clear" w:color="auto" w:fill="auto"/>
            <w:noWrap/>
            <w:hideMark/>
          </w:tcPr>
          <w:p w14:paraId="11E7588E"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29.2</w:t>
            </w:r>
          </w:p>
        </w:tc>
      </w:tr>
      <w:tr w:rsidR="00AF0ADF" w:rsidRPr="00D960DD" w14:paraId="015C4AAE" w14:textId="77777777" w:rsidTr="00B94D3E">
        <w:trPr>
          <w:trHeight w:val="70"/>
        </w:trPr>
        <w:tc>
          <w:tcPr>
            <w:tcW w:w="3060" w:type="dxa"/>
            <w:shd w:val="clear" w:color="auto" w:fill="auto"/>
            <w:noWrap/>
            <w:hideMark/>
          </w:tcPr>
          <w:p w14:paraId="055C51F2" w14:textId="77777777" w:rsidR="00AF0ADF" w:rsidRPr="00D960DD" w:rsidRDefault="00AF0ADF" w:rsidP="00AF0ADF">
            <w:pPr>
              <w:ind w:firstLineChars="100" w:firstLine="200"/>
              <w:rPr>
                <w:rFonts w:cstheme="minorHAnsi"/>
                <w:color w:val="000000"/>
                <w:sz w:val="20"/>
                <w:szCs w:val="20"/>
              </w:rPr>
            </w:pPr>
            <w:r w:rsidRPr="00D960DD">
              <w:rPr>
                <w:rFonts w:cstheme="minorHAnsi"/>
                <w:color w:val="000000"/>
                <w:sz w:val="20"/>
                <w:szCs w:val="20"/>
              </w:rPr>
              <w:t>2,001 births and over</w:t>
            </w:r>
          </w:p>
        </w:tc>
        <w:tc>
          <w:tcPr>
            <w:tcW w:w="741" w:type="dxa"/>
            <w:shd w:val="clear" w:color="auto" w:fill="auto"/>
            <w:noWrap/>
            <w:hideMark/>
          </w:tcPr>
          <w:p w14:paraId="41C053E8"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27.3</w:t>
            </w:r>
          </w:p>
        </w:tc>
        <w:tc>
          <w:tcPr>
            <w:tcW w:w="742" w:type="dxa"/>
            <w:shd w:val="clear" w:color="auto" w:fill="auto"/>
            <w:noWrap/>
            <w:hideMark/>
          </w:tcPr>
          <w:p w14:paraId="0A5FBE75"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26.9</w:t>
            </w:r>
          </w:p>
        </w:tc>
        <w:tc>
          <w:tcPr>
            <w:tcW w:w="742" w:type="dxa"/>
            <w:shd w:val="clear" w:color="auto" w:fill="auto"/>
            <w:noWrap/>
            <w:hideMark/>
          </w:tcPr>
          <w:p w14:paraId="161A3372"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27.1</w:t>
            </w:r>
          </w:p>
        </w:tc>
        <w:tc>
          <w:tcPr>
            <w:tcW w:w="742" w:type="dxa"/>
            <w:shd w:val="clear" w:color="auto" w:fill="auto"/>
            <w:noWrap/>
            <w:hideMark/>
          </w:tcPr>
          <w:p w14:paraId="063464F3"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27.2</w:t>
            </w:r>
          </w:p>
        </w:tc>
        <w:tc>
          <w:tcPr>
            <w:tcW w:w="741" w:type="dxa"/>
            <w:shd w:val="clear" w:color="auto" w:fill="auto"/>
            <w:noWrap/>
            <w:hideMark/>
          </w:tcPr>
          <w:p w14:paraId="23116B29"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27.6</w:t>
            </w:r>
          </w:p>
        </w:tc>
        <w:tc>
          <w:tcPr>
            <w:tcW w:w="742" w:type="dxa"/>
            <w:shd w:val="clear" w:color="auto" w:fill="auto"/>
            <w:noWrap/>
            <w:hideMark/>
          </w:tcPr>
          <w:p w14:paraId="6E48D62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28.2</w:t>
            </w:r>
          </w:p>
        </w:tc>
        <w:tc>
          <w:tcPr>
            <w:tcW w:w="742" w:type="dxa"/>
            <w:shd w:val="clear" w:color="auto" w:fill="auto"/>
            <w:noWrap/>
            <w:hideMark/>
          </w:tcPr>
          <w:p w14:paraId="7B4CF407"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28.8</w:t>
            </w:r>
          </w:p>
        </w:tc>
        <w:tc>
          <w:tcPr>
            <w:tcW w:w="742" w:type="dxa"/>
            <w:shd w:val="clear" w:color="auto" w:fill="auto"/>
            <w:noWrap/>
            <w:hideMark/>
          </w:tcPr>
          <w:p w14:paraId="523AAA9A"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29.9</w:t>
            </w:r>
          </w:p>
        </w:tc>
        <w:tc>
          <w:tcPr>
            <w:tcW w:w="742" w:type="dxa"/>
            <w:shd w:val="clear" w:color="auto" w:fill="auto"/>
            <w:noWrap/>
            <w:hideMark/>
          </w:tcPr>
          <w:p w14:paraId="2FAFABBD" w14:textId="77777777" w:rsidR="00AF0ADF" w:rsidRPr="00D960DD" w:rsidRDefault="00AF0ADF" w:rsidP="00AF0ADF">
            <w:pPr>
              <w:jc w:val="right"/>
              <w:rPr>
                <w:rFonts w:cstheme="minorHAnsi"/>
                <w:color w:val="000000"/>
                <w:sz w:val="20"/>
                <w:szCs w:val="20"/>
              </w:rPr>
            </w:pPr>
            <w:r w:rsidRPr="00D960DD">
              <w:rPr>
                <w:rFonts w:cstheme="minorHAnsi"/>
                <w:color w:val="000000"/>
                <w:sz w:val="20"/>
                <w:szCs w:val="20"/>
              </w:rPr>
              <w:t>30.5</w:t>
            </w:r>
          </w:p>
        </w:tc>
      </w:tr>
    </w:tbl>
    <w:p w14:paraId="4B889C5B" w14:textId="1107EA82" w:rsidR="00317739" w:rsidRPr="007667EF" w:rsidRDefault="00317739" w:rsidP="00317739">
      <w:pPr>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9C3E6A">
        <w:rPr>
          <w:sz w:val="18"/>
          <w:szCs w:val="18"/>
        </w:rPr>
        <w:t>.</w:t>
      </w:r>
    </w:p>
    <w:p w14:paraId="05719DB8" w14:textId="77777777" w:rsidR="00B94D3E" w:rsidRDefault="00B94D3E" w:rsidP="00940A8B">
      <w:pPr>
        <w:ind w:left="284" w:hanging="284"/>
        <w:rPr>
          <w:b/>
          <w:sz w:val="18"/>
          <w:szCs w:val="18"/>
        </w:rPr>
      </w:pPr>
    </w:p>
    <w:p w14:paraId="2282C794" w14:textId="60A06C8F" w:rsidR="00AF0ADF" w:rsidRPr="00B94D3E" w:rsidRDefault="00AF0ADF" w:rsidP="00940A8B">
      <w:pPr>
        <w:ind w:left="284" w:hanging="284"/>
        <w:rPr>
          <w:b/>
          <w:sz w:val="18"/>
          <w:szCs w:val="18"/>
        </w:rPr>
      </w:pPr>
      <w:r w:rsidRPr="00B94D3E">
        <w:rPr>
          <w:b/>
          <w:sz w:val="18"/>
          <w:szCs w:val="18"/>
        </w:rPr>
        <w:t>Data notes</w:t>
      </w:r>
    </w:p>
    <w:p w14:paraId="0E2F4E56" w14:textId="77777777" w:rsidR="00AF0ADF" w:rsidRPr="007667EF" w:rsidRDefault="00AF0ADF" w:rsidP="008D3FB5">
      <w:pPr>
        <w:pStyle w:val="pf0"/>
        <w:numPr>
          <w:ilvl w:val="0"/>
          <w:numId w:val="14"/>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 xml:space="preserve">Data was included where age at birth was between 37 and 41 completed weeks, with a singleton baby in the vertex presentation </w:t>
      </w:r>
    </w:p>
    <w:p w14:paraId="003DF941" w14:textId="77777777" w:rsidR="00FE0A19" w:rsidRPr="007667EF" w:rsidRDefault="00FE0A19" w:rsidP="00C24842">
      <w:pPr>
        <w:pStyle w:val="pf0"/>
        <w:numPr>
          <w:ilvl w:val="0"/>
          <w:numId w:val="14"/>
        </w:numPr>
        <w:spacing w:before="0" w:beforeAutospacing="0" w:after="0" w:afterAutospacing="0"/>
        <w:ind w:left="284" w:hanging="284"/>
        <w:rPr>
          <w:rFonts w:asciiTheme="minorHAnsi" w:hAnsiTheme="minorHAnsi"/>
          <w:sz w:val="18"/>
          <w:szCs w:val="18"/>
        </w:rPr>
      </w:pPr>
      <w:r w:rsidRPr="00FE0A19">
        <w:rPr>
          <w:rFonts w:asciiTheme="minorHAnsi" w:hAnsiTheme="minorHAnsi"/>
          <w:sz w:val="18"/>
          <w:szCs w:val="18"/>
        </w:rPr>
        <w:t>Selected women are defined as ‘aged between 20 and 34 years, where gestational age at birth was between 37 and 41 completed weeks, with a singleton baby in the vertex presentation)’. They are reported on separately as it is expected that they will have fewer labour complications and more optimal birth outcomes due to their lower risk. This cohort represents about one quarter of all women who give birth in Australia.</w:t>
      </w:r>
    </w:p>
    <w:p w14:paraId="33661512" w14:textId="77777777" w:rsidR="00AF0ADF" w:rsidRPr="007667EF" w:rsidRDefault="00AF0ADF" w:rsidP="008D3FB5">
      <w:pPr>
        <w:pStyle w:val="pf0"/>
        <w:numPr>
          <w:ilvl w:val="0"/>
          <w:numId w:val="14"/>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Data for Tasmania was not available until 2013. Presentations via caesarean births between 2005 and 2012 were not reported by hospitals who were still using the paper-based form. In these instances, if a caesarean section occurred the presentation was recorded as ‘Not stated’. Presentations via caesarean births was included in the paper-based form from 1 January 2013.</w:t>
      </w:r>
    </w:p>
    <w:p w14:paraId="6E432835" w14:textId="3E584F4A" w:rsidR="00AF0ADF" w:rsidRPr="00A71004" w:rsidRDefault="00AF0ADF" w:rsidP="008D3FB5">
      <w:pPr>
        <w:pStyle w:val="pf0"/>
        <w:numPr>
          <w:ilvl w:val="0"/>
          <w:numId w:val="14"/>
        </w:numPr>
        <w:spacing w:before="0" w:beforeAutospacing="0" w:after="0" w:afterAutospacing="0"/>
        <w:ind w:left="284" w:hanging="284"/>
        <w:rPr>
          <w:rFonts w:asciiTheme="minorHAnsi" w:hAnsiTheme="minorHAnsi"/>
          <w:sz w:val="18"/>
          <w:szCs w:val="18"/>
        </w:rPr>
      </w:pPr>
      <w:r w:rsidRPr="00A71004">
        <w:rPr>
          <w:rFonts w:asciiTheme="minorHAnsi" w:hAnsiTheme="minorHAnsi"/>
          <w:sz w:val="18"/>
          <w:szCs w:val="18"/>
        </w:rPr>
        <w:t>Percentages for mother</w:t>
      </w:r>
      <w:r w:rsidR="006621B8" w:rsidRPr="00A71004">
        <w:rPr>
          <w:rFonts w:asciiTheme="minorHAnsi" w:hAnsiTheme="minorHAnsi"/>
          <w:sz w:val="18"/>
          <w:szCs w:val="18"/>
        </w:rPr>
        <w:t>’</w:t>
      </w:r>
      <w:r w:rsidRPr="00A71004">
        <w:rPr>
          <w:rFonts w:asciiTheme="minorHAnsi" w:hAnsiTheme="minorHAnsi"/>
          <w:sz w:val="18"/>
          <w:szCs w:val="18"/>
        </w:rPr>
        <w:t>s Indigenous status are age-standardised.</w:t>
      </w:r>
    </w:p>
    <w:p w14:paraId="1CDFB8B4" w14:textId="6A5153E9" w:rsidR="00A71004" w:rsidRPr="00B94D3E" w:rsidRDefault="00A71004" w:rsidP="008D3FB5">
      <w:pPr>
        <w:pStyle w:val="pf0"/>
        <w:numPr>
          <w:ilvl w:val="0"/>
          <w:numId w:val="14"/>
        </w:numPr>
        <w:spacing w:before="0" w:beforeAutospacing="0" w:after="0" w:afterAutospacing="0"/>
        <w:ind w:left="284" w:hanging="284"/>
        <w:rPr>
          <w:rFonts w:asciiTheme="minorHAnsi" w:hAnsiTheme="minorHAnsi"/>
          <w:sz w:val="18"/>
          <w:szCs w:val="18"/>
        </w:rPr>
      </w:pPr>
      <w:bookmarkStart w:id="436" w:name="_Ref117096194"/>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43985A80" w14:textId="4DBD82EB" w:rsidR="00940A8B" w:rsidRPr="007667EF" w:rsidRDefault="00940A8B" w:rsidP="00B94D3E">
      <w:pPr>
        <w:rPr>
          <w:sz w:val="18"/>
          <w:szCs w:val="18"/>
        </w:rPr>
      </w:pPr>
      <w:r w:rsidRPr="007667EF">
        <w:br w:type="page"/>
      </w:r>
    </w:p>
    <w:p w14:paraId="3F8A7B77" w14:textId="13B8AA98" w:rsidR="00AF0ADF" w:rsidRPr="0054118D" w:rsidRDefault="00AF0ADF" w:rsidP="00AF0ADF">
      <w:pPr>
        <w:pStyle w:val="Caption"/>
        <w:rPr>
          <w:sz w:val="20"/>
          <w:szCs w:val="20"/>
        </w:rPr>
      </w:pPr>
      <w:bookmarkStart w:id="437" w:name="_Ref117928263"/>
      <w:bookmarkStart w:id="438" w:name="_Toc121429199"/>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23</w:t>
      </w:r>
      <w:r w:rsidR="00A64FC5" w:rsidRPr="0054118D">
        <w:rPr>
          <w:noProof/>
          <w:sz w:val="20"/>
          <w:szCs w:val="20"/>
        </w:rPr>
        <w:fldChar w:fldCharType="end"/>
      </w:r>
      <w:bookmarkEnd w:id="436"/>
      <w:bookmarkEnd w:id="437"/>
      <w:r w:rsidRPr="0054118D">
        <w:rPr>
          <w:sz w:val="20"/>
          <w:szCs w:val="20"/>
        </w:rPr>
        <w:tab/>
        <w:t>Non-instrumental vaginal birth</w:t>
      </w:r>
      <w:r w:rsidR="0054118D">
        <w:rPr>
          <w:sz w:val="20"/>
          <w:szCs w:val="20"/>
        </w:rPr>
        <w:t>,</w:t>
      </w:r>
      <w:r w:rsidRPr="0054118D">
        <w:rPr>
          <w:sz w:val="20"/>
          <w:szCs w:val="20"/>
        </w:rPr>
        <w:t xml:space="preserve"> selected women</w:t>
      </w:r>
      <w:r w:rsidR="009D1604">
        <w:rPr>
          <w:sz w:val="20"/>
          <w:szCs w:val="20"/>
        </w:rPr>
        <w:t>, first birth</w:t>
      </w:r>
      <w:r w:rsidRPr="0054118D">
        <w:rPr>
          <w:sz w:val="20"/>
          <w:szCs w:val="20"/>
        </w:rPr>
        <w:t xml:space="preserve"> (PI07), 2011–2019</w:t>
      </w:r>
      <w:bookmarkEnd w:id="4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757"/>
        <w:gridCol w:w="757"/>
        <w:gridCol w:w="757"/>
        <w:gridCol w:w="757"/>
        <w:gridCol w:w="757"/>
        <w:gridCol w:w="757"/>
        <w:gridCol w:w="757"/>
        <w:gridCol w:w="757"/>
        <w:gridCol w:w="765"/>
      </w:tblGrid>
      <w:tr w:rsidR="00AF0ADF" w:rsidRPr="00B16773" w14:paraId="2E8B06E7" w14:textId="77777777" w:rsidTr="00B94D3E">
        <w:trPr>
          <w:trHeight w:val="226"/>
        </w:trPr>
        <w:tc>
          <w:tcPr>
            <w:tcW w:w="1540" w:type="pct"/>
            <w:shd w:val="clear" w:color="auto" w:fill="auto"/>
            <w:noWrap/>
            <w:hideMark/>
          </w:tcPr>
          <w:p w14:paraId="67207C93" w14:textId="77777777" w:rsidR="00AF0ADF" w:rsidRPr="00B94D3E" w:rsidRDefault="00AF0ADF" w:rsidP="00AF0ADF">
            <w:pPr>
              <w:rPr>
                <w:rFonts w:cstheme="minorHAnsi"/>
                <w:b/>
                <w:bCs/>
                <w:color w:val="000000"/>
                <w:sz w:val="20"/>
                <w:szCs w:val="20"/>
              </w:rPr>
            </w:pPr>
          </w:p>
        </w:tc>
        <w:tc>
          <w:tcPr>
            <w:tcW w:w="384" w:type="pct"/>
            <w:shd w:val="clear" w:color="auto" w:fill="auto"/>
            <w:noWrap/>
            <w:vAlign w:val="center"/>
            <w:hideMark/>
          </w:tcPr>
          <w:p w14:paraId="6457F688"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2011</w:t>
            </w:r>
          </w:p>
        </w:tc>
        <w:tc>
          <w:tcPr>
            <w:tcW w:w="384" w:type="pct"/>
            <w:shd w:val="clear" w:color="auto" w:fill="auto"/>
            <w:noWrap/>
            <w:vAlign w:val="center"/>
            <w:hideMark/>
          </w:tcPr>
          <w:p w14:paraId="1D99A529"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2012</w:t>
            </w:r>
          </w:p>
        </w:tc>
        <w:tc>
          <w:tcPr>
            <w:tcW w:w="384" w:type="pct"/>
            <w:shd w:val="clear" w:color="auto" w:fill="auto"/>
            <w:noWrap/>
            <w:vAlign w:val="center"/>
            <w:hideMark/>
          </w:tcPr>
          <w:p w14:paraId="2A61E2FF"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2013</w:t>
            </w:r>
          </w:p>
        </w:tc>
        <w:tc>
          <w:tcPr>
            <w:tcW w:w="384" w:type="pct"/>
            <w:shd w:val="clear" w:color="auto" w:fill="auto"/>
            <w:noWrap/>
            <w:vAlign w:val="center"/>
            <w:hideMark/>
          </w:tcPr>
          <w:p w14:paraId="084E26F5"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2014</w:t>
            </w:r>
          </w:p>
        </w:tc>
        <w:tc>
          <w:tcPr>
            <w:tcW w:w="384" w:type="pct"/>
            <w:shd w:val="clear" w:color="auto" w:fill="auto"/>
            <w:noWrap/>
            <w:vAlign w:val="center"/>
            <w:hideMark/>
          </w:tcPr>
          <w:p w14:paraId="39394212"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2015</w:t>
            </w:r>
          </w:p>
        </w:tc>
        <w:tc>
          <w:tcPr>
            <w:tcW w:w="384" w:type="pct"/>
            <w:shd w:val="clear" w:color="auto" w:fill="auto"/>
            <w:noWrap/>
            <w:vAlign w:val="center"/>
            <w:hideMark/>
          </w:tcPr>
          <w:p w14:paraId="64A887CD"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2016</w:t>
            </w:r>
          </w:p>
        </w:tc>
        <w:tc>
          <w:tcPr>
            <w:tcW w:w="384" w:type="pct"/>
            <w:shd w:val="clear" w:color="auto" w:fill="auto"/>
            <w:noWrap/>
            <w:vAlign w:val="center"/>
            <w:hideMark/>
          </w:tcPr>
          <w:p w14:paraId="306EA674"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2017</w:t>
            </w:r>
          </w:p>
        </w:tc>
        <w:tc>
          <w:tcPr>
            <w:tcW w:w="384" w:type="pct"/>
            <w:shd w:val="clear" w:color="auto" w:fill="auto"/>
            <w:noWrap/>
            <w:vAlign w:val="center"/>
            <w:hideMark/>
          </w:tcPr>
          <w:p w14:paraId="1FF487F5"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2018</w:t>
            </w:r>
          </w:p>
        </w:tc>
        <w:tc>
          <w:tcPr>
            <w:tcW w:w="387" w:type="pct"/>
            <w:shd w:val="clear" w:color="auto" w:fill="auto"/>
            <w:noWrap/>
            <w:vAlign w:val="center"/>
            <w:hideMark/>
          </w:tcPr>
          <w:p w14:paraId="0310975A"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2019</w:t>
            </w:r>
          </w:p>
        </w:tc>
      </w:tr>
      <w:tr w:rsidR="00AF0ADF" w:rsidRPr="00B16773" w14:paraId="6C577032" w14:textId="77777777" w:rsidTr="00A7329A">
        <w:trPr>
          <w:trHeight w:val="226"/>
        </w:trPr>
        <w:tc>
          <w:tcPr>
            <w:tcW w:w="1540" w:type="pct"/>
            <w:shd w:val="clear" w:color="auto" w:fill="auto"/>
            <w:noWrap/>
          </w:tcPr>
          <w:p w14:paraId="26949008" w14:textId="77777777" w:rsidR="00AF0ADF" w:rsidRPr="00B94D3E" w:rsidRDefault="00AF0ADF" w:rsidP="00AF0ADF">
            <w:pPr>
              <w:rPr>
                <w:rFonts w:cstheme="minorHAnsi"/>
                <w:b/>
                <w:bCs/>
                <w:color w:val="000000"/>
                <w:sz w:val="20"/>
                <w:szCs w:val="20"/>
              </w:rPr>
            </w:pPr>
          </w:p>
        </w:tc>
        <w:tc>
          <w:tcPr>
            <w:tcW w:w="3460" w:type="pct"/>
            <w:gridSpan w:val="9"/>
            <w:shd w:val="clear" w:color="auto" w:fill="auto"/>
            <w:noWrap/>
          </w:tcPr>
          <w:p w14:paraId="2C6651A8" w14:textId="77777777" w:rsidR="00AF0ADF" w:rsidRPr="00B94D3E" w:rsidRDefault="00AF0ADF" w:rsidP="00AF0ADF">
            <w:pPr>
              <w:jc w:val="center"/>
              <w:rPr>
                <w:rFonts w:cstheme="minorHAnsi"/>
                <w:b/>
                <w:bCs/>
                <w:color w:val="000000"/>
                <w:sz w:val="20"/>
                <w:szCs w:val="20"/>
              </w:rPr>
            </w:pPr>
            <w:r w:rsidRPr="00A7329A">
              <w:rPr>
                <w:rFonts w:cstheme="minorHAnsi"/>
                <w:b/>
                <w:bCs/>
                <w:sz w:val="20"/>
                <w:szCs w:val="20"/>
              </w:rPr>
              <w:t>In per cent (%)</w:t>
            </w:r>
          </w:p>
        </w:tc>
      </w:tr>
      <w:tr w:rsidR="00AF0ADF" w:rsidRPr="00B16773" w14:paraId="29F0E566" w14:textId="77777777" w:rsidTr="00AF0ADF">
        <w:trPr>
          <w:trHeight w:val="226"/>
        </w:trPr>
        <w:tc>
          <w:tcPr>
            <w:tcW w:w="5000" w:type="pct"/>
            <w:gridSpan w:val="10"/>
            <w:shd w:val="clear" w:color="auto" w:fill="auto"/>
            <w:noWrap/>
            <w:hideMark/>
          </w:tcPr>
          <w:p w14:paraId="71782A05" w14:textId="77777777" w:rsidR="00AF0ADF" w:rsidRPr="00B94D3E" w:rsidRDefault="00AF0ADF" w:rsidP="00AF0ADF">
            <w:pPr>
              <w:rPr>
                <w:rFonts w:cstheme="minorHAnsi"/>
                <w:sz w:val="20"/>
                <w:szCs w:val="20"/>
              </w:rPr>
            </w:pPr>
            <w:r w:rsidRPr="00B94D3E">
              <w:rPr>
                <w:rFonts w:cstheme="minorHAnsi"/>
                <w:b/>
                <w:bCs/>
                <w:color w:val="000000"/>
                <w:sz w:val="20"/>
                <w:szCs w:val="20"/>
              </w:rPr>
              <w:t>Australia</w:t>
            </w:r>
          </w:p>
        </w:tc>
      </w:tr>
      <w:tr w:rsidR="00AF0ADF" w:rsidRPr="00B16773" w14:paraId="38F182AA" w14:textId="77777777" w:rsidTr="00A7329A">
        <w:trPr>
          <w:trHeight w:val="226"/>
        </w:trPr>
        <w:tc>
          <w:tcPr>
            <w:tcW w:w="1540" w:type="pct"/>
            <w:shd w:val="clear" w:color="auto" w:fill="auto"/>
            <w:noWrap/>
            <w:hideMark/>
          </w:tcPr>
          <w:p w14:paraId="199D3CF8"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Total</w:t>
            </w:r>
          </w:p>
        </w:tc>
        <w:tc>
          <w:tcPr>
            <w:tcW w:w="384" w:type="pct"/>
            <w:shd w:val="clear" w:color="auto" w:fill="auto"/>
            <w:noWrap/>
            <w:hideMark/>
          </w:tcPr>
          <w:p w14:paraId="4038B17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47.9</w:t>
            </w:r>
          </w:p>
        </w:tc>
        <w:tc>
          <w:tcPr>
            <w:tcW w:w="384" w:type="pct"/>
            <w:shd w:val="clear" w:color="auto" w:fill="auto"/>
            <w:noWrap/>
            <w:hideMark/>
          </w:tcPr>
          <w:p w14:paraId="59FBEA2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47.9</w:t>
            </w:r>
          </w:p>
        </w:tc>
        <w:tc>
          <w:tcPr>
            <w:tcW w:w="384" w:type="pct"/>
            <w:shd w:val="clear" w:color="auto" w:fill="auto"/>
            <w:noWrap/>
            <w:hideMark/>
          </w:tcPr>
          <w:p w14:paraId="3051E90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47.1</w:t>
            </w:r>
          </w:p>
        </w:tc>
        <w:tc>
          <w:tcPr>
            <w:tcW w:w="384" w:type="pct"/>
            <w:shd w:val="clear" w:color="auto" w:fill="auto"/>
            <w:noWrap/>
            <w:hideMark/>
          </w:tcPr>
          <w:p w14:paraId="516580B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46.6</w:t>
            </w:r>
          </w:p>
        </w:tc>
        <w:tc>
          <w:tcPr>
            <w:tcW w:w="384" w:type="pct"/>
            <w:shd w:val="clear" w:color="auto" w:fill="auto"/>
            <w:noWrap/>
            <w:hideMark/>
          </w:tcPr>
          <w:p w14:paraId="3E08D2A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46.5</w:t>
            </w:r>
          </w:p>
        </w:tc>
        <w:tc>
          <w:tcPr>
            <w:tcW w:w="384" w:type="pct"/>
            <w:shd w:val="clear" w:color="auto" w:fill="auto"/>
            <w:noWrap/>
            <w:hideMark/>
          </w:tcPr>
          <w:p w14:paraId="73859A5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45.5</w:t>
            </w:r>
          </w:p>
        </w:tc>
        <w:tc>
          <w:tcPr>
            <w:tcW w:w="384" w:type="pct"/>
            <w:shd w:val="clear" w:color="auto" w:fill="auto"/>
            <w:noWrap/>
            <w:hideMark/>
          </w:tcPr>
          <w:p w14:paraId="677F07B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44.6</w:t>
            </w:r>
          </w:p>
        </w:tc>
        <w:tc>
          <w:tcPr>
            <w:tcW w:w="384" w:type="pct"/>
            <w:shd w:val="clear" w:color="auto" w:fill="auto"/>
            <w:noWrap/>
            <w:hideMark/>
          </w:tcPr>
          <w:p w14:paraId="0F58117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43.8</w:t>
            </w:r>
          </w:p>
        </w:tc>
        <w:tc>
          <w:tcPr>
            <w:tcW w:w="387" w:type="pct"/>
            <w:shd w:val="clear" w:color="auto" w:fill="auto"/>
            <w:noWrap/>
            <w:hideMark/>
          </w:tcPr>
          <w:p w14:paraId="40A299C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43.1</w:t>
            </w:r>
          </w:p>
        </w:tc>
      </w:tr>
      <w:tr w:rsidR="00AF0ADF" w:rsidRPr="00B16773" w14:paraId="294E5481" w14:textId="77777777" w:rsidTr="00AF0ADF">
        <w:trPr>
          <w:trHeight w:val="226"/>
        </w:trPr>
        <w:tc>
          <w:tcPr>
            <w:tcW w:w="5000" w:type="pct"/>
            <w:gridSpan w:val="10"/>
            <w:shd w:val="clear" w:color="auto" w:fill="auto"/>
            <w:noWrap/>
            <w:hideMark/>
          </w:tcPr>
          <w:p w14:paraId="242E8FC6" w14:textId="304E6748" w:rsidR="00AF0ADF" w:rsidRPr="00B94D3E" w:rsidRDefault="00AF0ADF" w:rsidP="00AF0ADF">
            <w:pPr>
              <w:rPr>
                <w:rFonts w:cstheme="minorHAnsi"/>
                <w:sz w:val="20"/>
                <w:szCs w:val="20"/>
              </w:rPr>
            </w:pPr>
            <w:r w:rsidRPr="00B94D3E">
              <w:rPr>
                <w:rFonts w:cstheme="minorHAnsi"/>
                <w:b/>
                <w:bCs/>
                <w:color w:val="000000"/>
                <w:sz w:val="20"/>
                <w:szCs w:val="20"/>
              </w:rPr>
              <w:t xml:space="preserve">Mother's </w:t>
            </w:r>
            <w:r w:rsidR="00FB0C38">
              <w:rPr>
                <w:rFonts w:cstheme="minorHAnsi"/>
                <w:b/>
                <w:bCs/>
                <w:color w:val="000000"/>
                <w:sz w:val="20"/>
                <w:szCs w:val="20"/>
              </w:rPr>
              <w:t>Indig</w:t>
            </w:r>
            <w:r w:rsidRPr="00B94D3E">
              <w:rPr>
                <w:rFonts w:cstheme="minorHAnsi"/>
                <w:b/>
                <w:bCs/>
                <w:color w:val="000000"/>
                <w:sz w:val="20"/>
                <w:szCs w:val="20"/>
              </w:rPr>
              <w:t>enous status</w:t>
            </w:r>
          </w:p>
        </w:tc>
      </w:tr>
      <w:tr w:rsidR="00AF0ADF" w:rsidRPr="00B16773" w14:paraId="52F2985C" w14:textId="77777777" w:rsidTr="00A7329A">
        <w:trPr>
          <w:trHeight w:val="226"/>
        </w:trPr>
        <w:tc>
          <w:tcPr>
            <w:tcW w:w="1540" w:type="pct"/>
            <w:shd w:val="clear" w:color="auto" w:fill="auto"/>
            <w:noWrap/>
            <w:hideMark/>
          </w:tcPr>
          <w:p w14:paraId="3D0CADD5"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Indigenous</w:t>
            </w:r>
          </w:p>
        </w:tc>
        <w:tc>
          <w:tcPr>
            <w:tcW w:w="384" w:type="pct"/>
            <w:shd w:val="clear" w:color="auto" w:fill="auto"/>
            <w:noWrap/>
            <w:hideMark/>
          </w:tcPr>
          <w:p w14:paraId="2A759D7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52.0</w:t>
            </w:r>
          </w:p>
        </w:tc>
        <w:tc>
          <w:tcPr>
            <w:tcW w:w="384" w:type="pct"/>
            <w:shd w:val="clear" w:color="auto" w:fill="auto"/>
            <w:noWrap/>
            <w:hideMark/>
          </w:tcPr>
          <w:p w14:paraId="7D26DD4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51.9</w:t>
            </w:r>
          </w:p>
        </w:tc>
        <w:tc>
          <w:tcPr>
            <w:tcW w:w="384" w:type="pct"/>
            <w:shd w:val="clear" w:color="auto" w:fill="auto"/>
            <w:noWrap/>
            <w:hideMark/>
          </w:tcPr>
          <w:p w14:paraId="5704FBE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49.1</w:t>
            </w:r>
          </w:p>
        </w:tc>
        <w:tc>
          <w:tcPr>
            <w:tcW w:w="384" w:type="pct"/>
            <w:shd w:val="clear" w:color="auto" w:fill="auto"/>
            <w:noWrap/>
            <w:hideMark/>
          </w:tcPr>
          <w:p w14:paraId="7541F0B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47.1</w:t>
            </w:r>
          </w:p>
        </w:tc>
        <w:tc>
          <w:tcPr>
            <w:tcW w:w="384" w:type="pct"/>
            <w:shd w:val="clear" w:color="auto" w:fill="auto"/>
            <w:noWrap/>
            <w:hideMark/>
          </w:tcPr>
          <w:p w14:paraId="7DBD789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51.2</w:t>
            </w:r>
          </w:p>
        </w:tc>
        <w:tc>
          <w:tcPr>
            <w:tcW w:w="384" w:type="pct"/>
            <w:shd w:val="clear" w:color="auto" w:fill="auto"/>
            <w:noWrap/>
            <w:hideMark/>
          </w:tcPr>
          <w:p w14:paraId="68C85BD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51.0</w:t>
            </w:r>
          </w:p>
        </w:tc>
        <w:tc>
          <w:tcPr>
            <w:tcW w:w="384" w:type="pct"/>
            <w:shd w:val="clear" w:color="auto" w:fill="auto"/>
            <w:noWrap/>
            <w:hideMark/>
          </w:tcPr>
          <w:p w14:paraId="69778A3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48.4</w:t>
            </w:r>
          </w:p>
        </w:tc>
        <w:tc>
          <w:tcPr>
            <w:tcW w:w="384" w:type="pct"/>
            <w:shd w:val="clear" w:color="auto" w:fill="auto"/>
            <w:noWrap/>
            <w:hideMark/>
          </w:tcPr>
          <w:p w14:paraId="29FD39C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47.7</w:t>
            </w:r>
          </w:p>
        </w:tc>
        <w:tc>
          <w:tcPr>
            <w:tcW w:w="387" w:type="pct"/>
            <w:shd w:val="clear" w:color="auto" w:fill="auto"/>
            <w:noWrap/>
            <w:hideMark/>
          </w:tcPr>
          <w:p w14:paraId="729ED8D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47.1</w:t>
            </w:r>
          </w:p>
        </w:tc>
      </w:tr>
      <w:tr w:rsidR="00AF0ADF" w:rsidRPr="00B16773" w14:paraId="56DB3B59" w14:textId="77777777" w:rsidTr="00A7329A">
        <w:trPr>
          <w:trHeight w:val="226"/>
        </w:trPr>
        <w:tc>
          <w:tcPr>
            <w:tcW w:w="1540" w:type="pct"/>
            <w:shd w:val="clear" w:color="auto" w:fill="auto"/>
            <w:noWrap/>
            <w:hideMark/>
          </w:tcPr>
          <w:p w14:paraId="3FCBE7D9"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Non-Indigenous</w:t>
            </w:r>
          </w:p>
        </w:tc>
        <w:tc>
          <w:tcPr>
            <w:tcW w:w="384" w:type="pct"/>
            <w:shd w:val="clear" w:color="auto" w:fill="auto"/>
            <w:noWrap/>
            <w:hideMark/>
          </w:tcPr>
          <w:p w14:paraId="0C8A554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48.8</w:t>
            </w:r>
          </w:p>
        </w:tc>
        <w:tc>
          <w:tcPr>
            <w:tcW w:w="384" w:type="pct"/>
            <w:shd w:val="clear" w:color="auto" w:fill="auto"/>
            <w:noWrap/>
            <w:hideMark/>
          </w:tcPr>
          <w:p w14:paraId="31F6A91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48.9</w:t>
            </w:r>
          </w:p>
        </w:tc>
        <w:tc>
          <w:tcPr>
            <w:tcW w:w="384" w:type="pct"/>
            <w:shd w:val="clear" w:color="auto" w:fill="auto"/>
            <w:noWrap/>
            <w:hideMark/>
          </w:tcPr>
          <w:p w14:paraId="5EC27DF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48.3</w:t>
            </w:r>
          </w:p>
        </w:tc>
        <w:tc>
          <w:tcPr>
            <w:tcW w:w="384" w:type="pct"/>
            <w:shd w:val="clear" w:color="auto" w:fill="auto"/>
            <w:noWrap/>
            <w:hideMark/>
          </w:tcPr>
          <w:p w14:paraId="66679B6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48.1</w:t>
            </w:r>
          </w:p>
        </w:tc>
        <w:tc>
          <w:tcPr>
            <w:tcW w:w="384" w:type="pct"/>
            <w:shd w:val="clear" w:color="auto" w:fill="auto"/>
            <w:noWrap/>
            <w:hideMark/>
          </w:tcPr>
          <w:p w14:paraId="2FC10E5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48.0</w:t>
            </w:r>
          </w:p>
        </w:tc>
        <w:tc>
          <w:tcPr>
            <w:tcW w:w="384" w:type="pct"/>
            <w:shd w:val="clear" w:color="auto" w:fill="auto"/>
            <w:noWrap/>
            <w:hideMark/>
          </w:tcPr>
          <w:p w14:paraId="1C4EFBB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47.2</w:t>
            </w:r>
          </w:p>
        </w:tc>
        <w:tc>
          <w:tcPr>
            <w:tcW w:w="384" w:type="pct"/>
            <w:shd w:val="clear" w:color="auto" w:fill="auto"/>
            <w:noWrap/>
            <w:hideMark/>
          </w:tcPr>
          <w:p w14:paraId="1D1C51F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46.3</w:t>
            </w:r>
          </w:p>
        </w:tc>
        <w:tc>
          <w:tcPr>
            <w:tcW w:w="384" w:type="pct"/>
            <w:shd w:val="clear" w:color="auto" w:fill="auto"/>
            <w:noWrap/>
            <w:hideMark/>
          </w:tcPr>
          <w:p w14:paraId="6281FF9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45.7</w:t>
            </w:r>
          </w:p>
        </w:tc>
        <w:tc>
          <w:tcPr>
            <w:tcW w:w="387" w:type="pct"/>
            <w:shd w:val="clear" w:color="auto" w:fill="auto"/>
            <w:noWrap/>
            <w:hideMark/>
          </w:tcPr>
          <w:p w14:paraId="30375C4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45.1</w:t>
            </w:r>
          </w:p>
        </w:tc>
      </w:tr>
      <w:tr w:rsidR="00AF0ADF" w:rsidRPr="00B16773" w14:paraId="6A137962" w14:textId="77777777" w:rsidTr="00AF0ADF">
        <w:trPr>
          <w:trHeight w:val="226"/>
        </w:trPr>
        <w:tc>
          <w:tcPr>
            <w:tcW w:w="5000" w:type="pct"/>
            <w:gridSpan w:val="10"/>
            <w:shd w:val="clear" w:color="auto" w:fill="auto"/>
            <w:noWrap/>
            <w:hideMark/>
          </w:tcPr>
          <w:p w14:paraId="3380AA56" w14:textId="77777777" w:rsidR="00AF0ADF" w:rsidRPr="00B94D3E" w:rsidRDefault="00AF0ADF" w:rsidP="00AF0ADF">
            <w:pPr>
              <w:rPr>
                <w:rFonts w:cstheme="minorHAnsi"/>
                <w:sz w:val="20"/>
                <w:szCs w:val="20"/>
              </w:rPr>
            </w:pPr>
            <w:r w:rsidRPr="00B94D3E">
              <w:rPr>
                <w:rFonts w:cstheme="minorHAnsi"/>
                <w:b/>
                <w:bCs/>
                <w:color w:val="000000"/>
                <w:sz w:val="20"/>
                <w:szCs w:val="20"/>
              </w:rPr>
              <w:t>Remoteness of mother's usual residence</w:t>
            </w:r>
          </w:p>
        </w:tc>
      </w:tr>
      <w:tr w:rsidR="00A7329A" w:rsidRPr="00B16773" w14:paraId="0F6966D1" w14:textId="77777777" w:rsidTr="00A7329A">
        <w:trPr>
          <w:trHeight w:val="226"/>
        </w:trPr>
        <w:tc>
          <w:tcPr>
            <w:tcW w:w="1540" w:type="pct"/>
            <w:shd w:val="clear" w:color="auto" w:fill="auto"/>
            <w:noWrap/>
            <w:hideMark/>
          </w:tcPr>
          <w:p w14:paraId="0824A422"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Major cities</w:t>
            </w:r>
          </w:p>
        </w:tc>
        <w:tc>
          <w:tcPr>
            <w:tcW w:w="384" w:type="pct"/>
            <w:shd w:val="clear" w:color="auto" w:fill="auto"/>
            <w:noWrap/>
            <w:hideMark/>
          </w:tcPr>
          <w:p w14:paraId="00B965AD" w14:textId="09B513ED"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637E4F99"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47.3</w:t>
            </w:r>
          </w:p>
        </w:tc>
        <w:tc>
          <w:tcPr>
            <w:tcW w:w="384" w:type="pct"/>
            <w:shd w:val="clear" w:color="auto" w:fill="auto"/>
            <w:noWrap/>
            <w:hideMark/>
          </w:tcPr>
          <w:p w14:paraId="7FC091CC"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45.9</w:t>
            </w:r>
          </w:p>
        </w:tc>
        <w:tc>
          <w:tcPr>
            <w:tcW w:w="384" w:type="pct"/>
            <w:shd w:val="clear" w:color="auto" w:fill="auto"/>
            <w:noWrap/>
            <w:hideMark/>
          </w:tcPr>
          <w:p w14:paraId="19A6360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45.3</w:t>
            </w:r>
          </w:p>
        </w:tc>
        <w:tc>
          <w:tcPr>
            <w:tcW w:w="384" w:type="pct"/>
            <w:shd w:val="clear" w:color="auto" w:fill="auto"/>
            <w:noWrap/>
            <w:hideMark/>
          </w:tcPr>
          <w:p w14:paraId="187341D9"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45.2</w:t>
            </w:r>
          </w:p>
        </w:tc>
        <w:tc>
          <w:tcPr>
            <w:tcW w:w="384" w:type="pct"/>
            <w:shd w:val="clear" w:color="auto" w:fill="auto"/>
            <w:noWrap/>
            <w:hideMark/>
          </w:tcPr>
          <w:p w14:paraId="18B1E81E"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44.2</w:t>
            </w:r>
          </w:p>
        </w:tc>
        <w:tc>
          <w:tcPr>
            <w:tcW w:w="384" w:type="pct"/>
            <w:shd w:val="clear" w:color="auto" w:fill="auto"/>
            <w:noWrap/>
            <w:hideMark/>
          </w:tcPr>
          <w:p w14:paraId="7C2288E8"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43.2</w:t>
            </w:r>
          </w:p>
        </w:tc>
        <w:tc>
          <w:tcPr>
            <w:tcW w:w="384" w:type="pct"/>
            <w:shd w:val="clear" w:color="auto" w:fill="auto"/>
            <w:noWrap/>
            <w:hideMark/>
          </w:tcPr>
          <w:p w14:paraId="53EB2D75"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42.6</w:t>
            </w:r>
          </w:p>
        </w:tc>
        <w:tc>
          <w:tcPr>
            <w:tcW w:w="387" w:type="pct"/>
            <w:shd w:val="clear" w:color="auto" w:fill="auto"/>
            <w:noWrap/>
            <w:hideMark/>
          </w:tcPr>
          <w:p w14:paraId="003BC10B"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41.5</w:t>
            </w:r>
          </w:p>
        </w:tc>
      </w:tr>
      <w:tr w:rsidR="00A7329A" w:rsidRPr="00B16773" w14:paraId="7D545C23" w14:textId="77777777" w:rsidTr="00A7329A">
        <w:trPr>
          <w:trHeight w:val="226"/>
        </w:trPr>
        <w:tc>
          <w:tcPr>
            <w:tcW w:w="1540" w:type="pct"/>
            <w:shd w:val="clear" w:color="auto" w:fill="auto"/>
            <w:noWrap/>
            <w:hideMark/>
          </w:tcPr>
          <w:p w14:paraId="599A0CA8"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Inner regional</w:t>
            </w:r>
          </w:p>
        </w:tc>
        <w:tc>
          <w:tcPr>
            <w:tcW w:w="384" w:type="pct"/>
            <w:shd w:val="clear" w:color="auto" w:fill="auto"/>
            <w:noWrap/>
            <w:hideMark/>
          </w:tcPr>
          <w:p w14:paraId="05E4821A" w14:textId="02CA1DD4"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2A5FC8C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51.5</w:t>
            </w:r>
          </w:p>
        </w:tc>
        <w:tc>
          <w:tcPr>
            <w:tcW w:w="384" w:type="pct"/>
            <w:shd w:val="clear" w:color="auto" w:fill="auto"/>
            <w:noWrap/>
            <w:hideMark/>
          </w:tcPr>
          <w:p w14:paraId="37A76ADE"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50.1</w:t>
            </w:r>
          </w:p>
        </w:tc>
        <w:tc>
          <w:tcPr>
            <w:tcW w:w="384" w:type="pct"/>
            <w:shd w:val="clear" w:color="auto" w:fill="auto"/>
            <w:noWrap/>
            <w:hideMark/>
          </w:tcPr>
          <w:p w14:paraId="2CBB8CE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50.1</w:t>
            </w:r>
          </w:p>
        </w:tc>
        <w:tc>
          <w:tcPr>
            <w:tcW w:w="384" w:type="pct"/>
            <w:shd w:val="clear" w:color="auto" w:fill="auto"/>
            <w:noWrap/>
            <w:hideMark/>
          </w:tcPr>
          <w:p w14:paraId="321A6ED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50.0</w:t>
            </w:r>
          </w:p>
        </w:tc>
        <w:tc>
          <w:tcPr>
            <w:tcW w:w="384" w:type="pct"/>
            <w:shd w:val="clear" w:color="auto" w:fill="auto"/>
            <w:noWrap/>
            <w:hideMark/>
          </w:tcPr>
          <w:p w14:paraId="3B1AE28E"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48.7</w:t>
            </w:r>
          </w:p>
        </w:tc>
        <w:tc>
          <w:tcPr>
            <w:tcW w:w="384" w:type="pct"/>
            <w:shd w:val="clear" w:color="auto" w:fill="auto"/>
            <w:noWrap/>
            <w:hideMark/>
          </w:tcPr>
          <w:p w14:paraId="1172411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48.0</w:t>
            </w:r>
          </w:p>
        </w:tc>
        <w:tc>
          <w:tcPr>
            <w:tcW w:w="384" w:type="pct"/>
            <w:shd w:val="clear" w:color="auto" w:fill="auto"/>
            <w:noWrap/>
            <w:hideMark/>
          </w:tcPr>
          <w:p w14:paraId="67390C70"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47.2</w:t>
            </w:r>
          </w:p>
        </w:tc>
        <w:tc>
          <w:tcPr>
            <w:tcW w:w="387" w:type="pct"/>
            <w:shd w:val="clear" w:color="auto" w:fill="auto"/>
            <w:noWrap/>
            <w:hideMark/>
          </w:tcPr>
          <w:p w14:paraId="129F1E2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47.2</w:t>
            </w:r>
          </w:p>
        </w:tc>
      </w:tr>
      <w:tr w:rsidR="00A7329A" w:rsidRPr="00B16773" w14:paraId="44670EEE" w14:textId="77777777" w:rsidTr="00A7329A">
        <w:trPr>
          <w:trHeight w:val="226"/>
        </w:trPr>
        <w:tc>
          <w:tcPr>
            <w:tcW w:w="1540" w:type="pct"/>
            <w:shd w:val="clear" w:color="auto" w:fill="auto"/>
            <w:noWrap/>
            <w:hideMark/>
          </w:tcPr>
          <w:p w14:paraId="285F9DBB"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Outer regional</w:t>
            </w:r>
          </w:p>
        </w:tc>
        <w:tc>
          <w:tcPr>
            <w:tcW w:w="384" w:type="pct"/>
            <w:shd w:val="clear" w:color="auto" w:fill="auto"/>
            <w:noWrap/>
            <w:hideMark/>
          </w:tcPr>
          <w:p w14:paraId="7732E1E0" w14:textId="1EE7005F"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7610517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51.9</w:t>
            </w:r>
          </w:p>
        </w:tc>
        <w:tc>
          <w:tcPr>
            <w:tcW w:w="384" w:type="pct"/>
            <w:shd w:val="clear" w:color="auto" w:fill="auto"/>
            <w:noWrap/>
            <w:hideMark/>
          </w:tcPr>
          <w:p w14:paraId="6B13708B"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52.0</w:t>
            </w:r>
          </w:p>
        </w:tc>
        <w:tc>
          <w:tcPr>
            <w:tcW w:w="384" w:type="pct"/>
            <w:shd w:val="clear" w:color="auto" w:fill="auto"/>
            <w:noWrap/>
            <w:hideMark/>
          </w:tcPr>
          <w:p w14:paraId="63D164A1"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51.1</w:t>
            </w:r>
          </w:p>
        </w:tc>
        <w:tc>
          <w:tcPr>
            <w:tcW w:w="384" w:type="pct"/>
            <w:shd w:val="clear" w:color="auto" w:fill="auto"/>
            <w:noWrap/>
            <w:hideMark/>
          </w:tcPr>
          <w:p w14:paraId="730E501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51.7</w:t>
            </w:r>
          </w:p>
        </w:tc>
        <w:tc>
          <w:tcPr>
            <w:tcW w:w="384" w:type="pct"/>
            <w:shd w:val="clear" w:color="auto" w:fill="auto"/>
            <w:noWrap/>
            <w:hideMark/>
          </w:tcPr>
          <w:p w14:paraId="0724BB1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50.1</w:t>
            </w:r>
          </w:p>
        </w:tc>
        <w:tc>
          <w:tcPr>
            <w:tcW w:w="384" w:type="pct"/>
            <w:shd w:val="clear" w:color="auto" w:fill="auto"/>
            <w:noWrap/>
            <w:hideMark/>
          </w:tcPr>
          <w:p w14:paraId="2729FE5B"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49.8</w:t>
            </w:r>
          </w:p>
        </w:tc>
        <w:tc>
          <w:tcPr>
            <w:tcW w:w="384" w:type="pct"/>
            <w:shd w:val="clear" w:color="auto" w:fill="auto"/>
            <w:noWrap/>
            <w:hideMark/>
          </w:tcPr>
          <w:p w14:paraId="110FA7DA"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48.8</w:t>
            </w:r>
          </w:p>
        </w:tc>
        <w:tc>
          <w:tcPr>
            <w:tcW w:w="387" w:type="pct"/>
            <w:shd w:val="clear" w:color="auto" w:fill="auto"/>
            <w:noWrap/>
            <w:hideMark/>
          </w:tcPr>
          <w:p w14:paraId="20A711EA"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48.5</w:t>
            </w:r>
          </w:p>
        </w:tc>
      </w:tr>
      <w:tr w:rsidR="00A7329A" w:rsidRPr="00B16773" w14:paraId="15410D08" w14:textId="77777777" w:rsidTr="00A7329A">
        <w:trPr>
          <w:trHeight w:val="226"/>
        </w:trPr>
        <w:tc>
          <w:tcPr>
            <w:tcW w:w="1540" w:type="pct"/>
            <w:shd w:val="clear" w:color="auto" w:fill="auto"/>
            <w:noWrap/>
            <w:hideMark/>
          </w:tcPr>
          <w:p w14:paraId="40B4A0E5"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Remote</w:t>
            </w:r>
          </w:p>
        </w:tc>
        <w:tc>
          <w:tcPr>
            <w:tcW w:w="384" w:type="pct"/>
            <w:shd w:val="clear" w:color="auto" w:fill="auto"/>
            <w:noWrap/>
            <w:hideMark/>
          </w:tcPr>
          <w:p w14:paraId="6C8D4243" w14:textId="1F05F264"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0233F2B7"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52.0</w:t>
            </w:r>
          </w:p>
        </w:tc>
        <w:tc>
          <w:tcPr>
            <w:tcW w:w="384" w:type="pct"/>
            <w:shd w:val="clear" w:color="auto" w:fill="auto"/>
            <w:noWrap/>
            <w:hideMark/>
          </w:tcPr>
          <w:p w14:paraId="1DF2F90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53.7</w:t>
            </w:r>
          </w:p>
        </w:tc>
        <w:tc>
          <w:tcPr>
            <w:tcW w:w="384" w:type="pct"/>
            <w:shd w:val="clear" w:color="auto" w:fill="auto"/>
            <w:noWrap/>
            <w:hideMark/>
          </w:tcPr>
          <w:p w14:paraId="0D482AE9"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52.9</w:t>
            </w:r>
          </w:p>
        </w:tc>
        <w:tc>
          <w:tcPr>
            <w:tcW w:w="384" w:type="pct"/>
            <w:shd w:val="clear" w:color="auto" w:fill="auto"/>
            <w:noWrap/>
            <w:hideMark/>
          </w:tcPr>
          <w:p w14:paraId="24A2DAF4"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54.2</w:t>
            </w:r>
          </w:p>
        </w:tc>
        <w:tc>
          <w:tcPr>
            <w:tcW w:w="384" w:type="pct"/>
            <w:shd w:val="clear" w:color="auto" w:fill="auto"/>
            <w:noWrap/>
            <w:hideMark/>
          </w:tcPr>
          <w:p w14:paraId="16B67FDC"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53.7</w:t>
            </w:r>
          </w:p>
        </w:tc>
        <w:tc>
          <w:tcPr>
            <w:tcW w:w="384" w:type="pct"/>
            <w:shd w:val="clear" w:color="auto" w:fill="auto"/>
            <w:noWrap/>
            <w:hideMark/>
          </w:tcPr>
          <w:p w14:paraId="7253DDC1"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49.9</w:t>
            </w:r>
          </w:p>
        </w:tc>
        <w:tc>
          <w:tcPr>
            <w:tcW w:w="384" w:type="pct"/>
            <w:shd w:val="clear" w:color="auto" w:fill="auto"/>
            <w:noWrap/>
            <w:hideMark/>
          </w:tcPr>
          <w:p w14:paraId="166F3638"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51.7</w:t>
            </w:r>
          </w:p>
        </w:tc>
        <w:tc>
          <w:tcPr>
            <w:tcW w:w="387" w:type="pct"/>
            <w:shd w:val="clear" w:color="auto" w:fill="auto"/>
            <w:noWrap/>
            <w:hideMark/>
          </w:tcPr>
          <w:p w14:paraId="437FB49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51.7</w:t>
            </w:r>
          </w:p>
        </w:tc>
      </w:tr>
      <w:tr w:rsidR="00A7329A" w:rsidRPr="00B16773" w14:paraId="186F392E" w14:textId="77777777" w:rsidTr="00A7329A">
        <w:trPr>
          <w:trHeight w:val="226"/>
        </w:trPr>
        <w:tc>
          <w:tcPr>
            <w:tcW w:w="1540" w:type="pct"/>
            <w:shd w:val="clear" w:color="auto" w:fill="auto"/>
            <w:noWrap/>
            <w:hideMark/>
          </w:tcPr>
          <w:p w14:paraId="7B9DBA81"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Very remote</w:t>
            </w:r>
          </w:p>
        </w:tc>
        <w:tc>
          <w:tcPr>
            <w:tcW w:w="384" w:type="pct"/>
            <w:shd w:val="clear" w:color="auto" w:fill="auto"/>
            <w:noWrap/>
            <w:hideMark/>
          </w:tcPr>
          <w:p w14:paraId="6D08D574" w14:textId="4230A172"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06F1C73E"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51.7</w:t>
            </w:r>
          </w:p>
        </w:tc>
        <w:tc>
          <w:tcPr>
            <w:tcW w:w="384" w:type="pct"/>
            <w:shd w:val="clear" w:color="auto" w:fill="auto"/>
            <w:noWrap/>
            <w:hideMark/>
          </w:tcPr>
          <w:p w14:paraId="047551F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49.6</w:t>
            </w:r>
          </w:p>
        </w:tc>
        <w:tc>
          <w:tcPr>
            <w:tcW w:w="384" w:type="pct"/>
            <w:shd w:val="clear" w:color="auto" w:fill="auto"/>
            <w:noWrap/>
            <w:hideMark/>
          </w:tcPr>
          <w:p w14:paraId="23D74728"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49.2</w:t>
            </w:r>
          </w:p>
        </w:tc>
        <w:tc>
          <w:tcPr>
            <w:tcW w:w="384" w:type="pct"/>
            <w:shd w:val="clear" w:color="auto" w:fill="auto"/>
            <w:noWrap/>
            <w:hideMark/>
          </w:tcPr>
          <w:p w14:paraId="14D180C2"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50.8</w:t>
            </w:r>
          </w:p>
        </w:tc>
        <w:tc>
          <w:tcPr>
            <w:tcW w:w="384" w:type="pct"/>
            <w:shd w:val="clear" w:color="auto" w:fill="auto"/>
            <w:noWrap/>
            <w:hideMark/>
          </w:tcPr>
          <w:p w14:paraId="444540E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52.8</w:t>
            </w:r>
          </w:p>
        </w:tc>
        <w:tc>
          <w:tcPr>
            <w:tcW w:w="384" w:type="pct"/>
            <w:shd w:val="clear" w:color="auto" w:fill="auto"/>
            <w:noWrap/>
            <w:hideMark/>
          </w:tcPr>
          <w:p w14:paraId="2FD8DBFB"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50.9</w:t>
            </w:r>
          </w:p>
        </w:tc>
        <w:tc>
          <w:tcPr>
            <w:tcW w:w="384" w:type="pct"/>
            <w:shd w:val="clear" w:color="auto" w:fill="auto"/>
            <w:noWrap/>
            <w:hideMark/>
          </w:tcPr>
          <w:p w14:paraId="2D7BE6C7"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48.1</w:t>
            </w:r>
          </w:p>
        </w:tc>
        <w:tc>
          <w:tcPr>
            <w:tcW w:w="387" w:type="pct"/>
            <w:shd w:val="clear" w:color="auto" w:fill="auto"/>
            <w:noWrap/>
            <w:hideMark/>
          </w:tcPr>
          <w:p w14:paraId="05513BC9"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51.6</w:t>
            </w:r>
          </w:p>
        </w:tc>
      </w:tr>
      <w:tr w:rsidR="00AF0ADF" w:rsidRPr="00B16773" w14:paraId="30C2D2BA" w14:textId="77777777" w:rsidTr="00AF0ADF">
        <w:trPr>
          <w:trHeight w:val="226"/>
        </w:trPr>
        <w:tc>
          <w:tcPr>
            <w:tcW w:w="5000" w:type="pct"/>
            <w:gridSpan w:val="10"/>
            <w:shd w:val="clear" w:color="auto" w:fill="auto"/>
            <w:noWrap/>
            <w:hideMark/>
          </w:tcPr>
          <w:p w14:paraId="7DF16529" w14:textId="77777777" w:rsidR="00AF0ADF" w:rsidRPr="00B94D3E" w:rsidRDefault="00AF0ADF" w:rsidP="00AF0ADF">
            <w:pPr>
              <w:rPr>
                <w:rFonts w:cstheme="minorHAnsi"/>
                <w:sz w:val="20"/>
                <w:szCs w:val="20"/>
              </w:rPr>
            </w:pPr>
            <w:r w:rsidRPr="00B94D3E">
              <w:rPr>
                <w:rFonts w:cstheme="minorHAnsi"/>
                <w:b/>
                <w:bCs/>
                <w:color w:val="000000"/>
                <w:sz w:val="20"/>
                <w:szCs w:val="20"/>
              </w:rPr>
              <w:t>Disadvantage quintile of mother's usual residence</w:t>
            </w:r>
          </w:p>
        </w:tc>
      </w:tr>
      <w:tr w:rsidR="00A7329A" w:rsidRPr="00B16773" w14:paraId="22FC36B4" w14:textId="77777777" w:rsidTr="00A7329A">
        <w:trPr>
          <w:trHeight w:val="226"/>
        </w:trPr>
        <w:tc>
          <w:tcPr>
            <w:tcW w:w="1540" w:type="pct"/>
            <w:shd w:val="clear" w:color="auto" w:fill="auto"/>
            <w:noWrap/>
            <w:hideMark/>
          </w:tcPr>
          <w:p w14:paraId="3D1AF4B9"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Q1 - most disadvantaged</w:t>
            </w:r>
          </w:p>
        </w:tc>
        <w:tc>
          <w:tcPr>
            <w:tcW w:w="384" w:type="pct"/>
            <w:shd w:val="clear" w:color="auto" w:fill="auto"/>
            <w:noWrap/>
            <w:hideMark/>
          </w:tcPr>
          <w:p w14:paraId="4E2B3E2A" w14:textId="4A9886A4"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6BFCACBE"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53.4</w:t>
            </w:r>
          </w:p>
        </w:tc>
        <w:tc>
          <w:tcPr>
            <w:tcW w:w="384" w:type="pct"/>
            <w:shd w:val="clear" w:color="auto" w:fill="auto"/>
            <w:noWrap/>
            <w:hideMark/>
          </w:tcPr>
          <w:p w14:paraId="577BECE8"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52.1</w:t>
            </w:r>
          </w:p>
        </w:tc>
        <w:tc>
          <w:tcPr>
            <w:tcW w:w="384" w:type="pct"/>
            <w:shd w:val="clear" w:color="auto" w:fill="auto"/>
            <w:noWrap/>
            <w:hideMark/>
          </w:tcPr>
          <w:p w14:paraId="483C7219"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52.4</w:t>
            </w:r>
          </w:p>
        </w:tc>
        <w:tc>
          <w:tcPr>
            <w:tcW w:w="384" w:type="pct"/>
            <w:shd w:val="clear" w:color="auto" w:fill="auto"/>
            <w:noWrap/>
            <w:hideMark/>
          </w:tcPr>
          <w:p w14:paraId="51F1FF8C"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51.0</w:t>
            </w:r>
          </w:p>
        </w:tc>
        <w:tc>
          <w:tcPr>
            <w:tcW w:w="384" w:type="pct"/>
            <w:shd w:val="clear" w:color="auto" w:fill="auto"/>
            <w:noWrap/>
            <w:hideMark/>
          </w:tcPr>
          <w:p w14:paraId="4BE58F3A"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49.8</w:t>
            </w:r>
          </w:p>
        </w:tc>
        <w:tc>
          <w:tcPr>
            <w:tcW w:w="384" w:type="pct"/>
            <w:shd w:val="clear" w:color="auto" w:fill="auto"/>
            <w:noWrap/>
            <w:hideMark/>
          </w:tcPr>
          <w:p w14:paraId="40B47717"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49.1</w:t>
            </w:r>
          </w:p>
        </w:tc>
        <w:tc>
          <w:tcPr>
            <w:tcW w:w="384" w:type="pct"/>
            <w:shd w:val="clear" w:color="auto" w:fill="auto"/>
            <w:noWrap/>
            <w:hideMark/>
          </w:tcPr>
          <w:p w14:paraId="66499115"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48.1</w:t>
            </w:r>
          </w:p>
        </w:tc>
        <w:tc>
          <w:tcPr>
            <w:tcW w:w="387" w:type="pct"/>
            <w:shd w:val="clear" w:color="auto" w:fill="auto"/>
            <w:noWrap/>
            <w:hideMark/>
          </w:tcPr>
          <w:p w14:paraId="2F4FC9C4"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48.0</w:t>
            </w:r>
          </w:p>
        </w:tc>
      </w:tr>
      <w:tr w:rsidR="00A7329A" w:rsidRPr="00B16773" w14:paraId="3EF94DFC" w14:textId="77777777" w:rsidTr="00A7329A">
        <w:trPr>
          <w:trHeight w:val="226"/>
        </w:trPr>
        <w:tc>
          <w:tcPr>
            <w:tcW w:w="1540" w:type="pct"/>
            <w:shd w:val="clear" w:color="auto" w:fill="auto"/>
            <w:noWrap/>
            <w:hideMark/>
          </w:tcPr>
          <w:p w14:paraId="40CB4A58"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Q2</w:t>
            </w:r>
          </w:p>
        </w:tc>
        <w:tc>
          <w:tcPr>
            <w:tcW w:w="384" w:type="pct"/>
            <w:shd w:val="clear" w:color="auto" w:fill="auto"/>
            <w:noWrap/>
            <w:hideMark/>
          </w:tcPr>
          <w:p w14:paraId="51EFD93A" w14:textId="58720FBA"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796D55F1"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49.8</w:t>
            </w:r>
          </w:p>
        </w:tc>
        <w:tc>
          <w:tcPr>
            <w:tcW w:w="384" w:type="pct"/>
            <w:shd w:val="clear" w:color="auto" w:fill="auto"/>
            <w:noWrap/>
            <w:hideMark/>
          </w:tcPr>
          <w:p w14:paraId="7286F084"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48.8</w:t>
            </w:r>
          </w:p>
        </w:tc>
        <w:tc>
          <w:tcPr>
            <w:tcW w:w="384" w:type="pct"/>
            <w:shd w:val="clear" w:color="auto" w:fill="auto"/>
            <w:noWrap/>
            <w:hideMark/>
          </w:tcPr>
          <w:p w14:paraId="3DC5DC6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48.0</w:t>
            </w:r>
          </w:p>
        </w:tc>
        <w:tc>
          <w:tcPr>
            <w:tcW w:w="384" w:type="pct"/>
            <w:shd w:val="clear" w:color="auto" w:fill="auto"/>
            <w:noWrap/>
            <w:hideMark/>
          </w:tcPr>
          <w:p w14:paraId="6AA65820"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48.1</w:t>
            </w:r>
          </w:p>
        </w:tc>
        <w:tc>
          <w:tcPr>
            <w:tcW w:w="384" w:type="pct"/>
            <w:shd w:val="clear" w:color="auto" w:fill="auto"/>
            <w:noWrap/>
            <w:hideMark/>
          </w:tcPr>
          <w:p w14:paraId="0A8FC09C"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47.1</w:t>
            </w:r>
          </w:p>
        </w:tc>
        <w:tc>
          <w:tcPr>
            <w:tcW w:w="384" w:type="pct"/>
            <w:shd w:val="clear" w:color="auto" w:fill="auto"/>
            <w:noWrap/>
            <w:hideMark/>
          </w:tcPr>
          <w:p w14:paraId="47DCD340"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46.4</w:t>
            </w:r>
          </w:p>
        </w:tc>
        <w:tc>
          <w:tcPr>
            <w:tcW w:w="384" w:type="pct"/>
            <w:shd w:val="clear" w:color="auto" w:fill="auto"/>
            <w:noWrap/>
            <w:hideMark/>
          </w:tcPr>
          <w:p w14:paraId="7DA1090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45.4</w:t>
            </w:r>
          </w:p>
        </w:tc>
        <w:tc>
          <w:tcPr>
            <w:tcW w:w="387" w:type="pct"/>
            <w:shd w:val="clear" w:color="auto" w:fill="auto"/>
            <w:noWrap/>
            <w:hideMark/>
          </w:tcPr>
          <w:p w14:paraId="25E4360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44.7</w:t>
            </w:r>
          </w:p>
        </w:tc>
      </w:tr>
      <w:tr w:rsidR="00A7329A" w:rsidRPr="00B16773" w14:paraId="254E91FA" w14:textId="77777777" w:rsidTr="00A7329A">
        <w:trPr>
          <w:trHeight w:val="226"/>
        </w:trPr>
        <w:tc>
          <w:tcPr>
            <w:tcW w:w="1540" w:type="pct"/>
            <w:shd w:val="clear" w:color="auto" w:fill="auto"/>
            <w:noWrap/>
            <w:hideMark/>
          </w:tcPr>
          <w:p w14:paraId="7D319329"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Q3</w:t>
            </w:r>
          </w:p>
        </w:tc>
        <w:tc>
          <w:tcPr>
            <w:tcW w:w="384" w:type="pct"/>
            <w:shd w:val="clear" w:color="auto" w:fill="auto"/>
            <w:noWrap/>
            <w:hideMark/>
          </w:tcPr>
          <w:p w14:paraId="71E78B32" w14:textId="2AD23DB8"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5AD3EE61"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48.2</w:t>
            </w:r>
          </w:p>
        </w:tc>
        <w:tc>
          <w:tcPr>
            <w:tcW w:w="384" w:type="pct"/>
            <w:shd w:val="clear" w:color="auto" w:fill="auto"/>
            <w:noWrap/>
            <w:hideMark/>
          </w:tcPr>
          <w:p w14:paraId="0F6CEAC3"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46.7</w:t>
            </w:r>
          </w:p>
        </w:tc>
        <w:tc>
          <w:tcPr>
            <w:tcW w:w="384" w:type="pct"/>
            <w:shd w:val="clear" w:color="auto" w:fill="auto"/>
            <w:noWrap/>
            <w:hideMark/>
          </w:tcPr>
          <w:p w14:paraId="6077076A"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46.1</w:t>
            </w:r>
          </w:p>
        </w:tc>
        <w:tc>
          <w:tcPr>
            <w:tcW w:w="384" w:type="pct"/>
            <w:shd w:val="clear" w:color="auto" w:fill="auto"/>
            <w:noWrap/>
            <w:hideMark/>
          </w:tcPr>
          <w:p w14:paraId="51645FC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45.9</w:t>
            </w:r>
          </w:p>
        </w:tc>
        <w:tc>
          <w:tcPr>
            <w:tcW w:w="384" w:type="pct"/>
            <w:shd w:val="clear" w:color="auto" w:fill="auto"/>
            <w:noWrap/>
            <w:hideMark/>
          </w:tcPr>
          <w:p w14:paraId="12BB08D9"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45.4</w:t>
            </w:r>
          </w:p>
        </w:tc>
        <w:tc>
          <w:tcPr>
            <w:tcW w:w="384" w:type="pct"/>
            <w:shd w:val="clear" w:color="auto" w:fill="auto"/>
            <w:noWrap/>
            <w:hideMark/>
          </w:tcPr>
          <w:p w14:paraId="2C4F1F1C"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44.1</w:t>
            </w:r>
          </w:p>
        </w:tc>
        <w:tc>
          <w:tcPr>
            <w:tcW w:w="384" w:type="pct"/>
            <w:shd w:val="clear" w:color="auto" w:fill="auto"/>
            <w:noWrap/>
            <w:hideMark/>
          </w:tcPr>
          <w:p w14:paraId="72694A70"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43.6</w:t>
            </w:r>
          </w:p>
        </w:tc>
        <w:tc>
          <w:tcPr>
            <w:tcW w:w="387" w:type="pct"/>
            <w:shd w:val="clear" w:color="auto" w:fill="auto"/>
            <w:noWrap/>
            <w:hideMark/>
          </w:tcPr>
          <w:p w14:paraId="4C599FA6"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42.8</w:t>
            </w:r>
          </w:p>
        </w:tc>
      </w:tr>
      <w:tr w:rsidR="00A7329A" w:rsidRPr="00B16773" w14:paraId="7FBF80D1" w14:textId="77777777" w:rsidTr="00A7329A">
        <w:trPr>
          <w:trHeight w:val="226"/>
        </w:trPr>
        <w:tc>
          <w:tcPr>
            <w:tcW w:w="1540" w:type="pct"/>
            <w:shd w:val="clear" w:color="auto" w:fill="auto"/>
            <w:noWrap/>
            <w:hideMark/>
          </w:tcPr>
          <w:p w14:paraId="5242E229"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Q4</w:t>
            </w:r>
          </w:p>
        </w:tc>
        <w:tc>
          <w:tcPr>
            <w:tcW w:w="384" w:type="pct"/>
            <w:shd w:val="clear" w:color="auto" w:fill="auto"/>
            <w:noWrap/>
            <w:hideMark/>
          </w:tcPr>
          <w:p w14:paraId="6AEB1D87" w14:textId="5E968BF1"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58D8ADB1"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45.9</w:t>
            </w:r>
          </w:p>
        </w:tc>
        <w:tc>
          <w:tcPr>
            <w:tcW w:w="384" w:type="pct"/>
            <w:shd w:val="clear" w:color="auto" w:fill="auto"/>
            <w:noWrap/>
            <w:hideMark/>
          </w:tcPr>
          <w:p w14:paraId="0B8C3DA4"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44.7</w:t>
            </w:r>
          </w:p>
        </w:tc>
        <w:tc>
          <w:tcPr>
            <w:tcW w:w="384" w:type="pct"/>
            <w:shd w:val="clear" w:color="auto" w:fill="auto"/>
            <w:noWrap/>
            <w:hideMark/>
          </w:tcPr>
          <w:p w14:paraId="1E2563FE"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44.1</w:t>
            </w:r>
          </w:p>
        </w:tc>
        <w:tc>
          <w:tcPr>
            <w:tcW w:w="384" w:type="pct"/>
            <w:shd w:val="clear" w:color="auto" w:fill="auto"/>
            <w:noWrap/>
            <w:hideMark/>
          </w:tcPr>
          <w:p w14:paraId="1B79CF95"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44.6</w:t>
            </w:r>
          </w:p>
        </w:tc>
        <w:tc>
          <w:tcPr>
            <w:tcW w:w="384" w:type="pct"/>
            <w:shd w:val="clear" w:color="auto" w:fill="auto"/>
            <w:noWrap/>
            <w:hideMark/>
          </w:tcPr>
          <w:p w14:paraId="2B1D4579"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43.2</w:t>
            </w:r>
          </w:p>
        </w:tc>
        <w:tc>
          <w:tcPr>
            <w:tcW w:w="384" w:type="pct"/>
            <w:shd w:val="clear" w:color="auto" w:fill="auto"/>
            <w:noWrap/>
            <w:hideMark/>
          </w:tcPr>
          <w:p w14:paraId="1CFEEB3B"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42.7</w:t>
            </w:r>
          </w:p>
        </w:tc>
        <w:tc>
          <w:tcPr>
            <w:tcW w:w="384" w:type="pct"/>
            <w:shd w:val="clear" w:color="auto" w:fill="auto"/>
            <w:noWrap/>
            <w:hideMark/>
          </w:tcPr>
          <w:p w14:paraId="7A92F9B7"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42.5</w:t>
            </w:r>
          </w:p>
        </w:tc>
        <w:tc>
          <w:tcPr>
            <w:tcW w:w="387" w:type="pct"/>
            <w:shd w:val="clear" w:color="auto" w:fill="auto"/>
            <w:noWrap/>
            <w:hideMark/>
          </w:tcPr>
          <w:p w14:paraId="7382E607"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40.5</w:t>
            </w:r>
          </w:p>
        </w:tc>
      </w:tr>
      <w:tr w:rsidR="00A7329A" w:rsidRPr="00B16773" w14:paraId="47C2F168" w14:textId="77777777" w:rsidTr="00A7329A">
        <w:trPr>
          <w:trHeight w:val="226"/>
        </w:trPr>
        <w:tc>
          <w:tcPr>
            <w:tcW w:w="1540" w:type="pct"/>
            <w:shd w:val="clear" w:color="auto" w:fill="auto"/>
            <w:noWrap/>
            <w:hideMark/>
          </w:tcPr>
          <w:p w14:paraId="70BDCFE1" w14:textId="77777777" w:rsidR="00A7329A" w:rsidRPr="00B94D3E" w:rsidRDefault="00A7329A" w:rsidP="00A7329A">
            <w:pPr>
              <w:ind w:firstLineChars="100" w:firstLine="200"/>
              <w:rPr>
                <w:rFonts w:cstheme="minorHAnsi"/>
                <w:color w:val="000000"/>
                <w:sz w:val="20"/>
                <w:szCs w:val="20"/>
              </w:rPr>
            </w:pPr>
            <w:r w:rsidRPr="00B94D3E">
              <w:rPr>
                <w:rFonts w:cstheme="minorHAnsi"/>
                <w:color w:val="000000"/>
                <w:sz w:val="20"/>
                <w:szCs w:val="20"/>
              </w:rPr>
              <w:t>Q5 - least disadvantaged</w:t>
            </w:r>
          </w:p>
        </w:tc>
        <w:tc>
          <w:tcPr>
            <w:tcW w:w="384" w:type="pct"/>
            <w:shd w:val="clear" w:color="auto" w:fill="auto"/>
            <w:noWrap/>
            <w:hideMark/>
          </w:tcPr>
          <w:p w14:paraId="3CDCD19E" w14:textId="50837D0F" w:rsidR="00A7329A" w:rsidRPr="00B94D3E" w:rsidRDefault="00A7329A" w:rsidP="00A7329A">
            <w:pPr>
              <w:ind w:firstLineChars="100" w:firstLine="200"/>
              <w:rPr>
                <w:rFonts w:cstheme="minorHAnsi"/>
                <w:color w:val="000000"/>
                <w:sz w:val="20"/>
                <w:szCs w:val="20"/>
              </w:rPr>
            </w:pPr>
            <w:r w:rsidRPr="00A7329A">
              <w:rPr>
                <w:rFonts w:cstheme="minorHAnsi"/>
                <w:color w:val="000000"/>
                <w:sz w:val="20"/>
                <w:szCs w:val="20"/>
              </w:rPr>
              <w:t>n.a.</w:t>
            </w:r>
          </w:p>
        </w:tc>
        <w:tc>
          <w:tcPr>
            <w:tcW w:w="384" w:type="pct"/>
            <w:shd w:val="clear" w:color="auto" w:fill="auto"/>
            <w:noWrap/>
            <w:hideMark/>
          </w:tcPr>
          <w:p w14:paraId="7E625D02"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44.3</w:t>
            </w:r>
          </w:p>
        </w:tc>
        <w:tc>
          <w:tcPr>
            <w:tcW w:w="384" w:type="pct"/>
            <w:shd w:val="clear" w:color="auto" w:fill="auto"/>
            <w:noWrap/>
            <w:hideMark/>
          </w:tcPr>
          <w:p w14:paraId="1E9701ED"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43.3</w:t>
            </w:r>
          </w:p>
        </w:tc>
        <w:tc>
          <w:tcPr>
            <w:tcW w:w="384" w:type="pct"/>
            <w:shd w:val="clear" w:color="auto" w:fill="auto"/>
            <w:noWrap/>
            <w:hideMark/>
          </w:tcPr>
          <w:p w14:paraId="22319FAA"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42.9</w:t>
            </w:r>
          </w:p>
        </w:tc>
        <w:tc>
          <w:tcPr>
            <w:tcW w:w="384" w:type="pct"/>
            <w:shd w:val="clear" w:color="auto" w:fill="auto"/>
            <w:noWrap/>
            <w:hideMark/>
          </w:tcPr>
          <w:p w14:paraId="64C709EF"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43.3</w:t>
            </w:r>
          </w:p>
        </w:tc>
        <w:tc>
          <w:tcPr>
            <w:tcW w:w="384" w:type="pct"/>
            <w:shd w:val="clear" w:color="auto" w:fill="auto"/>
            <w:noWrap/>
            <w:hideMark/>
          </w:tcPr>
          <w:p w14:paraId="42D4F31C"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42.5</w:t>
            </w:r>
          </w:p>
        </w:tc>
        <w:tc>
          <w:tcPr>
            <w:tcW w:w="384" w:type="pct"/>
            <w:shd w:val="clear" w:color="auto" w:fill="auto"/>
            <w:noWrap/>
            <w:hideMark/>
          </w:tcPr>
          <w:p w14:paraId="7E7F587A"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40.7</w:t>
            </w:r>
          </w:p>
        </w:tc>
        <w:tc>
          <w:tcPr>
            <w:tcW w:w="384" w:type="pct"/>
            <w:shd w:val="clear" w:color="auto" w:fill="auto"/>
            <w:noWrap/>
            <w:hideMark/>
          </w:tcPr>
          <w:p w14:paraId="76724251"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40.3</w:t>
            </w:r>
          </w:p>
        </w:tc>
        <w:tc>
          <w:tcPr>
            <w:tcW w:w="387" w:type="pct"/>
            <w:shd w:val="clear" w:color="auto" w:fill="auto"/>
            <w:noWrap/>
            <w:hideMark/>
          </w:tcPr>
          <w:p w14:paraId="18672353" w14:textId="77777777" w:rsidR="00A7329A" w:rsidRPr="00B94D3E" w:rsidRDefault="00A7329A" w:rsidP="00A7329A">
            <w:pPr>
              <w:jc w:val="right"/>
              <w:rPr>
                <w:rFonts w:cstheme="minorHAnsi"/>
                <w:color w:val="000000"/>
                <w:sz w:val="20"/>
                <w:szCs w:val="20"/>
              </w:rPr>
            </w:pPr>
            <w:r w:rsidRPr="00B94D3E">
              <w:rPr>
                <w:rFonts w:cstheme="minorHAnsi"/>
                <w:color w:val="000000"/>
                <w:sz w:val="20"/>
                <w:szCs w:val="20"/>
              </w:rPr>
              <w:t>40.0</w:t>
            </w:r>
          </w:p>
        </w:tc>
      </w:tr>
      <w:tr w:rsidR="00AF0ADF" w:rsidRPr="00B16773" w14:paraId="3FF7D10C" w14:textId="77777777" w:rsidTr="00AF0ADF">
        <w:trPr>
          <w:trHeight w:val="226"/>
        </w:trPr>
        <w:tc>
          <w:tcPr>
            <w:tcW w:w="5000" w:type="pct"/>
            <w:gridSpan w:val="10"/>
            <w:shd w:val="clear" w:color="auto" w:fill="auto"/>
            <w:noWrap/>
            <w:hideMark/>
          </w:tcPr>
          <w:p w14:paraId="1CB3FCD9" w14:textId="77777777" w:rsidR="00AF0ADF" w:rsidRPr="00B94D3E" w:rsidRDefault="00AF0ADF" w:rsidP="00AF0ADF">
            <w:pPr>
              <w:rPr>
                <w:rFonts w:cstheme="minorHAnsi"/>
                <w:sz w:val="20"/>
                <w:szCs w:val="20"/>
              </w:rPr>
            </w:pPr>
            <w:r w:rsidRPr="00B94D3E">
              <w:rPr>
                <w:rFonts w:cstheme="minorHAnsi"/>
                <w:b/>
                <w:bCs/>
                <w:color w:val="000000"/>
                <w:sz w:val="20"/>
                <w:szCs w:val="20"/>
              </w:rPr>
              <w:t>Hospital sector</w:t>
            </w:r>
          </w:p>
        </w:tc>
      </w:tr>
      <w:tr w:rsidR="00AF0ADF" w:rsidRPr="00B16773" w14:paraId="49A79FB4" w14:textId="77777777" w:rsidTr="00A7329A">
        <w:trPr>
          <w:trHeight w:val="226"/>
        </w:trPr>
        <w:tc>
          <w:tcPr>
            <w:tcW w:w="1540" w:type="pct"/>
            <w:shd w:val="clear" w:color="auto" w:fill="auto"/>
            <w:noWrap/>
            <w:hideMark/>
          </w:tcPr>
          <w:p w14:paraId="211B8663"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Private</w:t>
            </w:r>
          </w:p>
        </w:tc>
        <w:tc>
          <w:tcPr>
            <w:tcW w:w="384" w:type="pct"/>
            <w:shd w:val="clear" w:color="auto" w:fill="auto"/>
            <w:noWrap/>
            <w:hideMark/>
          </w:tcPr>
          <w:p w14:paraId="37FF535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35.3</w:t>
            </w:r>
          </w:p>
        </w:tc>
        <w:tc>
          <w:tcPr>
            <w:tcW w:w="384" w:type="pct"/>
            <w:shd w:val="clear" w:color="auto" w:fill="auto"/>
            <w:noWrap/>
            <w:hideMark/>
          </w:tcPr>
          <w:p w14:paraId="592C0B9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34.6</w:t>
            </w:r>
          </w:p>
        </w:tc>
        <w:tc>
          <w:tcPr>
            <w:tcW w:w="384" w:type="pct"/>
            <w:shd w:val="clear" w:color="auto" w:fill="auto"/>
            <w:noWrap/>
            <w:hideMark/>
          </w:tcPr>
          <w:p w14:paraId="09C660E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34.5</w:t>
            </w:r>
          </w:p>
        </w:tc>
        <w:tc>
          <w:tcPr>
            <w:tcW w:w="384" w:type="pct"/>
            <w:shd w:val="clear" w:color="auto" w:fill="auto"/>
            <w:noWrap/>
            <w:hideMark/>
          </w:tcPr>
          <w:p w14:paraId="1A81243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33.8</w:t>
            </w:r>
          </w:p>
        </w:tc>
        <w:tc>
          <w:tcPr>
            <w:tcW w:w="384" w:type="pct"/>
            <w:shd w:val="clear" w:color="auto" w:fill="auto"/>
            <w:noWrap/>
            <w:hideMark/>
          </w:tcPr>
          <w:p w14:paraId="6757FE3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33.3</w:t>
            </w:r>
          </w:p>
        </w:tc>
        <w:tc>
          <w:tcPr>
            <w:tcW w:w="384" w:type="pct"/>
            <w:shd w:val="clear" w:color="auto" w:fill="auto"/>
            <w:noWrap/>
            <w:hideMark/>
          </w:tcPr>
          <w:p w14:paraId="35C07DD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32.7</w:t>
            </w:r>
          </w:p>
        </w:tc>
        <w:tc>
          <w:tcPr>
            <w:tcW w:w="384" w:type="pct"/>
            <w:shd w:val="clear" w:color="auto" w:fill="auto"/>
            <w:noWrap/>
            <w:hideMark/>
          </w:tcPr>
          <w:p w14:paraId="34A77BB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31.6</w:t>
            </w:r>
          </w:p>
        </w:tc>
        <w:tc>
          <w:tcPr>
            <w:tcW w:w="384" w:type="pct"/>
            <w:shd w:val="clear" w:color="auto" w:fill="auto"/>
            <w:noWrap/>
            <w:hideMark/>
          </w:tcPr>
          <w:p w14:paraId="1842E01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31.7</w:t>
            </w:r>
          </w:p>
        </w:tc>
        <w:tc>
          <w:tcPr>
            <w:tcW w:w="387" w:type="pct"/>
            <w:shd w:val="clear" w:color="auto" w:fill="auto"/>
            <w:noWrap/>
            <w:hideMark/>
          </w:tcPr>
          <w:p w14:paraId="589AE74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30.7</w:t>
            </w:r>
          </w:p>
        </w:tc>
      </w:tr>
      <w:tr w:rsidR="00AF0ADF" w:rsidRPr="00B16773" w14:paraId="07B1F0D5" w14:textId="77777777" w:rsidTr="00A7329A">
        <w:trPr>
          <w:trHeight w:val="226"/>
        </w:trPr>
        <w:tc>
          <w:tcPr>
            <w:tcW w:w="1540" w:type="pct"/>
            <w:shd w:val="clear" w:color="auto" w:fill="auto"/>
            <w:noWrap/>
            <w:hideMark/>
          </w:tcPr>
          <w:p w14:paraId="3EA6A178"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Public</w:t>
            </w:r>
          </w:p>
        </w:tc>
        <w:tc>
          <w:tcPr>
            <w:tcW w:w="384" w:type="pct"/>
            <w:shd w:val="clear" w:color="auto" w:fill="auto"/>
            <w:noWrap/>
            <w:hideMark/>
          </w:tcPr>
          <w:p w14:paraId="198D53B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51.3</w:t>
            </w:r>
          </w:p>
        </w:tc>
        <w:tc>
          <w:tcPr>
            <w:tcW w:w="384" w:type="pct"/>
            <w:shd w:val="clear" w:color="auto" w:fill="auto"/>
            <w:noWrap/>
            <w:hideMark/>
          </w:tcPr>
          <w:p w14:paraId="5DD11BC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51.6</w:t>
            </w:r>
          </w:p>
        </w:tc>
        <w:tc>
          <w:tcPr>
            <w:tcW w:w="384" w:type="pct"/>
            <w:shd w:val="clear" w:color="auto" w:fill="auto"/>
            <w:noWrap/>
            <w:hideMark/>
          </w:tcPr>
          <w:p w14:paraId="3A24412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50.8</w:t>
            </w:r>
          </w:p>
        </w:tc>
        <w:tc>
          <w:tcPr>
            <w:tcW w:w="384" w:type="pct"/>
            <w:shd w:val="clear" w:color="auto" w:fill="auto"/>
            <w:noWrap/>
            <w:hideMark/>
          </w:tcPr>
          <w:p w14:paraId="1BE4E33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50.4</w:t>
            </w:r>
          </w:p>
        </w:tc>
        <w:tc>
          <w:tcPr>
            <w:tcW w:w="384" w:type="pct"/>
            <w:shd w:val="clear" w:color="auto" w:fill="auto"/>
            <w:noWrap/>
            <w:hideMark/>
          </w:tcPr>
          <w:p w14:paraId="36ED919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50.1</w:t>
            </w:r>
          </w:p>
        </w:tc>
        <w:tc>
          <w:tcPr>
            <w:tcW w:w="384" w:type="pct"/>
            <w:shd w:val="clear" w:color="auto" w:fill="auto"/>
            <w:noWrap/>
            <w:hideMark/>
          </w:tcPr>
          <w:p w14:paraId="52F73B2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48.8</w:t>
            </w:r>
          </w:p>
        </w:tc>
        <w:tc>
          <w:tcPr>
            <w:tcW w:w="384" w:type="pct"/>
            <w:shd w:val="clear" w:color="auto" w:fill="auto"/>
            <w:noWrap/>
            <w:hideMark/>
          </w:tcPr>
          <w:p w14:paraId="71A607B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47.6</w:t>
            </w:r>
          </w:p>
        </w:tc>
        <w:tc>
          <w:tcPr>
            <w:tcW w:w="384" w:type="pct"/>
            <w:shd w:val="clear" w:color="auto" w:fill="auto"/>
            <w:noWrap/>
            <w:hideMark/>
          </w:tcPr>
          <w:p w14:paraId="0982AD3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46.1</w:t>
            </w:r>
          </w:p>
        </w:tc>
        <w:tc>
          <w:tcPr>
            <w:tcW w:w="387" w:type="pct"/>
            <w:shd w:val="clear" w:color="auto" w:fill="auto"/>
            <w:noWrap/>
            <w:hideMark/>
          </w:tcPr>
          <w:p w14:paraId="753B86D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45.6</w:t>
            </w:r>
          </w:p>
        </w:tc>
      </w:tr>
      <w:tr w:rsidR="00AF0ADF" w:rsidRPr="00B16773" w14:paraId="121000FE" w14:textId="77777777" w:rsidTr="00AF0ADF">
        <w:trPr>
          <w:trHeight w:val="226"/>
        </w:trPr>
        <w:tc>
          <w:tcPr>
            <w:tcW w:w="5000" w:type="pct"/>
            <w:gridSpan w:val="10"/>
            <w:shd w:val="clear" w:color="auto" w:fill="auto"/>
            <w:noWrap/>
            <w:hideMark/>
          </w:tcPr>
          <w:p w14:paraId="5070CA5C" w14:textId="77777777" w:rsidR="00AF0ADF" w:rsidRPr="00B94D3E" w:rsidRDefault="00AF0ADF" w:rsidP="00AF0ADF">
            <w:pPr>
              <w:rPr>
                <w:rFonts w:cstheme="minorHAnsi"/>
                <w:sz w:val="20"/>
                <w:szCs w:val="20"/>
              </w:rPr>
            </w:pPr>
            <w:r w:rsidRPr="00B94D3E">
              <w:rPr>
                <w:rFonts w:cstheme="minorHAnsi"/>
                <w:b/>
                <w:bCs/>
                <w:color w:val="000000"/>
                <w:sz w:val="20"/>
                <w:szCs w:val="20"/>
              </w:rPr>
              <w:t>Hospitals annual number of births</w:t>
            </w:r>
          </w:p>
        </w:tc>
      </w:tr>
      <w:tr w:rsidR="00AF0ADF" w:rsidRPr="00B16773" w14:paraId="6F458442" w14:textId="77777777" w:rsidTr="00A7329A">
        <w:trPr>
          <w:trHeight w:val="226"/>
        </w:trPr>
        <w:tc>
          <w:tcPr>
            <w:tcW w:w="1540" w:type="pct"/>
            <w:shd w:val="clear" w:color="auto" w:fill="auto"/>
            <w:noWrap/>
            <w:hideMark/>
          </w:tcPr>
          <w:p w14:paraId="0B02D463"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1-100 births</w:t>
            </w:r>
          </w:p>
        </w:tc>
        <w:tc>
          <w:tcPr>
            <w:tcW w:w="384" w:type="pct"/>
            <w:shd w:val="clear" w:color="auto" w:fill="auto"/>
            <w:noWrap/>
            <w:hideMark/>
          </w:tcPr>
          <w:p w14:paraId="069A91B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61.3</w:t>
            </w:r>
          </w:p>
        </w:tc>
        <w:tc>
          <w:tcPr>
            <w:tcW w:w="384" w:type="pct"/>
            <w:shd w:val="clear" w:color="auto" w:fill="auto"/>
            <w:noWrap/>
            <w:hideMark/>
          </w:tcPr>
          <w:p w14:paraId="72D4D25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69.9</w:t>
            </w:r>
          </w:p>
        </w:tc>
        <w:tc>
          <w:tcPr>
            <w:tcW w:w="384" w:type="pct"/>
            <w:shd w:val="clear" w:color="auto" w:fill="auto"/>
            <w:noWrap/>
            <w:hideMark/>
          </w:tcPr>
          <w:p w14:paraId="69969B5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63.3</w:t>
            </w:r>
          </w:p>
        </w:tc>
        <w:tc>
          <w:tcPr>
            <w:tcW w:w="384" w:type="pct"/>
            <w:shd w:val="clear" w:color="auto" w:fill="auto"/>
            <w:noWrap/>
            <w:hideMark/>
          </w:tcPr>
          <w:p w14:paraId="51D3228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59.1</w:t>
            </w:r>
          </w:p>
        </w:tc>
        <w:tc>
          <w:tcPr>
            <w:tcW w:w="384" w:type="pct"/>
            <w:shd w:val="clear" w:color="auto" w:fill="auto"/>
            <w:noWrap/>
            <w:hideMark/>
          </w:tcPr>
          <w:p w14:paraId="2BDFF2B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63.7</w:t>
            </w:r>
          </w:p>
        </w:tc>
        <w:tc>
          <w:tcPr>
            <w:tcW w:w="384" w:type="pct"/>
            <w:shd w:val="clear" w:color="auto" w:fill="auto"/>
            <w:noWrap/>
            <w:hideMark/>
          </w:tcPr>
          <w:p w14:paraId="496F9C1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55.8</w:t>
            </w:r>
          </w:p>
        </w:tc>
        <w:tc>
          <w:tcPr>
            <w:tcW w:w="384" w:type="pct"/>
            <w:shd w:val="clear" w:color="auto" w:fill="auto"/>
            <w:noWrap/>
            <w:hideMark/>
          </w:tcPr>
          <w:p w14:paraId="59C3117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65.4</w:t>
            </w:r>
          </w:p>
        </w:tc>
        <w:tc>
          <w:tcPr>
            <w:tcW w:w="384" w:type="pct"/>
            <w:shd w:val="clear" w:color="auto" w:fill="auto"/>
            <w:noWrap/>
            <w:hideMark/>
          </w:tcPr>
          <w:p w14:paraId="2B82D60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63.8</w:t>
            </w:r>
          </w:p>
        </w:tc>
        <w:tc>
          <w:tcPr>
            <w:tcW w:w="387" w:type="pct"/>
            <w:shd w:val="clear" w:color="auto" w:fill="auto"/>
            <w:noWrap/>
            <w:hideMark/>
          </w:tcPr>
          <w:p w14:paraId="5559C0C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64.4</w:t>
            </w:r>
          </w:p>
        </w:tc>
      </w:tr>
      <w:tr w:rsidR="00AF0ADF" w:rsidRPr="00B16773" w14:paraId="318F065D" w14:textId="77777777" w:rsidTr="00A7329A">
        <w:trPr>
          <w:trHeight w:val="226"/>
        </w:trPr>
        <w:tc>
          <w:tcPr>
            <w:tcW w:w="1540" w:type="pct"/>
            <w:shd w:val="clear" w:color="auto" w:fill="auto"/>
            <w:noWrap/>
            <w:hideMark/>
          </w:tcPr>
          <w:p w14:paraId="58EFBC61"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101-500 births</w:t>
            </w:r>
          </w:p>
        </w:tc>
        <w:tc>
          <w:tcPr>
            <w:tcW w:w="384" w:type="pct"/>
            <w:shd w:val="clear" w:color="auto" w:fill="auto"/>
            <w:noWrap/>
            <w:hideMark/>
          </w:tcPr>
          <w:p w14:paraId="001ABE5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53.7</w:t>
            </w:r>
          </w:p>
        </w:tc>
        <w:tc>
          <w:tcPr>
            <w:tcW w:w="384" w:type="pct"/>
            <w:shd w:val="clear" w:color="auto" w:fill="auto"/>
            <w:noWrap/>
            <w:hideMark/>
          </w:tcPr>
          <w:p w14:paraId="1D05C98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55.5</w:t>
            </w:r>
          </w:p>
        </w:tc>
        <w:tc>
          <w:tcPr>
            <w:tcW w:w="384" w:type="pct"/>
            <w:shd w:val="clear" w:color="auto" w:fill="auto"/>
            <w:noWrap/>
            <w:hideMark/>
          </w:tcPr>
          <w:p w14:paraId="0212294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54.8</w:t>
            </w:r>
          </w:p>
        </w:tc>
        <w:tc>
          <w:tcPr>
            <w:tcW w:w="384" w:type="pct"/>
            <w:shd w:val="clear" w:color="auto" w:fill="auto"/>
            <w:noWrap/>
            <w:hideMark/>
          </w:tcPr>
          <w:p w14:paraId="0DC63EB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53.9</w:t>
            </w:r>
          </w:p>
        </w:tc>
        <w:tc>
          <w:tcPr>
            <w:tcW w:w="384" w:type="pct"/>
            <w:shd w:val="clear" w:color="auto" w:fill="auto"/>
            <w:noWrap/>
            <w:hideMark/>
          </w:tcPr>
          <w:p w14:paraId="0961D07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54.8</w:t>
            </w:r>
          </w:p>
        </w:tc>
        <w:tc>
          <w:tcPr>
            <w:tcW w:w="384" w:type="pct"/>
            <w:shd w:val="clear" w:color="auto" w:fill="auto"/>
            <w:noWrap/>
            <w:hideMark/>
          </w:tcPr>
          <w:p w14:paraId="08878D7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54.2</w:t>
            </w:r>
          </w:p>
        </w:tc>
        <w:tc>
          <w:tcPr>
            <w:tcW w:w="384" w:type="pct"/>
            <w:shd w:val="clear" w:color="auto" w:fill="auto"/>
            <w:noWrap/>
            <w:hideMark/>
          </w:tcPr>
          <w:p w14:paraId="534A1FE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50.9</w:t>
            </w:r>
          </w:p>
        </w:tc>
        <w:tc>
          <w:tcPr>
            <w:tcW w:w="384" w:type="pct"/>
            <w:shd w:val="clear" w:color="auto" w:fill="auto"/>
            <w:noWrap/>
            <w:hideMark/>
          </w:tcPr>
          <w:p w14:paraId="5DB805A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49.6</w:t>
            </w:r>
          </w:p>
        </w:tc>
        <w:tc>
          <w:tcPr>
            <w:tcW w:w="387" w:type="pct"/>
            <w:shd w:val="clear" w:color="auto" w:fill="auto"/>
            <w:noWrap/>
            <w:hideMark/>
          </w:tcPr>
          <w:p w14:paraId="77BD3B0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45.7</w:t>
            </w:r>
          </w:p>
        </w:tc>
      </w:tr>
      <w:tr w:rsidR="00AF0ADF" w:rsidRPr="00B16773" w14:paraId="78246D57" w14:textId="77777777" w:rsidTr="00A7329A">
        <w:trPr>
          <w:trHeight w:val="226"/>
        </w:trPr>
        <w:tc>
          <w:tcPr>
            <w:tcW w:w="1540" w:type="pct"/>
            <w:shd w:val="clear" w:color="auto" w:fill="auto"/>
            <w:noWrap/>
            <w:hideMark/>
          </w:tcPr>
          <w:p w14:paraId="56F3F0E1"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501-1,000 births</w:t>
            </w:r>
          </w:p>
        </w:tc>
        <w:tc>
          <w:tcPr>
            <w:tcW w:w="384" w:type="pct"/>
            <w:shd w:val="clear" w:color="auto" w:fill="auto"/>
            <w:noWrap/>
            <w:hideMark/>
          </w:tcPr>
          <w:p w14:paraId="676CD26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44.6</w:t>
            </w:r>
          </w:p>
        </w:tc>
        <w:tc>
          <w:tcPr>
            <w:tcW w:w="384" w:type="pct"/>
            <w:shd w:val="clear" w:color="auto" w:fill="auto"/>
            <w:noWrap/>
            <w:hideMark/>
          </w:tcPr>
          <w:p w14:paraId="54D1DF5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45.5</w:t>
            </w:r>
          </w:p>
        </w:tc>
        <w:tc>
          <w:tcPr>
            <w:tcW w:w="384" w:type="pct"/>
            <w:shd w:val="clear" w:color="auto" w:fill="auto"/>
            <w:noWrap/>
            <w:hideMark/>
          </w:tcPr>
          <w:p w14:paraId="1271DF7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43.7</w:t>
            </w:r>
          </w:p>
        </w:tc>
        <w:tc>
          <w:tcPr>
            <w:tcW w:w="384" w:type="pct"/>
            <w:shd w:val="clear" w:color="auto" w:fill="auto"/>
            <w:noWrap/>
            <w:hideMark/>
          </w:tcPr>
          <w:p w14:paraId="3597211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42.9</w:t>
            </w:r>
          </w:p>
        </w:tc>
        <w:tc>
          <w:tcPr>
            <w:tcW w:w="384" w:type="pct"/>
            <w:shd w:val="clear" w:color="auto" w:fill="auto"/>
            <w:noWrap/>
            <w:hideMark/>
          </w:tcPr>
          <w:p w14:paraId="01DE2E8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41.9</w:t>
            </w:r>
          </w:p>
        </w:tc>
        <w:tc>
          <w:tcPr>
            <w:tcW w:w="384" w:type="pct"/>
            <w:shd w:val="clear" w:color="auto" w:fill="auto"/>
            <w:noWrap/>
            <w:hideMark/>
          </w:tcPr>
          <w:p w14:paraId="43ACA8F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41.7</w:t>
            </w:r>
          </w:p>
        </w:tc>
        <w:tc>
          <w:tcPr>
            <w:tcW w:w="384" w:type="pct"/>
            <w:shd w:val="clear" w:color="auto" w:fill="auto"/>
            <w:noWrap/>
            <w:hideMark/>
          </w:tcPr>
          <w:p w14:paraId="51DB127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43.9</w:t>
            </w:r>
          </w:p>
        </w:tc>
        <w:tc>
          <w:tcPr>
            <w:tcW w:w="384" w:type="pct"/>
            <w:shd w:val="clear" w:color="auto" w:fill="auto"/>
            <w:noWrap/>
            <w:hideMark/>
          </w:tcPr>
          <w:p w14:paraId="5C5FCD3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43.7</w:t>
            </w:r>
          </w:p>
        </w:tc>
        <w:tc>
          <w:tcPr>
            <w:tcW w:w="387" w:type="pct"/>
            <w:shd w:val="clear" w:color="auto" w:fill="auto"/>
            <w:noWrap/>
            <w:hideMark/>
          </w:tcPr>
          <w:p w14:paraId="6251D34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38.7</w:t>
            </w:r>
          </w:p>
        </w:tc>
      </w:tr>
      <w:tr w:rsidR="00AF0ADF" w:rsidRPr="00B16773" w14:paraId="1AE91729" w14:textId="77777777" w:rsidTr="00A7329A">
        <w:trPr>
          <w:trHeight w:val="226"/>
        </w:trPr>
        <w:tc>
          <w:tcPr>
            <w:tcW w:w="1540" w:type="pct"/>
            <w:shd w:val="clear" w:color="auto" w:fill="auto"/>
            <w:noWrap/>
            <w:hideMark/>
          </w:tcPr>
          <w:p w14:paraId="2883952C"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1,001-2,000 births</w:t>
            </w:r>
          </w:p>
        </w:tc>
        <w:tc>
          <w:tcPr>
            <w:tcW w:w="384" w:type="pct"/>
            <w:shd w:val="clear" w:color="auto" w:fill="auto"/>
            <w:noWrap/>
            <w:hideMark/>
          </w:tcPr>
          <w:p w14:paraId="5AFE887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48.6</w:t>
            </w:r>
          </w:p>
        </w:tc>
        <w:tc>
          <w:tcPr>
            <w:tcW w:w="384" w:type="pct"/>
            <w:shd w:val="clear" w:color="auto" w:fill="auto"/>
            <w:noWrap/>
            <w:hideMark/>
          </w:tcPr>
          <w:p w14:paraId="71C6CC2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48.2</w:t>
            </w:r>
          </w:p>
        </w:tc>
        <w:tc>
          <w:tcPr>
            <w:tcW w:w="384" w:type="pct"/>
            <w:shd w:val="clear" w:color="auto" w:fill="auto"/>
            <w:noWrap/>
            <w:hideMark/>
          </w:tcPr>
          <w:p w14:paraId="729386A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47.6</w:t>
            </w:r>
          </w:p>
        </w:tc>
        <w:tc>
          <w:tcPr>
            <w:tcW w:w="384" w:type="pct"/>
            <w:shd w:val="clear" w:color="auto" w:fill="auto"/>
            <w:noWrap/>
            <w:hideMark/>
          </w:tcPr>
          <w:p w14:paraId="20A0B5D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46.3</w:t>
            </w:r>
          </w:p>
        </w:tc>
        <w:tc>
          <w:tcPr>
            <w:tcW w:w="384" w:type="pct"/>
            <w:shd w:val="clear" w:color="auto" w:fill="auto"/>
            <w:noWrap/>
            <w:hideMark/>
          </w:tcPr>
          <w:p w14:paraId="506BD8F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48.5</w:t>
            </w:r>
          </w:p>
        </w:tc>
        <w:tc>
          <w:tcPr>
            <w:tcW w:w="384" w:type="pct"/>
            <w:shd w:val="clear" w:color="auto" w:fill="auto"/>
            <w:noWrap/>
            <w:hideMark/>
          </w:tcPr>
          <w:p w14:paraId="54700F0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46.3</w:t>
            </w:r>
          </w:p>
        </w:tc>
        <w:tc>
          <w:tcPr>
            <w:tcW w:w="384" w:type="pct"/>
            <w:shd w:val="clear" w:color="auto" w:fill="auto"/>
            <w:noWrap/>
            <w:hideMark/>
          </w:tcPr>
          <w:p w14:paraId="69FCF3A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45.2</w:t>
            </w:r>
          </w:p>
        </w:tc>
        <w:tc>
          <w:tcPr>
            <w:tcW w:w="384" w:type="pct"/>
            <w:shd w:val="clear" w:color="auto" w:fill="auto"/>
            <w:noWrap/>
            <w:hideMark/>
          </w:tcPr>
          <w:p w14:paraId="281B45E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44.8</w:t>
            </w:r>
          </w:p>
        </w:tc>
        <w:tc>
          <w:tcPr>
            <w:tcW w:w="387" w:type="pct"/>
            <w:shd w:val="clear" w:color="auto" w:fill="auto"/>
            <w:noWrap/>
            <w:hideMark/>
          </w:tcPr>
          <w:p w14:paraId="39555D4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46.9</w:t>
            </w:r>
          </w:p>
        </w:tc>
      </w:tr>
      <w:tr w:rsidR="00AF0ADF" w:rsidRPr="00B16773" w14:paraId="0FC373F1" w14:textId="77777777" w:rsidTr="00A7329A">
        <w:trPr>
          <w:trHeight w:val="226"/>
        </w:trPr>
        <w:tc>
          <w:tcPr>
            <w:tcW w:w="1540" w:type="pct"/>
            <w:shd w:val="clear" w:color="auto" w:fill="auto"/>
            <w:noWrap/>
            <w:hideMark/>
          </w:tcPr>
          <w:p w14:paraId="7B2A3E9B"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2,001 births and over</w:t>
            </w:r>
          </w:p>
        </w:tc>
        <w:tc>
          <w:tcPr>
            <w:tcW w:w="384" w:type="pct"/>
            <w:shd w:val="clear" w:color="auto" w:fill="auto"/>
            <w:noWrap/>
            <w:hideMark/>
          </w:tcPr>
          <w:p w14:paraId="1EB0C1C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47.1</w:t>
            </w:r>
          </w:p>
        </w:tc>
        <w:tc>
          <w:tcPr>
            <w:tcW w:w="384" w:type="pct"/>
            <w:shd w:val="clear" w:color="auto" w:fill="auto"/>
            <w:noWrap/>
            <w:hideMark/>
          </w:tcPr>
          <w:p w14:paraId="7E07110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47.2</w:t>
            </w:r>
          </w:p>
        </w:tc>
        <w:tc>
          <w:tcPr>
            <w:tcW w:w="384" w:type="pct"/>
            <w:shd w:val="clear" w:color="auto" w:fill="auto"/>
            <w:noWrap/>
            <w:hideMark/>
          </w:tcPr>
          <w:p w14:paraId="702672D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46.4</w:t>
            </w:r>
          </w:p>
        </w:tc>
        <w:tc>
          <w:tcPr>
            <w:tcW w:w="384" w:type="pct"/>
            <w:shd w:val="clear" w:color="auto" w:fill="auto"/>
            <w:noWrap/>
            <w:hideMark/>
          </w:tcPr>
          <w:p w14:paraId="0E11A9C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46.2</w:t>
            </w:r>
          </w:p>
        </w:tc>
        <w:tc>
          <w:tcPr>
            <w:tcW w:w="384" w:type="pct"/>
            <w:shd w:val="clear" w:color="auto" w:fill="auto"/>
            <w:noWrap/>
            <w:hideMark/>
          </w:tcPr>
          <w:p w14:paraId="56AA3BB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45.5</w:t>
            </w:r>
          </w:p>
        </w:tc>
        <w:tc>
          <w:tcPr>
            <w:tcW w:w="384" w:type="pct"/>
            <w:shd w:val="clear" w:color="auto" w:fill="auto"/>
            <w:noWrap/>
            <w:hideMark/>
          </w:tcPr>
          <w:p w14:paraId="5BC2875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44.6</w:t>
            </w:r>
          </w:p>
        </w:tc>
        <w:tc>
          <w:tcPr>
            <w:tcW w:w="384" w:type="pct"/>
            <w:shd w:val="clear" w:color="auto" w:fill="auto"/>
            <w:noWrap/>
            <w:hideMark/>
          </w:tcPr>
          <w:p w14:paraId="50CF11F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43.3</w:t>
            </w:r>
          </w:p>
        </w:tc>
        <w:tc>
          <w:tcPr>
            <w:tcW w:w="384" w:type="pct"/>
            <w:shd w:val="clear" w:color="auto" w:fill="auto"/>
            <w:noWrap/>
            <w:hideMark/>
          </w:tcPr>
          <w:p w14:paraId="32F0DFC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42.4</w:t>
            </w:r>
          </w:p>
        </w:tc>
        <w:tc>
          <w:tcPr>
            <w:tcW w:w="387" w:type="pct"/>
            <w:shd w:val="clear" w:color="auto" w:fill="auto"/>
            <w:noWrap/>
            <w:hideMark/>
          </w:tcPr>
          <w:p w14:paraId="5DC5FE8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41.6</w:t>
            </w:r>
          </w:p>
        </w:tc>
      </w:tr>
    </w:tbl>
    <w:p w14:paraId="340165BA" w14:textId="08957A10" w:rsidR="00A7329A" w:rsidRPr="007667EF" w:rsidRDefault="00A7329A" w:rsidP="00A7329A">
      <w:pPr>
        <w:rPr>
          <w:sz w:val="18"/>
          <w:szCs w:val="18"/>
        </w:rPr>
      </w:pPr>
      <w:r>
        <w:rPr>
          <w:rFonts w:cstheme="minorHAnsi"/>
          <w:color w:val="000000"/>
          <w:sz w:val="20"/>
          <w:szCs w:val="20"/>
        </w:rPr>
        <w:t>n.a</w:t>
      </w:r>
      <w:r w:rsidR="00887119">
        <w:rPr>
          <w:rFonts w:cstheme="minorHAnsi"/>
          <w:color w:val="000000"/>
          <w:sz w:val="20"/>
          <w:szCs w:val="20"/>
        </w:rPr>
        <w:t>.</w:t>
      </w:r>
      <w:r w:rsidRPr="007667EF">
        <w:rPr>
          <w:sz w:val="18"/>
          <w:szCs w:val="18"/>
        </w:rPr>
        <w:t xml:space="preserve">: </w:t>
      </w:r>
      <w:r>
        <w:rPr>
          <w:sz w:val="18"/>
          <w:szCs w:val="18"/>
        </w:rPr>
        <w:t>data not available</w:t>
      </w:r>
      <w:r w:rsidR="00887119">
        <w:rPr>
          <w:sz w:val="18"/>
          <w:szCs w:val="18"/>
        </w:rPr>
        <w:t>.</w:t>
      </w:r>
    </w:p>
    <w:p w14:paraId="44CA7339" w14:textId="5A957DA1" w:rsidR="00A7329A" w:rsidRPr="007667EF" w:rsidRDefault="00A7329A" w:rsidP="00751711">
      <w:pPr>
        <w:rPr>
          <w:sz w:val="18"/>
          <w:szCs w:val="18"/>
        </w:rPr>
      </w:pPr>
    </w:p>
    <w:p w14:paraId="34DE4E33" w14:textId="77777777" w:rsidR="00AF0ADF" w:rsidRPr="00B94D3E" w:rsidRDefault="00AF0ADF" w:rsidP="00940A8B">
      <w:pPr>
        <w:ind w:left="284" w:hanging="284"/>
        <w:rPr>
          <w:b/>
          <w:sz w:val="18"/>
          <w:szCs w:val="18"/>
        </w:rPr>
      </w:pPr>
      <w:r w:rsidRPr="00B94D3E">
        <w:rPr>
          <w:b/>
          <w:sz w:val="18"/>
          <w:szCs w:val="18"/>
        </w:rPr>
        <w:t>Data Notes:</w:t>
      </w:r>
    </w:p>
    <w:p w14:paraId="4F6ABA97" w14:textId="77777777" w:rsidR="00AF0ADF" w:rsidRPr="00A7329A" w:rsidRDefault="00AF0ADF" w:rsidP="008D3FB5">
      <w:pPr>
        <w:pStyle w:val="pf0"/>
        <w:numPr>
          <w:ilvl w:val="0"/>
          <w:numId w:val="15"/>
        </w:numPr>
        <w:spacing w:before="0" w:beforeAutospacing="0" w:after="0" w:afterAutospacing="0"/>
        <w:ind w:left="284" w:hanging="284"/>
        <w:rPr>
          <w:rFonts w:asciiTheme="minorHAnsi" w:hAnsiTheme="minorHAnsi"/>
          <w:sz w:val="18"/>
          <w:szCs w:val="18"/>
        </w:rPr>
      </w:pPr>
      <w:r w:rsidRPr="00A7329A">
        <w:rPr>
          <w:rFonts w:asciiTheme="minorHAnsi" w:hAnsiTheme="minorHAnsi"/>
          <w:sz w:val="18"/>
          <w:szCs w:val="18"/>
        </w:rPr>
        <w:t>Non-instrumental vaginal births include spontaneous vaginal and vaginal breech.</w:t>
      </w:r>
    </w:p>
    <w:p w14:paraId="7C1AE184" w14:textId="77777777" w:rsidR="0029658B" w:rsidRPr="007667EF" w:rsidRDefault="0029658B" w:rsidP="00C24842">
      <w:pPr>
        <w:pStyle w:val="pf0"/>
        <w:numPr>
          <w:ilvl w:val="0"/>
          <w:numId w:val="15"/>
        </w:numPr>
        <w:spacing w:before="0" w:beforeAutospacing="0" w:after="0" w:afterAutospacing="0"/>
        <w:ind w:left="284" w:hanging="284"/>
        <w:rPr>
          <w:rFonts w:asciiTheme="minorHAnsi" w:hAnsiTheme="minorHAnsi"/>
          <w:sz w:val="18"/>
          <w:szCs w:val="18"/>
        </w:rPr>
      </w:pPr>
      <w:r w:rsidRPr="00FE0A19">
        <w:rPr>
          <w:rFonts w:asciiTheme="minorHAnsi" w:hAnsiTheme="minorHAnsi"/>
          <w:sz w:val="18"/>
          <w:szCs w:val="18"/>
        </w:rPr>
        <w:t>Selected women are defined as ‘aged between 20 and 34 years, where gestational age at birth was between 37 and 41 completed weeks, with a singleton baby in the vertex presentation)’. They are reported on separately as it is expected that they will have fewer labour complications and more optimal birth outcomes due to their lower risk. This cohort represents about one quarter of all women who give birth in Australia.</w:t>
      </w:r>
    </w:p>
    <w:p w14:paraId="5C1B0BAF" w14:textId="77777777" w:rsidR="00AF0ADF" w:rsidRPr="00A7329A" w:rsidRDefault="00AF0ADF" w:rsidP="008D3FB5">
      <w:pPr>
        <w:pStyle w:val="pf0"/>
        <w:numPr>
          <w:ilvl w:val="0"/>
          <w:numId w:val="15"/>
        </w:numPr>
        <w:spacing w:before="0" w:beforeAutospacing="0" w:after="0" w:afterAutospacing="0"/>
        <w:ind w:left="284" w:hanging="284"/>
        <w:rPr>
          <w:rFonts w:asciiTheme="minorHAnsi" w:hAnsiTheme="minorHAnsi"/>
          <w:sz w:val="18"/>
          <w:szCs w:val="18"/>
        </w:rPr>
      </w:pPr>
      <w:r w:rsidRPr="00A7329A">
        <w:rPr>
          <w:rFonts w:asciiTheme="minorHAnsi" w:hAnsiTheme="minorHAnsi"/>
          <w:sz w:val="18"/>
          <w:szCs w:val="18"/>
        </w:rPr>
        <w:t>Data for Tasmania was not available until 2013. Presentations via caesarean births between 2005 and 2012 were not reported by hospitals who were still using the paper-based form. In these instances, if a caesarean section occurred the presentation was recorded as ‘Not stated’. Presentations via caesarean births was included in the paper-based form from 1 January 2013.</w:t>
      </w:r>
    </w:p>
    <w:p w14:paraId="149C1A82" w14:textId="5CF147DC" w:rsidR="00AF0ADF" w:rsidRPr="00B94D3E" w:rsidRDefault="00AF0ADF" w:rsidP="008D3FB5">
      <w:pPr>
        <w:pStyle w:val="pf0"/>
        <w:numPr>
          <w:ilvl w:val="0"/>
          <w:numId w:val="15"/>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Percentages for mother's Indigenous status are age-standardised.</w:t>
      </w:r>
    </w:p>
    <w:p w14:paraId="5D50CE66" w14:textId="17A78609" w:rsidR="00A71004" w:rsidRPr="00B94D3E" w:rsidRDefault="00A71004" w:rsidP="008D3FB5">
      <w:pPr>
        <w:pStyle w:val="pf0"/>
        <w:numPr>
          <w:ilvl w:val="0"/>
          <w:numId w:val="15"/>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7D42D916" w14:textId="77777777" w:rsidR="00AF0ADF" w:rsidRDefault="00AF0ADF" w:rsidP="00AF0ADF"/>
    <w:p w14:paraId="73DA056D" w14:textId="77777777" w:rsidR="00AF0ADF" w:rsidRDefault="00AF0ADF" w:rsidP="00AF0ADF">
      <w:r>
        <w:br w:type="page"/>
      </w:r>
    </w:p>
    <w:p w14:paraId="0E0F198B" w14:textId="15CAE8A3" w:rsidR="00AF0ADF" w:rsidRPr="0054118D" w:rsidRDefault="00AF0ADF" w:rsidP="00AF0ADF">
      <w:pPr>
        <w:pStyle w:val="Caption"/>
        <w:rPr>
          <w:sz w:val="20"/>
          <w:szCs w:val="20"/>
        </w:rPr>
      </w:pPr>
      <w:bookmarkStart w:id="439" w:name="_Ref117096612"/>
      <w:bookmarkStart w:id="440" w:name="_Toc121429200"/>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24</w:t>
      </w:r>
      <w:r w:rsidR="00A64FC5" w:rsidRPr="0054118D">
        <w:rPr>
          <w:noProof/>
          <w:sz w:val="20"/>
          <w:szCs w:val="20"/>
        </w:rPr>
        <w:fldChar w:fldCharType="end"/>
      </w:r>
      <w:bookmarkEnd w:id="439"/>
      <w:r w:rsidRPr="0054118D">
        <w:rPr>
          <w:sz w:val="20"/>
          <w:szCs w:val="20"/>
        </w:rPr>
        <w:tab/>
        <w:t>Instrumental vaginal birth</w:t>
      </w:r>
      <w:r w:rsidR="0054118D">
        <w:rPr>
          <w:sz w:val="20"/>
          <w:szCs w:val="20"/>
        </w:rPr>
        <w:t>,</w:t>
      </w:r>
      <w:r w:rsidRPr="0054118D">
        <w:rPr>
          <w:sz w:val="20"/>
          <w:szCs w:val="20"/>
        </w:rPr>
        <w:t xml:space="preserve"> selected women</w:t>
      </w:r>
      <w:r w:rsidR="009D1604">
        <w:rPr>
          <w:sz w:val="20"/>
          <w:szCs w:val="20"/>
        </w:rPr>
        <w:t>, first birth</w:t>
      </w:r>
      <w:r w:rsidR="0054118D">
        <w:rPr>
          <w:sz w:val="20"/>
          <w:szCs w:val="20"/>
        </w:rPr>
        <w:t xml:space="preserve"> (PI08), 201</w:t>
      </w:r>
      <w:r w:rsidR="008E401A">
        <w:rPr>
          <w:sz w:val="20"/>
          <w:szCs w:val="20"/>
        </w:rPr>
        <w:t>1</w:t>
      </w:r>
      <w:r w:rsidRPr="0054118D">
        <w:rPr>
          <w:sz w:val="20"/>
          <w:szCs w:val="20"/>
        </w:rPr>
        <w:t>–2019</w:t>
      </w:r>
      <w:bookmarkEnd w:id="4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718"/>
        <w:gridCol w:w="660"/>
        <w:gridCol w:w="660"/>
        <w:gridCol w:w="660"/>
        <w:gridCol w:w="660"/>
        <w:gridCol w:w="661"/>
        <w:gridCol w:w="661"/>
        <w:gridCol w:w="661"/>
        <w:gridCol w:w="667"/>
      </w:tblGrid>
      <w:tr w:rsidR="00AF0ADF" w:rsidRPr="006479DA" w14:paraId="2798DA6F" w14:textId="77777777" w:rsidTr="00B94D3E">
        <w:trPr>
          <w:trHeight w:val="236"/>
        </w:trPr>
        <w:tc>
          <w:tcPr>
            <w:tcW w:w="1955" w:type="pct"/>
            <w:shd w:val="clear" w:color="auto" w:fill="auto"/>
            <w:noWrap/>
            <w:hideMark/>
          </w:tcPr>
          <w:p w14:paraId="74538F2F" w14:textId="38836175" w:rsidR="00AF0ADF" w:rsidRPr="006479DA" w:rsidRDefault="00AF0ADF" w:rsidP="00AF0ADF">
            <w:pPr>
              <w:rPr>
                <w:rFonts w:cstheme="minorHAnsi"/>
                <w:b/>
                <w:bCs/>
                <w:color w:val="000000"/>
                <w:sz w:val="20"/>
                <w:szCs w:val="20"/>
              </w:rPr>
            </w:pPr>
          </w:p>
        </w:tc>
        <w:tc>
          <w:tcPr>
            <w:tcW w:w="338" w:type="pct"/>
            <w:shd w:val="clear" w:color="auto" w:fill="auto"/>
            <w:noWrap/>
            <w:vAlign w:val="center"/>
            <w:hideMark/>
          </w:tcPr>
          <w:p w14:paraId="44A8E5ED"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2011</w:t>
            </w:r>
          </w:p>
        </w:tc>
        <w:tc>
          <w:tcPr>
            <w:tcW w:w="338" w:type="pct"/>
            <w:shd w:val="clear" w:color="auto" w:fill="auto"/>
            <w:noWrap/>
            <w:vAlign w:val="center"/>
            <w:hideMark/>
          </w:tcPr>
          <w:p w14:paraId="1E8985A6"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2012</w:t>
            </w:r>
          </w:p>
        </w:tc>
        <w:tc>
          <w:tcPr>
            <w:tcW w:w="338" w:type="pct"/>
            <w:shd w:val="clear" w:color="auto" w:fill="auto"/>
            <w:noWrap/>
            <w:vAlign w:val="center"/>
            <w:hideMark/>
          </w:tcPr>
          <w:p w14:paraId="1CD8EEE6"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2013</w:t>
            </w:r>
          </w:p>
        </w:tc>
        <w:tc>
          <w:tcPr>
            <w:tcW w:w="338" w:type="pct"/>
            <w:shd w:val="clear" w:color="auto" w:fill="auto"/>
            <w:noWrap/>
            <w:vAlign w:val="center"/>
            <w:hideMark/>
          </w:tcPr>
          <w:p w14:paraId="4951ACDE"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2014</w:t>
            </w:r>
          </w:p>
        </w:tc>
        <w:tc>
          <w:tcPr>
            <w:tcW w:w="338" w:type="pct"/>
            <w:shd w:val="clear" w:color="auto" w:fill="auto"/>
            <w:noWrap/>
            <w:vAlign w:val="center"/>
            <w:hideMark/>
          </w:tcPr>
          <w:p w14:paraId="5D61AD25"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2015</w:t>
            </w:r>
          </w:p>
        </w:tc>
        <w:tc>
          <w:tcPr>
            <w:tcW w:w="338" w:type="pct"/>
            <w:shd w:val="clear" w:color="auto" w:fill="auto"/>
            <w:noWrap/>
            <w:vAlign w:val="center"/>
            <w:hideMark/>
          </w:tcPr>
          <w:p w14:paraId="073C3EE2"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2016</w:t>
            </w:r>
          </w:p>
        </w:tc>
        <w:tc>
          <w:tcPr>
            <w:tcW w:w="338" w:type="pct"/>
            <w:shd w:val="clear" w:color="auto" w:fill="auto"/>
            <w:noWrap/>
            <w:vAlign w:val="center"/>
            <w:hideMark/>
          </w:tcPr>
          <w:p w14:paraId="2D4520CC"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2017</w:t>
            </w:r>
          </w:p>
        </w:tc>
        <w:tc>
          <w:tcPr>
            <w:tcW w:w="338" w:type="pct"/>
            <w:shd w:val="clear" w:color="auto" w:fill="auto"/>
            <w:noWrap/>
            <w:vAlign w:val="center"/>
            <w:hideMark/>
          </w:tcPr>
          <w:p w14:paraId="5007EA88"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2018</w:t>
            </w:r>
          </w:p>
        </w:tc>
        <w:tc>
          <w:tcPr>
            <w:tcW w:w="341" w:type="pct"/>
            <w:shd w:val="clear" w:color="auto" w:fill="auto"/>
            <w:noWrap/>
            <w:vAlign w:val="center"/>
            <w:hideMark/>
          </w:tcPr>
          <w:p w14:paraId="5ABD34A1"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2019</w:t>
            </w:r>
          </w:p>
        </w:tc>
      </w:tr>
      <w:tr w:rsidR="00AF0ADF" w:rsidRPr="006479DA" w14:paraId="0D96E8B3" w14:textId="77777777" w:rsidTr="00AF0ADF">
        <w:trPr>
          <w:trHeight w:val="236"/>
        </w:trPr>
        <w:tc>
          <w:tcPr>
            <w:tcW w:w="1955" w:type="pct"/>
            <w:shd w:val="clear" w:color="auto" w:fill="auto"/>
            <w:noWrap/>
          </w:tcPr>
          <w:p w14:paraId="2E0094EA" w14:textId="77777777" w:rsidR="00AF0ADF" w:rsidRPr="006479DA" w:rsidRDefault="00AF0ADF" w:rsidP="00AF0ADF">
            <w:pPr>
              <w:rPr>
                <w:rFonts w:cstheme="minorHAnsi"/>
                <w:b/>
                <w:bCs/>
                <w:color w:val="000000"/>
                <w:sz w:val="20"/>
                <w:szCs w:val="20"/>
              </w:rPr>
            </w:pPr>
          </w:p>
        </w:tc>
        <w:tc>
          <w:tcPr>
            <w:tcW w:w="3045" w:type="pct"/>
            <w:gridSpan w:val="9"/>
            <w:shd w:val="clear" w:color="auto" w:fill="auto"/>
            <w:noWrap/>
          </w:tcPr>
          <w:p w14:paraId="675D9E83" w14:textId="77777777" w:rsidR="00AF0ADF" w:rsidRPr="006479DA" w:rsidRDefault="00AF0ADF" w:rsidP="00AF0ADF">
            <w:pPr>
              <w:jc w:val="center"/>
              <w:rPr>
                <w:rFonts w:cstheme="minorHAnsi"/>
                <w:b/>
                <w:bCs/>
                <w:color w:val="000000"/>
                <w:sz w:val="20"/>
                <w:szCs w:val="20"/>
              </w:rPr>
            </w:pPr>
            <w:r w:rsidRPr="006479DA">
              <w:rPr>
                <w:rFonts w:cstheme="minorHAnsi"/>
                <w:b/>
                <w:bCs/>
                <w:sz w:val="20"/>
                <w:szCs w:val="20"/>
              </w:rPr>
              <w:t>In per cent (%)</w:t>
            </w:r>
          </w:p>
        </w:tc>
      </w:tr>
      <w:tr w:rsidR="00AF0ADF" w:rsidRPr="006479DA" w14:paraId="0579E1A4" w14:textId="77777777" w:rsidTr="00AF0ADF">
        <w:trPr>
          <w:trHeight w:val="236"/>
        </w:trPr>
        <w:tc>
          <w:tcPr>
            <w:tcW w:w="5000" w:type="pct"/>
            <w:gridSpan w:val="10"/>
            <w:shd w:val="clear" w:color="auto" w:fill="auto"/>
            <w:noWrap/>
            <w:hideMark/>
          </w:tcPr>
          <w:p w14:paraId="7169DE16" w14:textId="77777777" w:rsidR="00AF0ADF" w:rsidRPr="006479DA" w:rsidRDefault="00AF0ADF" w:rsidP="00AF0ADF">
            <w:pPr>
              <w:rPr>
                <w:rFonts w:cstheme="minorHAnsi"/>
                <w:sz w:val="20"/>
                <w:szCs w:val="20"/>
              </w:rPr>
            </w:pPr>
            <w:r w:rsidRPr="006479DA">
              <w:rPr>
                <w:rFonts w:cstheme="minorHAnsi"/>
                <w:b/>
                <w:bCs/>
                <w:color w:val="000000"/>
                <w:sz w:val="20"/>
                <w:szCs w:val="20"/>
              </w:rPr>
              <w:t>Australia</w:t>
            </w:r>
          </w:p>
        </w:tc>
      </w:tr>
      <w:tr w:rsidR="00AF0ADF" w:rsidRPr="006479DA" w14:paraId="2DD5A97A" w14:textId="77777777" w:rsidTr="00AF0ADF">
        <w:trPr>
          <w:trHeight w:val="236"/>
        </w:trPr>
        <w:tc>
          <w:tcPr>
            <w:tcW w:w="1955" w:type="pct"/>
            <w:shd w:val="clear" w:color="auto" w:fill="auto"/>
            <w:noWrap/>
            <w:hideMark/>
          </w:tcPr>
          <w:p w14:paraId="2FD1F691"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Total</w:t>
            </w:r>
          </w:p>
        </w:tc>
        <w:tc>
          <w:tcPr>
            <w:tcW w:w="338" w:type="pct"/>
            <w:shd w:val="clear" w:color="auto" w:fill="auto"/>
            <w:noWrap/>
            <w:hideMark/>
          </w:tcPr>
          <w:p w14:paraId="24ECF60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24.7</w:t>
            </w:r>
          </w:p>
        </w:tc>
        <w:tc>
          <w:tcPr>
            <w:tcW w:w="338" w:type="pct"/>
            <w:shd w:val="clear" w:color="auto" w:fill="auto"/>
            <w:noWrap/>
            <w:hideMark/>
          </w:tcPr>
          <w:p w14:paraId="31A79D8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24.9</w:t>
            </w:r>
          </w:p>
        </w:tc>
        <w:tc>
          <w:tcPr>
            <w:tcW w:w="338" w:type="pct"/>
            <w:shd w:val="clear" w:color="auto" w:fill="auto"/>
            <w:noWrap/>
            <w:hideMark/>
          </w:tcPr>
          <w:p w14:paraId="0653DB6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25.3</w:t>
            </w:r>
          </w:p>
        </w:tc>
        <w:tc>
          <w:tcPr>
            <w:tcW w:w="338" w:type="pct"/>
            <w:shd w:val="clear" w:color="auto" w:fill="auto"/>
            <w:noWrap/>
            <w:hideMark/>
          </w:tcPr>
          <w:p w14:paraId="5A13D1B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25.4</w:t>
            </w:r>
          </w:p>
        </w:tc>
        <w:tc>
          <w:tcPr>
            <w:tcW w:w="338" w:type="pct"/>
            <w:shd w:val="clear" w:color="auto" w:fill="auto"/>
            <w:noWrap/>
            <w:hideMark/>
          </w:tcPr>
          <w:p w14:paraId="4560F2C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25.5</w:t>
            </w:r>
          </w:p>
        </w:tc>
        <w:tc>
          <w:tcPr>
            <w:tcW w:w="338" w:type="pct"/>
            <w:shd w:val="clear" w:color="auto" w:fill="auto"/>
            <w:noWrap/>
            <w:hideMark/>
          </w:tcPr>
          <w:p w14:paraId="334FB1D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26.0</w:t>
            </w:r>
          </w:p>
        </w:tc>
        <w:tc>
          <w:tcPr>
            <w:tcW w:w="338" w:type="pct"/>
            <w:shd w:val="clear" w:color="auto" w:fill="auto"/>
            <w:noWrap/>
            <w:hideMark/>
          </w:tcPr>
          <w:p w14:paraId="13653E6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26.1</w:t>
            </w:r>
          </w:p>
        </w:tc>
        <w:tc>
          <w:tcPr>
            <w:tcW w:w="338" w:type="pct"/>
            <w:shd w:val="clear" w:color="auto" w:fill="auto"/>
            <w:noWrap/>
            <w:hideMark/>
          </w:tcPr>
          <w:p w14:paraId="2E178D9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26.1</w:t>
            </w:r>
          </w:p>
        </w:tc>
        <w:tc>
          <w:tcPr>
            <w:tcW w:w="341" w:type="pct"/>
            <w:shd w:val="clear" w:color="auto" w:fill="auto"/>
            <w:noWrap/>
            <w:hideMark/>
          </w:tcPr>
          <w:p w14:paraId="58A0D9F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26.2</w:t>
            </w:r>
          </w:p>
        </w:tc>
      </w:tr>
      <w:tr w:rsidR="00AF0ADF" w:rsidRPr="006479DA" w14:paraId="61071A57" w14:textId="77777777" w:rsidTr="00AF0ADF">
        <w:trPr>
          <w:trHeight w:val="236"/>
        </w:trPr>
        <w:tc>
          <w:tcPr>
            <w:tcW w:w="5000" w:type="pct"/>
            <w:gridSpan w:val="10"/>
            <w:shd w:val="clear" w:color="auto" w:fill="auto"/>
            <w:noWrap/>
            <w:hideMark/>
          </w:tcPr>
          <w:p w14:paraId="78D36643" w14:textId="69359C26" w:rsidR="00AF0ADF" w:rsidRPr="006479DA" w:rsidRDefault="00AF0ADF" w:rsidP="00AF0ADF">
            <w:pPr>
              <w:rPr>
                <w:rFonts w:cstheme="minorHAnsi"/>
                <w:sz w:val="20"/>
                <w:szCs w:val="20"/>
              </w:rPr>
            </w:pPr>
            <w:r w:rsidRPr="006479DA">
              <w:rPr>
                <w:rFonts w:cstheme="minorHAnsi"/>
                <w:b/>
                <w:bCs/>
                <w:color w:val="000000"/>
                <w:sz w:val="20"/>
                <w:szCs w:val="20"/>
              </w:rPr>
              <w:t xml:space="preserve">Mother's </w:t>
            </w:r>
            <w:r w:rsidR="00FB0C38">
              <w:rPr>
                <w:rFonts w:cstheme="minorHAnsi"/>
                <w:b/>
                <w:bCs/>
                <w:color w:val="000000"/>
                <w:sz w:val="20"/>
                <w:szCs w:val="20"/>
              </w:rPr>
              <w:t>Indig</w:t>
            </w:r>
            <w:r w:rsidRPr="006479DA">
              <w:rPr>
                <w:rFonts w:cstheme="minorHAnsi"/>
                <w:b/>
                <w:bCs/>
                <w:color w:val="000000"/>
                <w:sz w:val="20"/>
                <w:szCs w:val="20"/>
              </w:rPr>
              <w:t>enous status</w:t>
            </w:r>
          </w:p>
        </w:tc>
      </w:tr>
      <w:tr w:rsidR="00AF0ADF" w:rsidRPr="006479DA" w14:paraId="6969F90F" w14:textId="77777777" w:rsidTr="00AF0ADF">
        <w:trPr>
          <w:trHeight w:val="236"/>
        </w:trPr>
        <w:tc>
          <w:tcPr>
            <w:tcW w:w="1955" w:type="pct"/>
            <w:shd w:val="clear" w:color="auto" w:fill="auto"/>
            <w:noWrap/>
            <w:hideMark/>
          </w:tcPr>
          <w:p w14:paraId="688A5B23"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Indigenous</w:t>
            </w:r>
          </w:p>
        </w:tc>
        <w:tc>
          <w:tcPr>
            <w:tcW w:w="338" w:type="pct"/>
            <w:shd w:val="clear" w:color="auto" w:fill="auto"/>
            <w:noWrap/>
            <w:hideMark/>
          </w:tcPr>
          <w:p w14:paraId="1ED73E4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14.6</w:t>
            </w:r>
          </w:p>
        </w:tc>
        <w:tc>
          <w:tcPr>
            <w:tcW w:w="338" w:type="pct"/>
            <w:shd w:val="clear" w:color="auto" w:fill="auto"/>
            <w:noWrap/>
            <w:hideMark/>
          </w:tcPr>
          <w:p w14:paraId="427C3D1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15.7</w:t>
            </w:r>
          </w:p>
        </w:tc>
        <w:tc>
          <w:tcPr>
            <w:tcW w:w="338" w:type="pct"/>
            <w:shd w:val="clear" w:color="auto" w:fill="auto"/>
            <w:noWrap/>
            <w:hideMark/>
          </w:tcPr>
          <w:p w14:paraId="333FC63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18.0</w:t>
            </w:r>
          </w:p>
        </w:tc>
        <w:tc>
          <w:tcPr>
            <w:tcW w:w="338" w:type="pct"/>
            <w:shd w:val="clear" w:color="auto" w:fill="auto"/>
            <w:noWrap/>
            <w:hideMark/>
          </w:tcPr>
          <w:p w14:paraId="30A4DED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21.3</w:t>
            </w:r>
          </w:p>
        </w:tc>
        <w:tc>
          <w:tcPr>
            <w:tcW w:w="338" w:type="pct"/>
            <w:shd w:val="clear" w:color="auto" w:fill="auto"/>
            <w:noWrap/>
            <w:hideMark/>
          </w:tcPr>
          <w:p w14:paraId="4004A46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17.5</w:t>
            </w:r>
          </w:p>
        </w:tc>
        <w:tc>
          <w:tcPr>
            <w:tcW w:w="338" w:type="pct"/>
            <w:shd w:val="clear" w:color="auto" w:fill="auto"/>
            <w:noWrap/>
            <w:hideMark/>
          </w:tcPr>
          <w:p w14:paraId="0D250C1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19.2</w:t>
            </w:r>
          </w:p>
        </w:tc>
        <w:tc>
          <w:tcPr>
            <w:tcW w:w="338" w:type="pct"/>
            <w:shd w:val="clear" w:color="auto" w:fill="auto"/>
            <w:noWrap/>
            <w:hideMark/>
          </w:tcPr>
          <w:p w14:paraId="614EB3E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21.0</w:t>
            </w:r>
          </w:p>
        </w:tc>
        <w:tc>
          <w:tcPr>
            <w:tcW w:w="338" w:type="pct"/>
            <w:shd w:val="clear" w:color="auto" w:fill="auto"/>
            <w:noWrap/>
            <w:hideMark/>
          </w:tcPr>
          <w:p w14:paraId="2358E9C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19.0</w:t>
            </w:r>
          </w:p>
        </w:tc>
        <w:tc>
          <w:tcPr>
            <w:tcW w:w="341" w:type="pct"/>
            <w:shd w:val="clear" w:color="auto" w:fill="auto"/>
            <w:noWrap/>
            <w:hideMark/>
          </w:tcPr>
          <w:p w14:paraId="250C717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20.5</w:t>
            </w:r>
          </w:p>
        </w:tc>
      </w:tr>
      <w:tr w:rsidR="00AF0ADF" w:rsidRPr="006479DA" w14:paraId="481EA20E" w14:textId="77777777" w:rsidTr="00AF0ADF">
        <w:trPr>
          <w:trHeight w:val="236"/>
        </w:trPr>
        <w:tc>
          <w:tcPr>
            <w:tcW w:w="1955" w:type="pct"/>
            <w:shd w:val="clear" w:color="auto" w:fill="auto"/>
            <w:noWrap/>
            <w:hideMark/>
          </w:tcPr>
          <w:p w14:paraId="2184A6F1"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Non-Indigenous</w:t>
            </w:r>
          </w:p>
        </w:tc>
        <w:tc>
          <w:tcPr>
            <w:tcW w:w="338" w:type="pct"/>
            <w:shd w:val="clear" w:color="auto" w:fill="auto"/>
            <w:noWrap/>
            <w:hideMark/>
          </w:tcPr>
          <w:p w14:paraId="7905340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24.4</w:t>
            </w:r>
          </w:p>
        </w:tc>
        <w:tc>
          <w:tcPr>
            <w:tcW w:w="338" w:type="pct"/>
            <w:shd w:val="clear" w:color="auto" w:fill="auto"/>
            <w:noWrap/>
            <w:hideMark/>
          </w:tcPr>
          <w:p w14:paraId="57A8FD0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24.6</w:t>
            </w:r>
          </w:p>
        </w:tc>
        <w:tc>
          <w:tcPr>
            <w:tcW w:w="338" w:type="pct"/>
            <w:shd w:val="clear" w:color="auto" w:fill="auto"/>
            <w:noWrap/>
            <w:hideMark/>
          </w:tcPr>
          <w:p w14:paraId="08FEE5E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24.9</w:t>
            </w:r>
          </w:p>
        </w:tc>
        <w:tc>
          <w:tcPr>
            <w:tcW w:w="338" w:type="pct"/>
            <w:shd w:val="clear" w:color="auto" w:fill="auto"/>
            <w:noWrap/>
            <w:hideMark/>
          </w:tcPr>
          <w:p w14:paraId="35C6C74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24.8</w:t>
            </w:r>
          </w:p>
        </w:tc>
        <w:tc>
          <w:tcPr>
            <w:tcW w:w="338" w:type="pct"/>
            <w:shd w:val="clear" w:color="auto" w:fill="auto"/>
            <w:noWrap/>
            <w:hideMark/>
          </w:tcPr>
          <w:p w14:paraId="25D6D78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25.0</w:t>
            </w:r>
          </w:p>
        </w:tc>
        <w:tc>
          <w:tcPr>
            <w:tcW w:w="338" w:type="pct"/>
            <w:shd w:val="clear" w:color="auto" w:fill="auto"/>
            <w:noWrap/>
            <w:hideMark/>
          </w:tcPr>
          <w:p w14:paraId="3E16A0B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25.4</w:t>
            </w:r>
          </w:p>
        </w:tc>
        <w:tc>
          <w:tcPr>
            <w:tcW w:w="338" w:type="pct"/>
            <w:shd w:val="clear" w:color="auto" w:fill="auto"/>
            <w:noWrap/>
            <w:hideMark/>
          </w:tcPr>
          <w:p w14:paraId="051F99E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25.5</w:t>
            </w:r>
          </w:p>
        </w:tc>
        <w:tc>
          <w:tcPr>
            <w:tcW w:w="338" w:type="pct"/>
            <w:shd w:val="clear" w:color="auto" w:fill="auto"/>
            <w:noWrap/>
            <w:hideMark/>
          </w:tcPr>
          <w:p w14:paraId="28608A4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25.5</w:t>
            </w:r>
          </w:p>
        </w:tc>
        <w:tc>
          <w:tcPr>
            <w:tcW w:w="341" w:type="pct"/>
            <w:shd w:val="clear" w:color="auto" w:fill="auto"/>
            <w:noWrap/>
            <w:hideMark/>
          </w:tcPr>
          <w:p w14:paraId="1AA5078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25.5</w:t>
            </w:r>
          </w:p>
        </w:tc>
      </w:tr>
      <w:tr w:rsidR="00AF0ADF" w:rsidRPr="006479DA" w14:paraId="4381EE26" w14:textId="77777777" w:rsidTr="00AF0ADF">
        <w:trPr>
          <w:trHeight w:val="236"/>
        </w:trPr>
        <w:tc>
          <w:tcPr>
            <w:tcW w:w="5000" w:type="pct"/>
            <w:gridSpan w:val="10"/>
            <w:shd w:val="clear" w:color="auto" w:fill="auto"/>
            <w:noWrap/>
            <w:hideMark/>
          </w:tcPr>
          <w:p w14:paraId="5A3BCF06" w14:textId="77777777" w:rsidR="00AF0ADF" w:rsidRPr="006479DA" w:rsidRDefault="00AF0ADF" w:rsidP="00AF0ADF">
            <w:pPr>
              <w:rPr>
                <w:rFonts w:cstheme="minorHAnsi"/>
                <w:sz w:val="20"/>
                <w:szCs w:val="20"/>
              </w:rPr>
            </w:pPr>
            <w:r w:rsidRPr="006479DA">
              <w:rPr>
                <w:rFonts w:cstheme="minorHAnsi"/>
                <w:b/>
                <w:bCs/>
                <w:color w:val="000000"/>
                <w:sz w:val="20"/>
                <w:szCs w:val="20"/>
              </w:rPr>
              <w:t>Remoteness of mother's usual residence</w:t>
            </w:r>
          </w:p>
        </w:tc>
      </w:tr>
      <w:tr w:rsidR="00AF0ADF" w:rsidRPr="006479DA" w14:paraId="2A56FC53" w14:textId="77777777" w:rsidTr="00AF0ADF">
        <w:trPr>
          <w:trHeight w:val="236"/>
        </w:trPr>
        <w:tc>
          <w:tcPr>
            <w:tcW w:w="1955" w:type="pct"/>
            <w:shd w:val="clear" w:color="auto" w:fill="auto"/>
            <w:noWrap/>
            <w:hideMark/>
          </w:tcPr>
          <w:p w14:paraId="6A9A00E4"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Major cities</w:t>
            </w:r>
          </w:p>
        </w:tc>
        <w:tc>
          <w:tcPr>
            <w:tcW w:w="338" w:type="pct"/>
            <w:shd w:val="clear" w:color="auto" w:fill="auto"/>
            <w:noWrap/>
            <w:hideMark/>
          </w:tcPr>
          <w:p w14:paraId="312129E8" w14:textId="1C9B3B74"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6051858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25.4</w:t>
            </w:r>
          </w:p>
        </w:tc>
        <w:tc>
          <w:tcPr>
            <w:tcW w:w="338" w:type="pct"/>
            <w:shd w:val="clear" w:color="auto" w:fill="auto"/>
            <w:noWrap/>
            <w:hideMark/>
          </w:tcPr>
          <w:p w14:paraId="327C09C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26.1</w:t>
            </w:r>
          </w:p>
        </w:tc>
        <w:tc>
          <w:tcPr>
            <w:tcW w:w="338" w:type="pct"/>
            <w:shd w:val="clear" w:color="auto" w:fill="auto"/>
            <w:noWrap/>
            <w:hideMark/>
          </w:tcPr>
          <w:p w14:paraId="5B909FB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26.5</w:t>
            </w:r>
          </w:p>
        </w:tc>
        <w:tc>
          <w:tcPr>
            <w:tcW w:w="338" w:type="pct"/>
            <w:shd w:val="clear" w:color="auto" w:fill="auto"/>
            <w:noWrap/>
            <w:hideMark/>
          </w:tcPr>
          <w:p w14:paraId="564C09B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26.6</w:t>
            </w:r>
          </w:p>
        </w:tc>
        <w:tc>
          <w:tcPr>
            <w:tcW w:w="338" w:type="pct"/>
            <w:shd w:val="clear" w:color="auto" w:fill="auto"/>
            <w:noWrap/>
            <w:hideMark/>
          </w:tcPr>
          <w:p w14:paraId="3E1CBFD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27.0</w:t>
            </w:r>
          </w:p>
        </w:tc>
        <w:tc>
          <w:tcPr>
            <w:tcW w:w="338" w:type="pct"/>
            <w:shd w:val="clear" w:color="auto" w:fill="auto"/>
            <w:noWrap/>
            <w:hideMark/>
          </w:tcPr>
          <w:p w14:paraId="6FF779B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27.2</w:t>
            </w:r>
          </w:p>
        </w:tc>
        <w:tc>
          <w:tcPr>
            <w:tcW w:w="338" w:type="pct"/>
            <w:shd w:val="clear" w:color="auto" w:fill="auto"/>
            <w:noWrap/>
            <w:hideMark/>
          </w:tcPr>
          <w:p w14:paraId="04050B3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27.1</w:t>
            </w:r>
          </w:p>
        </w:tc>
        <w:tc>
          <w:tcPr>
            <w:tcW w:w="341" w:type="pct"/>
            <w:shd w:val="clear" w:color="auto" w:fill="auto"/>
            <w:noWrap/>
            <w:hideMark/>
          </w:tcPr>
          <w:p w14:paraId="508C1D9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27.3</w:t>
            </w:r>
          </w:p>
        </w:tc>
      </w:tr>
      <w:tr w:rsidR="00AF0ADF" w:rsidRPr="006479DA" w14:paraId="0DC82BE2" w14:textId="77777777" w:rsidTr="00AF0ADF">
        <w:trPr>
          <w:trHeight w:val="236"/>
        </w:trPr>
        <w:tc>
          <w:tcPr>
            <w:tcW w:w="1955" w:type="pct"/>
            <w:shd w:val="clear" w:color="auto" w:fill="auto"/>
            <w:noWrap/>
            <w:hideMark/>
          </w:tcPr>
          <w:p w14:paraId="661ABBEA"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Inner regional</w:t>
            </w:r>
          </w:p>
        </w:tc>
        <w:tc>
          <w:tcPr>
            <w:tcW w:w="338" w:type="pct"/>
            <w:shd w:val="clear" w:color="auto" w:fill="auto"/>
            <w:noWrap/>
            <w:hideMark/>
          </w:tcPr>
          <w:p w14:paraId="2AA7EFF4" w14:textId="01ECB1C7"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07AD255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23.6</w:t>
            </w:r>
          </w:p>
        </w:tc>
        <w:tc>
          <w:tcPr>
            <w:tcW w:w="338" w:type="pct"/>
            <w:shd w:val="clear" w:color="auto" w:fill="auto"/>
            <w:noWrap/>
            <w:hideMark/>
          </w:tcPr>
          <w:p w14:paraId="187ED30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23.8</w:t>
            </w:r>
          </w:p>
        </w:tc>
        <w:tc>
          <w:tcPr>
            <w:tcW w:w="338" w:type="pct"/>
            <w:shd w:val="clear" w:color="auto" w:fill="auto"/>
            <w:noWrap/>
            <w:hideMark/>
          </w:tcPr>
          <w:p w14:paraId="547170A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23.0</w:t>
            </w:r>
          </w:p>
        </w:tc>
        <w:tc>
          <w:tcPr>
            <w:tcW w:w="338" w:type="pct"/>
            <w:shd w:val="clear" w:color="auto" w:fill="auto"/>
            <w:noWrap/>
            <w:hideMark/>
          </w:tcPr>
          <w:p w14:paraId="1EFBA5B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23.0</w:t>
            </w:r>
          </w:p>
        </w:tc>
        <w:tc>
          <w:tcPr>
            <w:tcW w:w="338" w:type="pct"/>
            <w:shd w:val="clear" w:color="auto" w:fill="auto"/>
            <w:noWrap/>
            <w:hideMark/>
          </w:tcPr>
          <w:p w14:paraId="3711184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23.9</w:t>
            </w:r>
          </w:p>
        </w:tc>
        <w:tc>
          <w:tcPr>
            <w:tcW w:w="338" w:type="pct"/>
            <w:shd w:val="clear" w:color="auto" w:fill="auto"/>
            <w:noWrap/>
            <w:hideMark/>
          </w:tcPr>
          <w:p w14:paraId="25DE0C0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23.9</w:t>
            </w:r>
          </w:p>
        </w:tc>
        <w:tc>
          <w:tcPr>
            <w:tcW w:w="338" w:type="pct"/>
            <w:shd w:val="clear" w:color="auto" w:fill="auto"/>
            <w:noWrap/>
            <w:hideMark/>
          </w:tcPr>
          <w:p w14:paraId="527F478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23.6</w:t>
            </w:r>
          </w:p>
        </w:tc>
        <w:tc>
          <w:tcPr>
            <w:tcW w:w="341" w:type="pct"/>
            <w:shd w:val="clear" w:color="auto" w:fill="auto"/>
            <w:noWrap/>
            <w:hideMark/>
          </w:tcPr>
          <w:p w14:paraId="77E7AC4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23.1</w:t>
            </w:r>
          </w:p>
        </w:tc>
      </w:tr>
      <w:tr w:rsidR="00AF0ADF" w:rsidRPr="006479DA" w14:paraId="7DA2658C" w14:textId="77777777" w:rsidTr="00AF0ADF">
        <w:trPr>
          <w:trHeight w:val="236"/>
        </w:trPr>
        <w:tc>
          <w:tcPr>
            <w:tcW w:w="1955" w:type="pct"/>
            <w:shd w:val="clear" w:color="auto" w:fill="auto"/>
            <w:noWrap/>
            <w:hideMark/>
          </w:tcPr>
          <w:p w14:paraId="534830BA"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Outer regional</w:t>
            </w:r>
          </w:p>
        </w:tc>
        <w:tc>
          <w:tcPr>
            <w:tcW w:w="338" w:type="pct"/>
            <w:shd w:val="clear" w:color="auto" w:fill="auto"/>
            <w:noWrap/>
            <w:hideMark/>
          </w:tcPr>
          <w:p w14:paraId="13822F2F" w14:textId="273C8334"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0458C8D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21.5</w:t>
            </w:r>
          </w:p>
        </w:tc>
        <w:tc>
          <w:tcPr>
            <w:tcW w:w="338" w:type="pct"/>
            <w:shd w:val="clear" w:color="auto" w:fill="auto"/>
            <w:noWrap/>
            <w:hideMark/>
          </w:tcPr>
          <w:p w14:paraId="5D1E6EE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21.7</w:t>
            </w:r>
          </w:p>
        </w:tc>
        <w:tc>
          <w:tcPr>
            <w:tcW w:w="338" w:type="pct"/>
            <w:shd w:val="clear" w:color="auto" w:fill="auto"/>
            <w:noWrap/>
            <w:hideMark/>
          </w:tcPr>
          <w:p w14:paraId="7391324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21.0</w:t>
            </w:r>
          </w:p>
        </w:tc>
        <w:tc>
          <w:tcPr>
            <w:tcW w:w="338" w:type="pct"/>
            <w:shd w:val="clear" w:color="auto" w:fill="auto"/>
            <w:noWrap/>
            <w:hideMark/>
          </w:tcPr>
          <w:p w14:paraId="244223D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20.3</w:t>
            </w:r>
          </w:p>
        </w:tc>
        <w:tc>
          <w:tcPr>
            <w:tcW w:w="338" w:type="pct"/>
            <w:shd w:val="clear" w:color="auto" w:fill="auto"/>
            <w:noWrap/>
            <w:hideMark/>
          </w:tcPr>
          <w:p w14:paraId="1865870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21.2</w:t>
            </w:r>
          </w:p>
        </w:tc>
        <w:tc>
          <w:tcPr>
            <w:tcW w:w="338" w:type="pct"/>
            <w:shd w:val="clear" w:color="auto" w:fill="auto"/>
            <w:noWrap/>
            <w:hideMark/>
          </w:tcPr>
          <w:p w14:paraId="09F92F6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21.5</w:t>
            </w:r>
          </w:p>
        </w:tc>
        <w:tc>
          <w:tcPr>
            <w:tcW w:w="338" w:type="pct"/>
            <w:shd w:val="clear" w:color="auto" w:fill="auto"/>
            <w:noWrap/>
            <w:hideMark/>
          </w:tcPr>
          <w:p w14:paraId="379BFD1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21.3</w:t>
            </w:r>
          </w:p>
        </w:tc>
        <w:tc>
          <w:tcPr>
            <w:tcW w:w="341" w:type="pct"/>
            <w:shd w:val="clear" w:color="auto" w:fill="auto"/>
            <w:noWrap/>
            <w:hideMark/>
          </w:tcPr>
          <w:p w14:paraId="764985E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22.4</w:t>
            </w:r>
          </w:p>
        </w:tc>
      </w:tr>
      <w:tr w:rsidR="00AF0ADF" w:rsidRPr="006479DA" w14:paraId="7463B2CE" w14:textId="77777777" w:rsidTr="00AF0ADF">
        <w:trPr>
          <w:trHeight w:val="236"/>
        </w:trPr>
        <w:tc>
          <w:tcPr>
            <w:tcW w:w="1955" w:type="pct"/>
            <w:shd w:val="clear" w:color="auto" w:fill="auto"/>
            <w:noWrap/>
            <w:hideMark/>
          </w:tcPr>
          <w:p w14:paraId="5A1EB773"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Remote</w:t>
            </w:r>
          </w:p>
        </w:tc>
        <w:tc>
          <w:tcPr>
            <w:tcW w:w="338" w:type="pct"/>
            <w:shd w:val="clear" w:color="auto" w:fill="auto"/>
            <w:noWrap/>
            <w:hideMark/>
          </w:tcPr>
          <w:p w14:paraId="67709FE6" w14:textId="052AB930"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66B334B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20.2</w:t>
            </w:r>
          </w:p>
        </w:tc>
        <w:tc>
          <w:tcPr>
            <w:tcW w:w="338" w:type="pct"/>
            <w:shd w:val="clear" w:color="auto" w:fill="auto"/>
            <w:noWrap/>
            <w:hideMark/>
          </w:tcPr>
          <w:p w14:paraId="03F920A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19.4</w:t>
            </w:r>
          </w:p>
        </w:tc>
        <w:tc>
          <w:tcPr>
            <w:tcW w:w="338" w:type="pct"/>
            <w:shd w:val="clear" w:color="auto" w:fill="auto"/>
            <w:noWrap/>
            <w:hideMark/>
          </w:tcPr>
          <w:p w14:paraId="0765680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18.4</w:t>
            </w:r>
          </w:p>
        </w:tc>
        <w:tc>
          <w:tcPr>
            <w:tcW w:w="338" w:type="pct"/>
            <w:shd w:val="clear" w:color="auto" w:fill="auto"/>
            <w:noWrap/>
            <w:hideMark/>
          </w:tcPr>
          <w:p w14:paraId="585590F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20.9</w:t>
            </w:r>
          </w:p>
        </w:tc>
        <w:tc>
          <w:tcPr>
            <w:tcW w:w="338" w:type="pct"/>
            <w:shd w:val="clear" w:color="auto" w:fill="auto"/>
            <w:noWrap/>
            <w:hideMark/>
          </w:tcPr>
          <w:p w14:paraId="65A7303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19.9</w:t>
            </w:r>
          </w:p>
        </w:tc>
        <w:tc>
          <w:tcPr>
            <w:tcW w:w="338" w:type="pct"/>
            <w:shd w:val="clear" w:color="auto" w:fill="auto"/>
            <w:noWrap/>
            <w:hideMark/>
          </w:tcPr>
          <w:p w14:paraId="59F0A72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22.5</w:t>
            </w:r>
          </w:p>
        </w:tc>
        <w:tc>
          <w:tcPr>
            <w:tcW w:w="338" w:type="pct"/>
            <w:shd w:val="clear" w:color="auto" w:fill="auto"/>
            <w:noWrap/>
            <w:hideMark/>
          </w:tcPr>
          <w:p w14:paraId="004A98A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19.6</w:t>
            </w:r>
          </w:p>
        </w:tc>
        <w:tc>
          <w:tcPr>
            <w:tcW w:w="341" w:type="pct"/>
            <w:shd w:val="clear" w:color="auto" w:fill="auto"/>
            <w:noWrap/>
            <w:hideMark/>
          </w:tcPr>
          <w:p w14:paraId="48D0268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19.7</w:t>
            </w:r>
          </w:p>
        </w:tc>
      </w:tr>
      <w:tr w:rsidR="00AF0ADF" w:rsidRPr="006479DA" w14:paraId="77B30916" w14:textId="77777777" w:rsidTr="00AF0ADF">
        <w:trPr>
          <w:trHeight w:val="236"/>
        </w:trPr>
        <w:tc>
          <w:tcPr>
            <w:tcW w:w="1955" w:type="pct"/>
            <w:shd w:val="clear" w:color="auto" w:fill="auto"/>
            <w:noWrap/>
            <w:hideMark/>
          </w:tcPr>
          <w:p w14:paraId="2FCF9148"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Very remote</w:t>
            </w:r>
          </w:p>
        </w:tc>
        <w:tc>
          <w:tcPr>
            <w:tcW w:w="338" w:type="pct"/>
            <w:shd w:val="clear" w:color="auto" w:fill="auto"/>
            <w:noWrap/>
            <w:hideMark/>
          </w:tcPr>
          <w:p w14:paraId="49054827" w14:textId="01A5E7B3"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6AADE79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19.8</w:t>
            </w:r>
          </w:p>
        </w:tc>
        <w:tc>
          <w:tcPr>
            <w:tcW w:w="338" w:type="pct"/>
            <w:shd w:val="clear" w:color="auto" w:fill="auto"/>
            <w:noWrap/>
            <w:hideMark/>
          </w:tcPr>
          <w:p w14:paraId="2C9998F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21.8</w:t>
            </w:r>
          </w:p>
        </w:tc>
        <w:tc>
          <w:tcPr>
            <w:tcW w:w="338" w:type="pct"/>
            <w:shd w:val="clear" w:color="auto" w:fill="auto"/>
            <w:noWrap/>
            <w:hideMark/>
          </w:tcPr>
          <w:p w14:paraId="1B8F10A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22.3</w:t>
            </w:r>
          </w:p>
        </w:tc>
        <w:tc>
          <w:tcPr>
            <w:tcW w:w="338" w:type="pct"/>
            <w:shd w:val="clear" w:color="auto" w:fill="auto"/>
            <w:noWrap/>
            <w:hideMark/>
          </w:tcPr>
          <w:p w14:paraId="5A7EC25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20.0</w:t>
            </w:r>
          </w:p>
        </w:tc>
        <w:tc>
          <w:tcPr>
            <w:tcW w:w="338" w:type="pct"/>
            <w:shd w:val="clear" w:color="auto" w:fill="auto"/>
            <w:noWrap/>
            <w:hideMark/>
          </w:tcPr>
          <w:p w14:paraId="4BF25E1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19.7</w:t>
            </w:r>
          </w:p>
        </w:tc>
        <w:tc>
          <w:tcPr>
            <w:tcW w:w="338" w:type="pct"/>
            <w:shd w:val="clear" w:color="auto" w:fill="auto"/>
            <w:noWrap/>
            <w:hideMark/>
          </w:tcPr>
          <w:p w14:paraId="2C118EE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20.8</w:t>
            </w:r>
          </w:p>
        </w:tc>
        <w:tc>
          <w:tcPr>
            <w:tcW w:w="338" w:type="pct"/>
            <w:shd w:val="clear" w:color="auto" w:fill="auto"/>
            <w:noWrap/>
            <w:hideMark/>
          </w:tcPr>
          <w:p w14:paraId="38A4CE6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22.6</w:t>
            </w:r>
          </w:p>
        </w:tc>
        <w:tc>
          <w:tcPr>
            <w:tcW w:w="341" w:type="pct"/>
            <w:shd w:val="clear" w:color="auto" w:fill="auto"/>
            <w:noWrap/>
            <w:hideMark/>
          </w:tcPr>
          <w:p w14:paraId="258EF0A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21.7</w:t>
            </w:r>
          </w:p>
        </w:tc>
      </w:tr>
      <w:tr w:rsidR="00AF0ADF" w:rsidRPr="006479DA" w14:paraId="3A5F89D8" w14:textId="77777777" w:rsidTr="00AF0ADF">
        <w:trPr>
          <w:trHeight w:val="236"/>
        </w:trPr>
        <w:tc>
          <w:tcPr>
            <w:tcW w:w="5000" w:type="pct"/>
            <w:gridSpan w:val="10"/>
            <w:shd w:val="clear" w:color="auto" w:fill="auto"/>
            <w:noWrap/>
            <w:hideMark/>
          </w:tcPr>
          <w:p w14:paraId="2A7089B4" w14:textId="77777777" w:rsidR="00AF0ADF" w:rsidRPr="006479DA" w:rsidRDefault="00AF0ADF" w:rsidP="00AF0ADF">
            <w:pPr>
              <w:rPr>
                <w:rFonts w:cstheme="minorHAnsi"/>
                <w:sz w:val="20"/>
                <w:szCs w:val="20"/>
              </w:rPr>
            </w:pPr>
            <w:r w:rsidRPr="006479DA">
              <w:rPr>
                <w:rFonts w:cstheme="minorHAnsi"/>
                <w:b/>
                <w:bCs/>
                <w:color w:val="000000"/>
                <w:sz w:val="20"/>
                <w:szCs w:val="20"/>
              </w:rPr>
              <w:t>Disadvantage quintile of mother's usual residence</w:t>
            </w:r>
          </w:p>
        </w:tc>
      </w:tr>
      <w:tr w:rsidR="00AF0ADF" w:rsidRPr="006479DA" w14:paraId="11F71A90" w14:textId="77777777" w:rsidTr="00AF0ADF">
        <w:trPr>
          <w:trHeight w:val="236"/>
        </w:trPr>
        <w:tc>
          <w:tcPr>
            <w:tcW w:w="1955" w:type="pct"/>
            <w:shd w:val="clear" w:color="auto" w:fill="auto"/>
            <w:noWrap/>
            <w:hideMark/>
          </w:tcPr>
          <w:p w14:paraId="7E37F9EF"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Q1 - most disadvantaged</w:t>
            </w:r>
          </w:p>
        </w:tc>
        <w:tc>
          <w:tcPr>
            <w:tcW w:w="338" w:type="pct"/>
            <w:shd w:val="clear" w:color="auto" w:fill="auto"/>
            <w:noWrap/>
            <w:hideMark/>
          </w:tcPr>
          <w:p w14:paraId="447C3731" w14:textId="16EFAB4A"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6C5E25E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21.6</w:t>
            </w:r>
          </w:p>
        </w:tc>
        <w:tc>
          <w:tcPr>
            <w:tcW w:w="338" w:type="pct"/>
            <w:shd w:val="clear" w:color="auto" w:fill="auto"/>
            <w:noWrap/>
            <w:hideMark/>
          </w:tcPr>
          <w:p w14:paraId="72E0ACE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21.6</w:t>
            </w:r>
          </w:p>
        </w:tc>
        <w:tc>
          <w:tcPr>
            <w:tcW w:w="338" w:type="pct"/>
            <w:shd w:val="clear" w:color="auto" w:fill="auto"/>
            <w:noWrap/>
            <w:hideMark/>
          </w:tcPr>
          <w:p w14:paraId="3055737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21.7</w:t>
            </w:r>
          </w:p>
        </w:tc>
        <w:tc>
          <w:tcPr>
            <w:tcW w:w="338" w:type="pct"/>
            <w:shd w:val="clear" w:color="auto" w:fill="auto"/>
            <w:noWrap/>
            <w:hideMark/>
          </w:tcPr>
          <w:p w14:paraId="593C08A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22.4</w:t>
            </w:r>
          </w:p>
        </w:tc>
        <w:tc>
          <w:tcPr>
            <w:tcW w:w="338" w:type="pct"/>
            <w:shd w:val="clear" w:color="auto" w:fill="auto"/>
            <w:noWrap/>
            <w:hideMark/>
          </w:tcPr>
          <w:p w14:paraId="6F23E53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22.8</w:t>
            </w:r>
          </w:p>
        </w:tc>
        <w:tc>
          <w:tcPr>
            <w:tcW w:w="338" w:type="pct"/>
            <w:shd w:val="clear" w:color="auto" w:fill="auto"/>
            <w:noWrap/>
            <w:hideMark/>
          </w:tcPr>
          <w:p w14:paraId="4F1E9D2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23.5</w:t>
            </w:r>
          </w:p>
        </w:tc>
        <w:tc>
          <w:tcPr>
            <w:tcW w:w="338" w:type="pct"/>
            <w:shd w:val="clear" w:color="auto" w:fill="auto"/>
            <w:noWrap/>
            <w:hideMark/>
          </w:tcPr>
          <w:p w14:paraId="647F66A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24.0</w:t>
            </w:r>
          </w:p>
        </w:tc>
        <w:tc>
          <w:tcPr>
            <w:tcW w:w="341" w:type="pct"/>
            <w:shd w:val="clear" w:color="auto" w:fill="auto"/>
            <w:noWrap/>
            <w:hideMark/>
          </w:tcPr>
          <w:p w14:paraId="06915F0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23.4</w:t>
            </w:r>
          </w:p>
        </w:tc>
      </w:tr>
      <w:tr w:rsidR="00AF0ADF" w:rsidRPr="006479DA" w14:paraId="51531907" w14:textId="77777777" w:rsidTr="00AF0ADF">
        <w:trPr>
          <w:trHeight w:val="236"/>
        </w:trPr>
        <w:tc>
          <w:tcPr>
            <w:tcW w:w="1955" w:type="pct"/>
            <w:shd w:val="clear" w:color="auto" w:fill="auto"/>
            <w:noWrap/>
            <w:hideMark/>
          </w:tcPr>
          <w:p w14:paraId="4FC2AE53"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Q2</w:t>
            </w:r>
          </w:p>
        </w:tc>
        <w:tc>
          <w:tcPr>
            <w:tcW w:w="338" w:type="pct"/>
            <w:shd w:val="clear" w:color="auto" w:fill="auto"/>
            <w:noWrap/>
            <w:hideMark/>
          </w:tcPr>
          <w:p w14:paraId="7AA67FD7" w14:textId="4EBFA2C3"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6083453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23.7</w:t>
            </w:r>
          </w:p>
        </w:tc>
        <w:tc>
          <w:tcPr>
            <w:tcW w:w="338" w:type="pct"/>
            <w:shd w:val="clear" w:color="auto" w:fill="auto"/>
            <w:noWrap/>
            <w:hideMark/>
          </w:tcPr>
          <w:p w14:paraId="2702BD8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24.3</w:t>
            </w:r>
          </w:p>
        </w:tc>
        <w:tc>
          <w:tcPr>
            <w:tcW w:w="338" w:type="pct"/>
            <w:shd w:val="clear" w:color="auto" w:fill="auto"/>
            <w:noWrap/>
            <w:hideMark/>
          </w:tcPr>
          <w:p w14:paraId="2F2D8B2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24.1</w:t>
            </w:r>
          </w:p>
        </w:tc>
        <w:tc>
          <w:tcPr>
            <w:tcW w:w="338" w:type="pct"/>
            <w:shd w:val="clear" w:color="auto" w:fill="auto"/>
            <w:noWrap/>
            <w:hideMark/>
          </w:tcPr>
          <w:p w14:paraId="0140505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24.4</w:t>
            </w:r>
          </w:p>
        </w:tc>
        <w:tc>
          <w:tcPr>
            <w:tcW w:w="338" w:type="pct"/>
            <w:shd w:val="clear" w:color="auto" w:fill="auto"/>
            <w:noWrap/>
            <w:hideMark/>
          </w:tcPr>
          <w:p w14:paraId="1B56755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25.1</w:t>
            </w:r>
          </w:p>
        </w:tc>
        <w:tc>
          <w:tcPr>
            <w:tcW w:w="338" w:type="pct"/>
            <w:shd w:val="clear" w:color="auto" w:fill="auto"/>
            <w:noWrap/>
            <w:hideMark/>
          </w:tcPr>
          <w:p w14:paraId="5EE067B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24.7</w:t>
            </w:r>
          </w:p>
        </w:tc>
        <w:tc>
          <w:tcPr>
            <w:tcW w:w="338" w:type="pct"/>
            <w:shd w:val="clear" w:color="auto" w:fill="auto"/>
            <w:noWrap/>
            <w:hideMark/>
          </w:tcPr>
          <w:p w14:paraId="61F8C0E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24.4</w:t>
            </w:r>
          </w:p>
        </w:tc>
        <w:tc>
          <w:tcPr>
            <w:tcW w:w="341" w:type="pct"/>
            <w:shd w:val="clear" w:color="auto" w:fill="auto"/>
            <w:noWrap/>
            <w:hideMark/>
          </w:tcPr>
          <w:p w14:paraId="1F0D03A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24.7</w:t>
            </w:r>
          </w:p>
        </w:tc>
      </w:tr>
      <w:tr w:rsidR="00AF0ADF" w:rsidRPr="006479DA" w14:paraId="2BAAA9C6" w14:textId="77777777" w:rsidTr="00AF0ADF">
        <w:trPr>
          <w:trHeight w:val="236"/>
        </w:trPr>
        <w:tc>
          <w:tcPr>
            <w:tcW w:w="1955" w:type="pct"/>
            <w:shd w:val="clear" w:color="auto" w:fill="auto"/>
            <w:noWrap/>
            <w:hideMark/>
          </w:tcPr>
          <w:p w14:paraId="7BF4142E"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Q3</w:t>
            </w:r>
          </w:p>
        </w:tc>
        <w:tc>
          <w:tcPr>
            <w:tcW w:w="338" w:type="pct"/>
            <w:shd w:val="clear" w:color="auto" w:fill="auto"/>
            <w:noWrap/>
            <w:hideMark/>
          </w:tcPr>
          <w:p w14:paraId="5DB72577" w14:textId="7D8056AF"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562530B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25.2</w:t>
            </w:r>
          </w:p>
        </w:tc>
        <w:tc>
          <w:tcPr>
            <w:tcW w:w="338" w:type="pct"/>
            <w:shd w:val="clear" w:color="auto" w:fill="auto"/>
            <w:noWrap/>
            <w:hideMark/>
          </w:tcPr>
          <w:p w14:paraId="6BCA478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26.0</w:t>
            </w:r>
          </w:p>
        </w:tc>
        <w:tc>
          <w:tcPr>
            <w:tcW w:w="338" w:type="pct"/>
            <w:shd w:val="clear" w:color="auto" w:fill="auto"/>
            <w:noWrap/>
            <w:hideMark/>
          </w:tcPr>
          <w:p w14:paraId="4A25D8B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25.6</w:t>
            </w:r>
          </w:p>
        </w:tc>
        <w:tc>
          <w:tcPr>
            <w:tcW w:w="338" w:type="pct"/>
            <w:shd w:val="clear" w:color="auto" w:fill="auto"/>
            <w:noWrap/>
            <w:hideMark/>
          </w:tcPr>
          <w:p w14:paraId="28F8790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25.8</w:t>
            </w:r>
          </w:p>
        </w:tc>
        <w:tc>
          <w:tcPr>
            <w:tcW w:w="338" w:type="pct"/>
            <w:shd w:val="clear" w:color="auto" w:fill="auto"/>
            <w:noWrap/>
            <w:hideMark/>
          </w:tcPr>
          <w:p w14:paraId="5F485F2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26.7</w:t>
            </w:r>
          </w:p>
        </w:tc>
        <w:tc>
          <w:tcPr>
            <w:tcW w:w="338" w:type="pct"/>
            <w:shd w:val="clear" w:color="auto" w:fill="auto"/>
            <w:noWrap/>
            <w:hideMark/>
          </w:tcPr>
          <w:p w14:paraId="76784CC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26.6</w:t>
            </w:r>
          </w:p>
        </w:tc>
        <w:tc>
          <w:tcPr>
            <w:tcW w:w="338" w:type="pct"/>
            <w:shd w:val="clear" w:color="auto" w:fill="auto"/>
            <w:noWrap/>
            <w:hideMark/>
          </w:tcPr>
          <w:p w14:paraId="0026BC8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26.2</w:t>
            </w:r>
          </w:p>
        </w:tc>
        <w:tc>
          <w:tcPr>
            <w:tcW w:w="341" w:type="pct"/>
            <w:shd w:val="clear" w:color="auto" w:fill="auto"/>
            <w:noWrap/>
            <w:hideMark/>
          </w:tcPr>
          <w:p w14:paraId="691A292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26.6</w:t>
            </w:r>
          </w:p>
        </w:tc>
      </w:tr>
      <w:tr w:rsidR="00AF0ADF" w:rsidRPr="006479DA" w14:paraId="745F4D44" w14:textId="77777777" w:rsidTr="00AF0ADF">
        <w:trPr>
          <w:trHeight w:val="236"/>
        </w:trPr>
        <w:tc>
          <w:tcPr>
            <w:tcW w:w="1955" w:type="pct"/>
            <w:shd w:val="clear" w:color="auto" w:fill="auto"/>
            <w:noWrap/>
            <w:hideMark/>
          </w:tcPr>
          <w:p w14:paraId="4D3FCD8C"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Q4</w:t>
            </w:r>
          </w:p>
        </w:tc>
        <w:tc>
          <w:tcPr>
            <w:tcW w:w="338" w:type="pct"/>
            <w:shd w:val="clear" w:color="auto" w:fill="auto"/>
            <w:noWrap/>
            <w:hideMark/>
          </w:tcPr>
          <w:p w14:paraId="23BD4BAD" w14:textId="328B924A"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300D013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26.3</w:t>
            </w:r>
          </w:p>
        </w:tc>
        <w:tc>
          <w:tcPr>
            <w:tcW w:w="338" w:type="pct"/>
            <w:shd w:val="clear" w:color="auto" w:fill="auto"/>
            <w:noWrap/>
            <w:hideMark/>
          </w:tcPr>
          <w:p w14:paraId="7DF38A5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26.7</w:t>
            </w:r>
          </w:p>
        </w:tc>
        <w:tc>
          <w:tcPr>
            <w:tcW w:w="338" w:type="pct"/>
            <w:shd w:val="clear" w:color="auto" w:fill="auto"/>
            <w:noWrap/>
            <w:hideMark/>
          </w:tcPr>
          <w:p w14:paraId="031022A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26.9</w:t>
            </w:r>
          </w:p>
        </w:tc>
        <w:tc>
          <w:tcPr>
            <w:tcW w:w="338" w:type="pct"/>
            <w:shd w:val="clear" w:color="auto" w:fill="auto"/>
            <w:noWrap/>
            <w:hideMark/>
          </w:tcPr>
          <w:p w14:paraId="1D0D0BF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26.7</w:t>
            </w:r>
          </w:p>
        </w:tc>
        <w:tc>
          <w:tcPr>
            <w:tcW w:w="338" w:type="pct"/>
            <w:shd w:val="clear" w:color="auto" w:fill="auto"/>
            <w:noWrap/>
            <w:hideMark/>
          </w:tcPr>
          <w:p w14:paraId="1890291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27.4</w:t>
            </w:r>
          </w:p>
        </w:tc>
        <w:tc>
          <w:tcPr>
            <w:tcW w:w="338" w:type="pct"/>
            <w:shd w:val="clear" w:color="auto" w:fill="auto"/>
            <w:noWrap/>
            <w:hideMark/>
          </w:tcPr>
          <w:p w14:paraId="6D864B7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27.3</w:t>
            </w:r>
          </w:p>
        </w:tc>
        <w:tc>
          <w:tcPr>
            <w:tcW w:w="338" w:type="pct"/>
            <w:shd w:val="clear" w:color="auto" w:fill="auto"/>
            <w:noWrap/>
            <w:hideMark/>
          </w:tcPr>
          <w:p w14:paraId="540955A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26.9</w:t>
            </w:r>
          </w:p>
        </w:tc>
        <w:tc>
          <w:tcPr>
            <w:tcW w:w="341" w:type="pct"/>
            <w:shd w:val="clear" w:color="auto" w:fill="auto"/>
            <w:noWrap/>
            <w:hideMark/>
          </w:tcPr>
          <w:p w14:paraId="0528415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27.7</w:t>
            </w:r>
          </w:p>
        </w:tc>
      </w:tr>
      <w:tr w:rsidR="00AF0ADF" w:rsidRPr="006479DA" w14:paraId="0BC6D29D" w14:textId="77777777" w:rsidTr="00AF0ADF">
        <w:trPr>
          <w:trHeight w:val="236"/>
        </w:trPr>
        <w:tc>
          <w:tcPr>
            <w:tcW w:w="1955" w:type="pct"/>
            <w:shd w:val="clear" w:color="auto" w:fill="auto"/>
            <w:noWrap/>
            <w:hideMark/>
          </w:tcPr>
          <w:p w14:paraId="07241F6B"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Q5 - least disadvantaged</w:t>
            </w:r>
          </w:p>
        </w:tc>
        <w:tc>
          <w:tcPr>
            <w:tcW w:w="338" w:type="pct"/>
            <w:shd w:val="clear" w:color="auto" w:fill="auto"/>
            <w:noWrap/>
            <w:hideMark/>
          </w:tcPr>
          <w:p w14:paraId="0FD60D23" w14:textId="2EF3B716" w:rsidR="00AF0ADF" w:rsidRPr="006479DA" w:rsidRDefault="002E6C00" w:rsidP="00AF0ADF">
            <w:pPr>
              <w:ind w:firstLineChars="100" w:firstLine="200"/>
              <w:rPr>
                <w:rFonts w:cstheme="minorHAnsi"/>
                <w:color w:val="000000"/>
                <w:sz w:val="20"/>
                <w:szCs w:val="20"/>
              </w:rPr>
            </w:pPr>
            <w:r>
              <w:rPr>
                <w:rFonts w:cstheme="minorHAnsi"/>
                <w:color w:val="000000"/>
                <w:sz w:val="20"/>
                <w:szCs w:val="20"/>
              </w:rPr>
              <w:t>n.a.</w:t>
            </w:r>
          </w:p>
        </w:tc>
        <w:tc>
          <w:tcPr>
            <w:tcW w:w="338" w:type="pct"/>
            <w:shd w:val="clear" w:color="auto" w:fill="auto"/>
            <w:noWrap/>
            <w:hideMark/>
          </w:tcPr>
          <w:p w14:paraId="21C2B33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27.1</w:t>
            </w:r>
          </w:p>
        </w:tc>
        <w:tc>
          <w:tcPr>
            <w:tcW w:w="338" w:type="pct"/>
            <w:shd w:val="clear" w:color="auto" w:fill="auto"/>
            <w:noWrap/>
            <w:hideMark/>
          </w:tcPr>
          <w:p w14:paraId="4561DAA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27.7</w:t>
            </w:r>
          </w:p>
        </w:tc>
        <w:tc>
          <w:tcPr>
            <w:tcW w:w="338" w:type="pct"/>
            <w:shd w:val="clear" w:color="auto" w:fill="auto"/>
            <w:noWrap/>
            <w:hideMark/>
          </w:tcPr>
          <w:p w14:paraId="560D65A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28.6</w:t>
            </w:r>
          </w:p>
        </w:tc>
        <w:tc>
          <w:tcPr>
            <w:tcW w:w="338" w:type="pct"/>
            <w:shd w:val="clear" w:color="auto" w:fill="auto"/>
            <w:noWrap/>
            <w:hideMark/>
          </w:tcPr>
          <w:p w14:paraId="5B01614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28.0</w:t>
            </w:r>
          </w:p>
        </w:tc>
        <w:tc>
          <w:tcPr>
            <w:tcW w:w="338" w:type="pct"/>
            <w:shd w:val="clear" w:color="auto" w:fill="auto"/>
            <w:noWrap/>
            <w:hideMark/>
          </w:tcPr>
          <w:p w14:paraId="5EFCCD2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27.5</w:t>
            </w:r>
          </w:p>
        </w:tc>
        <w:tc>
          <w:tcPr>
            <w:tcW w:w="338" w:type="pct"/>
            <w:shd w:val="clear" w:color="auto" w:fill="auto"/>
            <w:noWrap/>
            <w:hideMark/>
          </w:tcPr>
          <w:p w14:paraId="2358645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28.2</w:t>
            </w:r>
          </w:p>
        </w:tc>
        <w:tc>
          <w:tcPr>
            <w:tcW w:w="338" w:type="pct"/>
            <w:shd w:val="clear" w:color="auto" w:fill="auto"/>
            <w:noWrap/>
            <w:hideMark/>
          </w:tcPr>
          <w:p w14:paraId="110EE09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28.3</w:t>
            </w:r>
          </w:p>
        </w:tc>
        <w:tc>
          <w:tcPr>
            <w:tcW w:w="341" w:type="pct"/>
            <w:shd w:val="clear" w:color="auto" w:fill="auto"/>
            <w:noWrap/>
            <w:hideMark/>
          </w:tcPr>
          <w:p w14:paraId="02C99E3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28.2</w:t>
            </w:r>
          </w:p>
        </w:tc>
      </w:tr>
      <w:tr w:rsidR="00AF0ADF" w:rsidRPr="006479DA" w14:paraId="0C894F97" w14:textId="77777777" w:rsidTr="00AF0ADF">
        <w:trPr>
          <w:trHeight w:val="236"/>
        </w:trPr>
        <w:tc>
          <w:tcPr>
            <w:tcW w:w="5000" w:type="pct"/>
            <w:gridSpan w:val="10"/>
            <w:shd w:val="clear" w:color="auto" w:fill="auto"/>
            <w:noWrap/>
            <w:hideMark/>
          </w:tcPr>
          <w:p w14:paraId="658A7A79" w14:textId="77777777" w:rsidR="00AF0ADF" w:rsidRPr="006479DA" w:rsidRDefault="00AF0ADF" w:rsidP="00AF0ADF">
            <w:pPr>
              <w:rPr>
                <w:rFonts w:cstheme="minorHAnsi"/>
                <w:sz w:val="20"/>
                <w:szCs w:val="20"/>
              </w:rPr>
            </w:pPr>
            <w:r w:rsidRPr="006479DA">
              <w:rPr>
                <w:rFonts w:cstheme="minorHAnsi"/>
                <w:b/>
                <w:bCs/>
                <w:color w:val="000000"/>
                <w:sz w:val="20"/>
                <w:szCs w:val="20"/>
              </w:rPr>
              <w:t>Hospital sector</w:t>
            </w:r>
          </w:p>
        </w:tc>
      </w:tr>
      <w:tr w:rsidR="00AF0ADF" w:rsidRPr="006479DA" w14:paraId="7C2BF946" w14:textId="77777777" w:rsidTr="00AF0ADF">
        <w:trPr>
          <w:trHeight w:val="236"/>
        </w:trPr>
        <w:tc>
          <w:tcPr>
            <w:tcW w:w="1955" w:type="pct"/>
            <w:shd w:val="clear" w:color="auto" w:fill="auto"/>
            <w:noWrap/>
            <w:hideMark/>
          </w:tcPr>
          <w:p w14:paraId="0ABEFDAB"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Private</w:t>
            </w:r>
          </w:p>
        </w:tc>
        <w:tc>
          <w:tcPr>
            <w:tcW w:w="338" w:type="pct"/>
            <w:shd w:val="clear" w:color="auto" w:fill="auto"/>
            <w:noWrap/>
            <w:hideMark/>
          </w:tcPr>
          <w:p w14:paraId="5C164A3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29.0</w:t>
            </w:r>
          </w:p>
        </w:tc>
        <w:tc>
          <w:tcPr>
            <w:tcW w:w="338" w:type="pct"/>
            <w:shd w:val="clear" w:color="auto" w:fill="auto"/>
            <w:noWrap/>
            <w:hideMark/>
          </w:tcPr>
          <w:p w14:paraId="5E2AB3B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28.9</w:t>
            </w:r>
          </w:p>
        </w:tc>
        <w:tc>
          <w:tcPr>
            <w:tcW w:w="338" w:type="pct"/>
            <w:shd w:val="clear" w:color="auto" w:fill="auto"/>
            <w:noWrap/>
            <w:hideMark/>
          </w:tcPr>
          <w:p w14:paraId="273D5E1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28.9</w:t>
            </w:r>
          </w:p>
        </w:tc>
        <w:tc>
          <w:tcPr>
            <w:tcW w:w="338" w:type="pct"/>
            <w:shd w:val="clear" w:color="auto" w:fill="auto"/>
            <w:noWrap/>
            <w:hideMark/>
          </w:tcPr>
          <w:p w14:paraId="784FF77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29.0</w:t>
            </w:r>
          </w:p>
        </w:tc>
        <w:tc>
          <w:tcPr>
            <w:tcW w:w="338" w:type="pct"/>
            <w:shd w:val="clear" w:color="auto" w:fill="auto"/>
            <w:noWrap/>
            <w:hideMark/>
          </w:tcPr>
          <w:p w14:paraId="2ED673C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29.4</w:t>
            </w:r>
          </w:p>
        </w:tc>
        <w:tc>
          <w:tcPr>
            <w:tcW w:w="338" w:type="pct"/>
            <w:shd w:val="clear" w:color="auto" w:fill="auto"/>
            <w:noWrap/>
            <w:hideMark/>
          </w:tcPr>
          <w:p w14:paraId="7423FBB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29.2</w:t>
            </w:r>
          </w:p>
        </w:tc>
        <w:tc>
          <w:tcPr>
            <w:tcW w:w="338" w:type="pct"/>
            <w:shd w:val="clear" w:color="auto" w:fill="auto"/>
            <w:noWrap/>
            <w:hideMark/>
          </w:tcPr>
          <w:p w14:paraId="237BBF2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28.4</w:t>
            </w:r>
          </w:p>
        </w:tc>
        <w:tc>
          <w:tcPr>
            <w:tcW w:w="338" w:type="pct"/>
            <w:shd w:val="clear" w:color="auto" w:fill="auto"/>
            <w:noWrap/>
            <w:hideMark/>
          </w:tcPr>
          <w:p w14:paraId="5D61B6D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27.7</w:t>
            </w:r>
          </w:p>
        </w:tc>
        <w:tc>
          <w:tcPr>
            <w:tcW w:w="341" w:type="pct"/>
            <w:shd w:val="clear" w:color="auto" w:fill="auto"/>
            <w:noWrap/>
            <w:hideMark/>
          </w:tcPr>
          <w:p w14:paraId="08B0A80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28.0</w:t>
            </w:r>
          </w:p>
        </w:tc>
      </w:tr>
      <w:tr w:rsidR="00AF0ADF" w:rsidRPr="006479DA" w14:paraId="6186619F" w14:textId="77777777" w:rsidTr="00AF0ADF">
        <w:trPr>
          <w:trHeight w:val="236"/>
        </w:trPr>
        <w:tc>
          <w:tcPr>
            <w:tcW w:w="1955" w:type="pct"/>
            <w:shd w:val="clear" w:color="auto" w:fill="auto"/>
            <w:noWrap/>
            <w:hideMark/>
          </w:tcPr>
          <w:p w14:paraId="3E06EA9D"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Public</w:t>
            </w:r>
          </w:p>
        </w:tc>
        <w:tc>
          <w:tcPr>
            <w:tcW w:w="338" w:type="pct"/>
            <w:shd w:val="clear" w:color="auto" w:fill="auto"/>
            <w:noWrap/>
            <w:hideMark/>
          </w:tcPr>
          <w:p w14:paraId="2A63705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23.7</w:t>
            </w:r>
          </w:p>
        </w:tc>
        <w:tc>
          <w:tcPr>
            <w:tcW w:w="338" w:type="pct"/>
            <w:shd w:val="clear" w:color="auto" w:fill="auto"/>
            <w:noWrap/>
            <w:hideMark/>
          </w:tcPr>
          <w:p w14:paraId="43DA65C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24.1</w:t>
            </w:r>
          </w:p>
        </w:tc>
        <w:tc>
          <w:tcPr>
            <w:tcW w:w="338" w:type="pct"/>
            <w:shd w:val="clear" w:color="auto" w:fill="auto"/>
            <w:noWrap/>
            <w:hideMark/>
          </w:tcPr>
          <w:p w14:paraId="2C7F031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24.5</w:t>
            </w:r>
          </w:p>
        </w:tc>
        <w:tc>
          <w:tcPr>
            <w:tcW w:w="338" w:type="pct"/>
            <w:shd w:val="clear" w:color="auto" w:fill="auto"/>
            <w:noWrap/>
            <w:hideMark/>
          </w:tcPr>
          <w:p w14:paraId="1FA58E7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24.6</w:t>
            </w:r>
          </w:p>
        </w:tc>
        <w:tc>
          <w:tcPr>
            <w:tcW w:w="338" w:type="pct"/>
            <w:shd w:val="clear" w:color="auto" w:fill="auto"/>
            <w:noWrap/>
            <w:hideMark/>
          </w:tcPr>
          <w:p w14:paraId="2D5795F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24.6</w:t>
            </w:r>
          </w:p>
        </w:tc>
        <w:tc>
          <w:tcPr>
            <w:tcW w:w="338" w:type="pct"/>
            <w:shd w:val="clear" w:color="auto" w:fill="auto"/>
            <w:noWrap/>
            <w:hideMark/>
          </w:tcPr>
          <w:p w14:paraId="1422098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25.4</w:t>
            </w:r>
          </w:p>
        </w:tc>
        <w:tc>
          <w:tcPr>
            <w:tcW w:w="338" w:type="pct"/>
            <w:shd w:val="clear" w:color="auto" w:fill="auto"/>
            <w:noWrap/>
            <w:hideMark/>
          </w:tcPr>
          <w:p w14:paraId="78D4CBE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25.9</w:t>
            </w:r>
          </w:p>
        </w:tc>
        <w:tc>
          <w:tcPr>
            <w:tcW w:w="338" w:type="pct"/>
            <w:shd w:val="clear" w:color="auto" w:fill="auto"/>
            <w:noWrap/>
            <w:hideMark/>
          </w:tcPr>
          <w:p w14:paraId="169FFFF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26.0</w:t>
            </w:r>
          </w:p>
        </w:tc>
        <w:tc>
          <w:tcPr>
            <w:tcW w:w="341" w:type="pct"/>
            <w:shd w:val="clear" w:color="auto" w:fill="auto"/>
            <w:noWrap/>
            <w:hideMark/>
          </w:tcPr>
          <w:p w14:paraId="132A86E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26.1</w:t>
            </w:r>
          </w:p>
        </w:tc>
      </w:tr>
      <w:tr w:rsidR="00AF0ADF" w:rsidRPr="006479DA" w14:paraId="158AEAD6" w14:textId="77777777" w:rsidTr="00AF0ADF">
        <w:trPr>
          <w:trHeight w:val="236"/>
        </w:trPr>
        <w:tc>
          <w:tcPr>
            <w:tcW w:w="5000" w:type="pct"/>
            <w:gridSpan w:val="10"/>
            <w:shd w:val="clear" w:color="auto" w:fill="auto"/>
            <w:noWrap/>
            <w:hideMark/>
          </w:tcPr>
          <w:p w14:paraId="7B5C0DD0" w14:textId="77777777" w:rsidR="00AF0ADF" w:rsidRPr="006479DA" w:rsidRDefault="00AF0ADF" w:rsidP="00AF0ADF">
            <w:pPr>
              <w:rPr>
                <w:rFonts w:cstheme="minorHAnsi"/>
                <w:sz w:val="20"/>
                <w:szCs w:val="20"/>
              </w:rPr>
            </w:pPr>
            <w:r w:rsidRPr="006479DA">
              <w:rPr>
                <w:rFonts w:cstheme="minorHAnsi"/>
                <w:b/>
                <w:bCs/>
                <w:color w:val="000000"/>
                <w:sz w:val="20"/>
                <w:szCs w:val="20"/>
              </w:rPr>
              <w:t>Hospitals annual number of births</w:t>
            </w:r>
          </w:p>
        </w:tc>
      </w:tr>
      <w:tr w:rsidR="00AF0ADF" w:rsidRPr="006479DA" w14:paraId="569A154D" w14:textId="77777777" w:rsidTr="00AF0ADF">
        <w:trPr>
          <w:trHeight w:val="236"/>
        </w:trPr>
        <w:tc>
          <w:tcPr>
            <w:tcW w:w="1955" w:type="pct"/>
            <w:shd w:val="clear" w:color="auto" w:fill="auto"/>
            <w:noWrap/>
            <w:hideMark/>
          </w:tcPr>
          <w:p w14:paraId="0D5FDA67"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1-100 births</w:t>
            </w:r>
          </w:p>
        </w:tc>
        <w:tc>
          <w:tcPr>
            <w:tcW w:w="338" w:type="pct"/>
            <w:shd w:val="clear" w:color="auto" w:fill="auto"/>
            <w:noWrap/>
            <w:hideMark/>
          </w:tcPr>
          <w:p w14:paraId="314A5FE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18.4</w:t>
            </w:r>
          </w:p>
        </w:tc>
        <w:tc>
          <w:tcPr>
            <w:tcW w:w="338" w:type="pct"/>
            <w:shd w:val="clear" w:color="auto" w:fill="auto"/>
            <w:noWrap/>
            <w:hideMark/>
          </w:tcPr>
          <w:p w14:paraId="0D4E33D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14.1</w:t>
            </w:r>
          </w:p>
        </w:tc>
        <w:tc>
          <w:tcPr>
            <w:tcW w:w="338" w:type="pct"/>
            <w:shd w:val="clear" w:color="auto" w:fill="auto"/>
            <w:noWrap/>
            <w:hideMark/>
          </w:tcPr>
          <w:p w14:paraId="0C28139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16.4</w:t>
            </w:r>
          </w:p>
        </w:tc>
        <w:tc>
          <w:tcPr>
            <w:tcW w:w="338" w:type="pct"/>
            <w:shd w:val="clear" w:color="auto" w:fill="auto"/>
            <w:noWrap/>
            <w:hideMark/>
          </w:tcPr>
          <w:p w14:paraId="7884D9E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18.3</w:t>
            </w:r>
          </w:p>
        </w:tc>
        <w:tc>
          <w:tcPr>
            <w:tcW w:w="338" w:type="pct"/>
            <w:shd w:val="clear" w:color="auto" w:fill="auto"/>
            <w:noWrap/>
            <w:hideMark/>
          </w:tcPr>
          <w:p w14:paraId="1BA76BE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15.1</w:t>
            </w:r>
          </w:p>
        </w:tc>
        <w:tc>
          <w:tcPr>
            <w:tcW w:w="338" w:type="pct"/>
            <w:shd w:val="clear" w:color="auto" w:fill="auto"/>
            <w:noWrap/>
            <w:hideMark/>
          </w:tcPr>
          <w:p w14:paraId="00E3246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16.3</w:t>
            </w:r>
          </w:p>
        </w:tc>
        <w:tc>
          <w:tcPr>
            <w:tcW w:w="338" w:type="pct"/>
            <w:shd w:val="clear" w:color="auto" w:fill="auto"/>
            <w:noWrap/>
            <w:hideMark/>
          </w:tcPr>
          <w:p w14:paraId="24F8790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13.2</w:t>
            </w:r>
          </w:p>
        </w:tc>
        <w:tc>
          <w:tcPr>
            <w:tcW w:w="338" w:type="pct"/>
            <w:shd w:val="clear" w:color="auto" w:fill="auto"/>
            <w:noWrap/>
            <w:hideMark/>
          </w:tcPr>
          <w:p w14:paraId="6B48EEA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14.6</w:t>
            </w:r>
          </w:p>
        </w:tc>
        <w:tc>
          <w:tcPr>
            <w:tcW w:w="341" w:type="pct"/>
            <w:shd w:val="clear" w:color="auto" w:fill="auto"/>
            <w:noWrap/>
            <w:hideMark/>
          </w:tcPr>
          <w:p w14:paraId="67F900A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13.5</w:t>
            </w:r>
          </w:p>
        </w:tc>
      </w:tr>
      <w:tr w:rsidR="00AF0ADF" w:rsidRPr="006479DA" w14:paraId="5313EA6E" w14:textId="77777777" w:rsidTr="00AF0ADF">
        <w:trPr>
          <w:trHeight w:val="236"/>
        </w:trPr>
        <w:tc>
          <w:tcPr>
            <w:tcW w:w="1955" w:type="pct"/>
            <w:shd w:val="clear" w:color="auto" w:fill="auto"/>
            <w:noWrap/>
            <w:hideMark/>
          </w:tcPr>
          <w:p w14:paraId="70300BA1"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101-500 births</w:t>
            </w:r>
          </w:p>
        </w:tc>
        <w:tc>
          <w:tcPr>
            <w:tcW w:w="338" w:type="pct"/>
            <w:shd w:val="clear" w:color="auto" w:fill="auto"/>
            <w:noWrap/>
            <w:hideMark/>
          </w:tcPr>
          <w:p w14:paraId="7E3B057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20.0</w:t>
            </w:r>
          </w:p>
        </w:tc>
        <w:tc>
          <w:tcPr>
            <w:tcW w:w="338" w:type="pct"/>
            <w:shd w:val="clear" w:color="auto" w:fill="auto"/>
            <w:noWrap/>
            <w:hideMark/>
          </w:tcPr>
          <w:p w14:paraId="394D885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20.1</w:t>
            </w:r>
          </w:p>
        </w:tc>
        <w:tc>
          <w:tcPr>
            <w:tcW w:w="338" w:type="pct"/>
            <w:shd w:val="clear" w:color="auto" w:fill="auto"/>
            <w:noWrap/>
            <w:hideMark/>
          </w:tcPr>
          <w:p w14:paraId="6E73360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19.1</w:t>
            </w:r>
          </w:p>
        </w:tc>
        <w:tc>
          <w:tcPr>
            <w:tcW w:w="338" w:type="pct"/>
            <w:shd w:val="clear" w:color="auto" w:fill="auto"/>
            <w:noWrap/>
            <w:hideMark/>
          </w:tcPr>
          <w:p w14:paraId="54EDC4D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18.9</w:t>
            </w:r>
          </w:p>
        </w:tc>
        <w:tc>
          <w:tcPr>
            <w:tcW w:w="338" w:type="pct"/>
            <w:shd w:val="clear" w:color="auto" w:fill="auto"/>
            <w:noWrap/>
            <w:hideMark/>
          </w:tcPr>
          <w:p w14:paraId="40A5AC2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19.0</w:t>
            </w:r>
          </w:p>
        </w:tc>
        <w:tc>
          <w:tcPr>
            <w:tcW w:w="338" w:type="pct"/>
            <w:shd w:val="clear" w:color="auto" w:fill="auto"/>
            <w:noWrap/>
            <w:hideMark/>
          </w:tcPr>
          <w:p w14:paraId="2EC9F63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18.9</w:t>
            </w:r>
          </w:p>
        </w:tc>
        <w:tc>
          <w:tcPr>
            <w:tcW w:w="338" w:type="pct"/>
            <w:shd w:val="clear" w:color="auto" w:fill="auto"/>
            <w:noWrap/>
            <w:hideMark/>
          </w:tcPr>
          <w:p w14:paraId="14F654C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18.8</w:t>
            </w:r>
          </w:p>
        </w:tc>
        <w:tc>
          <w:tcPr>
            <w:tcW w:w="338" w:type="pct"/>
            <w:shd w:val="clear" w:color="auto" w:fill="auto"/>
            <w:noWrap/>
            <w:hideMark/>
          </w:tcPr>
          <w:p w14:paraId="491DFDE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18.7</w:t>
            </w:r>
          </w:p>
        </w:tc>
        <w:tc>
          <w:tcPr>
            <w:tcW w:w="341" w:type="pct"/>
            <w:shd w:val="clear" w:color="auto" w:fill="auto"/>
            <w:noWrap/>
            <w:hideMark/>
          </w:tcPr>
          <w:p w14:paraId="1EA24A9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21.7</w:t>
            </w:r>
          </w:p>
        </w:tc>
      </w:tr>
      <w:tr w:rsidR="00AF0ADF" w:rsidRPr="006479DA" w14:paraId="608D268D" w14:textId="77777777" w:rsidTr="00AF0ADF">
        <w:trPr>
          <w:trHeight w:val="236"/>
        </w:trPr>
        <w:tc>
          <w:tcPr>
            <w:tcW w:w="1955" w:type="pct"/>
            <w:shd w:val="clear" w:color="auto" w:fill="auto"/>
            <w:noWrap/>
            <w:hideMark/>
          </w:tcPr>
          <w:p w14:paraId="3E154F8F"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501-1,000 births</w:t>
            </w:r>
          </w:p>
        </w:tc>
        <w:tc>
          <w:tcPr>
            <w:tcW w:w="338" w:type="pct"/>
            <w:shd w:val="clear" w:color="auto" w:fill="auto"/>
            <w:noWrap/>
            <w:hideMark/>
          </w:tcPr>
          <w:p w14:paraId="5299F35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26.0</w:t>
            </w:r>
          </w:p>
        </w:tc>
        <w:tc>
          <w:tcPr>
            <w:tcW w:w="338" w:type="pct"/>
            <w:shd w:val="clear" w:color="auto" w:fill="auto"/>
            <w:noWrap/>
            <w:hideMark/>
          </w:tcPr>
          <w:p w14:paraId="771A55D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24.9</w:t>
            </w:r>
          </w:p>
        </w:tc>
        <w:tc>
          <w:tcPr>
            <w:tcW w:w="338" w:type="pct"/>
            <w:shd w:val="clear" w:color="auto" w:fill="auto"/>
            <w:noWrap/>
            <w:hideMark/>
          </w:tcPr>
          <w:p w14:paraId="485CA44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25.7</w:t>
            </w:r>
          </w:p>
        </w:tc>
        <w:tc>
          <w:tcPr>
            <w:tcW w:w="338" w:type="pct"/>
            <w:shd w:val="clear" w:color="auto" w:fill="auto"/>
            <w:noWrap/>
            <w:hideMark/>
          </w:tcPr>
          <w:p w14:paraId="2517EDA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25.2</w:t>
            </w:r>
          </w:p>
        </w:tc>
        <w:tc>
          <w:tcPr>
            <w:tcW w:w="338" w:type="pct"/>
            <w:shd w:val="clear" w:color="auto" w:fill="auto"/>
            <w:noWrap/>
            <w:hideMark/>
          </w:tcPr>
          <w:p w14:paraId="2203C9D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26.0</w:t>
            </w:r>
          </w:p>
        </w:tc>
        <w:tc>
          <w:tcPr>
            <w:tcW w:w="338" w:type="pct"/>
            <w:shd w:val="clear" w:color="auto" w:fill="auto"/>
            <w:noWrap/>
            <w:hideMark/>
          </w:tcPr>
          <w:p w14:paraId="06626E0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26.4</w:t>
            </w:r>
          </w:p>
        </w:tc>
        <w:tc>
          <w:tcPr>
            <w:tcW w:w="338" w:type="pct"/>
            <w:shd w:val="clear" w:color="auto" w:fill="auto"/>
            <w:noWrap/>
            <w:hideMark/>
          </w:tcPr>
          <w:p w14:paraId="0924F71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25.4</w:t>
            </w:r>
          </w:p>
        </w:tc>
        <w:tc>
          <w:tcPr>
            <w:tcW w:w="338" w:type="pct"/>
            <w:shd w:val="clear" w:color="auto" w:fill="auto"/>
            <w:noWrap/>
            <w:hideMark/>
          </w:tcPr>
          <w:p w14:paraId="6A27E55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25.1</w:t>
            </w:r>
          </w:p>
        </w:tc>
        <w:tc>
          <w:tcPr>
            <w:tcW w:w="341" w:type="pct"/>
            <w:shd w:val="clear" w:color="auto" w:fill="auto"/>
            <w:noWrap/>
            <w:hideMark/>
          </w:tcPr>
          <w:p w14:paraId="1795954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26.5</w:t>
            </w:r>
          </w:p>
        </w:tc>
      </w:tr>
      <w:tr w:rsidR="00AF0ADF" w:rsidRPr="006479DA" w14:paraId="6B077CED" w14:textId="77777777" w:rsidTr="00AF0ADF">
        <w:trPr>
          <w:trHeight w:val="236"/>
        </w:trPr>
        <w:tc>
          <w:tcPr>
            <w:tcW w:w="1955" w:type="pct"/>
            <w:shd w:val="clear" w:color="auto" w:fill="auto"/>
            <w:noWrap/>
            <w:hideMark/>
          </w:tcPr>
          <w:p w14:paraId="220CD3EE"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1,001-2,000 births</w:t>
            </w:r>
          </w:p>
        </w:tc>
        <w:tc>
          <w:tcPr>
            <w:tcW w:w="338" w:type="pct"/>
            <w:shd w:val="clear" w:color="auto" w:fill="auto"/>
            <w:noWrap/>
            <w:hideMark/>
          </w:tcPr>
          <w:p w14:paraId="612B09B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23.9</w:t>
            </w:r>
          </w:p>
        </w:tc>
        <w:tc>
          <w:tcPr>
            <w:tcW w:w="338" w:type="pct"/>
            <w:shd w:val="clear" w:color="auto" w:fill="auto"/>
            <w:noWrap/>
            <w:hideMark/>
          </w:tcPr>
          <w:p w14:paraId="4B21349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24.3</w:t>
            </w:r>
          </w:p>
        </w:tc>
        <w:tc>
          <w:tcPr>
            <w:tcW w:w="338" w:type="pct"/>
            <w:shd w:val="clear" w:color="auto" w:fill="auto"/>
            <w:noWrap/>
            <w:hideMark/>
          </w:tcPr>
          <w:p w14:paraId="53EB165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24.3</w:t>
            </w:r>
          </w:p>
        </w:tc>
        <w:tc>
          <w:tcPr>
            <w:tcW w:w="338" w:type="pct"/>
            <w:shd w:val="clear" w:color="auto" w:fill="auto"/>
            <w:noWrap/>
            <w:hideMark/>
          </w:tcPr>
          <w:p w14:paraId="7CC3E14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24.9</w:t>
            </w:r>
          </w:p>
        </w:tc>
        <w:tc>
          <w:tcPr>
            <w:tcW w:w="338" w:type="pct"/>
            <w:shd w:val="clear" w:color="auto" w:fill="auto"/>
            <w:noWrap/>
            <w:hideMark/>
          </w:tcPr>
          <w:p w14:paraId="01A5BE4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23.6</w:t>
            </w:r>
          </w:p>
        </w:tc>
        <w:tc>
          <w:tcPr>
            <w:tcW w:w="338" w:type="pct"/>
            <w:shd w:val="clear" w:color="auto" w:fill="auto"/>
            <w:noWrap/>
            <w:hideMark/>
          </w:tcPr>
          <w:p w14:paraId="4E80814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25.0</w:t>
            </w:r>
          </w:p>
        </w:tc>
        <w:tc>
          <w:tcPr>
            <w:tcW w:w="338" w:type="pct"/>
            <w:shd w:val="clear" w:color="auto" w:fill="auto"/>
            <w:noWrap/>
            <w:hideMark/>
          </w:tcPr>
          <w:p w14:paraId="32EC6D7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24.1</w:t>
            </w:r>
          </w:p>
        </w:tc>
        <w:tc>
          <w:tcPr>
            <w:tcW w:w="338" w:type="pct"/>
            <w:shd w:val="clear" w:color="auto" w:fill="auto"/>
            <w:noWrap/>
            <w:hideMark/>
          </w:tcPr>
          <w:p w14:paraId="332F558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24.6</w:t>
            </w:r>
          </w:p>
        </w:tc>
        <w:tc>
          <w:tcPr>
            <w:tcW w:w="341" w:type="pct"/>
            <w:shd w:val="clear" w:color="auto" w:fill="auto"/>
            <w:noWrap/>
            <w:hideMark/>
          </w:tcPr>
          <w:p w14:paraId="39F0EED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23.9</w:t>
            </w:r>
          </w:p>
        </w:tc>
      </w:tr>
      <w:tr w:rsidR="00AF0ADF" w:rsidRPr="006479DA" w14:paraId="510EAA2A" w14:textId="77777777" w:rsidTr="00AF0ADF">
        <w:trPr>
          <w:trHeight w:val="236"/>
        </w:trPr>
        <w:tc>
          <w:tcPr>
            <w:tcW w:w="1955" w:type="pct"/>
            <w:shd w:val="clear" w:color="auto" w:fill="auto"/>
            <w:noWrap/>
            <w:hideMark/>
          </w:tcPr>
          <w:p w14:paraId="19509399"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2,001 births and over</w:t>
            </w:r>
          </w:p>
        </w:tc>
        <w:tc>
          <w:tcPr>
            <w:tcW w:w="338" w:type="pct"/>
            <w:shd w:val="clear" w:color="auto" w:fill="auto"/>
            <w:noWrap/>
            <w:hideMark/>
          </w:tcPr>
          <w:p w14:paraId="433B260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25.6</w:t>
            </w:r>
          </w:p>
        </w:tc>
        <w:tc>
          <w:tcPr>
            <w:tcW w:w="338" w:type="pct"/>
            <w:shd w:val="clear" w:color="auto" w:fill="auto"/>
            <w:noWrap/>
            <w:hideMark/>
          </w:tcPr>
          <w:p w14:paraId="4F2EC56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25.9</w:t>
            </w:r>
          </w:p>
        </w:tc>
        <w:tc>
          <w:tcPr>
            <w:tcW w:w="338" w:type="pct"/>
            <w:shd w:val="clear" w:color="auto" w:fill="auto"/>
            <w:noWrap/>
            <w:hideMark/>
          </w:tcPr>
          <w:p w14:paraId="505767E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26.5</w:t>
            </w:r>
          </w:p>
        </w:tc>
        <w:tc>
          <w:tcPr>
            <w:tcW w:w="338" w:type="pct"/>
            <w:shd w:val="clear" w:color="auto" w:fill="auto"/>
            <w:noWrap/>
            <w:hideMark/>
          </w:tcPr>
          <w:p w14:paraId="443A6D0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26.6</w:t>
            </w:r>
          </w:p>
        </w:tc>
        <w:tc>
          <w:tcPr>
            <w:tcW w:w="338" w:type="pct"/>
            <w:shd w:val="clear" w:color="auto" w:fill="auto"/>
            <w:noWrap/>
            <w:hideMark/>
          </w:tcPr>
          <w:p w14:paraId="10746F8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26.9</w:t>
            </w:r>
          </w:p>
        </w:tc>
        <w:tc>
          <w:tcPr>
            <w:tcW w:w="338" w:type="pct"/>
            <w:shd w:val="clear" w:color="auto" w:fill="auto"/>
            <w:noWrap/>
            <w:hideMark/>
          </w:tcPr>
          <w:p w14:paraId="5DE7F97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27.2</w:t>
            </w:r>
          </w:p>
        </w:tc>
        <w:tc>
          <w:tcPr>
            <w:tcW w:w="338" w:type="pct"/>
            <w:shd w:val="clear" w:color="auto" w:fill="auto"/>
            <w:noWrap/>
            <w:hideMark/>
          </w:tcPr>
          <w:p w14:paraId="275A3F7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27.9</w:t>
            </w:r>
          </w:p>
        </w:tc>
        <w:tc>
          <w:tcPr>
            <w:tcW w:w="338" w:type="pct"/>
            <w:shd w:val="clear" w:color="auto" w:fill="auto"/>
            <w:noWrap/>
            <w:hideMark/>
          </w:tcPr>
          <w:p w14:paraId="4C42A8E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27.7</w:t>
            </w:r>
          </w:p>
        </w:tc>
        <w:tc>
          <w:tcPr>
            <w:tcW w:w="341" w:type="pct"/>
            <w:shd w:val="clear" w:color="auto" w:fill="auto"/>
            <w:noWrap/>
            <w:hideMark/>
          </w:tcPr>
          <w:p w14:paraId="34558CF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27.9</w:t>
            </w:r>
          </w:p>
        </w:tc>
      </w:tr>
    </w:tbl>
    <w:p w14:paraId="1218811F" w14:textId="1A148FCA" w:rsidR="002E6C00" w:rsidRDefault="002E6C00" w:rsidP="00751711">
      <w:pPr>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887119">
        <w:rPr>
          <w:sz w:val="18"/>
          <w:szCs w:val="18"/>
        </w:rPr>
        <w:t>.</w:t>
      </w:r>
    </w:p>
    <w:p w14:paraId="31888FAD" w14:textId="77777777" w:rsidR="00452D27" w:rsidRPr="007667EF" w:rsidRDefault="00452D27" w:rsidP="00751711">
      <w:pPr>
        <w:rPr>
          <w:sz w:val="18"/>
          <w:szCs w:val="18"/>
        </w:rPr>
      </w:pPr>
    </w:p>
    <w:p w14:paraId="16BC396E" w14:textId="77777777" w:rsidR="00AF0ADF" w:rsidRPr="00B94D3E" w:rsidRDefault="00AF0ADF" w:rsidP="00940A8B">
      <w:pPr>
        <w:ind w:left="284" w:hanging="284"/>
        <w:rPr>
          <w:b/>
          <w:sz w:val="18"/>
          <w:szCs w:val="18"/>
        </w:rPr>
      </w:pPr>
      <w:r w:rsidRPr="00B94D3E">
        <w:rPr>
          <w:b/>
          <w:sz w:val="18"/>
          <w:szCs w:val="18"/>
        </w:rPr>
        <w:t>Data Notes:</w:t>
      </w:r>
    </w:p>
    <w:p w14:paraId="4DF3E689" w14:textId="77777777" w:rsidR="00AF0ADF" w:rsidRPr="002E6C00" w:rsidRDefault="00AF0ADF" w:rsidP="008D3FB5">
      <w:pPr>
        <w:pStyle w:val="pf0"/>
        <w:numPr>
          <w:ilvl w:val="0"/>
          <w:numId w:val="16"/>
        </w:numPr>
        <w:spacing w:before="0" w:beforeAutospacing="0" w:after="0" w:afterAutospacing="0"/>
        <w:ind w:left="284" w:hanging="284"/>
        <w:rPr>
          <w:rFonts w:asciiTheme="minorHAnsi" w:hAnsiTheme="minorHAnsi"/>
          <w:sz w:val="18"/>
          <w:szCs w:val="18"/>
        </w:rPr>
      </w:pPr>
      <w:r w:rsidRPr="002E6C00">
        <w:rPr>
          <w:rFonts w:asciiTheme="minorHAnsi" w:hAnsiTheme="minorHAnsi"/>
          <w:sz w:val="18"/>
          <w:szCs w:val="18"/>
        </w:rPr>
        <w:t>Instrumental vaginal births include forceps and vacuum extraction.</w:t>
      </w:r>
    </w:p>
    <w:p w14:paraId="0AFF6F36" w14:textId="77777777" w:rsidR="0029658B" w:rsidRPr="007667EF" w:rsidRDefault="0029658B" w:rsidP="00C24842">
      <w:pPr>
        <w:pStyle w:val="pf0"/>
        <w:numPr>
          <w:ilvl w:val="0"/>
          <w:numId w:val="16"/>
        </w:numPr>
        <w:spacing w:before="0" w:beforeAutospacing="0" w:after="0" w:afterAutospacing="0"/>
        <w:ind w:left="284" w:hanging="284"/>
        <w:rPr>
          <w:rFonts w:asciiTheme="minorHAnsi" w:hAnsiTheme="minorHAnsi"/>
          <w:sz w:val="18"/>
          <w:szCs w:val="18"/>
        </w:rPr>
      </w:pPr>
      <w:r w:rsidRPr="00FE0A19">
        <w:rPr>
          <w:rFonts w:asciiTheme="minorHAnsi" w:hAnsiTheme="minorHAnsi"/>
          <w:sz w:val="18"/>
          <w:szCs w:val="18"/>
        </w:rPr>
        <w:t>Selected women are defined as ‘aged between 20 and 34 years, where gestational age at birth was between 37 and 41 completed weeks, with a singleton baby in the vertex presentation)’. They are reported on separately as it is expected that they will have fewer labour complications and more optimal birth outcomes due to their lower risk. This cohort represents about one quarter of all women who give birth in Australia.</w:t>
      </w:r>
    </w:p>
    <w:p w14:paraId="4B10F777" w14:textId="77777777" w:rsidR="00AF0ADF" w:rsidRPr="002E6C00" w:rsidRDefault="00AF0ADF" w:rsidP="008D3FB5">
      <w:pPr>
        <w:pStyle w:val="pf0"/>
        <w:numPr>
          <w:ilvl w:val="0"/>
          <w:numId w:val="16"/>
        </w:numPr>
        <w:spacing w:before="0" w:beforeAutospacing="0" w:after="0" w:afterAutospacing="0"/>
        <w:ind w:left="284" w:hanging="284"/>
        <w:rPr>
          <w:rFonts w:asciiTheme="minorHAnsi" w:hAnsiTheme="minorHAnsi"/>
          <w:sz w:val="18"/>
          <w:szCs w:val="18"/>
        </w:rPr>
      </w:pPr>
      <w:r w:rsidRPr="002E6C00">
        <w:rPr>
          <w:rFonts w:asciiTheme="minorHAnsi" w:hAnsiTheme="minorHAnsi"/>
          <w:sz w:val="18"/>
          <w:szCs w:val="18"/>
        </w:rPr>
        <w:t>Data for Tasmania was not available until 2013. Presentations via caesarean births between 2005 and 2012 were not reported by hospitals who were still using the paper-based form. In these instances, if a caesarean section occurred the presentation was recorded as ‘Not stated’. Presentations via caesarean births was included in the paper-based form from 1 January 2013.</w:t>
      </w:r>
    </w:p>
    <w:p w14:paraId="64F26C77" w14:textId="3C46E3D9" w:rsidR="00AF0ADF" w:rsidRPr="00B94D3E" w:rsidRDefault="00AF0ADF" w:rsidP="008D3FB5">
      <w:pPr>
        <w:pStyle w:val="pf0"/>
        <w:numPr>
          <w:ilvl w:val="0"/>
          <w:numId w:val="16"/>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Percentages for mother's Indigenous status are age-standardised.</w:t>
      </w:r>
    </w:p>
    <w:p w14:paraId="0EB1BCAE" w14:textId="62272F33" w:rsidR="00AF0ADF" w:rsidRPr="00C459D0" w:rsidRDefault="00177CF9" w:rsidP="00AF0ADF">
      <w:pPr>
        <w:pStyle w:val="pf0"/>
        <w:numPr>
          <w:ilvl w:val="0"/>
          <w:numId w:val="16"/>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53A008F2" w14:textId="77777777" w:rsidR="00AF0ADF" w:rsidRDefault="00AF0ADF" w:rsidP="00AF0ADF">
      <w:r>
        <w:br w:type="page"/>
      </w:r>
    </w:p>
    <w:p w14:paraId="57FC1A75" w14:textId="420D2A66" w:rsidR="006B7997" w:rsidRPr="0054118D" w:rsidRDefault="006B7997" w:rsidP="006B7997">
      <w:pPr>
        <w:pStyle w:val="Caption"/>
        <w:rPr>
          <w:sz w:val="20"/>
          <w:szCs w:val="20"/>
        </w:rPr>
      </w:pPr>
      <w:bookmarkStart w:id="441" w:name="_Ref117928441"/>
      <w:bookmarkStart w:id="442" w:name="_Toc121429201"/>
      <w:bookmarkStart w:id="443" w:name="_Ref117097157"/>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25</w:t>
      </w:r>
      <w:r w:rsidR="00A64FC5" w:rsidRPr="0054118D">
        <w:rPr>
          <w:noProof/>
          <w:sz w:val="20"/>
          <w:szCs w:val="20"/>
        </w:rPr>
        <w:fldChar w:fldCharType="end"/>
      </w:r>
      <w:bookmarkEnd w:id="441"/>
      <w:r w:rsidRPr="0054118D">
        <w:rPr>
          <w:sz w:val="20"/>
          <w:szCs w:val="20"/>
        </w:rPr>
        <w:tab/>
      </w:r>
      <w:r w:rsidR="001C2C26">
        <w:rPr>
          <w:sz w:val="20"/>
          <w:szCs w:val="20"/>
        </w:rPr>
        <w:t>Vaginal</w:t>
      </w:r>
      <w:r w:rsidRPr="0054118D">
        <w:rPr>
          <w:sz w:val="20"/>
          <w:szCs w:val="20"/>
        </w:rPr>
        <w:t xml:space="preserve"> second birth</w:t>
      </w:r>
      <w:r w:rsidR="009D1604">
        <w:rPr>
          <w:sz w:val="20"/>
          <w:szCs w:val="20"/>
        </w:rPr>
        <w:t>,</w:t>
      </w:r>
      <w:r w:rsidRPr="0054118D">
        <w:rPr>
          <w:sz w:val="20"/>
          <w:szCs w:val="20"/>
        </w:rPr>
        <w:t xml:space="preserve"> first by caesarean section (PI15), 2011–2019</w:t>
      </w:r>
      <w:bookmarkEnd w:id="44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809"/>
        <w:gridCol w:w="809"/>
        <w:gridCol w:w="809"/>
        <w:gridCol w:w="809"/>
        <w:gridCol w:w="809"/>
        <w:gridCol w:w="809"/>
        <w:gridCol w:w="809"/>
        <w:gridCol w:w="809"/>
        <w:gridCol w:w="810"/>
      </w:tblGrid>
      <w:tr w:rsidR="006B7997" w:rsidRPr="005E1E68" w14:paraId="23F9618B" w14:textId="77777777" w:rsidTr="00B94D3E">
        <w:trPr>
          <w:trHeight w:val="236"/>
        </w:trPr>
        <w:tc>
          <w:tcPr>
            <w:tcW w:w="2352" w:type="dxa"/>
            <w:shd w:val="clear" w:color="auto" w:fill="auto"/>
            <w:noWrap/>
          </w:tcPr>
          <w:p w14:paraId="7D8FEA71" w14:textId="77777777" w:rsidR="006B7997" w:rsidRPr="005E1E68" w:rsidRDefault="006B7997" w:rsidP="0006071B">
            <w:pPr>
              <w:jc w:val="right"/>
              <w:rPr>
                <w:rFonts w:cstheme="minorHAnsi"/>
                <w:b/>
                <w:bCs/>
                <w:color w:val="000000"/>
                <w:sz w:val="20"/>
                <w:szCs w:val="20"/>
              </w:rPr>
            </w:pPr>
          </w:p>
        </w:tc>
        <w:tc>
          <w:tcPr>
            <w:tcW w:w="809" w:type="dxa"/>
            <w:shd w:val="clear" w:color="auto" w:fill="auto"/>
            <w:noWrap/>
            <w:vAlign w:val="center"/>
            <w:hideMark/>
          </w:tcPr>
          <w:p w14:paraId="1521FF7E"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2011</w:t>
            </w:r>
          </w:p>
        </w:tc>
        <w:tc>
          <w:tcPr>
            <w:tcW w:w="809" w:type="dxa"/>
            <w:shd w:val="clear" w:color="auto" w:fill="auto"/>
            <w:noWrap/>
            <w:vAlign w:val="center"/>
            <w:hideMark/>
          </w:tcPr>
          <w:p w14:paraId="545343CA"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2012</w:t>
            </w:r>
          </w:p>
        </w:tc>
        <w:tc>
          <w:tcPr>
            <w:tcW w:w="809" w:type="dxa"/>
            <w:shd w:val="clear" w:color="auto" w:fill="auto"/>
            <w:noWrap/>
            <w:vAlign w:val="center"/>
            <w:hideMark/>
          </w:tcPr>
          <w:p w14:paraId="195C6D02"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2013</w:t>
            </w:r>
          </w:p>
        </w:tc>
        <w:tc>
          <w:tcPr>
            <w:tcW w:w="809" w:type="dxa"/>
            <w:shd w:val="clear" w:color="auto" w:fill="auto"/>
            <w:noWrap/>
            <w:vAlign w:val="center"/>
            <w:hideMark/>
          </w:tcPr>
          <w:p w14:paraId="09CEAA4A"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2014</w:t>
            </w:r>
          </w:p>
        </w:tc>
        <w:tc>
          <w:tcPr>
            <w:tcW w:w="809" w:type="dxa"/>
            <w:shd w:val="clear" w:color="auto" w:fill="auto"/>
            <w:noWrap/>
            <w:vAlign w:val="center"/>
            <w:hideMark/>
          </w:tcPr>
          <w:p w14:paraId="58679413"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2015</w:t>
            </w:r>
          </w:p>
        </w:tc>
        <w:tc>
          <w:tcPr>
            <w:tcW w:w="809" w:type="dxa"/>
            <w:shd w:val="clear" w:color="auto" w:fill="auto"/>
            <w:noWrap/>
            <w:vAlign w:val="center"/>
            <w:hideMark/>
          </w:tcPr>
          <w:p w14:paraId="18A889C7"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2016</w:t>
            </w:r>
          </w:p>
        </w:tc>
        <w:tc>
          <w:tcPr>
            <w:tcW w:w="809" w:type="dxa"/>
            <w:shd w:val="clear" w:color="auto" w:fill="auto"/>
            <w:noWrap/>
            <w:vAlign w:val="center"/>
            <w:hideMark/>
          </w:tcPr>
          <w:p w14:paraId="14BA47D9"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2017</w:t>
            </w:r>
          </w:p>
        </w:tc>
        <w:tc>
          <w:tcPr>
            <w:tcW w:w="809" w:type="dxa"/>
            <w:shd w:val="clear" w:color="auto" w:fill="auto"/>
            <w:noWrap/>
            <w:vAlign w:val="center"/>
            <w:hideMark/>
          </w:tcPr>
          <w:p w14:paraId="49631E48"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2018</w:t>
            </w:r>
          </w:p>
        </w:tc>
        <w:tc>
          <w:tcPr>
            <w:tcW w:w="810" w:type="dxa"/>
            <w:shd w:val="clear" w:color="auto" w:fill="auto"/>
            <w:noWrap/>
            <w:vAlign w:val="center"/>
            <w:hideMark/>
          </w:tcPr>
          <w:p w14:paraId="7A8D90CF" w14:textId="77777777" w:rsidR="006B7997" w:rsidRPr="005E1E68" w:rsidRDefault="006B7997" w:rsidP="00B94D3E">
            <w:pPr>
              <w:jc w:val="center"/>
              <w:rPr>
                <w:rFonts w:cstheme="minorHAnsi"/>
                <w:b/>
                <w:bCs/>
                <w:color w:val="000000"/>
                <w:sz w:val="20"/>
                <w:szCs w:val="20"/>
              </w:rPr>
            </w:pPr>
            <w:r w:rsidRPr="005E1E68">
              <w:rPr>
                <w:rFonts w:cstheme="minorHAnsi"/>
                <w:b/>
                <w:bCs/>
                <w:color w:val="000000"/>
                <w:sz w:val="20"/>
                <w:szCs w:val="20"/>
              </w:rPr>
              <w:t>2019</w:t>
            </w:r>
          </w:p>
        </w:tc>
      </w:tr>
      <w:tr w:rsidR="006B7997" w:rsidRPr="005E1E68" w14:paraId="113A895B" w14:textId="77777777" w:rsidTr="00B94D3E">
        <w:trPr>
          <w:trHeight w:val="236"/>
        </w:trPr>
        <w:tc>
          <w:tcPr>
            <w:tcW w:w="2352" w:type="dxa"/>
            <w:shd w:val="clear" w:color="auto" w:fill="auto"/>
            <w:noWrap/>
          </w:tcPr>
          <w:p w14:paraId="311FCD37" w14:textId="77777777" w:rsidR="006B7997" w:rsidRPr="005E1E68" w:rsidRDefault="006B7997" w:rsidP="0006071B">
            <w:pPr>
              <w:rPr>
                <w:rFonts w:cstheme="minorHAnsi"/>
                <w:b/>
                <w:bCs/>
                <w:color w:val="000000"/>
                <w:sz w:val="20"/>
                <w:szCs w:val="20"/>
              </w:rPr>
            </w:pPr>
          </w:p>
        </w:tc>
        <w:tc>
          <w:tcPr>
            <w:tcW w:w="7282" w:type="dxa"/>
            <w:gridSpan w:val="9"/>
            <w:shd w:val="clear" w:color="auto" w:fill="auto"/>
            <w:noWrap/>
          </w:tcPr>
          <w:p w14:paraId="2C1087E8" w14:textId="77777777" w:rsidR="006B7997" w:rsidRPr="005E1E68" w:rsidRDefault="006B7997" w:rsidP="0006071B">
            <w:pPr>
              <w:jc w:val="center"/>
              <w:rPr>
                <w:rFonts w:cstheme="minorHAnsi"/>
                <w:b/>
                <w:bCs/>
                <w:color w:val="000000"/>
                <w:sz w:val="20"/>
                <w:szCs w:val="20"/>
              </w:rPr>
            </w:pPr>
            <w:r w:rsidRPr="005E1E68">
              <w:rPr>
                <w:rFonts w:cstheme="minorHAnsi"/>
                <w:b/>
                <w:bCs/>
                <w:sz w:val="20"/>
                <w:szCs w:val="20"/>
              </w:rPr>
              <w:t>In per cent (%)</w:t>
            </w:r>
          </w:p>
        </w:tc>
      </w:tr>
      <w:tr w:rsidR="006B7997" w:rsidRPr="005E1E68" w14:paraId="5040D792" w14:textId="77777777" w:rsidTr="00B94D3E">
        <w:trPr>
          <w:trHeight w:val="236"/>
        </w:trPr>
        <w:tc>
          <w:tcPr>
            <w:tcW w:w="9634" w:type="dxa"/>
            <w:gridSpan w:val="10"/>
            <w:shd w:val="clear" w:color="auto" w:fill="auto"/>
            <w:noWrap/>
            <w:hideMark/>
          </w:tcPr>
          <w:p w14:paraId="0DB412C5" w14:textId="77777777" w:rsidR="006B7997" w:rsidRPr="005E1E68" w:rsidRDefault="006B7997" w:rsidP="0006071B">
            <w:pPr>
              <w:rPr>
                <w:rFonts w:cstheme="minorHAnsi"/>
                <w:sz w:val="20"/>
                <w:szCs w:val="20"/>
              </w:rPr>
            </w:pPr>
            <w:r w:rsidRPr="005E1E68">
              <w:rPr>
                <w:rFonts w:cstheme="minorHAnsi"/>
                <w:b/>
                <w:bCs/>
                <w:color w:val="000000"/>
                <w:sz w:val="20"/>
                <w:szCs w:val="20"/>
              </w:rPr>
              <w:t>Australia</w:t>
            </w:r>
          </w:p>
        </w:tc>
      </w:tr>
      <w:tr w:rsidR="006B7997" w:rsidRPr="005E1E68" w14:paraId="560B07B8" w14:textId="77777777" w:rsidTr="00B94D3E">
        <w:trPr>
          <w:trHeight w:val="236"/>
        </w:trPr>
        <w:tc>
          <w:tcPr>
            <w:tcW w:w="2352" w:type="dxa"/>
            <w:shd w:val="clear" w:color="auto" w:fill="auto"/>
            <w:noWrap/>
            <w:hideMark/>
          </w:tcPr>
          <w:p w14:paraId="629AEB3B"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Total</w:t>
            </w:r>
          </w:p>
        </w:tc>
        <w:tc>
          <w:tcPr>
            <w:tcW w:w="809" w:type="dxa"/>
            <w:shd w:val="clear" w:color="auto" w:fill="auto"/>
            <w:noWrap/>
            <w:hideMark/>
          </w:tcPr>
          <w:p w14:paraId="6C3F258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13.4</w:t>
            </w:r>
          </w:p>
        </w:tc>
        <w:tc>
          <w:tcPr>
            <w:tcW w:w="809" w:type="dxa"/>
            <w:shd w:val="clear" w:color="auto" w:fill="auto"/>
            <w:noWrap/>
            <w:hideMark/>
          </w:tcPr>
          <w:p w14:paraId="4D907A5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13.3</w:t>
            </w:r>
          </w:p>
        </w:tc>
        <w:tc>
          <w:tcPr>
            <w:tcW w:w="809" w:type="dxa"/>
            <w:shd w:val="clear" w:color="auto" w:fill="auto"/>
            <w:noWrap/>
            <w:hideMark/>
          </w:tcPr>
          <w:p w14:paraId="3AB37AE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13.8</w:t>
            </w:r>
          </w:p>
        </w:tc>
        <w:tc>
          <w:tcPr>
            <w:tcW w:w="809" w:type="dxa"/>
            <w:shd w:val="clear" w:color="auto" w:fill="auto"/>
            <w:noWrap/>
            <w:hideMark/>
          </w:tcPr>
          <w:p w14:paraId="127FF64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13.2</w:t>
            </w:r>
          </w:p>
        </w:tc>
        <w:tc>
          <w:tcPr>
            <w:tcW w:w="809" w:type="dxa"/>
            <w:shd w:val="clear" w:color="auto" w:fill="auto"/>
            <w:noWrap/>
            <w:hideMark/>
          </w:tcPr>
          <w:p w14:paraId="5218826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13.5</w:t>
            </w:r>
          </w:p>
        </w:tc>
        <w:tc>
          <w:tcPr>
            <w:tcW w:w="809" w:type="dxa"/>
            <w:shd w:val="clear" w:color="auto" w:fill="auto"/>
            <w:noWrap/>
            <w:hideMark/>
          </w:tcPr>
          <w:p w14:paraId="115047A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13.1</w:t>
            </w:r>
          </w:p>
        </w:tc>
        <w:tc>
          <w:tcPr>
            <w:tcW w:w="809" w:type="dxa"/>
            <w:shd w:val="clear" w:color="auto" w:fill="auto"/>
            <w:noWrap/>
            <w:hideMark/>
          </w:tcPr>
          <w:p w14:paraId="4FD959A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12.2</w:t>
            </w:r>
          </w:p>
        </w:tc>
        <w:tc>
          <w:tcPr>
            <w:tcW w:w="809" w:type="dxa"/>
            <w:shd w:val="clear" w:color="auto" w:fill="auto"/>
            <w:noWrap/>
            <w:hideMark/>
          </w:tcPr>
          <w:p w14:paraId="6052791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12.2</w:t>
            </w:r>
          </w:p>
        </w:tc>
        <w:tc>
          <w:tcPr>
            <w:tcW w:w="810" w:type="dxa"/>
            <w:shd w:val="clear" w:color="auto" w:fill="auto"/>
            <w:noWrap/>
            <w:hideMark/>
          </w:tcPr>
          <w:p w14:paraId="56FD7F5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12.2</w:t>
            </w:r>
          </w:p>
        </w:tc>
      </w:tr>
      <w:tr w:rsidR="006B7997" w:rsidRPr="005E1E68" w14:paraId="63F9CE85" w14:textId="77777777" w:rsidTr="00B94D3E">
        <w:trPr>
          <w:trHeight w:val="236"/>
        </w:trPr>
        <w:tc>
          <w:tcPr>
            <w:tcW w:w="9634" w:type="dxa"/>
            <w:gridSpan w:val="10"/>
            <w:shd w:val="clear" w:color="auto" w:fill="auto"/>
            <w:noWrap/>
            <w:hideMark/>
          </w:tcPr>
          <w:p w14:paraId="0033F2E4" w14:textId="77777777" w:rsidR="006B7997" w:rsidRPr="005E1E68" w:rsidRDefault="006B7997" w:rsidP="0006071B">
            <w:pPr>
              <w:rPr>
                <w:rFonts w:cstheme="minorHAnsi"/>
                <w:sz w:val="20"/>
                <w:szCs w:val="20"/>
              </w:rPr>
            </w:pPr>
            <w:r w:rsidRPr="005E1E68">
              <w:rPr>
                <w:rFonts w:cstheme="minorHAnsi"/>
                <w:b/>
                <w:bCs/>
                <w:color w:val="000000"/>
                <w:sz w:val="20"/>
                <w:szCs w:val="20"/>
              </w:rPr>
              <w:t>Mother's age at birth</w:t>
            </w:r>
          </w:p>
        </w:tc>
      </w:tr>
      <w:tr w:rsidR="006B7997" w:rsidRPr="005E1E68" w14:paraId="2D56DC52" w14:textId="77777777" w:rsidTr="00B94D3E">
        <w:trPr>
          <w:trHeight w:val="236"/>
        </w:trPr>
        <w:tc>
          <w:tcPr>
            <w:tcW w:w="2352" w:type="dxa"/>
            <w:shd w:val="clear" w:color="auto" w:fill="auto"/>
            <w:noWrap/>
            <w:hideMark/>
          </w:tcPr>
          <w:p w14:paraId="0174BF48"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Younger than 20</w:t>
            </w:r>
          </w:p>
        </w:tc>
        <w:tc>
          <w:tcPr>
            <w:tcW w:w="809" w:type="dxa"/>
            <w:shd w:val="clear" w:color="auto" w:fill="auto"/>
            <w:noWrap/>
            <w:hideMark/>
          </w:tcPr>
          <w:p w14:paraId="76DACB6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26.7</w:t>
            </w:r>
          </w:p>
        </w:tc>
        <w:tc>
          <w:tcPr>
            <w:tcW w:w="809" w:type="dxa"/>
            <w:shd w:val="clear" w:color="auto" w:fill="auto"/>
            <w:noWrap/>
            <w:hideMark/>
          </w:tcPr>
          <w:p w14:paraId="42BAFD2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22.6</w:t>
            </w:r>
          </w:p>
        </w:tc>
        <w:tc>
          <w:tcPr>
            <w:tcW w:w="809" w:type="dxa"/>
            <w:shd w:val="clear" w:color="auto" w:fill="auto"/>
            <w:noWrap/>
            <w:hideMark/>
          </w:tcPr>
          <w:p w14:paraId="1A8D82A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19.7</w:t>
            </w:r>
          </w:p>
        </w:tc>
        <w:tc>
          <w:tcPr>
            <w:tcW w:w="809" w:type="dxa"/>
            <w:shd w:val="clear" w:color="auto" w:fill="auto"/>
            <w:noWrap/>
            <w:hideMark/>
          </w:tcPr>
          <w:p w14:paraId="41D9115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22.3</w:t>
            </w:r>
          </w:p>
        </w:tc>
        <w:tc>
          <w:tcPr>
            <w:tcW w:w="809" w:type="dxa"/>
            <w:shd w:val="clear" w:color="auto" w:fill="auto"/>
            <w:noWrap/>
            <w:hideMark/>
          </w:tcPr>
          <w:p w14:paraId="3F7AE89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16.7</w:t>
            </w:r>
          </w:p>
        </w:tc>
        <w:tc>
          <w:tcPr>
            <w:tcW w:w="809" w:type="dxa"/>
            <w:shd w:val="clear" w:color="auto" w:fill="auto"/>
            <w:noWrap/>
            <w:hideMark/>
          </w:tcPr>
          <w:p w14:paraId="69397BE3"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18.9</w:t>
            </w:r>
          </w:p>
        </w:tc>
        <w:tc>
          <w:tcPr>
            <w:tcW w:w="809" w:type="dxa"/>
            <w:shd w:val="clear" w:color="auto" w:fill="auto"/>
            <w:noWrap/>
            <w:hideMark/>
          </w:tcPr>
          <w:p w14:paraId="5D52928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12.9</w:t>
            </w:r>
          </w:p>
        </w:tc>
        <w:tc>
          <w:tcPr>
            <w:tcW w:w="809" w:type="dxa"/>
            <w:shd w:val="clear" w:color="auto" w:fill="auto"/>
            <w:noWrap/>
            <w:hideMark/>
          </w:tcPr>
          <w:p w14:paraId="43CCF1F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18.6</w:t>
            </w:r>
          </w:p>
        </w:tc>
        <w:tc>
          <w:tcPr>
            <w:tcW w:w="810" w:type="dxa"/>
            <w:shd w:val="clear" w:color="auto" w:fill="auto"/>
            <w:noWrap/>
            <w:hideMark/>
          </w:tcPr>
          <w:p w14:paraId="286B097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21.1</w:t>
            </w:r>
          </w:p>
        </w:tc>
      </w:tr>
      <w:tr w:rsidR="006B7997" w:rsidRPr="005E1E68" w14:paraId="68938CA0" w14:textId="77777777" w:rsidTr="00B94D3E">
        <w:trPr>
          <w:trHeight w:val="236"/>
        </w:trPr>
        <w:tc>
          <w:tcPr>
            <w:tcW w:w="2352" w:type="dxa"/>
            <w:shd w:val="clear" w:color="auto" w:fill="auto"/>
            <w:noWrap/>
            <w:hideMark/>
          </w:tcPr>
          <w:p w14:paraId="784EF134"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20-24</w:t>
            </w:r>
          </w:p>
        </w:tc>
        <w:tc>
          <w:tcPr>
            <w:tcW w:w="809" w:type="dxa"/>
            <w:shd w:val="clear" w:color="auto" w:fill="auto"/>
            <w:noWrap/>
            <w:hideMark/>
          </w:tcPr>
          <w:p w14:paraId="078859A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20.9</w:t>
            </w:r>
          </w:p>
        </w:tc>
        <w:tc>
          <w:tcPr>
            <w:tcW w:w="809" w:type="dxa"/>
            <w:shd w:val="clear" w:color="auto" w:fill="auto"/>
            <w:noWrap/>
            <w:hideMark/>
          </w:tcPr>
          <w:p w14:paraId="14E4BFA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19.6</w:t>
            </w:r>
          </w:p>
        </w:tc>
        <w:tc>
          <w:tcPr>
            <w:tcW w:w="809" w:type="dxa"/>
            <w:shd w:val="clear" w:color="auto" w:fill="auto"/>
            <w:noWrap/>
            <w:hideMark/>
          </w:tcPr>
          <w:p w14:paraId="269A1F6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18.2</w:t>
            </w:r>
          </w:p>
        </w:tc>
        <w:tc>
          <w:tcPr>
            <w:tcW w:w="809" w:type="dxa"/>
            <w:shd w:val="clear" w:color="auto" w:fill="auto"/>
            <w:noWrap/>
            <w:hideMark/>
          </w:tcPr>
          <w:p w14:paraId="01B4485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18.5</w:t>
            </w:r>
          </w:p>
        </w:tc>
        <w:tc>
          <w:tcPr>
            <w:tcW w:w="809" w:type="dxa"/>
            <w:shd w:val="clear" w:color="auto" w:fill="auto"/>
            <w:noWrap/>
            <w:hideMark/>
          </w:tcPr>
          <w:p w14:paraId="7C478D0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20.4</w:t>
            </w:r>
          </w:p>
        </w:tc>
        <w:tc>
          <w:tcPr>
            <w:tcW w:w="809" w:type="dxa"/>
            <w:shd w:val="clear" w:color="auto" w:fill="auto"/>
            <w:noWrap/>
            <w:hideMark/>
          </w:tcPr>
          <w:p w14:paraId="5FFAA042"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19.4</w:t>
            </w:r>
          </w:p>
        </w:tc>
        <w:tc>
          <w:tcPr>
            <w:tcW w:w="809" w:type="dxa"/>
            <w:shd w:val="clear" w:color="auto" w:fill="auto"/>
            <w:noWrap/>
            <w:hideMark/>
          </w:tcPr>
          <w:p w14:paraId="2CE2FCD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18.8</w:t>
            </w:r>
          </w:p>
        </w:tc>
        <w:tc>
          <w:tcPr>
            <w:tcW w:w="809" w:type="dxa"/>
            <w:shd w:val="clear" w:color="auto" w:fill="auto"/>
            <w:noWrap/>
            <w:hideMark/>
          </w:tcPr>
          <w:p w14:paraId="1B0A770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18.5</w:t>
            </w:r>
          </w:p>
        </w:tc>
        <w:tc>
          <w:tcPr>
            <w:tcW w:w="810" w:type="dxa"/>
            <w:shd w:val="clear" w:color="auto" w:fill="auto"/>
            <w:noWrap/>
            <w:hideMark/>
          </w:tcPr>
          <w:p w14:paraId="7B8641B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19.1</w:t>
            </w:r>
          </w:p>
        </w:tc>
      </w:tr>
      <w:tr w:rsidR="006B7997" w:rsidRPr="005E1E68" w14:paraId="285721A9" w14:textId="77777777" w:rsidTr="00B94D3E">
        <w:trPr>
          <w:trHeight w:val="236"/>
        </w:trPr>
        <w:tc>
          <w:tcPr>
            <w:tcW w:w="2352" w:type="dxa"/>
            <w:shd w:val="clear" w:color="auto" w:fill="auto"/>
            <w:noWrap/>
            <w:hideMark/>
          </w:tcPr>
          <w:p w14:paraId="7F86C83D"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25-29</w:t>
            </w:r>
          </w:p>
        </w:tc>
        <w:tc>
          <w:tcPr>
            <w:tcW w:w="809" w:type="dxa"/>
            <w:shd w:val="clear" w:color="auto" w:fill="auto"/>
            <w:noWrap/>
            <w:hideMark/>
          </w:tcPr>
          <w:p w14:paraId="70BCBE8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16.3</w:t>
            </w:r>
          </w:p>
        </w:tc>
        <w:tc>
          <w:tcPr>
            <w:tcW w:w="809" w:type="dxa"/>
            <w:shd w:val="clear" w:color="auto" w:fill="auto"/>
            <w:noWrap/>
            <w:hideMark/>
          </w:tcPr>
          <w:p w14:paraId="13E5158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16.1</w:t>
            </w:r>
          </w:p>
        </w:tc>
        <w:tc>
          <w:tcPr>
            <w:tcW w:w="809" w:type="dxa"/>
            <w:shd w:val="clear" w:color="auto" w:fill="auto"/>
            <w:noWrap/>
            <w:hideMark/>
          </w:tcPr>
          <w:p w14:paraId="5677E4F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17.0</w:t>
            </w:r>
          </w:p>
        </w:tc>
        <w:tc>
          <w:tcPr>
            <w:tcW w:w="809" w:type="dxa"/>
            <w:shd w:val="clear" w:color="auto" w:fill="auto"/>
            <w:noWrap/>
            <w:hideMark/>
          </w:tcPr>
          <w:p w14:paraId="50969F8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15.8</w:t>
            </w:r>
          </w:p>
        </w:tc>
        <w:tc>
          <w:tcPr>
            <w:tcW w:w="809" w:type="dxa"/>
            <w:shd w:val="clear" w:color="auto" w:fill="auto"/>
            <w:noWrap/>
            <w:hideMark/>
          </w:tcPr>
          <w:p w14:paraId="3D73F8A8"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16.9</w:t>
            </w:r>
          </w:p>
        </w:tc>
        <w:tc>
          <w:tcPr>
            <w:tcW w:w="809" w:type="dxa"/>
            <w:shd w:val="clear" w:color="auto" w:fill="auto"/>
            <w:noWrap/>
            <w:hideMark/>
          </w:tcPr>
          <w:p w14:paraId="2517185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16.6</w:t>
            </w:r>
          </w:p>
        </w:tc>
        <w:tc>
          <w:tcPr>
            <w:tcW w:w="809" w:type="dxa"/>
            <w:shd w:val="clear" w:color="auto" w:fill="auto"/>
            <w:noWrap/>
            <w:hideMark/>
          </w:tcPr>
          <w:p w14:paraId="020E0DF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16.0</w:t>
            </w:r>
          </w:p>
        </w:tc>
        <w:tc>
          <w:tcPr>
            <w:tcW w:w="809" w:type="dxa"/>
            <w:shd w:val="clear" w:color="auto" w:fill="auto"/>
            <w:noWrap/>
            <w:hideMark/>
          </w:tcPr>
          <w:p w14:paraId="7039707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15.4</w:t>
            </w:r>
          </w:p>
        </w:tc>
        <w:tc>
          <w:tcPr>
            <w:tcW w:w="810" w:type="dxa"/>
            <w:shd w:val="clear" w:color="auto" w:fill="auto"/>
            <w:noWrap/>
            <w:hideMark/>
          </w:tcPr>
          <w:p w14:paraId="669CCC5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16.2</w:t>
            </w:r>
          </w:p>
        </w:tc>
      </w:tr>
      <w:tr w:rsidR="006B7997" w:rsidRPr="005E1E68" w14:paraId="239A9988" w14:textId="77777777" w:rsidTr="00B94D3E">
        <w:trPr>
          <w:trHeight w:val="236"/>
        </w:trPr>
        <w:tc>
          <w:tcPr>
            <w:tcW w:w="2352" w:type="dxa"/>
            <w:shd w:val="clear" w:color="auto" w:fill="auto"/>
            <w:noWrap/>
            <w:hideMark/>
          </w:tcPr>
          <w:p w14:paraId="31B308E4"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30-34</w:t>
            </w:r>
          </w:p>
        </w:tc>
        <w:tc>
          <w:tcPr>
            <w:tcW w:w="809" w:type="dxa"/>
            <w:shd w:val="clear" w:color="auto" w:fill="auto"/>
            <w:noWrap/>
            <w:hideMark/>
          </w:tcPr>
          <w:p w14:paraId="3C68EB0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13.0</w:t>
            </w:r>
          </w:p>
        </w:tc>
        <w:tc>
          <w:tcPr>
            <w:tcW w:w="809" w:type="dxa"/>
            <w:shd w:val="clear" w:color="auto" w:fill="auto"/>
            <w:noWrap/>
            <w:hideMark/>
          </w:tcPr>
          <w:p w14:paraId="200CF0A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13.1</w:t>
            </w:r>
          </w:p>
        </w:tc>
        <w:tc>
          <w:tcPr>
            <w:tcW w:w="809" w:type="dxa"/>
            <w:shd w:val="clear" w:color="auto" w:fill="auto"/>
            <w:noWrap/>
            <w:hideMark/>
          </w:tcPr>
          <w:p w14:paraId="2B78848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14.0</w:t>
            </w:r>
          </w:p>
        </w:tc>
        <w:tc>
          <w:tcPr>
            <w:tcW w:w="809" w:type="dxa"/>
            <w:shd w:val="clear" w:color="auto" w:fill="auto"/>
            <w:noWrap/>
            <w:hideMark/>
          </w:tcPr>
          <w:p w14:paraId="49818E7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13.2</w:t>
            </w:r>
          </w:p>
        </w:tc>
        <w:tc>
          <w:tcPr>
            <w:tcW w:w="809" w:type="dxa"/>
            <w:shd w:val="clear" w:color="auto" w:fill="auto"/>
            <w:noWrap/>
            <w:hideMark/>
          </w:tcPr>
          <w:p w14:paraId="0A43D13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13.5</w:t>
            </w:r>
          </w:p>
        </w:tc>
        <w:tc>
          <w:tcPr>
            <w:tcW w:w="809" w:type="dxa"/>
            <w:shd w:val="clear" w:color="auto" w:fill="auto"/>
            <w:noWrap/>
            <w:hideMark/>
          </w:tcPr>
          <w:p w14:paraId="66BCE35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13.5</w:t>
            </w:r>
          </w:p>
        </w:tc>
        <w:tc>
          <w:tcPr>
            <w:tcW w:w="809" w:type="dxa"/>
            <w:shd w:val="clear" w:color="auto" w:fill="auto"/>
            <w:noWrap/>
            <w:hideMark/>
          </w:tcPr>
          <w:p w14:paraId="776B918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12.4</w:t>
            </w:r>
          </w:p>
        </w:tc>
        <w:tc>
          <w:tcPr>
            <w:tcW w:w="809" w:type="dxa"/>
            <w:shd w:val="clear" w:color="auto" w:fill="auto"/>
            <w:noWrap/>
            <w:hideMark/>
          </w:tcPr>
          <w:p w14:paraId="74BB801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12.5</w:t>
            </w:r>
          </w:p>
        </w:tc>
        <w:tc>
          <w:tcPr>
            <w:tcW w:w="810" w:type="dxa"/>
            <w:shd w:val="clear" w:color="auto" w:fill="auto"/>
            <w:noWrap/>
            <w:hideMark/>
          </w:tcPr>
          <w:p w14:paraId="582F249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12.6</w:t>
            </w:r>
          </w:p>
        </w:tc>
      </w:tr>
      <w:tr w:rsidR="006B7997" w:rsidRPr="005E1E68" w14:paraId="0C405BAF" w14:textId="77777777" w:rsidTr="00B94D3E">
        <w:trPr>
          <w:trHeight w:val="236"/>
        </w:trPr>
        <w:tc>
          <w:tcPr>
            <w:tcW w:w="2352" w:type="dxa"/>
            <w:shd w:val="clear" w:color="auto" w:fill="auto"/>
            <w:noWrap/>
            <w:hideMark/>
          </w:tcPr>
          <w:p w14:paraId="7D00BB7D"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35-39</w:t>
            </w:r>
          </w:p>
        </w:tc>
        <w:tc>
          <w:tcPr>
            <w:tcW w:w="809" w:type="dxa"/>
            <w:shd w:val="clear" w:color="auto" w:fill="auto"/>
            <w:noWrap/>
            <w:hideMark/>
          </w:tcPr>
          <w:p w14:paraId="20259662"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10.1</w:t>
            </w:r>
          </w:p>
        </w:tc>
        <w:tc>
          <w:tcPr>
            <w:tcW w:w="809" w:type="dxa"/>
            <w:shd w:val="clear" w:color="auto" w:fill="auto"/>
            <w:noWrap/>
            <w:hideMark/>
          </w:tcPr>
          <w:p w14:paraId="5D06FDB3"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10.6</w:t>
            </w:r>
          </w:p>
        </w:tc>
        <w:tc>
          <w:tcPr>
            <w:tcW w:w="809" w:type="dxa"/>
            <w:shd w:val="clear" w:color="auto" w:fill="auto"/>
            <w:noWrap/>
            <w:hideMark/>
          </w:tcPr>
          <w:p w14:paraId="703F9C88"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10.7</w:t>
            </w:r>
          </w:p>
        </w:tc>
        <w:tc>
          <w:tcPr>
            <w:tcW w:w="809" w:type="dxa"/>
            <w:shd w:val="clear" w:color="auto" w:fill="auto"/>
            <w:noWrap/>
            <w:hideMark/>
          </w:tcPr>
          <w:p w14:paraId="53650BC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10.6</w:t>
            </w:r>
          </w:p>
        </w:tc>
        <w:tc>
          <w:tcPr>
            <w:tcW w:w="809" w:type="dxa"/>
            <w:shd w:val="clear" w:color="auto" w:fill="auto"/>
            <w:noWrap/>
            <w:hideMark/>
          </w:tcPr>
          <w:p w14:paraId="6682EE8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10.3</w:t>
            </w:r>
          </w:p>
        </w:tc>
        <w:tc>
          <w:tcPr>
            <w:tcW w:w="809" w:type="dxa"/>
            <w:shd w:val="clear" w:color="auto" w:fill="auto"/>
            <w:noWrap/>
            <w:hideMark/>
          </w:tcPr>
          <w:p w14:paraId="48055AD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9.8</w:t>
            </w:r>
          </w:p>
        </w:tc>
        <w:tc>
          <w:tcPr>
            <w:tcW w:w="809" w:type="dxa"/>
            <w:shd w:val="clear" w:color="auto" w:fill="auto"/>
            <w:noWrap/>
            <w:hideMark/>
          </w:tcPr>
          <w:p w14:paraId="107B44A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9.2</w:t>
            </w:r>
          </w:p>
        </w:tc>
        <w:tc>
          <w:tcPr>
            <w:tcW w:w="809" w:type="dxa"/>
            <w:shd w:val="clear" w:color="auto" w:fill="auto"/>
            <w:noWrap/>
            <w:hideMark/>
          </w:tcPr>
          <w:p w14:paraId="64064E6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9.5</w:t>
            </w:r>
          </w:p>
        </w:tc>
        <w:tc>
          <w:tcPr>
            <w:tcW w:w="810" w:type="dxa"/>
            <w:shd w:val="clear" w:color="auto" w:fill="auto"/>
            <w:noWrap/>
            <w:hideMark/>
          </w:tcPr>
          <w:p w14:paraId="60FAB00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9.0</w:t>
            </w:r>
          </w:p>
        </w:tc>
      </w:tr>
      <w:tr w:rsidR="006B7997" w:rsidRPr="005E1E68" w14:paraId="7814CCEF" w14:textId="77777777" w:rsidTr="00B94D3E">
        <w:trPr>
          <w:trHeight w:val="236"/>
        </w:trPr>
        <w:tc>
          <w:tcPr>
            <w:tcW w:w="2352" w:type="dxa"/>
            <w:shd w:val="clear" w:color="auto" w:fill="auto"/>
            <w:noWrap/>
            <w:hideMark/>
          </w:tcPr>
          <w:p w14:paraId="1C09F935"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40 and over</w:t>
            </w:r>
          </w:p>
        </w:tc>
        <w:tc>
          <w:tcPr>
            <w:tcW w:w="809" w:type="dxa"/>
            <w:shd w:val="clear" w:color="auto" w:fill="auto"/>
            <w:noWrap/>
            <w:hideMark/>
          </w:tcPr>
          <w:p w14:paraId="45AA154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7.1</w:t>
            </w:r>
          </w:p>
        </w:tc>
        <w:tc>
          <w:tcPr>
            <w:tcW w:w="809" w:type="dxa"/>
            <w:shd w:val="clear" w:color="auto" w:fill="auto"/>
            <w:noWrap/>
            <w:hideMark/>
          </w:tcPr>
          <w:p w14:paraId="2900543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6.6</w:t>
            </w:r>
          </w:p>
        </w:tc>
        <w:tc>
          <w:tcPr>
            <w:tcW w:w="809" w:type="dxa"/>
            <w:shd w:val="clear" w:color="auto" w:fill="auto"/>
            <w:noWrap/>
            <w:hideMark/>
          </w:tcPr>
          <w:p w14:paraId="0CAC682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7.5</w:t>
            </w:r>
          </w:p>
        </w:tc>
        <w:tc>
          <w:tcPr>
            <w:tcW w:w="809" w:type="dxa"/>
            <w:shd w:val="clear" w:color="auto" w:fill="auto"/>
            <w:noWrap/>
            <w:hideMark/>
          </w:tcPr>
          <w:p w14:paraId="4D24584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6.7</w:t>
            </w:r>
          </w:p>
        </w:tc>
        <w:tc>
          <w:tcPr>
            <w:tcW w:w="809" w:type="dxa"/>
            <w:shd w:val="clear" w:color="auto" w:fill="auto"/>
            <w:noWrap/>
            <w:hideMark/>
          </w:tcPr>
          <w:p w14:paraId="065BEA9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6.3</w:t>
            </w:r>
          </w:p>
        </w:tc>
        <w:tc>
          <w:tcPr>
            <w:tcW w:w="809" w:type="dxa"/>
            <w:shd w:val="clear" w:color="auto" w:fill="auto"/>
            <w:noWrap/>
            <w:hideMark/>
          </w:tcPr>
          <w:p w14:paraId="0F43AFA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5.2</w:t>
            </w:r>
          </w:p>
        </w:tc>
        <w:tc>
          <w:tcPr>
            <w:tcW w:w="809" w:type="dxa"/>
            <w:shd w:val="clear" w:color="auto" w:fill="auto"/>
            <w:noWrap/>
            <w:hideMark/>
          </w:tcPr>
          <w:p w14:paraId="32B6326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5.5</w:t>
            </w:r>
          </w:p>
        </w:tc>
        <w:tc>
          <w:tcPr>
            <w:tcW w:w="809" w:type="dxa"/>
            <w:shd w:val="clear" w:color="auto" w:fill="auto"/>
            <w:noWrap/>
            <w:hideMark/>
          </w:tcPr>
          <w:p w14:paraId="12B8244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5.4</w:t>
            </w:r>
          </w:p>
        </w:tc>
        <w:tc>
          <w:tcPr>
            <w:tcW w:w="810" w:type="dxa"/>
            <w:shd w:val="clear" w:color="auto" w:fill="auto"/>
            <w:noWrap/>
            <w:hideMark/>
          </w:tcPr>
          <w:p w14:paraId="3D54C4F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4.3</w:t>
            </w:r>
          </w:p>
        </w:tc>
      </w:tr>
      <w:tr w:rsidR="006B7997" w:rsidRPr="005E1E68" w14:paraId="0E533ED0" w14:textId="77777777" w:rsidTr="00B94D3E">
        <w:trPr>
          <w:trHeight w:val="236"/>
        </w:trPr>
        <w:tc>
          <w:tcPr>
            <w:tcW w:w="9634" w:type="dxa"/>
            <w:gridSpan w:val="10"/>
            <w:shd w:val="clear" w:color="auto" w:fill="auto"/>
            <w:noWrap/>
            <w:hideMark/>
          </w:tcPr>
          <w:p w14:paraId="5106D62C" w14:textId="77777777" w:rsidR="006B7997" w:rsidRPr="005E1E68" w:rsidRDefault="006B7997" w:rsidP="0006071B">
            <w:pPr>
              <w:rPr>
                <w:rFonts w:cstheme="minorHAnsi"/>
                <w:sz w:val="20"/>
                <w:szCs w:val="20"/>
              </w:rPr>
            </w:pPr>
            <w:r w:rsidRPr="005E1E68">
              <w:rPr>
                <w:rFonts w:cstheme="minorHAnsi"/>
                <w:b/>
                <w:bCs/>
                <w:color w:val="000000"/>
                <w:sz w:val="20"/>
                <w:szCs w:val="20"/>
              </w:rPr>
              <w:t>Mother's indigenous status</w:t>
            </w:r>
          </w:p>
        </w:tc>
      </w:tr>
      <w:tr w:rsidR="006B7997" w:rsidRPr="005E1E68" w14:paraId="65F47D75" w14:textId="77777777" w:rsidTr="00B94D3E">
        <w:trPr>
          <w:trHeight w:val="236"/>
        </w:trPr>
        <w:tc>
          <w:tcPr>
            <w:tcW w:w="2352" w:type="dxa"/>
            <w:shd w:val="clear" w:color="auto" w:fill="auto"/>
            <w:noWrap/>
            <w:hideMark/>
          </w:tcPr>
          <w:p w14:paraId="2A9D6976"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Indigenous</w:t>
            </w:r>
          </w:p>
        </w:tc>
        <w:tc>
          <w:tcPr>
            <w:tcW w:w="809" w:type="dxa"/>
            <w:shd w:val="clear" w:color="auto" w:fill="auto"/>
            <w:noWrap/>
            <w:hideMark/>
          </w:tcPr>
          <w:p w14:paraId="73E39AA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16.6</w:t>
            </w:r>
          </w:p>
        </w:tc>
        <w:tc>
          <w:tcPr>
            <w:tcW w:w="809" w:type="dxa"/>
            <w:shd w:val="clear" w:color="auto" w:fill="auto"/>
            <w:noWrap/>
            <w:hideMark/>
          </w:tcPr>
          <w:p w14:paraId="7DB1AB4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13.5</w:t>
            </w:r>
          </w:p>
        </w:tc>
        <w:tc>
          <w:tcPr>
            <w:tcW w:w="809" w:type="dxa"/>
            <w:shd w:val="clear" w:color="auto" w:fill="auto"/>
            <w:noWrap/>
            <w:hideMark/>
          </w:tcPr>
          <w:p w14:paraId="240480C3"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17.2</w:t>
            </w:r>
          </w:p>
        </w:tc>
        <w:tc>
          <w:tcPr>
            <w:tcW w:w="809" w:type="dxa"/>
            <w:shd w:val="clear" w:color="auto" w:fill="auto"/>
            <w:noWrap/>
            <w:hideMark/>
          </w:tcPr>
          <w:p w14:paraId="5BCC74B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13.7</w:t>
            </w:r>
          </w:p>
        </w:tc>
        <w:tc>
          <w:tcPr>
            <w:tcW w:w="809" w:type="dxa"/>
            <w:shd w:val="clear" w:color="auto" w:fill="auto"/>
            <w:noWrap/>
            <w:hideMark/>
          </w:tcPr>
          <w:p w14:paraId="4DA6229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14.3</w:t>
            </w:r>
          </w:p>
        </w:tc>
        <w:tc>
          <w:tcPr>
            <w:tcW w:w="809" w:type="dxa"/>
            <w:shd w:val="clear" w:color="auto" w:fill="auto"/>
            <w:noWrap/>
            <w:hideMark/>
          </w:tcPr>
          <w:p w14:paraId="798AB93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13.3</w:t>
            </w:r>
          </w:p>
        </w:tc>
        <w:tc>
          <w:tcPr>
            <w:tcW w:w="809" w:type="dxa"/>
            <w:shd w:val="clear" w:color="auto" w:fill="auto"/>
            <w:noWrap/>
            <w:hideMark/>
          </w:tcPr>
          <w:p w14:paraId="59F0B7E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14.1</w:t>
            </w:r>
          </w:p>
        </w:tc>
        <w:tc>
          <w:tcPr>
            <w:tcW w:w="809" w:type="dxa"/>
            <w:shd w:val="clear" w:color="auto" w:fill="auto"/>
            <w:noWrap/>
            <w:hideMark/>
          </w:tcPr>
          <w:p w14:paraId="02CB8D2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15.5</w:t>
            </w:r>
          </w:p>
        </w:tc>
        <w:tc>
          <w:tcPr>
            <w:tcW w:w="810" w:type="dxa"/>
            <w:shd w:val="clear" w:color="auto" w:fill="auto"/>
            <w:noWrap/>
            <w:hideMark/>
          </w:tcPr>
          <w:p w14:paraId="55F2FD83"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13.3</w:t>
            </w:r>
          </w:p>
        </w:tc>
      </w:tr>
      <w:tr w:rsidR="006B7997" w:rsidRPr="005E1E68" w14:paraId="212411E7" w14:textId="77777777" w:rsidTr="00B94D3E">
        <w:trPr>
          <w:trHeight w:val="236"/>
        </w:trPr>
        <w:tc>
          <w:tcPr>
            <w:tcW w:w="2352" w:type="dxa"/>
            <w:shd w:val="clear" w:color="auto" w:fill="auto"/>
            <w:noWrap/>
            <w:hideMark/>
          </w:tcPr>
          <w:p w14:paraId="6F7DCD70"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Non-Indigenous</w:t>
            </w:r>
          </w:p>
        </w:tc>
        <w:tc>
          <w:tcPr>
            <w:tcW w:w="809" w:type="dxa"/>
            <w:shd w:val="clear" w:color="auto" w:fill="auto"/>
            <w:noWrap/>
            <w:hideMark/>
          </w:tcPr>
          <w:p w14:paraId="483F3D0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15.3</w:t>
            </w:r>
          </w:p>
        </w:tc>
        <w:tc>
          <w:tcPr>
            <w:tcW w:w="809" w:type="dxa"/>
            <w:shd w:val="clear" w:color="auto" w:fill="auto"/>
            <w:noWrap/>
            <w:hideMark/>
          </w:tcPr>
          <w:p w14:paraId="3D14C20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14.7</w:t>
            </w:r>
          </w:p>
        </w:tc>
        <w:tc>
          <w:tcPr>
            <w:tcW w:w="809" w:type="dxa"/>
            <w:shd w:val="clear" w:color="auto" w:fill="auto"/>
            <w:noWrap/>
            <w:hideMark/>
          </w:tcPr>
          <w:p w14:paraId="606579B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13.9</w:t>
            </w:r>
          </w:p>
        </w:tc>
        <w:tc>
          <w:tcPr>
            <w:tcW w:w="809" w:type="dxa"/>
            <w:shd w:val="clear" w:color="auto" w:fill="auto"/>
            <w:noWrap/>
            <w:hideMark/>
          </w:tcPr>
          <w:p w14:paraId="2FFC1BA8"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14.0</w:t>
            </w:r>
          </w:p>
        </w:tc>
        <w:tc>
          <w:tcPr>
            <w:tcW w:w="809" w:type="dxa"/>
            <w:shd w:val="clear" w:color="auto" w:fill="auto"/>
            <w:noWrap/>
            <w:hideMark/>
          </w:tcPr>
          <w:p w14:paraId="75BDC742"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13.7</w:t>
            </w:r>
          </w:p>
        </w:tc>
        <w:tc>
          <w:tcPr>
            <w:tcW w:w="809" w:type="dxa"/>
            <w:shd w:val="clear" w:color="auto" w:fill="auto"/>
            <w:noWrap/>
            <w:hideMark/>
          </w:tcPr>
          <w:p w14:paraId="0C9216E8"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13.3</w:t>
            </w:r>
          </w:p>
        </w:tc>
        <w:tc>
          <w:tcPr>
            <w:tcW w:w="809" w:type="dxa"/>
            <w:shd w:val="clear" w:color="auto" w:fill="auto"/>
            <w:noWrap/>
            <w:hideMark/>
          </w:tcPr>
          <w:p w14:paraId="5B85735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12.2</w:t>
            </w:r>
          </w:p>
        </w:tc>
        <w:tc>
          <w:tcPr>
            <w:tcW w:w="809" w:type="dxa"/>
            <w:shd w:val="clear" w:color="auto" w:fill="auto"/>
            <w:noWrap/>
            <w:hideMark/>
          </w:tcPr>
          <w:p w14:paraId="29A7694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13.6</w:t>
            </w:r>
          </w:p>
        </w:tc>
        <w:tc>
          <w:tcPr>
            <w:tcW w:w="810" w:type="dxa"/>
            <w:shd w:val="clear" w:color="auto" w:fill="auto"/>
            <w:noWrap/>
            <w:hideMark/>
          </w:tcPr>
          <w:p w14:paraId="167EFFB2"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13.3</w:t>
            </w:r>
          </w:p>
        </w:tc>
      </w:tr>
      <w:tr w:rsidR="006B7997" w:rsidRPr="005E1E68" w14:paraId="59781499" w14:textId="77777777" w:rsidTr="00B94D3E">
        <w:trPr>
          <w:trHeight w:val="236"/>
        </w:trPr>
        <w:tc>
          <w:tcPr>
            <w:tcW w:w="9634" w:type="dxa"/>
            <w:gridSpan w:val="10"/>
            <w:shd w:val="clear" w:color="auto" w:fill="auto"/>
            <w:noWrap/>
            <w:hideMark/>
          </w:tcPr>
          <w:p w14:paraId="7FCF9445" w14:textId="77777777" w:rsidR="006B7997" w:rsidRPr="005E1E68" w:rsidRDefault="006B7997" w:rsidP="0006071B">
            <w:pPr>
              <w:rPr>
                <w:rFonts w:cstheme="minorHAnsi"/>
                <w:sz w:val="20"/>
                <w:szCs w:val="20"/>
              </w:rPr>
            </w:pPr>
            <w:r w:rsidRPr="005E1E68">
              <w:rPr>
                <w:rFonts w:cstheme="minorHAnsi"/>
                <w:b/>
                <w:bCs/>
                <w:color w:val="000000"/>
                <w:sz w:val="20"/>
                <w:szCs w:val="20"/>
              </w:rPr>
              <w:t>Remoteness of mother's usual residence</w:t>
            </w:r>
          </w:p>
        </w:tc>
      </w:tr>
      <w:tr w:rsidR="006B7997" w:rsidRPr="005E1E68" w14:paraId="0387DBE7" w14:textId="77777777" w:rsidTr="00B94D3E">
        <w:trPr>
          <w:trHeight w:val="236"/>
        </w:trPr>
        <w:tc>
          <w:tcPr>
            <w:tcW w:w="2352" w:type="dxa"/>
            <w:shd w:val="clear" w:color="auto" w:fill="auto"/>
            <w:noWrap/>
            <w:hideMark/>
          </w:tcPr>
          <w:p w14:paraId="6EBB2365"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Major cities</w:t>
            </w:r>
          </w:p>
        </w:tc>
        <w:tc>
          <w:tcPr>
            <w:tcW w:w="809" w:type="dxa"/>
            <w:shd w:val="clear" w:color="auto" w:fill="auto"/>
            <w:noWrap/>
            <w:vAlign w:val="center"/>
            <w:hideMark/>
          </w:tcPr>
          <w:p w14:paraId="1C49D686" w14:textId="04E7C58F" w:rsidR="006B7997" w:rsidRPr="005E1E68" w:rsidRDefault="00456A68" w:rsidP="00B94D3E">
            <w:pPr>
              <w:ind w:firstLineChars="100" w:firstLine="200"/>
              <w:jc w:val="right"/>
              <w:rPr>
                <w:rFonts w:cstheme="minorHAnsi"/>
                <w:color w:val="000000"/>
                <w:sz w:val="20"/>
                <w:szCs w:val="20"/>
              </w:rPr>
            </w:pPr>
            <w:r>
              <w:rPr>
                <w:rFonts w:cstheme="minorHAnsi"/>
                <w:color w:val="000000"/>
                <w:sz w:val="20"/>
                <w:szCs w:val="20"/>
              </w:rPr>
              <w:t>n.a.</w:t>
            </w:r>
          </w:p>
        </w:tc>
        <w:tc>
          <w:tcPr>
            <w:tcW w:w="809" w:type="dxa"/>
            <w:shd w:val="clear" w:color="auto" w:fill="auto"/>
            <w:noWrap/>
            <w:hideMark/>
          </w:tcPr>
          <w:p w14:paraId="57B79DD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13.2</w:t>
            </w:r>
          </w:p>
        </w:tc>
        <w:tc>
          <w:tcPr>
            <w:tcW w:w="809" w:type="dxa"/>
            <w:shd w:val="clear" w:color="auto" w:fill="auto"/>
            <w:noWrap/>
            <w:hideMark/>
          </w:tcPr>
          <w:p w14:paraId="3A2ED55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13.5</w:t>
            </w:r>
          </w:p>
        </w:tc>
        <w:tc>
          <w:tcPr>
            <w:tcW w:w="809" w:type="dxa"/>
            <w:shd w:val="clear" w:color="auto" w:fill="auto"/>
            <w:noWrap/>
            <w:hideMark/>
          </w:tcPr>
          <w:p w14:paraId="31BB1FB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12.8</w:t>
            </w:r>
          </w:p>
        </w:tc>
        <w:tc>
          <w:tcPr>
            <w:tcW w:w="809" w:type="dxa"/>
            <w:shd w:val="clear" w:color="auto" w:fill="auto"/>
            <w:noWrap/>
            <w:hideMark/>
          </w:tcPr>
          <w:p w14:paraId="72BD1A7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13.1</w:t>
            </w:r>
          </w:p>
        </w:tc>
        <w:tc>
          <w:tcPr>
            <w:tcW w:w="809" w:type="dxa"/>
            <w:shd w:val="clear" w:color="auto" w:fill="auto"/>
            <w:noWrap/>
            <w:hideMark/>
          </w:tcPr>
          <w:p w14:paraId="5BACC5F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12.5</w:t>
            </w:r>
          </w:p>
        </w:tc>
        <w:tc>
          <w:tcPr>
            <w:tcW w:w="809" w:type="dxa"/>
            <w:shd w:val="clear" w:color="auto" w:fill="auto"/>
            <w:noWrap/>
            <w:hideMark/>
          </w:tcPr>
          <w:p w14:paraId="0E331E8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11.9</w:t>
            </w:r>
          </w:p>
        </w:tc>
        <w:tc>
          <w:tcPr>
            <w:tcW w:w="809" w:type="dxa"/>
            <w:shd w:val="clear" w:color="auto" w:fill="auto"/>
            <w:noWrap/>
            <w:hideMark/>
          </w:tcPr>
          <w:p w14:paraId="5A27B2D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11.6</w:t>
            </w:r>
          </w:p>
        </w:tc>
        <w:tc>
          <w:tcPr>
            <w:tcW w:w="810" w:type="dxa"/>
            <w:shd w:val="clear" w:color="auto" w:fill="auto"/>
            <w:noWrap/>
            <w:hideMark/>
          </w:tcPr>
          <w:p w14:paraId="4004644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11.5</w:t>
            </w:r>
          </w:p>
        </w:tc>
      </w:tr>
      <w:tr w:rsidR="006B7997" w:rsidRPr="005E1E68" w14:paraId="541DE10B" w14:textId="77777777" w:rsidTr="00B94D3E">
        <w:trPr>
          <w:trHeight w:val="236"/>
        </w:trPr>
        <w:tc>
          <w:tcPr>
            <w:tcW w:w="2352" w:type="dxa"/>
            <w:shd w:val="clear" w:color="auto" w:fill="auto"/>
            <w:noWrap/>
            <w:hideMark/>
          </w:tcPr>
          <w:p w14:paraId="0E0BD3CF"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Inner regional</w:t>
            </w:r>
          </w:p>
        </w:tc>
        <w:tc>
          <w:tcPr>
            <w:tcW w:w="809" w:type="dxa"/>
            <w:shd w:val="clear" w:color="auto" w:fill="auto"/>
            <w:noWrap/>
            <w:vAlign w:val="center"/>
            <w:hideMark/>
          </w:tcPr>
          <w:p w14:paraId="76C96A16" w14:textId="537003EC" w:rsidR="006B7997" w:rsidRPr="005E1E68" w:rsidRDefault="00456A68" w:rsidP="00B94D3E">
            <w:pPr>
              <w:ind w:firstLineChars="100" w:firstLine="200"/>
              <w:jc w:val="right"/>
              <w:rPr>
                <w:rFonts w:cstheme="minorHAnsi"/>
                <w:color w:val="000000"/>
                <w:sz w:val="20"/>
                <w:szCs w:val="20"/>
              </w:rPr>
            </w:pPr>
            <w:r>
              <w:rPr>
                <w:rFonts w:cstheme="minorHAnsi"/>
                <w:color w:val="000000"/>
                <w:sz w:val="20"/>
                <w:szCs w:val="20"/>
              </w:rPr>
              <w:t>n.a.</w:t>
            </w:r>
          </w:p>
        </w:tc>
        <w:tc>
          <w:tcPr>
            <w:tcW w:w="809" w:type="dxa"/>
            <w:shd w:val="clear" w:color="auto" w:fill="auto"/>
            <w:noWrap/>
            <w:hideMark/>
          </w:tcPr>
          <w:p w14:paraId="27F7CF8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15.0</w:t>
            </w:r>
          </w:p>
        </w:tc>
        <w:tc>
          <w:tcPr>
            <w:tcW w:w="809" w:type="dxa"/>
            <w:shd w:val="clear" w:color="auto" w:fill="auto"/>
            <w:noWrap/>
            <w:hideMark/>
          </w:tcPr>
          <w:p w14:paraId="68E1E39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15.0</w:t>
            </w:r>
          </w:p>
        </w:tc>
        <w:tc>
          <w:tcPr>
            <w:tcW w:w="809" w:type="dxa"/>
            <w:shd w:val="clear" w:color="auto" w:fill="auto"/>
            <w:noWrap/>
            <w:hideMark/>
          </w:tcPr>
          <w:p w14:paraId="3CE4AE0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14.5</w:t>
            </w:r>
          </w:p>
        </w:tc>
        <w:tc>
          <w:tcPr>
            <w:tcW w:w="809" w:type="dxa"/>
            <w:shd w:val="clear" w:color="auto" w:fill="auto"/>
            <w:noWrap/>
            <w:hideMark/>
          </w:tcPr>
          <w:p w14:paraId="2BF5601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14.9</w:t>
            </w:r>
          </w:p>
        </w:tc>
        <w:tc>
          <w:tcPr>
            <w:tcW w:w="809" w:type="dxa"/>
            <w:shd w:val="clear" w:color="auto" w:fill="auto"/>
            <w:noWrap/>
            <w:hideMark/>
          </w:tcPr>
          <w:p w14:paraId="7F75385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15.8</w:t>
            </w:r>
          </w:p>
        </w:tc>
        <w:tc>
          <w:tcPr>
            <w:tcW w:w="809" w:type="dxa"/>
            <w:shd w:val="clear" w:color="auto" w:fill="auto"/>
            <w:noWrap/>
            <w:hideMark/>
          </w:tcPr>
          <w:p w14:paraId="4F001CF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13.2</w:t>
            </w:r>
          </w:p>
        </w:tc>
        <w:tc>
          <w:tcPr>
            <w:tcW w:w="809" w:type="dxa"/>
            <w:shd w:val="clear" w:color="auto" w:fill="auto"/>
            <w:noWrap/>
            <w:hideMark/>
          </w:tcPr>
          <w:p w14:paraId="526490E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14.2</w:t>
            </w:r>
          </w:p>
        </w:tc>
        <w:tc>
          <w:tcPr>
            <w:tcW w:w="810" w:type="dxa"/>
            <w:shd w:val="clear" w:color="auto" w:fill="auto"/>
            <w:noWrap/>
            <w:hideMark/>
          </w:tcPr>
          <w:p w14:paraId="77174E2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14.8</w:t>
            </w:r>
          </w:p>
        </w:tc>
      </w:tr>
      <w:tr w:rsidR="006B7997" w:rsidRPr="005E1E68" w14:paraId="6472392A" w14:textId="77777777" w:rsidTr="00B94D3E">
        <w:trPr>
          <w:trHeight w:val="236"/>
        </w:trPr>
        <w:tc>
          <w:tcPr>
            <w:tcW w:w="2352" w:type="dxa"/>
            <w:shd w:val="clear" w:color="auto" w:fill="auto"/>
            <w:noWrap/>
            <w:hideMark/>
          </w:tcPr>
          <w:p w14:paraId="194F49BA"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Outer regional</w:t>
            </w:r>
          </w:p>
        </w:tc>
        <w:tc>
          <w:tcPr>
            <w:tcW w:w="809" w:type="dxa"/>
            <w:shd w:val="clear" w:color="auto" w:fill="auto"/>
            <w:noWrap/>
            <w:vAlign w:val="center"/>
            <w:hideMark/>
          </w:tcPr>
          <w:p w14:paraId="11CC192C" w14:textId="3E1907C1" w:rsidR="006B7997" w:rsidRPr="005E1E68" w:rsidRDefault="00456A68" w:rsidP="00B94D3E">
            <w:pPr>
              <w:ind w:firstLineChars="100" w:firstLine="200"/>
              <w:jc w:val="right"/>
              <w:rPr>
                <w:rFonts w:cstheme="minorHAnsi"/>
                <w:color w:val="000000"/>
                <w:sz w:val="20"/>
                <w:szCs w:val="20"/>
              </w:rPr>
            </w:pPr>
            <w:r>
              <w:rPr>
                <w:rFonts w:cstheme="minorHAnsi"/>
                <w:color w:val="000000"/>
                <w:sz w:val="20"/>
                <w:szCs w:val="20"/>
              </w:rPr>
              <w:t>n.a.</w:t>
            </w:r>
          </w:p>
        </w:tc>
        <w:tc>
          <w:tcPr>
            <w:tcW w:w="809" w:type="dxa"/>
            <w:shd w:val="clear" w:color="auto" w:fill="auto"/>
            <w:noWrap/>
            <w:hideMark/>
          </w:tcPr>
          <w:p w14:paraId="5DEE741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12.8</w:t>
            </w:r>
          </w:p>
        </w:tc>
        <w:tc>
          <w:tcPr>
            <w:tcW w:w="809" w:type="dxa"/>
            <w:shd w:val="clear" w:color="auto" w:fill="auto"/>
            <w:noWrap/>
            <w:hideMark/>
          </w:tcPr>
          <w:p w14:paraId="1FE87EA8"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12.8</w:t>
            </w:r>
          </w:p>
        </w:tc>
        <w:tc>
          <w:tcPr>
            <w:tcW w:w="809" w:type="dxa"/>
            <w:shd w:val="clear" w:color="auto" w:fill="auto"/>
            <w:noWrap/>
            <w:hideMark/>
          </w:tcPr>
          <w:p w14:paraId="354FC6E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13.3</w:t>
            </w:r>
          </w:p>
        </w:tc>
        <w:tc>
          <w:tcPr>
            <w:tcW w:w="809" w:type="dxa"/>
            <w:shd w:val="clear" w:color="auto" w:fill="auto"/>
            <w:noWrap/>
            <w:hideMark/>
          </w:tcPr>
          <w:p w14:paraId="508D630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14.3</w:t>
            </w:r>
          </w:p>
        </w:tc>
        <w:tc>
          <w:tcPr>
            <w:tcW w:w="809" w:type="dxa"/>
            <w:shd w:val="clear" w:color="auto" w:fill="auto"/>
            <w:noWrap/>
            <w:hideMark/>
          </w:tcPr>
          <w:p w14:paraId="5B1CF3B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13.4</w:t>
            </w:r>
          </w:p>
        </w:tc>
        <w:tc>
          <w:tcPr>
            <w:tcW w:w="809" w:type="dxa"/>
            <w:shd w:val="clear" w:color="auto" w:fill="auto"/>
            <w:noWrap/>
            <w:hideMark/>
          </w:tcPr>
          <w:p w14:paraId="00BE63B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12.9</w:t>
            </w:r>
          </w:p>
        </w:tc>
        <w:tc>
          <w:tcPr>
            <w:tcW w:w="809" w:type="dxa"/>
            <w:shd w:val="clear" w:color="auto" w:fill="auto"/>
            <w:noWrap/>
            <w:hideMark/>
          </w:tcPr>
          <w:p w14:paraId="2304FC3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13.2</w:t>
            </w:r>
          </w:p>
        </w:tc>
        <w:tc>
          <w:tcPr>
            <w:tcW w:w="810" w:type="dxa"/>
            <w:shd w:val="clear" w:color="auto" w:fill="auto"/>
            <w:noWrap/>
            <w:hideMark/>
          </w:tcPr>
          <w:p w14:paraId="114D7AF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13.9</w:t>
            </w:r>
          </w:p>
        </w:tc>
      </w:tr>
      <w:tr w:rsidR="006B7997" w:rsidRPr="005E1E68" w14:paraId="1F144F61" w14:textId="77777777" w:rsidTr="00B94D3E">
        <w:trPr>
          <w:trHeight w:val="236"/>
        </w:trPr>
        <w:tc>
          <w:tcPr>
            <w:tcW w:w="2352" w:type="dxa"/>
            <w:shd w:val="clear" w:color="auto" w:fill="auto"/>
            <w:noWrap/>
            <w:hideMark/>
          </w:tcPr>
          <w:p w14:paraId="0D07FF01"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Remote</w:t>
            </w:r>
          </w:p>
        </w:tc>
        <w:tc>
          <w:tcPr>
            <w:tcW w:w="809" w:type="dxa"/>
            <w:shd w:val="clear" w:color="auto" w:fill="auto"/>
            <w:noWrap/>
            <w:vAlign w:val="center"/>
            <w:hideMark/>
          </w:tcPr>
          <w:p w14:paraId="06CE7307" w14:textId="647CA294" w:rsidR="006B7997" w:rsidRPr="005E1E68" w:rsidRDefault="00456A68" w:rsidP="00B94D3E">
            <w:pPr>
              <w:ind w:firstLineChars="100" w:firstLine="200"/>
              <w:jc w:val="right"/>
              <w:rPr>
                <w:rFonts w:cstheme="minorHAnsi"/>
                <w:color w:val="000000"/>
                <w:sz w:val="20"/>
                <w:szCs w:val="20"/>
              </w:rPr>
            </w:pPr>
            <w:r>
              <w:rPr>
                <w:rFonts w:cstheme="minorHAnsi"/>
                <w:color w:val="000000"/>
                <w:sz w:val="20"/>
                <w:szCs w:val="20"/>
              </w:rPr>
              <w:t>n.a.</w:t>
            </w:r>
          </w:p>
        </w:tc>
        <w:tc>
          <w:tcPr>
            <w:tcW w:w="809" w:type="dxa"/>
            <w:shd w:val="clear" w:color="auto" w:fill="auto"/>
            <w:noWrap/>
            <w:hideMark/>
          </w:tcPr>
          <w:p w14:paraId="391F86B8"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15.2</w:t>
            </w:r>
          </w:p>
        </w:tc>
        <w:tc>
          <w:tcPr>
            <w:tcW w:w="809" w:type="dxa"/>
            <w:shd w:val="clear" w:color="auto" w:fill="auto"/>
            <w:noWrap/>
            <w:hideMark/>
          </w:tcPr>
          <w:p w14:paraId="09801D02"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15.5</w:t>
            </w:r>
          </w:p>
        </w:tc>
        <w:tc>
          <w:tcPr>
            <w:tcW w:w="809" w:type="dxa"/>
            <w:shd w:val="clear" w:color="auto" w:fill="auto"/>
            <w:noWrap/>
            <w:hideMark/>
          </w:tcPr>
          <w:p w14:paraId="12E5993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15.5</w:t>
            </w:r>
          </w:p>
        </w:tc>
        <w:tc>
          <w:tcPr>
            <w:tcW w:w="809" w:type="dxa"/>
            <w:shd w:val="clear" w:color="auto" w:fill="auto"/>
            <w:noWrap/>
            <w:hideMark/>
          </w:tcPr>
          <w:p w14:paraId="0D3485E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13.0</w:t>
            </w:r>
          </w:p>
        </w:tc>
        <w:tc>
          <w:tcPr>
            <w:tcW w:w="809" w:type="dxa"/>
            <w:shd w:val="clear" w:color="auto" w:fill="auto"/>
            <w:noWrap/>
            <w:hideMark/>
          </w:tcPr>
          <w:p w14:paraId="33012F4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14.9</w:t>
            </w:r>
          </w:p>
        </w:tc>
        <w:tc>
          <w:tcPr>
            <w:tcW w:w="809" w:type="dxa"/>
            <w:shd w:val="clear" w:color="auto" w:fill="auto"/>
            <w:noWrap/>
            <w:hideMark/>
          </w:tcPr>
          <w:p w14:paraId="4F809502"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12.7</w:t>
            </w:r>
          </w:p>
        </w:tc>
        <w:tc>
          <w:tcPr>
            <w:tcW w:w="809" w:type="dxa"/>
            <w:shd w:val="clear" w:color="auto" w:fill="auto"/>
            <w:noWrap/>
            <w:hideMark/>
          </w:tcPr>
          <w:p w14:paraId="12E1471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14.6</w:t>
            </w:r>
          </w:p>
        </w:tc>
        <w:tc>
          <w:tcPr>
            <w:tcW w:w="810" w:type="dxa"/>
            <w:shd w:val="clear" w:color="auto" w:fill="auto"/>
            <w:noWrap/>
            <w:hideMark/>
          </w:tcPr>
          <w:p w14:paraId="6772181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17.1</w:t>
            </w:r>
          </w:p>
        </w:tc>
      </w:tr>
      <w:tr w:rsidR="006B7997" w:rsidRPr="005E1E68" w14:paraId="6E8C02E7" w14:textId="77777777" w:rsidTr="00B94D3E">
        <w:trPr>
          <w:trHeight w:val="236"/>
        </w:trPr>
        <w:tc>
          <w:tcPr>
            <w:tcW w:w="2352" w:type="dxa"/>
            <w:shd w:val="clear" w:color="auto" w:fill="auto"/>
            <w:noWrap/>
            <w:hideMark/>
          </w:tcPr>
          <w:p w14:paraId="69360837"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Very remote</w:t>
            </w:r>
          </w:p>
        </w:tc>
        <w:tc>
          <w:tcPr>
            <w:tcW w:w="809" w:type="dxa"/>
            <w:shd w:val="clear" w:color="auto" w:fill="auto"/>
            <w:noWrap/>
            <w:vAlign w:val="center"/>
            <w:hideMark/>
          </w:tcPr>
          <w:p w14:paraId="58E606DD" w14:textId="4A39D71F" w:rsidR="006B7997" w:rsidRPr="005E1E68" w:rsidRDefault="00456A68" w:rsidP="00B94D3E">
            <w:pPr>
              <w:ind w:firstLineChars="100" w:firstLine="200"/>
              <w:jc w:val="right"/>
              <w:rPr>
                <w:rFonts w:cstheme="minorHAnsi"/>
                <w:color w:val="000000"/>
                <w:sz w:val="20"/>
                <w:szCs w:val="20"/>
              </w:rPr>
            </w:pPr>
            <w:r>
              <w:rPr>
                <w:rFonts w:cstheme="minorHAnsi"/>
                <w:color w:val="000000"/>
                <w:sz w:val="20"/>
                <w:szCs w:val="20"/>
              </w:rPr>
              <w:t>n.a.</w:t>
            </w:r>
          </w:p>
        </w:tc>
        <w:tc>
          <w:tcPr>
            <w:tcW w:w="809" w:type="dxa"/>
            <w:shd w:val="clear" w:color="auto" w:fill="auto"/>
            <w:noWrap/>
            <w:hideMark/>
          </w:tcPr>
          <w:p w14:paraId="0BA220C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15.6</w:t>
            </w:r>
          </w:p>
        </w:tc>
        <w:tc>
          <w:tcPr>
            <w:tcW w:w="809" w:type="dxa"/>
            <w:shd w:val="clear" w:color="auto" w:fill="auto"/>
            <w:noWrap/>
            <w:hideMark/>
          </w:tcPr>
          <w:p w14:paraId="65D1547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16.2</w:t>
            </w:r>
          </w:p>
        </w:tc>
        <w:tc>
          <w:tcPr>
            <w:tcW w:w="809" w:type="dxa"/>
            <w:shd w:val="clear" w:color="auto" w:fill="auto"/>
            <w:noWrap/>
            <w:hideMark/>
          </w:tcPr>
          <w:p w14:paraId="2AA2BDC3"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15.3</w:t>
            </w:r>
          </w:p>
        </w:tc>
        <w:tc>
          <w:tcPr>
            <w:tcW w:w="809" w:type="dxa"/>
            <w:shd w:val="clear" w:color="auto" w:fill="auto"/>
            <w:noWrap/>
            <w:hideMark/>
          </w:tcPr>
          <w:p w14:paraId="4056BBD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16.0</w:t>
            </w:r>
          </w:p>
        </w:tc>
        <w:tc>
          <w:tcPr>
            <w:tcW w:w="809" w:type="dxa"/>
            <w:shd w:val="clear" w:color="auto" w:fill="auto"/>
            <w:noWrap/>
            <w:hideMark/>
          </w:tcPr>
          <w:p w14:paraId="5A70939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14.3</w:t>
            </w:r>
          </w:p>
        </w:tc>
        <w:tc>
          <w:tcPr>
            <w:tcW w:w="809" w:type="dxa"/>
            <w:shd w:val="clear" w:color="auto" w:fill="auto"/>
            <w:noWrap/>
            <w:hideMark/>
          </w:tcPr>
          <w:p w14:paraId="2BDC324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14.8</w:t>
            </w:r>
          </w:p>
        </w:tc>
        <w:tc>
          <w:tcPr>
            <w:tcW w:w="809" w:type="dxa"/>
            <w:shd w:val="clear" w:color="auto" w:fill="auto"/>
            <w:noWrap/>
            <w:hideMark/>
          </w:tcPr>
          <w:p w14:paraId="39817668"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14.0</w:t>
            </w:r>
          </w:p>
        </w:tc>
        <w:tc>
          <w:tcPr>
            <w:tcW w:w="810" w:type="dxa"/>
            <w:shd w:val="clear" w:color="auto" w:fill="auto"/>
            <w:noWrap/>
            <w:hideMark/>
          </w:tcPr>
          <w:p w14:paraId="36A8387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8.8</w:t>
            </w:r>
          </w:p>
        </w:tc>
      </w:tr>
      <w:tr w:rsidR="006B7997" w:rsidRPr="005E1E68" w14:paraId="30179E9A" w14:textId="77777777" w:rsidTr="00B94D3E">
        <w:trPr>
          <w:trHeight w:val="236"/>
        </w:trPr>
        <w:tc>
          <w:tcPr>
            <w:tcW w:w="9634" w:type="dxa"/>
            <w:gridSpan w:val="10"/>
            <w:shd w:val="clear" w:color="auto" w:fill="auto"/>
            <w:noWrap/>
            <w:hideMark/>
          </w:tcPr>
          <w:p w14:paraId="0C583C8D" w14:textId="77777777" w:rsidR="006B7997" w:rsidRPr="005E1E68" w:rsidRDefault="006B7997" w:rsidP="0006071B">
            <w:pPr>
              <w:rPr>
                <w:rFonts w:cstheme="minorHAnsi"/>
                <w:sz w:val="20"/>
                <w:szCs w:val="20"/>
              </w:rPr>
            </w:pPr>
            <w:r w:rsidRPr="005E1E68">
              <w:rPr>
                <w:rFonts w:cstheme="minorHAnsi"/>
                <w:b/>
                <w:bCs/>
                <w:color w:val="000000"/>
                <w:sz w:val="20"/>
                <w:szCs w:val="20"/>
              </w:rPr>
              <w:t>Hospital sector</w:t>
            </w:r>
          </w:p>
        </w:tc>
      </w:tr>
      <w:tr w:rsidR="006B7997" w:rsidRPr="005E1E68" w14:paraId="26A4F8A8" w14:textId="77777777" w:rsidTr="00B94D3E">
        <w:trPr>
          <w:trHeight w:val="236"/>
        </w:trPr>
        <w:tc>
          <w:tcPr>
            <w:tcW w:w="2352" w:type="dxa"/>
            <w:shd w:val="clear" w:color="auto" w:fill="auto"/>
            <w:noWrap/>
            <w:hideMark/>
          </w:tcPr>
          <w:p w14:paraId="152C4853"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Private</w:t>
            </w:r>
          </w:p>
        </w:tc>
        <w:tc>
          <w:tcPr>
            <w:tcW w:w="809" w:type="dxa"/>
            <w:shd w:val="clear" w:color="auto" w:fill="auto"/>
            <w:noWrap/>
            <w:hideMark/>
          </w:tcPr>
          <w:p w14:paraId="5EDF4B7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7.6</w:t>
            </w:r>
          </w:p>
        </w:tc>
        <w:tc>
          <w:tcPr>
            <w:tcW w:w="809" w:type="dxa"/>
            <w:shd w:val="clear" w:color="auto" w:fill="auto"/>
            <w:noWrap/>
            <w:hideMark/>
          </w:tcPr>
          <w:p w14:paraId="375F716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7.4</w:t>
            </w:r>
          </w:p>
        </w:tc>
        <w:tc>
          <w:tcPr>
            <w:tcW w:w="809" w:type="dxa"/>
            <w:shd w:val="clear" w:color="auto" w:fill="auto"/>
            <w:noWrap/>
            <w:hideMark/>
          </w:tcPr>
          <w:p w14:paraId="638EF78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7.9</w:t>
            </w:r>
          </w:p>
        </w:tc>
        <w:tc>
          <w:tcPr>
            <w:tcW w:w="809" w:type="dxa"/>
            <w:shd w:val="clear" w:color="auto" w:fill="auto"/>
            <w:noWrap/>
            <w:hideMark/>
          </w:tcPr>
          <w:p w14:paraId="7EB9DD5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6.8</w:t>
            </w:r>
          </w:p>
        </w:tc>
        <w:tc>
          <w:tcPr>
            <w:tcW w:w="809" w:type="dxa"/>
            <w:shd w:val="clear" w:color="auto" w:fill="auto"/>
            <w:noWrap/>
            <w:hideMark/>
          </w:tcPr>
          <w:p w14:paraId="3B6D256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6.9</w:t>
            </w:r>
          </w:p>
        </w:tc>
        <w:tc>
          <w:tcPr>
            <w:tcW w:w="809" w:type="dxa"/>
            <w:shd w:val="clear" w:color="auto" w:fill="auto"/>
            <w:noWrap/>
            <w:hideMark/>
          </w:tcPr>
          <w:p w14:paraId="6540AF5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6.4</w:t>
            </w:r>
          </w:p>
        </w:tc>
        <w:tc>
          <w:tcPr>
            <w:tcW w:w="809" w:type="dxa"/>
            <w:shd w:val="clear" w:color="auto" w:fill="auto"/>
            <w:noWrap/>
            <w:hideMark/>
          </w:tcPr>
          <w:p w14:paraId="7D929A8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5.7</w:t>
            </w:r>
          </w:p>
        </w:tc>
        <w:tc>
          <w:tcPr>
            <w:tcW w:w="809" w:type="dxa"/>
            <w:shd w:val="clear" w:color="auto" w:fill="auto"/>
            <w:noWrap/>
            <w:hideMark/>
          </w:tcPr>
          <w:p w14:paraId="7C3F20A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5.6</w:t>
            </w:r>
          </w:p>
        </w:tc>
        <w:tc>
          <w:tcPr>
            <w:tcW w:w="810" w:type="dxa"/>
            <w:shd w:val="clear" w:color="auto" w:fill="auto"/>
            <w:noWrap/>
            <w:hideMark/>
          </w:tcPr>
          <w:p w14:paraId="1CD4B15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5.8</w:t>
            </w:r>
          </w:p>
        </w:tc>
      </w:tr>
      <w:tr w:rsidR="006B7997" w:rsidRPr="005E1E68" w14:paraId="65A7E991" w14:textId="77777777" w:rsidTr="00B94D3E">
        <w:trPr>
          <w:trHeight w:val="236"/>
        </w:trPr>
        <w:tc>
          <w:tcPr>
            <w:tcW w:w="2352" w:type="dxa"/>
            <w:shd w:val="clear" w:color="auto" w:fill="auto"/>
            <w:noWrap/>
            <w:hideMark/>
          </w:tcPr>
          <w:p w14:paraId="21E3FD88"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Public</w:t>
            </w:r>
          </w:p>
        </w:tc>
        <w:tc>
          <w:tcPr>
            <w:tcW w:w="809" w:type="dxa"/>
            <w:shd w:val="clear" w:color="auto" w:fill="auto"/>
            <w:noWrap/>
            <w:hideMark/>
          </w:tcPr>
          <w:p w14:paraId="4281FC3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17.0</w:t>
            </w:r>
          </w:p>
        </w:tc>
        <w:tc>
          <w:tcPr>
            <w:tcW w:w="809" w:type="dxa"/>
            <w:shd w:val="clear" w:color="auto" w:fill="auto"/>
            <w:noWrap/>
            <w:hideMark/>
          </w:tcPr>
          <w:p w14:paraId="0FB65B9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17.0</w:t>
            </w:r>
          </w:p>
        </w:tc>
        <w:tc>
          <w:tcPr>
            <w:tcW w:w="809" w:type="dxa"/>
            <w:shd w:val="clear" w:color="auto" w:fill="auto"/>
            <w:noWrap/>
            <w:hideMark/>
          </w:tcPr>
          <w:p w14:paraId="61E5A3B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17.1</w:t>
            </w:r>
          </w:p>
        </w:tc>
        <w:tc>
          <w:tcPr>
            <w:tcW w:w="809" w:type="dxa"/>
            <w:shd w:val="clear" w:color="auto" w:fill="auto"/>
            <w:noWrap/>
            <w:hideMark/>
          </w:tcPr>
          <w:p w14:paraId="41C6DC8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16.9</w:t>
            </w:r>
          </w:p>
        </w:tc>
        <w:tc>
          <w:tcPr>
            <w:tcW w:w="809" w:type="dxa"/>
            <w:shd w:val="clear" w:color="auto" w:fill="auto"/>
            <w:noWrap/>
            <w:hideMark/>
          </w:tcPr>
          <w:p w14:paraId="0508001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17.2</w:t>
            </w:r>
          </w:p>
        </w:tc>
        <w:tc>
          <w:tcPr>
            <w:tcW w:w="809" w:type="dxa"/>
            <w:shd w:val="clear" w:color="auto" w:fill="auto"/>
            <w:noWrap/>
            <w:hideMark/>
          </w:tcPr>
          <w:p w14:paraId="1EF8374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16.8</w:t>
            </w:r>
          </w:p>
        </w:tc>
        <w:tc>
          <w:tcPr>
            <w:tcW w:w="809" w:type="dxa"/>
            <w:shd w:val="clear" w:color="auto" w:fill="auto"/>
            <w:noWrap/>
            <w:hideMark/>
          </w:tcPr>
          <w:p w14:paraId="336DEFE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15.4</w:t>
            </w:r>
          </w:p>
        </w:tc>
        <w:tc>
          <w:tcPr>
            <w:tcW w:w="809" w:type="dxa"/>
            <w:shd w:val="clear" w:color="auto" w:fill="auto"/>
            <w:noWrap/>
            <w:hideMark/>
          </w:tcPr>
          <w:p w14:paraId="1B99E2A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15.3</w:t>
            </w:r>
          </w:p>
        </w:tc>
        <w:tc>
          <w:tcPr>
            <w:tcW w:w="810" w:type="dxa"/>
            <w:shd w:val="clear" w:color="auto" w:fill="auto"/>
            <w:noWrap/>
            <w:hideMark/>
          </w:tcPr>
          <w:p w14:paraId="7998600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15.3</w:t>
            </w:r>
          </w:p>
        </w:tc>
      </w:tr>
      <w:tr w:rsidR="006B7997" w:rsidRPr="005E1E68" w14:paraId="3A57AE09" w14:textId="77777777" w:rsidTr="00B94D3E">
        <w:trPr>
          <w:trHeight w:val="236"/>
        </w:trPr>
        <w:tc>
          <w:tcPr>
            <w:tcW w:w="9634" w:type="dxa"/>
            <w:gridSpan w:val="10"/>
            <w:shd w:val="clear" w:color="auto" w:fill="auto"/>
            <w:noWrap/>
            <w:hideMark/>
          </w:tcPr>
          <w:p w14:paraId="75B84C65" w14:textId="77777777" w:rsidR="006B7997" w:rsidRPr="005E1E68" w:rsidRDefault="006B7997" w:rsidP="0006071B">
            <w:pPr>
              <w:rPr>
                <w:rFonts w:cstheme="minorHAnsi"/>
                <w:sz w:val="20"/>
                <w:szCs w:val="20"/>
              </w:rPr>
            </w:pPr>
            <w:r w:rsidRPr="005E1E68">
              <w:rPr>
                <w:rFonts w:cstheme="minorHAnsi"/>
                <w:b/>
                <w:bCs/>
                <w:color w:val="000000"/>
                <w:sz w:val="20"/>
                <w:szCs w:val="20"/>
              </w:rPr>
              <w:t>Hospitals annual number of births</w:t>
            </w:r>
          </w:p>
        </w:tc>
      </w:tr>
      <w:tr w:rsidR="006B7997" w:rsidRPr="005E1E68" w14:paraId="1E4CF2F3" w14:textId="77777777" w:rsidTr="00B94D3E">
        <w:trPr>
          <w:trHeight w:val="236"/>
        </w:trPr>
        <w:tc>
          <w:tcPr>
            <w:tcW w:w="2352" w:type="dxa"/>
            <w:shd w:val="clear" w:color="auto" w:fill="auto"/>
            <w:noWrap/>
            <w:hideMark/>
          </w:tcPr>
          <w:p w14:paraId="50BC661C"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1-100 births</w:t>
            </w:r>
          </w:p>
        </w:tc>
        <w:tc>
          <w:tcPr>
            <w:tcW w:w="809" w:type="dxa"/>
            <w:shd w:val="clear" w:color="auto" w:fill="auto"/>
            <w:noWrap/>
            <w:hideMark/>
          </w:tcPr>
          <w:p w14:paraId="66A62E0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9.4</w:t>
            </w:r>
          </w:p>
        </w:tc>
        <w:tc>
          <w:tcPr>
            <w:tcW w:w="809" w:type="dxa"/>
            <w:shd w:val="clear" w:color="auto" w:fill="auto"/>
            <w:noWrap/>
            <w:hideMark/>
          </w:tcPr>
          <w:p w14:paraId="1040343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9.6</w:t>
            </w:r>
          </w:p>
        </w:tc>
        <w:tc>
          <w:tcPr>
            <w:tcW w:w="809" w:type="dxa"/>
            <w:shd w:val="clear" w:color="auto" w:fill="auto"/>
            <w:noWrap/>
            <w:hideMark/>
          </w:tcPr>
          <w:p w14:paraId="0A20A10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7.9</w:t>
            </w:r>
          </w:p>
        </w:tc>
        <w:tc>
          <w:tcPr>
            <w:tcW w:w="809" w:type="dxa"/>
            <w:shd w:val="clear" w:color="auto" w:fill="auto"/>
            <w:noWrap/>
            <w:hideMark/>
          </w:tcPr>
          <w:p w14:paraId="20CEBBC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9.8</w:t>
            </w:r>
          </w:p>
        </w:tc>
        <w:tc>
          <w:tcPr>
            <w:tcW w:w="809" w:type="dxa"/>
            <w:shd w:val="clear" w:color="auto" w:fill="auto"/>
            <w:noWrap/>
            <w:hideMark/>
          </w:tcPr>
          <w:p w14:paraId="36075FA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5.1</w:t>
            </w:r>
          </w:p>
        </w:tc>
        <w:tc>
          <w:tcPr>
            <w:tcW w:w="809" w:type="dxa"/>
            <w:shd w:val="clear" w:color="auto" w:fill="auto"/>
            <w:noWrap/>
            <w:hideMark/>
          </w:tcPr>
          <w:p w14:paraId="53EE05C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5.0</w:t>
            </w:r>
          </w:p>
        </w:tc>
        <w:tc>
          <w:tcPr>
            <w:tcW w:w="809" w:type="dxa"/>
            <w:shd w:val="clear" w:color="auto" w:fill="auto"/>
            <w:noWrap/>
            <w:hideMark/>
          </w:tcPr>
          <w:p w14:paraId="6D616BC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4.9</w:t>
            </w:r>
          </w:p>
        </w:tc>
        <w:tc>
          <w:tcPr>
            <w:tcW w:w="809" w:type="dxa"/>
            <w:shd w:val="clear" w:color="auto" w:fill="auto"/>
            <w:noWrap/>
            <w:hideMark/>
          </w:tcPr>
          <w:p w14:paraId="4D70971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9.9</w:t>
            </w:r>
          </w:p>
        </w:tc>
        <w:tc>
          <w:tcPr>
            <w:tcW w:w="810" w:type="dxa"/>
            <w:shd w:val="clear" w:color="auto" w:fill="auto"/>
            <w:noWrap/>
            <w:hideMark/>
          </w:tcPr>
          <w:p w14:paraId="7362546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10.1</w:t>
            </w:r>
          </w:p>
        </w:tc>
      </w:tr>
      <w:tr w:rsidR="006B7997" w:rsidRPr="005E1E68" w14:paraId="5BAF297C" w14:textId="77777777" w:rsidTr="00B94D3E">
        <w:trPr>
          <w:trHeight w:val="236"/>
        </w:trPr>
        <w:tc>
          <w:tcPr>
            <w:tcW w:w="2352" w:type="dxa"/>
            <w:shd w:val="clear" w:color="auto" w:fill="auto"/>
            <w:noWrap/>
            <w:hideMark/>
          </w:tcPr>
          <w:p w14:paraId="09110DC0"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101-500 births</w:t>
            </w:r>
          </w:p>
        </w:tc>
        <w:tc>
          <w:tcPr>
            <w:tcW w:w="809" w:type="dxa"/>
            <w:shd w:val="clear" w:color="auto" w:fill="auto"/>
            <w:noWrap/>
            <w:hideMark/>
          </w:tcPr>
          <w:p w14:paraId="6E493E7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12.0</w:t>
            </w:r>
          </w:p>
        </w:tc>
        <w:tc>
          <w:tcPr>
            <w:tcW w:w="809" w:type="dxa"/>
            <w:shd w:val="clear" w:color="auto" w:fill="auto"/>
            <w:noWrap/>
            <w:hideMark/>
          </w:tcPr>
          <w:p w14:paraId="0AED37A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10.9</w:t>
            </w:r>
          </w:p>
        </w:tc>
        <w:tc>
          <w:tcPr>
            <w:tcW w:w="809" w:type="dxa"/>
            <w:shd w:val="clear" w:color="auto" w:fill="auto"/>
            <w:noWrap/>
            <w:hideMark/>
          </w:tcPr>
          <w:p w14:paraId="497D3AAA"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11.9</w:t>
            </w:r>
          </w:p>
        </w:tc>
        <w:tc>
          <w:tcPr>
            <w:tcW w:w="809" w:type="dxa"/>
            <w:shd w:val="clear" w:color="auto" w:fill="auto"/>
            <w:noWrap/>
            <w:hideMark/>
          </w:tcPr>
          <w:p w14:paraId="644077A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13.4</w:t>
            </w:r>
          </w:p>
        </w:tc>
        <w:tc>
          <w:tcPr>
            <w:tcW w:w="809" w:type="dxa"/>
            <w:shd w:val="clear" w:color="auto" w:fill="auto"/>
            <w:noWrap/>
            <w:hideMark/>
          </w:tcPr>
          <w:p w14:paraId="183B311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11.9</w:t>
            </w:r>
          </w:p>
        </w:tc>
        <w:tc>
          <w:tcPr>
            <w:tcW w:w="809" w:type="dxa"/>
            <w:shd w:val="clear" w:color="auto" w:fill="auto"/>
            <w:noWrap/>
            <w:hideMark/>
          </w:tcPr>
          <w:p w14:paraId="31D6F6A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12.2</w:t>
            </w:r>
          </w:p>
        </w:tc>
        <w:tc>
          <w:tcPr>
            <w:tcW w:w="809" w:type="dxa"/>
            <w:shd w:val="clear" w:color="auto" w:fill="auto"/>
            <w:noWrap/>
            <w:hideMark/>
          </w:tcPr>
          <w:p w14:paraId="1EC1407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11.4</w:t>
            </w:r>
          </w:p>
        </w:tc>
        <w:tc>
          <w:tcPr>
            <w:tcW w:w="809" w:type="dxa"/>
            <w:shd w:val="clear" w:color="auto" w:fill="auto"/>
            <w:noWrap/>
            <w:hideMark/>
          </w:tcPr>
          <w:p w14:paraId="76D28F88"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10.6</w:t>
            </w:r>
          </w:p>
        </w:tc>
        <w:tc>
          <w:tcPr>
            <w:tcW w:w="810" w:type="dxa"/>
            <w:shd w:val="clear" w:color="auto" w:fill="auto"/>
            <w:noWrap/>
            <w:hideMark/>
          </w:tcPr>
          <w:p w14:paraId="06D95C1B"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12.6</w:t>
            </w:r>
          </w:p>
        </w:tc>
      </w:tr>
      <w:tr w:rsidR="006B7997" w:rsidRPr="005E1E68" w14:paraId="47501007" w14:textId="77777777" w:rsidTr="00B94D3E">
        <w:trPr>
          <w:trHeight w:val="236"/>
        </w:trPr>
        <w:tc>
          <w:tcPr>
            <w:tcW w:w="2352" w:type="dxa"/>
            <w:shd w:val="clear" w:color="auto" w:fill="auto"/>
            <w:noWrap/>
            <w:hideMark/>
          </w:tcPr>
          <w:p w14:paraId="69D7644B"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501-1,000 births</w:t>
            </w:r>
          </w:p>
        </w:tc>
        <w:tc>
          <w:tcPr>
            <w:tcW w:w="809" w:type="dxa"/>
            <w:shd w:val="clear" w:color="auto" w:fill="auto"/>
            <w:noWrap/>
            <w:hideMark/>
          </w:tcPr>
          <w:p w14:paraId="072F80D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12.0</w:t>
            </w:r>
          </w:p>
        </w:tc>
        <w:tc>
          <w:tcPr>
            <w:tcW w:w="809" w:type="dxa"/>
            <w:shd w:val="clear" w:color="auto" w:fill="auto"/>
            <w:noWrap/>
            <w:hideMark/>
          </w:tcPr>
          <w:p w14:paraId="446D972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12.3</w:t>
            </w:r>
          </w:p>
        </w:tc>
        <w:tc>
          <w:tcPr>
            <w:tcW w:w="809" w:type="dxa"/>
            <w:shd w:val="clear" w:color="auto" w:fill="auto"/>
            <w:noWrap/>
            <w:hideMark/>
          </w:tcPr>
          <w:p w14:paraId="3B4CD37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11.0</w:t>
            </w:r>
          </w:p>
        </w:tc>
        <w:tc>
          <w:tcPr>
            <w:tcW w:w="809" w:type="dxa"/>
            <w:shd w:val="clear" w:color="auto" w:fill="auto"/>
            <w:noWrap/>
            <w:hideMark/>
          </w:tcPr>
          <w:p w14:paraId="0D585DD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10.6</w:t>
            </w:r>
          </w:p>
        </w:tc>
        <w:tc>
          <w:tcPr>
            <w:tcW w:w="809" w:type="dxa"/>
            <w:shd w:val="clear" w:color="auto" w:fill="auto"/>
            <w:noWrap/>
            <w:hideMark/>
          </w:tcPr>
          <w:p w14:paraId="12148EA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11.0</w:t>
            </w:r>
          </w:p>
        </w:tc>
        <w:tc>
          <w:tcPr>
            <w:tcW w:w="809" w:type="dxa"/>
            <w:shd w:val="clear" w:color="auto" w:fill="auto"/>
            <w:noWrap/>
            <w:hideMark/>
          </w:tcPr>
          <w:p w14:paraId="39B20B3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11.4</w:t>
            </w:r>
          </w:p>
        </w:tc>
        <w:tc>
          <w:tcPr>
            <w:tcW w:w="809" w:type="dxa"/>
            <w:shd w:val="clear" w:color="auto" w:fill="auto"/>
            <w:noWrap/>
            <w:hideMark/>
          </w:tcPr>
          <w:p w14:paraId="7E660A2F"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9.8</w:t>
            </w:r>
          </w:p>
        </w:tc>
        <w:tc>
          <w:tcPr>
            <w:tcW w:w="809" w:type="dxa"/>
            <w:shd w:val="clear" w:color="auto" w:fill="auto"/>
            <w:noWrap/>
            <w:hideMark/>
          </w:tcPr>
          <w:p w14:paraId="2BA1A3E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10.4</w:t>
            </w:r>
          </w:p>
        </w:tc>
        <w:tc>
          <w:tcPr>
            <w:tcW w:w="810" w:type="dxa"/>
            <w:shd w:val="clear" w:color="auto" w:fill="auto"/>
            <w:noWrap/>
            <w:hideMark/>
          </w:tcPr>
          <w:p w14:paraId="7319FEC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8.0</w:t>
            </w:r>
          </w:p>
        </w:tc>
      </w:tr>
      <w:tr w:rsidR="006B7997" w:rsidRPr="005E1E68" w14:paraId="313F67DE" w14:textId="77777777" w:rsidTr="00B94D3E">
        <w:trPr>
          <w:trHeight w:val="236"/>
        </w:trPr>
        <w:tc>
          <w:tcPr>
            <w:tcW w:w="2352" w:type="dxa"/>
            <w:shd w:val="clear" w:color="auto" w:fill="auto"/>
            <w:noWrap/>
            <w:hideMark/>
          </w:tcPr>
          <w:p w14:paraId="6583C092"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1,001-2,000 births</w:t>
            </w:r>
          </w:p>
        </w:tc>
        <w:tc>
          <w:tcPr>
            <w:tcW w:w="809" w:type="dxa"/>
            <w:shd w:val="clear" w:color="auto" w:fill="auto"/>
            <w:noWrap/>
            <w:hideMark/>
          </w:tcPr>
          <w:p w14:paraId="0A7F8DB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12.2</w:t>
            </w:r>
          </w:p>
        </w:tc>
        <w:tc>
          <w:tcPr>
            <w:tcW w:w="809" w:type="dxa"/>
            <w:shd w:val="clear" w:color="auto" w:fill="auto"/>
            <w:noWrap/>
            <w:hideMark/>
          </w:tcPr>
          <w:p w14:paraId="5A6B5AF3"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11.8</w:t>
            </w:r>
          </w:p>
        </w:tc>
        <w:tc>
          <w:tcPr>
            <w:tcW w:w="809" w:type="dxa"/>
            <w:shd w:val="clear" w:color="auto" w:fill="auto"/>
            <w:noWrap/>
            <w:hideMark/>
          </w:tcPr>
          <w:p w14:paraId="638CF71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11.8</w:t>
            </w:r>
          </w:p>
        </w:tc>
        <w:tc>
          <w:tcPr>
            <w:tcW w:w="809" w:type="dxa"/>
            <w:shd w:val="clear" w:color="auto" w:fill="auto"/>
            <w:noWrap/>
            <w:hideMark/>
          </w:tcPr>
          <w:p w14:paraId="31F00CE4"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11.8</w:t>
            </w:r>
          </w:p>
        </w:tc>
        <w:tc>
          <w:tcPr>
            <w:tcW w:w="809" w:type="dxa"/>
            <w:shd w:val="clear" w:color="auto" w:fill="auto"/>
            <w:noWrap/>
            <w:hideMark/>
          </w:tcPr>
          <w:p w14:paraId="612B510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12.1</w:t>
            </w:r>
          </w:p>
        </w:tc>
        <w:tc>
          <w:tcPr>
            <w:tcW w:w="809" w:type="dxa"/>
            <w:shd w:val="clear" w:color="auto" w:fill="auto"/>
            <w:noWrap/>
            <w:hideMark/>
          </w:tcPr>
          <w:p w14:paraId="55CF8CD2"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12.1</w:t>
            </w:r>
          </w:p>
        </w:tc>
        <w:tc>
          <w:tcPr>
            <w:tcW w:w="809" w:type="dxa"/>
            <w:shd w:val="clear" w:color="auto" w:fill="auto"/>
            <w:noWrap/>
            <w:hideMark/>
          </w:tcPr>
          <w:p w14:paraId="165A3EF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11.1</w:t>
            </w:r>
          </w:p>
        </w:tc>
        <w:tc>
          <w:tcPr>
            <w:tcW w:w="809" w:type="dxa"/>
            <w:shd w:val="clear" w:color="auto" w:fill="auto"/>
            <w:noWrap/>
            <w:hideMark/>
          </w:tcPr>
          <w:p w14:paraId="1F2F3C9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11.3</w:t>
            </w:r>
          </w:p>
        </w:tc>
        <w:tc>
          <w:tcPr>
            <w:tcW w:w="810" w:type="dxa"/>
            <w:shd w:val="clear" w:color="auto" w:fill="auto"/>
            <w:noWrap/>
            <w:hideMark/>
          </w:tcPr>
          <w:p w14:paraId="7233332E"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11.4</w:t>
            </w:r>
          </w:p>
        </w:tc>
      </w:tr>
      <w:tr w:rsidR="006B7997" w:rsidRPr="005E1E68" w14:paraId="27403C3A" w14:textId="77777777" w:rsidTr="00B94D3E">
        <w:trPr>
          <w:trHeight w:val="236"/>
        </w:trPr>
        <w:tc>
          <w:tcPr>
            <w:tcW w:w="2352" w:type="dxa"/>
            <w:shd w:val="clear" w:color="auto" w:fill="auto"/>
            <w:noWrap/>
            <w:hideMark/>
          </w:tcPr>
          <w:p w14:paraId="688088BC" w14:textId="77777777" w:rsidR="006B7997" w:rsidRPr="005E1E68" w:rsidRDefault="006B7997" w:rsidP="0006071B">
            <w:pPr>
              <w:ind w:firstLineChars="100" w:firstLine="200"/>
              <w:rPr>
                <w:rFonts w:cstheme="minorHAnsi"/>
                <w:color w:val="000000"/>
                <w:sz w:val="20"/>
                <w:szCs w:val="20"/>
              </w:rPr>
            </w:pPr>
            <w:r w:rsidRPr="005E1E68">
              <w:rPr>
                <w:rFonts w:cstheme="minorHAnsi"/>
                <w:color w:val="000000"/>
                <w:sz w:val="20"/>
                <w:szCs w:val="20"/>
              </w:rPr>
              <w:t>2,001 births and over</w:t>
            </w:r>
          </w:p>
        </w:tc>
        <w:tc>
          <w:tcPr>
            <w:tcW w:w="809" w:type="dxa"/>
            <w:shd w:val="clear" w:color="auto" w:fill="auto"/>
            <w:noWrap/>
            <w:hideMark/>
          </w:tcPr>
          <w:p w14:paraId="260A9361"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14.2</w:t>
            </w:r>
          </w:p>
        </w:tc>
        <w:tc>
          <w:tcPr>
            <w:tcW w:w="809" w:type="dxa"/>
            <w:shd w:val="clear" w:color="auto" w:fill="auto"/>
            <w:noWrap/>
            <w:hideMark/>
          </w:tcPr>
          <w:p w14:paraId="7EC4A61C"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14.1</w:t>
            </w:r>
          </w:p>
        </w:tc>
        <w:tc>
          <w:tcPr>
            <w:tcW w:w="809" w:type="dxa"/>
            <w:shd w:val="clear" w:color="auto" w:fill="auto"/>
            <w:noWrap/>
            <w:hideMark/>
          </w:tcPr>
          <w:p w14:paraId="59257103"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15.5</w:t>
            </w:r>
          </w:p>
        </w:tc>
        <w:tc>
          <w:tcPr>
            <w:tcW w:w="809" w:type="dxa"/>
            <w:shd w:val="clear" w:color="auto" w:fill="auto"/>
            <w:noWrap/>
            <w:hideMark/>
          </w:tcPr>
          <w:p w14:paraId="0C6D6F36"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14.1</w:t>
            </w:r>
          </w:p>
        </w:tc>
        <w:tc>
          <w:tcPr>
            <w:tcW w:w="809" w:type="dxa"/>
            <w:shd w:val="clear" w:color="auto" w:fill="auto"/>
            <w:noWrap/>
            <w:hideMark/>
          </w:tcPr>
          <w:p w14:paraId="5D502C67"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14.4</w:t>
            </w:r>
          </w:p>
        </w:tc>
        <w:tc>
          <w:tcPr>
            <w:tcW w:w="809" w:type="dxa"/>
            <w:shd w:val="clear" w:color="auto" w:fill="auto"/>
            <w:noWrap/>
            <w:hideMark/>
          </w:tcPr>
          <w:p w14:paraId="67C457B0"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13.8</w:t>
            </w:r>
          </w:p>
        </w:tc>
        <w:tc>
          <w:tcPr>
            <w:tcW w:w="809" w:type="dxa"/>
            <w:shd w:val="clear" w:color="auto" w:fill="auto"/>
            <w:noWrap/>
            <w:hideMark/>
          </w:tcPr>
          <w:p w14:paraId="7264E6D5"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13.0</w:t>
            </w:r>
          </w:p>
        </w:tc>
        <w:tc>
          <w:tcPr>
            <w:tcW w:w="809" w:type="dxa"/>
            <w:shd w:val="clear" w:color="auto" w:fill="auto"/>
            <w:noWrap/>
            <w:hideMark/>
          </w:tcPr>
          <w:p w14:paraId="23F868CD"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12.8</w:t>
            </w:r>
          </w:p>
        </w:tc>
        <w:tc>
          <w:tcPr>
            <w:tcW w:w="810" w:type="dxa"/>
            <w:shd w:val="clear" w:color="auto" w:fill="auto"/>
            <w:noWrap/>
            <w:hideMark/>
          </w:tcPr>
          <w:p w14:paraId="0BD937D9" w14:textId="77777777" w:rsidR="006B7997" w:rsidRPr="005E1E68" w:rsidRDefault="006B7997" w:rsidP="0006071B">
            <w:pPr>
              <w:jc w:val="right"/>
              <w:rPr>
                <w:rFonts w:cstheme="minorHAnsi"/>
                <w:color w:val="000000"/>
                <w:sz w:val="20"/>
                <w:szCs w:val="20"/>
              </w:rPr>
            </w:pPr>
            <w:r w:rsidRPr="005E1E68">
              <w:rPr>
                <w:rFonts w:cstheme="minorHAnsi"/>
                <w:color w:val="000000"/>
                <w:sz w:val="20"/>
                <w:szCs w:val="20"/>
              </w:rPr>
              <w:t>13.2</w:t>
            </w:r>
          </w:p>
        </w:tc>
      </w:tr>
    </w:tbl>
    <w:p w14:paraId="72B28753" w14:textId="2708AB94" w:rsidR="00456A68" w:rsidRPr="007667EF" w:rsidRDefault="00456A68" w:rsidP="00456A68">
      <w:pPr>
        <w:ind w:left="284" w:hanging="284"/>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887119">
        <w:rPr>
          <w:sz w:val="18"/>
          <w:szCs w:val="18"/>
        </w:rPr>
        <w:t>.</w:t>
      </w:r>
    </w:p>
    <w:p w14:paraId="4E439295" w14:textId="77777777" w:rsidR="00B94D3E" w:rsidRDefault="00B94D3E" w:rsidP="006B7997">
      <w:pPr>
        <w:ind w:left="284" w:hanging="284"/>
        <w:rPr>
          <w:b/>
          <w:sz w:val="18"/>
          <w:szCs w:val="18"/>
        </w:rPr>
      </w:pPr>
    </w:p>
    <w:p w14:paraId="22CA61E4" w14:textId="59D7FE4C" w:rsidR="006B7997" w:rsidRPr="00B94D3E" w:rsidRDefault="006B7997" w:rsidP="006B7997">
      <w:pPr>
        <w:ind w:left="284" w:hanging="284"/>
        <w:rPr>
          <w:b/>
          <w:sz w:val="18"/>
          <w:szCs w:val="18"/>
        </w:rPr>
      </w:pPr>
      <w:r w:rsidRPr="00B94D3E">
        <w:rPr>
          <w:b/>
          <w:sz w:val="18"/>
          <w:szCs w:val="18"/>
        </w:rPr>
        <w:t>Data Notes:</w:t>
      </w:r>
    </w:p>
    <w:p w14:paraId="491A3C46" w14:textId="52764C0F" w:rsidR="006B7997" w:rsidRPr="00B94D3E" w:rsidRDefault="006B7997" w:rsidP="008D3FB5">
      <w:pPr>
        <w:pStyle w:val="pf0"/>
        <w:numPr>
          <w:ilvl w:val="0"/>
          <w:numId w:val="20"/>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Data for WA in 2013 is not published as complete data due to only half a year being reported.</w:t>
      </w:r>
    </w:p>
    <w:p w14:paraId="0E87181C" w14:textId="3CD28CA6" w:rsidR="006B7997" w:rsidRPr="00B94D3E" w:rsidRDefault="006B7997" w:rsidP="008D3FB5">
      <w:pPr>
        <w:pStyle w:val="pf0"/>
        <w:numPr>
          <w:ilvl w:val="0"/>
          <w:numId w:val="20"/>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From 2014, Caesarean section at most recent previous birth indicator data item was introduced into the Perinatal NMDS. Although not an NMDS/DSS item prior to 2014, data items appear to match the data element developed by NPDDC, Caesarean section indicator (last previous birth)’.</w:t>
      </w:r>
      <w:r w:rsidR="00FB0C38">
        <w:rPr>
          <w:rFonts w:asciiTheme="minorHAnsi" w:hAnsiTheme="minorHAnsi"/>
          <w:sz w:val="18"/>
          <w:szCs w:val="18"/>
        </w:rPr>
        <w:t xml:space="preserve"> </w:t>
      </w:r>
    </w:p>
    <w:p w14:paraId="6FB49301" w14:textId="561048FC" w:rsidR="006B7997" w:rsidRPr="00B94D3E" w:rsidRDefault="006B7997" w:rsidP="008D3FB5">
      <w:pPr>
        <w:pStyle w:val="pf0"/>
        <w:numPr>
          <w:ilvl w:val="0"/>
          <w:numId w:val="20"/>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Only women whose second birth was a singleton birth are included.</w:t>
      </w:r>
    </w:p>
    <w:p w14:paraId="7D788D56" w14:textId="1A4310BB" w:rsidR="006B7997" w:rsidRPr="00B94D3E" w:rsidRDefault="006B7997" w:rsidP="008D3FB5">
      <w:pPr>
        <w:pStyle w:val="pf0"/>
        <w:numPr>
          <w:ilvl w:val="0"/>
          <w:numId w:val="20"/>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Percentages for mother's Indigenous status are age-standardised.</w:t>
      </w:r>
    </w:p>
    <w:p w14:paraId="090FCD14" w14:textId="13D5EE6A" w:rsidR="00177CF9" w:rsidRPr="00B94D3E" w:rsidRDefault="00177CF9" w:rsidP="008D3FB5">
      <w:pPr>
        <w:pStyle w:val="pf0"/>
        <w:numPr>
          <w:ilvl w:val="0"/>
          <w:numId w:val="20"/>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56D3E10D" w14:textId="77777777" w:rsidR="006B7997" w:rsidRDefault="006B7997" w:rsidP="00B94D3E">
      <w:r>
        <w:br w:type="page"/>
      </w:r>
    </w:p>
    <w:p w14:paraId="3D840C6C" w14:textId="25BBB6DA" w:rsidR="00AF0ADF" w:rsidRPr="0054118D" w:rsidRDefault="00AF0ADF" w:rsidP="00AF0ADF">
      <w:pPr>
        <w:pStyle w:val="Caption"/>
        <w:rPr>
          <w:sz w:val="20"/>
          <w:szCs w:val="20"/>
        </w:rPr>
      </w:pPr>
      <w:bookmarkStart w:id="444" w:name="_Ref117928596"/>
      <w:bookmarkStart w:id="445" w:name="_Toc121429202"/>
      <w:r w:rsidRPr="0054118D">
        <w:rPr>
          <w:sz w:val="20"/>
          <w:szCs w:val="20"/>
        </w:rPr>
        <w:lastRenderedPageBreak/>
        <w:t xml:space="preserve">Table </w:t>
      </w:r>
      <w:r w:rsidR="00A64FC5" w:rsidRPr="0054118D">
        <w:rPr>
          <w:sz w:val="20"/>
          <w:szCs w:val="20"/>
        </w:rPr>
        <w:fldChar w:fldCharType="begin"/>
      </w:r>
      <w:r w:rsidR="00A64FC5" w:rsidRPr="0054118D">
        <w:rPr>
          <w:sz w:val="20"/>
          <w:szCs w:val="20"/>
        </w:rPr>
        <w:instrText xml:space="preserve"> SEQ Table \* ARABIC </w:instrText>
      </w:r>
      <w:r w:rsidR="00A64FC5" w:rsidRPr="0054118D">
        <w:rPr>
          <w:sz w:val="20"/>
          <w:szCs w:val="20"/>
        </w:rPr>
        <w:fldChar w:fldCharType="separate"/>
      </w:r>
      <w:r w:rsidR="00296988">
        <w:rPr>
          <w:noProof/>
          <w:sz w:val="20"/>
          <w:szCs w:val="20"/>
        </w:rPr>
        <w:t>26</w:t>
      </w:r>
      <w:r w:rsidR="00A64FC5" w:rsidRPr="0054118D">
        <w:rPr>
          <w:noProof/>
          <w:sz w:val="20"/>
          <w:szCs w:val="20"/>
        </w:rPr>
        <w:fldChar w:fldCharType="end"/>
      </w:r>
      <w:bookmarkEnd w:id="443"/>
      <w:bookmarkEnd w:id="444"/>
      <w:r w:rsidRPr="0054118D">
        <w:rPr>
          <w:sz w:val="20"/>
          <w:szCs w:val="20"/>
        </w:rPr>
        <w:tab/>
        <w:t>Episiotomy</w:t>
      </w:r>
      <w:r w:rsidR="008E401A">
        <w:rPr>
          <w:sz w:val="20"/>
          <w:szCs w:val="20"/>
        </w:rPr>
        <w:t>,</w:t>
      </w:r>
      <w:r w:rsidRPr="0054118D">
        <w:rPr>
          <w:sz w:val="20"/>
          <w:szCs w:val="20"/>
        </w:rPr>
        <w:t xml:space="preserve"> first baby</w:t>
      </w:r>
      <w:r w:rsidR="009D1604">
        <w:rPr>
          <w:sz w:val="20"/>
          <w:szCs w:val="20"/>
        </w:rPr>
        <w:t>,</w:t>
      </w:r>
      <w:r w:rsidRPr="0054118D">
        <w:rPr>
          <w:sz w:val="20"/>
          <w:szCs w:val="20"/>
        </w:rPr>
        <w:t xml:space="preserve"> </w:t>
      </w:r>
      <w:r w:rsidR="001C2C26">
        <w:rPr>
          <w:sz w:val="20"/>
          <w:szCs w:val="20"/>
        </w:rPr>
        <w:t>vaginal non-instrumental births</w:t>
      </w:r>
      <w:r w:rsidRPr="0054118D">
        <w:rPr>
          <w:sz w:val="20"/>
          <w:szCs w:val="20"/>
        </w:rPr>
        <w:t xml:space="preserve"> (PI03a), 2011–2019</w:t>
      </w:r>
      <w:bookmarkEnd w:id="4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791"/>
        <w:gridCol w:w="791"/>
        <w:gridCol w:w="790"/>
        <w:gridCol w:w="790"/>
        <w:gridCol w:w="790"/>
        <w:gridCol w:w="790"/>
        <w:gridCol w:w="790"/>
        <w:gridCol w:w="790"/>
        <w:gridCol w:w="786"/>
      </w:tblGrid>
      <w:tr w:rsidR="00AF0ADF" w:rsidRPr="006479DA" w14:paraId="58650C8D" w14:textId="77777777" w:rsidTr="00B94D3E">
        <w:trPr>
          <w:trHeight w:val="232"/>
        </w:trPr>
        <w:tc>
          <w:tcPr>
            <w:tcW w:w="1393" w:type="pct"/>
            <w:shd w:val="clear" w:color="auto" w:fill="auto"/>
            <w:noWrap/>
            <w:hideMark/>
          </w:tcPr>
          <w:p w14:paraId="0DDD6347" w14:textId="10C4B708" w:rsidR="00AF0ADF" w:rsidRPr="006479DA" w:rsidRDefault="00AF0ADF" w:rsidP="00AF0ADF">
            <w:pPr>
              <w:rPr>
                <w:rFonts w:cstheme="minorHAnsi"/>
                <w:b/>
                <w:bCs/>
                <w:color w:val="000000"/>
                <w:sz w:val="20"/>
                <w:szCs w:val="20"/>
              </w:rPr>
            </w:pPr>
          </w:p>
        </w:tc>
        <w:tc>
          <w:tcPr>
            <w:tcW w:w="401" w:type="pct"/>
            <w:shd w:val="clear" w:color="auto" w:fill="auto"/>
            <w:noWrap/>
            <w:vAlign w:val="center"/>
            <w:hideMark/>
          </w:tcPr>
          <w:p w14:paraId="01365EAF"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2011</w:t>
            </w:r>
          </w:p>
        </w:tc>
        <w:tc>
          <w:tcPr>
            <w:tcW w:w="401" w:type="pct"/>
            <w:shd w:val="clear" w:color="auto" w:fill="auto"/>
            <w:noWrap/>
            <w:vAlign w:val="center"/>
            <w:hideMark/>
          </w:tcPr>
          <w:p w14:paraId="1DDB026B"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2012</w:t>
            </w:r>
          </w:p>
        </w:tc>
        <w:tc>
          <w:tcPr>
            <w:tcW w:w="401" w:type="pct"/>
            <w:shd w:val="clear" w:color="auto" w:fill="auto"/>
            <w:noWrap/>
            <w:vAlign w:val="center"/>
            <w:hideMark/>
          </w:tcPr>
          <w:p w14:paraId="75F8881A"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2013</w:t>
            </w:r>
          </w:p>
        </w:tc>
        <w:tc>
          <w:tcPr>
            <w:tcW w:w="401" w:type="pct"/>
            <w:shd w:val="clear" w:color="auto" w:fill="auto"/>
            <w:noWrap/>
            <w:vAlign w:val="center"/>
            <w:hideMark/>
          </w:tcPr>
          <w:p w14:paraId="5A8A52DB"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2014</w:t>
            </w:r>
          </w:p>
        </w:tc>
        <w:tc>
          <w:tcPr>
            <w:tcW w:w="401" w:type="pct"/>
            <w:shd w:val="clear" w:color="auto" w:fill="auto"/>
            <w:noWrap/>
            <w:vAlign w:val="center"/>
            <w:hideMark/>
          </w:tcPr>
          <w:p w14:paraId="0799721B"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2015</w:t>
            </w:r>
          </w:p>
        </w:tc>
        <w:tc>
          <w:tcPr>
            <w:tcW w:w="401" w:type="pct"/>
            <w:shd w:val="clear" w:color="auto" w:fill="auto"/>
            <w:noWrap/>
            <w:vAlign w:val="center"/>
            <w:hideMark/>
          </w:tcPr>
          <w:p w14:paraId="24BB216B"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2016</w:t>
            </w:r>
          </w:p>
        </w:tc>
        <w:tc>
          <w:tcPr>
            <w:tcW w:w="401" w:type="pct"/>
            <w:shd w:val="clear" w:color="auto" w:fill="auto"/>
            <w:noWrap/>
            <w:vAlign w:val="center"/>
            <w:hideMark/>
          </w:tcPr>
          <w:p w14:paraId="39FDD4C5"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2017</w:t>
            </w:r>
          </w:p>
        </w:tc>
        <w:tc>
          <w:tcPr>
            <w:tcW w:w="401" w:type="pct"/>
            <w:shd w:val="clear" w:color="auto" w:fill="auto"/>
            <w:noWrap/>
            <w:vAlign w:val="center"/>
            <w:hideMark/>
          </w:tcPr>
          <w:p w14:paraId="59D86DAB"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2018</w:t>
            </w:r>
          </w:p>
        </w:tc>
        <w:tc>
          <w:tcPr>
            <w:tcW w:w="400" w:type="pct"/>
            <w:shd w:val="clear" w:color="auto" w:fill="auto"/>
            <w:noWrap/>
            <w:vAlign w:val="center"/>
            <w:hideMark/>
          </w:tcPr>
          <w:p w14:paraId="5EF42CBC" w14:textId="77777777" w:rsidR="00AF0ADF" w:rsidRPr="006479DA" w:rsidRDefault="00AF0ADF" w:rsidP="00B94D3E">
            <w:pPr>
              <w:jc w:val="center"/>
              <w:rPr>
                <w:rFonts w:cstheme="minorHAnsi"/>
                <w:b/>
                <w:bCs/>
                <w:color w:val="000000"/>
                <w:sz w:val="20"/>
                <w:szCs w:val="20"/>
              </w:rPr>
            </w:pPr>
            <w:r w:rsidRPr="006479DA">
              <w:rPr>
                <w:rFonts w:cstheme="minorHAnsi"/>
                <w:b/>
                <w:bCs/>
                <w:color w:val="000000"/>
                <w:sz w:val="20"/>
                <w:szCs w:val="20"/>
              </w:rPr>
              <w:t>2019</w:t>
            </w:r>
          </w:p>
        </w:tc>
      </w:tr>
      <w:tr w:rsidR="00AF0ADF" w:rsidRPr="006479DA" w14:paraId="2B1A2A78" w14:textId="77777777" w:rsidTr="00751711">
        <w:trPr>
          <w:trHeight w:val="232"/>
        </w:trPr>
        <w:tc>
          <w:tcPr>
            <w:tcW w:w="1393" w:type="pct"/>
            <w:shd w:val="clear" w:color="auto" w:fill="auto"/>
            <w:noWrap/>
          </w:tcPr>
          <w:p w14:paraId="379F5869" w14:textId="77777777" w:rsidR="00AF0ADF" w:rsidRPr="006479DA" w:rsidRDefault="00AF0ADF" w:rsidP="00AF0ADF">
            <w:pPr>
              <w:rPr>
                <w:rFonts w:cstheme="minorHAnsi"/>
                <w:b/>
                <w:bCs/>
                <w:color w:val="000000"/>
                <w:sz w:val="20"/>
                <w:szCs w:val="20"/>
              </w:rPr>
            </w:pPr>
          </w:p>
        </w:tc>
        <w:tc>
          <w:tcPr>
            <w:tcW w:w="3607" w:type="pct"/>
            <w:gridSpan w:val="9"/>
            <w:shd w:val="clear" w:color="auto" w:fill="auto"/>
            <w:noWrap/>
          </w:tcPr>
          <w:p w14:paraId="770F9027" w14:textId="77777777" w:rsidR="00AF0ADF" w:rsidRPr="006479DA" w:rsidRDefault="00AF0ADF" w:rsidP="00AF0ADF">
            <w:pPr>
              <w:jc w:val="center"/>
              <w:rPr>
                <w:rFonts w:cstheme="minorHAnsi"/>
                <w:b/>
                <w:bCs/>
                <w:color w:val="000000"/>
                <w:sz w:val="20"/>
                <w:szCs w:val="20"/>
              </w:rPr>
            </w:pPr>
            <w:r w:rsidRPr="006479DA">
              <w:rPr>
                <w:rFonts w:cstheme="minorHAnsi"/>
                <w:b/>
                <w:bCs/>
                <w:sz w:val="20"/>
                <w:szCs w:val="20"/>
              </w:rPr>
              <w:t>In per cent (%)</w:t>
            </w:r>
          </w:p>
        </w:tc>
      </w:tr>
      <w:tr w:rsidR="00AF0ADF" w:rsidRPr="006479DA" w14:paraId="06C3D747" w14:textId="77777777" w:rsidTr="00AF0ADF">
        <w:trPr>
          <w:trHeight w:val="232"/>
        </w:trPr>
        <w:tc>
          <w:tcPr>
            <w:tcW w:w="5000" w:type="pct"/>
            <w:gridSpan w:val="10"/>
            <w:shd w:val="clear" w:color="auto" w:fill="auto"/>
            <w:noWrap/>
            <w:hideMark/>
          </w:tcPr>
          <w:p w14:paraId="25DC12A4" w14:textId="77777777" w:rsidR="00AF0ADF" w:rsidRPr="006479DA" w:rsidRDefault="00AF0ADF" w:rsidP="00AF0ADF">
            <w:pPr>
              <w:rPr>
                <w:rFonts w:cstheme="minorHAnsi"/>
                <w:sz w:val="20"/>
                <w:szCs w:val="20"/>
              </w:rPr>
            </w:pPr>
            <w:r w:rsidRPr="006479DA">
              <w:rPr>
                <w:rFonts w:cstheme="minorHAnsi"/>
                <w:b/>
                <w:bCs/>
                <w:color w:val="000000"/>
                <w:sz w:val="20"/>
                <w:szCs w:val="20"/>
              </w:rPr>
              <w:t>Australia</w:t>
            </w:r>
          </w:p>
        </w:tc>
      </w:tr>
      <w:tr w:rsidR="00AF0ADF" w:rsidRPr="006479DA" w14:paraId="46F6D204" w14:textId="77777777" w:rsidTr="00751711">
        <w:trPr>
          <w:trHeight w:val="232"/>
        </w:trPr>
        <w:tc>
          <w:tcPr>
            <w:tcW w:w="1393" w:type="pct"/>
            <w:shd w:val="clear" w:color="auto" w:fill="auto"/>
            <w:noWrap/>
            <w:hideMark/>
          </w:tcPr>
          <w:p w14:paraId="22266D07"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Total</w:t>
            </w:r>
          </w:p>
        </w:tc>
        <w:tc>
          <w:tcPr>
            <w:tcW w:w="401" w:type="pct"/>
            <w:shd w:val="clear" w:color="auto" w:fill="auto"/>
            <w:noWrap/>
            <w:hideMark/>
          </w:tcPr>
          <w:p w14:paraId="37315BC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16.6</w:t>
            </w:r>
          </w:p>
        </w:tc>
        <w:tc>
          <w:tcPr>
            <w:tcW w:w="401" w:type="pct"/>
            <w:shd w:val="clear" w:color="auto" w:fill="auto"/>
            <w:noWrap/>
            <w:hideMark/>
          </w:tcPr>
          <w:p w14:paraId="7B9B41B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17.5</w:t>
            </w:r>
          </w:p>
        </w:tc>
        <w:tc>
          <w:tcPr>
            <w:tcW w:w="401" w:type="pct"/>
            <w:shd w:val="clear" w:color="auto" w:fill="auto"/>
            <w:noWrap/>
            <w:hideMark/>
          </w:tcPr>
          <w:p w14:paraId="0E3470C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18.4</w:t>
            </w:r>
          </w:p>
        </w:tc>
        <w:tc>
          <w:tcPr>
            <w:tcW w:w="401" w:type="pct"/>
            <w:shd w:val="clear" w:color="auto" w:fill="auto"/>
            <w:noWrap/>
            <w:hideMark/>
          </w:tcPr>
          <w:p w14:paraId="0CD6785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19.7</w:t>
            </w:r>
          </w:p>
        </w:tc>
        <w:tc>
          <w:tcPr>
            <w:tcW w:w="401" w:type="pct"/>
            <w:shd w:val="clear" w:color="auto" w:fill="auto"/>
            <w:noWrap/>
            <w:hideMark/>
          </w:tcPr>
          <w:p w14:paraId="1AD3DF2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19.7</w:t>
            </w:r>
          </w:p>
        </w:tc>
        <w:tc>
          <w:tcPr>
            <w:tcW w:w="401" w:type="pct"/>
            <w:shd w:val="clear" w:color="auto" w:fill="auto"/>
            <w:noWrap/>
            <w:hideMark/>
          </w:tcPr>
          <w:p w14:paraId="4D2589F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20.8</w:t>
            </w:r>
          </w:p>
        </w:tc>
        <w:tc>
          <w:tcPr>
            <w:tcW w:w="401" w:type="pct"/>
            <w:shd w:val="clear" w:color="auto" w:fill="auto"/>
            <w:noWrap/>
            <w:hideMark/>
          </w:tcPr>
          <w:p w14:paraId="342A2FD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22.0</w:t>
            </w:r>
          </w:p>
        </w:tc>
        <w:tc>
          <w:tcPr>
            <w:tcW w:w="401" w:type="pct"/>
            <w:shd w:val="clear" w:color="auto" w:fill="auto"/>
            <w:noWrap/>
            <w:hideMark/>
          </w:tcPr>
          <w:p w14:paraId="517AB2B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22.3</w:t>
            </w:r>
          </w:p>
        </w:tc>
        <w:tc>
          <w:tcPr>
            <w:tcW w:w="400" w:type="pct"/>
            <w:shd w:val="clear" w:color="auto" w:fill="auto"/>
            <w:noWrap/>
            <w:hideMark/>
          </w:tcPr>
          <w:p w14:paraId="6B26B4E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23.2</w:t>
            </w:r>
          </w:p>
        </w:tc>
      </w:tr>
      <w:tr w:rsidR="00AF0ADF" w:rsidRPr="006479DA" w14:paraId="0DE46C48" w14:textId="77777777" w:rsidTr="00AF0ADF">
        <w:trPr>
          <w:trHeight w:val="232"/>
        </w:trPr>
        <w:tc>
          <w:tcPr>
            <w:tcW w:w="5000" w:type="pct"/>
            <w:gridSpan w:val="10"/>
            <w:shd w:val="clear" w:color="auto" w:fill="auto"/>
            <w:noWrap/>
            <w:hideMark/>
          </w:tcPr>
          <w:p w14:paraId="05E3C40A" w14:textId="77777777" w:rsidR="00AF0ADF" w:rsidRPr="006479DA" w:rsidRDefault="00AF0ADF" w:rsidP="00AF0ADF">
            <w:pPr>
              <w:rPr>
                <w:rFonts w:cstheme="minorHAnsi"/>
                <w:sz w:val="20"/>
                <w:szCs w:val="20"/>
              </w:rPr>
            </w:pPr>
            <w:r w:rsidRPr="006479DA">
              <w:rPr>
                <w:rFonts w:cstheme="minorHAnsi"/>
                <w:b/>
                <w:bCs/>
                <w:color w:val="000000"/>
                <w:sz w:val="20"/>
                <w:szCs w:val="20"/>
              </w:rPr>
              <w:t>Mother's age at birth</w:t>
            </w:r>
          </w:p>
        </w:tc>
      </w:tr>
      <w:tr w:rsidR="00AF0ADF" w:rsidRPr="006479DA" w14:paraId="0FE3394B" w14:textId="77777777" w:rsidTr="00751711">
        <w:trPr>
          <w:trHeight w:val="232"/>
        </w:trPr>
        <w:tc>
          <w:tcPr>
            <w:tcW w:w="1393" w:type="pct"/>
            <w:shd w:val="clear" w:color="auto" w:fill="auto"/>
            <w:noWrap/>
            <w:hideMark/>
          </w:tcPr>
          <w:p w14:paraId="0F1AC5EC"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Younger than 20</w:t>
            </w:r>
          </w:p>
        </w:tc>
        <w:tc>
          <w:tcPr>
            <w:tcW w:w="401" w:type="pct"/>
            <w:shd w:val="clear" w:color="auto" w:fill="auto"/>
            <w:noWrap/>
            <w:hideMark/>
          </w:tcPr>
          <w:p w14:paraId="1127B85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10.1</w:t>
            </w:r>
          </w:p>
        </w:tc>
        <w:tc>
          <w:tcPr>
            <w:tcW w:w="401" w:type="pct"/>
            <w:shd w:val="clear" w:color="auto" w:fill="auto"/>
            <w:noWrap/>
            <w:hideMark/>
          </w:tcPr>
          <w:p w14:paraId="3BD6BD2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10.2</w:t>
            </w:r>
          </w:p>
        </w:tc>
        <w:tc>
          <w:tcPr>
            <w:tcW w:w="401" w:type="pct"/>
            <w:shd w:val="clear" w:color="auto" w:fill="auto"/>
            <w:noWrap/>
            <w:hideMark/>
          </w:tcPr>
          <w:p w14:paraId="3822CD0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10.7</w:t>
            </w:r>
          </w:p>
        </w:tc>
        <w:tc>
          <w:tcPr>
            <w:tcW w:w="401" w:type="pct"/>
            <w:shd w:val="clear" w:color="auto" w:fill="auto"/>
            <w:noWrap/>
            <w:hideMark/>
          </w:tcPr>
          <w:p w14:paraId="2A20027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12.4</w:t>
            </w:r>
          </w:p>
        </w:tc>
        <w:tc>
          <w:tcPr>
            <w:tcW w:w="401" w:type="pct"/>
            <w:shd w:val="clear" w:color="auto" w:fill="auto"/>
            <w:noWrap/>
            <w:hideMark/>
          </w:tcPr>
          <w:p w14:paraId="290BA4A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13.2</w:t>
            </w:r>
          </w:p>
        </w:tc>
        <w:tc>
          <w:tcPr>
            <w:tcW w:w="401" w:type="pct"/>
            <w:shd w:val="clear" w:color="auto" w:fill="auto"/>
            <w:noWrap/>
            <w:hideMark/>
          </w:tcPr>
          <w:p w14:paraId="3EB7E26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14.7</w:t>
            </w:r>
          </w:p>
        </w:tc>
        <w:tc>
          <w:tcPr>
            <w:tcW w:w="401" w:type="pct"/>
            <w:shd w:val="clear" w:color="auto" w:fill="auto"/>
            <w:noWrap/>
            <w:hideMark/>
          </w:tcPr>
          <w:p w14:paraId="2F752D1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14.9</w:t>
            </w:r>
          </w:p>
        </w:tc>
        <w:tc>
          <w:tcPr>
            <w:tcW w:w="401" w:type="pct"/>
            <w:shd w:val="clear" w:color="auto" w:fill="auto"/>
            <w:noWrap/>
            <w:hideMark/>
          </w:tcPr>
          <w:p w14:paraId="3D4F6A2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15.7</w:t>
            </w:r>
          </w:p>
        </w:tc>
        <w:tc>
          <w:tcPr>
            <w:tcW w:w="400" w:type="pct"/>
            <w:shd w:val="clear" w:color="auto" w:fill="auto"/>
            <w:noWrap/>
            <w:hideMark/>
          </w:tcPr>
          <w:p w14:paraId="2AA826B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15.2</w:t>
            </w:r>
          </w:p>
        </w:tc>
      </w:tr>
      <w:tr w:rsidR="00AF0ADF" w:rsidRPr="006479DA" w14:paraId="1E8237B9" w14:textId="77777777" w:rsidTr="00751711">
        <w:trPr>
          <w:trHeight w:val="232"/>
        </w:trPr>
        <w:tc>
          <w:tcPr>
            <w:tcW w:w="1393" w:type="pct"/>
            <w:shd w:val="clear" w:color="auto" w:fill="auto"/>
            <w:noWrap/>
            <w:hideMark/>
          </w:tcPr>
          <w:p w14:paraId="1B19A5CD"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20-24</w:t>
            </w:r>
          </w:p>
        </w:tc>
        <w:tc>
          <w:tcPr>
            <w:tcW w:w="401" w:type="pct"/>
            <w:shd w:val="clear" w:color="auto" w:fill="auto"/>
            <w:noWrap/>
            <w:hideMark/>
          </w:tcPr>
          <w:p w14:paraId="41FA5BC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13.3</w:t>
            </w:r>
          </w:p>
        </w:tc>
        <w:tc>
          <w:tcPr>
            <w:tcW w:w="401" w:type="pct"/>
            <w:shd w:val="clear" w:color="auto" w:fill="auto"/>
            <w:noWrap/>
            <w:hideMark/>
          </w:tcPr>
          <w:p w14:paraId="3C9EAA0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14.1</w:t>
            </w:r>
          </w:p>
        </w:tc>
        <w:tc>
          <w:tcPr>
            <w:tcW w:w="401" w:type="pct"/>
            <w:shd w:val="clear" w:color="auto" w:fill="auto"/>
            <w:noWrap/>
            <w:hideMark/>
          </w:tcPr>
          <w:p w14:paraId="2DED506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14.2</w:t>
            </w:r>
          </w:p>
        </w:tc>
        <w:tc>
          <w:tcPr>
            <w:tcW w:w="401" w:type="pct"/>
            <w:shd w:val="clear" w:color="auto" w:fill="auto"/>
            <w:noWrap/>
            <w:hideMark/>
          </w:tcPr>
          <w:p w14:paraId="0432E11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15.6</w:t>
            </w:r>
          </w:p>
        </w:tc>
        <w:tc>
          <w:tcPr>
            <w:tcW w:w="401" w:type="pct"/>
            <w:shd w:val="clear" w:color="auto" w:fill="auto"/>
            <w:noWrap/>
            <w:hideMark/>
          </w:tcPr>
          <w:p w14:paraId="2EF2802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15.4</w:t>
            </w:r>
          </w:p>
        </w:tc>
        <w:tc>
          <w:tcPr>
            <w:tcW w:w="401" w:type="pct"/>
            <w:shd w:val="clear" w:color="auto" w:fill="auto"/>
            <w:noWrap/>
            <w:hideMark/>
          </w:tcPr>
          <w:p w14:paraId="282C477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16.3</w:t>
            </w:r>
          </w:p>
        </w:tc>
        <w:tc>
          <w:tcPr>
            <w:tcW w:w="401" w:type="pct"/>
            <w:shd w:val="clear" w:color="auto" w:fill="auto"/>
            <w:noWrap/>
            <w:hideMark/>
          </w:tcPr>
          <w:p w14:paraId="45BE898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17.9</w:t>
            </w:r>
          </w:p>
        </w:tc>
        <w:tc>
          <w:tcPr>
            <w:tcW w:w="401" w:type="pct"/>
            <w:shd w:val="clear" w:color="auto" w:fill="auto"/>
            <w:noWrap/>
            <w:hideMark/>
          </w:tcPr>
          <w:p w14:paraId="39ADFB9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17.6</w:t>
            </w:r>
          </w:p>
        </w:tc>
        <w:tc>
          <w:tcPr>
            <w:tcW w:w="400" w:type="pct"/>
            <w:shd w:val="clear" w:color="auto" w:fill="auto"/>
            <w:noWrap/>
            <w:hideMark/>
          </w:tcPr>
          <w:p w14:paraId="6298E47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19.4</w:t>
            </w:r>
          </w:p>
        </w:tc>
      </w:tr>
      <w:tr w:rsidR="00AF0ADF" w:rsidRPr="006479DA" w14:paraId="5943E316" w14:textId="77777777" w:rsidTr="00751711">
        <w:trPr>
          <w:trHeight w:val="232"/>
        </w:trPr>
        <w:tc>
          <w:tcPr>
            <w:tcW w:w="1393" w:type="pct"/>
            <w:shd w:val="clear" w:color="auto" w:fill="auto"/>
            <w:noWrap/>
            <w:hideMark/>
          </w:tcPr>
          <w:p w14:paraId="04A08369"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25-29</w:t>
            </w:r>
          </w:p>
        </w:tc>
        <w:tc>
          <w:tcPr>
            <w:tcW w:w="401" w:type="pct"/>
            <w:shd w:val="clear" w:color="auto" w:fill="auto"/>
            <w:noWrap/>
            <w:hideMark/>
          </w:tcPr>
          <w:p w14:paraId="1CDE066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18.4</w:t>
            </w:r>
          </w:p>
        </w:tc>
        <w:tc>
          <w:tcPr>
            <w:tcW w:w="401" w:type="pct"/>
            <w:shd w:val="clear" w:color="auto" w:fill="auto"/>
            <w:noWrap/>
            <w:hideMark/>
          </w:tcPr>
          <w:p w14:paraId="0CA833D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19.3</w:t>
            </w:r>
          </w:p>
        </w:tc>
        <w:tc>
          <w:tcPr>
            <w:tcW w:w="401" w:type="pct"/>
            <w:shd w:val="clear" w:color="auto" w:fill="auto"/>
            <w:noWrap/>
            <w:hideMark/>
          </w:tcPr>
          <w:p w14:paraId="2BD8E50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20.1</w:t>
            </w:r>
          </w:p>
        </w:tc>
        <w:tc>
          <w:tcPr>
            <w:tcW w:w="401" w:type="pct"/>
            <w:shd w:val="clear" w:color="auto" w:fill="auto"/>
            <w:noWrap/>
            <w:hideMark/>
          </w:tcPr>
          <w:p w14:paraId="3AD7A41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21.5</w:t>
            </w:r>
          </w:p>
        </w:tc>
        <w:tc>
          <w:tcPr>
            <w:tcW w:w="401" w:type="pct"/>
            <w:shd w:val="clear" w:color="auto" w:fill="auto"/>
            <w:noWrap/>
            <w:hideMark/>
          </w:tcPr>
          <w:p w14:paraId="7DBF296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21.3</w:t>
            </w:r>
          </w:p>
        </w:tc>
        <w:tc>
          <w:tcPr>
            <w:tcW w:w="401" w:type="pct"/>
            <w:shd w:val="clear" w:color="auto" w:fill="auto"/>
            <w:noWrap/>
            <w:hideMark/>
          </w:tcPr>
          <w:p w14:paraId="29A4117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22.3</w:t>
            </w:r>
          </w:p>
        </w:tc>
        <w:tc>
          <w:tcPr>
            <w:tcW w:w="401" w:type="pct"/>
            <w:shd w:val="clear" w:color="auto" w:fill="auto"/>
            <w:noWrap/>
            <w:hideMark/>
          </w:tcPr>
          <w:p w14:paraId="163F9D6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23.4</w:t>
            </w:r>
          </w:p>
        </w:tc>
        <w:tc>
          <w:tcPr>
            <w:tcW w:w="401" w:type="pct"/>
            <w:shd w:val="clear" w:color="auto" w:fill="auto"/>
            <w:noWrap/>
            <w:hideMark/>
          </w:tcPr>
          <w:p w14:paraId="2185A28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23.4</w:t>
            </w:r>
          </w:p>
        </w:tc>
        <w:tc>
          <w:tcPr>
            <w:tcW w:w="400" w:type="pct"/>
            <w:shd w:val="clear" w:color="auto" w:fill="auto"/>
            <w:noWrap/>
            <w:hideMark/>
          </w:tcPr>
          <w:p w14:paraId="1EB9CEE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24.2</w:t>
            </w:r>
          </w:p>
        </w:tc>
      </w:tr>
      <w:tr w:rsidR="00AF0ADF" w:rsidRPr="006479DA" w14:paraId="510254A1" w14:textId="77777777" w:rsidTr="00751711">
        <w:trPr>
          <w:trHeight w:val="232"/>
        </w:trPr>
        <w:tc>
          <w:tcPr>
            <w:tcW w:w="1393" w:type="pct"/>
            <w:shd w:val="clear" w:color="auto" w:fill="auto"/>
            <w:noWrap/>
            <w:hideMark/>
          </w:tcPr>
          <w:p w14:paraId="1C6BBB68"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30-34</w:t>
            </w:r>
          </w:p>
        </w:tc>
        <w:tc>
          <w:tcPr>
            <w:tcW w:w="401" w:type="pct"/>
            <w:shd w:val="clear" w:color="auto" w:fill="auto"/>
            <w:noWrap/>
            <w:hideMark/>
          </w:tcPr>
          <w:p w14:paraId="6C01344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19.8</w:t>
            </w:r>
          </w:p>
        </w:tc>
        <w:tc>
          <w:tcPr>
            <w:tcW w:w="401" w:type="pct"/>
            <w:shd w:val="clear" w:color="auto" w:fill="auto"/>
            <w:noWrap/>
            <w:hideMark/>
          </w:tcPr>
          <w:p w14:paraId="053FB48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20.6</w:t>
            </w:r>
          </w:p>
        </w:tc>
        <w:tc>
          <w:tcPr>
            <w:tcW w:w="401" w:type="pct"/>
            <w:shd w:val="clear" w:color="auto" w:fill="auto"/>
            <w:noWrap/>
            <w:hideMark/>
          </w:tcPr>
          <w:p w14:paraId="77FC869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22.2</w:t>
            </w:r>
          </w:p>
        </w:tc>
        <w:tc>
          <w:tcPr>
            <w:tcW w:w="401" w:type="pct"/>
            <w:shd w:val="clear" w:color="auto" w:fill="auto"/>
            <w:noWrap/>
            <w:hideMark/>
          </w:tcPr>
          <w:p w14:paraId="2DC32A0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22.9</w:t>
            </w:r>
          </w:p>
        </w:tc>
        <w:tc>
          <w:tcPr>
            <w:tcW w:w="401" w:type="pct"/>
            <w:shd w:val="clear" w:color="auto" w:fill="auto"/>
            <w:noWrap/>
            <w:hideMark/>
          </w:tcPr>
          <w:p w14:paraId="332F9DE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22.5</w:t>
            </w:r>
          </w:p>
        </w:tc>
        <w:tc>
          <w:tcPr>
            <w:tcW w:w="401" w:type="pct"/>
            <w:shd w:val="clear" w:color="auto" w:fill="auto"/>
            <w:noWrap/>
            <w:hideMark/>
          </w:tcPr>
          <w:p w14:paraId="44C9F84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23.9</w:t>
            </w:r>
          </w:p>
        </w:tc>
        <w:tc>
          <w:tcPr>
            <w:tcW w:w="401" w:type="pct"/>
            <w:shd w:val="clear" w:color="auto" w:fill="auto"/>
            <w:noWrap/>
            <w:hideMark/>
          </w:tcPr>
          <w:p w14:paraId="134635E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24.4</w:t>
            </w:r>
          </w:p>
        </w:tc>
        <w:tc>
          <w:tcPr>
            <w:tcW w:w="401" w:type="pct"/>
            <w:shd w:val="clear" w:color="auto" w:fill="auto"/>
            <w:noWrap/>
            <w:hideMark/>
          </w:tcPr>
          <w:p w14:paraId="078D9EC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25.0</w:t>
            </w:r>
          </w:p>
        </w:tc>
        <w:tc>
          <w:tcPr>
            <w:tcW w:w="400" w:type="pct"/>
            <w:shd w:val="clear" w:color="auto" w:fill="auto"/>
            <w:noWrap/>
            <w:hideMark/>
          </w:tcPr>
          <w:p w14:paraId="5F1202C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25.8</w:t>
            </w:r>
          </w:p>
        </w:tc>
      </w:tr>
      <w:tr w:rsidR="00AF0ADF" w:rsidRPr="006479DA" w14:paraId="3A767A0E" w14:textId="77777777" w:rsidTr="00751711">
        <w:trPr>
          <w:trHeight w:val="232"/>
        </w:trPr>
        <w:tc>
          <w:tcPr>
            <w:tcW w:w="1393" w:type="pct"/>
            <w:shd w:val="clear" w:color="auto" w:fill="auto"/>
            <w:noWrap/>
            <w:hideMark/>
          </w:tcPr>
          <w:p w14:paraId="61757C61"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35-39</w:t>
            </w:r>
          </w:p>
        </w:tc>
        <w:tc>
          <w:tcPr>
            <w:tcW w:w="401" w:type="pct"/>
            <w:shd w:val="clear" w:color="auto" w:fill="auto"/>
            <w:noWrap/>
            <w:hideMark/>
          </w:tcPr>
          <w:p w14:paraId="7331718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18.2</w:t>
            </w:r>
          </w:p>
        </w:tc>
        <w:tc>
          <w:tcPr>
            <w:tcW w:w="401" w:type="pct"/>
            <w:shd w:val="clear" w:color="auto" w:fill="auto"/>
            <w:noWrap/>
            <w:hideMark/>
          </w:tcPr>
          <w:p w14:paraId="4ADDFFA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19.6</w:t>
            </w:r>
          </w:p>
        </w:tc>
        <w:tc>
          <w:tcPr>
            <w:tcW w:w="401" w:type="pct"/>
            <w:shd w:val="clear" w:color="auto" w:fill="auto"/>
            <w:noWrap/>
            <w:hideMark/>
          </w:tcPr>
          <w:p w14:paraId="41A62E0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20.8</w:t>
            </w:r>
          </w:p>
        </w:tc>
        <w:tc>
          <w:tcPr>
            <w:tcW w:w="401" w:type="pct"/>
            <w:shd w:val="clear" w:color="auto" w:fill="auto"/>
            <w:noWrap/>
            <w:hideMark/>
          </w:tcPr>
          <w:p w14:paraId="1F413D8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20.8</w:t>
            </w:r>
          </w:p>
        </w:tc>
        <w:tc>
          <w:tcPr>
            <w:tcW w:w="401" w:type="pct"/>
            <w:shd w:val="clear" w:color="auto" w:fill="auto"/>
            <w:noWrap/>
            <w:hideMark/>
          </w:tcPr>
          <w:p w14:paraId="24E3371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21.7</w:t>
            </w:r>
          </w:p>
        </w:tc>
        <w:tc>
          <w:tcPr>
            <w:tcW w:w="401" w:type="pct"/>
            <w:shd w:val="clear" w:color="auto" w:fill="auto"/>
            <w:noWrap/>
            <w:hideMark/>
          </w:tcPr>
          <w:p w14:paraId="3BC56AA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21.7</w:t>
            </w:r>
          </w:p>
        </w:tc>
        <w:tc>
          <w:tcPr>
            <w:tcW w:w="401" w:type="pct"/>
            <w:shd w:val="clear" w:color="auto" w:fill="auto"/>
            <w:noWrap/>
            <w:hideMark/>
          </w:tcPr>
          <w:p w14:paraId="1F98BDA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24.4</w:t>
            </w:r>
          </w:p>
        </w:tc>
        <w:tc>
          <w:tcPr>
            <w:tcW w:w="401" w:type="pct"/>
            <w:shd w:val="clear" w:color="auto" w:fill="auto"/>
            <w:noWrap/>
            <w:hideMark/>
          </w:tcPr>
          <w:p w14:paraId="41B1036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24.3</w:t>
            </w:r>
          </w:p>
        </w:tc>
        <w:tc>
          <w:tcPr>
            <w:tcW w:w="400" w:type="pct"/>
            <w:shd w:val="clear" w:color="auto" w:fill="auto"/>
            <w:noWrap/>
            <w:hideMark/>
          </w:tcPr>
          <w:p w14:paraId="3EDCDF7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25.2</w:t>
            </w:r>
          </w:p>
        </w:tc>
      </w:tr>
      <w:tr w:rsidR="00AF0ADF" w:rsidRPr="006479DA" w14:paraId="28FF1DA6" w14:textId="77777777" w:rsidTr="00751711">
        <w:trPr>
          <w:trHeight w:val="232"/>
        </w:trPr>
        <w:tc>
          <w:tcPr>
            <w:tcW w:w="1393" w:type="pct"/>
            <w:shd w:val="clear" w:color="auto" w:fill="auto"/>
            <w:noWrap/>
            <w:hideMark/>
          </w:tcPr>
          <w:p w14:paraId="6E35350A"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40 and over</w:t>
            </w:r>
          </w:p>
        </w:tc>
        <w:tc>
          <w:tcPr>
            <w:tcW w:w="401" w:type="pct"/>
            <w:shd w:val="clear" w:color="auto" w:fill="auto"/>
            <w:noWrap/>
            <w:hideMark/>
          </w:tcPr>
          <w:p w14:paraId="0A40A53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16.4</w:t>
            </w:r>
          </w:p>
        </w:tc>
        <w:tc>
          <w:tcPr>
            <w:tcW w:w="401" w:type="pct"/>
            <w:shd w:val="clear" w:color="auto" w:fill="auto"/>
            <w:noWrap/>
            <w:hideMark/>
          </w:tcPr>
          <w:p w14:paraId="6D0DF34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18.5</w:t>
            </w:r>
          </w:p>
        </w:tc>
        <w:tc>
          <w:tcPr>
            <w:tcW w:w="401" w:type="pct"/>
            <w:shd w:val="clear" w:color="auto" w:fill="auto"/>
            <w:noWrap/>
            <w:hideMark/>
          </w:tcPr>
          <w:p w14:paraId="4B3B10F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18.8</w:t>
            </w:r>
          </w:p>
        </w:tc>
        <w:tc>
          <w:tcPr>
            <w:tcW w:w="401" w:type="pct"/>
            <w:shd w:val="clear" w:color="auto" w:fill="auto"/>
            <w:noWrap/>
            <w:hideMark/>
          </w:tcPr>
          <w:p w14:paraId="340768E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21.1</w:t>
            </w:r>
          </w:p>
        </w:tc>
        <w:tc>
          <w:tcPr>
            <w:tcW w:w="401" w:type="pct"/>
            <w:shd w:val="clear" w:color="auto" w:fill="auto"/>
            <w:noWrap/>
            <w:hideMark/>
          </w:tcPr>
          <w:p w14:paraId="1B4FC86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21.2</w:t>
            </w:r>
          </w:p>
        </w:tc>
        <w:tc>
          <w:tcPr>
            <w:tcW w:w="401" w:type="pct"/>
            <w:shd w:val="clear" w:color="auto" w:fill="auto"/>
            <w:noWrap/>
            <w:hideMark/>
          </w:tcPr>
          <w:p w14:paraId="5EC7B52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20.5</w:t>
            </w:r>
          </w:p>
        </w:tc>
        <w:tc>
          <w:tcPr>
            <w:tcW w:w="401" w:type="pct"/>
            <w:shd w:val="clear" w:color="auto" w:fill="auto"/>
            <w:noWrap/>
            <w:hideMark/>
          </w:tcPr>
          <w:p w14:paraId="2E7DEA5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20.5</w:t>
            </w:r>
          </w:p>
        </w:tc>
        <w:tc>
          <w:tcPr>
            <w:tcW w:w="401" w:type="pct"/>
            <w:shd w:val="clear" w:color="auto" w:fill="auto"/>
            <w:noWrap/>
            <w:hideMark/>
          </w:tcPr>
          <w:p w14:paraId="2F94F76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23.3</w:t>
            </w:r>
          </w:p>
        </w:tc>
        <w:tc>
          <w:tcPr>
            <w:tcW w:w="400" w:type="pct"/>
            <w:shd w:val="clear" w:color="auto" w:fill="auto"/>
            <w:noWrap/>
            <w:hideMark/>
          </w:tcPr>
          <w:p w14:paraId="00E33F4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25.3</w:t>
            </w:r>
          </w:p>
        </w:tc>
      </w:tr>
      <w:tr w:rsidR="00AF0ADF" w:rsidRPr="006479DA" w14:paraId="39A74752" w14:textId="77777777" w:rsidTr="00AF0ADF">
        <w:trPr>
          <w:trHeight w:val="232"/>
        </w:trPr>
        <w:tc>
          <w:tcPr>
            <w:tcW w:w="5000" w:type="pct"/>
            <w:gridSpan w:val="10"/>
            <w:shd w:val="clear" w:color="auto" w:fill="auto"/>
            <w:noWrap/>
            <w:hideMark/>
          </w:tcPr>
          <w:p w14:paraId="5E212C24" w14:textId="77777777" w:rsidR="00AF0ADF" w:rsidRPr="006479DA" w:rsidRDefault="00AF0ADF" w:rsidP="00AF0ADF">
            <w:pPr>
              <w:rPr>
                <w:rFonts w:cstheme="minorHAnsi"/>
                <w:sz w:val="20"/>
                <w:szCs w:val="20"/>
              </w:rPr>
            </w:pPr>
            <w:r w:rsidRPr="006479DA">
              <w:rPr>
                <w:rFonts w:cstheme="minorHAnsi"/>
                <w:b/>
                <w:bCs/>
                <w:color w:val="000000"/>
                <w:sz w:val="20"/>
                <w:szCs w:val="20"/>
              </w:rPr>
              <w:t>Hospital sector</w:t>
            </w:r>
          </w:p>
        </w:tc>
      </w:tr>
      <w:tr w:rsidR="00AF0ADF" w:rsidRPr="006479DA" w14:paraId="409436D4" w14:textId="77777777" w:rsidTr="00751711">
        <w:trPr>
          <w:trHeight w:val="232"/>
        </w:trPr>
        <w:tc>
          <w:tcPr>
            <w:tcW w:w="1393" w:type="pct"/>
            <w:shd w:val="clear" w:color="auto" w:fill="auto"/>
            <w:noWrap/>
            <w:hideMark/>
          </w:tcPr>
          <w:p w14:paraId="6167D5AD"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Private</w:t>
            </w:r>
          </w:p>
        </w:tc>
        <w:tc>
          <w:tcPr>
            <w:tcW w:w="401" w:type="pct"/>
            <w:shd w:val="clear" w:color="auto" w:fill="auto"/>
            <w:noWrap/>
            <w:hideMark/>
          </w:tcPr>
          <w:p w14:paraId="677D333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25.4</w:t>
            </w:r>
          </w:p>
        </w:tc>
        <w:tc>
          <w:tcPr>
            <w:tcW w:w="401" w:type="pct"/>
            <w:shd w:val="clear" w:color="auto" w:fill="auto"/>
            <w:noWrap/>
            <w:hideMark/>
          </w:tcPr>
          <w:p w14:paraId="492308B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25.6</w:t>
            </w:r>
          </w:p>
        </w:tc>
        <w:tc>
          <w:tcPr>
            <w:tcW w:w="401" w:type="pct"/>
            <w:shd w:val="clear" w:color="auto" w:fill="auto"/>
            <w:noWrap/>
            <w:hideMark/>
          </w:tcPr>
          <w:p w14:paraId="6011593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25.5</w:t>
            </w:r>
          </w:p>
        </w:tc>
        <w:tc>
          <w:tcPr>
            <w:tcW w:w="401" w:type="pct"/>
            <w:shd w:val="clear" w:color="auto" w:fill="auto"/>
            <w:noWrap/>
            <w:hideMark/>
          </w:tcPr>
          <w:p w14:paraId="1498C14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27.4</w:t>
            </w:r>
          </w:p>
        </w:tc>
        <w:tc>
          <w:tcPr>
            <w:tcW w:w="401" w:type="pct"/>
            <w:shd w:val="clear" w:color="auto" w:fill="auto"/>
            <w:noWrap/>
            <w:hideMark/>
          </w:tcPr>
          <w:p w14:paraId="433B143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27.4</w:t>
            </w:r>
          </w:p>
        </w:tc>
        <w:tc>
          <w:tcPr>
            <w:tcW w:w="401" w:type="pct"/>
            <w:shd w:val="clear" w:color="auto" w:fill="auto"/>
            <w:noWrap/>
            <w:hideMark/>
          </w:tcPr>
          <w:p w14:paraId="4C83328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28.1</w:t>
            </w:r>
          </w:p>
        </w:tc>
        <w:tc>
          <w:tcPr>
            <w:tcW w:w="401" w:type="pct"/>
            <w:shd w:val="clear" w:color="auto" w:fill="auto"/>
            <w:noWrap/>
            <w:hideMark/>
          </w:tcPr>
          <w:p w14:paraId="6036803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28.2</w:t>
            </w:r>
          </w:p>
        </w:tc>
        <w:tc>
          <w:tcPr>
            <w:tcW w:w="401" w:type="pct"/>
            <w:shd w:val="clear" w:color="auto" w:fill="auto"/>
            <w:noWrap/>
            <w:hideMark/>
          </w:tcPr>
          <w:p w14:paraId="25E1C50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28.8</w:t>
            </w:r>
          </w:p>
        </w:tc>
        <w:tc>
          <w:tcPr>
            <w:tcW w:w="400" w:type="pct"/>
            <w:shd w:val="clear" w:color="auto" w:fill="auto"/>
            <w:noWrap/>
            <w:hideMark/>
          </w:tcPr>
          <w:p w14:paraId="614F76F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29.1</w:t>
            </w:r>
          </w:p>
        </w:tc>
      </w:tr>
      <w:tr w:rsidR="00AF0ADF" w:rsidRPr="006479DA" w14:paraId="03CDB34D" w14:textId="77777777" w:rsidTr="00751711">
        <w:trPr>
          <w:trHeight w:val="232"/>
        </w:trPr>
        <w:tc>
          <w:tcPr>
            <w:tcW w:w="1393" w:type="pct"/>
            <w:shd w:val="clear" w:color="auto" w:fill="auto"/>
            <w:noWrap/>
            <w:hideMark/>
          </w:tcPr>
          <w:p w14:paraId="11082CF9"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Public</w:t>
            </w:r>
          </w:p>
        </w:tc>
        <w:tc>
          <w:tcPr>
            <w:tcW w:w="401" w:type="pct"/>
            <w:shd w:val="clear" w:color="auto" w:fill="auto"/>
            <w:noWrap/>
            <w:hideMark/>
          </w:tcPr>
          <w:p w14:paraId="01B20AA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14.8</w:t>
            </w:r>
          </w:p>
        </w:tc>
        <w:tc>
          <w:tcPr>
            <w:tcW w:w="401" w:type="pct"/>
            <w:shd w:val="clear" w:color="auto" w:fill="auto"/>
            <w:noWrap/>
            <w:hideMark/>
          </w:tcPr>
          <w:p w14:paraId="264F530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16.1</w:t>
            </w:r>
          </w:p>
        </w:tc>
        <w:tc>
          <w:tcPr>
            <w:tcW w:w="401" w:type="pct"/>
            <w:shd w:val="clear" w:color="auto" w:fill="auto"/>
            <w:noWrap/>
            <w:hideMark/>
          </w:tcPr>
          <w:p w14:paraId="4C3018E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17.1</w:t>
            </w:r>
          </w:p>
        </w:tc>
        <w:tc>
          <w:tcPr>
            <w:tcW w:w="401" w:type="pct"/>
            <w:shd w:val="clear" w:color="auto" w:fill="auto"/>
            <w:noWrap/>
            <w:hideMark/>
          </w:tcPr>
          <w:p w14:paraId="6C37D74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18.3</w:t>
            </w:r>
          </w:p>
        </w:tc>
        <w:tc>
          <w:tcPr>
            <w:tcW w:w="401" w:type="pct"/>
            <w:shd w:val="clear" w:color="auto" w:fill="auto"/>
            <w:noWrap/>
            <w:hideMark/>
          </w:tcPr>
          <w:p w14:paraId="354A2FE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18.5</w:t>
            </w:r>
          </w:p>
        </w:tc>
        <w:tc>
          <w:tcPr>
            <w:tcW w:w="401" w:type="pct"/>
            <w:shd w:val="clear" w:color="auto" w:fill="auto"/>
            <w:noWrap/>
            <w:hideMark/>
          </w:tcPr>
          <w:p w14:paraId="7A1BC56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19.8</w:t>
            </w:r>
          </w:p>
        </w:tc>
        <w:tc>
          <w:tcPr>
            <w:tcW w:w="401" w:type="pct"/>
            <w:shd w:val="clear" w:color="auto" w:fill="auto"/>
            <w:noWrap/>
            <w:hideMark/>
          </w:tcPr>
          <w:p w14:paraId="16709AC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21.3</w:t>
            </w:r>
          </w:p>
        </w:tc>
        <w:tc>
          <w:tcPr>
            <w:tcW w:w="401" w:type="pct"/>
            <w:shd w:val="clear" w:color="auto" w:fill="auto"/>
            <w:noWrap/>
            <w:hideMark/>
          </w:tcPr>
          <w:p w14:paraId="78EF352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21.6</w:t>
            </w:r>
          </w:p>
        </w:tc>
        <w:tc>
          <w:tcPr>
            <w:tcW w:w="400" w:type="pct"/>
            <w:shd w:val="clear" w:color="auto" w:fill="auto"/>
            <w:noWrap/>
            <w:hideMark/>
          </w:tcPr>
          <w:p w14:paraId="0BD84B4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22.6</w:t>
            </w:r>
          </w:p>
        </w:tc>
      </w:tr>
      <w:tr w:rsidR="00AF0ADF" w:rsidRPr="006479DA" w14:paraId="712FF221" w14:textId="77777777" w:rsidTr="00AF0ADF">
        <w:trPr>
          <w:trHeight w:val="232"/>
        </w:trPr>
        <w:tc>
          <w:tcPr>
            <w:tcW w:w="5000" w:type="pct"/>
            <w:gridSpan w:val="10"/>
            <w:shd w:val="clear" w:color="auto" w:fill="auto"/>
            <w:noWrap/>
            <w:hideMark/>
          </w:tcPr>
          <w:p w14:paraId="05643AC9" w14:textId="77777777" w:rsidR="00AF0ADF" w:rsidRPr="006479DA" w:rsidRDefault="00AF0ADF" w:rsidP="00AF0ADF">
            <w:pPr>
              <w:rPr>
                <w:rFonts w:cstheme="minorHAnsi"/>
                <w:sz w:val="20"/>
                <w:szCs w:val="20"/>
              </w:rPr>
            </w:pPr>
            <w:r w:rsidRPr="006479DA">
              <w:rPr>
                <w:rFonts w:cstheme="minorHAnsi"/>
                <w:b/>
                <w:bCs/>
                <w:color w:val="000000"/>
                <w:sz w:val="20"/>
                <w:szCs w:val="20"/>
              </w:rPr>
              <w:t>Hospitals annual number of births</w:t>
            </w:r>
          </w:p>
        </w:tc>
      </w:tr>
      <w:tr w:rsidR="00AF0ADF" w:rsidRPr="006479DA" w14:paraId="0107004D" w14:textId="77777777" w:rsidTr="00751711">
        <w:trPr>
          <w:trHeight w:val="232"/>
        </w:trPr>
        <w:tc>
          <w:tcPr>
            <w:tcW w:w="1393" w:type="pct"/>
            <w:shd w:val="clear" w:color="auto" w:fill="auto"/>
            <w:noWrap/>
            <w:hideMark/>
          </w:tcPr>
          <w:p w14:paraId="5768D645"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1-100 births</w:t>
            </w:r>
          </w:p>
        </w:tc>
        <w:tc>
          <w:tcPr>
            <w:tcW w:w="401" w:type="pct"/>
            <w:shd w:val="clear" w:color="auto" w:fill="auto"/>
            <w:noWrap/>
            <w:hideMark/>
          </w:tcPr>
          <w:p w14:paraId="6BF0FFB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9.8</w:t>
            </w:r>
          </w:p>
        </w:tc>
        <w:tc>
          <w:tcPr>
            <w:tcW w:w="401" w:type="pct"/>
            <w:shd w:val="clear" w:color="auto" w:fill="auto"/>
            <w:noWrap/>
            <w:hideMark/>
          </w:tcPr>
          <w:p w14:paraId="178DEEF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7.5</w:t>
            </w:r>
          </w:p>
        </w:tc>
        <w:tc>
          <w:tcPr>
            <w:tcW w:w="401" w:type="pct"/>
            <w:shd w:val="clear" w:color="auto" w:fill="auto"/>
            <w:noWrap/>
            <w:hideMark/>
          </w:tcPr>
          <w:p w14:paraId="3B1610B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9.5</w:t>
            </w:r>
          </w:p>
        </w:tc>
        <w:tc>
          <w:tcPr>
            <w:tcW w:w="401" w:type="pct"/>
            <w:shd w:val="clear" w:color="auto" w:fill="auto"/>
            <w:noWrap/>
            <w:hideMark/>
          </w:tcPr>
          <w:p w14:paraId="588B134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9.2</w:t>
            </w:r>
          </w:p>
        </w:tc>
        <w:tc>
          <w:tcPr>
            <w:tcW w:w="401" w:type="pct"/>
            <w:shd w:val="clear" w:color="auto" w:fill="auto"/>
            <w:noWrap/>
            <w:hideMark/>
          </w:tcPr>
          <w:p w14:paraId="6A6FF88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12.6</w:t>
            </w:r>
          </w:p>
        </w:tc>
        <w:tc>
          <w:tcPr>
            <w:tcW w:w="401" w:type="pct"/>
            <w:shd w:val="clear" w:color="auto" w:fill="auto"/>
            <w:noWrap/>
            <w:hideMark/>
          </w:tcPr>
          <w:p w14:paraId="649EAD3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11.8</w:t>
            </w:r>
          </w:p>
        </w:tc>
        <w:tc>
          <w:tcPr>
            <w:tcW w:w="401" w:type="pct"/>
            <w:shd w:val="clear" w:color="auto" w:fill="auto"/>
            <w:noWrap/>
            <w:hideMark/>
          </w:tcPr>
          <w:p w14:paraId="3668AE3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10.5</w:t>
            </w:r>
          </w:p>
        </w:tc>
        <w:tc>
          <w:tcPr>
            <w:tcW w:w="401" w:type="pct"/>
            <w:shd w:val="clear" w:color="auto" w:fill="auto"/>
            <w:noWrap/>
            <w:hideMark/>
          </w:tcPr>
          <w:p w14:paraId="68F1330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10.6</w:t>
            </w:r>
          </w:p>
        </w:tc>
        <w:tc>
          <w:tcPr>
            <w:tcW w:w="400" w:type="pct"/>
            <w:shd w:val="clear" w:color="auto" w:fill="auto"/>
            <w:noWrap/>
            <w:hideMark/>
          </w:tcPr>
          <w:p w14:paraId="083F575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8.3</w:t>
            </w:r>
          </w:p>
        </w:tc>
      </w:tr>
      <w:tr w:rsidR="00AF0ADF" w:rsidRPr="006479DA" w14:paraId="43D4E1B0" w14:textId="77777777" w:rsidTr="00751711">
        <w:trPr>
          <w:trHeight w:val="232"/>
        </w:trPr>
        <w:tc>
          <w:tcPr>
            <w:tcW w:w="1393" w:type="pct"/>
            <w:shd w:val="clear" w:color="auto" w:fill="auto"/>
            <w:noWrap/>
            <w:hideMark/>
          </w:tcPr>
          <w:p w14:paraId="04A32CF8"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101-500 births</w:t>
            </w:r>
          </w:p>
        </w:tc>
        <w:tc>
          <w:tcPr>
            <w:tcW w:w="401" w:type="pct"/>
            <w:shd w:val="clear" w:color="auto" w:fill="auto"/>
            <w:noWrap/>
            <w:hideMark/>
          </w:tcPr>
          <w:p w14:paraId="0300D2E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10.6</w:t>
            </w:r>
          </w:p>
        </w:tc>
        <w:tc>
          <w:tcPr>
            <w:tcW w:w="401" w:type="pct"/>
            <w:shd w:val="clear" w:color="auto" w:fill="auto"/>
            <w:noWrap/>
            <w:hideMark/>
          </w:tcPr>
          <w:p w14:paraId="51A7BEB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9.6</w:t>
            </w:r>
          </w:p>
        </w:tc>
        <w:tc>
          <w:tcPr>
            <w:tcW w:w="401" w:type="pct"/>
            <w:shd w:val="clear" w:color="auto" w:fill="auto"/>
            <w:noWrap/>
            <w:hideMark/>
          </w:tcPr>
          <w:p w14:paraId="2B4C686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9.8</w:t>
            </w:r>
          </w:p>
        </w:tc>
        <w:tc>
          <w:tcPr>
            <w:tcW w:w="401" w:type="pct"/>
            <w:shd w:val="clear" w:color="auto" w:fill="auto"/>
            <w:noWrap/>
            <w:hideMark/>
          </w:tcPr>
          <w:p w14:paraId="2D4DD80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10.5</w:t>
            </w:r>
          </w:p>
        </w:tc>
        <w:tc>
          <w:tcPr>
            <w:tcW w:w="401" w:type="pct"/>
            <w:shd w:val="clear" w:color="auto" w:fill="auto"/>
            <w:noWrap/>
            <w:hideMark/>
          </w:tcPr>
          <w:p w14:paraId="1E64C57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10.1</w:t>
            </w:r>
          </w:p>
        </w:tc>
        <w:tc>
          <w:tcPr>
            <w:tcW w:w="401" w:type="pct"/>
            <w:shd w:val="clear" w:color="auto" w:fill="auto"/>
            <w:noWrap/>
            <w:hideMark/>
          </w:tcPr>
          <w:p w14:paraId="1AF7CF3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10.8</w:t>
            </w:r>
          </w:p>
        </w:tc>
        <w:tc>
          <w:tcPr>
            <w:tcW w:w="401" w:type="pct"/>
            <w:shd w:val="clear" w:color="auto" w:fill="auto"/>
            <w:noWrap/>
            <w:hideMark/>
          </w:tcPr>
          <w:p w14:paraId="2FD5C6FA"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11.7</w:t>
            </w:r>
          </w:p>
        </w:tc>
        <w:tc>
          <w:tcPr>
            <w:tcW w:w="401" w:type="pct"/>
            <w:shd w:val="clear" w:color="auto" w:fill="auto"/>
            <w:noWrap/>
            <w:hideMark/>
          </w:tcPr>
          <w:p w14:paraId="373F35A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13.6</w:t>
            </w:r>
          </w:p>
        </w:tc>
        <w:tc>
          <w:tcPr>
            <w:tcW w:w="400" w:type="pct"/>
            <w:shd w:val="clear" w:color="auto" w:fill="auto"/>
            <w:noWrap/>
            <w:hideMark/>
          </w:tcPr>
          <w:p w14:paraId="0EFABA9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15.0</w:t>
            </w:r>
          </w:p>
        </w:tc>
      </w:tr>
      <w:tr w:rsidR="00AF0ADF" w:rsidRPr="006479DA" w14:paraId="5363EAF7" w14:textId="77777777" w:rsidTr="00751711">
        <w:trPr>
          <w:trHeight w:val="232"/>
        </w:trPr>
        <w:tc>
          <w:tcPr>
            <w:tcW w:w="1393" w:type="pct"/>
            <w:shd w:val="clear" w:color="auto" w:fill="auto"/>
            <w:noWrap/>
            <w:hideMark/>
          </w:tcPr>
          <w:p w14:paraId="58E2E491"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501-1,000 births</w:t>
            </w:r>
          </w:p>
        </w:tc>
        <w:tc>
          <w:tcPr>
            <w:tcW w:w="401" w:type="pct"/>
            <w:shd w:val="clear" w:color="auto" w:fill="auto"/>
            <w:noWrap/>
            <w:hideMark/>
          </w:tcPr>
          <w:p w14:paraId="1367816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17.3</w:t>
            </w:r>
          </w:p>
        </w:tc>
        <w:tc>
          <w:tcPr>
            <w:tcW w:w="401" w:type="pct"/>
            <w:shd w:val="clear" w:color="auto" w:fill="auto"/>
            <w:noWrap/>
            <w:hideMark/>
          </w:tcPr>
          <w:p w14:paraId="04DBB6B1"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16.5</w:t>
            </w:r>
          </w:p>
        </w:tc>
        <w:tc>
          <w:tcPr>
            <w:tcW w:w="401" w:type="pct"/>
            <w:shd w:val="clear" w:color="auto" w:fill="auto"/>
            <w:noWrap/>
            <w:hideMark/>
          </w:tcPr>
          <w:p w14:paraId="7BFC643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17.8</w:t>
            </w:r>
          </w:p>
        </w:tc>
        <w:tc>
          <w:tcPr>
            <w:tcW w:w="401" w:type="pct"/>
            <w:shd w:val="clear" w:color="auto" w:fill="auto"/>
            <w:noWrap/>
            <w:hideMark/>
          </w:tcPr>
          <w:p w14:paraId="1C9D6980"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18.5</w:t>
            </w:r>
          </w:p>
        </w:tc>
        <w:tc>
          <w:tcPr>
            <w:tcW w:w="401" w:type="pct"/>
            <w:shd w:val="clear" w:color="auto" w:fill="auto"/>
            <w:noWrap/>
            <w:hideMark/>
          </w:tcPr>
          <w:p w14:paraId="5DE50CF8"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18.1</w:t>
            </w:r>
          </w:p>
        </w:tc>
        <w:tc>
          <w:tcPr>
            <w:tcW w:w="401" w:type="pct"/>
            <w:shd w:val="clear" w:color="auto" w:fill="auto"/>
            <w:noWrap/>
            <w:hideMark/>
          </w:tcPr>
          <w:p w14:paraId="372F6C2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18.5</w:t>
            </w:r>
          </w:p>
        </w:tc>
        <w:tc>
          <w:tcPr>
            <w:tcW w:w="401" w:type="pct"/>
            <w:shd w:val="clear" w:color="auto" w:fill="auto"/>
            <w:noWrap/>
            <w:hideMark/>
          </w:tcPr>
          <w:p w14:paraId="3154B06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18.5</w:t>
            </w:r>
          </w:p>
        </w:tc>
        <w:tc>
          <w:tcPr>
            <w:tcW w:w="401" w:type="pct"/>
            <w:shd w:val="clear" w:color="auto" w:fill="auto"/>
            <w:noWrap/>
            <w:hideMark/>
          </w:tcPr>
          <w:p w14:paraId="1900BEB5"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17.2</w:t>
            </w:r>
          </w:p>
        </w:tc>
        <w:tc>
          <w:tcPr>
            <w:tcW w:w="400" w:type="pct"/>
            <w:shd w:val="clear" w:color="auto" w:fill="auto"/>
            <w:noWrap/>
            <w:hideMark/>
          </w:tcPr>
          <w:p w14:paraId="4CA0E45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21.3</w:t>
            </w:r>
          </w:p>
        </w:tc>
      </w:tr>
      <w:tr w:rsidR="00AF0ADF" w:rsidRPr="006479DA" w14:paraId="3E819201" w14:textId="77777777" w:rsidTr="00751711">
        <w:trPr>
          <w:trHeight w:val="232"/>
        </w:trPr>
        <w:tc>
          <w:tcPr>
            <w:tcW w:w="1393" w:type="pct"/>
            <w:shd w:val="clear" w:color="auto" w:fill="auto"/>
            <w:noWrap/>
            <w:hideMark/>
          </w:tcPr>
          <w:p w14:paraId="3B39E304"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1,001-2,000 births</w:t>
            </w:r>
          </w:p>
        </w:tc>
        <w:tc>
          <w:tcPr>
            <w:tcW w:w="401" w:type="pct"/>
            <w:shd w:val="clear" w:color="auto" w:fill="auto"/>
            <w:noWrap/>
            <w:hideMark/>
          </w:tcPr>
          <w:p w14:paraId="36C6EFC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16.2</w:t>
            </w:r>
          </w:p>
        </w:tc>
        <w:tc>
          <w:tcPr>
            <w:tcW w:w="401" w:type="pct"/>
            <w:shd w:val="clear" w:color="auto" w:fill="auto"/>
            <w:noWrap/>
            <w:hideMark/>
          </w:tcPr>
          <w:p w14:paraId="08E8E77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16.2</w:t>
            </w:r>
          </w:p>
        </w:tc>
        <w:tc>
          <w:tcPr>
            <w:tcW w:w="401" w:type="pct"/>
            <w:shd w:val="clear" w:color="auto" w:fill="auto"/>
            <w:noWrap/>
            <w:hideMark/>
          </w:tcPr>
          <w:p w14:paraId="6A0512C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17.0</w:t>
            </w:r>
          </w:p>
        </w:tc>
        <w:tc>
          <w:tcPr>
            <w:tcW w:w="401" w:type="pct"/>
            <w:shd w:val="clear" w:color="auto" w:fill="auto"/>
            <w:noWrap/>
            <w:hideMark/>
          </w:tcPr>
          <w:p w14:paraId="5FAE45D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18.9</w:t>
            </w:r>
          </w:p>
        </w:tc>
        <w:tc>
          <w:tcPr>
            <w:tcW w:w="401" w:type="pct"/>
            <w:shd w:val="clear" w:color="auto" w:fill="auto"/>
            <w:noWrap/>
            <w:hideMark/>
          </w:tcPr>
          <w:p w14:paraId="3BBB2CDE"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18.7</w:t>
            </w:r>
          </w:p>
        </w:tc>
        <w:tc>
          <w:tcPr>
            <w:tcW w:w="401" w:type="pct"/>
            <w:shd w:val="clear" w:color="auto" w:fill="auto"/>
            <w:noWrap/>
            <w:hideMark/>
          </w:tcPr>
          <w:p w14:paraId="16B5049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19.6</w:t>
            </w:r>
          </w:p>
        </w:tc>
        <w:tc>
          <w:tcPr>
            <w:tcW w:w="401" w:type="pct"/>
            <w:shd w:val="clear" w:color="auto" w:fill="auto"/>
            <w:noWrap/>
            <w:hideMark/>
          </w:tcPr>
          <w:p w14:paraId="397EA4D9"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20.9</w:t>
            </w:r>
          </w:p>
        </w:tc>
        <w:tc>
          <w:tcPr>
            <w:tcW w:w="401" w:type="pct"/>
            <w:shd w:val="clear" w:color="auto" w:fill="auto"/>
            <w:noWrap/>
            <w:hideMark/>
          </w:tcPr>
          <w:p w14:paraId="4A86D9F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21.0</w:t>
            </w:r>
          </w:p>
        </w:tc>
        <w:tc>
          <w:tcPr>
            <w:tcW w:w="400" w:type="pct"/>
            <w:shd w:val="clear" w:color="auto" w:fill="auto"/>
            <w:noWrap/>
            <w:hideMark/>
          </w:tcPr>
          <w:p w14:paraId="3263ECD6"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22.6</w:t>
            </w:r>
          </w:p>
        </w:tc>
      </w:tr>
      <w:tr w:rsidR="00AF0ADF" w:rsidRPr="006479DA" w14:paraId="77854F82" w14:textId="77777777" w:rsidTr="00751711">
        <w:trPr>
          <w:trHeight w:val="232"/>
        </w:trPr>
        <w:tc>
          <w:tcPr>
            <w:tcW w:w="1393" w:type="pct"/>
            <w:shd w:val="clear" w:color="auto" w:fill="auto"/>
            <w:noWrap/>
            <w:hideMark/>
          </w:tcPr>
          <w:p w14:paraId="0BCAF60D" w14:textId="77777777" w:rsidR="00AF0ADF" w:rsidRPr="006479DA" w:rsidRDefault="00AF0ADF" w:rsidP="00AF0ADF">
            <w:pPr>
              <w:ind w:firstLineChars="100" w:firstLine="200"/>
              <w:rPr>
                <w:rFonts w:cstheme="minorHAnsi"/>
                <w:color w:val="000000"/>
                <w:sz w:val="20"/>
                <w:szCs w:val="20"/>
              </w:rPr>
            </w:pPr>
            <w:r w:rsidRPr="006479DA">
              <w:rPr>
                <w:rFonts w:cstheme="minorHAnsi"/>
                <w:color w:val="000000"/>
                <w:sz w:val="20"/>
                <w:szCs w:val="20"/>
              </w:rPr>
              <w:t>2,001 births and over</w:t>
            </w:r>
          </w:p>
        </w:tc>
        <w:tc>
          <w:tcPr>
            <w:tcW w:w="401" w:type="pct"/>
            <w:shd w:val="clear" w:color="auto" w:fill="auto"/>
            <w:noWrap/>
            <w:hideMark/>
          </w:tcPr>
          <w:p w14:paraId="044E015B"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17.8</w:t>
            </w:r>
          </w:p>
        </w:tc>
        <w:tc>
          <w:tcPr>
            <w:tcW w:w="401" w:type="pct"/>
            <w:shd w:val="clear" w:color="auto" w:fill="auto"/>
            <w:noWrap/>
            <w:hideMark/>
          </w:tcPr>
          <w:p w14:paraId="3F96AF1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19.3</w:t>
            </w:r>
          </w:p>
        </w:tc>
        <w:tc>
          <w:tcPr>
            <w:tcW w:w="401" w:type="pct"/>
            <w:shd w:val="clear" w:color="auto" w:fill="auto"/>
            <w:noWrap/>
            <w:hideMark/>
          </w:tcPr>
          <w:p w14:paraId="12C8C813"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20.6</w:t>
            </w:r>
          </w:p>
        </w:tc>
        <w:tc>
          <w:tcPr>
            <w:tcW w:w="401" w:type="pct"/>
            <w:shd w:val="clear" w:color="auto" w:fill="auto"/>
            <w:noWrap/>
            <w:hideMark/>
          </w:tcPr>
          <w:p w14:paraId="3BB040E4"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21.7</w:t>
            </w:r>
          </w:p>
        </w:tc>
        <w:tc>
          <w:tcPr>
            <w:tcW w:w="401" w:type="pct"/>
            <w:shd w:val="clear" w:color="auto" w:fill="auto"/>
            <w:noWrap/>
            <w:hideMark/>
          </w:tcPr>
          <w:p w14:paraId="73B6494F"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21.7</w:t>
            </w:r>
          </w:p>
        </w:tc>
        <w:tc>
          <w:tcPr>
            <w:tcW w:w="401" w:type="pct"/>
            <w:shd w:val="clear" w:color="auto" w:fill="auto"/>
            <w:noWrap/>
            <w:hideMark/>
          </w:tcPr>
          <w:p w14:paraId="33275DC7"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23.2</w:t>
            </w:r>
          </w:p>
        </w:tc>
        <w:tc>
          <w:tcPr>
            <w:tcW w:w="401" w:type="pct"/>
            <w:shd w:val="clear" w:color="auto" w:fill="auto"/>
            <w:noWrap/>
            <w:hideMark/>
          </w:tcPr>
          <w:p w14:paraId="08455B5C"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24.6</w:t>
            </w:r>
          </w:p>
        </w:tc>
        <w:tc>
          <w:tcPr>
            <w:tcW w:w="401" w:type="pct"/>
            <w:shd w:val="clear" w:color="auto" w:fill="auto"/>
            <w:noWrap/>
            <w:hideMark/>
          </w:tcPr>
          <w:p w14:paraId="67CE9782"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24.9</w:t>
            </w:r>
          </w:p>
        </w:tc>
        <w:tc>
          <w:tcPr>
            <w:tcW w:w="400" w:type="pct"/>
            <w:shd w:val="clear" w:color="auto" w:fill="auto"/>
            <w:noWrap/>
            <w:hideMark/>
          </w:tcPr>
          <w:p w14:paraId="7B97542D" w14:textId="77777777" w:rsidR="00AF0ADF" w:rsidRPr="006479DA" w:rsidRDefault="00AF0ADF" w:rsidP="00AF0ADF">
            <w:pPr>
              <w:jc w:val="right"/>
              <w:rPr>
                <w:rFonts w:cstheme="minorHAnsi"/>
                <w:color w:val="000000"/>
                <w:sz w:val="20"/>
                <w:szCs w:val="20"/>
              </w:rPr>
            </w:pPr>
            <w:r w:rsidRPr="006479DA">
              <w:rPr>
                <w:rFonts w:cstheme="minorHAnsi"/>
                <w:color w:val="000000"/>
                <w:sz w:val="20"/>
                <w:szCs w:val="20"/>
              </w:rPr>
              <w:t>25.5</w:t>
            </w:r>
          </w:p>
        </w:tc>
      </w:tr>
    </w:tbl>
    <w:p w14:paraId="7891C34D" w14:textId="77777777" w:rsidR="00AF0ADF" w:rsidRPr="00B94D3E" w:rsidRDefault="00AF0ADF" w:rsidP="00940A8B">
      <w:pPr>
        <w:ind w:left="284" w:hanging="284"/>
        <w:rPr>
          <w:rFonts w:cstheme="minorHAnsi"/>
          <w:b/>
          <w:sz w:val="18"/>
          <w:szCs w:val="18"/>
        </w:rPr>
      </w:pPr>
      <w:r w:rsidRPr="00B94D3E">
        <w:rPr>
          <w:rFonts w:cstheme="minorHAnsi"/>
          <w:b/>
          <w:sz w:val="18"/>
          <w:szCs w:val="18"/>
        </w:rPr>
        <w:t>Data Notes:</w:t>
      </w:r>
    </w:p>
    <w:p w14:paraId="0AFE53B1" w14:textId="77777777" w:rsidR="00AF0ADF" w:rsidRPr="003A7CFF" w:rsidRDefault="00AF0ADF" w:rsidP="008D3FB5">
      <w:pPr>
        <w:pStyle w:val="pf0"/>
        <w:numPr>
          <w:ilvl w:val="0"/>
          <w:numId w:val="17"/>
        </w:numPr>
        <w:spacing w:before="0" w:beforeAutospacing="0" w:after="0" w:afterAutospacing="0"/>
        <w:ind w:left="284" w:hanging="284"/>
        <w:rPr>
          <w:rFonts w:asciiTheme="minorHAnsi" w:hAnsiTheme="minorHAnsi"/>
          <w:sz w:val="18"/>
          <w:szCs w:val="18"/>
        </w:rPr>
      </w:pPr>
      <w:r w:rsidRPr="003A7CFF">
        <w:rPr>
          <w:rFonts w:asciiTheme="minorHAnsi" w:hAnsiTheme="minorHAnsi"/>
          <w:sz w:val="18"/>
          <w:szCs w:val="18"/>
        </w:rPr>
        <w:t>Non-instrumental vaginal births include spontaneous vaginal and vaginal breech.</w:t>
      </w:r>
    </w:p>
    <w:p w14:paraId="1D607DC2" w14:textId="40C3BFEC" w:rsidR="00AF0ADF" w:rsidRPr="00B94D3E" w:rsidRDefault="00AF0ADF" w:rsidP="008D3FB5">
      <w:pPr>
        <w:pStyle w:val="ListParagraph"/>
        <w:numPr>
          <w:ilvl w:val="0"/>
          <w:numId w:val="17"/>
        </w:numPr>
        <w:ind w:left="284" w:hanging="284"/>
        <w:rPr>
          <w:sz w:val="18"/>
          <w:szCs w:val="18"/>
        </w:rPr>
      </w:pPr>
      <w:r w:rsidRPr="00B94D3E">
        <w:rPr>
          <w:sz w:val="18"/>
          <w:szCs w:val="18"/>
        </w:rPr>
        <w:t>For multiple births, the perineal status after the birth of the first-born baby was used.</w:t>
      </w:r>
    </w:p>
    <w:p w14:paraId="19C54EE0" w14:textId="31330466" w:rsidR="00AF0ADF" w:rsidRPr="00B94D3E" w:rsidRDefault="00AF0ADF" w:rsidP="008D3FB5">
      <w:pPr>
        <w:pStyle w:val="pf0"/>
        <w:numPr>
          <w:ilvl w:val="0"/>
          <w:numId w:val="17"/>
        </w:numPr>
        <w:spacing w:before="0" w:beforeAutospacing="0" w:after="0" w:afterAutospacing="0"/>
        <w:ind w:left="284" w:hanging="284"/>
        <w:rPr>
          <w:sz w:val="18"/>
          <w:szCs w:val="18"/>
        </w:rPr>
      </w:pPr>
      <w:r w:rsidRPr="00B94D3E">
        <w:rPr>
          <w:rFonts w:asciiTheme="minorHAnsi" w:hAnsiTheme="minorHAnsi"/>
          <w:sz w:val="18"/>
          <w:szCs w:val="18"/>
        </w:rPr>
        <w:t>From 2004 to 2013, a 'combined laceration and episiotomy' value could be recorded; from 2014 onwards, episiotomy could be recorded separately.</w:t>
      </w:r>
    </w:p>
    <w:p w14:paraId="405A333E" w14:textId="6DEBFCB4" w:rsidR="00AF0ADF" w:rsidRPr="00C459D0" w:rsidRDefault="00F61A64" w:rsidP="00AF0ADF">
      <w:pPr>
        <w:pStyle w:val="pf0"/>
        <w:numPr>
          <w:ilvl w:val="0"/>
          <w:numId w:val="17"/>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3F381F04" w14:textId="77777777" w:rsidR="00940A8B" w:rsidRDefault="00940A8B" w:rsidP="00B94D3E">
      <w:bookmarkStart w:id="446" w:name="_Ref117110503"/>
      <w:r>
        <w:br w:type="page"/>
      </w:r>
    </w:p>
    <w:p w14:paraId="5F6CB2C7" w14:textId="566241A9" w:rsidR="00AF0ADF" w:rsidRPr="008E401A" w:rsidRDefault="00AF0ADF" w:rsidP="00AF0ADF">
      <w:pPr>
        <w:pStyle w:val="Caption"/>
        <w:rPr>
          <w:sz w:val="20"/>
          <w:szCs w:val="20"/>
        </w:rPr>
      </w:pPr>
      <w:bookmarkStart w:id="447" w:name="_Ref117928635"/>
      <w:bookmarkStart w:id="448" w:name="_Toc121429203"/>
      <w:r w:rsidRPr="008E401A">
        <w:rPr>
          <w:sz w:val="20"/>
          <w:szCs w:val="20"/>
        </w:rPr>
        <w:lastRenderedPageBreak/>
        <w:t xml:space="preserve">Table </w:t>
      </w:r>
      <w:r w:rsidR="00A64FC5" w:rsidRPr="008E401A">
        <w:rPr>
          <w:sz w:val="20"/>
          <w:szCs w:val="20"/>
        </w:rPr>
        <w:fldChar w:fldCharType="begin"/>
      </w:r>
      <w:r w:rsidR="00A64FC5" w:rsidRPr="008E401A">
        <w:rPr>
          <w:sz w:val="20"/>
          <w:szCs w:val="20"/>
        </w:rPr>
        <w:instrText xml:space="preserve"> SEQ Table \* ARABIC </w:instrText>
      </w:r>
      <w:r w:rsidR="00A64FC5" w:rsidRPr="008E401A">
        <w:rPr>
          <w:sz w:val="20"/>
          <w:szCs w:val="20"/>
        </w:rPr>
        <w:fldChar w:fldCharType="separate"/>
      </w:r>
      <w:r w:rsidR="00296988">
        <w:rPr>
          <w:noProof/>
          <w:sz w:val="20"/>
          <w:szCs w:val="20"/>
        </w:rPr>
        <w:t>27</w:t>
      </w:r>
      <w:r w:rsidR="00A64FC5" w:rsidRPr="008E401A">
        <w:rPr>
          <w:noProof/>
          <w:sz w:val="20"/>
          <w:szCs w:val="20"/>
        </w:rPr>
        <w:fldChar w:fldCharType="end"/>
      </w:r>
      <w:bookmarkEnd w:id="446"/>
      <w:bookmarkEnd w:id="447"/>
      <w:r w:rsidRPr="008E401A">
        <w:rPr>
          <w:sz w:val="20"/>
          <w:szCs w:val="20"/>
        </w:rPr>
        <w:tab/>
        <w:t>Episiotomy</w:t>
      </w:r>
      <w:r w:rsidR="008E401A">
        <w:rPr>
          <w:sz w:val="20"/>
          <w:szCs w:val="20"/>
        </w:rPr>
        <w:t>,</w:t>
      </w:r>
      <w:r w:rsidRPr="008E401A">
        <w:rPr>
          <w:sz w:val="20"/>
          <w:szCs w:val="20"/>
        </w:rPr>
        <w:t xml:space="preserve"> first baby</w:t>
      </w:r>
      <w:r w:rsidR="009D1604">
        <w:rPr>
          <w:sz w:val="20"/>
          <w:szCs w:val="20"/>
        </w:rPr>
        <w:t>,</w:t>
      </w:r>
      <w:r w:rsidRPr="008E401A">
        <w:rPr>
          <w:sz w:val="20"/>
          <w:szCs w:val="20"/>
        </w:rPr>
        <w:t xml:space="preserve"> </w:t>
      </w:r>
      <w:r w:rsidR="001C2C26">
        <w:rPr>
          <w:sz w:val="20"/>
          <w:szCs w:val="20"/>
        </w:rPr>
        <w:t>vaginal instrumental births</w:t>
      </w:r>
      <w:r w:rsidRPr="008E401A">
        <w:rPr>
          <w:sz w:val="20"/>
          <w:szCs w:val="20"/>
        </w:rPr>
        <w:t xml:space="preserve"> (PI03b), 2011–2019</w:t>
      </w:r>
      <w:bookmarkEnd w:id="4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787"/>
        <w:gridCol w:w="787"/>
        <w:gridCol w:w="787"/>
        <w:gridCol w:w="786"/>
        <w:gridCol w:w="786"/>
        <w:gridCol w:w="786"/>
        <w:gridCol w:w="786"/>
        <w:gridCol w:w="786"/>
        <w:gridCol w:w="786"/>
      </w:tblGrid>
      <w:tr w:rsidR="00AF0ADF" w:rsidRPr="005E1E68" w14:paraId="24B74162" w14:textId="77777777" w:rsidTr="00B94D3E">
        <w:trPr>
          <w:trHeight w:val="241"/>
        </w:trPr>
        <w:tc>
          <w:tcPr>
            <w:tcW w:w="1409" w:type="pct"/>
            <w:shd w:val="clear" w:color="auto" w:fill="auto"/>
            <w:noWrap/>
            <w:vAlign w:val="bottom"/>
            <w:hideMark/>
          </w:tcPr>
          <w:p w14:paraId="681373A7" w14:textId="0B2D44AA" w:rsidR="00AF0ADF" w:rsidRPr="006A45AA" w:rsidRDefault="00AF0ADF" w:rsidP="00AF0ADF">
            <w:pPr>
              <w:rPr>
                <w:rFonts w:cstheme="minorHAnsi"/>
                <w:b/>
                <w:bCs/>
                <w:color w:val="000000"/>
                <w:sz w:val="20"/>
                <w:szCs w:val="20"/>
              </w:rPr>
            </w:pPr>
          </w:p>
        </w:tc>
        <w:tc>
          <w:tcPr>
            <w:tcW w:w="399" w:type="pct"/>
            <w:shd w:val="clear" w:color="auto" w:fill="auto"/>
            <w:noWrap/>
            <w:vAlign w:val="center"/>
            <w:hideMark/>
          </w:tcPr>
          <w:p w14:paraId="4D48B512"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2011</w:t>
            </w:r>
          </w:p>
        </w:tc>
        <w:tc>
          <w:tcPr>
            <w:tcW w:w="399" w:type="pct"/>
            <w:shd w:val="clear" w:color="auto" w:fill="auto"/>
            <w:noWrap/>
            <w:vAlign w:val="center"/>
            <w:hideMark/>
          </w:tcPr>
          <w:p w14:paraId="7957407D"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2012</w:t>
            </w:r>
          </w:p>
        </w:tc>
        <w:tc>
          <w:tcPr>
            <w:tcW w:w="399" w:type="pct"/>
            <w:shd w:val="clear" w:color="auto" w:fill="auto"/>
            <w:noWrap/>
            <w:vAlign w:val="center"/>
            <w:hideMark/>
          </w:tcPr>
          <w:p w14:paraId="2351EA28"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2013</w:t>
            </w:r>
          </w:p>
        </w:tc>
        <w:tc>
          <w:tcPr>
            <w:tcW w:w="399" w:type="pct"/>
            <w:shd w:val="clear" w:color="auto" w:fill="auto"/>
            <w:noWrap/>
            <w:vAlign w:val="center"/>
            <w:hideMark/>
          </w:tcPr>
          <w:p w14:paraId="1890C5FE"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2014</w:t>
            </w:r>
          </w:p>
        </w:tc>
        <w:tc>
          <w:tcPr>
            <w:tcW w:w="399" w:type="pct"/>
            <w:shd w:val="clear" w:color="auto" w:fill="auto"/>
            <w:noWrap/>
            <w:vAlign w:val="center"/>
            <w:hideMark/>
          </w:tcPr>
          <w:p w14:paraId="0508635D"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2015</w:t>
            </w:r>
          </w:p>
        </w:tc>
        <w:tc>
          <w:tcPr>
            <w:tcW w:w="399" w:type="pct"/>
            <w:shd w:val="clear" w:color="auto" w:fill="auto"/>
            <w:noWrap/>
            <w:vAlign w:val="center"/>
            <w:hideMark/>
          </w:tcPr>
          <w:p w14:paraId="2DD8A234"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2016</w:t>
            </w:r>
          </w:p>
        </w:tc>
        <w:tc>
          <w:tcPr>
            <w:tcW w:w="399" w:type="pct"/>
            <w:shd w:val="clear" w:color="auto" w:fill="auto"/>
            <w:noWrap/>
            <w:vAlign w:val="center"/>
            <w:hideMark/>
          </w:tcPr>
          <w:p w14:paraId="6AD3804D"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2017</w:t>
            </w:r>
          </w:p>
        </w:tc>
        <w:tc>
          <w:tcPr>
            <w:tcW w:w="399" w:type="pct"/>
            <w:shd w:val="clear" w:color="auto" w:fill="auto"/>
            <w:noWrap/>
            <w:vAlign w:val="center"/>
            <w:hideMark/>
          </w:tcPr>
          <w:p w14:paraId="4EEDFAE4"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2018</w:t>
            </w:r>
          </w:p>
        </w:tc>
        <w:tc>
          <w:tcPr>
            <w:tcW w:w="399" w:type="pct"/>
            <w:shd w:val="clear" w:color="auto" w:fill="auto"/>
            <w:noWrap/>
            <w:vAlign w:val="center"/>
            <w:hideMark/>
          </w:tcPr>
          <w:p w14:paraId="1ABECC7B" w14:textId="77777777" w:rsidR="00AF0ADF" w:rsidRPr="006A45AA" w:rsidRDefault="00AF0ADF" w:rsidP="00B94D3E">
            <w:pPr>
              <w:jc w:val="center"/>
              <w:rPr>
                <w:rFonts w:cstheme="minorHAnsi"/>
                <w:b/>
                <w:bCs/>
                <w:color w:val="000000"/>
                <w:sz w:val="20"/>
                <w:szCs w:val="20"/>
              </w:rPr>
            </w:pPr>
            <w:r w:rsidRPr="006A45AA">
              <w:rPr>
                <w:rFonts w:cstheme="minorHAnsi"/>
                <w:b/>
                <w:bCs/>
                <w:color w:val="000000"/>
                <w:sz w:val="20"/>
                <w:szCs w:val="20"/>
              </w:rPr>
              <w:t>2019</w:t>
            </w:r>
          </w:p>
        </w:tc>
      </w:tr>
      <w:tr w:rsidR="00AF0ADF" w:rsidRPr="005E1E68" w14:paraId="6BEDF31E" w14:textId="77777777" w:rsidTr="00AF0ADF">
        <w:trPr>
          <w:trHeight w:val="241"/>
        </w:trPr>
        <w:tc>
          <w:tcPr>
            <w:tcW w:w="1409" w:type="pct"/>
            <w:shd w:val="clear" w:color="auto" w:fill="auto"/>
            <w:noWrap/>
            <w:vAlign w:val="bottom"/>
          </w:tcPr>
          <w:p w14:paraId="25541702" w14:textId="77777777" w:rsidR="00AF0ADF" w:rsidRPr="006A45AA" w:rsidRDefault="00AF0ADF" w:rsidP="00AF0ADF">
            <w:pPr>
              <w:rPr>
                <w:rFonts w:cstheme="minorHAnsi"/>
                <w:b/>
                <w:bCs/>
                <w:color w:val="000000"/>
                <w:sz w:val="20"/>
                <w:szCs w:val="20"/>
              </w:rPr>
            </w:pPr>
          </w:p>
        </w:tc>
        <w:tc>
          <w:tcPr>
            <w:tcW w:w="3591" w:type="pct"/>
            <w:gridSpan w:val="9"/>
            <w:shd w:val="clear" w:color="auto" w:fill="auto"/>
            <w:noWrap/>
          </w:tcPr>
          <w:p w14:paraId="2603695E" w14:textId="77777777" w:rsidR="00AF0ADF" w:rsidRPr="006A45AA" w:rsidRDefault="00AF0ADF" w:rsidP="00AF0ADF">
            <w:pPr>
              <w:jc w:val="center"/>
              <w:rPr>
                <w:rFonts w:cstheme="minorHAnsi"/>
                <w:b/>
                <w:bCs/>
                <w:color w:val="000000"/>
                <w:sz w:val="20"/>
                <w:szCs w:val="20"/>
              </w:rPr>
            </w:pPr>
            <w:r w:rsidRPr="006A45AA">
              <w:rPr>
                <w:rFonts w:cstheme="minorHAnsi"/>
                <w:b/>
                <w:bCs/>
                <w:sz w:val="20"/>
                <w:szCs w:val="20"/>
              </w:rPr>
              <w:t>In per cent (%)</w:t>
            </w:r>
          </w:p>
        </w:tc>
      </w:tr>
      <w:tr w:rsidR="00AF0ADF" w:rsidRPr="005E1E68" w14:paraId="3EB1DA17" w14:textId="77777777" w:rsidTr="00AF0ADF">
        <w:trPr>
          <w:trHeight w:val="241"/>
        </w:trPr>
        <w:tc>
          <w:tcPr>
            <w:tcW w:w="5000" w:type="pct"/>
            <w:gridSpan w:val="10"/>
            <w:shd w:val="clear" w:color="auto" w:fill="auto"/>
            <w:noWrap/>
            <w:vAlign w:val="bottom"/>
            <w:hideMark/>
          </w:tcPr>
          <w:p w14:paraId="2294BA0A" w14:textId="77777777" w:rsidR="00AF0ADF" w:rsidRPr="006A45AA" w:rsidRDefault="00AF0ADF" w:rsidP="00AF0ADF">
            <w:pPr>
              <w:rPr>
                <w:rFonts w:cstheme="minorHAnsi"/>
                <w:sz w:val="20"/>
                <w:szCs w:val="20"/>
              </w:rPr>
            </w:pPr>
            <w:r w:rsidRPr="006A45AA">
              <w:rPr>
                <w:rFonts w:cstheme="minorHAnsi"/>
                <w:b/>
                <w:bCs/>
                <w:color w:val="000000"/>
                <w:sz w:val="20"/>
                <w:szCs w:val="20"/>
              </w:rPr>
              <w:t>Australia</w:t>
            </w:r>
          </w:p>
        </w:tc>
      </w:tr>
      <w:tr w:rsidR="00AF0ADF" w:rsidRPr="005E1E68" w14:paraId="5A90FF1F" w14:textId="77777777" w:rsidTr="00751711">
        <w:trPr>
          <w:trHeight w:val="241"/>
        </w:trPr>
        <w:tc>
          <w:tcPr>
            <w:tcW w:w="1409" w:type="pct"/>
            <w:shd w:val="clear" w:color="auto" w:fill="auto"/>
            <w:noWrap/>
            <w:vAlign w:val="bottom"/>
            <w:hideMark/>
          </w:tcPr>
          <w:p w14:paraId="480870A2"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Total</w:t>
            </w:r>
          </w:p>
        </w:tc>
        <w:tc>
          <w:tcPr>
            <w:tcW w:w="399" w:type="pct"/>
            <w:shd w:val="clear" w:color="auto" w:fill="auto"/>
            <w:noWrap/>
            <w:vAlign w:val="bottom"/>
            <w:hideMark/>
          </w:tcPr>
          <w:p w14:paraId="06D5CD3F"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61.9</w:t>
            </w:r>
          </w:p>
        </w:tc>
        <w:tc>
          <w:tcPr>
            <w:tcW w:w="399" w:type="pct"/>
            <w:shd w:val="clear" w:color="auto" w:fill="auto"/>
            <w:noWrap/>
            <w:vAlign w:val="bottom"/>
            <w:hideMark/>
          </w:tcPr>
          <w:p w14:paraId="532FADE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66.6</w:t>
            </w:r>
          </w:p>
        </w:tc>
        <w:tc>
          <w:tcPr>
            <w:tcW w:w="399" w:type="pct"/>
            <w:shd w:val="clear" w:color="auto" w:fill="auto"/>
            <w:noWrap/>
            <w:vAlign w:val="bottom"/>
            <w:hideMark/>
          </w:tcPr>
          <w:p w14:paraId="67300DE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69.6</w:t>
            </w:r>
          </w:p>
        </w:tc>
        <w:tc>
          <w:tcPr>
            <w:tcW w:w="399" w:type="pct"/>
            <w:shd w:val="clear" w:color="auto" w:fill="auto"/>
            <w:noWrap/>
            <w:vAlign w:val="bottom"/>
            <w:hideMark/>
          </w:tcPr>
          <w:p w14:paraId="39912DB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71.6</w:t>
            </w:r>
          </w:p>
        </w:tc>
        <w:tc>
          <w:tcPr>
            <w:tcW w:w="399" w:type="pct"/>
            <w:shd w:val="clear" w:color="auto" w:fill="auto"/>
            <w:noWrap/>
            <w:vAlign w:val="bottom"/>
            <w:hideMark/>
          </w:tcPr>
          <w:p w14:paraId="1194333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72.7</w:t>
            </w:r>
          </w:p>
        </w:tc>
        <w:tc>
          <w:tcPr>
            <w:tcW w:w="399" w:type="pct"/>
            <w:shd w:val="clear" w:color="auto" w:fill="auto"/>
            <w:noWrap/>
            <w:vAlign w:val="bottom"/>
            <w:hideMark/>
          </w:tcPr>
          <w:p w14:paraId="7D7E1F2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73.2</w:t>
            </w:r>
          </w:p>
        </w:tc>
        <w:tc>
          <w:tcPr>
            <w:tcW w:w="399" w:type="pct"/>
            <w:shd w:val="clear" w:color="auto" w:fill="auto"/>
            <w:noWrap/>
            <w:vAlign w:val="bottom"/>
            <w:hideMark/>
          </w:tcPr>
          <w:p w14:paraId="6A7EB26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75.2</w:t>
            </w:r>
          </w:p>
        </w:tc>
        <w:tc>
          <w:tcPr>
            <w:tcW w:w="399" w:type="pct"/>
            <w:shd w:val="clear" w:color="auto" w:fill="auto"/>
            <w:noWrap/>
            <w:vAlign w:val="bottom"/>
            <w:hideMark/>
          </w:tcPr>
          <w:p w14:paraId="198FD88A"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77.6</w:t>
            </w:r>
          </w:p>
        </w:tc>
        <w:tc>
          <w:tcPr>
            <w:tcW w:w="399" w:type="pct"/>
            <w:shd w:val="clear" w:color="auto" w:fill="auto"/>
            <w:noWrap/>
            <w:vAlign w:val="bottom"/>
            <w:hideMark/>
          </w:tcPr>
          <w:p w14:paraId="3E72F0E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79.6</w:t>
            </w:r>
          </w:p>
        </w:tc>
      </w:tr>
      <w:tr w:rsidR="00AF0ADF" w:rsidRPr="005E1E68" w14:paraId="75B6CAB4" w14:textId="77777777" w:rsidTr="00AF0ADF">
        <w:trPr>
          <w:trHeight w:val="241"/>
        </w:trPr>
        <w:tc>
          <w:tcPr>
            <w:tcW w:w="5000" w:type="pct"/>
            <w:gridSpan w:val="10"/>
            <w:shd w:val="clear" w:color="auto" w:fill="auto"/>
            <w:noWrap/>
            <w:vAlign w:val="bottom"/>
            <w:hideMark/>
          </w:tcPr>
          <w:p w14:paraId="0798385C" w14:textId="77777777" w:rsidR="00AF0ADF" w:rsidRPr="006A45AA" w:rsidRDefault="00AF0ADF" w:rsidP="00AF0ADF">
            <w:pPr>
              <w:rPr>
                <w:rFonts w:cstheme="minorHAnsi"/>
                <w:sz w:val="20"/>
                <w:szCs w:val="20"/>
              </w:rPr>
            </w:pPr>
            <w:r w:rsidRPr="006A45AA">
              <w:rPr>
                <w:rFonts w:cstheme="minorHAnsi"/>
                <w:b/>
                <w:bCs/>
                <w:color w:val="000000"/>
                <w:sz w:val="20"/>
                <w:szCs w:val="20"/>
              </w:rPr>
              <w:t>Mother's age at birth</w:t>
            </w:r>
          </w:p>
        </w:tc>
      </w:tr>
      <w:tr w:rsidR="00AF0ADF" w:rsidRPr="005E1E68" w14:paraId="67D776B5" w14:textId="77777777" w:rsidTr="00751711">
        <w:trPr>
          <w:trHeight w:val="241"/>
        </w:trPr>
        <w:tc>
          <w:tcPr>
            <w:tcW w:w="1409" w:type="pct"/>
            <w:shd w:val="clear" w:color="auto" w:fill="auto"/>
            <w:noWrap/>
            <w:vAlign w:val="bottom"/>
            <w:hideMark/>
          </w:tcPr>
          <w:p w14:paraId="008B5ED2"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Younger than 20</w:t>
            </w:r>
          </w:p>
        </w:tc>
        <w:tc>
          <w:tcPr>
            <w:tcW w:w="399" w:type="pct"/>
            <w:shd w:val="clear" w:color="auto" w:fill="auto"/>
            <w:noWrap/>
            <w:vAlign w:val="bottom"/>
            <w:hideMark/>
          </w:tcPr>
          <w:p w14:paraId="7DC1427A"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56.6</w:t>
            </w:r>
          </w:p>
        </w:tc>
        <w:tc>
          <w:tcPr>
            <w:tcW w:w="399" w:type="pct"/>
            <w:shd w:val="clear" w:color="auto" w:fill="auto"/>
            <w:noWrap/>
            <w:vAlign w:val="bottom"/>
            <w:hideMark/>
          </w:tcPr>
          <w:p w14:paraId="7A203841"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63.8</w:t>
            </w:r>
          </w:p>
        </w:tc>
        <w:tc>
          <w:tcPr>
            <w:tcW w:w="399" w:type="pct"/>
            <w:shd w:val="clear" w:color="auto" w:fill="auto"/>
            <w:noWrap/>
            <w:vAlign w:val="bottom"/>
            <w:hideMark/>
          </w:tcPr>
          <w:p w14:paraId="411B1D9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68.6</w:t>
            </w:r>
          </w:p>
        </w:tc>
        <w:tc>
          <w:tcPr>
            <w:tcW w:w="399" w:type="pct"/>
            <w:shd w:val="clear" w:color="auto" w:fill="auto"/>
            <w:noWrap/>
            <w:vAlign w:val="bottom"/>
            <w:hideMark/>
          </w:tcPr>
          <w:p w14:paraId="484BB73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69.3</w:t>
            </w:r>
          </w:p>
        </w:tc>
        <w:tc>
          <w:tcPr>
            <w:tcW w:w="399" w:type="pct"/>
            <w:shd w:val="clear" w:color="auto" w:fill="auto"/>
            <w:noWrap/>
            <w:vAlign w:val="bottom"/>
            <w:hideMark/>
          </w:tcPr>
          <w:p w14:paraId="1BC0DF7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70.2</w:t>
            </w:r>
          </w:p>
        </w:tc>
        <w:tc>
          <w:tcPr>
            <w:tcW w:w="399" w:type="pct"/>
            <w:shd w:val="clear" w:color="auto" w:fill="auto"/>
            <w:noWrap/>
            <w:vAlign w:val="bottom"/>
            <w:hideMark/>
          </w:tcPr>
          <w:p w14:paraId="5149EFA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68.7</w:t>
            </w:r>
          </w:p>
        </w:tc>
        <w:tc>
          <w:tcPr>
            <w:tcW w:w="399" w:type="pct"/>
            <w:shd w:val="clear" w:color="auto" w:fill="auto"/>
            <w:noWrap/>
            <w:vAlign w:val="bottom"/>
            <w:hideMark/>
          </w:tcPr>
          <w:p w14:paraId="1C7C03E8"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72.4</w:t>
            </w:r>
          </w:p>
        </w:tc>
        <w:tc>
          <w:tcPr>
            <w:tcW w:w="399" w:type="pct"/>
            <w:shd w:val="clear" w:color="auto" w:fill="auto"/>
            <w:noWrap/>
            <w:vAlign w:val="bottom"/>
            <w:hideMark/>
          </w:tcPr>
          <w:p w14:paraId="5CAEA921"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74.8</w:t>
            </w:r>
          </w:p>
        </w:tc>
        <w:tc>
          <w:tcPr>
            <w:tcW w:w="399" w:type="pct"/>
            <w:shd w:val="clear" w:color="auto" w:fill="auto"/>
            <w:noWrap/>
            <w:vAlign w:val="bottom"/>
            <w:hideMark/>
          </w:tcPr>
          <w:p w14:paraId="339B4CA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80.6</w:t>
            </w:r>
          </w:p>
        </w:tc>
      </w:tr>
      <w:tr w:rsidR="00AF0ADF" w:rsidRPr="005E1E68" w14:paraId="7831D4F8" w14:textId="77777777" w:rsidTr="00751711">
        <w:trPr>
          <w:trHeight w:val="241"/>
        </w:trPr>
        <w:tc>
          <w:tcPr>
            <w:tcW w:w="1409" w:type="pct"/>
            <w:shd w:val="clear" w:color="auto" w:fill="auto"/>
            <w:noWrap/>
            <w:vAlign w:val="bottom"/>
            <w:hideMark/>
          </w:tcPr>
          <w:p w14:paraId="4FF1DCC3"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20-24</w:t>
            </w:r>
          </w:p>
        </w:tc>
        <w:tc>
          <w:tcPr>
            <w:tcW w:w="399" w:type="pct"/>
            <w:shd w:val="clear" w:color="auto" w:fill="auto"/>
            <w:noWrap/>
            <w:vAlign w:val="bottom"/>
            <w:hideMark/>
          </w:tcPr>
          <w:p w14:paraId="0CAF0AF8"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62.6</w:t>
            </w:r>
          </w:p>
        </w:tc>
        <w:tc>
          <w:tcPr>
            <w:tcW w:w="399" w:type="pct"/>
            <w:shd w:val="clear" w:color="auto" w:fill="auto"/>
            <w:noWrap/>
            <w:vAlign w:val="bottom"/>
            <w:hideMark/>
          </w:tcPr>
          <w:p w14:paraId="324495AD"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65.7</w:t>
            </w:r>
          </w:p>
        </w:tc>
        <w:tc>
          <w:tcPr>
            <w:tcW w:w="399" w:type="pct"/>
            <w:shd w:val="clear" w:color="auto" w:fill="auto"/>
            <w:noWrap/>
            <w:vAlign w:val="bottom"/>
            <w:hideMark/>
          </w:tcPr>
          <w:p w14:paraId="0C2ECF9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70.1</w:t>
            </w:r>
          </w:p>
        </w:tc>
        <w:tc>
          <w:tcPr>
            <w:tcW w:w="399" w:type="pct"/>
            <w:shd w:val="clear" w:color="auto" w:fill="auto"/>
            <w:noWrap/>
            <w:vAlign w:val="bottom"/>
            <w:hideMark/>
          </w:tcPr>
          <w:p w14:paraId="7ADD864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72.2</w:t>
            </w:r>
          </w:p>
        </w:tc>
        <w:tc>
          <w:tcPr>
            <w:tcW w:w="399" w:type="pct"/>
            <w:shd w:val="clear" w:color="auto" w:fill="auto"/>
            <w:noWrap/>
            <w:vAlign w:val="bottom"/>
            <w:hideMark/>
          </w:tcPr>
          <w:p w14:paraId="1F743545"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71.9</w:t>
            </w:r>
          </w:p>
        </w:tc>
        <w:tc>
          <w:tcPr>
            <w:tcW w:w="399" w:type="pct"/>
            <w:shd w:val="clear" w:color="auto" w:fill="auto"/>
            <w:noWrap/>
            <w:vAlign w:val="bottom"/>
            <w:hideMark/>
          </w:tcPr>
          <w:p w14:paraId="482C60D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73.0</w:t>
            </w:r>
          </w:p>
        </w:tc>
        <w:tc>
          <w:tcPr>
            <w:tcW w:w="399" w:type="pct"/>
            <w:shd w:val="clear" w:color="auto" w:fill="auto"/>
            <w:noWrap/>
            <w:vAlign w:val="bottom"/>
            <w:hideMark/>
          </w:tcPr>
          <w:p w14:paraId="698B407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75.9</w:t>
            </w:r>
          </w:p>
        </w:tc>
        <w:tc>
          <w:tcPr>
            <w:tcW w:w="399" w:type="pct"/>
            <w:shd w:val="clear" w:color="auto" w:fill="auto"/>
            <w:noWrap/>
            <w:vAlign w:val="bottom"/>
            <w:hideMark/>
          </w:tcPr>
          <w:p w14:paraId="1E33F4F6"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78.7</w:t>
            </w:r>
          </w:p>
        </w:tc>
        <w:tc>
          <w:tcPr>
            <w:tcW w:w="399" w:type="pct"/>
            <w:shd w:val="clear" w:color="auto" w:fill="auto"/>
            <w:noWrap/>
            <w:vAlign w:val="bottom"/>
            <w:hideMark/>
          </w:tcPr>
          <w:p w14:paraId="4A4946E6"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80.6</w:t>
            </w:r>
          </w:p>
        </w:tc>
      </w:tr>
      <w:tr w:rsidR="00AF0ADF" w:rsidRPr="005E1E68" w14:paraId="75652A29" w14:textId="77777777" w:rsidTr="00751711">
        <w:trPr>
          <w:trHeight w:val="241"/>
        </w:trPr>
        <w:tc>
          <w:tcPr>
            <w:tcW w:w="1409" w:type="pct"/>
            <w:shd w:val="clear" w:color="auto" w:fill="auto"/>
            <w:noWrap/>
            <w:vAlign w:val="bottom"/>
            <w:hideMark/>
          </w:tcPr>
          <w:p w14:paraId="2AC4321E"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25-29</w:t>
            </w:r>
          </w:p>
        </w:tc>
        <w:tc>
          <w:tcPr>
            <w:tcW w:w="399" w:type="pct"/>
            <w:shd w:val="clear" w:color="auto" w:fill="auto"/>
            <w:noWrap/>
            <w:vAlign w:val="bottom"/>
            <w:hideMark/>
          </w:tcPr>
          <w:p w14:paraId="43C384D6"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62.9</w:t>
            </w:r>
          </w:p>
        </w:tc>
        <w:tc>
          <w:tcPr>
            <w:tcW w:w="399" w:type="pct"/>
            <w:shd w:val="clear" w:color="auto" w:fill="auto"/>
            <w:noWrap/>
            <w:vAlign w:val="bottom"/>
            <w:hideMark/>
          </w:tcPr>
          <w:p w14:paraId="3ECBDAB6"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67.9</w:t>
            </w:r>
          </w:p>
        </w:tc>
        <w:tc>
          <w:tcPr>
            <w:tcW w:w="399" w:type="pct"/>
            <w:shd w:val="clear" w:color="auto" w:fill="auto"/>
            <w:noWrap/>
            <w:vAlign w:val="bottom"/>
            <w:hideMark/>
          </w:tcPr>
          <w:p w14:paraId="2D925135"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70.5</w:t>
            </w:r>
          </w:p>
        </w:tc>
        <w:tc>
          <w:tcPr>
            <w:tcW w:w="399" w:type="pct"/>
            <w:shd w:val="clear" w:color="auto" w:fill="auto"/>
            <w:noWrap/>
            <w:vAlign w:val="bottom"/>
            <w:hideMark/>
          </w:tcPr>
          <w:p w14:paraId="614236F8"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72.6</w:t>
            </w:r>
          </w:p>
        </w:tc>
        <w:tc>
          <w:tcPr>
            <w:tcW w:w="399" w:type="pct"/>
            <w:shd w:val="clear" w:color="auto" w:fill="auto"/>
            <w:noWrap/>
            <w:vAlign w:val="bottom"/>
            <w:hideMark/>
          </w:tcPr>
          <w:p w14:paraId="4443A455"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73.8</w:t>
            </w:r>
          </w:p>
        </w:tc>
        <w:tc>
          <w:tcPr>
            <w:tcW w:w="399" w:type="pct"/>
            <w:shd w:val="clear" w:color="auto" w:fill="auto"/>
            <w:noWrap/>
            <w:vAlign w:val="bottom"/>
            <w:hideMark/>
          </w:tcPr>
          <w:p w14:paraId="72041B5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74.1</w:t>
            </w:r>
          </w:p>
        </w:tc>
        <w:tc>
          <w:tcPr>
            <w:tcW w:w="399" w:type="pct"/>
            <w:shd w:val="clear" w:color="auto" w:fill="auto"/>
            <w:noWrap/>
            <w:vAlign w:val="bottom"/>
            <w:hideMark/>
          </w:tcPr>
          <w:p w14:paraId="229A6108"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75.8</w:t>
            </w:r>
          </w:p>
        </w:tc>
        <w:tc>
          <w:tcPr>
            <w:tcW w:w="399" w:type="pct"/>
            <w:shd w:val="clear" w:color="auto" w:fill="auto"/>
            <w:noWrap/>
            <w:vAlign w:val="bottom"/>
            <w:hideMark/>
          </w:tcPr>
          <w:p w14:paraId="178923D6"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79.2</w:t>
            </w:r>
          </w:p>
        </w:tc>
        <w:tc>
          <w:tcPr>
            <w:tcW w:w="399" w:type="pct"/>
            <w:shd w:val="clear" w:color="auto" w:fill="auto"/>
            <w:noWrap/>
            <w:vAlign w:val="bottom"/>
            <w:hideMark/>
          </w:tcPr>
          <w:p w14:paraId="0330778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81.3</w:t>
            </w:r>
          </w:p>
        </w:tc>
      </w:tr>
      <w:tr w:rsidR="00AF0ADF" w:rsidRPr="005E1E68" w14:paraId="6E5AA4B1" w14:textId="77777777" w:rsidTr="00751711">
        <w:trPr>
          <w:trHeight w:val="241"/>
        </w:trPr>
        <w:tc>
          <w:tcPr>
            <w:tcW w:w="1409" w:type="pct"/>
            <w:shd w:val="clear" w:color="auto" w:fill="auto"/>
            <w:noWrap/>
            <w:vAlign w:val="bottom"/>
            <w:hideMark/>
          </w:tcPr>
          <w:p w14:paraId="450F5DBC"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30-34</w:t>
            </w:r>
          </w:p>
        </w:tc>
        <w:tc>
          <w:tcPr>
            <w:tcW w:w="399" w:type="pct"/>
            <w:shd w:val="clear" w:color="auto" w:fill="auto"/>
            <w:noWrap/>
            <w:vAlign w:val="bottom"/>
            <w:hideMark/>
          </w:tcPr>
          <w:p w14:paraId="798BC2FF"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61.3</w:t>
            </w:r>
          </w:p>
        </w:tc>
        <w:tc>
          <w:tcPr>
            <w:tcW w:w="399" w:type="pct"/>
            <w:shd w:val="clear" w:color="auto" w:fill="auto"/>
            <w:noWrap/>
            <w:vAlign w:val="bottom"/>
            <w:hideMark/>
          </w:tcPr>
          <w:p w14:paraId="01C49857"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66.6</w:t>
            </w:r>
          </w:p>
        </w:tc>
        <w:tc>
          <w:tcPr>
            <w:tcW w:w="399" w:type="pct"/>
            <w:shd w:val="clear" w:color="auto" w:fill="auto"/>
            <w:noWrap/>
            <w:vAlign w:val="bottom"/>
            <w:hideMark/>
          </w:tcPr>
          <w:p w14:paraId="6E15041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69.3</w:t>
            </w:r>
          </w:p>
        </w:tc>
        <w:tc>
          <w:tcPr>
            <w:tcW w:w="399" w:type="pct"/>
            <w:shd w:val="clear" w:color="auto" w:fill="auto"/>
            <w:noWrap/>
            <w:vAlign w:val="bottom"/>
            <w:hideMark/>
          </w:tcPr>
          <w:p w14:paraId="3749DE7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71.1</w:t>
            </w:r>
          </w:p>
        </w:tc>
        <w:tc>
          <w:tcPr>
            <w:tcW w:w="399" w:type="pct"/>
            <w:shd w:val="clear" w:color="auto" w:fill="auto"/>
            <w:noWrap/>
            <w:vAlign w:val="bottom"/>
            <w:hideMark/>
          </w:tcPr>
          <w:p w14:paraId="27E74C93"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72.4</w:t>
            </w:r>
          </w:p>
        </w:tc>
        <w:tc>
          <w:tcPr>
            <w:tcW w:w="399" w:type="pct"/>
            <w:shd w:val="clear" w:color="auto" w:fill="auto"/>
            <w:noWrap/>
            <w:vAlign w:val="bottom"/>
            <w:hideMark/>
          </w:tcPr>
          <w:p w14:paraId="6F716DB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73.2</w:t>
            </w:r>
          </w:p>
        </w:tc>
        <w:tc>
          <w:tcPr>
            <w:tcW w:w="399" w:type="pct"/>
            <w:shd w:val="clear" w:color="auto" w:fill="auto"/>
            <w:noWrap/>
            <w:vAlign w:val="bottom"/>
            <w:hideMark/>
          </w:tcPr>
          <w:p w14:paraId="6D8B7FF7"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75.1</w:t>
            </w:r>
          </w:p>
        </w:tc>
        <w:tc>
          <w:tcPr>
            <w:tcW w:w="399" w:type="pct"/>
            <w:shd w:val="clear" w:color="auto" w:fill="auto"/>
            <w:noWrap/>
            <w:vAlign w:val="bottom"/>
            <w:hideMark/>
          </w:tcPr>
          <w:p w14:paraId="1BB90944"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76.5</w:t>
            </w:r>
          </w:p>
        </w:tc>
        <w:tc>
          <w:tcPr>
            <w:tcW w:w="399" w:type="pct"/>
            <w:shd w:val="clear" w:color="auto" w:fill="auto"/>
            <w:noWrap/>
            <w:vAlign w:val="bottom"/>
            <w:hideMark/>
          </w:tcPr>
          <w:p w14:paraId="24A523C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78.5</w:t>
            </w:r>
          </w:p>
        </w:tc>
      </w:tr>
      <w:tr w:rsidR="00AF0ADF" w:rsidRPr="005E1E68" w14:paraId="0889CA18" w14:textId="77777777" w:rsidTr="00751711">
        <w:trPr>
          <w:trHeight w:val="241"/>
        </w:trPr>
        <w:tc>
          <w:tcPr>
            <w:tcW w:w="1409" w:type="pct"/>
            <w:shd w:val="clear" w:color="auto" w:fill="auto"/>
            <w:noWrap/>
            <w:vAlign w:val="bottom"/>
            <w:hideMark/>
          </w:tcPr>
          <w:p w14:paraId="266D0FDD"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35-39</w:t>
            </w:r>
          </w:p>
        </w:tc>
        <w:tc>
          <w:tcPr>
            <w:tcW w:w="399" w:type="pct"/>
            <w:shd w:val="clear" w:color="auto" w:fill="auto"/>
            <w:noWrap/>
            <w:vAlign w:val="bottom"/>
            <w:hideMark/>
          </w:tcPr>
          <w:p w14:paraId="41066AF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61.8</w:t>
            </w:r>
          </w:p>
        </w:tc>
        <w:tc>
          <w:tcPr>
            <w:tcW w:w="399" w:type="pct"/>
            <w:shd w:val="clear" w:color="auto" w:fill="auto"/>
            <w:noWrap/>
            <w:vAlign w:val="bottom"/>
            <w:hideMark/>
          </w:tcPr>
          <w:p w14:paraId="2E42BC8F"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65.1</w:t>
            </w:r>
          </w:p>
        </w:tc>
        <w:tc>
          <w:tcPr>
            <w:tcW w:w="399" w:type="pct"/>
            <w:shd w:val="clear" w:color="auto" w:fill="auto"/>
            <w:noWrap/>
            <w:vAlign w:val="bottom"/>
            <w:hideMark/>
          </w:tcPr>
          <w:p w14:paraId="51487537"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67.7</w:t>
            </w:r>
          </w:p>
        </w:tc>
        <w:tc>
          <w:tcPr>
            <w:tcW w:w="399" w:type="pct"/>
            <w:shd w:val="clear" w:color="auto" w:fill="auto"/>
            <w:noWrap/>
            <w:vAlign w:val="bottom"/>
            <w:hideMark/>
          </w:tcPr>
          <w:p w14:paraId="63C5B2D1"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70.4</w:t>
            </w:r>
          </w:p>
        </w:tc>
        <w:tc>
          <w:tcPr>
            <w:tcW w:w="399" w:type="pct"/>
            <w:shd w:val="clear" w:color="auto" w:fill="auto"/>
            <w:noWrap/>
            <w:vAlign w:val="bottom"/>
            <w:hideMark/>
          </w:tcPr>
          <w:p w14:paraId="3269F516"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72.4</w:t>
            </w:r>
          </w:p>
        </w:tc>
        <w:tc>
          <w:tcPr>
            <w:tcW w:w="399" w:type="pct"/>
            <w:shd w:val="clear" w:color="auto" w:fill="auto"/>
            <w:noWrap/>
            <w:vAlign w:val="bottom"/>
            <w:hideMark/>
          </w:tcPr>
          <w:p w14:paraId="25EC1BD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72.0</w:t>
            </w:r>
          </w:p>
        </w:tc>
        <w:tc>
          <w:tcPr>
            <w:tcW w:w="399" w:type="pct"/>
            <w:shd w:val="clear" w:color="auto" w:fill="auto"/>
            <w:noWrap/>
            <w:vAlign w:val="bottom"/>
            <w:hideMark/>
          </w:tcPr>
          <w:p w14:paraId="6DF3FE0F"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74.1</w:t>
            </w:r>
          </w:p>
        </w:tc>
        <w:tc>
          <w:tcPr>
            <w:tcW w:w="399" w:type="pct"/>
            <w:shd w:val="clear" w:color="auto" w:fill="auto"/>
            <w:noWrap/>
            <w:vAlign w:val="bottom"/>
            <w:hideMark/>
          </w:tcPr>
          <w:p w14:paraId="44667D2F"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76.4</w:t>
            </w:r>
          </w:p>
        </w:tc>
        <w:tc>
          <w:tcPr>
            <w:tcW w:w="399" w:type="pct"/>
            <w:shd w:val="clear" w:color="auto" w:fill="auto"/>
            <w:noWrap/>
            <w:vAlign w:val="bottom"/>
            <w:hideMark/>
          </w:tcPr>
          <w:p w14:paraId="2ADD581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77.6</w:t>
            </w:r>
          </w:p>
        </w:tc>
      </w:tr>
      <w:tr w:rsidR="00AF0ADF" w:rsidRPr="005E1E68" w14:paraId="7FA63CE2" w14:textId="77777777" w:rsidTr="00751711">
        <w:trPr>
          <w:trHeight w:val="241"/>
        </w:trPr>
        <w:tc>
          <w:tcPr>
            <w:tcW w:w="1409" w:type="pct"/>
            <w:shd w:val="clear" w:color="auto" w:fill="auto"/>
            <w:noWrap/>
            <w:vAlign w:val="bottom"/>
            <w:hideMark/>
          </w:tcPr>
          <w:p w14:paraId="291ABCBB"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40 and over</w:t>
            </w:r>
          </w:p>
        </w:tc>
        <w:tc>
          <w:tcPr>
            <w:tcW w:w="399" w:type="pct"/>
            <w:shd w:val="clear" w:color="auto" w:fill="auto"/>
            <w:noWrap/>
            <w:vAlign w:val="bottom"/>
            <w:hideMark/>
          </w:tcPr>
          <w:p w14:paraId="01C72CC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62.7</w:t>
            </w:r>
          </w:p>
        </w:tc>
        <w:tc>
          <w:tcPr>
            <w:tcW w:w="399" w:type="pct"/>
            <w:shd w:val="clear" w:color="auto" w:fill="auto"/>
            <w:noWrap/>
            <w:vAlign w:val="bottom"/>
            <w:hideMark/>
          </w:tcPr>
          <w:p w14:paraId="510C7AE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67.8</w:t>
            </w:r>
          </w:p>
        </w:tc>
        <w:tc>
          <w:tcPr>
            <w:tcW w:w="399" w:type="pct"/>
            <w:shd w:val="clear" w:color="auto" w:fill="auto"/>
            <w:noWrap/>
            <w:vAlign w:val="bottom"/>
            <w:hideMark/>
          </w:tcPr>
          <w:p w14:paraId="66D479EA"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69.8</w:t>
            </w:r>
          </w:p>
        </w:tc>
        <w:tc>
          <w:tcPr>
            <w:tcW w:w="399" w:type="pct"/>
            <w:shd w:val="clear" w:color="auto" w:fill="auto"/>
            <w:noWrap/>
            <w:vAlign w:val="bottom"/>
            <w:hideMark/>
          </w:tcPr>
          <w:p w14:paraId="0055F01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70.5</w:t>
            </w:r>
          </w:p>
        </w:tc>
        <w:tc>
          <w:tcPr>
            <w:tcW w:w="399" w:type="pct"/>
            <w:shd w:val="clear" w:color="auto" w:fill="auto"/>
            <w:noWrap/>
            <w:vAlign w:val="bottom"/>
            <w:hideMark/>
          </w:tcPr>
          <w:p w14:paraId="7BE91D7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69.2</w:t>
            </w:r>
          </w:p>
        </w:tc>
        <w:tc>
          <w:tcPr>
            <w:tcW w:w="399" w:type="pct"/>
            <w:shd w:val="clear" w:color="auto" w:fill="auto"/>
            <w:noWrap/>
            <w:vAlign w:val="bottom"/>
            <w:hideMark/>
          </w:tcPr>
          <w:p w14:paraId="391B4587"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73.4</w:t>
            </w:r>
          </w:p>
        </w:tc>
        <w:tc>
          <w:tcPr>
            <w:tcW w:w="399" w:type="pct"/>
            <w:shd w:val="clear" w:color="auto" w:fill="auto"/>
            <w:noWrap/>
            <w:vAlign w:val="bottom"/>
            <w:hideMark/>
          </w:tcPr>
          <w:p w14:paraId="66472D3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72.2</w:t>
            </w:r>
          </w:p>
        </w:tc>
        <w:tc>
          <w:tcPr>
            <w:tcW w:w="399" w:type="pct"/>
            <w:shd w:val="clear" w:color="auto" w:fill="auto"/>
            <w:noWrap/>
            <w:vAlign w:val="bottom"/>
            <w:hideMark/>
          </w:tcPr>
          <w:p w14:paraId="539ED41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76.4</w:t>
            </w:r>
          </w:p>
        </w:tc>
        <w:tc>
          <w:tcPr>
            <w:tcW w:w="399" w:type="pct"/>
            <w:shd w:val="clear" w:color="auto" w:fill="auto"/>
            <w:noWrap/>
            <w:vAlign w:val="bottom"/>
            <w:hideMark/>
          </w:tcPr>
          <w:p w14:paraId="0F3BAE9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78.6</w:t>
            </w:r>
          </w:p>
        </w:tc>
      </w:tr>
      <w:tr w:rsidR="00AF0ADF" w:rsidRPr="005E1E68" w14:paraId="25CD9C24" w14:textId="77777777" w:rsidTr="00AF0ADF">
        <w:trPr>
          <w:trHeight w:val="241"/>
        </w:trPr>
        <w:tc>
          <w:tcPr>
            <w:tcW w:w="5000" w:type="pct"/>
            <w:gridSpan w:val="10"/>
            <w:shd w:val="clear" w:color="auto" w:fill="auto"/>
            <w:noWrap/>
            <w:vAlign w:val="bottom"/>
            <w:hideMark/>
          </w:tcPr>
          <w:p w14:paraId="277A9C5E" w14:textId="77777777" w:rsidR="00AF0ADF" w:rsidRPr="006A45AA" w:rsidRDefault="00AF0ADF" w:rsidP="00AF0ADF">
            <w:pPr>
              <w:rPr>
                <w:rFonts w:cstheme="minorHAnsi"/>
                <w:sz w:val="20"/>
                <w:szCs w:val="20"/>
              </w:rPr>
            </w:pPr>
            <w:r w:rsidRPr="006A45AA">
              <w:rPr>
                <w:rFonts w:cstheme="minorHAnsi"/>
                <w:b/>
                <w:bCs/>
                <w:color w:val="000000"/>
                <w:sz w:val="20"/>
                <w:szCs w:val="20"/>
              </w:rPr>
              <w:t>Hospital sector</w:t>
            </w:r>
          </w:p>
        </w:tc>
      </w:tr>
      <w:tr w:rsidR="00AF0ADF" w:rsidRPr="005E1E68" w14:paraId="03975837" w14:textId="77777777" w:rsidTr="00751711">
        <w:trPr>
          <w:trHeight w:val="241"/>
        </w:trPr>
        <w:tc>
          <w:tcPr>
            <w:tcW w:w="1409" w:type="pct"/>
            <w:shd w:val="clear" w:color="auto" w:fill="auto"/>
            <w:noWrap/>
            <w:vAlign w:val="bottom"/>
            <w:hideMark/>
          </w:tcPr>
          <w:p w14:paraId="5BEBCA52"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Private</w:t>
            </w:r>
          </w:p>
        </w:tc>
        <w:tc>
          <w:tcPr>
            <w:tcW w:w="399" w:type="pct"/>
            <w:shd w:val="clear" w:color="auto" w:fill="auto"/>
            <w:noWrap/>
            <w:vAlign w:val="bottom"/>
            <w:hideMark/>
          </w:tcPr>
          <w:p w14:paraId="7FBDA34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58.7</w:t>
            </w:r>
          </w:p>
        </w:tc>
        <w:tc>
          <w:tcPr>
            <w:tcW w:w="399" w:type="pct"/>
            <w:shd w:val="clear" w:color="auto" w:fill="auto"/>
            <w:noWrap/>
            <w:vAlign w:val="bottom"/>
            <w:hideMark/>
          </w:tcPr>
          <w:p w14:paraId="292E8FF3"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61.5</w:t>
            </w:r>
          </w:p>
        </w:tc>
        <w:tc>
          <w:tcPr>
            <w:tcW w:w="399" w:type="pct"/>
            <w:shd w:val="clear" w:color="auto" w:fill="auto"/>
            <w:noWrap/>
            <w:vAlign w:val="bottom"/>
            <w:hideMark/>
          </w:tcPr>
          <w:p w14:paraId="7A55222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63.0</w:t>
            </w:r>
          </w:p>
        </w:tc>
        <w:tc>
          <w:tcPr>
            <w:tcW w:w="399" w:type="pct"/>
            <w:shd w:val="clear" w:color="auto" w:fill="auto"/>
            <w:noWrap/>
            <w:vAlign w:val="bottom"/>
            <w:hideMark/>
          </w:tcPr>
          <w:p w14:paraId="2F0B6FC8"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63.5</w:t>
            </w:r>
          </w:p>
        </w:tc>
        <w:tc>
          <w:tcPr>
            <w:tcW w:w="399" w:type="pct"/>
            <w:shd w:val="clear" w:color="auto" w:fill="auto"/>
            <w:noWrap/>
            <w:vAlign w:val="bottom"/>
            <w:hideMark/>
          </w:tcPr>
          <w:p w14:paraId="64CC2831"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64.5</w:t>
            </w:r>
          </w:p>
        </w:tc>
        <w:tc>
          <w:tcPr>
            <w:tcW w:w="399" w:type="pct"/>
            <w:shd w:val="clear" w:color="auto" w:fill="auto"/>
            <w:noWrap/>
            <w:vAlign w:val="bottom"/>
            <w:hideMark/>
          </w:tcPr>
          <w:p w14:paraId="072EC628"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63.2</w:t>
            </w:r>
          </w:p>
        </w:tc>
        <w:tc>
          <w:tcPr>
            <w:tcW w:w="399" w:type="pct"/>
            <w:shd w:val="clear" w:color="auto" w:fill="auto"/>
            <w:noWrap/>
            <w:vAlign w:val="bottom"/>
            <w:hideMark/>
          </w:tcPr>
          <w:p w14:paraId="2874A4A8"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64.9</w:t>
            </w:r>
          </w:p>
        </w:tc>
        <w:tc>
          <w:tcPr>
            <w:tcW w:w="399" w:type="pct"/>
            <w:shd w:val="clear" w:color="auto" w:fill="auto"/>
            <w:noWrap/>
            <w:vAlign w:val="bottom"/>
            <w:hideMark/>
          </w:tcPr>
          <w:p w14:paraId="1DDD766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65.0</w:t>
            </w:r>
          </w:p>
        </w:tc>
        <w:tc>
          <w:tcPr>
            <w:tcW w:w="399" w:type="pct"/>
            <w:shd w:val="clear" w:color="auto" w:fill="auto"/>
            <w:noWrap/>
            <w:vAlign w:val="bottom"/>
            <w:hideMark/>
          </w:tcPr>
          <w:p w14:paraId="54134DAA"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66.4</w:t>
            </w:r>
          </w:p>
        </w:tc>
      </w:tr>
      <w:tr w:rsidR="00AF0ADF" w:rsidRPr="005E1E68" w14:paraId="3CC7ACA4" w14:textId="77777777" w:rsidTr="00751711">
        <w:trPr>
          <w:trHeight w:val="241"/>
        </w:trPr>
        <w:tc>
          <w:tcPr>
            <w:tcW w:w="1409" w:type="pct"/>
            <w:shd w:val="clear" w:color="auto" w:fill="auto"/>
            <w:noWrap/>
            <w:vAlign w:val="bottom"/>
            <w:hideMark/>
          </w:tcPr>
          <w:p w14:paraId="601FE735"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Public</w:t>
            </w:r>
          </w:p>
        </w:tc>
        <w:tc>
          <w:tcPr>
            <w:tcW w:w="399" w:type="pct"/>
            <w:shd w:val="clear" w:color="auto" w:fill="auto"/>
            <w:noWrap/>
            <w:vAlign w:val="bottom"/>
            <w:hideMark/>
          </w:tcPr>
          <w:p w14:paraId="42F5C30E"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63.6</w:t>
            </w:r>
          </w:p>
        </w:tc>
        <w:tc>
          <w:tcPr>
            <w:tcW w:w="399" w:type="pct"/>
            <w:shd w:val="clear" w:color="auto" w:fill="auto"/>
            <w:noWrap/>
            <w:vAlign w:val="bottom"/>
            <w:hideMark/>
          </w:tcPr>
          <w:p w14:paraId="6948D204"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69.1</w:t>
            </w:r>
          </w:p>
        </w:tc>
        <w:tc>
          <w:tcPr>
            <w:tcW w:w="399" w:type="pct"/>
            <w:shd w:val="clear" w:color="auto" w:fill="auto"/>
            <w:noWrap/>
            <w:vAlign w:val="bottom"/>
            <w:hideMark/>
          </w:tcPr>
          <w:p w14:paraId="29ADCCCE"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72.8</w:t>
            </w:r>
          </w:p>
        </w:tc>
        <w:tc>
          <w:tcPr>
            <w:tcW w:w="399" w:type="pct"/>
            <w:shd w:val="clear" w:color="auto" w:fill="auto"/>
            <w:noWrap/>
            <w:vAlign w:val="bottom"/>
            <w:hideMark/>
          </w:tcPr>
          <w:p w14:paraId="0B96BD27"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75.5</w:t>
            </w:r>
          </w:p>
        </w:tc>
        <w:tc>
          <w:tcPr>
            <w:tcW w:w="399" w:type="pct"/>
            <w:shd w:val="clear" w:color="auto" w:fill="auto"/>
            <w:noWrap/>
            <w:vAlign w:val="bottom"/>
            <w:hideMark/>
          </w:tcPr>
          <w:p w14:paraId="30E32B21"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76.5</w:t>
            </w:r>
          </w:p>
        </w:tc>
        <w:tc>
          <w:tcPr>
            <w:tcW w:w="399" w:type="pct"/>
            <w:shd w:val="clear" w:color="auto" w:fill="auto"/>
            <w:noWrap/>
            <w:vAlign w:val="bottom"/>
            <w:hideMark/>
          </w:tcPr>
          <w:p w14:paraId="15FA600A"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77.5</w:t>
            </w:r>
          </w:p>
        </w:tc>
        <w:tc>
          <w:tcPr>
            <w:tcW w:w="399" w:type="pct"/>
            <w:shd w:val="clear" w:color="auto" w:fill="auto"/>
            <w:noWrap/>
            <w:vAlign w:val="bottom"/>
            <w:hideMark/>
          </w:tcPr>
          <w:p w14:paraId="41432B5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79.3</w:t>
            </w:r>
          </w:p>
        </w:tc>
        <w:tc>
          <w:tcPr>
            <w:tcW w:w="399" w:type="pct"/>
            <w:shd w:val="clear" w:color="auto" w:fill="auto"/>
            <w:noWrap/>
            <w:vAlign w:val="bottom"/>
            <w:hideMark/>
          </w:tcPr>
          <w:p w14:paraId="48E1611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82.3</w:t>
            </w:r>
          </w:p>
        </w:tc>
        <w:tc>
          <w:tcPr>
            <w:tcW w:w="399" w:type="pct"/>
            <w:shd w:val="clear" w:color="auto" w:fill="auto"/>
            <w:noWrap/>
            <w:vAlign w:val="bottom"/>
            <w:hideMark/>
          </w:tcPr>
          <w:p w14:paraId="0955D48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84.4</w:t>
            </w:r>
          </w:p>
        </w:tc>
      </w:tr>
      <w:tr w:rsidR="00AF0ADF" w:rsidRPr="005E1E68" w14:paraId="7C8BA0B4" w14:textId="77777777" w:rsidTr="00AF0ADF">
        <w:trPr>
          <w:trHeight w:val="241"/>
        </w:trPr>
        <w:tc>
          <w:tcPr>
            <w:tcW w:w="5000" w:type="pct"/>
            <w:gridSpan w:val="10"/>
            <w:shd w:val="clear" w:color="auto" w:fill="auto"/>
            <w:noWrap/>
            <w:vAlign w:val="bottom"/>
            <w:hideMark/>
          </w:tcPr>
          <w:p w14:paraId="5336E8BE" w14:textId="77777777" w:rsidR="00AF0ADF" w:rsidRPr="006A45AA" w:rsidRDefault="00AF0ADF" w:rsidP="00AF0ADF">
            <w:pPr>
              <w:rPr>
                <w:rFonts w:cstheme="minorHAnsi"/>
                <w:sz w:val="20"/>
                <w:szCs w:val="20"/>
              </w:rPr>
            </w:pPr>
            <w:r w:rsidRPr="006A45AA">
              <w:rPr>
                <w:rFonts w:cstheme="minorHAnsi"/>
                <w:b/>
                <w:bCs/>
                <w:color w:val="000000"/>
                <w:sz w:val="20"/>
                <w:szCs w:val="20"/>
              </w:rPr>
              <w:t>Hospitals annual number of births</w:t>
            </w:r>
          </w:p>
        </w:tc>
      </w:tr>
      <w:tr w:rsidR="00AF0ADF" w:rsidRPr="005E1E68" w14:paraId="61700E3A" w14:textId="77777777" w:rsidTr="00B94D3E">
        <w:trPr>
          <w:trHeight w:val="241"/>
        </w:trPr>
        <w:tc>
          <w:tcPr>
            <w:tcW w:w="1409" w:type="pct"/>
            <w:shd w:val="clear" w:color="auto" w:fill="auto"/>
            <w:noWrap/>
            <w:vAlign w:val="bottom"/>
            <w:hideMark/>
          </w:tcPr>
          <w:p w14:paraId="13A117DF"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1-100 births</w:t>
            </w:r>
          </w:p>
        </w:tc>
        <w:tc>
          <w:tcPr>
            <w:tcW w:w="399" w:type="pct"/>
            <w:shd w:val="clear" w:color="auto" w:fill="auto"/>
            <w:noWrap/>
            <w:vAlign w:val="bottom"/>
            <w:hideMark/>
          </w:tcPr>
          <w:p w14:paraId="261D90DE"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49.4</w:t>
            </w:r>
          </w:p>
        </w:tc>
        <w:tc>
          <w:tcPr>
            <w:tcW w:w="399" w:type="pct"/>
            <w:shd w:val="clear" w:color="auto" w:fill="auto"/>
            <w:noWrap/>
            <w:vAlign w:val="center"/>
            <w:hideMark/>
          </w:tcPr>
          <w:p w14:paraId="574B59BB" w14:textId="1A6F500B" w:rsidR="00AF0ADF" w:rsidRPr="006A45AA" w:rsidRDefault="00034D3A" w:rsidP="00B94D3E">
            <w:pPr>
              <w:jc w:val="right"/>
              <w:rPr>
                <w:rFonts w:cstheme="minorHAnsi"/>
                <w:color w:val="000000"/>
                <w:sz w:val="20"/>
                <w:szCs w:val="20"/>
              </w:rPr>
            </w:pPr>
            <w:r w:rsidRPr="006A45AA">
              <w:rPr>
                <w:rFonts w:cstheme="minorHAnsi"/>
                <w:sz w:val="20"/>
                <w:szCs w:val="20"/>
              </w:rPr>
              <w:t>n.a</w:t>
            </w:r>
          </w:p>
        </w:tc>
        <w:tc>
          <w:tcPr>
            <w:tcW w:w="399" w:type="pct"/>
            <w:shd w:val="clear" w:color="auto" w:fill="auto"/>
            <w:noWrap/>
            <w:vAlign w:val="center"/>
            <w:hideMark/>
          </w:tcPr>
          <w:p w14:paraId="00BE46E9" w14:textId="77777777" w:rsidR="00AF0ADF" w:rsidRPr="006A45AA" w:rsidRDefault="00AF0ADF" w:rsidP="00B94D3E">
            <w:pPr>
              <w:jc w:val="right"/>
              <w:rPr>
                <w:rFonts w:cstheme="minorHAnsi"/>
                <w:color w:val="000000"/>
                <w:sz w:val="20"/>
                <w:szCs w:val="20"/>
              </w:rPr>
            </w:pPr>
            <w:r w:rsidRPr="006A45AA">
              <w:rPr>
                <w:rFonts w:cstheme="minorHAnsi"/>
                <w:color w:val="000000"/>
                <w:sz w:val="20"/>
                <w:szCs w:val="20"/>
              </w:rPr>
              <w:t>56.6</w:t>
            </w:r>
          </w:p>
        </w:tc>
        <w:tc>
          <w:tcPr>
            <w:tcW w:w="399" w:type="pct"/>
            <w:shd w:val="clear" w:color="auto" w:fill="auto"/>
            <w:noWrap/>
            <w:vAlign w:val="center"/>
            <w:hideMark/>
          </w:tcPr>
          <w:p w14:paraId="1EB3024F" w14:textId="77777777" w:rsidR="00AF0ADF" w:rsidRPr="006A45AA" w:rsidRDefault="00AF0ADF" w:rsidP="00B94D3E">
            <w:pPr>
              <w:jc w:val="right"/>
              <w:rPr>
                <w:rFonts w:cstheme="minorHAnsi"/>
                <w:color w:val="000000"/>
                <w:sz w:val="20"/>
                <w:szCs w:val="20"/>
              </w:rPr>
            </w:pPr>
            <w:r w:rsidRPr="006A45AA">
              <w:rPr>
                <w:rFonts w:cstheme="minorHAnsi"/>
                <w:color w:val="000000"/>
                <w:sz w:val="20"/>
                <w:szCs w:val="20"/>
              </w:rPr>
              <w:t>49.3</w:t>
            </w:r>
          </w:p>
        </w:tc>
        <w:tc>
          <w:tcPr>
            <w:tcW w:w="399" w:type="pct"/>
            <w:shd w:val="clear" w:color="auto" w:fill="auto"/>
            <w:noWrap/>
            <w:vAlign w:val="center"/>
            <w:hideMark/>
          </w:tcPr>
          <w:p w14:paraId="546C43E0" w14:textId="1CF1C0F0" w:rsidR="00AF0ADF" w:rsidRPr="006A45AA" w:rsidRDefault="00034D3A" w:rsidP="00B94D3E">
            <w:pPr>
              <w:jc w:val="right"/>
              <w:rPr>
                <w:rFonts w:cstheme="minorHAnsi"/>
                <w:color w:val="000000"/>
                <w:sz w:val="20"/>
                <w:szCs w:val="20"/>
              </w:rPr>
            </w:pPr>
            <w:r w:rsidRPr="006A45AA">
              <w:rPr>
                <w:rFonts w:cstheme="minorHAnsi"/>
                <w:sz w:val="20"/>
                <w:szCs w:val="20"/>
              </w:rPr>
              <w:t>n.a</w:t>
            </w:r>
            <w:r w:rsidR="00AF0ADF" w:rsidRPr="006A45AA">
              <w:rPr>
                <w:rFonts w:cstheme="minorHAnsi"/>
                <w:sz w:val="20"/>
                <w:szCs w:val="20"/>
              </w:rPr>
              <w:t>.</w:t>
            </w:r>
          </w:p>
        </w:tc>
        <w:tc>
          <w:tcPr>
            <w:tcW w:w="399" w:type="pct"/>
            <w:shd w:val="clear" w:color="auto" w:fill="auto"/>
            <w:noWrap/>
            <w:vAlign w:val="bottom"/>
            <w:hideMark/>
          </w:tcPr>
          <w:p w14:paraId="5874D00A"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53.0</w:t>
            </w:r>
          </w:p>
        </w:tc>
        <w:tc>
          <w:tcPr>
            <w:tcW w:w="399" w:type="pct"/>
            <w:shd w:val="clear" w:color="auto" w:fill="auto"/>
            <w:noWrap/>
            <w:vAlign w:val="bottom"/>
            <w:hideMark/>
          </w:tcPr>
          <w:p w14:paraId="145DE1C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56.0</w:t>
            </w:r>
          </w:p>
        </w:tc>
        <w:tc>
          <w:tcPr>
            <w:tcW w:w="399" w:type="pct"/>
            <w:shd w:val="clear" w:color="auto" w:fill="auto"/>
            <w:noWrap/>
            <w:vAlign w:val="bottom"/>
            <w:hideMark/>
          </w:tcPr>
          <w:p w14:paraId="70AA85F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56.0</w:t>
            </w:r>
          </w:p>
        </w:tc>
        <w:tc>
          <w:tcPr>
            <w:tcW w:w="399" w:type="pct"/>
            <w:shd w:val="clear" w:color="auto" w:fill="auto"/>
            <w:noWrap/>
            <w:vAlign w:val="bottom"/>
            <w:hideMark/>
          </w:tcPr>
          <w:p w14:paraId="58E19723"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66.1</w:t>
            </w:r>
          </w:p>
        </w:tc>
      </w:tr>
      <w:tr w:rsidR="00AF0ADF" w:rsidRPr="005E1E68" w14:paraId="0CC2EC0B" w14:textId="77777777" w:rsidTr="00751711">
        <w:trPr>
          <w:trHeight w:val="241"/>
        </w:trPr>
        <w:tc>
          <w:tcPr>
            <w:tcW w:w="1409" w:type="pct"/>
            <w:shd w:val="clear" w:color="auto" w:fill="auto"/>
            <w:noWrap/>
            <w:vAlign w:val="bottom"/>
            <w:hideMark/>
          </w:tcPr>
          <w:p w14:paraId="22DEB238"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101-500 births</w:t>
            </w:r>
          </w:p>
        </w:tc>
        <w:tc>
          <w:tcPr>
            <w:tcW w:w="399" w:type="pct"/>
            <w:shd w:val="clear" w:color="auto" w:fill="auto"/>
            <w:noWrap/>
            <w:vAlign w:val="bottom"/>
            <w:hideMark/>
          </w:tcPr>
          <w:p w14:paraId="5467DE71"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53.6</w:t>
            </w:r>
          </w:p>
        </w:tc>
        <w:tc>
          <w:tcPr>
            <w:tcW w:w="399" w:type="pct"/>
            <w:shd w:val="clear" w:color="auto" w:fill="auto"/>
            <w:noWrap/>
            <w:vAlign w:val="bottom"/>
            <w:hideMark/>
          </w:tcPr>
          <w:p w14:paraId="2FCD758F"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55.7</w:t>
            </w:r>
          </w:p>
        </w:tc>
        <w:tc>
          <w:tcPr>
            <w:tcW w:w="399" w:type="pct"/>
            <w:shd w:val="clear" w:color="auto" w:fill="auto"/>
            <w:noWrap/>
            <w:vAlign w:val="bottom"/>
            <w:hideMark/>
          </w:tcPr>
          <w:p w14:paraId="7823C6FD"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60.4</w:t>
            </w:r>
          </w:p>
        </w:tc>
        <w:tc>
          <w:tcPr>
            <w:tcW w:w="399" w:type="pct"/>
            <w:shd w:val="clear" w:color="auto" w:fill="auto"/>
            <w:noWrap/>
            <w:vAlign w:val="bottom"/>
            <w:hideMark/>
          </w:tcPr>
          <w:p w14:paraId="0F95C22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62.8</w:t>
            </w:r>
          </w:p>
        </w:tc>
        <w:tc>
          <w:tcPr>
            <w:tcW w:w="399" w:type="pct"/>
            <w:shd w:val="clear" w:color="auto" w:fill="auto"/>
            <w:noWrap/>
            <w:vAlign w:val="bottom"/>
            <w:hideMark/>
          </w:tcPr>
          <w:p w14:paraId="7F46683F"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64.6</w:t>
            </w:r>
          </w:p>
        </w:tc>
        <w:tc>
          <w:tcPr>
            <w:tcW w:w="399" w:type="pct"/>
            <w:shd w:val="clear" w:color="auto" w:fill="auto"/>
            <w:noWrap/>
            <w:vAlign w:val="bottom"/>
            <w:hideMark/>
          </w:tcPr>
          <w:p w14:paraId="4B1A326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61.2</w:t>
            </w:r>
          </w:p>
        </w:tc>
        <w:tc>
          <w:tcPr>
            <w:tcW w:w="399" w:type="pct"/>
            <w:shd w:val="clear" w:color="auto" w:fill="auto"/>
            <w:noWrap/>
            <w:vAlign w:val="bottom"/>
            <w:hideMark/>
          </w:tcPr>
          <w:p w14:paraId="470D24B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52.8</w:t>
            </w:r>
          </w:p>
        </w:tc>
        <w:tc>
          <w:tcPr>
            <w:tcW w:w="399" w:type="pct"/>
            <w:shd w:val="clear" w:color="auto" w:fill="auto"/>
            <w:noWrap/>
            <w:vAlign w:val="bottom"/>
            <w:hideMark/>
          </w:tcPr>
          <w:p w14:paraId="5E454A67"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58.0</w:t>
            </w:r>
          </w:p>
        </w:tc>
        <w:tc>
          <w:tcPr>
            <w:tcW w:w="399" w:type="pct"/>
            <w:shd w:val="clear" w:color="auto" w:fill="auto"/>
            <w:noWrap/>
            <w:vAlign w:val="bottom"/>
            <w:hideMark/>
          </w:tcPr>
          <w:p w14:paraId="234442C9"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65.8</w:t>
            </w:r>
          </w:p>
        </w:tc>
      </w:tr>
      <w:tr w:rsidR="00AF0ADF" w:rsidRPr="005E1E68" w14:paraId="22B5D96E" w14:textId="77777777" w:rsidTr="00751711">
        <w:trPr>
          <w:trHeight w:val="241"/>
        </w:trPr>
        <w:tc>
          <w:tcPr>
            <w:tcW w:w="1409" w:type="pct"/>
            <w:shd w:val="clear" w:color="auto" w:fill="auto"/>
            <w:noWrap/>
            <w:vAlign w:val="bottom"/>
            <w:hideMark/>
          </w:tcPr>
          <w:p w14:paraId="2CE61F5D"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501-1,000 births</w:t>
            </w:r>
          </w:p>
        </w:tc>
        <w:tc>
          <w:tcPr>
            <w:tcW w:w="399" w:type="pct"/>
            <w:shd w:val="clear" w:color="auto" w:fill="auto"/>
            <w:noWrap/>
            <w:vAlign w:val="bottom"/>
            <w:hideMark/>
          </w:tcPr>
          <w:p w14:paraId="134E039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59.1</w:t>
            </w:r>
          </w:p>
        </w:tc>
        <w:tc>
          <w:tcPr>
            <w:tcW w:w="399" w:type="pct"/>
            <w:shd w:val="clear" w:color="auto" w:fill="auto"/>
            <w:noWrap/>
            <w:vAlign w:val="bottom"/>
            <w:hideMark/>
          </w:tcPr>
          <w:p w14:paraId="32EB577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61.8</w:t>
            </w:r>
          </w:p>
        </w:tc>
        <w:tc>
          <w:tcPr>
            <w:tcW w:w="399" w:type="pct"/>
            <w:shd w:val="clear" w:color="auto" w:fill="auto"/>
            <w:noWrap/>
            <w:vAlign w:val="bottom"/>
            <w:hideMark/>
          </w:tcPr>
          <w:p w14:paraId="098689B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66.9</w:t>
            </w:r>
          </w:p>
        </w:tc>
        <w:tc>
          <w:tcPr>
            <w:tcW w:w="399" w:type="pct"/>
            <w:shd w:val="clear" w:color="auto" w:fill="auto"/>
            <w:noWrap/>
            <w:vAlign w:val="bottom"/>
            <w:hideMark/>
          </w:tcPr>
          <w:p w14:paraId="095E923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66.4</w:t>
            </w:r>
          </w:p>
        </w:tc>
        <w:tc>
          <w:tcPr>
            <w:tcW w:w="399" w:type="pct"/>
            <w:shd w:val="clear" w:color="auto" w:fill="auto"/>
            <w:noWrap/>
            <w:vAlign w:val="bottom"/>
            <w:hideMark/>
          </w:tcPr>
          <w:p w14:paraId="0C1B31AE"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68.3</w:t>
            </w:r>
          </w:p>
        </w:tc>
        <w:tc>
          <w:tcPr>
            <w:tcW w:w="399" w:type="pct"/>
            <w:shd w:val="clear" w:color="auto" w:fill="auto"/>
            <w:noWrap/>
            <w:vAlign w:val="bottom"/>
            <w:hideMark/>
          </w:tcPr>
          <w:p w14:paraId="0A4D8574"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67.8</w:t>
            </w:r>
          </w:p>
        </w:tc>
        <w:tc>
          <w:tcPr>
            <w:tcW w:w="399" w:type="pct"/>
            <w:shd w:val="clear" w:color="auto" w:fill="auto"/>
            <w:noWrap/>
            <w:vAlign w:val="bottom"/>
            <w:hideMark/>
          </w:tcPr>
          <w:p w14:paraId="5B05712E"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65.9</w:t>
            </w:r>
          </w:p>
        </w:tc>
        <w:tc>
          <w:tcPr>
            <w:tcW w:w="399" w:type="pct"/>
            <w:shd w:val="clear" w:color="auto" w:fill="auto"/>
            <w:noWrap/>
            <w:vAlign w:val="bottom"/>
            <w:hideMark/>
          </w:tcPr>
          <w:p w14:paraId="7AD3DAD5"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67.5</w:t>
            </w:r>
          </w:p>
        </w:tc>
        <w:tc>
          <w:tcPr>
            <w:tcW w:w="399" w:type="pct"/>
            <w:shd w:val="clear" w:color="auto" w:fill="auto"/>
            <w:noWrap/>
            <w:vAlign w:val="bottom"/>
            <w:hideMark/>
          </w:tcPr>
          <w:p w14:paraId="2C7F1783"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72.3</w:t>
            </w:r>
          </w:p>
        </w:tc>
      </w:tr>
      <w:tr w:rsidR="00AF0ADF" w:rsidRPr="005E1E68" w14:paraId="57DBD300" w14:textId="77777777" w:rsidTr="00751711">
        <w:trPr>
          <w:trHeight w:val="241"/>
        </w:trPr>
        <w:tc>
          <w:tcPr>
            <w:tcW w:w="1409" w:type="pct"/>
            <w:shd w:val="clear" w:color="auto" w:fill="auto"/>
            <w:noWrap/>
            <w:vAlign w:val="bottom"/>
            <w:hideMark/>
          </w:tcPr>
          <w:p w14:paraId="35630676"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1,001-2,000 births</w:t>
            </w:r>
          </w:p>
        </w:tc>
        <w:tc>
          <w:tcPr>
            <w:tcW w:w="399" w:type="pct"/>
            <w:shd w:val="clear" w:color="auto" w:fill="auto"/>
            <w:noWrap/>
            <w:vAlign w:val="bottom"/>
            <w:hideMark/>
          </w:tcPr>
          <w:p w14:paraId="32FBAADE"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60.5</w:t>
            </w:r>
          </w:p>
        </w:tc>
        <w:tc>
          <w:tcPr>
            <w:tcW w:w="399" w:type="pct"/>
            <w:shd w:val="clear" w:color="auto" w:fill="auto"/>
            <w:noWrap/>
            <w:vAlign w:val="bottom"/>
            <w:hideMark/>
          </w:tcPr>
          <w:p w14:paraId="7BD6E3D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66.6</w:t>
            </w:r>
          </w:p>
        </w:tc>
        <w:tc>
          <w:tcPr>
            <w:tcW w:w="399" w:type="pct"/>
            <w:shd w:val="clear" w:color="auto" w:fill="auto"/>
            <w:noWrap/>
            <w:vAlign w:val="bottom"/>
            <w:hideMark/>
          </w:tcPr>
          <w:p w14:paraId="7DF0474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65.7</w:t>
            </w:r>
          </w:p>
        </w:tc>
        <w:tc>
          <w:tcPr>
            <w:tcW w:w="399" w:type="pct"/>
            <w:shd w:val="clear" w:color="auto" w:fill="auto"/>
            <w:noWrap/>
            <w:vAlign w:val="bottom"/>
            <w:hideMark/>
          </w:tcPr>
          <w:p w14:paraId="05EAB52D"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70.1</w:t>
            </w:r>
          </w:p>
        </w:tc>
        <w:tc>
          <w:tcPr>
            <w:tcW w:w="399" w:type="pct"/>
            <w:shd w:val="clear" w:color="auto" w:fill="auto"/>
            <w:noWrap/>
            <w:vAlign w:val="bottom"/>
            <w:hideMark/>
          </w:tcPr>
          <w:p w14:paraId="18353F1D"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71.0</w:t>
            </w:r>
          </w:p>
        </w:tc>
        <w:tc>
          <w:tcPr>
            <w:tcW w:w="399" w:type="pct"/>
            <w:shd w:val="clear" w:color="auto" w:fill="auto"/>
            <w:noWrap/>
            <w:vAlign w:val="bottom"/>
            <w:hideMark/>
          </w:tcPr>
          <w:p w14:paraId="4DC3051D"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70.3</w:t>
            </w:r>
          </w:p>
        </w:tc>
        <w:tc>
          <w:tcPr>
            <w:tcW w:w="399" w:type="pct"/>
            <w:shd w:val="clear" w:color="auto" w:fill="auto"/>
            <w:noWrap/>
            <w:vAlign w:val="bottom"/>
            <w:hideMark/>
          </w:tcPr>
          <w:p w14:paraId="4DA8119C"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73.7</w:t>
            </w:r>
          </w:p>
        </w:tc>
        <w:tc>
          <w:tcPr>
            <w:tcW w:w="399" w:type="pct"/>
            <w:shd w:val="clear" w:color="auto" w:fill="auto"/>
            <w:noWrap/>
            <w:vAlign w:val="bottom"/>
            <w:hideMark/>
          </w:tcPr>
          <w:p w14:paraId="43B872FA"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74.8</w:t>
            </w:r>
          </w:p>
        </w:tc>
        <w:tc>
          <w:tcPr>
            <w:tcW w:w="399" w:type="pct"/>
            <w:shd w:val="clear" w:color="auto" w:fill="auto"/>
            <w:noWrap/>
            <w:vAlign w:val="bottom"/>
            <w:hideMark/>
          </w:tcPr>
          <w:p w14:paraId="161FAA7A"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75.8</w:t>
            </w:r>
          </w:p>
        </w:tc>
      </w:tr>
      <w:tr w:rsidR="00AF0ADF" w:rsidRPr="005E1E68" w14:paraId="0ACB1E68" w14:textId="77777777" w:rsidTr="00751711">
        <w:trPr>
          <w:trHeight w:val="241"/>
        </w:trPr>
        <w:tc>
          <w:tcPr>
            <w:tcW w:w="1409" w:type="pct"/>
            <w:shd w:val="clear" w:color="auto" w:fill="auto"/>
            <w:noWrap/>
            <w:vAlign w:val="bottom"/>
            <w:hideMark/>
          </w:tcPr>
          <w:p w14:paraId="273A882F" w14:textId="77777777" w:rsidR="00AF0ADF" w:rsidRPr="006A45AA" w:rsidRDefault="00AF0ADF" w:rsidP="00AF0ADF">
            <w:pPr>
              <w:ind w:firstLineChars="100" w:firstLine="200"/>
              <w:rPr>
                <w:rFonts w:cstheme="minorHAnsi"/>
                <w:color w:val="000000"/>
                <w:sz w:val="20"/>
                <w:szCs w:val="20"/>
              </w:rPr>
            </w:pPr>
            <w:r w:rsidRPr="006A45AA">
              <w:rPr>
                <w:rFonts w:cstheme="minorHAnsi"/>
                <w:color w:val="000000"/>
                <w:sz w:val="20"/>
                <w:szCs w:val="20"/>
              </w:rPr>
              <w:t>2,001 births and over</w:t>
            </w:r>
          </w:p>
        </w:tc>
        <w:tc>
          <w:tcPr>
            <w:tcW w:w="399" w:type="pct"/>
            <w:shd w:val="clear" w:color="auto" w:fill="auto"/>
            <w:noWrap/>
            <w:vAlign w:val="bottom"/>
            <w:hideMark/>
          </w:tcPr>
          <w:p w14:paraId="0B873D1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63.9</w:t>
            </w:r>
          </w:p>
        </w:tc>
        <w:tc>
          <w:tcPr>
            <w:tcW w:w="399" w:type="pct"/>
            <w:shd w:val="clear" w:color="auto" w:fill="auto"/>
            <w:noWrap/>
            <w:vAlign w:val="bottom"/>
            <w:hideMark/>
          </w:tcPr>
          <w:p w14:paraId="5E3FF9F7"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68.5</w:t>
            </w:r>
          </w:p>
        </w:tc>
        <w:tc>
          <w:tcPr>
            <w:tcW w:w="399" w:type="pct"/>
            <w:shd w:val="clear" w:color="auto" w:fill="auto"/>
            <w:noWrap/>
            <w:vAlign w:val="bottom"/>
            <w:hideMark/>
          </w:tcPr>
          <w:p w14:paraId="57656BA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72.3</w:t>
            </w:r>
          </w:p>
        </w:tc>
        <w:tc>
          <w:tcPr>
            <w:tcW w:w="399" w:type="pct"/>
            <w:shd w:val="clear" w:color="auto" w:fill="auto"/>
            <w:noWrap/>
            <w:vAlign w:val="bottom"/>
            <w:hideMark/>
          </w:tcPr>
          <w:p w14:paraId="68E0716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73.8</w:t>
            </w:r>
          </w:p>
        </w:tc>
        <w:tc>
          <w:tcPr>
            <w:tcW w:w="399" w:type="pct"/>
            <w:shd w:val="clear" w:color="auto" w:fill="auto"/>
            <w:noWrap/>
            <w:vAlign w:val="bottom"/>
            <w:hideMark/>
          </w:tcPr>
          <w:p w14:paraId="056ABCE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74.4</w:t>
            </w:r>
          </w:p>
        </w:tc>
        <w:tc>
          <w:tcPr>
            <w:tcW w:w="399" w:type="pct"/>
            <w:shd w:val="clear" w:color="auto" w:fill="auto"/>
            <w:noWrap/>
            <w:vAlign w:val="bottom"/>
            <w:hideMark/>
          </w:tcPr>
          <w:p w14:paraId="6ADCDC60"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75.8</w:t>
            </w:r>
          </w:p>
        </w:tc>
        <w:tc>
          <w:tcPr>
            <w:tcW w:w="399" w:type="pct"/>
            <w:shd w:val="clear" w:color="auto" w:fill="auto"/>
            <w:noWrap/>
            <w:vAlign w:val="bottom"/>
            <w:hideMark/>
          </w:tcPr>
          <w:p w14:paraId="35FF4A82"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78.6</w:t>
            </w:r>
          </w:p>
        </w:tc>
        <w:tc>
          <w:tcPr>
            <w:tcW w:w="399" w:type="pct"/>
            <w:shd w:val="clear" w:color="auto" w:fill="auto"/>
            <w:noWrap/>
            <w:vAlign w:val="bottom"/>
            <w:hideMark/>
          </w:tcPr>
          <w:p w14:paraId="1DDA2BFB"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81.1</w:t>
            </w:r>
          </w:p>
        </w:tc>
        <w:tc>
          <w:tcPr>
            <w:tcW w:w="399" w:type="pct"/>
            <w:shd w:val="clear" w:color="auto" w:fill="auto"/>
            <w:noWrap/>
            <w:vAlign w:val="bottom"/>
            <w:hideMark/>
          </w:tcPr>
          <w:p w14:paraId="55D5EBFD" w14:textId="77777777" w:rsidR="00AF0ADF" w:rsidRPr="006A45AA" w:rsidRDefault="00AF0ADF" w:rsidP="00AF0ADF">
            <w:pPr>
              <w:jc w:val="right"/>
              <w:rPr>
                <w:rFonts w:cstheme="minorHAnsi"/>
                <w:color w:val="000000"/>
                <w:sz w:val="20"/>
                <w:szCs w:val="20"/>
              </w:rPr>
            </w:pPr>
            <w:r w:rsidRPr="006A45AA">
              <w:rPr>
                <w:rFonts w:cstheme="minorHAnsi"/>
                <w:color w:val="000000"/>
                <w:sz w:val="20"/>
                <w:szCs w:val="20"/>
              </w:rPr>
              <w:t>83.2</w:t>
            </w:r>
          </w:p>
        </w:tc>
      </w:tr>
    </w:tbl>
    <w:p w14:paraId="38E9AE72" w14:textId="3C1EFB2A" w:rsidR="002705B2" w:rsidRPr="007667EF" w:rsidRDefault="002705B2" w:rsidP="002705B2">
      <w:pPr>
        <w:ind w:left="284" w:hanging="284"/>
        <w:rPr>
          <w:sz w:val="18"/>
          <w:szCs w:val="18"/>
        </w:rPr>
      </w:pPr>
      <w:r>
        <w:rPr>
          <w:rFonts w:cstheme="minorHAnsi"/>
          <w:color w:val="000000"/>
          <w:sz w:val="20"/>
          <w:szCs w:val="20"/>
        </w:rPr>
        <w:t>n.a.</w:t>
      </w:r>
      <w:r w:rsidRPr="007667EF">
        <w:rPr>
          <w:sz w:val="18"/>
          <w:szCs w:val="18"/>
        </w:rPr>
        <w:t xml:space="preserve">.: </w:t>
      </w:r>
      <w:r>
        <w:rPr>
          <w:sz w:val="18"/>
          <w:szCs w:val="18"/>
        </w:rPr>
        <w:t xml:space="preserve">data not available; or </w:t>
      </w:r>
      <w:r w:rsidRPr="007667EF">
        <w:rPr>
          <w:sz w:val="18"/>
          <w:szCs w:val="18"/>
        </w:rPr>
        <w:t>not publishable because of small numbers, confidentiality or other concerns about the quality of the data</w:t>
      </w:r>
    </w:p>
    <w:p w14:paraId="37520F66" w14:textId="77777777" w:rsidR="00B94D3E" w:rsidRDefault="00B94D3E" w:rsidP="00940A8B">
      <w:pPr>
        <w:ind w:left="284" w:hanging="284"/>
        <w:rPr>
          <w:b/>
          <w:sz w:val="18"/>
          <w:szCs w:val="18"/>
        </w:rPr>
      </w:pPr>
    </w:p>
    <w:p w14:paraId="2440BD97" w14:textId="1FDE899D" w:rsidR="00AF0ADF" w:rsidRPr="00B94D3E" w:rsidRDefault="00AF0ADF" w:rsidP="00940A8B">
      <w:pPr>
        <w:ind w:left="284" w:hanging="284"/>
        <w:rPr>
          <w:b/>
          <w:sz w:val="18"/>
          <w:szCs w:val="18"/>
        </w:rPr>
      </w:pPr>
      <w:r w:rsidRPr="00B94D3E">
        <w:rPr>
          <w:b/>
          <w:sz w:val="18"/>
          <w:szCs w:val="18"/>
        </w:rPr>
        <w:t>Data Notes:</w:t>
      </w:r>
    </w:p>
    <w:p w14:paraId="62B62232" w14:textId="77777777" w:rsidR="00AF0ADF" w:rsidRPr="007667EF" w:rsidRDefault="00AF0ADF" w:rsidP="008D3FB5">
      <w:pPr>
        <w:pStyle w:val="pf0"/>
        <w:numPr>
          <w:ilvl w:val="0"/>
          <w:numId w:val="18"/>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Instrumental vaginal births include forceps and vacuum extraction.</w:t>
      </w:r>
    </w:p>
    <w:p w14:paraId="4D7EB7D1" w14:textId="77777777" w:rsidR="00AF0ADF" w:rsidRPr="007667EF" w:rsidRDefault="00AF0ADF" w:rsidP="008D3FB5">
      <w:pPr>
        <w:pStyle w:val="pf0"/>
        <w:numPr>
          <w:ilvl w:val="0"/>
          <w:numId w:val="18"/>
        </w:numPr>
        <w:spacing w:before="0" w:beforeAutospacing="0" w:after="0" w:afterAutospacing="0"/>
        <w:ind w:left="284" w:hanging="284"/>
        <w:rPr>
          <w:rFonts w:asciiTheme="minorHAnsi" w:hAnsiTheme="minorHAnsi"/>
          <w:sz w:val="18"/>
          <w:szCs w:val="18"/>
        </w:rPr>
      </w:pPr>
      <w:r w:rsidRPr="007667EF">
        <w:rPr>
          <w:rFonts w:asciiTheme="minorHAnsi" w:hAnsiTheme="minorHAnsi"/>
          <w:sz w:val="18"/>
          <w:szCs w:val="18"/>
        </w:rPr>
        <w:t>Data was not publishable for instrumental deliveries for hospitals with between 1 and 100 annual births, so proportions were not available for these years</w:t>
      </w:r>
    </w:p>
    <w:p w14:paraId="115EBA07" w14:textId="7DFA65C3" w:rsidR="00AF0ADF" w:rsidRPr="00B94D3E" w:rsidRDefault="00AF0ADF" w:rsidP="008D3FB5">
      <w:pPr>
        <w:pStyle w:val="ListParagraph"/>
        <w:numPr>
          <w:ilvl w:val="0"/>
          <w:numId w:val="18"/>
        </w:numPr>
        <w:ind w:left="284" w:hanging="284"/>
        <w:rPr>
          <w:sz w:val="18"/>
          <w:szCs w:val="18"/>
        </w:rPr>
      </w:pPr>
      <w:r w:rsidRPr="00B94D3E">
        <w:rPr>
          <w:sz w:val="18"/>
          <w:szCs w:val="18"/>
        </w:rPr>
        <w:t>For multiple births, the perineal status after the birth of the first-born baby was used.</w:t>
      </w:r>
    </w:p>
    <w:p w14:paraId="7A134C05" w14:textId="199256CB" w:rsidR="00AF0ADF" w:rsidRPr="00B94D3E" w:rsidRDefault="00AF0ADF" w:rsidP="008D3FB5">
      <w:pPr>
        <w:pStyle w:val="pf0"/>
        <w:numPr>
          <w:ilvl w:val="0"/>
          <w:numId w:val="18"/>
        </w:numPr>
        <w:spacing w:before="0" w:beforeAutospacing="0" w:after="0" w:afterAutospacing="0"/>
        <w:ind w:left="284" w:hanging="284"/>
        <w:rPr>
          <w:sz w:val="18"/>
          <w:szCs w:val="18"/>
        </w:rPr>
      </w:pPr>
      <w:r w:rsidRPr="00B94D3E">
        <w:rPr>
          <w:rFonts w:asciiTheme="minorHAnsi" w:hAnsiTheme="minorHAnsi" w:cstheme="minorHAnsi"/>
          <w:sz w:val="18"/>
          <w:szCs w:val="18"/>
        </w:rPr>
        <w:t>From 2004 to 2013, a 'combined</w:t>
      </w:r>
      <w:r w:rsidRPr="00B94D3E">
        <w:rPr>
          <w:rFonts w:asciiTheme="minorHAnsi" w:hAnsiTheme="minorHAnsi"/>
          <w:sz w:val="18"/>
          <w:szCs w:val="18"/>
        </w:rPr>
        <w:t xml:space="preserve"> laceration and episiotomy' value could be recorded; from 2014 onwards, episiotomy could be recorded separately.</w:t>
      </w:r>
    </w:p>
    <w:p w14:paraId="1583CE0B" w14:textId="42357CC1" w:rsidR="00AF0ADF" w:rsidRPr="00C459D0" w:rsidRDefault="00F61A64" w:rsidP="00AF0ADF">
      <w:pPr>
        <w:pStyle w:val="pf0"/>
        <w:numPr>
          <w:ilvl w:val="0"/>
          <w:numId w:val="18"/>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14E32F29" w14:textId="77777777" w:rsidR="00940A8B" w:rsidRDefault="00940A8B" w:rsidP="00B94D3E">
      <w:bookmarkStart w:id="449" w:name="_Ref117110201"/>
      <w:r>
        <w:br w:type="page"/>
      </w:r>
    </w:p>
    <w:p w14:paraId="79B8BD1D" w14:textId="3912AF1B" w:rsidR="00AF0ADF" w:rsidRPr="008E401A" w:rsidRDefault="00AF0ADF" w:rsidP="00AF0ADF">
      <w:pPr>
        <w:pStyle w:val="Caption"/>
        <w:rPr>
          <w:sz w:val="20"/>
          <w:szCs w:val="20"/>
        </w:rPr>
      </w:pPr>
      <w:bookmarkStart w:id="450" w:name="_Ref117928756"/>
      <w:bookmarkStart w:id="451" w:name="_Toc121429204"/>
      <w:r w:rsidRPr="008E401A">
        <w:rPr>
          <w:sz w:val="20"/>
          <w:szCs w:val="20"/>
        </w:rPr>
        <w:lastRenderedPageBreak/>
        <w:t xml:space="preserve">Table </w:t>
      </w:r>
      <w:r w:rsidR="00A64FC5" w:rsidRPr="008E401A">
        <w:rPr>
          <w:sz w:val="20"/>
          <w:szCs w:val="20"/>
        </w:rPr>
        <w:fldChar w:fldCharType="begin"/>
      </w:r>
      <w:r w:rsidR="00A64FC5" w:rsidRPr="008E401A">
        <w:rPr>
          <w:sz w:val="20"/>
          <w:szCs w:val="20"/>
        </w:rPr>
        <w:instrText xml:space="preserve"> SEQ Table \* ARABIC </w:instrText>
      </w:r>
      <w:r w:rsidR="00A64FC5" w:rsidRPr="008E401A">
        <w:rPr>
          <w:sz w:val="20"/>
          <w:szCs w:val="20"/>
        </w:rPr>
        <w:fldChar w:fldCharType="separate"/>
      </w:r>
      <w:r w:rsidR="00296988">
        <w:rPr>
          <w:noProof/>
          <w:sz w:val="20"/>
          <w:szCs w:val="20"/>
        </w:rPr>
        <w:t>28</w:t>
      </w:r>
      <w:r w:rsidR="00A64FC5" w:rsidRPr="008E401A">
        <w:rPr>
          <w:noProof/>
          <w:sz w:val="20"/>
          <w:szCs w:val="20"/>
        </w:rPr>
        <w:fldChar w:fldCharType="end"/>
      </w:r>
      <w:bookmarkEnd w:id="449"/>
      <w:bookmarkEnd w:id="450"/>
      <w:r w:rsidRPr="008E401A">
        <w:rPr>
          <w:sz w:val="20"/>
          <w:szCs w:val="20"/>
        </w:rPr>
        <w:tab/>
        <w:t>General anaesthetic</w:t>
      </w:r>
      <w:r w:rsidR="008E401A">
        <w:rPr>
          <w:sz w:val="20"/>
          <w:szCs w:val="20"/>
        </w:rPr>
        <w:t>,</w:t>
      </w:r>
      <w:r w:rsidRPr="008E401A">
        <w:rPr>
          <w:sz w:val="20"/>
          <w:szCs w:val="20"/>
        </w:rPr>
        <w:t xml:space="preserve"> birth</w:t>
      </w:r>
      <w:r w:rsidR="001C2C26">
        <w:rPr>
          <w:sz w:val="20"/>
          <w:szCs w:val="20"/>
        </w:rPr>
        <w:t>s</w:t>
      </w:r>
      <w:r w:rsidRPr="008E401A">
        <w:rPr>
          <w:sz w:val="20"/>
          <w:szCs w:val="20"/>
        </w:rPr>
        <w:t xml:space="preserve"> b</w:t>
      </w:r>
      <w:r w:rsidR="008E401A">
        <w:rPr>
          <w:sz w:val="20"/>
          <w:szCs w:val="20"/>
        </w:rPr>
        <w:t>y caesarean section (PI09), 2011–</w:t>
      </w:r>
      <w:r w:rsidRPr="008E401A">
        <w:rPr>
          <w:sz w:val="20"/>
          <w:szCs w:val="20"/>
        </w:rPr>
        <w:t>2019</w:t>
      </w:r>
      <w:bookmarkEnd w:id="4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57"/>
        <w:gridCol w:w="757"/>
        <w:gridCol w:w="757"/>
        <w:gridCol w:w="757"/>
        <w:gridCol w:w="757"/>
        <w:gridCol w:w="757"/>
        <w:gridCol w:w="757"/>
        <w:gridCol w:w="757"/>
        <w:gridCol w:w="767"/>
      </w:tblGrid>
      <w:tr w:rsidR="00AF0ADF" w:rsidRPr="005E1E68" w14:paraId="195A76F2" w14:textId="77777777" w:rsidTr="00B94D3E">
        <w:trPr>
          <w:trHeight w:val="236"/>
        </w:trPr>
        <w:tc>
          <w:tcPr>
            <w:tcW w:w="1539" w:type="pct"/>
            <w:shd w:val="clear" w:color="auto" w:fill="auto"/>
            <w:noWrap/>
            <w:vAlign w:val="bottom"/>
            <w:hideMark/>
          </w:tcPr>
          <w:p w14:paraId="3F3BEEDB" w14:textId="77777777" w:rsidR="00AF0ADF" w:rsidRPr="00DB3DF1" w:rsidRDefault="00AF0ADF" w:rsidP="00AF0ADF">
            <w:pPr>
              <w:rPr>
                <w:rFonts w:cstheme="minorHAnsi"/>
                <w:b/>
                <w:bCs/>
                <w:color w:val="000000"/>
                <w:sz w:val="20"/>
                <w:szCs w:val="20"/>
              </w:rPr>
            </w:pPr>
          </w:p>
        </w:tc>
        <w:tc>
          <w:tcPr>
            <w:tcW w:w="384" w:type="pct"/>
            <w:shd w:val="clear" w:color="auto" w:fill="auto"/>
            <w:noWrap/>
            <w:vAlign w:val="center"/>
            <w:hideMark/>
          </w:tcPr>
          <w:p w14:paraId="794721FE"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2011</w:t>
            </w:r>
          </w:p>
        </w:tc>
        <w:tc>
          <w:tcPr>
            <w:tcW w:w="384" w:type="pct"/>
            <w:shd w:val="clear" w:color="auto" w:fill="auto"/>
            <w:noWrap/>
            <w:vAlign w:val="center"/>
            <w:hideMark/>
          </w:tcPr>
          <w:p w14:paraId="38F016B1"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2012</w:t>
            </w:r>
          </w:p>
        </w:tc>
        <w:tc>
          <w:tcPr>
            <w:tcW w:w="384" w:type="pct"/>
            <w:shd w:val="clear" w:color="auto" w:fill="auto"/>
            <w:noWrap/>
            <w:vAlign w:val="center"/>
            <w:hideMark/>
          </w:tcPr>
          <w:p w14:paraId="6DA3633C"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2013</w:t>
            </w:r>
          </w:p>
        </w:tc>
        <w:tc>
          <w:tcPr>
            <w:tcW w:w="384" w:type="pct"/>
            <w:shd w:val="clear" w:color="auto" w:fill="auto"/>
            <w:noWrap/>
            <w:vAlign w:val="center"/>
            <w:hideMark/>
          </w:tcPr>
          <w:p w14:paraId="3022D3F5"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2014</w:t>
            </w:r>
          </w:p>
        </w:tc>
        <w:tc>
          <w:tcPr>
            <w:tcW w:w="384" w:type="pct"/>
            <w:shd w:val="clear" w:color="auto" w:fill="auto"/>
            <w:noWrap/>
            <w:vAlign w:val="center"/>
            <w:hideMark/>
          </w:tcPr>
          <w:p w14:paraId="432A2BDB"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2015</w:t>
            </w:r>
          </w:p>
        </w:tc>
        <w:tc>
          <w:tcPr>
            <w:tcW w:w="384" w:type="pct"/>
            <w:shd w:val="clear" w:color="auto" w:fill="auto"/>
            <w:noWrap/>
            <w:vAlign w:val="center"/>
            <w:hideMark/>
          </w:tcPr>
          <w:p w14:paraId="43E13FD5"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2016</w:t>
            </w:r>
          </w:p>
        </w:tc>
        <w:tc>
          <w:tcPr>
            <w:tcW w:w="384" w:type="pct"/>
            <w:shd w:val="clear" w:color="auto" w:fill="auto"/>
            <w:noWrap/>
            <w:vAlign w:val="center"/>
            <w:hideMark/>
          </w:tcPr>
          <w:p w14:paraId="335AAEF6"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2017</w:t>
            </w:r>
          </w:p>
        </w:tc>
        <w:tc>
          <w:tcPr>
            <w:tcW w:w="384" w:type="pct"/>
            <w:shd w:val="clear" w:color="auto" w:fill="auto"/>
            <w:noWrap/>
            <w:vAlign w:val="center"/>
            <w:hideMark/>
          </w:tcPr>
          <w:p w14:paraId="38F6F261"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2018</w:t>
            </w:r>
          </w:p>
        </w:tc>
        <w:tc>
          <w:tcPr>
            <w:tcW w:w="388" w:type="pct"/>
            <w:shd w:val="clear" w:color="auto" w:fill="auto"/>
            <w:noWrap/>
            <w:vAlign w:val="center"/>
            <w:hideMark/>
          </w:tcPr>
          <w:p w14:paraId="74BD3300" w14:textId="77777777" w:rsidR="00AF0ADF" w:rsidRPr="00DB3DF1" w:rsidRDefault="00AF0ADF" w:rsidP="00B94D3E">
            <w:pPr>
              <w:jc w:val="center"/>
              <w:rPr>
                <w:rFonts w:cstheme="minorHAnsi"/>
                <w:b/>
                <w:bCs/>
                <w:color w:val="000000"/>
                <w:sz w:val="20"/>
                <w:szCs w:val="20"/>
              </w:rPr>
            </w:pPr>
            <w:r w:rsidRPr="00DB3DF1">
              <w:rPr>
                <w:rFonts w:cstheme="minorHAnsi"/>
                <w:b/>
                <w:bCs/>
                <w:color w:val="000000"/>
                <w:sz w:val="20"/>
                <w:szCs w:val="20"/>
              </w:rPr>
              <w:t>2019</w:t>
            </w:r>
          </w:p>
        </w:tc>
      </w:tr>
      <w:tr w:rsidR="00AF0ADF" w:rsidRPr="005E1E68" w14:paraId="7F4B5765" w14:textId="77777777" w:rsidTr="00720D87">
        <w:trPr>
          <w:trHeight w:val="236"/>
        </w:trPr>
        <w:tc>
          <w:tcPr>
            <w:tcW w:w="1539" w:type="pct"/>
            <w:shd w:val="clear" w:color="auto" w:fill="auto"/>
            <w:noWrap/>
            <w:vAlign w:val="bottom"/>
          </w:tcPr>
          <w:p w14:paraId="3E91E3C7" w14:textId="77777777" w:rsidR="00AF0ADF" w:rsidRPr="00DB3DF1" w:rsidRDefault="00AF0ADF" w:rsidP="00AF0ADF">
            <w:pPr>
              <w:rPr>
                <w:rFonts w:cstheme="minorHAnsi"/>
                <w:b/>
                <w:bCs/>
                <w:color w:val="000000"/>
                <w:sz w:val="20"/>
                <w:szCs w:val="20"/>
              </w:rPr>
            </w:pPr>
          </w:p>
        </w:tc>
        <w:tc>
          <w:tcPr>
            <w:tcW w:w="3461" w:type="pct"/>
            <w:gridSpan w:val="9"/>
            <w:shd w:val="clear" w:color="auto" w:fill="auto"/>
            <w:noWrap/>
          </w:tcPr>
          <w:p w14:paraId="7DDC162A" w14:textId="77777777" w:rsidR="00AF0ADF" w:rsidRPr="00DB3DF1" w:rsidRDefault="00AF0ADF" w:rsidP="00AF0ADF">
            <w:pPr>
              <w:jc w:val="center"/>
              <w:rPr>
                <w:rFonts w:cstheme="minorHAnsi"/>
                <w:b/>
                <w:bCs/>
                <w:color w:val="000000"/>
                <w:sz w:val="20"/>
                <w:szCs w:val="20"/>
              </w:rPr>
            </w:pPr>
            <w:r w:rsidRPr="00DB3DF1">
              <w:rPr>
                <w:rFonts w:cstheme="minorHAnsi"/>
                <w:b/>
                <w:bCs/>
                <w:sz w:val="20"/>
                <w:szCs w:val="20"/>
              </w:rPr>
              <w:t>In per cent (%)</w:t>
            </w:r>
          </w:p>
        </w:tc>
      </w:tr>
      <w:tr w:rsidR="00AF0ADF" w:rsidRPr="005E1E68" w14:paraId="19632822" w14:textId="77777777" w:rsidTr="00AF0ADF">
        <w:trPr>
          <w:trHeight w:val="236"/>
        </w:trPr>
        <w:tc>
          <w:tcPr>
            <w:tcW w:w="5000" w:type="pct"/>
            <w:gridSpan w:val="10"/>
            <w:shd w:val="clear" w:color="auto" w:fill="auto"/>
            <w:noWrap/>
            <w:vAlign w:val="bottom"/>
            <w:hideMark/>
          </w:tcPr>
          <w:p w14:paraId="0864AD90" w14:textId="77777777" w:rsidR="00AF0ADF" w:rsidRPr="00DB3DF1" w:rsidRDefault="00AF0ADF" w:rsidP="00AF0ADF">
            <w:pPr>
              <w:rPr>
                <w:rFonts w:cstheme="minorHAnsi"/>
                <w:sz w:val="20"/>
                <w:szCs w:val="20"/>
              </w:rPr>
            </w:pPr>
            <w:r w:rsidRPr="00DB3DF1">
              <w:rPr>
                <w:rFonts w:cstheme="minorHAnsi"/>
                <w:b/>
                <w:bCs/>
                <w:color w:val="000000"/>
                <w:sz w:val="20"/>
                <w:szCs w:val="20"/>
              </w:rPr>
              <w:t>Australia</w:t>
            </w:r>
          </w:p>
        </w:tc>
      </w:tr>
      <w:tr w:rsidR="00AF0ADF" w:rsidRPr="005E1E68" w14:paraId="31CF3339" w14:textId="77777777" w:rsidTr="00720D87">
        <w:trPr>
          <w:trHeight w:val="236"/>
        </w:trPr>
        <w:tc>
          <w:tcPr>
            <w:tcW w:w="1539" w:type="pct"/>
            <w:shd w:val="clear" w:color="auto" w:fill="auto"/>
            <w:noWrap/>
            <w:vAlign w:val="bottom"/>
            <w:hideMark/>
          </w:tcPr>
          <w:p w14:paraId="0C076A62"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Total</w:t>
            </w:r>
          </w:p>
        </w:tc>
        <w:tc>
          <w:tcPr>
            <w:tcW w:w="384" w:type="pct"/>
            <w:shd w:val="clear" w:color="auto" w:fill="auto"/>
            <w:noWrap/>
            <w:vAlign w:val="bottom"/>
            <w:hideMark/>
          </w:tcPr>
          <w:p w14:paraId="1388F6C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086F636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6.7</w:t>
            </w:r>
          </w:p>
        </w:tc>
        <w:tc>
          <w:tcPr>
            <w:tcW w:w="384" w:type="pct"/>
            <w:shd w:val="clear" w:color="auto" w:fill="auto"/>
            <w:noWrap/>
            <w:vAlign w:val="bottom"/>
            <w:hideMark/>
          </w:tcPr>
          <w:p w14:paraId="3445CBC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6.4</w:t>
            </w:r>
          </w:p>
        </w:tc>
        <w:tc>
          <w:tcPr>
            <w:tcW w:w="384" w:type="pct"/>
            <w:shd w:val="clear" w:color="auto" w:fill="auto"/>
            <w:noWrap/>
            <w:vAlign w:val="bottom"/>
            <w:hideMark/>
          </w:tcPr>
          <w:p w14:paraId="74A744D7"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6.5</w:t>
            </w:r>
          </w:p>
        </w:tc>
        <w:tc>
          <w:tcPr>
            <w:tcW w:w="384" w:type="pct"/>
            <w:shd w:val="clear" w:color="auto" w:fill="auto"/>
            <w:noWrap/>
            <w:vAlign w:val="bottom"/>
            <w:hideMark/>
          </w:tcPr>
          <w:p w14:paraId="5008EB1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6.2</w:t>
            </w:r>
          </w:p>
        </w:tc>
        <w:tc>
          <w:tcPr>
            <w:tcW w:w="384" w:type="pct"/>
            <w:shd w:val="clear" w:color="auto" w:fill="auto"/>
            <w:noWrap/>
            <w:vAlign w:val="bottom"/>
            <w:hideMark/>
          </w:tcPr>
          <w:p w14:paraId="0130668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6.3</w:t>
            </w:r>
          </w:p>
        </w:tc>
        <w:tc>
          <w:tcPr>
            <w:tcW w:w="384" w:type="pct"/>
            <w:shd w:val="clear" w:color="auto" w:fill="auto"/>
            <w:noWrap/>
            <w:vAlign w:val="bottom"/>
            <w:hideMark/>
          </w:tcPr>
          <w:p w14:paraId="38D9AB8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6.1</w:t>
            </w:r>
          </w:p>
        </w:tc>
        <w:tc>
          <w:tcPr>
            <w:tcW w:w="384" w:type="pct"/>
            <w:shd w:val="clear" w:color="auto" w:fill="auto"/>
            <w:noWrap/>
            <w:vAlign w:val="bottom"/>
            <w:hideMark/>
          </w:tcPr>
          <w:p w14:paraId="1195F7C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6.0</w:t>
            </w:r>
          </w:p>
        </w:tc>
        <w:tc>
          <w:tcPr>
            <w:tcW w:w="388" w:type="pct"/>
            <w:shd w:val="clear" w:color="auto" w:fill="auto"/>
            <w:noWrap/>
            <w:vAlign w:val="bottom"/>
            <w:hideMark/>
          </w:tcPr>
          <w:p w14:paraId="414FE9F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5.5</w:t>
            </w:r>
          </w:p>
        </w:tc>
      </w:tr>
      <w:tr w:rsidR="00AF0ADF" w:rsidRPr="005E1E68" w14:paraId="3CCDD14B" w14:textId="77777777" w:rsidTr="00AF0ADF">
        <w:trPr>
          <w:trHeight w:val="236"/>
        </w:trPr>
        <w:tc>
          <w:tcPr>
            <w:tcW w:w="5000" w:type="pct"/>
            <w:gridSpan w:val="10"/>
            <w:shd w:val="clear" w:color="auto" w:fill="auto"/>
            <w:noWrap/>
            <w:vAlign w:val="bottom"/>
            <w:hideMark/>
          </w:tcPr>
          <w:p w14:paraId="74ECD5AA" w14:textId="77777777" w:rsidR="00AF0ADF" w:rsidRPr="00DB3DF1" w:rsidRDefault="00AF0ADF" w:rsidP="00AF0ADF">
            <w:pPr>
              <w:rPr>
                <w:rFonts w:cstheme="minorHAnsi"/>
                <w:sz w:val="20"/>
                <w:szCs w:val="20"/>
              </w:rPr>
            </w:pPr>
            <w:r w:rsidRPr="00DB3DF1">
              <w:rPr>
                <w:rFonts w:cstheme="minorHAnsi"/>
                <w:b/>
                <w:bCs/>
                <w:color w:val="000000"/>
                <w:sz w:val="20"/>
                <w:szCs w:val="20"/>
              </w:rPr>
              <w:t>Mother's age at birth</w:t>
            </w:r>
          </w:p>
        </w:tc>
      </w:tr>
      <w:tr w:rsidR="00AF0ADF" w:rsidRPr="005E1E68" w14:paraId="7898D2FD" w14:textId="77777777" w:rsidTr="00720D87">
        <w:trPr>
          <w:trHeight w:val="236"/>
        </w:trPr>
        <w:tc>
          <w:tcPr>
            <w:tcW w:w="1539" w:type="pct"/>
            <w:shd w:val="clear" w:color="auto" w:fill="auto"/>
            <w:noWrap/>
            <w:vAlign w:val="bottom"/>
            <w:hideMark/>
          </w:tcPr>
          <w:p w14:paraId="3EE311DF"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Younger than 20</w:t>
            </w:r>
          </w:p>
        </w:tc>
        <w:tc>
          <w:tcPr>
            <w:tcW w:w="384" w:type="pct"/>
            <w:shd w:val="clear" w:color="auto" w:fill="auto"/>
            <w:noWrap/>
            <w:vAlign w:val="bottom"/>
            <w:hideMark/>
          </w:tcPr>
          <w:p w14:paraId="283179DF"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16.8</w:t>
            </w:r>
          </w:p>
        </w:tc>
        <w:tc>
          <w:tcPr>
            <w:tcW w:w="384" w:type="pct"/>
            <w:shd w:val="clear" w:color="auto" w:fill="auto"/>
            <w:noWrap/>
            <w:vAlign w:val="bottom"/>
            <w:hideMark/>
          </w:tcPr>
          <w:p w14:paraId="0D1D1C0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17.8</w:t>
            </w:r>
          </w:p>
        </w:tc>
        <w:tc>
          <w:tcPr>
            <w:tcW w:w="384" w:type="pct"/>
            <w:shd w:val="clear" w:color="auto" w:fill="auto"/>
            <w:noWrap/>
            <w:vAlign w:val="bottom"/>
            <w:hideMark/>
          </w:tcPr>
          <w:p w14:paraId="30C92557"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16.2</w:t>
            </w:r>
          </w:p>
        </w:tc>
        <w:tc>
          <w:tcPr>
            <w:tcW w:w="384" w:type="pct"/>
            <w:shd w:val="clear" w:color="auto" w:fill="auto"/>
            <w:noWrap/>
            <w:vAlign w:val="bottom"/>
            <w:hideMark/>
          </w:tcPr>
          <w:p w14:paraId="2FAA4A8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15.6</w:t>
            </w:r>
          </w:p>
        </w:tc>
        <w:tc>
          <w:tcPr>
            <w:tcW w:w="384" w:type="pct"/>
            <w:shd w:val="clear" w:color="auto" w:fill="auto"/>
            <w:noWrap/>
            <w:vAlign w:val="bottom"/>
            <w:hideMark/>
          </w:tcPr>
          <w:p w14:paraId="32FAFC2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16.2</w:t>
            </w:r>
          </w:p>
        </w:tc>
        <w:tc>
          <w:tcPr>
            <w:tcW w:w="384" w:type="pct"/>
            <w:shd w:val="clear" w:color="auto" w:fill="auto"/>
            <w:noWrap/>
            <w:vAlign w:val="bottom"/>
            <w:hideMark/>
          </w:tcPr>
          <w:p w14:paraId="61A86AD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15.1</w:t>
            </w:r>
          </w:p>
        </w:tc>
        <w:tc>
          <w:tcPr>
            <w:tcW w:w="384" w:type="pct"/>
            <w:shd w:val="clear" w:color="auto" w:fill="auto"/>
            <w:noWrap/>
            <w:vAlign w:val="bottom"/>
            <w:hideMark/>
          </w:tcPr>
          <w:p w14:paraId="15169711"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16.1</w:t>
            </w:r>
          </w:p>
        </w:tc>
        <w:tc>
          <w:tcPr>
            <w:tcW w:w="384" w:type="pct"/>
            <w:shd w:val="clear" w:color="auto" w:fill="auto"/>
            <w:noWrap/>
            <w:vAlign w:val="bottom"/>
            <w:hideMark/>
          </w:tcPr>
          <w:p w14:paraId="1EAE111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15.2</w:t>
            </w:r>
          </w:p>
        </w:tc>
        <w:tc>
          <w:tcPr>
            <w:tcW w:w="388" w:type="pct"/>
            <w:shd w:val="clear" w:color="auto" w:fill="auto"/>
            <w:noWrap/>
            <w:vAlign w:val="bottom"/>
            <w:hideMark/>
          </w:tcPr>
          <w:p w14:paraId="16D15AE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15.1</w:t>
            </w:r>
          </w:p>
        </w:tc>
      </w:tr>
      <w:tr w:rsidR="00AF0ADF" w:rsidRPr="005E1E68" w14:paraId="704F73D5" w14:textId="77777777" w:rsidTr="00720D87">
        <w:trPr>
          <w:trHeight w:val="236"/>
        </w:trPr>
        <w:tc>
          <w:tcPr>
            <w:tcW w:w="1539" w:type="pct"/>
            <w:shd w:val="clear" w:color="auto" w:fill="auto"/>
            <w:noWrap/>
            <w:vAlign w:val="bottom"/>
            <w:hideMark/>
          </w:tcPr>
          <w:p w14:paraId="19E31EE9"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20-24</w:t>
            </w:r>
          </w:p>
        </w:tc>
        <w:tc>
          <w:tcPr>
            <w:tcW w:w="384" w:type="pct"/>
            <w:shd w:val="clear" w:color="auto" w:fill="auto"/>
            <w:noWrap/>
            <w:vAlign w:val="bottom"/>
            <w:hideMark/>
          </w:tcPr>
          <w:p w14:paraId="392592CF"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11.3</w:t>
            </w:r>
          </w:p>
        </w:tc>
        <w:tc>
          <w:tcPr>
            <w:tcW w:w="384" w:type="pct"/>
            <w:shd w:val="clear" w:color="auto" w:fill="auto"/>
            <w:noWrap/>
            <w:vAlign w:val="bottom"/>
            <w:hideMark/>
          </w:tcPr>
          <w:p w14:paraId="717DD19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10.8</w:t>
            </w:r>
          </w:p>
        </w:tc>
        <w:tc>
          <w:tcPr>
            <w:tcW w:w="384" w:type="pct"/>
            <w:shd w:val="clear" w:color="auto" w:fill="auto"/>
            <w:noWrap/>
            <w:vAlign w:val="bottom"/>
            <w:hideMark/>
          </w:tcPr>
          <w:p w14:paraId="02DE3ECA"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10.3</w:t>
            </w:r>
          </w:p>
        </w:tc>
        <w:tc>
          <w:tcPr>
            <w:tcW w:w="384" w:type="pct"/>
            <w:shd w:val="clear" w:color="auto" w:fill="auto"/>
            <w:noWrap/>
            <w:vAlign w:val="bottom"/>
            <w:hideMark/>
          </w:tcPr>
          <w:p w14:paraId="231B700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10.5</w:t>
            </w:r>
          </w:p>
        </w:tc>
        <w:tc>
          <w:tcPr>
            <w:tcW w:w="384" w:type="pct"/>
            <w:shd w:val="clear" w:color="auto" w:fill="auto"/>
            <w:noWrap/>
            <w:vAlign w:val="bottom"/>
            <w:hideMark/>
          </w:tcPr>
          <w:p w14:paraId="6EA5693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10.2</w:t>
            </w:r>
          </w:p>
        </w:tc>
        <w:tc>
          <w:tcPr>
            <w:tcW w:w="384" w:type="pct"/>
            <w:shd w:val="clear" w:color="auto" w:fill="auto"/>
            <w:noWrap/>
            <w:vAlign w:val="bottom"/>
            <w:hideMark/>
          </w:tcPr>
          <w:p w14:paraId="5AC1C442"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11.3</w:t>
            </w:r>
          </w:p>
        </w:tc>
        <w:tc>
          <w:tcPr>
            <w:tcW w:w="384" w:type="pct"/>
            <w:shd w:val="clear" w:color="auto" w:fill="auto"/>
            <w:noWrap/>
            <w:vAlign w:val="bottom"/>
            <w:hideMark/>
          </w:tcPr>
          <w:p w14:paraId="56930632"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10.6</w:t>
            </w:r>
          </w:p>
        </w:tc>
        <w:tc>
          <w:tcPr>
            <w:tcW w:w="384" w:type="pct"/>
            <w:shd w:val="clear" w:color="auto" w:fill="auto"/>
            <w:noWrap/>
            <w:vAlign w:val="bottom"/>
            <w:hideMark/>
          </w:tcPr>
          <w:p w14:paraId="61618D6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10.8</w:t>
            </w:r>
          </w:p>
        </w:tc>
        <w:tc>
          <w:tcPr>
            <w:tcW w:w="388" w:type="pct"/>
            <w:shd w:val="clear" w:color="auto" w:fill="auto"/>
            <w:noWrap/>
            <w:vAlign w:val="bottom"/>
            <w:hideMark/>
          </w:tcPr>
          <w:p w14:paraId="767B393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10.3</w:t>
            </w:r>
          </w:p>
        </w:tc>
      </w:tr>
      <w:tr w:rsidR="00AF0ADF" w:rsidRPr="005E1E68" w14:paraId="716BB885" w14:textId="77777777" w:rsidTr="00720D87">
        <w:trPr>
          <w:trHeight w:val="236"/>
        </w:trPr>
        <w:tc>
          <w:tcPr>
            <w:tcW w:w="1539" w:type="pct"/>
            <w:shd w:val="clear" w:color="auto" w:fill="auto"/>
            <w:noWrap/>
            <w:vAlign w:val="bottom"/>
            <w:hideMark/>
          </w:tcPr>
          <w:p w14:paraId="331BA5B2"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25-29</w:t>
            </w:r>
          </w:p>
        </w:tc>
        <w:tc>
          <w:tcPr>
            <w:tcW w:w="384" w:type="pct"/>
            <w:shd w:val="clear" w:color="auto" w:fill="auto"/>
            <w:noWrap/>
            <w:vAlign w:val="bottom"/>
            <w:hideMark/>
          </w:tcPr>
          <w:p w14:paraId="46B0661F"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7.8</w:t>
            </w:r>
          </w:p>
        </w:tc>
        <w:tc>
          <w:tcPr>
            <w:tcW w:w="384" w:type="pct"/>
            <w:shd w:val="clear" w:color="auto" w:fill="auto"/>
            <w:noWrap/>
            <w:vAlign w:val="bottom"/>
            <w:hideMark/>
          </w:tcPr>
          <w:p w14:paraId="784A7F8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7.3</w:t>
            </w:r>
          </w:p>
        </w:tc>
        <w:tc>
          <w:tcPr>
            <w:tcW w:w="384" w:type="pct"/>
            <w:shd w:val="clear" w:color="auto" w:fill="auto"/>
            <w:noWrap/>
            <w:vAlign w:val="bottom"/>
            <w:hideMark/>
          </w:tcPr>
          <w:p w14:paraId="5D0BA78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7.0</w:t>
            </w:r>
          </w:p>
        </w:tc>
        <w:tc>
          <w:tcPr>
            <w:tcW w:w="384" w:type="pct"/>
            <w:shd w:val="clear" w:color="auto" w:fill="auto"/>
            <w:noWrap/>
            <w:vAlign w:val="bottom"/>
            <w:hideMark/>
          </w:tcPr>
          <w:p w14:paraId="2326AA2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7.0</w:t>
            </w:r>
          </w:p>
        </w:tc>
        <w:tc>
          <w:tcPr>
            <w:tcW w:w="384" w:type="pct"/>
            <w:shd w:val="clear" w:color="auto" w:fill="auto"/>
            <w:noWrap/>
            <w:vAlign w:val="bottom"/>
            <w:hideMark/>
          </w:tcPr>
          <w:p w14:paraId="1D5A784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7.0</w:t>
            </w:r>
          </w:p>
        </w:tc>
        <w:tc>
          <w:tcPr>
            <w:tcW w:w="384" w:type="pct"/>
            <w:shd w:val="clear" w:color="auto" w:fill="auto"/>
            <w:noWrap/>
            <w:vAlign w:val="bottom"/>
            <w:hideMark/>
          </w:tcPr>
          <w:p w14:paraId="32C51B07"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4EAAB03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0536EB3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7.0</w:t>
            </w:r>
          </w:p>
        </w:tc>
        <w:tc>
          <w:tcPr>
            <w:tcW w:w="388" w:type="pct"/>
            <w:shd w:val="clear" w:color="auto" w:fill="auto"/>
            <w:noWrap/>
            <w:vAlign w:val="bottom"/>
            <w:hideMark/>
          </w:tcPr>
          <w:p w14:paraId="26E9C65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6.4</w:t>
            </w:r>
          </w:p>
        </w:tc>
      </w:tr>
      <w:tr w:rsidR="00AF0ADF" w:rsidRPr="005E1E68" w14:paraId="24111740" w14:textId="77777777" w:rsidTr="00720D87">
        <w:trPr>
          <w:trHeight w:val="236"/>
        </w:trPr>
        <w:tc>
          <w:tcPr>
            <w:tcW w:w="1539" w:type="pct"/>
            <w:shd w:val="clear" w:color="auto" w:fill="auto"/>
            <w:noWrap/>
            <w:vAlign w:val="bottom"/>
            <w:hideMark/>
          </w:tcPr>
          <w:p w14:paraId="4C92C53F"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30-34</w:t>
            </w:r>
          </w:p>
        </w:tc>
        <w:tc>
          <w:tcPr>
            <w:tcW w:w="384" w:type="pct"/>
            <w:shd w:val="clear" w:color="auto" w:fill="auto"/>
            <w:noWrap/>
            <w:vAlign w:val="bottom"/>
            <w:hideMark/>
          </w:tcPr>
          <w:p w14:paraId="35A5D05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5.9</w:t>
            </w:r>
          </w:p>
        </w:tc>
        <w:tc>
          <w:tcPr>
            <w:tcW w:w="384" w:type="pct"/>
            <w:shd w:val="clear" w:color="auto" w:fill="auto"/>
            <w:noWrap/>
            <w:vAlign w:val="bottom"/>
            <w:hideMark/>
          </w:tcPr>
          <w:p w14:paraId="353653E7"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5.5</w:t>
            </w:r>
          </w:p>
        </w:tc>
        <w:tc>
          <w:tcPr>
            <w:tcW w:w="384" w:type="pct"/>
            <w:shd w:val="clear" w:color="auto" w:fill="auto"/>
            <w:noWrap/>
            <w:vAlign w:val="bottom"/>
            <w:hideMark/>
          </w:tcPr>
          <w:p w14:paraId="003D848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5.3</w:t>
            </w:r>
          </w:p>
        </w:tc>
        <w:tc>
          <w:tcPr>
            <w:tcW w:w="384" w:type="pct"/>
            <w:shd w:val="clear" w:color="auto" w:fill="auto"/>
            <w:noWrap/>
            <w:vAlign w:val="bottom"/>
            <w:hideMark/>
          </w:tcPr>
          <w:p w14:paraId="5312376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5.4</w:t>
            </w:r>
          </w:p>
        </w:tc>
        <w:tc>
          <w:tcPr>
            <w:tcW w:w="384" w:type="pct"/>
            <w:shd w:val="clear" w:color="auto" w:fill="auto"/>
            <w:noWrap/>
            <w:vAlign w:val="bottom"/>
            <w:hideMark/>
          </w:tcPr>
          <w:p w14:paraId="7CE4A77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5.3</w:t>
            </w:r>
          </w:p>
        </w:tc>
        <w:tc>
          <w:tcPr>
            <w:tcW w:w="384" w:type="pct"/>
            <w:shd w:val="clear" w:color="auto" w:fill="auto"/>
            <w:noWrap/>
            <w:vAlign w:val="bottom"/>
            <w:hideMark/>
          </w:tcPr>
          <w:p w14:paraId="6AF94CC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5.3</w:t>
            </w:r>
          </w:p>
        </w:tc>
        <w:tc>
          <w:tcPr>
            <w:tcW w:w="384" w:type="pct"/>
            <w:shd w:val="clear" w:color="auto" w:fill="auto"/>
            <w:noWrap/>
            <w:vAlign w:val="bottom"/>
            <w:hideMark/>
          </w:tcPr>
          <w:p w14:paraId="79046D4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5.1</w:t>
            </w:r>
          </w:p>
        </w:tc>
        <w:tc>
          <w:tcPr>
            <w:tcW w:w="384" w:type="pct"/>
            <w:shd w:val="clear" w:color="auto" w:fill="auto"/>
            <w:noWrap/>
            <w:vAlign w:val="bottom"/>
            <w:hideMark/>
          </w:tcPr>
          <w:p w14:paraId="39E0182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5.0</w:t>
            </w:r>
          </w:p>
        </w:tc>
        <w:tc>
          <w:tcPr>
            <w:tcW w:w="388" w:type="pct"/>
            <w:shd w:val="clear" w:color="auto" w:fill="auto"/>
            <w:noWrap/>
            <w:vAlign w:val="bottom"/>
            <w:hideMark/>
          </w:tcPr>
          <w:p w14:paraId="650C4DC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4.5</w:t>
            </w:r>
          </w:p>
        </w:tc>
      </w:tr>
      <w:tr w:rsidR="00AF0ADF" w:rsidRPr="005E1E68" w14:paraId="3F9D9D77" w14:textId="77777777" w:rsidTr="00720D87">
        <w:trPr>
          <w:trHeight w:val="236"/>
        </w:trPr>
        <w:tc>
          <w:tcPr>
            <w:tcW w:w="1539" w:type="pct"/>
            <w:shd w:val="clear" w:color="auto" w:fill="auto"/>
            <w:noWrap/>
            <w:vAlign w:val="bottom"/>
            <w:hideMark/>
          </w:tcPr>
          <w:p w14:paraId="3EB5B60F"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35-39</w:t>
            </w:r>
          </w:p>
        </w:tc>
        <w:tc>
          <w:tcPr>
            <w:tcW w:w="384" w:type="pct"/>
            <w:shd w:val="clear" w:color="auto" w:fill="auto"/>
            <w:noWrap/>
            <w:vAlign w:val="bottom"/>
            <w:hideMark/>
          </w:tcPr>
          <w:p w14:paraId="5C16460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6.1</w:t>
            </w:r>
          </w:p>
        </w:tc>
        <w:tc>
          <w:tcPr>
            <w:tcW w:w="384" w:type="pct"/>
            <w:shd w:val="clear" w:color="auto" w:fill="auto"/>
            <w:noWrap/>
            <w:vAlign w:val="bottom"/>
            <w:hideMark/>
          </w:tcPr>
          <w:p w14:paraId="5D8A2A1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5.3</w:t>
            </w:r>
          </w:p>
        </w:tc>
        <w:tc>
          <w:tcPr>
            <w:tcW w:w="384" w:type="pct"/>
            <w:shd w:val="clear" w:color="auto" w:fill="auto"/>
            <w:noWrap/>
            <w:vAlign w:val="bottom"/>
            <w:hideMark/>
          </w:tcPr>
          <w:p w14:paraId="187D147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5.0</w:t>
            </w:r>
          </w:p>
        </w:tc>
        <w:tc>
          <w:tcPr>
            <w:tcW w:w="384" w:type="pct"/>
            <w:shd w:val="clear" w:color="auto" w:fill="auto"/>
            <w:noWrap/>
            <w:vAlign w:val="bottom"/>
            <w:hideMark/>
          </w:tcPr>
          <w:p w14:paraId="1185D7F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5.4</w:t>
            </w:r>
          </w:p>
        </w:tc>
        <w:tc>
          <w:tcPr>
            <w:tcW w:w="384" w:type="pct"/>
            <w:shd w:val="clear" w:color="auto" w:fill="auto"/>
            <w:noWrap/>
            <w:vAlign w:val="bottom"/>
            <w:hideMark/>
          </w:tcPr>
          <w:p w14:paraId="56BBF3C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5.1</w:t>
            </w:r>
          </w:p>
        </w:tc>
        <w:tc>
          <w:tcPr>
            <w:tcW w:w="384" w:type="pct"/>
            <w:shd w:val="clear" w:color="auto" w:fill="auto"/>
            <w:noWrap/>
            <w:vAlign w:val="bottom"/>
            <w:hideMark/>
          </w:tcPr>
          <w:p w14:paraId="0384F91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5.0</w:t>
            </w:r>
          </w:p>
        </w:tc>
        <w:tc>
          <w:tcPr>
            <w:tcW w:w="384" w:type="pct"/>
            <w:shd w:val="clear" w:color="auto" w:fill="auto"/>
            <w:noWrap/>
            <w:vAlign w:val="bottom"/>
            <w:hideMark/>
          </w:tcPr>
          <w:p w14:paraId="1F546CE7"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5.0</w:t>
            </w:r>
          </w:p>
        </w:tc>
        <w:tc>
          <w:tcPr>
            <w:tcW w:w="384" w:type="pct"/>
            <w:shd w:val="clear" w:color="auto" w:fill="auto"/>
            <w:noWrap/>
            <w:vAlign w:val="bottom"/>
            <w:hideMark/>
          </w:tcPr>
          <w:p w14:paraId="04E29E5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4.7</w:t>
            </w:r>
          </w:p>
        </w:tc>
        <w:tc>
          <w:tcPr>
            <w:tcW w:w="388" w:type="pct"/>
            <w:shd w:val="clear" w:color="auto" w:fill="auto"/>
            <w:noWrap/>
            <w:vAlign w:val="bottom"/>
            <w:hideMark/>
          </w:tcPr>
          <w:p w14:paraId="04E0D024"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4.5</w:t>
            </w:r>
          </w:p>
        </w:tc>
      </w:tr>
      <w:tr w:rsidR="00AF0ADF" w:rsidRPr="005E1E68" w14:paraId="1BF6973A" w14:textId="77777777" w:rsidTr="00720D87">
        <w:trPr>
          <w:trHeight w:val="236"/>
        </w:trPr>
        <w:tc>
          <w:tcPr>
            <w:tcW w:w="1539" w:type="pct"/>
            <w:shd w:val="clear" w:color="auto" w:fill="auto"/>
            <w:noWrap/>
            <w:vAlign w:val="bottom"/>
            <w:hideMark/>
          </w:tcPr>
          <w:p w14:paraId="1CAEB467"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40 and over</w:t>
            </w:r>
          </w:p>
        </w:tc>
        <w:tc>
          <w:tcPr>
            <w:tcW w:w="384" w:type="pct"/>
            <w:shd w:val="clear" w:color="auto" w:fill="auto"/>
            <w:noWrap/>
            <w:vAlign w:val="bottom"/>
            <w:hideMark/>
          </w:tcPr>
          <w:p w14:paraId="754B828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6.3</w:t>
            </w:r>
          </w:p>
        </w:tc>
        <w:tc>
          <w:tcPr>
            <w:tcW w:w="384" w:type="pct"/>
            <w:shd w:val="clear" w:color="auto" w:fill="auto"/>
            <w:noWrap/>
            <w:vAlign w:val="bottom"/>
            <w:hideMark/>
          </w:tcPr>
          <w:p w14:paraId="6CDC185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6.6</w:t>
            </w:r>
          </w:p>
        </w:tc>
        <w:tc>
          <w:tcPr>
            <w:tcW w:w="384" w:type="pct"/>
            <w:shd w:val="clear" w:color="auto" w:fill="auto"/>
            <w:noWrap/>
            <w:vAlign w:val="bottom"/>
            <w:hideMark/>
          </w:tcPr>
          <w:p w14:paraId="529F8A04"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5.5</w:t>
            </w:r>
          </w:p>
        </w:tc>
        <w:tc>
          <w:tcPr>
            <w:tcW w:w="384" w:type="pct"/>
            <w:shd w:val="clear" w:color="auto" w:fill="auto"/>
            <w:noWrap/>
            <w:vAlign w:val="bottom"/>
            <w:hideMark/>
          </w:tcPr>
          <w:p w14:paraId="4D7E9A6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6.2</w:t>
            </w:r>
          </w:p>
        </w:tc>
        <w:tc>
          <w:tcPr>
            <w:tcW w:w="384" w:type="pct"/>
            <w:shd w:val="clear" w:color="auto" w:fill="auto"/>
            <w:noWrap/>
            <w:vAlign w:val="bottom"/>
            <w:hideMark/>
          </w:tcPr>
          <w:p w14:paraId="0CF5A721"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5.1</w:t>
            </w:r>
          </w:p>
        </w:tc>
        <w:tc>
          <w:tcPr>
            <w:tcW w:w="384" w:type="pct"/>
            <w:shd w:val="clear" w:color="auto" w:fill="auto"/>
            <w:noWrap/>
            <w:vAlign w:val="bottom"/>
            <w:hideMark/>
          </w:tcPr>
          <w:p w14:paraId="4719445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5.8</w:t>
            </w:r>
          </w:p>
        </w:tc>
        <w:tc>
          <w:tcPr>
            <w:tcW w:w="384" w:type="pct"/>
            <w:shd w:val="clear" w:color="auto" w:fill="auto"/>
            <w:noWrap/>
            <w:vAlign w:val="bottom"/>
            <w:hideMark/>
          </w:tcPr>
          <w:p w14:paraId="2F5F0BD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4.6</w:t>
            </w:r>
          </w:p>
        </w:tc>
        <w:tc>
          <w:tcPr>
            <w:tcW w:w="384" w:type="pct"/>
            <w:shd w:val="clear" w:color="auto" w:fill="auto"/>
            <w:noWrap/>
            <w:vAlign w:val="bottom"/>
            <w:hideMark/>
          </w:tcPr>
          <w:p w14:paraId="6C56930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4.9</w:t>
            </w:r>
          </w:p>
        </w:tc>
        <w:tc>
          <w:tcPr>
            <w:tcW w:w="388" w:type="pct"/>
            <w:shd w:val="clear" w:color="auto" w:fill="auto"/>
            <w:noWrap/>
            <w:vAlign w:val="bottom"/>
            <w:hideMark/>
          </w:tcPr>
          <w:p w14:paraId="5053051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4.9</w:t>
            </w:r>
          </w:p>
        </w:tc>
      </w:tr>
      <w:tr w:rsidR="00AF0ADF" w:rsidRPr="005E1E68" w14:paraId="49EACEA0" w14:textId="77777777" w:rsidTr="00AF0ADF">
        <w:trPr>
          <w:trHeight w:val="236"/>
        </w:trPr>
        <w:tc>
          <w:tcPr>
            <w:tcW w:w="5000" w:type="pct"/>
            <w:gridSpan w:val="10"/>
            <w:shd w:val="clear" w:color="auto" w:fill="auto"/>
            <w:noWrap/>
            <w:vAlign w:val="bottom"/>
            <w:hideMark/>
          </w:tcPr>
          <w:p w14:paraId="5E144012" w14:textId="0A724985" w:rsidR="00AF0ADF" w:rsidRPr="00DB3DF1" w:rsidRDefault="00AF0ADF" w:rsidP="00AF0ADF">
            <w:pPr>
              <w:rPr>
                <w:rFonts w:cstheme="minorHAnsi"/>
                <w:sz w:val="20"/>
                <w:szCs w:val="20"/>
              </w:rPr>
            </w:pPr>
            <w:r w:rsidRPr="00DB3DF1">
              <w:rPr>
                <w:rFonts w:cstheme="minorHAnsi"/>
                <w:b/>
                <w:bCs/>
                <w:color w:val="000000"/>
                <w:sz w:val="20"/>
                <w:szCs w:val="20"/>
              </w:rPr>
              <w:t xml:space="preserve">Mother's </w:t>
            </w:r>
            <w:r w:rsidR="00FB0C38">
              <w:rPr>
                <w:rFonts w:cstheme="minorHAnsi"/>
                <w:b/>
                <w:bCs/>
                <w:color w:val="000000"/>
                <w:sz w:val="20"/>
                <w:szCs w:val="20"/>
              </w:rPr>
              <w:t>Indig</w:t>
            </w:r>
            <w:r w:rsidRPr="00DB3DF1">
              <w:rPr>
                <w:rFonts w:cstheme="minorHAnsi"/>
                <w:b/>
                <w:bCs/>
                <w:color w:val="000000"/>
                <w:sz w:val="20"/>
                <w:szCs w:val="20"/>
              </w:rPr>
              <w:t>enous status</w:t>
            </w:r>
          </w:p>
        </w:tc>
      </w:tr>
      <w:tr w:rsidR="00AF0ADF" w:rsidRPr="005E1E68" w14:paraId="123887E4" w14:textId="77777777" w:rsidTr="00720D87">
        <w:trPr>
          <w:trHeight w:val="236"/>
        </w:trPr>
        <w:tc>
          <w:tcPr>
            <w:tcW w:w="1539" w:type="pct"/>
            <w:shd w:val="clear" w:color="auto" w:fill="auto"/>
            <w:noWrap/>
            <w:vAlign w:val="bottom"/>
            <w:hideMark/>
          </w:tcPr>
          <w:p w14:paraId="5005B308"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Indigenous</w:t>
            </w:r>
          </w:p>
        </w:tc>
        <w:tc>
          <w:tcPr>
            <w:tcW w:w="384" w:type="pct"/>
            <w:shd w:val="clear" w:color="auto" w:fill="auto"/>
            <w:noWrap/>
            <w:vAlign w:val="bottom"/>
            <w:hideMark/>
          </w:tcPr>
          <w:p w14:paraId="05B20AC2"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12.9</w:t>
            </w:r>
          </w:p>
        </w:tc>
        <w:tc>
          <w:tcPr>
            <w:tcW w:w="384" w:type="pct"/>
            <w:shd w:val="clear" w:color="auto" w:fill="auto"/>
            <w:noWrap/>
            <w:vAlign w:val="bottom"/>
            <w:hideMark/>
          </w:tcPr>
          <w:p w14:paraId="1A53679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13.5</w:t>
            </w:r>
          </w:p>
        </w:tc>
        <w:tc>
          <w:tcPr>
            <w:tcW w:w="384" w:type="pct"/>
            <w:shd w:val="clear" w:color="auto" w:fill="auto"/>
            <w:noWrap/>
            <w:vAlign w:val="bottom"/>
            <w:hideMark/>
          </w:tcPr>
          <w:p w14:paraId="0CB96DF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11.6</w:t>
            </w:r>
          </w:p>
        </w:tc>
        <w:tc>
          <w:tcPr>
            <w:tcW w:w="384" w:type="pct"/>
            <w:shd w:val="clear" w:color="auto" w:fill="auto"/>
            <w:noWrap/>
            <w:vAlign w:val="bottom"/>
            <w:hideMark/>
          </w:tcPr>
          <w:p w14:paraId="40BC3E0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11.4</w:t>
            </w:r>
          </w:p>
        </w:tc>
        <w:tc>
          <w:tcPr>
            <w:tcW w:w="384" w:type="pct"/>
            <w:shd w:val="clear" w:color="auto" w:fill="auto"/>
            <w:noWrap/>
            <w:vAlign w:val="bottom"/>
            <w:hideMark/>
          </w:tcPr>
          <w:p w14:paraId="10A3525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12.5</w:t>
            </w:r>
          </w:p>
        </w:tc>
        <w:tc>
          <w:tcPr>
            <w:tcW w:w="384" w:type="pct"/>
            <w:shd w:val="clear" w:color="auto" w:fill="auto"/>
            <w:noWrap/>
            <w:vAlign w:val="bottom"/>
            <w:hideMark/>
          </w:tcPr>
          <w:p w14:paraId="649B240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11.9</w:t>
            </w:r>
          </w:p>
        </w:tc>
        <w:tc>
          <w:tcPr>
            <w:tcW w:w="384" w:type="pct"/>
            <w:shd w:val="clear" w:color="auto" w:fill="auto"/>
            <w:noWrap/>
            <w:vAlign w:val="bottom"/>
            <w:hideMark/>
          </w:tcPr>
          <w:p w14:paraId="2EC3135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10.9</w:t>
            </w:r>
          </w:p>
        </w:tc>
        <w:tc>
          <w:tcPr>
            <w:tcW w:w="384" w:type="pct"/>
            <w:shd w:val="clear" w:color="auto" w:fill="auto"/>
            <w:noWrap/>
            <w:vAlign w:val="bottom"/>
            <w:hideMark/>
          </w:tcPr>
          <w:p w14:paraId="0CCAAE4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12.1</w:t>
            </w:r>
          </w:p>
        </w:tc>
        <w:tc>
          <w:tcPr>
            <w:tcW w:w="388" w:type="pct"/>
            <w:shd w:val="clear" w:color="auto" w:fill="auto"/>
            <w:noWrap/>
            <w:vAlign w:val="bottom"/>
            <w:hideMark/>
          </w:tcPr>
          <w:p w14:paraId="568D9FC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10.2</w:t>
            </w:r>
          </w:p>
        </w:tc>
      </w:tr>
      <w:tr w:rsidR="00AF0ADF" w:rsidRPr="005E1E68" w14:paraId="054E4E0D" w14:textId="77777777" w:rsidTr="00720D87">
        <w:trPr>
          <w:trHeight w:val="236"/>
        </w:trPr>
        <w:tc>
          <w:tcPr>
            <w:tcW w:w="1539" w:type="pct"/>
            <w:shd w:val="clear" w:color="auto" w:fill="auto"/>
            <w:noWrap/>
            <w:vAlign w:val="bottom"/>
            <w:hideMark/>
          </w:tcPr>
          <w:p w14:paraId="1DC1F871"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Non-Indigenous</w:t>
            </w:r>
          </w:p>
        </w:tc>
        <w:tc>
          <w:tcPr>
            <w:tcW w:w="384" w:type="pct"/>
            <w:shd w:val="clear" w:color="auto" w:fill="auto"/>
            <w:noWrap/>
            <w:vAlign w:val="bottom"/>
            <w:hideMark/>
          </w:tcPr>
          <w:p w14:paraId="3564CCE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8.7</w:t>
            </w:r>
          </w:p>
        </w:tc>
        <w:tc>
          <w:tcPr>
            <w:tcW w:w="384" w:type="pct"/>
            <w:shd w:val="clear" w:color="auto" w:fill="auto"/>
            <w:noWrap/>
            <w:vAlign w:val="bottom"/>
            <w:hideMark/>
          </w:tcPr>
          <w:p w14:paraId="7714DF07"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8.6</w:t>
            </w:r>
          </w:p>
        </w:tc>
        <w:tc>
          <w:tcPr>
            <w:tcW w:w="384" w:type="pct"/>
            <w:shd w:val="clear" w:color="auto" w:fill="auto"/>
            <w:noWrap/>
            <w:vAlign w:val="bottom"/>
            <w:hideMark/>
          </w:tcPr>
          <w:p w14:paraId="76BD0314"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8.0</w:t>
            </w:r>
          </w:p>
        </w:tc>
        <w:tc>
          <w:tcPr>
            <w:tcW w:w="384" w:type="pct"/>
            <w:shd w:val="clear" w:color="auto" w:fill="auto"/>
            <w:noWrap/>
            <w:vAlign w:val="bottom"/>
            <w:hideMark/>
          </w:tcPr>
          <w:p w14:paraId="4C2C1A1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8.1</w:t>
            </w:r>
          </w:p>
        </w:tc>
        <w:tc>
          <w:tcPr>
            <w:tcW w:w="384" w:type="pct"/>
            <w:shd w:val="clear" w:color="auto" w:fill="auto"/>
            <w:noWrap/>
            <w:vAlign w:val="bottom"/>
            <w:hideMark/>
          </w:tcPr>
          <w:p w14:paraId="52F0C522"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7.8</w:t>
            </w:r>
          </w:p>
        </w:tc>
        <w:tc>
          <w:tcPr>
            <w:tcW w:w="384" w:type="pct"/>
            <w:shd w:val="clear" w:color="auto" w:fill="auto"/>
            <w:noWrap/>
            <w:vAlign w:val="bottom"/>
            <w:hideMark/>
          </w:tcPr>
          <w:p w14:paraId="79C783B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8.0</w:t>
            </w:r>
          </w:p>
        </w:tc>
        <w:tc>
          <w:tcPr>
            <w:tcW w:w="384" w:type="pct"/>
            <w:shd w:val="clear" w:color="auto" w:fill="auto"/>
            <w:noWrap/>
            <w:vAlign w:val="bottom"/>
            <w:hideMark/>
          </w:tcPr>
          <w:p w14:paraId="7614DF9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7.7</w:t>
            </w:r>
          </w:p>
        </w:tc>
        <w:tc>
          <w:tcPr>
            <w:tcW w:w="384" w:type="pct"/>
            <w:shd w:val="clear" w:color="auto" w:fill="auto"/>
            <w:noWrap/>
            <w:vAlign w:val="bottom"/>
            <w:hideMark/>
          </w:tcPr>
          <w:p w14:paraId="19D1A0A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7.6</w:t>
            </w:r>
          </w:p>
        </w:tc>
        <w:tc>
          <w:tcPr>
            <w:tcW w:w="388" w:type="pct"/>
            <w:shd w:val="clear" w:color="auto" w:fill="auto"/>
            <w:noWrap/>
            <w:vAlign w:val="bottom"/>
            <w:hideMark/>
          </w:tcPr>
          <w:p w14:paraId="1A0D24E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7.4</w:t>
            </w:r>
          </w:p>
        </w:tc>
      </w:tr>
      <w:tr w:rsidR="00AF0ADF" w:rsidRPr="005E1E68" w14:paraId="46DA10AF" w14:textId="77777777" w:rsidTr="00AF0ADF">
        <w:trPr>
          <w:trHeight w:val="236"/>
        </w:trPr>
        <w:tc>
          <w:tcPr>
            <w:tcW w:w="5000" w:type="pct"/>
            <w:gridSpan w:val="10"/>
            <w:shd w:val="clear" w:color="auto" w:fill="auto"/>
            <w:noWrap/>
            <w:vAlign w:val="bottom"/>
            <w:hideMark/>
          </w:tcPr>
          <w:p w14:paraId="2814F3CF" w14:textId="77777777" w:rsidR="00AF0ADF" w:rsidRPr="00DB3DF1" w:rsidRDefault="00AF0ADF" w:rsidP="00AF0ADF">
            <w:pPr>
              <w:rPr>
                <w:rFonts w:cstheme="minorHAnsi"/>
                <w:sz w:val="20"/>
                <w:szCs w:val="20"/>
              </w:rPr>
            </w:pPr>
            <w:r w:rsidRPr="00DB3DF1">
              <w:rPr>
                <w:rFonts w:cstheme="minorHAnsi"/>
                <w:b/>
                <w:bCs/>
                <w:color w:val="000000"/>
                <w:sz w:val="20"/>
                <w:szCs w:val="20"/>
              </w:rPr>
              <w:t>Remoteness of mother's usual residence</w:t>
            </w:r>
          </w:p>
        </w:tc>
      </w:tr>
      <w:tr w:rsidR="00720D87" w:rsidRPr="005E1E68" w14:paraId="57BDA960" w14:textId="77777777" w:rsidTr="00B94D3E">
        <w:trPr>
          <w:trHeight w:val="236"/>
        </w:trPr>
        <w:tc>
          <w:tcPr>
            <w:tcW w:w="1539" w:type="pct"/>
            <w:shd w:val="clear" w:color="auto" w:fill="auto"/>
            <w:noWrap/>
            <w:vAlign w:val="bottom"/>
            <w:hideMark/>
          </w:tcPr>
          <w:p w14:paraId="36BEE42A"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Major cities</w:t>
            </w:r>
          </w:p>
        </w:tc>
        <w:tc>
          <w:tcPr>
            <w:tcW w:w="384" w:type="pct"/>
            <w:shd w:val="clear" w:color="auto" w:fill="auto"/>
            <w:noWrap/>
            <w:vAlign w:val="center"/>
            <w:hideMark/>
          </w:tcPr>
          <w:p w14:paraId="5443E9E3" w14:textId="1470E9B0" w:rsidR="00720D87" w:rsidRPr="00DB3DF1" w:rsidRDefault="00720D87" w:rsidP="00B94D3E">
            <w:pPr>
              <w:ind w:firstLineChars="100" w:firstLine="200"/>
              <w:jc w:val="right"/>
              <w:rPr>
                <w:rFonts w:cstheme="minorHAnsi"/>
                <w:color w:val="000000"/>
                <w:sz w:val="20"/>
                <w:szCs w:val="20"/>
              </w:rPr>
            </w:pPr>
            <w:r w:rsidRPr="00622CF0">
              <w:rPr>
                <w:rFonts w:cstheme="minorHAnsi"/>
                <w:color w:val="000000"/>
                <w:sz w:val="20"/>
                <w:szCs w:val="20"/>
              </w:rPr>
              <w:t>n.a.</w:t>
            </w:r>
          </w:p>
        </w:tc>
        <w:tc>
          <w:tcPr>
            <w:tcW w:w="384" w:type="pct"/>
            <w:shd w:val="clear" w:color="auto" w:fill="auto"/>
            <w:noWrap/>
            <w:vAlign w:val="bottom"/>
            <w:hideMark/>
          </w:tcPr>
          <w:p w14:paraId="4C708002"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6.3</w:t>
            </w:r>
          </w:p>
        </w:tc>
        <w:tc>
          <w:tcPr>
            <w:tcW w:w="384" w:type="pct"/>
            <w:shd w:val="clear" w:color="auto" w:fill="auto"/>
            <w:noWrap/>
            <w:vAlign w:val="bottom"/>
            <w:hideMark/>
          </w:tcPr>
          <w:p w14:paraId="12EB9EB4"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5.9</w:t>
            </w:r>
          </w:p>
        </w:tc>
        <w:tc>
          <w:tcPr>
            <w:tcW w:w="384" w:type="pct"/>
            <w:shd w:val="clear" w:color="auto" w:fill="auto"/>
            <w:noWrap/>
            <w:vAlign w:val="bottom"/>
            <w:hideMark/>
          </w:tcPr>
          <w:p w14:paraId="743407ED"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6.1</w:t>
            </w:r>
          </w:p>
        </w:tc>
        <w:tc>
          <w:tcPr>
            <w:tcW w:w="384" w:type="pct"/>
            <w:shd w:val="clear" w:color="auto" w:fill="auto"/>
            <w:noWrap/>
            <w:vAlign w:val="bottom"/>
            <w:hideMark/>
          </w:tcPr>
          <w:p w14:paraId="0B20F335"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5.8</w:t>
            </w:r>
          </w:p>
        </w:tc>
        <w:tc>
          <w:tcPr>
            <w:tcW w:w="384" w:type="pct"/>
            <w:shd w:val="clear" w:color="auto" w:fill="auto"/>
            <w:noWrap/>
            <w:vAlign w:val="bottom"/>
            <w:hideMark/>
          </w:tcPr>
          <w:p w14:paraId="0A1EDF25"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6.0</w:t>
            </w:r>
          </w:p>
        </w:tc>
        <w:tc>
          <w:tcPr>
            <w:tcW w:w="384" w:type="pct"/>
            <w:shd w:val="clear" w:color="auto" w:fill="auto"/>
            <w:noWrap/>
            <w:vAlign w:val="bottom"/>
            <w:hideMark/>
          </w:tcPr>
          <w:p w14:paraId="5D634C55"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5.7</w:t>
            </w:r>
          </w:p>
        </w:tc>
        <w:tc>
          <w:tcPr>
            <w:tcW w:w="384" w:type="pct"/>
            <w:shd w:val="clear" w:color="auto" w:fill="auto"/>
            <w:noWrap/>
            <w:vAlign w:val="bottom"/>
            <w:hideMark/>
          </w:tcPr>
          <w:p w14:paraId="45743411"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5.6</w:t>
            </w:r>
          </w:p>
        </w:tc>
        <w:tc>
          <w:tcPr>
            <w:tcW w:w="388" w:type="pct"/>
            <w:shd w:val="clear" w:color="auto" w:fill="auto"/>
            <w:noWrap/>
            <w:vAlign w:val="bottom"/>
            <w:hideMark/>
          </w:tcPr>
          <w:p w14:paraId="15FE4C31"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5.2</w:t>
            </w:r>
          </w:p>
        </w:tc>
      </w:tr>
      <w:tr w:rsidR="00720D87" w:rsidRPr="005E1E68" w14:paraId="2DC46E8F" w14:textId="77777777" w:rsidTr="00B94D3E">
        <w:trPr>
          <w:trHeight w:val="236"/>
        </w:trPr>
        <w:tc>
          <w:tcPr>
            <w:tcW w:w="1539" w:type="pct"/>
            <w:shd w:val="clear" w:color="auto" w:fill="auto"/>
            <w:noWrap/>
            <w:vAlign w:val="bottom"/>
            <w:hideMark/>
          </w:tcPr>
          <w:p w14:paraId="22179CD9"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Inner regional</w:t>
            </w:r>
          </w:p>
        </w:tc>
        <w:tc>
          <w:tcPr>
            <w:tcW w:w="384" w:type="pct"/>
            <w:shd w:val="clear" w:color="auto" w:fill="auto"/>
            <w:noWrap/>
            <w:vAlign w:val="center"/>
            <w:hideMark/>
          </w:tcPr>
          <w:p w14:paraId="7EE8E38E" w14:textId="4AC1C500" w:rsidR="00720D87" w:rsidRPr="00DB3DF1" w:rsidRDefault="00720D87" w:rsidP="00B94D3E">
            <w:pPr>
              <w:ind w:firstLineChars="100" w:firstLine="200"/>
              <w:jc w:val="right"/>
              <w:rPr>
                <w:rFonts w:cstheme="minorHAnsi"/>
                <w:color w:val="000000"/>
                <w:sz w:val="20"/>
                <w:szCs w:val="20"/>
              </w:rPr>
            </w:pPr>
            <w:r w:rsidRPr="00622CF0">
              <w:rPr>
                <w:rFonts w:cstheme="minorHAnsi"/>
                <w:color w:val="000000"/>
                <w:sz w:val="20"/>
                <w:szCs w:val="20"/>
              </w:rPr>
              <w:t>n.a.</w:t>
            </w:r>
          </w:p>
        </w:tc>
        <w:tc>
          <w:tcPr>
            <w:tcW w:w="384" w:type="pct"/>
            <w:shd w:val="clear" w:color="auto" w:fill="auto"/>
            <w:noWrap/>
            <w:vAlign w:val="bottom"/>
            <w:hideMark/>
          </w:tcPr>
          <w:p w14:paraId="476EBDAA"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7.8</w:t>
            </w:r>
          </w:p>
        </w:tc>
        <w:tc>
          <w:tcPr>
            <w:tcW w:w="384" w:type="pct"/>
            <w:shd w:val="clear" w:color="auto" w:fill="auto"/>
            <w:noWrap/>
            <w:vAlign w:val="bottom"/>
            <w:hideMark/>
          </w:tcPr>
          <w:p w14:paraId="7E6EFEFE"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7.5</w:t>
            </w:r>
          </w:p>
        </w:tc>
        <w:tc>
          <w:tcPr>
            <w:tcW w:w="384" w:type="pct"/>
            <w:shd w:val="clear" w:color="auto" w:fill="auto"/>
            <w:noWrap/>
            <w:vAlign w:val="bottom"/>
            <w:hideMark/>
          </w:tcPr>
          <w:p w14:paraId="0339471F"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7.4</w:t>
            </w:r>
          </w:p>
        </w:tc>
        <w:tc>
          <w:tcPr>
            <w:tcW w:w="384" w:type="pct"/>
            <w:shd w:val="clear" w:color="auto" w:fill="auto"/>
            <w:noWrap/>
            <w:vAlign w:val="bottom"/>
            <w:hideMark/>
          </w:tcPr>
          <w:p w14:paraId="476A12A7"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7.3</w:t>
            </w:r>
          </w:p>
        </w:tc>
        <w:tc>
          <w:tcPr>
            <w:tcW w:w="384" w:type="pct"/>
            <w:shd w:val="clear" w:color="auto" w:fill="auto"/>
            <w:noWrap/>
            <w:vAlign w:val="bottom"/>
            <w:hideMark/>
          </w:tcPr>
          <w:p w14:paraId="4B5A78D2"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68D9ED33"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0B6DA05C"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6.8</w:t>
            </w:r>
          </w:p>
        </w:tc>
        <w:tc>
          <w:tcPr>
            <w:tcW w:w="388" w:type="pct"/>
            <w:shd w:val="clear" w:color="auto" w:fill="auto"/>
            <w:noWrap/>
            <w:vAlign w:val="bottom"/>
            <w:hideMark/>
          </w:tcPr>
          <w:p w14:paraId="07ADB34E"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6.5</w:t>
            </w:r>
          </w:p>
        </w:tc>
      </w:tr>
      <w:tr w:rsidR="00720D87" w:rsidRPr="005E1E68" w14:paraId="707611B5" w14:textId="77777777" w:rsidTr="00B94D3E">
        <w:trPr>
          <w:trHeight w:val="236"/>
        </w:trPr>
        <w:tc>
          <w:tcPr>
            <w:tcW w:w="1539" w:type="pct"/>
            <w:shd w:val="clear" w:color="auto" w:fill="auto"/>
            <w:noWrap/>
            <w:vAlign w:val="bottom"/>
            <w:hideMark/>
          </w:tcPr>
          <w:p w14:paraId="63D238C4"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Outer regional</w:t>
            </w:r>
          </w:p>
        </w:tc>
        <w:tc>
          <w:tcPr>
            <w:tcW w:w="384" w:type="pct"/>
            <w:shd w:val="clear" w:color="auto" w:fill="auto"/>
            <w:noWrap/>
            <w:vAlign w:val="center"/>
            <w:hideMark/>
          </w:tcPr>
          <w:p w14:paraId="12D8A8B9" w14:textId="06AF7675" w:rsidR="00720D87" w:rsidRPr="00DB3DF1" w:rsidRDefault="00720D87" w:rsidP="00B94D3E">
            <w:pPr>
              <w:ind w:firstLineChars="100" w:firstLine="200"/>
              <w:jc w:val="right"/>
              <w:rPr>
                <w:rFonts w:cstheme="minorHAnsi"/>
                <w:color w:val="000000"/>
                <w:sz w:val="20"/>
                <w:szCs w:val="20"/>
              </w:rPr>
            </w:pPr>
            <w:r w:rsidRPr="00622CF0">
              <w:rPr>
                <w:rFonts w:cstheme="minorHAnsi"/>
                <w:color w:val="000000"/>
                <w:sz w:val="20"/>
                <w:szCs w:val="20"/>
              </w:rPr>
              <w:t>n.a.</w:t>
            </w:r>
          </w:p>
        </w:tc>
        <w:tc>
          <w:tcPr>
            <w:tcW w:w="384" w:type="pct"/>
            <w:shd w:val="clear" w:color="auto" w:fill="auto"/>
            <w:noWrap/>
            <w:vAlign w:val="bottom"/>
            <w:hideMark/>
          </w:tcPr>
          <w:p w14:paraId="1CCD7BCE"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9.1</w:t>
            </w:r>
          </w:p>
        </w:tc>
        <w:tc>
          <w:tcPr>
            <w:tcW w:w="384" w:type="pct"/>
            <w:shd w:val="clear" w:color="auto" w:fill="auto"/>
            <w:noWrap/>
            <w:vAlign w:val="bottom"/>
            <w:hideMark/>
          </w:tcPr>
          <w:p w14:paraId="121342F7"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8.2</w:t>
            </w:r>
          </w:p>
        </w:tc>
        <w:tc>
          <w:tcPr>
            <w:tcW w:w="384" w:type="pct"/>
            <w:shd w:val="clear" w:color="auto" w:fill="auto"/>
            <w:noWrap/>
            <w:vAlign w:val="bottom"/>
            <w:hideMark/>
          </w:tcPr>
          <w:p w14:paraId="07FCA8E5"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7.8</w:t>
            </w:r>
          </w:p>
        </w:tc>
        <w:tc>
          <w:tcPr>
            <w:tcW w:w="384" w:type="pct"/>
            <w:shd w:val="clear" w:color="auto" w:fill="auto"/>
            <w:noWrap/>
            <w:vAlign w:val="bottom"/>
            <w:hideMark/>
          </w:tcPr>
          <w:p w14:paraId="02E7FE49"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7.9</w:t>
            </w:r>
          </w:p>
        </w:tc>
        <w:tc>
          <w:tcPr>
            <w:tcW w:w="384" w:type="pct"/>
            <w:shd w:val="clear" w:color="auto" w:fill="auto"/>
            <w:noWrap/>
            <w:vAlign w:val="bottom"/>
            <w:hideMark/>
          </w:tcPr>
          <w:p w14:paraId="1912E6A0"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7.4</w:t>
            </w:r>
          </w:p>
        </w:tc>
        <w:tc>
          <w:tcPr>
            <w:tcW w:w="384" w:type="pct"/>
            <w:shd w:val="clear" w:color="auto" w:fill="auto"/>
            <w:noWrap/>
            <w:vAlign w:val="bottom"/>
            <w:hideMark/>
          </w:tcPr>
          <w:p w14:paraId="05265322"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7.3</w:t>
            </w:r>
          </w:p>
        </w:tc>
        <w:tc>
          <w:tcPr>
            <w:tcW w:w="384" w:type="pct"/>
            <w:shd w:val="clear" w:color="auto" w:fill="auto"/>
            <w:noWrap/>
            <w:vAlign w:val="bottom"/>
            <w:hideMark/>
          </w:tcPr>
          <w:p w14:paraId="2A500303"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7.2</w:t>
            </w:r>
          </w:p>
        </w:tc>
        <w:tc>
          <w:tcPr>
            <w:tcW w:w="388" w:type="pct"/>
            <w:shd w:val="clear" w:color="auto" w:fill="auto"/>
            <w:noWrap/>
            <w:vAlign w:val="bottom"/>
            <w:hideMark/>
          </w:tcPr>
          <w:p w14:paraId="5A9064C0"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6.6</w:t>
            </w:r>
          </w:p>
        </w:tc>
      </w:tr>
      <w:tr w:rsidR="00720D87" w:rsidRPr="005E1E68" w14:paraId="17AAE484" w14:textId="77777777" w:rsidTr="00B94D3E">
        <w:trPr>
          <w:trHeight w:val="236"/>
        </w:trPr>
        <w:tc>
          <w:tcPr>
            <w:tcW w:w="1539" w:type="pct"/>
            <w:shd w:val="clear" w:color="auto" w:fill="auto"/>
            <w:noWrap/>
            <w:vAlign w:val="bottom"/>
            <w:hideMark/>
          </w:tcPr>
          <w:p w14:paraId="7C924589"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Remote</w:t>
            </w:r>
          </w:p>
        </w:tc>
        <w:tc>
          <w:tcPr>
            <w:tcW w:w="384" w:type="pct"/>
            <w:shd w:val="clear" w:color="auto" w:fill="auto"/>
            <w:noWrap/>
            <w:vAlign w:val="center"/>
            <w:hideMark/>
          </w:tcPr>
          <w:p w14:paraId="1282917B" w14:textId="146017BC" w:rsidR="00720D87" w:rsidRPr="00DB3DF1" w:rsidRDefault="00720D87" w:rsidP="00B94D3E">
            <w:pPr>
              <w:ind w:firstLineChars="100" w:firstLine="200"/>
              <w:jc w:val="right"/>
              <w:rPr>
                <w:rFonts w:cstheme="minorHAnsi"/>
                <w:color w:val="000000"/>
                <w:sz w:val="20"/>
                <w:szCs w:val="20"/>
              </w:rPr>
            </w:pPr>
            <w:r w:rsidRPr="00622CF0">
              <w:rPr>
                <w:rFonts w:cstheme="minorHAnsi"/>
                <w:color w:val="000000"/>
                <w:sz w:val="20"/>
                <w:szCs w:val="20"/>
              </w:rPr>
              <w:t>n.a.</w:t>
            </w:r>
          </w:p>
        </w:tc>
        <w:tc>
          <w:tcPr>
            <w:tcW w:w="384" w:type="pct"/>
            <w:shd w:val="clear" w:color="auto" w:fill="auto"/>
            <w:noWrap/>
            <w:vAlign w:val="bottom"/>
            <w:hideMark/>
          </w:tcPr>
          <w:p w14:paraId="3613E723"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8.5</w:t>
            </w:r>
          </w:p>
        </w:tc>
        <w:tc>
          <w:tcPr>
            <w:tcW w:w="384" w:type="pct"/>
            <w:shd w:val="clear" w:color="auto" w:fill="auto"/>
            <w:noWrap/>
            <w:vAlign w:val="bottom"/>
            <w:hideMark/>
          </w:tcPr>
          <w:p w14:paraId="3497002F"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6.8</w:t>
            </w:r>
          </w:p>
        </w:tc>
        <w:tc>
          <w:tcPr>
            <w:tcW w:w="384" w:type="pct"/>
            <w:shd w:val="clear" w:color="auto" w:fill="auto"/>
            <w:noWrap/>
            <w:vAlign w:val="bottom"/>
            <w:hideMark/>
          </w:tcPr>
          <w:p w14:paraId="1FEED614"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2897904A"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5987243F"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6.4</w:t>
            </w:r>
          </w:p>
        </w:tc>
        <w:tc>
          <w:tcPr>
            <w:tcW w:w="384" w:type="pct"/>
            <w:shd w:val="clear" w:color="auto" w:fill="auto"/>
            <w:noWrap/>
            <w:vAlign w:val="bottom"/>
            <w:hideMark/>
          </w:tcPr>
          <w:p w14:paraId="30867C06"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6.0</w:t>
            </w:r>
          </w:p>
        </w:tc>
        <w:tc>
          <w:tcPr>
            <w:tcW w:w="384" w:type="pct"/>
            <w:shd w:val="clear" w:color="auto" w:fill="auto"/>
            <w:noWrap/>
            <w:vAlign w:val="bottom"/>
            <w:hideMark/>
          </w:tcPr>
          <w:p w14:paraId="3250C4AD"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6.3</w:t>
            </w:r>
          </w:p>
        </w:tc>
        <w:tc>
          <w:tcPr>
            <w:tcW w:w="388" w:type="pct"/>
            <w:shd w:val="clear" w:color="auto" w:fill="auto"/>
            <w:noWrap/>
            <w:vAlign w:val="bottom"/>
            <w:hideMark/>
          </w:tcPr>
          <w:p w14:paraId="5F95FA29"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5.8</w:t>
            </w:r>
          </w:p>
        </w:tc>
      </w:tr>
      <w:tr w:rsidR="00720D87" w:rsidRPr="005E1E68" w14:paraId="3161BFAD" w14:textId="77777777" w:rsidTr="00B94D3E">
        <w:trPr>
          <w:trHeight w:val="236"/>
        </w:trPr>
        <w:tc>
          <w:tcPr>
            <w:tcW w:w="1539" w:type="pct"/>
            <w:shd w:val="clear" w:color="auto" w:fill="auto"/>
            <w:noWrap/>
            <w:vAlign w:val="bottom"/>
            <w:hideMark/>
          </w:tcPr>
          <w:p w14:paraId="120D6BD4"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Very remote</w:t>
            </w:r>
          </w:p>
        </w:tc>
        <w:tc>
          <w:tcPr>
            <w:tcW w:w="384" w:type="pct"/>
            <w:shd w:val="clear" w:color="auto" w:fill="auto"/>
            <w:noWrap/>
            <w:vAlign w:val="center"/>
            <w:hideMark/>
          </w:tcPr>
          <w:p w14:paraId="27EE6F9F" w14:textId="457B47BC" w:rsidR="00720D87" w:rsidRPr="00DB3DF1" w:rsidRDefault="00720D87" w:rsidP="00B94D3E">
            <w:pPr>
              <w:ind w:firstLineChars="100" w:firstLine="200"/>
              <w:jc w:val="right"/>
              <w:rPr>
                <w:rFonts w:cstheme="minorHAnsi"/>
                <w:color w:val="000000"/>
                <w:sz w:val="20"/>
                <w:szCs w:val="20"/>
              </w:rPr>
            </w:pPr>
            <w:r w:rsidRPr="00622CF0">
              <w:rPr>
                <w:rFonts w:cstheme="minorHAnsi"/>
                <w:color w:val="000000"/>
                <w:sz w:val="20"/>
                <w:szCs w:val="20"/>
              </w:rPr>
              <w:t>n.a.</w:t>
            </w:r>
          </w:p>
        </w:tc>
        <w:tc>
          <w:tcPr>
            <w:tcW w:w="384" w:type="pct"/>
            <w:shd w:val="clear" w:color="auto" w:fill="auto"/>
            <w:noWrap/>
            <w:vAlign w:val="bottom"/>
            <w:hideMark/>
          </w:tcPr>
          <w:p w14:paraId="013CE4CE"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7.6</w:t>
            </w:r>
          </w:p>
        </w:tc>
        <w:tc>
          <w:tcPr>
            <w:tcW w:w="384" w:type="pct"/>
            <w:shd w:val="clear" w:color="auto" w:fill="auto"/>
            <w:noWrap/>
            <w:vAlign w:val="bottom"/>
            <w:hideMark/>
          </w:tcPr>
          <w:p w14:paraId="1822759A"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7.3</w:t>
            </w:r>
          </w:p>
        </w:tc>
        <w:tc>
          <w:tcPr>
            <w:tcW w:w="384" w:type="pct"/>
            <w:shd w:val="clear" w:color="auto" w:fill="auto"/>
            <w:noWrap/>
            <w:vAlign w:val="bottom"/>
            <w:hideMark/>
          </w:tcPr>
          <w:p w14:paraId="7D06425A"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7.3</w:t>
            </w:r>
          </w:p>
        </w:tc>
        <w:tc>
          <w:tcPr>
            <w:tcW w:w="384" w:type="pct"/>
            <w:shd w:val="clear" w:color="auto" w:fill="auto"/>
            <w:noWrap/>
            <w:vAlign w:val="bottom"/>
            <w:hideMark/>
          </w:tcPr>
          <w:p w14:paraId="742C5EE1"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6540E0C9"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6.9</w:t>
            </w:r>
          </w:p>
        </w:tc>
        <w:tc>
          <w:tcPr>
            <w:tcW w:w="384" w:type="pct"/>
            <w:shd w:val="clear" w:color="auto" w:fill="auto"/>
            <w:noWrap/>
            <w:vAlign w:val="bottom"/>
            <w:hideMark/>
          </w:tcPr>
          <w:p w14:paraId="04FC7363"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7.0</w:t>
            </w:r>
          </w:p>
        </w:tc>
        <w:tc>
          <w:tcPr>
            <w:tcW w:w="384" w:type="pct"/>
            <w:shd w:val="clear" w:color="auto" w:fill="auto"/>
            <w:noWrap/>
            <w:vAlign w:val="bottom"/>
            <w:hideMark/>
          </w:tcPr>
          <w:p w14:paraId="63E353CF"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6.2</w:t>
            </w:r>
          </w:p>
        </w:tc>
        <w:tc>
          <w:tcPr>
            <w:tcW w:w="388" w:type="pct"/>
            <w:shd w:val="clear" w:color="auto" w:fill="auto"/>
            <w:noWrap/>
            <w:vAlign w:val="bottom"/>
            <w:hideMark/>
          </w:tcPr>
          <w:p w14:paraId="23132AE8"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4.7</w:t>
            </w:r>
          </w:p>
        </w:tc>
      </w:tr>
      <w:tr w:rsidR="00AF0ADF" w:rsidRPr="005E1E68" w14:paraId="2B2C4D8F" w14:textId="77777777" w:rsidTr="00AF0ADF">
        <w:trPr>
          <w:trHeight w:val="236"/>
        </w:trPr>
        <w:tc>
          <w:tcPr>
            <w:tcW w:w="5000" w:type="pct"/>
            <w:gridSpan w:val="10"/>
            <w:shd w:val="clear" w:color="auto" w:fill="auto"/>
            <w:noWrap/>
            <w:vAlign w:val="bottom"/>
            <w:hideMark/>
          </w:tcPr>
          <w:p w14:paraId="0E032EEF" w14:textId="77777777" w:rsidR="00AF0ADF" w:rsidRPr="00DB3DF1" w:rsidRDefault="00AF0ADF" w:rsidP="00AF0ADF">
            <w:pPr>
              <w:rPr>
                <w:rFonts w:cstheme="minorHAnsi"/>
                <w:sz w:val="20"/>
                <w:szCs w:val="20"/>
              </w:rPr>
            </w:pPr>
            <w:r w:rsidRPr="00DB3DF1">
              <w:rPr>
                <w:rFonts w:cstheme="minorHAnsi"/>
                <w:b/>
                <w:bCs/>
                <w:color w:val="000000"/>
                <w:sz w:val="20"/>
                <w:szCs w:val="20"/>
              </w:rPr>
              <w:t>Disadvantage quintile of mother's usual residence</w:t>
            </w:r>
          </w:p>
        </w:tc>
      </w:tr>
      <w:tr w:rsidR="00720D87" w:rsidRPr="005E1E68" w14:paraId="7BED4CEC" w14:textId="77777777" w:rsidTr="00B94D3E">
        <w:trPr>
          <w:trHeight w:val="236"/>
        </w:trPr>
        <w:tc>
          <w:tcPr>
            <w:tcW w:w="1539" w:type="pct"/>
            <w:shd w:val="clear" w:color="auto" w:fill="auto"/>
            <w:noWrap/>
            <w:vAlign w:val="bottom"/>
            <w:hideMark/>
          </w:tcPr>
          <w:p w14:paraId="5DA82C68"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Q1 - most disadvantaged</w:t>
            </w:r>
          </w:p>
        </w:tc>
        <w:tc>
          <w:tcPr>
            <w:tcW w:w="384" w:type="pct"/>
            <w:shd w:val="clear" w:color="auto" w:fill="auto"/>
            <w:noWrap/>
            <w:vAlign w:val="center"/>
            <w:hideMark/>
          </w:tcPr>
          <w:p w14:paraId="17BC7A3C" w14:textId="0262F9DE" w:rsidR="00720D87" w:rsidRPr="00DB3DF1" w:rsidRDefault="00720D87" w:rsidP="00B94D3E">
            <w:pPr>
              <w:ind w:firstLineChars="100" w:firstLine="200"/>
              <w:jc w:val="right"/>
              <w:rPr>
                <w:rFonts w:cstheme="minorHAnsi"/>
                <w:color w:val="000000"/>
                <w:sz w:val="20"/>
                <w:szCs w:val="20"/>
              </w:rPr>
            </w:pPr>
            <w:r w:rsidRPr="00B2336F">
              <w:rPr>
                <w:rFonts w:cstheme="minorHAnsi"/>
                <w:color w:val="000000"/>
                <w:sz w:val="20"/>
                <w:szCs w:val="20"/>
              </w:rPr>
              <w:t>n.a.</w:t>
            </w:r>
          </w:p>
        </w:tc>
        <w:tc>
          <w:tcPr>
            <w:tcW w:w="384" w:type="pct"/>
            <w:shd w:val="clear" w:color="auto" w:fill="auto"/>
            <w:noWrap/>
            <w:vAlign w:val="bottom"/>
            <w:hideMark/>
          </w:tcPr>
          <w:p w14:paraId="34AA0B37"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10.1</w:t>
            </w:r>
          </w:p>
        </w:tc>
        <w:tc>
          <w:tcPr>
            <w:tcW w:w="384" w:type="pct"/>
            <w:shd w:val="clear" w:color="auto" w:fill="auto"/>
            <w:noWrap/>
            <w:vAlign w:val="bottom"/>
            <w:hideMark/>
          </w:tcPr>
          <w:p w14:paraId="7A7D1864"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9.2</w:t>
            </w:r>
          </w:p>
        </w:tc>
        <w:tc>
          <w:tcPr>
            <w:tcW w:w="384" w:type="pct"/>
            <w:shd w:val="clear" w:color="auto" w:fill="auto"/>
            <w:noWrap/>
            <w:vAlign w:val="bottom"/>
            <w:hideMark/>
          </w:tcPr>
          <w:p w14:paraId="2C1DA53F"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9.0</w:t>
            </w:r>
          </w:p>
        </w:tc>
        <w:tc>
          <w:tcPr>
            <w:tcW w:w="384" w:type="pct"/>
            <w:shd w:val="clear" w:color="auto" w:fill="auto"/>
            <w:noWrap/>
            <w:vAlign w:val="bottom"/>
            <w:hideMark/>
          </w:tcPr>
          <w:p w14:paraId="0859318A"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9.0</w:t>
            </w:r>
          </w:p>
        </w:tc>
        <w:tc>
          <w:tcPr>
            <w:tcW w:w="384" w:type="pct"/>
            <w:shd w:val="clear" w:color="auto" w:fill="auto"/>
            <w:noWrap/>
            <w:vAlign w:val="bottom"/>
            <w:hideMark/>
          </w:tcPr>
          <w:p w14:paraId="60CE31D4"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9.1</w:t>
            </w:r>
          </w:p>
        </w:tc>
        <w:tc>
          <w:tcPr>
            <w:tcW w:w="384" w:type="pct"/>
            <w:shd w:val="clear" w:color="auto" w:fill="auto"/>
            <w:noWrap/>
            <w:vAlign w:val="bottom"/>
            <w:hideMark/>
          </w:tcPr>
          <w:p w14:paraId="615A82C8"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8.8</w:t>
            </w:r>
          </w:p>
        </w:tc>
        <w:tc>
          <w:tcPr>
            <w:tcW w:w="384" w:type="pct"/>
            <w:shd w:val="clear" w:color="auto" w:fill="auto"/>
            <w:noWrap/>
            <w:vAlign w:val="bottom"/>
            <w:hideMark/>
          </w:tcPr>
          <w:p w14:paraId="68581AA8"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8.7</w:t>
            </w:r>
          </w:p>
        </w:tc>
        <w:tc>
          <w:tcPr>
            <w:tcW w:w="388" w:type="pct"/>
            <w:shd w:val="clear" w:color="auto" w:fill="auto"/>
            <w:noWrap/>
            <w:vAlign w:val="bottom"/>
            <w:hideMark/>
          </w:tcPr>
          <w:p w14:paraId="17037D5E"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8.3</w:t>
            </w:r>
          </w:p>
        </w:tc>
      </w:tr>
      <w:tr w:rsidR="00720D87" w:rsidRPr="005E1E68" w14:paraId="1B410F51" w14:textId="77777777" w:rsidTr="00B94D3E">
        <w:trPr>
          <w:trHeight w:val="236"/>
        </w:trPr>
        <w:tc>
          <w:tcPr>
            <w:tcW w:w="1539" w:type="pct"/>
            <w:shd w:val="clear" w:color="auto" w:fill="auto"/>
            <w:noWrap/>
            <w:vAlign w:val="bottom"/>
            <w:hideMark/>
          </w:tcPr>
          <w:p w14:paraId="59ACE867"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Q2</w:t>
            </w:r>
          </w:p>
        </w:tc>
        <w:tc>
          <w:tcPr>
            <w:tcW w:w="384" w:type="pct"/>
            <w:shd w:val="clear" w:color="auto" w:fill="auto"/>
            <w:noWrap/>
            <w:vAlign w:val="center"/>
            <w:hideMark/>
          </w:tcPr>
          <w:p w14:paraId="595C9C32" w14:textId="052DC12B" w:rsidR="00720D87" w:rsidRPr="00DB3DF1" w:rsidRDefault="00720D87" w:rsidP="00B94D3E">
            <w:pPr>
              <w:ind w:firstLineChars="100" w:firstLine="200"/>
              <w:jc w:val="right"/>
              <w:rPr>
                <w:rFonts w:cstheme="minorHAnsi"/>
                <w:color w:val="000000"/>
                <w:sz w:val="20"/>
                <w:szCs w:val="20"/>
              </w:rPr>
            </w:pPr>
            <w:r w:rsidRPr="00B2336F">
              <w:rPr>
                <w:rFonts w:cstheme="minorHAnsi"/>
                <w:color w:val="000000"/>
                <w:sz w:val="20"/>
                <w:szCs w:val="20"/>
              </w:rPr>
              <w:t>n.a.</w:t>
            </w:r>
          </w:p>
        </w:tc>
        <w:tc>
          <w:tcPr>
            <w:tcW w:w="384" w:type="pct"/>
            <w:shd w:val="clear" w:color="auto" w:fill="auto"/>
            <w:noWrap/>
            <w:vAlign w:val="bottom"/>
            <w:hideMark/>
          </w:tcPr>
          <w:p w14:paraId="50E10FC4"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7.8</w:t>
            </w:r>
          </w:p>
        </w:tc>
        <w:tc>
          <w:tcPr>
            <w:tcW w:w="384" w:type="pct"/>
            <w:shd w:val="clear" w:color="auto" w:fill="auto"/>
            <w:noWrap/>
            <w:vAlign w:val="bottom"/>
            <w:hideMark/>
          </w:tcPr>
          <w:p w14:paraId="6526B7BB"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7.7</w:t>
            </w:r>
          </w:p>
        </w:tc>
        <w:tc>
          <w:tcPr>
            <w:tcW w:w="384" w:type="pct"/>
            <w:shd w:val="clear" w:color="auto" w:fill="auto"/>
            <w:noWrap/>
            <w:vAlign w:val="bottom"/>
            <w:hideMark/>
          </w:tcPr>
          <w:p w14:paraId="19635F7F"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7.6</w:t>
            </w:r>
          </w:p>
        </w:tc>
        <w:tc>
          <w:tcPr>
            <w:tcW w:w="384" w:type="pct"/>
            <w:shd w:val="clear" w:color="auto" w:fill="auto"/>
            <w:noWrap/>
            <w:vAlign w:val="bottom"/>
            <w:hideMark/>
          </w:tcPr>
          <w:p w14:paraId="14534775"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7.1</w:t>
            </w:r>
          </w:p>
        </w:tc>
        <w:tc>
          <w:tcPr>
            <w:tcW w:w="384" w:type="pct"/>
            <w:shd w:val="clear" w:color="auto" w:fill="auto"/>
            <w:noWrap/>
            <w:vAlign w:val="bottom"/>
            <w:hideMark/>
          </w:tcPr>
          <w:p w14:paraId="59E90F72"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7.2</w:t>
            </w:r>
          </w:p>
        </w:tc>
        <w:tc>
          <w:tcPr>
            <w:tcW w:w="384" w:type="pct"/>
            <w:shd w:val="clear" w:color="auto" w:fill="auto"/>
            <w:noWrap/>
            <w:vAlign w:val="bottom"/>
            <w:hideMark/>
          </w:tcPr>
          <w:p w14:paraId="5D026E3D"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7.3</w:t>
            </w:r>
          </w:p>
        </w:tc>
        <w:tc>
          <w:tcPr>
            <w:tcW w:w="384" w:type="pct"/>
            <w:shd w:val="clear" w:color="auto" w:fill="auto"/>
            <w:noWrap/>
            <w:vAlign w:val="bottom"/>
            <w:hideMark/>
          </w:tcPr>
          <w:p w14:paraId="414C1498"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7.0</w:t>
            </w:r>
          </w:p>
        </w:tc>
        <w:tc>
          <w:tcPr>
            <w:tcW w:w="388" w:type="pct"/>
            <w:shd w:val="clear" w:color="auto" w:fill="auto"/>
            <w:noWrap/>
            <w:vAlign w:val="bottom"/>
            <w:hideMark/>
          </w:tcPr>
          <w:p w14:paraId="1EBEDD6B"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6.3</w:t>
            </w:r>
          </w:p>
        </w:tc>
      </w:tr>
      <w:tr w:rsidR="00720D87" w:rsidRPr="005E1E68" w14:paraId="1FEF236A" w14:textId="77777777" w:rsidTr="00B94D3E">
        <w:trPr>
          <w:trHeight w:val="236"/>
        </w:trPr>
        <w:tc>
          <w:tcPr>
            <w:tcW w:w="1539" w:type="pct"/>
            <w:shd w:val="clear" w:color="auto" w:fill="auto"/>
            <w:noWrap/>
            <w:vAlign w:val="bottom"/>
            <w:hideMark/>
          </w:tcPr>
          <w:p w14:paraId="29F547CE"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Q3</w:t>
            </w:r>
          </w:p>
        </w:tc>
        <w:tc>
          <w:tcPr>
            <w:tcW w:w="384" w:type="pct"/>
            <w:shd w:val="clear" w:color="auto" w:fill="auto"/>
            <w:noWrap/>
            <w:vAlign w:val="center"/>
            <w:hideMark/>
          </w:tcPr>
          <w:p w14:paraId="41D07836" w14:textId="1DB0847E" w:rsidR="00720D87" w:rsidRPr="00DB3DF1" w:rsidRDefault="00720D87" w:rsidP="00B94D3E">
            <w:pPr>
              <w:ind w:firstLineChars="100" w:firstLine="200"/>
              <w:jc w:val="right"/>
              <w:rPr>
                <w:rFonts w:cstheme="minorHAnsi"/>
                <w:color w:val="000000"/>
                <w:sz w:val="20"/>
                <w:szCs w:val="20"/>
              </w:rPr>
            </w:pPr>
            <w:r w:rsidRPr="00B2336F">
              <w:rPr>
                <w:rFonts w:cstheme="minorHAnsi"/>
                <w:color w:val="000000"/>
                <w:sz w:val="20"/>
                <w:szCs w:val="20"/>
              </w:rPr>
              <w:t>n.a.</w:t>
            </w:r>
          </w:p>
        </w:tc>
        <w:tc>
          <w:tcPr>
            <w:tcW w:w="384" w:type="pct"/>
            <w:shd w:val="clear" w:color="auto" w:fill="auto"/>
            <w:noWrap/>
            <w:vAlign w:val="bottom"/>
            <w:hideMark/>
          </w:tcPr>
          <w:p w14:paraId="75A0894E"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6.7</w:t>
            </w:r>
          </w:p>
        </w:tc>
        <w:tc>
          <w:tcPr>
            <w:tcW w:w="384" w:type="pct"/>
            <w:shd w:val="clear" w:color="auto" w:fill="auto"/>
            <w:noWrap/>
            <w:vAlign w:val="bottom"/>
            <w:hideMark/>
          </w:tcPr>
          <w:p w14:paraId="2AC05F70"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5.9</w:t>
            </w:r>
          </w:p>
        </w:tc>
        <w:tc>
          <w:tcPr>
            <w:tcW w:w="384" w:type="pct"/>
            <w:shd w:val="clear" w:color="auto" w:fill="auto"/>
            <w:noWrap/>
            <w:vAlign w:val="bottom"/>
            <w:hideMark/>
          </w:tcPr>
          <w:p w14:paraId="311A06F5"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6.0</w:t>
            </w:r>
          </w:p>
        </w:tc>
        <w:tc>
          <w:tcPr>
            <w:tcW w:w="384" w:type="pct"/>
            <w:shd w:val="clear" w:color="auto" w:fill="auto"/>
            <w:noWrap/>
            <w:vAlign w:val="bottom"/>
            <w:hideMark/>
          </w:tcPr>
          <w:p w14:paraId="4E89B27B"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6.0</w:t>
            </w:r>
          </w:p>
        </w:tc>
        <w:tc>
          <w:tcPr>
            <w:tcW w:w="384" w:type="pct"/>
            <w:shd w:val="clear" w:color="auto" w:fill="auto"/>
            <w:noWrap/>
            <w:vAlign w:val="bottom"/>
            <w:hideMark/>
          </w:tcPr>
          <w:p w14:paraId="1390EB7B"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6.1</w:t>
            </w:r>
          </w:p>
        </w:tc>
        <w:tc>
          <w:tcPr>
            <w:tcW w:w="384" w:type="pct"/>
            <w:shd w:val="clear" w:color="auto" w:fill="auto"/>
            <w:noWrap/>
            <w:vAlign w:val="bottom"/>
            <w:hideMark/>
          </w:tcPr>
          <w:p w14:paraId="39A69C82"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5.8</w:t>
            </w:r>
          </w:p>
        </w:tc>
        <w:tc>
          <w:tcPr>
            <w:tcW w:w="384" w:type="pct"/>
            <w:shd w:val="clear" w:color="auto" w:fill="auto"/>
            <w:noWrap/>
            <w:vAlign w:val="bottom"/>
            <w:hideMark/>
          </w:tcPr>
          <w:p w14:paraId="47CF045D"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5.7</w:t>
            </w:r>
          </w:p>
        </w:tc>
        <w:tc>
          <w:tcPr>
            <w:tcW w:w="388" w:type="pct"/>
            <w:shd w:val="clear" w:color="auto" w:fill="auto"/>
            <w:noWrap/>
            <w:vAlign w:val="bottom"/>
            <w:hideMark/>
          </w:tcPr>
          <w:p w14:paraId="6BE73528"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5.2</w:t>
            </w:r>
          </w:p>
        </w:tc>
      </w:tr>
      <w:tr w:rsidR="00720D87" w:rsidRPr="005E1E68" w14:paraId="64E71B6A" w14:textId="77777777" w:rsidTr="00B94D3E">
        <w:trPr>
          <w:trHeight w:val="236"/>
        </w:trPr>
        <w:tc>
          <w:tcPr>
            <w:tcW w:w="1539" w:type="pct"/>
            <w:shd w:val="clear" w:color="auto" w:fill="auto"/>
            <w:noWrap/>
            <w:vAlign w:val="bottom"/>
            <w:hideMark/>
          </w:tcPr>
          <w:p w14:paraId="342E51EE" w14:textId="77777777" w:rsidR="00720D87" w:rsidRPr="00DB3DF1" w:rsidRDefault="00720D87" w:rsidP="00720D87">
            <w:pPr>
              <w:ind w:firstLineChars="100" w:firstLine="200"/>
              <w:rPr>
                <w:rFonts w:cstheme="minorHAnsi"/>
                <w:color w:val="000000"/>
                <w:sz w:val="20"/>
                <w:szCs w:val="20"/>
              </w:rPr>
            </w:pPr>
            <w:r w:rsidRPr="00DB3DF1">
              <w:rPr>
                <w:rFonts w:cstheme="minorHAnsi"/>
                <w:color w:val="000000"/>
                <w:sz w:val="20"/>
                <w:szCs w:val="20"/>
              </w:rPr>
              <w:t>Q4</w:t>
            </w:r>
          </w:p>
        </w:tc>
        <w:tc>
          <w:tcPr>
            <w:tcW w:w="384" w:type="pct"/>
            <w:shd w:val="clear" w:color="auto" w:fill="auto"/>
            <w:noWrap/>
            <w:vAlign w:val="center"/>
            <w:hideMark/>
          </w:tcPr>
          <w:p w14:paraId="7009E8AE" w14:textId="44D2B5BD" w:rsidR="00720D87" w:rsidRPr="00DB3DF1" w:rsidRDefault="00720D87" w:rsidP="00B94D3E">
            <w:pPr>
              <w:ind w:firstLineChars="100" w:firstLine="200"/>
              <w:jc w:val="right"/>
              <w:rPr>
                <w:rFonts w:cstheme="minorHAnsi"/>
                <w:color w:val="000000"/>
                <w:sz w:val="20"/>
                <w:szCs w:val="20"/>
              </w:rPr>
            </w:pPr>
            <w:r w:rsidRPr="00B2336F">
              <w:rPr>
                <w:rFonts w:cstheme="minorHAnsi"/>
                <w:color w:val="000000"/>
                <w:sz w:val="20"/>
                <w:szCs w:val="20"/>
              </w:rPr>
              <w:t>n.a.</w:t>
            </w:r>
          </w:p>
        </w:tc>
        <w:tc>
          <w:tcPr>
            <w:tcW w:w="384" w:type="pct"/>
            <w:shd w:val="clear" w:color="auto" w:fill="auto"/>
            <w:noWrap/>
            <w:vAlign w:val="bottom"/>
            <w:hideMark/>
          </w:tcPr>
          <w:p w14:paraId="47305784"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5.4</w:t>
            </w:r>
          </w:p>
        </w:tc>
        <w:tc>
          <w:tcPr>
            <w:tcW w:w="384" w:type="pct"/>
            <w:shd w:val="clear" w:color="auto" w:fill="auto"/>
            <w:noWrap/>
            <w:vAlign w:val="bottom"/>
            <w:hideMark/>
          </w:tcPr>
          <w:p w14:paraId="249A49FB"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5.1</w:t>
            </w:r>
          </w:p>
        </w:tc>
        <w:tc>
          <w:tcPr>
            <w:tcW w:w="384" w:type="pct"/>
            <w:shd w:val="clear" w:color="auto" w:fill="auto"/>
            <w:noWrap/>
            <w:vAlign w:val="bottom"/>
            <w:hideMark/>
          </w:tcPr>
          <w:p w14:paraId="4E14F2A8"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5.6</w:t>
            </w:r>
          </w:p>
        </w:tc>
        <w:tc>
          <w:tcPr>
            <w:tcW w:w="384" w:type="pct"/>
            <w:shd w:val="clear" w:color="auto" w:fill="auto"/>
            <w:noWrap/>
            <w:vAlign w:val="bottom"/>
            <w:hideMark/>
          </w:tcPr>
          <w:p w14:paraId="14ADF405"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5.1</w:t>
            </w:r>
          </w:p>
        </w:tc>
        <w:tc>
          <w:tcPr>
            <w:tcW w:w="384" w:type="pct"/>
            <w:shd w:val="clear" w:color="auto" w:fill="auto"/>
            <w:noWrap/>
            <w:vAlign w:val="bottom"/>
            <w:hideMark/>
          </w:tcPr>
          <w:p w14:paraId="70772740"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5.2</w:t>
            </w:r>
          </w:p>
        </w:tc>
        <w:tc>
          <w:tcPr>
            <w:tcW w:w="384" w:type="pct"/>
            <w:shd w:val="clear" w:color="auto" w:fill="auto"/>
            <w:noWrap/>
            <w:vAlign w:val="bottom"/>
            <w:hideMark/>
          </w:tcPr>
          <w:p w14:paraId="2629AE60"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5.1</w:t>
            </w:r>
          </w:p>
        </w:tc>
        <w:tc>
          <w:tcPr>
            <w:tcW w:w="384" w:type="pct"/>
            <w:shd w:val="clear" w:color="auto" w:fill="auto"/>
            <w:noWrap/>
            <w:vAlign w:val="bottom"/>
            <w:hideMark/>
          </w:tcPr>
          <w:p w14:paraId="2813508C"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4.9</w:t>
            </w:r>
          </w:p>
        </w:tc>
        <w:tc>
          <w:tcPr>
            <w:tcW w:w="388" w:type="pct"/>
            <w:shd w:val="clear" w:color="auto" w:fill="auto"/>
            <w:noWrap/>
            <w:vAlign w:val="bottom"/>
            <w:hideMark/>
          </w:tcPr>
          <w:p w14:paraId="0805E321" w14:textId="77777777" w:rsidR="00720D87" w:rsidRPr="00DB3DF1" w:rsidRDefault="00720D87" w:rsidP="00720D87">
            <w:pPr>
              <w:jc w:val="right"/>
              <w:rPr>
                <w:rFonts w:cstheme="minorHAnsi"/>
                <w:color w:val="000000"/>
                <w:sz w:val="20"/>
                <w:szCs w:val="20"/>
              </w:rPr>
            </w:pPr>
            <w:r w:rsidRPr="00DB3DF1">
              <w:rPr>
                <w:rFonts w:cstheme="minorHAnsi"/>
                <w:color w:val="000000"/>
                <w:sz w:val="20"/>
                <w:szCs w:val="20"/>
              </w:rPr>
              <w:t>4.4</w:t>
            </w:r>
          </w:p>
        </w:tc>
      </w:tr>
      <w:tr w:rsidR="00AF0ADF" w:rsidRPr="005E1E68" w14:paraId="6AD7631B" w14:textId="77777777" w:rsidTr="00B94D3E">
        <w:trPr>
          <w:trHeight w:val="236"/>
        </w:trPr>
        <w:tc>
          <w:tcPr>
            <w:tcW w:w="1539" w:type="pct"/>
            <w:shd w:val="clear" w:color="auto" w:fill="auto"/>
            <w:noWrap/>
            <w:vAlign w:val="bottom"/>
            <w:hideMark/>
          </w:tcPr>
          <w:p w14:paraId="111394B7"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Q5 - least disadvantaged</w:t>
            </w:r>
          </w:p>
        </w:tc>
        <w:tc>
          <w:tcPr>
            <w:tcW w:w="384" w:type="pct"/>
            <w:shd w:val="clear" w:color="auto" w:fill="auto"/>
            <w:noWrap/>
            <w:vAlign w:val="center"/>
            <w:hideMark/>
          </w:tcPr>
          <w:p w14:paraId="373CF6D7" w14:textId="647A7645" w:rsidR="00AF0ADF" w:rsidRPr="00DB3DF1" w:rsidRDefault="00720D87" w:rsidP="00B94D3E">
            <w:pPr>
              <w:ind w:firstLineChars="100" w:firstLine="200"/>
              <w:jc w:val="right"/>
              <w:rPr>
                <w:rFonts w:cstheme="minorHAnsi"/>
                <w:color w:val="000000"/>
                <w:sz w:val="20"/>
                <w:szCs w:val="20"/>
              </w:rPr>
            </w:pPr>
            <w:r>
              <w:rPr>
                <w:rFonts w:cstheme="minorHAnsi"/>
                <w:color w:val="000000"/>
                <w:sz w:val="20"/>
                <w:szCs w:val="20"/>
              </w:rPr>
              <w:t>n.a.</w:t>
            </w:r>
          </w:p>
        </w:tc>
        <w:tc>
          <w:tcPr>
            <w:tcW w:w="384" w:type="pct"/>
            <w:shd w:val="clear" w:color="auto" w:fill="auto"/>
            <w:noWrap/>
            <w:vAlign w:val="bottom"/>
            <w:hideMark/>
          </w:tcPr>
          <w:p w14:paraId="38D65F1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4.5</w:t>
            </w:r>
          </w:p>
        </w:tc>
        <w:tc>
          <w:tcPr>
            <w:tcW w:w="384" w:type="pct"/>
            <w:shd w:val="clear" w:color="auto" w:fill="auto"/>
            <w:noWrap/>
            <w:vAlign w:val="bottom"/>
            <w:hideMark/>
          </w:tcPr>
          <w:p w14:paraId="130AA5B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4.3</w:t>
            </w:r>
          </w:p>
        </w:tc>
        <w:tc>
          <w:tcPr>
            <w:tcW w:w="384" w:type="pct"/>
            <w:shd w:val="clear" w:color="auto" w:fill="auto"/>
            <w:noWrap/>
            <w:vAlign w:val="bottom"/>
            <w:hideMark/>
          </w:tcPr>
          <w:p w14:paraId="1A830A7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4.4</w:t>
            </w:r>
          </w:p>
        </w:tc>
        <w:tc>
          <w:tcPr>
            <w:tcW w:w="384" w:type="pct"/>
            <w:shd w:val="clear" w:color="auto" w:fill="auto"/>
            <w:noWrap/>
            <w:vAlign w:val="bottom"/>
            <w:hideMark/>
          </w:tcPr>
          <w:p w14:paraId="3035FDB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4.3</w:t>
            </w:r>
          </w:p>
        </w:tc>
        <w:tc>
          <w:tcPr>
            <w:tcW w:w="384" w:type="pct"/>
            <w:shd w:val="clear" w:color="auto" w:fill="auto"/>
            <w:noWrap/>
            <w:vAlign w:val="bottom"/>
            <w:hideMark/>
          </w:tcPr>
          <w:p w14:paraId="2252C73F"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4.3</w:t>
            </w:r>
          </w:p>
        </w:tc>
        <w:tc>
          <w:tcPr>
            <w:tcW w:w="384" w:type="pct"/>
            <w:shd w:val="clear" w:color="auto" w:fill="auto"/>
            <w:noWrap/>
            <w:vAlign w:val="bottom"/>
            <w:hideMark/>
          </w:tcPr>
          <w:p w14:paraId="5CB2821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4.0</w:t>
            </w:r>
          </w:p>
        </w:tc>
        <w:tc>
          <w:tcPr>
            <w:tcW w:w="384" w:type="pct"/>
            <w:shd w:val="clear" w:color="auto" w:fill="auto"/>
            <w:noWrap/>
            <w:vAlign w:val="bottom"/>
            <w:hideMark/>
          </w:tcPr>
          <w:p w14:paraId="4735B42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3.8</w:t>
            </w:r>
          </w:p>
        </w:tc>
        <w:tc>
          <w:tcPr>
            <w:tcW w:w="388" w:type="pct"/>
            <w:shd w:val="clear" w:color="auto" w:fill="auto"/>
            <w:noWrap/>
            <w:vAlign w:val="bottom"/>
            <w:hideMark/>
          </w:tcPr>
          <w:p w14:paraId="724C0E8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3.6</w:t>
            </w:r>
          </w:p>
        </w:tc>
      </w:tr>
      <w:tr w:rsidR="00AF0ADF" w:rsidRPr="005E1E68" w14:paraId="3A6E7088" w14:textId="77777777" w:rsidTr="00AF0ADF">
        <w:trPr>
          <w:trHeight w:val="236"/>
        </w:trPr>
        <w:tc>
          <w:tcPr>
            <w:tcW w:w="5000" w:type="pct"/>
            <w:gridSpan w:val="10"/>
            <w:shd w:val="clear" w:color="auto" w:fill="auto"/>
            <w:noWrap/>
            <w:vAlign w:val="bottom"/>
            <w:hideMark/>
          </w:tcPr>
          <w:p w14:paraId="6401F705" w14:textId="77777777" w:rsidR="00AF0ADF" w:rsidRPr="00DB3DF1" w:rsidRDefault="00AF0ADF" w:rsidP="00AF0ADF">
            <w:pPr>
              <w:rPr>
                <w:rFonts w:cstheme="minorHAnsi"/>
                <w:sz w:val="20"/>
                <w:szCs w:val="20"/>
              </w:rPr>
            </w:pPr>
            <w:r w:rsidRPr="00DB3DF1">
              <w:rPr>
                <w:rFonts w:cstheme="minorHAnsi"/>
                <w:b/>
                <w:bCs/>
                <w:color w:val="000000"/>
                <w:sz w:val="20"/>
                <w:szCs w:val="20"/>
              </w:rPr>
              <w:t>Hospital sector</w:t>
            </w:r>
          </w:p>
        </w:tc>
      </w:tr>
      <w:tr w:rsidR="00AF0ADF" w:rsidRPr="005E1E68" w14:paraId="4AA42B97" w14:textId="77777777" w:rsidTr="00720D87">
        <w:trPr>
          <w:trHeight w:val="236"/>
        </w:trPr>
        <w:tc>
          <w:tcPr>
            <w:tcW w:w="1539" w:type="pct"/>
            <w:shd w:val="clear" w:color="auto" w:fill="auto"/>
            <w:noWrap/>
            <w:vAlign w:val="bottom"/>
            <w:hideMark/>
          </w:tcPr>
          <w:p w14:paraId="39DFD298"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Private</w:t>
            </w:r>
          </w:p>
        </w:tc>
        <w:tc>
          <w:tcPr>
            <w:tcW w:w="384" w:type="pct"/>
            <w:shd w:val="clear" w:color="auto" w:fill="auto"/>
            <w:noWrap/>
            <w:vAlign w:val="bottom"/>
            <w:hideMark/>
          </w:tcPr>
          <w:p w14:paraId="5A9EEC1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3.3</w:t>
            </w:r>
          </w:p>
        </w:tc>
        <w:tc>
          <w:tcPr>
            <w:tcW w:w="384" w:type="pct"/>
            <w:shd w:val="clear" w:color="auto" w:fill="auto"/>
            <w:noWrap/>
            <w:vAlign w:val="bottom"/>
            <w:hideMark/>
          </w:tcPr>
          <w:p w14:paraId="1DD4AE5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2.7</w:t>
            </w:r>
          </w:p>
        </w:tc>
        <w:tc>
          <w:tcPr>
            <w:tcW w:w="384" w:type="pct"/>
            <w:shd w:val="clear" w:color="auto" w:fill="auto"/>
            <w:noWrap/>
            <w:vAlign w:val="bottom"/>
            <w:hideMark/>
          </w:tcPr>
          <w:p w14:paraId="032FF92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2.6</w:t>
            </w:r>
          </w:p>
        </w:tc>
        <w:tc>
          <w:tcPr>
            <w:tcW w:w="384" w:type="pct"/>
            <w:shd w:val="clear" w:color="auto" w:fill="auto"/>
            <w:noWrap/>
            <w:vAlign w:val="bottom"/>
            <w:hideMark/>
          </w:tcPr>
          <w:p w14:paraId="6274EDB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2.8</w:t>
            </w:r>
          </w:p>
        </w:tc>
        <w:tc>
          <w:tcPr>
            <w:tcW w:w="384" w:type="pct"/>
            <w:shd w:val="clear" w:color="auto" w:fill="auto"/>
            <w:noWrap/>
            <w:vAlign w:val="bottom"/>
            <w:hideMark/>
          </w:tcPr>
          <w:p w14:paraId="3AD1061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2.7</w:t>
            </w:r>
          </w:p>
        </w:tc>
        <w:tc>
          <w:tcPr>
            <w:tcW w:w="384" w:type="pct"/>
            <w:shd w:val="clear" w:color="auto" w:fill="auto"/>
            <w:noWrap/>
            <w:vAlign w:val="bottom"/>
            <w:hideMark/>
          </w:tcPr>
          <w:p w14:paraId="7FE4559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2.5</w:t>
            </w:r>
          </w:p>
        </w:tc>
        <w:tc>
          <w:tcPr>
            <w:tcW w:w="384" w:type="pct"/>
            <w:shd w:val="clear" w:color="auto" w:fill="auto"/>
            <w:noWrap/>
            <w:vAlign w:val="bottom"/>
            <w:hideMark/>
          </w:tcPr>
          <w:p w14:paraId="75B4272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2.7</w:t>
            </w:r>
          </w:p>
        </w:tc>
        <w:tc>
          <w:tcPr>
            <w:tcW w:w="384" w:type="pct"/>
            <w:shd w:val="clear" w:color="auto" w:fill="auto"/>
            <w:noWrap/>
            <w:vAlign w:val="bottom"/>
            <w:hideMark/>
          </w:tcPr>
          <w:p w14:paraId="1B4F882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2.4</w:t>
            </w:r>
          </w:p>
        </w:tc>
        <w:tc>
          <w:tcPr>
            <w:tcW w:w="388" w:type="pct"/>
            <w:shd w:val="clear" w:color="auto" w:fill="auto"/>
            <w:noWrap/>
            <w:vAlign w:val="bottom"/>
            <w:hideMark/>
          </w:tcPr>
          <w:p w14:paraId="5526C01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2.3</w:t>
            </w:r>
          </w:p>
        </w:tc>
      </w:tr>
      <w:tr w:rsidR="00AF0ADF" w:rsidRPr="005E1E68" w14:paraId="1AC0E463" w14:textId="77777777" w:rsidTr="00720D87">
        <w:trPr>
          <w:trHeight w:val="236"/>
        </w:trPr>
        <w:tc>
          <w:tcPr>
            <w:tcW w:w="1539" w:type="pct"/>
            <w:shd w:val="clear" w:color="auto" w:fill="auto"/>
            <w:noWrap/>
            <w:vAlign w:val="bottom"/>
            <w:hideMark/>
          </w:tcPr>
          <w:p w14:paraId="172915A7"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Public</w:t>
            </w:r>
          </w:p>
        </w:tc>
        <w:tc>
          <w:tcPr>
            <w:tcW w:w="384" w:type="pct"/>
            <w:shd w:val="clear" w:color="auto" w:fill="auto"/>
            <w:noWrap/>
            <w:vAlign w:val="bottom"/>
            <w:hideMark/>
          </w:tcPr>
          <w:p w14:paraId="1E305A52"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9.5</w:t>
            </w:r>
          </w:p>
        </w:tc>
        <w:tc>
          <w:tcPr>
            <w:tcW w:w="384" w:type="pct"/>
            <w:shd w:val="clear" w:color="auto" w:fill="auto"/>
            <w:noWrap/>
            <w:vAlign w:val="bottom"/>
            <w:hideMark/>
          </w:tcPr>
          <w:p w14:paraId="4005CD8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9.1</w:t>
            </w:r>
          </w:p>
        </w:tc>
        <w:tc>
          <w:tcPr>
            <w:tcW w:w="384" w:type="pct"/>
            <w:shd w:val="clear" w:color="auto" w:fill="auto"/>
            <w:noWrap/>
            <w:vAlign w:val="bottom"/>
            <w:hideMark/>
          </w:tcPr>
          <w:p w14:paraId="39AAE121"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8.5</w:t>
            </w:r>
          </w:p>
        </w:tc>
        <w:tc>
          <w:tcPr>
            <w:tcW w:w="384" w:type="pct"/>
            <w:shd w:val="clear" w:color="auto" w:fill="auto"/>
            <w:noWrap/>
            <w:vAlign w:val="bottom"/>
            <w:hideMark/>
          </w:tcPr>
          <w:p w14:paraId="6B8B7917"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8.5</w:t>
            </w:r>
          </w:p>
        </w:tc>
        <w:tc>
          <w:tcPr>
            <w:tcW w:w="384" w:type="pct"/>
            <w:shd w:val="clear" w:color="auto" w:fill="auto"/>
            <w:noWrap/>
            <w:vAlign w:val="bottom"/>
            <w:hideMark/>
          </w:tcPr>
          <w:p w14:paraId="60B159D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8.1</w:t>
            </w:r>
          </w:p>
        </w:tc>
        <w:tc>
          <w:tcPr>
            <w:tcW w:w="384" w:type="pct"/>
            <w:shd w:val="clear" w:color="auto" w:fill="auto"/>
            <w:noWrap/>
            <w:vAlign w:val="bottom"/>
            <w:hideMark/>
          </w:tcPr>
          <w:p w14:paraId="0ED0A24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8.3</w:t>
            </w:r>
          </w:p>
        </w:tc>
        <w:tc>
          <w:tcPr>
            <w:tcW w:w="384" w:type="pct"/>
            <w:shd w:val="clear" w:color="auto" w:fill="auto"/>
            <w:noWrap/>
            <w:vAlign w:val="bottom"/>
            <w:hideMark/>
          </w:tcPr>
          <w:p w14:paraId="74EEBD2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7.9</w:t>
            </w:r>
          </w:p>
        </w:tc>
        <w:tc>
          <w:tcPr>
            <w:tcW w:w="384" w:type="pct"/>
            <w:shd w:val="clear" w:color="auto" w:fill="auto"/>
            <w:noWrap/>
            <w:vAlign w:val="bottom"/>
            <w:hideMark/>
          </w:tcPr>
          <w:p w14:paraId="05DBA44A"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7.7</w:t>
            </w:r>
          </w:p>
        </w:tc>
        <w:tc>
          <w:tcPr>
            <w:tcW w:w="388" w:type="pct"/>
            <w:shd w:val="clear" w:color="auto" w:fill="auto"/>
            <w:noWrap/>
            <w:vAlign w:val="bottom"/>
            <w:hideMark/>
          </w:tcPr>
          <w:p w14:paraId="563A6EF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7.0</w:t>
            </w:r>
          </w:p>
        </w:tc>
      </w:tr>
      <w:tr w:rsidR="00AF0ADF" w:rsidRPr="005E1E68" w14:paraId="110A806A" w14:textId="77777777" w:rsidTr="00AF0ADF">
        <w:trPr>
          <w:trHeight w:val="236"/>
        </w:trPr>
        <w:tc>
          <w:tcPr>
            <w:tcW w:w="5000" w:type="pct"/>
            <w:gridSpan w:val="10"/>
            <w:shd w:val="clear" w:color="auto" w:fill="auto"/>
            <w:noWrap/>
            <w:vAlign w:val="bottom"/>
            <w:hideMark/>
          </w:tcPr>
          <w:p w14:paraId="750662D5" w14:textId="77777777" w:rsidR="00AF0ADF" w:rsidRPr="00DB3DF1" w:rsidRDefault="00AF0ADF" w:rsidP="00AF0ADF">
            <w:pPr>
              <w:rPr>
                <w:rFonts w:cstheme="minorHAnsi"/>
                <w:sz w:val="20"/>
                <w:szCs w:val="20"/>
              </w:rPr>
            </w:pPr>
            <w:r w:rsidRPr="00DB3DF1">
              <w:rPr>
                <w:rFonts w:cstheme="minorHAnsi"/>
                <w:b/>
                <w:bCs/>
                <w:color w:val="000000"/>
                <w:sz w:val="20"/>
                <w:szCs w:val="20"/>
              </w:rPr>
              <w:t>Hospitals annual number of births</w:t>
            </w:r>
          </w:p>
        </w:tc>
      </w:tr>
      <w:tr w:rsidR="00AF0ADF" w:rsidRPr="005E1E68" w14:paraId="643FAAE9" w14:textId="77777777" w:rsidTr="00720D87">
        <w:trPr>
          <w:trHeight w:val="236"/>
        </w:trPr>
        <w:tc>
          <w:tcPr>
            <w:tcW w:w="1539" w:type="pct"/>
            <w:shd w:val="clear" w:color="auto" w:fill="auto"/>
            <w:noWrap/>
            <w:vAlign w:val="bottom"/>
            <w:hideMark/>
          </w:tcPr>
          <w:p w14:paraId="5AED1FDF"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1-100 births</w:t>
            </w:r>
          </w:p>
        </w:tc>
        <w:tc>
          <w:tcPr>
            <w:tcW w:w="384" w:type="pct"/>
            <w:shd w:val="clear" w:color="auto" w:fill="auto"/>
            <w:noWrap/>
            <w:vAlign w:val="bottom"/>
            <w:hideMark/>
          </w:tcPr>
          <w:p w14:paraId="55ECA52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7.1</w:t>
            </w:r>
          </w:p>
        </w:tc>
        <w:tc>
          <w:tcPr>
            <w:tcW w:w="384" w:type="pct"/>
            <w:shd w:val="clear" w:color="auto" w:fill="auto"/>
            <w:noWrap/>
            <w:vAlign w:val="bottom"/>
            <w:hideMark/>
          </w:tcPr>
          <w:p w14:paraId="7288754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6.7</w:t>
            </w:r>
          </w:p>
        </w:tc>
        <w:tc>
          <w:tcPr>
            <w:tcW w:w="384" w:type="pct"/>
            <w:shd w:val="clear" w:color="auto" w:fill="auto"/>
            <w:noWrap/>
            <w:vAlign w:val="bottom"/>
            <w:hideMark/>
          </w:tcPr>
          <w:p w14:paraId="7808E44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5.7</w:t>
            </w:r>
          </w:p>
        </w:tc>
        <w:tc>
          <w:tcPr>
            <w:tcW w:w="384" w:type="pct"/>
            <w:shd w:val="clear" w:color="auto" w:fill="auto"/>
            <w:noWrap/>
            <w:vAlign w:val="bottom"/>
            <w:hideMark/>
          </w:tcPr>
          <w:p w14:paraId="082AB22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4.6</w:t>
            </w:r>
          </w:p>
        </w:tc>
        <w:tc>
          <w:tcPr>
            <w:tcW w:w="384" w:type="pct"/>
            <w:shd w:val="clear" w:color="auto" w:fill="auto"/>
            <w:noWrap/>
            <w:vAlign w:val="bottom"/>
            <w:hideMark/>
          </w:tcPr>
          <w:p w14:paraId="6900DF0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2.6</w:t>
            </w:r>
          </w:p>
        </w:tc>
        <w:tc>
          <w:tcPr>
            <w:tcW w:w="384" w:type="pct"/>
            <w:shd w:val="clear" w:color="auto" w:fill="auto"/>
            <w:noWrap/>
            <w:vAlign w:val="bottom"/>
            <w:hideMark/>
          </w:tcPr>
          <w:p w14:paraId="6178E21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4.3</w:t>
            </w:r>
          </w:p>
        </w:tc>
        <w:tc>
          <w:tcPr>
            <w:tcW w:w="384" w:type="pct"/>
            <w:shd w:val="clear" w:color="auto" w:fill="auto"/>
            <w:noWrap/>
            <w:vAlign w:val="bottom"/>
            <w:hideMark/>
          </w:tcPr>
          <w:p w14:paraId="758752D1"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7.7</w:t>
            </w:r>
          </w:p>
        </w:tc>
        <w:tc>
          <w:tcPr>
            <w:tcW w:w="384" w:type="pct"/>
            <w:shd w:val="clear" w:color="auto" w:fill="auto"/>
            <w:noWrap/>
            <w:vAlign w:val="bottom"/>
            <w:hideMark/>
          </w:tcPr>
          <w:p w14:paraId="6381056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5.1</w:t>
            </w:r>
          </w:p>
        </w:tc>
        <w:tc>
          <w:tcPr>
            <w:tcW w:w="388" w:type="pct"/>
            <w:shd w:val="clear" w:color="auto" w:fill="auto"/>
            <w:noWrap/>
            <w:vAlign w:val="bottom"/>
            <w:hideMark/>
          </w:tcPr>
          <w:p w14:paraId="67B9F6D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3.9</w:t>
            </w:r>
          </w:p>
        </w:tc>
      </w:tr>
      <w:tr w:rsidR="00AF0ADF" w:rsidRPr="005E1E68" w14:paraId="7A5F9404" w14:textId="77777777" w:rsidTr="00720D87">
        <w:trPr>
          <w:trHeight w:val="236"/>
        </w:trPr>
        <w:tc>
          <w:tcPr>
            <w:tcW w:w="1539" w:type="pct"/>
            <w:shd w:val="clear" w:color="auto" w:fill="auto"/>
            <w:noWrap/>
            <w:vAlign w:val="bottom"/>
            <w:hideMark/>
          </w:tcPr>
          <w:p w14:paraId="798CA2CE"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101-500 births</w:t>
            </w:r>
          </w:p>
        </w:tc>
        <w:tc>
          <w:tcPr>
            <w:tcW w:w="384" w:type="pct"/>
            <w:shd w:val="clear" w:color="auto" w:fill="auto"/>
            <w:noWrap/>
            <w:vAlign w:val="bottom"/>
            <w:hideMark/>
          </w:tcPr>
          <w:p w14:paraId="234EA3D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7.7</w:t>
            </w:r>
          </w:p>
        </w:tc>
        <w:tc>
          <w:tcPr>
            <w:tcW w:w="384" w:type="pct"/>
            <w:shd w:val="clear" w:color="auto" w:fill="auto"/>
            <w:noWrap/>
            <w:vAlign w:val="bottom"/>
            <w:hideMark/>
          </w:tcPr>
          <w:p w14:paraId="1AF00AE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6.5</w:t>
            </w:r>
          </w:p>
        </w:tc>
        <w:tc>
          <w:tcPr>
            <w:tcW w:w="384" w:type="pct"/>
            <w:shd w:val="clear" w:color="auto" w:fill="auto"/>
            <w:noWrap/>
            <w:vAlign w:val="bottom"/>
            <w:hideMark/>
          </w:tcPr>
          <w:p w14:paraId="05DF28A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6.7</w:t>
            </w:r>
          </w:p>
        </w:tc>
        <w:tc>
          <w:tcPr>
            <w:tcW w:w="384" w:type="pct"/>
            <w:shd w:val="clear" w:color="auto" w:fill="auto"/>
            <w:noWrap/>
            <w:vAlign w:val="bottom"/>
            <w:hideMark/>
          </w:tcPr>
          <w:p w14:paraId="5D27FF6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5.8</w:t>
            </w:r>
          </w:p>
        </w:tc>
        <w:tc>
          <w:tcPr>
            <w:tcW w:w="384" w:type="pct"/>
            <w:shd w:val="clear" w:color="auto" w:fill="auto"/>
            <w:noWrap/>
            <w:vAlign w:val="bottom"/>
            <w:hideMark/>
          </w:tcPr>
          <w:p w14:paraId="627E506F"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5.1</w:t>
            </w:r>
          </w:p>
        </w:tc>
        <w:tc>
          <w:tcPr>
            <w:tcW w:w="384" w:type="pct"/>
            <w:shd w:val="clear" w:color="auto" w:fill="auto"/>
            <w:noWrap/>
            <w:vAlign w:val="bottom"/>
            <w:hideMark/>
          </w:tcPr>
          <w:p w14:paraId="22E0A4B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5.2</w:t>
            </w:r>
          </w:p>
        </w:tc>
        <w:tc>
          <w:tcPr>
            <w:tcW w:w="384" w:type="pct"/>
            <w:shd w:val="clear" w:color="auto" w:fill="auto"/>
            <w:noWrap/>
            <w:vAlign w:val="bottom"/>
            <w:hideMark/>
          </w:tcPr>
          <w:p w14:paraId="1F1CCE8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5.2</w:t>
            </w:r>
          </w:p>
        </w:tc>
        <w:tc>
          <w:tcPr>
            <w:tcW w:w="384" w:type="pct"/>
            <w:shd w:val="clear" w:color="auto" w:fill="auto"/>
            <w:noWrap/>
            <w:vAlign w:val="bottom"/>
            <w:hideMark/>
          </w:tcPr>
          <w:p w14:paraId="2F2B47F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4.6</w:t>
            </w:r>
          </w:p>
        </w:tc>
        <w:tc>
          <w:tcPr>
            <w:tcW w:w="388" w:type="pct"/>
            <w:shd w:val="clear" w:color="auto" w:fill="auto"/>
            <w:noWrap/>
            <w:vAlign w:val="bottom"/>
            <w:hideMark/>
          </w:tcPr>
          <w:p w14:paraId="2A758AE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4.4</w:t>
            </w:r>
          </w:p>
        </w:tc>
      </w:tr>
      <w:tr w:rsidR="00AF0ADF" w:rsidRPr="005E1E68" w14:paraId="74D23975" w14:textId="77777777" w:rsidTr="00720D87">
        <w:trPr>
          <w:trHeight w:val="236"/>
        </w:trPr>
        <w:tc>
          <w:tcPr>
            <w:tcW w:w="1539" w:type="pct"/>
            <w:shd w:val="clear" w:color="auto" w:fill="auto"/>
            <w:noWrap/>
            <w:vAlign w:val="bottom"/>
            <w:hideMark/>
          </w:tcPr>
          <w:p w14:paraId="3FBE4933"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501-1,000 births</w:t>
            </w:r>
          </w:p>
        </w:tc>
        <w:tc>
          <w:tcPr>
            <w:tcW w:w="384" w:type="pct"/>
            <w:shd w:val="clear" w:color="auto" w:fill="auto"/>
            <w:noWrap/>
            <w:vAlign w:val="bottom"/>
            <w:hideMark/>
          </w:tcPr>
          <w:p w14:paraId="020B0B2A"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5.8</w:t>
            </w:r>
          </w:p>
        </w:tc>
        <w:tc>
          <w:tcPr>
            <w:tcW w:w="384" w:type="pct"/>
            <w:shd w:val="clear" w:color="auto" w:fill="auto"/>
            <w:noWrap/>
            <w:vAlign w:val="bottom"/>
            <w:hideMark/>
          </w:tcPr>
          <w:p w14:paraId="7CB7F15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5.6</w:t>
            </w:r>
          </w:p>
        </w:tc>
        <w:tc>
          <w:tcPr>
            <w:tcW w:w="384" w:type="pct"/>
            <w:shd w:val="clear" w:color="auto" w:fill="auto"/>
            <w:noWrap/>
            <w:vAlign w:val="bottom"/>
            <w:hideMark/>
          </w:tcPr>
          <w:p w14:paraId="37B39C5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4.6</w:t>
            </w:r>
          </w:p>
        </w:tc>
        <w:tc>
          <w:tcPr>
            <w:tcW w:w="384" w:type="pct"/>
            <w:shd w:val="clear" w:color="auto" w:fill="auto"/>
            <w:noWrap/>
            <w:vAlign w:val="bottom"/>
            <w:hideMark/>
          </w:tcPr>
          <w:p w14:paraId="0080688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4.9</w:t>
            </w:r>
          </w:p>
        </w:tc>
        <w:tc>
          <w:tcPr>
            <w:tcW w:w="384" w:type="pct"/>
            <w:shd w:val="clear" w:color="auto" w:fill="auto"/>
            <w:noWrap/>
            <w:vAlign w:val="bottom"/>
            <w:hideMark/>
          </w:tcPr>
          <w:p w14:paraId="5936D71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5.4</w:t>
            </w:r>
          </w:p>
        </w:tc>
        <w:tc>
          <w:tcPr>
            <w:tcW w:w="384" w:type="pct"/>
            <w:shd w:val="clear" w:color="auto" w:fill="auto"/>
            <w:noWrap/>
            <w:vAlign w:val="bottom"/>
            <w:hideMark/>
          </w:tcPr>
          <w:p w14:paraId="27E745B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4.4</w:t>
            </w:r>
          </w:p>
        </w:tc>
        <w:tc>
          <w:tcPr>
            <w:tcW w:w="384" w:type="pct"/>
            <w:shd w:val="clear" w:color="auto" w:fill="auto"/>
            <w:noWrap/>
            <w:vAlign w:val="bottom"/>
            <w:hideMark/>
          </w:tcPr>
          <w:p w14:paraId="6E6B0633"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4.9</w:t>
            </w:r>
          </w:p>
        </w:tc>
        <w:tc>
          <w:tcPr>
            <w:tcW w:w="384" w:type="pct"/>
            <w:shd w:val="clear" w:color="auto" w:fill="auto"/>
            <w:noWrap/>
            <w:vAlign w:val="bottom"/>
            <w:hideMark/>
          </w:tcPr>
          <w:p w14:paraId="1AD9C89E"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4.5</w:t>
            </w:r>
          </w:p>
        </w:tc>
        <w:tc>
          <w:tcPr>
            <w:tcW w:w="388" w:type="pct"/>
            <w:shd w:val="clear" w:color="auto" w:fill="auto"/>
            <w:noWrap/>
            <w:vAlign w:val="bottom"/>
            <w:hideMark/>
          </w:tcPr>
          <w:p w14:paraId="2FF21311"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3.8</w:t>
            </w:r>
          </w:p>
        </w:tc>
      </w:tr>
      <w:tr w:rsidR="00AF0ADF" w:rsidRPr="005E1E68" w14:paraId="7385A598" w14:textId="77777777" w:rsidTr="00720D87">
        <w:trPr>
          <w:trHeight w:val="236"/>
        </w:trPr>
        <w:tc>
          <w:tcPr>
            <w:tcW w:w="1539" w:type="pct"/>
            <w:shd w:val="clear" w:color="auto" w:fill="auto"/>
            <w:noWrap/>
            <w:vAlign w:val="bottom"/>
            <w:hideMark/>
          </w:tcPr>
          <w:p w14:paraId="3FF325E1"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1,001-2,000 births</w:t>
            </w:r>
          </w:p>
        </w:tc>
        <w:tc>
          <w:tcPr>
            <w:tcW w:w="384" w:type="pct"/>
            <w:shd w:val="clear" w:color="auto" w:fill="auto"/>
            <w:noWrap/>
            <w:vAlign w:val="bottom"/>
            <w:hideMark/>
          </w:tcPr>
          <w:p w14:paraId="6E0103A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7.0</w:t>
            </w:r>
          </w:p>
        </w:tc>
        <w:tc>
          <w:tcPr>
            <w:tcW w:w="384" w:type="pct"/>
            <w:shd w:val="clear" w:color="auto" w:fill="auto"/>
            <w:noWrap/>
            <w:vAlign w:val="bottom"/>
            <w:hideMark/>
          </w:tcPr>
          <w:p w14:paraId="37F4F7A1"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6.8</w:t>
            </w:r>
          </w:p>
        </w:tc>
        <w:tc>
          <w:tcPr>
            <w:tcW w:w="384" w:type="pct"/>
            <w:shd w:val="clear" w:color="auto" w:fill="auto"/>
            <w:noWrap/>
            <w:vAlign w:val="bottom"/>
            <w:hideMark/>
          </w:tcPr>
          <w:p w14:paraId="4BCCA18C"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5.9</w:t>
            </w:r>
          </w:p>
        </w:tc>
        <w:tc>
          <w:tcPr>
            <w:tcW w:w="384" w:type="pct"/>
            <w:shd w:val="clear" w:color="auto" w:fill="auto"/>
            <w:noWrap/>
            <w:vAlign w:val="bottom"/>
            <w:hideMark/>
          </w:tcPr>
          <w:p w14:paraId="045E4B5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6.0</w:t>
            </w:r>
          </w:p>
        </w:tc>
        <w:tc>
          <w:tcPr>
            <w:tcW w:w="384" w:type="pct"/>
            <w:shd w:val="clear" w:color="auto" w:fill="auto"/>
            <w:noWrap/>
            <w:vAlign w:val="bottom"/>
            <w:hideMark/>
          </w:tcPr>
          <w:p w14:paraId="307CBCB1"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6.3</w:t>
            </w:r>
          </w:p>
        </w:tc>
        <w:tc>
          <w:tcPr>
            <w:tcW w:w="384" w:type="pct"/>
            <w:shd w:val="clear" w:color="auto" w:fill="auto"/>
            <w:noWrap/>
            <w:vAlign w:val="bottom"/>
            <w:hideMark/>
          </w:tcPr>
          <w:p w14:paraId="3C5FB0B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6.2</w:t>
            </w:r>
          </w:p>
        </w:tc>
        <w:tc>
          <w:tcPr>
            <w:tcW w:w="384" w:type="pct"/>
            <w:shd w:val="clear" w:color="auto" w:fill="auto"/>
            <w:noWrap/>
            <w:vAlign w:val="bottom"/>
            <w:hideMark/>
          </w:tcPr>
          <w:p w14:paraId="3E0B0AD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6.0</w:t>
            </w:r>
          </w:p>
        </w:tc>
        <w:tc>
          <w:tcPr>
            <w:tcW w:w="384" w:type="pct"/>
            <w:shd w:val="clear" w:color="auto" w:fill="auto"/>
            <w:noWrap/>
            <w:vAlign w:val="bottom"/>
            <w:hideMark/>
          </w:tcPr>
          <w:p w14:paraId="48AC847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5.8</w:t>
            </w:r>
          </w:p>
        </w:tc>
        <w:tc>
          <w:tcPr>
            <w:tcW w:w="388" w:type="pct"/>
            <w:shd w:val="clear" w:color="auto" w:fill="auto"/>
            <w:noWrap/>
            <w:vAlign w:val="bottom"/>
            <w:hideMark/>
          </w:tcPr>
          <w:p w14:paraId="1D62D4AD"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5.4</w:t>
            </w:r>
          </w:p>
        </w:tc>
      </w:tr>
      <w:tr w:rsidR="00AF0ADF" w:rsidRPr="005E1E68" w14:paraId="6500FF37" w14:textId="77777777" w:rsidTr="00720D87">
        <w:trPr>
          <w:trHeight w:val="236"/>
        </w:trPr>
        <w:tc>
          <w:tcPr>
            <w:tcW w:w="1539" w:type="pct"/>
            <w:shd w:val="clear" w:color="auto" w:fill="auto"/>
            <w:noWrap/>
            <w:vAlign w:val="bottom"/>
            <w:hideMark/>
          </w:tcPr>
          <w:p w14:paraId="692EB3A0" w14:textId="77777777" w:rsidR="00AF0ADF" w:rsidRPr="00DB3DF1" w:rsidRDefault="00AF0ADF" w:rsidP="00AF0ADF">
            <w:pPr>
              <w:ind w:firstLineChars="100" w:firstLine="200"/>
              <w:rPr>
                <w:rFonts w:cstheme="minorHAnsi"/>
                <w:color w:val="000000"/>
                <w:sz w:val="20"/>
                <w:szCs w:val="20"/>
              </w:rPr>
            </w:pPr>
            <w:r w:rsidRPr="00DB3DF1">
              <w:rPr>
                <w:rFonts w:cstheme="minorHAnsi"/>
                <w:color w:val="000000"/>
                <w:sz w:val="20"/>
                <w:szCs w:val="20"/>
              </w:rPr>
              <w:t>2,001 births and over</w:t>
            </w:r>
          </w:p>
        </w:tc>
        <w:tc>
          <w:tcPr>
            <w:tcW w:w="384" w:type="pct"/>
            <w:shd w:val="clear" w:color="auto" w:fill="auto"/>
            <w:noWrap/>
            <w:vAlign w:val="bottom"/>
            <w:hideMark/>
          </w:tcPr>
          <w:p w14:paraId="3FADE142"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7.5</w:t>
            </w:r>
          </w:p>
        </w:tc>
        <w:tc>
          <w:tcPr>
            <w:tcW w:w="384" w:type="pct"/>
            <w:shd w:val="clear" w:color="auto" w:fill="auto"/>
            <w:noWrap/>
            <w:vAlign w:val="bottom"/>
            <w:hideMark/>
          </w:tcPr>
          <w:p w14:paraId="0CA77C8B"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7.0</w:t>
            </w:r>
          </w:p>
        </w:tc>
        <w:tc>
          <w:tcPr>
            <w:tcW w:w="384" w:type="pct"/>
            <w:shd w:val="clear" w:color="auto" w:fill="auto"/>
            <w:noWrap/>
            <w:vAlign w:val="bottom"/>
            <w:hideMark/>
          </w:tcPr>
          <w:p w14:paraId="106192A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6.9</w:t>
            </w:r>
          </w:p>
        </w:tc>
        <w:tc>
          <w:tcPr>
            <w:tcW w:w="384" w:type="pct"/>
            <w:shd w:val="clear" w:color="auto" w:fill="auto"/>
            <w:noWrap/>
            <w:vAlign w:val="bottom"/>
            <w:hideMark/>
          </w:tcPr>
          <w:p w14:paraId="0A42CB76"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7.1</w:t>
            </w:r>
          </w:p>
        </w:tc>
        <w:tc>
          <w:tcPr>
            <w:tcW w:w="384" w:type="pct"/>
            <w:shd w:val="clear" w:color="auto" w:fill="auto"/>
            <w:noWrap/>
            <w:vAlign w:val="bottom"/>
            <w:hideMark/>
          </w:tcPr>
          <w:p w14:paraId="3F841E59"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6.5</w:t>
            </w:r>
          </w:p>
        </w:tc>
        <w:tc>
          <w:tcPr>
            <w:tcW w:w="384" w:type="pct"/>
            <w:shd w:val="clear" w:color="auto" w:fill="auto"/>
            <w:noWrap/>
            <w:vAlign w:val="bottom"/>
            <w:hideMark/>
          </w:tcPr>
          <w:p w14:paraId="4A8D03D0"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6.9</w:t>
            </w:r>
          </w:p>
        </w:tc>
        <w:tc>
          <w:tcPr>
            <w:tcW w:w="384" w:type="pct"/>
            <w:shd w:val="clear" w:color="auto" w:fill="auto"/>
            <w:noWrap/>
            <w:vAlign w:val="bottom"/>
            <w:hideMark/>
          </w:tcPr>
          <w:p w14:paraId="1ED8275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6.4</w:t>
            </w:r>
          </w:p>
        </w:tc>
        <w:tc>
          <w:tcPr>
            <w:tcW w:w="384" w:type="pct"/>
            <w:shd w:val="clear" w:color="auto" w:fill="auto"/>
            <w:noWrap/>
            <w:vAlign w:val="bottom"/>
            <w:hideMark/>
          </w:tcPr>
          <w:p w14:paraId="656A1A35"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6.4</w:t>
            </w:r>
          </w:p>
        </w:tc>
        <w:tc>
          <w:tcPr>
            <w:tcW w:w="388" w:type="pct"/>
            <w:shd w:val="clear" w:color="auto" w:fill="auto"/>
            <w:noWrap/>
            <w:vAlign w:val="bottom"/>
            <w:hideMark/>
          </w:tcPr>
          <w:p w14:paraId="327C48C8" w14:textId="77777777" w:rsidR="00AF0ADF" w:rsidRPr="00DB3DF1" w:rsidRDefault="00AF0ADF" w:rsidP="00AF0ADF">
            <w:pPr>
              <w:jc w:val="right"/>
              <w:rPr>
                <w:rFonts w:cstheme="minorHAnsi"/>
                <w:color w:val="000000"/>
                <w:sz w:val="20"/>
                <w:szCs w:val="20"/>
              </w:rPr>
            </w:pPr>
            <w:r w:rsidRPr="00DB3DF1">
              <w:rPr>
                <w:rFonts w:cstheme="minorHAnsi"/>
                <w:color w:val="000000"/>
                <w:sz w:val="20"/>
                <w:szCs w:val="20"/>
              </w:rPr>
              <w:t>6.0</w:t>
            </w:r>
          </w:p>
        </w:tc>
      </w:tr>
    </w:tbl>
    <w:p w14:paraId="2AB358CC" w14:textId="64871703" w:rsidR="002705B2" w:rsidRPr="007667EF" w:rsidRDefault="002705B2" w:rsidP="002705B2">
      <w:pPr>
        <w:ind w:left="284" w:hanging="284"/>
        <w:rPr>
          <w:sz w:val="18"/>
          <w:szCs w:val="18"/>
        </w:rPr>
      </w:pPr>
      <w:r>
        <w:rPr>
          <w:rFonts w:cstheme="minorHAnsi"/>
          <w:color w:val="000000"/>
          <w:sz w:val="20"/>
          <w:szCs w:val="20"/>
        </w:rPr>
        <w:t>n.a.</w:t>
      </w:r>
      <w:r w:rsidRPr="007667EF">
        <w:rPr>
          <w:sz w:val="18"/>
          <w:szCs w:val="18"/>
        </w:rPr>
        <w:t xml:space="preserve">: </w:t>
      </w:r>
      <w:r>
        <w:rPr>
          <w:sz w:val="18"/>
          <w:szCs w:val="18"/>
        </w:rPr>
        <w:t>data not available</w:t>
      </w:r>
      <w:r w:rsidR="00887119">
        <w:rPr>
          <w:sz w:val="18"/>
          <w:szCs w:val="18"/>
        </w:rPr>
        <w:t>.</w:t>
      </w:r>
    </w:p>
    <w:p w14:paraId="73EAE7CD" w14:textId="332938AE" w:rsidR="00005F10" w:rsidRPr="00165760" w:rsidRDefault="00005F10" w:rsidP="00751711">
      <w:pPr>
        <w:rPr>
          <w:sz w:val="18"/>
          <w:szCs w:val="18"/>
        </w:rPr>
      </w:pPr>
    </w:p>
    <w:p w14:paraId="5F9E0CB3" w14:textId="77777777" w:rsidR="00AF0ADF" w:rsidRPr="00940A8B" w:rsidRDefault="00AF0ADF" w:rsidP="00B94D3E">
      <w:pPr>
        <w:rPr>
          <w:b/>
          <w:bCs/>
          <w:sz w:val="18"/>
          <w:szCs w:val="18"/>
        </w:rPr>
      </w:pPr>
      <w:r w:rsidRPr="00940A8B">
        <w:rPr>
          <w:b/>
          <w:bCs/>
          <w:sz w:val="18"/>
          <w:szCs w:val="18"/>
        </w:rPr>
        <w:t>Data Notes:</w:t>
      </w:r>
    </w:p>
    <w:p w14:paraId="69B597AF" w14:textId="78B7ECB3" w:rsidR="00AF0ADF" w:rsidRPr="00B94D3E" w:rsidRDefault="00AF0ADF" w:rsidP="008D3FB5">
      <w:pPr>
        <w:pStyle w:val="pf0"/>
        <w:numPr>
          <w:ilvl w:val="0"/>
          <w:numId w:val="19"/>
        </w:numPr>
        <w:spacing w:before="0" w:beforeAutospacing="0" w:after="0" w:afterAutospacing="0"/>
        <w:ind w:left="284" w:hanging="284"/>
        <w:rPr>
          <w:rFonts w:asciiTheme="minorHAnsi" w:hAnsiTheme="minorHAnsi"/>
          <w:sz w:val="18"/>
          <w:szCs w:val="18"/>
        </w:rPr>
      </w:pPr>
      <w:r w:rsidRPr="00B94D3E">
        <w:rPr>
          <w:rFonts w:asciiTheme="minorHAnsi" w:hAnsiTheme="minorHAnsi"/>
          <w:sz w:val="18"/>
          <w:szCs w:val="18"/>
        </w:rPr>
        <w:t>Percentages for mother's Indigenous status are age-standardised.</w:t>
      </w:r>
    </w:p>
    <w:p w14:paraId="1A70391C" w14:textId="77777777" w:rsidR="00997726" w:rsidRPr="00B94D3E" w:rsidRDefault="00997726" w:rsidP="008D3FB5">
      <w:pPr>
        <w:pStyle w:val="pf0"/>
        <w:numPr>
          <w:ilvl w:val="0"/>
          <w:numId w:val="19"/>
        </w:numPr>
        <w:spacing w:before="0" w:beforeAutospacing="0" w:after="0" w:afterAutospacing="0"/>
        <w:ind w:left="284" w:hanging="284"/>
        <w:rPr>
          <w:sz w:val="18"/>
          <w:szCs w:val="18"/>
        </w:rPr>
      </w:pPr>
      <w:r w:rsidRPr="00B94D3E">
        <w:rPr>
          <w:rFonts w:asciiTheme="minorHAnsi" w:hAnsiTheme="minorHAnsi"/>
          <w:sz w:val="18"/>
          <w:szCs w:val="18"/>
        </w:rPr>
        <w:t>Source: AIHW analysis of National Perinatal Data Collection. Australian Institute of Health and Welfare 2021. National Core Maternity Indicators. Cat no. PER 95. Canberra: AIHW</w:t>
      </w:r>
    </w:p>
    <w:p w14:paraId="60B8F8FB" w14:textId="77777777" w:rsidR="00940A8B" w:rsidRPr="00DB3DF1" w:rsidRDefault="00940A8B" w:rsidP="00B94D3E">
      <w:bookmarkStart w:id="452" w:name="_Ref117109791"/>
      <w:r w:rsidRPr="00DB3DF1">
        <w:br w:type="page"/>
      </w:r>
    </w:p>
    <w:p w14:paraId="65972CB9" w14:textId="2A13D90F" w:rsidR="00AF0ADF" w:rsidRPr="008E401A" w:rsidRDefault="00AF0ADF" w:rsidP="00AF0ADF">
      <w:pPr>
        <w:pStyle w:val="Caption"/>
        <w:rPr>
          <w:sz w:val="20"/>
          <w:szCs w:val="20"/>
        </w:rPr>
      </w:pPr>
      <w:bookmarkStart w:id="453" w:name="_Ref117109405"/>
      <w:bookmarkStart w:id="454" w:name="_Toc121429205"/>
      <w:bookmarkEnd w:id="452"/>
      <w:r w:rsidRPr="008E401A">
        <w:rPr>
          <w:sz w:val="20"/>
          <w:szCs w:val="20"/>
        </w:rPr>
        <w:lastRenderedPageBreak/>
        <w:t xml:space="preserve">Table </w:t>
      </w:r>
      <w:r w:rsidR="00A64FC5" w:rsidRPr="008E401A">
        <w:rPr>
          <w:sz w:val="20"/>
          <w:szCs w:val="20"/>
        </w:rPr>
        <w:fldChar w:fldCharType="begin"/>
      </w:r>
      <w:r w:rsidR="00A64FC5" w:rsidRPr="008E401A">
        <w:rPr>
          <w:sz w:val="20"/>
          <w:szCs w:val="20"/>
        </w:rPr>
        <w:instrText xml:space="preserve"> SEQ Table \* ARABIC </w:instrText>
      </w:r>
      <w:r w:rsidR="00A64FC5" w:rsidRPr="008E401A">
        <w:rPr>
          <w:sz w:val="20"/>
          <w:szCs w:val="20"/>
        </w:rPr>
        <w:fldChar w:fldCharType="separate"/>
      </w:r>
      <w:r w:rsidR="00296988">
        <w:rPr>
          <w:noProof/>
          <w:sz w:val="20"/>
          <w:szCs w:val="20"/>
        </w:rPr>
        <w:t>29</w:t>
      </w:r>
      <w:r w:rsidR="00A64FC5" w:rsidRPr="008E401A">
        <w:rPr>
          <w:noProof/>
          <w:sz w:val="20"/>
          <w:szCs w:val="20"/>
        </w:rPr>
        <w:fldChar w:fldCharType="end"/>
      </w:r>
      <w:bookmarkEnd w:id="453"/>
      <w:r w:rsidRPr="008E401A">
        <w:rPr>
          <w:sz w:val="20"/>
          <w:szCs w:val="20"/>
        </w:rPr>
        <w:tab/>
        <w:t xml:space="preserve">Apgar score </w:t>
      </w:r>
      <w:r w:rsidR="008E401A">
        <w:rPr>
          <w:sz w:val="20"/>
          <w:szCs w:val="20"/>
        </w:rPr>
        <w:t>&lt;</w:t>
      </w:r>
      <w:r w:rsidRPr="008E401A">
        <w:rPr>
          <w:sz w:val="20"/>
          <w:szCs w:val="20"/>
        </w:rPr>
        <w:t xml:space="preserve"> 7 at 5 minutes for births at or after term (PI04), 2011–2019</w:t>
      </w:r>
      <w:bookmarkEnd w:id="4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787"/>
        <w:gridCol w:w="787"/>
        <w:gridCol w:w="787"/>
        <w:gridCol w:w="786"/>
        <w:gridCol w:w="786"/>
        <w:gridCol w:w="786"/>
        <w:gridCol w:w="786"/>
        <w:gridCol w:w="786"/>
        <w:gridCol w:w="786"/>
      </w:tblGrid>
      <w:tr w:rsidR="00AF0ADF" w:rsidRPr="005E1E68" w14:paraId="0A95E789" w14:textId="77777777" w:rsidTr="00B94D3E">
        <w:trPr>
          <w:trHeight w:val="251"/>
        </w:trPr>
        <w:tc>
          <w:tcPr>
            <w:tcW w:w="1409" w:type="pct"/>
            <w:shd w:val="clear" w:color="auto" w:fill="auto"/>
            <w:noWrap/>
            <w:hideMark/>
          </w:tcPr>
          <w:p w14:paraId="739B9D6E" w14:textId="0710DAB8" w:rsidR="00AF0ADF" w:rsidRPr="00A11ECE" w:rsidRDefault="00AF0ADF" w:rsidP="00AF0ADF">
            <w:pPr>
              <w:rPr>
                <w:rFonts w:cstheme="minorHAnsi"/>
                <w:b/>
                <w:bCs/>
                <w:color w:val="000000"/>
                <w:sz w:val="20"/>
                <w:szCs w:val="20"/>
              </w:rPr>
            </w:pPr>
          </w:p>
        </w:tc>
        <w:tc>
          <w:tcPr>
            <w:tcW w:w="399" w:type="pct"/>
            <w:shd w:val="clear" w:color="auto" w:fill="auto"/>
            <w:noWrap/>
            <w:vAlign w:val="center"/>
            <w:hideMark/>
          </w:tcPr>
          <w:p w14:paraId="33F37834"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2011</w:t>
            </w:r>
          </w:p>
        </w:tc>
        <w:tc>
          <w:tcPr>
            <w:tcW w:w="399" w:type="pct"/>
            <w:shd w:val="clear" w:color="auto" w:fill="auto"/>
            <w:noWrap/>
            <w:vAlign w:val="center"/>
            <w:hideMark/>
          </w:tcPr>
          <w:p w14:paraId="1E572475"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2012</w:t>
            </w:r>
          </w:p>
        </w:tc>
        <w:tc>
          <w:tcPr>
            <w:tcW w:w="399" w:type="pct"/>
            <w:shd w:val="clear" w:color="auto" w:fill="auto"/>
            <w:noWrap/>
            <w:vAlign w:val="center"/>
            <w:hideMark/>
          </w:tcPr>
          <w:p w14:paraId="101E4D83"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2013</w:t>
            </w:r>
          </w:p>
        </w:tc>
        <w:tc>
          <w:tcPr>
            <w:tcW w:w="399" w:type="pct"/>
            <w:shd w:val="clear" w:color="auto" w:fill="auto"/>
            <w:noWrap/>
            <w:vAlign w:val="center"/>
            <w:hideMark/>
          </w:tcPr>
          <w:p w14:paraId="7590461F"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2014</w:t>
            </w:r>
          </w:p>
        </w:tc>
        <w:tc>
          <w:tcPr>
            <w:tcW w:w="399" w:type="pct"/>
            <w:shd w:val="clear" w:color="auto" w:fill="auto"/>
            <w:noWrap/>
            <w:vAlign w:val="center"/>
            <w:hideMark/>
          </w:tcPr>
          <w:p w14:paraId="3ADF018F"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2015</w:t>
            </w:r>
          </w:p>
        </w:tc>
        <w:tc>
          <w:tcPr>
            <w:tcW w:w="399" w:type="pct"/>
            <w:shd w:val="clear" w:color="auto" w:fill="auto"/>
            <w:noWrap/>
            <w:vAlign w:val="center"/>
            <w:hideMark/>
          </w:tcPr>
          <w:p w14:paraId="184B8CD0"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2016</w:t>
            </w:r>
          </w:p>
        </w:tc>
        <w:tc>
          <w:tcPr>
            <w:tcW w:w="399" w:type="pct"/>
            <w:shd w:val="clear" w:color="auto" w:fill="auto"/>
            <w:noWrap/>
            <w:vAlign w:val="center"/>
            <w:hideMark/>
          </w:tcPr>
          <w:p w14:paraId="2565D471"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2017</w:t>
            </w:r>
          </w:p>
        </w:tc>
        <w:tc>
          <w:tcPr>
            <w:tcW w:w="399" w:type="pct"/>
            <w:shd w:val="clear" w:color="auto" w:fill="auto"/>
            <w:noWrap/>
            <w:vAlign w:val="center"/>
            <w:hideMark/>
          </w:tcPr>
          <w:p w14:paraId="4E93B476"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2018</w:t>
            </w:r>
          </w:p>
        </w:tc>
        <w:tc>
          <w:tcPr>
            <w:tcW w:w="399" w:type="pct"/>
            <w:shd w:val="clear" w:color="auto" w:fill="auto"/>
            <w:noWrap/>
            <w:vAlign w:val="center"/>
            <w:hideMark/>
          </w:tcPr>
          <w:p w14:paraId="137F02AA" w14:textId="77777777" w:rsidR="00AF0ADF" w:rsidRPr="00A11ECE" w:rsidRDefault="00AF0ADF" w:rsidP="00B94D3E">
            <w:pPr>
              <w:jc w:val="center"/>
              <w:rPr>
                <w:rFonts w:cstheme="minorHAnsi"/>
                <w:b/>
                <w:bCs/>
                <w:color w:val="000000"/>
                <w:sz w:val="20"/>
                <w:szCs w:val="20"/>
              </w:rPr>
            </w:pPr>
            <w:r w:rsidRPr="00A11ECE">
              <w:rPr>
                <w:rFonts w:cstheme="minorHAnsi"/>
                <w:b/>
                <w:bCs/>
                <w:color w:val="000000"/>
                <w:sz w:val="20"/>
                <w:szCs w:val="20"/>
              </w:rPr>
              <w:t>2019</w:t>
            </w:r>
          </w:p>
        </w:tc>
      </w:tr>
      <w:tr w:rsidR="00AF0ADF" w:rsidRPr="005E1E68" w14:paraId="1B66E096" w14:textId="77777777" w:rsidTr="00AF0ADF">
        <w:trPr>
          <w:trHeight w:val="251"/>
        </w:trPr>
        <w:tc>
          <w:tcPr>
            <w:tcW w:w="1409" w:type="pct"/>
            <w:shd w:val="clear" w:color="auto" w:fill="auto"/>
            <w:noWrap/>
          </w:tcPr>
          <w:p w14:paraId="33E039F4" w14:textId="77777777" w:rsidR="00AF0ADF" w:rsidRPr="00A11ECE" w:rsidRDefault="00AF0ADF" w:rsidP="00AF0ADF">
            <w:pPr>
              <w:rPr>
                <w:rFonts w:cstheme="minorHAnsi"/>
                <w:b/>
                <w:bCs/>
                <w:color w:val="000000"/>
                <w:sz w:val="20"/>
                <w:szCs w:val="20"/>
              </w:rPr>
            </w:pPr>
          </w:p>
        </w:tc>
        <w:tc>
          <w:tcPr>
            <w:tcW w:w="3591" w:type="pct"/>
            <w:gridSpan w:val="9"/>
            <w:shd w:val="clear" w:color="auto" w:fill="auto"/>
            <w:noWrap/>
          </w:tcPr>
          <w:p w14:paraId="3C1C0E8C" w14:textId="77777777" w:rsidR="00AF0ADF" w:rsidRPr="00A11ECE" w:rsidRDefault="00AF0ADF" w:rsidP="00AF0ADF">
            <w:pPr>
              <w:jc w:val="center"/>
              <w:rPr>
                <w:rFonts w:cstheme="minorHAnsi"/>
                <w:b/>
                <w:bCs/>
                <w:color w:val="000000"/>
                <w:sz w:val="20"/>
                <w:szCs w:val="20"/>
              </w:rPr>
            </w:pPr>
            <w:r w:rsidRPr="00A11ECE">
              <w:rPr>
                <w:rFonts w:cstheme="minorHAnsi"/>
                <w:b/>
                <w:bCs/>
                <w:sz w:val="20"/>
                <w:szCs w:val="20"/>
              </w:rPr>
              <w:t>In per cent (%)</w:t>
            </w:r>
          </w:p>
        </w:tc>
      </w:tr>
      <w:tr w:rsidR="00AF0ADF" w:rsidRPr="005E1E68" w14:paraId="4854232D" w14:textId="77777777" w:rsidTr="00AF0ADF">
        <w:trPr>
          <w:trHeight w:val="251"/>
        </w:trPr>
        <w:tc>
          <w:tcPr>
            <w:tcW w:w="5000" w:type="pct"/>
            <w:gridSpan w:val="10"/>
            <w:shd w:val="clear" w:color="auto" w:fill="auto"/>
            <w:noWrap/>
            <w:hideMark/>
          </w:tcPr>
          <w:p w14:paraId="54C29828" w14:textId="77777777" w:rsidR="00AF0ADF" w:rsidRPr="00A11ECE" w:rsidRDefault="00AF0ADF" w:rsidP="00AF0ADF">
            <w:pPr>
              <w:rPr>
                <w:rFonts w:cstheme="minorHAnsi"/>
                <w:sz w:val="20"/>
                <w:szCs w:val="20"/>
              </w:rPr>
            </w:pPr>
            <w:r w:rsidRPr="00A11ECE">
              <w:rPr>
                <w:rFonts w:cstheme="minorHAnsi"/>
                <w:b/>
                <w:bCs/>
                <w:color w:val="000000"/>
                <w:sz w:val="20"/>
                <w:szCs w:val="20"/>
              </w:rPr>
              <w:t>Australia</w:t>
            </w:r>
          </w:p>
        </w:tc>
      </w:tr>
      <w:tr w:rsidR="00AF0ADF" w:rsidRPr="005E1E68" w14:paraId="3C6FD8A9" w14:textId="77777777" w:rsidTr="00940A8B">
        <w:trPr>
          <w:trHeight w:val="251"/>
        </w:trPr>
        <w:tc>
          <w:tcPr>
            <w:tcW w:w="1409" w:type="pct"/>
            <w:shd w:val="clear" w:color="auto" w:fill="auto"/>
            <w:noWrap/>
            <w:hideMark/>
          </w:tcPr>
          <w:p w14:paraId="5ED65DB9"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Total</w:t>
            </w:r>
          </w:p>
        </w:tc>
        <w:tc>
          <w:tcPr>
            <w:tcW w:w="399" w:type="pct"/>
            <w:shd w:val="clear" w:color="auto" w:fill="auto"/>
            <w:noWrap/>
            <w:hideMark/>
          </w:tcPr>
          <w:p w14:paraId="60D65D0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1ABB685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229F0EE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4B0A7A7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6C09384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38C161E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6DD5877F"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33BC1643"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51AEDD6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r>
      <w:tr w:rsidR="00AF0ADF" w:rsidRPr="005E1E68" w14:paraId="50218985" w14:textId="77777777" w:rsidTr="00AF0ADF">
        <w:trPr>
          <w:trHeight w:val="251"/>
        </w:trPr>
        <w:tc>
          <w:tcPr>
            <w:tcW w:w="5000" w:type="pct"/>
            <w:gridSpan w:val="10"/>
            <w:shd w:val="clear" w:color="auto" w:fill="auto"/>
            <w:noWrap/>
            <w:hideMark/>
          </w:tcPr>
          <w:p w14:paraId="29D79FFE" w14:textId="77777777" w:rsidR="00AF0ADF" w:rsidRPr="00A11ECE" w:rsidRDefault="00AF0ADF" w:rsidP="00AF0ADF">
            <w:pPr>
              <w:rPr>
                <w:rFonts w:cstheme="minorHAnsi"/>
                <w:sz w:val="20"/>
                <w:szCs w:val="20"/>
              </w:rPr>
            </w:pPr>
            <w:r w:rsidRPr="00A11ECE">
              <w:rPr>
                <w:rFonts w:cstheme="minorHAnsi"/>
                <w:b/>
                <w:bCs/>
                <w:color w:val="000000"/>
                <w:sz w:val="20"/>
                <w:szCs w:val="20"/>
              </w:rPr>
              <w:t>Mother's age at birth</w:t>
            </w:r>
          </w:p>
        </w:tc>
      </w:tr>
      <w:tr w:rsidR="00AF0ADF" w:rsidRPr="005E1E68" w14:paraId="23AF3C94" w14:textId="77777777" w:rsidTr="00940A8B">
        <w:trPr>
          <w:trHeight w:val="251"/>
        </w:trPr>
        <w:tc>
          <w:tcPr>
            <w:tcW w:w="1409" w:type="pct"/>
            <w:shd w:val="clear" w:color="auto" w:fill="auto"/>
            <w:noWrap/>
            <w:hideMark/>
          </w:tcPr>
          <w:p w14:paraId="31A5A0A3"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Younger than 20</w:t>
            </w:r>
          </w:p>
        </w:tc>
        <w:tc>
          <w:tcPr>
            <w:tcW w:w="399" w:type="pct"/>
            <w:shd w:val="clear" w:color="auto" w:fill="auto"/>
            <w:noWrap/>
            <w:hideMark/>
          </w:tcPr>
          <w:p w14:paraId="3A106794"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1.8</w:t>
            </w:r>
          </w:p>
        </w:tc>
        <w:tc>
          <w:tcPr>
            <w:tcW w:w="399" w:type="pct"/>
            <w:shd w:val="clear" w:color="auto" w:fill="auto"/>
            <w:noWrap/>
            <w:hideMark/>
          </w:tcPr>
          <w:p w14:paraId="226274DB"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1.9</w:t>
            </w:r>
          </w:p>
        </w:tc>
        <w:tc>
          <w:tcPr>
            <w:tcW w:w="399" w:type="pct"/>
            <w:shd w:val="clear" w:color="auto" w:fill="auto"/>
            <w:noWrap/>
            <w:hideMark/>
          </w:tcPr>
          <w:p w14:paraId="3629B21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2.1</w:t>
            </w:r>
          </w:p>
        </w:tc>
        <w:tc>
          <w:tcPr>
            <w:tcW w:w="399" w:type="pct"/>
            <w:shd w:val="clear" w:color="auto" w:fill="auto"/>
            <w:noWrap/>
            <w:hideMark/>
          </w:tcPr>
          <w:p w14:paraId="78A2604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2.3</w:t>
            </w:r>
          </w:p>
        </w:tc>
        <w:tc>
          <w:tcPr>
            <w:tcW w:w="399" w:type="pct"/>
            <w:shd w:val="clear" w:color="auto" w:fill="auto"/>
            <w:noWrap/>
            <w:hideMark/>
          </w:tcPr>
          <w:p w14:paraId="0854F6B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2.2</w:t>
            </w:r>
          </w:p>
        </w:tc>
        <w:tc>
          <w:tcPr>
            <w:tcW w:w="399" w:type="pct"/>
            <w:shd w:val="clear" w:color="auto" w:fill="auto"/>
            <w:noWrap/>
            <w:hideMark/>
          </w:tcPr>
          <w:p w14:paraId="3E89797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2.0</w:t>
            </w:r>
          </w:p>
        </w:tc>
        <w:tc>
          <w:tcPr>
            <w:tcW w:w="399" w:type="pct"/>
            <w:shd w:val="clear" w:color="auto" w:fill="auto"/>
            <w:noWrap/>
            <w:hideMark/>
          </w:tcPr>
          <w:p w14:paraId="3B05797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2.1</w:t>
            </w:r>
          </w:p>
        </w:tc>
        <w:tc>
          <w:tcPr>
            <w:tcW w:w="399" w:type="pct"/>
            <w:shd w:val="clear" w:color="auto" w:fill="auto"/>
            <w:noWrap/>
            <w:hideMark/>
          </w:tcPr>
          <w:p w14:paraId="5C1081CC"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2.4</w:t>
            </w:r>
          </w:p>
        </w:tc>
        <w:tc>
          <w:tcPr>
            <w:tcW w:w="399" w:type="pct"/>
            <w:shd w:val="clear" w:color="auto" w:fill="auto"/>
            <w:noWrap/>
            <w:hideMark/>
          </w:tcPr>
          <w:p w14:paraId="00504D39"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2.1</w:t>
            </w:r>
          </w:p>
        </w:tc>
      </w:tr>
      <w:tr w:rsidR="00AF0ADF" w:rsidRPr="005E1E68" w14:paraId="514B9444" w14:textId="77777777" w:rsidTr="00940A8B">
        <w:trPr>
          <w:trHeight w:val="251"/>
        </w:trPr>
        <w:tc>
          <w:tcPr>
            <w:tcW w:w="1409" w:type="pct"/>
            <w:shd w:val="clear" w:color="auto" w:fill="auto"/>
            <w:noWrap/>
            <w:hideMark/>
          </w:tcPr>
          <w:p w14:paraId="14B3CE70"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20-24</w:t>
            </w:r>
          </w:p>
        </w:tc>
        <w:tc>
          <w:tcPr>
            <w:tcW w:w="399" w:type="pct"/>
            <w:shd w:val="clear" w:color="auto" w:fill="auto"/>
            <w:noWrap/>
            <w:hideMark/>
          </w:tcPr>
          <w:p w14:paraId="51036A4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0B117D4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390042A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5A0987B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1.6</w:t>
            </w:r>
          </w:p>
        </w:tc>
        <w:tc>
          <w:tcPr>
            <w:tcW w:w="399" w:type="pct"/>
            <w:shd w:val="clear" w:color="auto" w:fill="auto"/>
            <w:noWrap/>
            <w:hideMark/>
          </w:tcPr>
          <w:p w14:paraId="3AA82DCE"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1.7</w:t>
            </w:r>
          </w:p>
        </w:tc>
        <w:tc>
          <w:tcPr>
            <w:tcW w:w="399" w:type="pct"/>
            <w:shd w:val="clear" w:color="auto" w:fill="auto"/>
            <w:noWrap/>
            <w:hideMark/>
          </w:tcPr>
          <w:p w14:paraId="60F205C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1.8</w:t>
            </w:r>
          </w:p>
        </w:tc>
        <w:tc>
          <w:tcPr>
            <w:tcW w:w="399" w:type="pct"/>
            <w:shd w:val="clear" w:color="auto" w:fill="auto"/>
            <w:noWrap/>
            <w:hideMark/>
          </w:tcPr>
          <w:p w14:paraId="3FD3E01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3E48621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79E7EBBC"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1.6</w:t>
            </w:r>
          </w:p>
        </w:tc>
      </w:tr>
      <w:tr w:rsidR="00AF0ADF" w:rsidRPr="005E1E68" w14:paraId="4CF4824C" w14:textId="77777777" w:rsidTr="00940A8B">
        <w:trPr>
          <w:trHeight w:val="251"/>
        </w:trPr>
        <w:tc>
          <w:tcPr>
            <w:tcW w:w="1409" w:type="pct"/>
            <w:shd w:val="clear" w:color="auto" w:fill="auto"/>
            <w:noWrap/>
            <w:hideMark/>
          </w:tcPr>
          <w:p w14:paraId="5B83D00A"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25-29</w:t>
            </w:r>
          </w:p>
        </w:tc>
        <w:tc>
          <w:tcPr>
            <w:tcW w:w="399" w:type="pct"/>
            <w:shd w:val="clear" w:color="auto" w:fill="auto"/>
            <w:noWrap/>
            <w:hideMark/>
          </w:tcPr>
          <w:p w14:paraId="6AD0F994"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1.1</w:t>
            </w:r>
          </w:p>
        </w:tc>
        <w:tc>
          <w:tcPr>
            <w:tcW w:w="399" w:type="pct"/>
            <w:shd w:val="clear" w:color="auto" w:fill="auto"/>
            <w:noWrap/>
            <w:hideMark/>
          </w:tcPr>
          <w:p w14:paraId="6E039CD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1BA42073"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027D8E8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25D0C39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54EBE10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7823C4D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0F43786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2A6DAF8D"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r>
      <w:tr w:rsidR="00AF0ADF" w:rsidRPr="005E1E68" w14:paraId="016BF126" w14:textId="77777777" w:rsidTr="00940A8B">
        <w:trPr>
          <w:trHeight w:val="251"/>
        </w:trPr>
        <w:tc>
          <w:tcPr>
            <w:tcW w:w="1409" w:type="pct"/>
            <w:shd w:val="clear" w:color="auto" w:fill="auto"/>
            <w:noWrap/>
            <w:hideMark/>
          </w:tcPr>
          <w:p w14:paraId="5B3781CA"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30-34</w:t>
            </w:r>
          </w:p>
        </w:tc>
        <w:tc>
          <w:tcPr>
            <w:tcW w:w="399" w:type="pct"/>
            <w:shd w:val="clear" w:color="auto" w:fill="auto"/>
            <w:noWrap/>
            <w:hideMark/>
          </w:tcPr>
          <w:p w14:paraId="7B7AF699"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1.0</w:t>
            </w:r>
          </w:p>
        </w:tc>
        <w:tc>
          <w:tcPr>
            <w:tcW w:w="399" w:type="pct"/>
            <w:shd w:val="clear" w:color="auto" w:fill="auto"/>
            <w:noWrap/>
            <w:hideMark/>
          </w:tcPr>
          <w:p w14:paraId="37535214"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1280A4E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6C43116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63FE797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3486081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14F0657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657178A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4D2E39CB"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r>
      <w:tr w:rsidR="00AF0ADF" w:rsidRPr="005E1E68" w14:paraId="79703A8E" w14:textId="77777777" w:rsidTr="00940A8B">
        <w:trPr>
          <w:trHeight w:val="251"/>
        </w:trPr>
        <w:tc>
          <w:tcPr>
            <w:tcW w:w="1409" w:type="pct"/>
            <w:shd w:val="clear" w:color="auto" w:fill="auto"/>
            <w:noWrap/>
            <w:hideMark/>
          </w:tcPr>
          <w:p w14:paraId="250EEE76"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35-39</w:t>
            </w:r>
          </w:p>
        </w:tc>
        <w:tc>
          <w:tcPr>
            <w:tcW w:w="399" w:type="pct"/>
            <w:shd w:val="clear" w:color="auto" w:fill="auto"/>
            <w:noWrap/>
            <w:hideMark/>
          </w:tcPr>
          <w:p w14:paraId="48DEEC6D"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1.1</w:t>
            </w:r>
          </w:p>
        </w:tc>
        <w:tc>
          <w:tcPr>
            <w:tcW w:w="399" w:type="pct"/>
            <w:shd w:val="clear" w:color="auto" w:fill="auto"/>
            <w:noWrap/>
            <w:hideMark/>
          </w:tcPr>
          <w:p w14:paraId="2B20E27C"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1.1</w:t>
            </w:r>
          </w:p>
        </w:tc>
        <w:tc>
          <w:tcPr>
            <w:tcW w:w="399" w:type="pct"/>
            <w:shd w:val="clear" w:color="auto" w:fill="auto"/>
            <w:noWrap/>
            <w:hideMark/>
          </w:tcPr>
          <w:p w14:paraId="279D78C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5F2F39F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31CEAF9D"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6133E47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1ECF84B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1A22324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1.1</w:t>
            </w:r>
          </w:p>
        </w:tc>
        <w:tc>
          <w:tcPr>
            <w:tcW w:w="399" w:type="pct"/>
            <w:shd w:val="clear" w:color="auto" w:fill="auto"/>
            <w:noWrap/>
            <w:hideMark/>
          </w:tcPr>
          <w:p w14:paraId="2CEF753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r>
      <w:tr w:rsidR="00AF0ADF" w:rsidRPr="005E1E68" w14:paraId="7A5BE6FB" w14:textId="77777777" w:rsidTr="00940A8B">
        <w:trPr>
          <w:trHeight w:val="251"/>
        </w:trPr>
        <w:tc>
          <w:tcPr>
            <w:tcW w:w="1409" w:type="pct"/>
            <w:shd w:val="clear" w:color="auto" w:fill="auto"/>
            <w:noWrap/>
            <w:hideMark/>
          </w:tcPr>
          <w:p w14:paraId="618364A7"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40 and over</w:t>
            </w:r>
          </w:p>
        </w:tc>
        <w:tc>
          <w:tcPr>
            <w:tcW w:w="399" w:type="pct"/>
            <w:shd w:val="clear" w:color="auto" w:fill="auto"/>
            <w:noWrap/>
            <w:hideMark/>
          </w:tcPr>
          <w:p w14:paraId="08B9394E"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1.1</w:t>
            </w:r>
          </w:p>
        </w:tc>
        <w:tc>
          <w:tcPr>
            <w:tcW w:w="399" w:type="pct"/>
            <w:shd w:val="clear" w:color="auto" w:fill="auto"/>
            <w:noWrap/>
            <w:hideMark/>
          </w:tcPr>
          <w:p w14:paraId="44D8289F"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339B39F3"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650ADF1D"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6D1E527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3F4DC35E"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254CD2F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0F4694E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21CAC10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r>
      <w:tr w:rsidR="00AF0ADF" w:rsidRPr="005E1E68" w14:paraId="0471CA56" w14:textId="77777777" w:rsidTr="00AF0ADF">
        <w:trPr>
          <w:trHeight w:val="251"/>
        </w:trPr>
        <w:tc>
          <w:tcPr>
            <w:tcW w:w="5000" w:type="pct"/>
            <w:gridSpan w:val="10"/>
            <w:shd w:val="clear" w:color="auto" w:fill="auto"/>
            <w:noWrap/>
            <w:hideMark/>
          </w:tcPr>
          <w:p w14:paraId="32B9294A" w14:textId="1AF73391" w:rsidR="00AF0ADF" w:rsidRPr="00A11ECE" w:rsidRDefault="00AF0ADF" w:rsidP="00AF0ADF">
            <w:pPr>
              <w:rPr>
                <w:rFonts w:cstheme="minorHAnsi"/>
                <w:sz w:val="20"/>
                <w:szCs w:val="20"/>
              </w:rPr>
            </w:pPr>
            <w:r w:rsidRPr="00A11ECE">
              <w:rPr>
                <w:rFonts w:cstheme="minorHAnsi"/>
                <w:b/>
                <w:bCs/>
                <w:color w:val="000000"/>
                <w:sz w:val="20"/>
                <w:szCs w:val="20"/>
              </w:rPr>
              <w:t xml:space="preserve">Mother's </w:t>
            </w:r>
            <w:r w:rsidR="00FB0C38">
              <w:rPr>
                <w:rFonts w:cstheme="minorHAnsi"/>
                <w:b/>
                <w:bCs/>
                <w:color w:val="000000"/>
                <w:sz w:val="20"/>
                <w:szCs w:val="20"/>
              </w:rPr>
              <w:t>Indig</w:t>
            </w:r>
            <w:r w:rsidRPr="00A11ECE">
              <w:rPr>
                <w:rFonts w:cstheme="minorHAnsi"/>
                <w:b/>
                <w:bCs/>
                <w:color w:val="000000"/>
                <w:sz w:val="20"/>
                <w:szCs w:val="20"/>
              </w:rPr>
              <w:t>enous status</w:t>
            </w:r>
          </w:p>
        </w:tc>
      </w:tr>
      <w:tr w:rsidR="00AF0ADF" w:rsidRPr="005E1E68" w14:paraId="2683B0DE" w14:textId="77777777" w:rsidTr="00940A8B">
        <w:trPr>
          <w:trHeight w:val="251"/>
        </w:trPr>
        <w:tc>
          <w:tcPr>
            <w:tcW w:w="1409" w:type="pct"/>
            <w:shd w:val="clear" w:color="auto" w:fill="auto"/>
            <w:noWrap/>
            <w:hideMark/>
          </w:tcPr>
          <w:p w14:paraId="1C6BFF8A"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Indigenous</w:t>
            </w:r>
          </w:p>
        </w:tc>
        <w:tc>
          <w:tcPr>
            <w:tcW w:w="399" w:type="pct"/>
            <w:shd w:val="clear" w:color="auto" w:fill="auto"/>
            <w:noWrap/>
            <w:hideMark/>
          </w:tcPr>
          <w:p w14:paraId="763710BE"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1.7</w:t>
            </w:r>
          </w:p>
        </w:tc>
        <w:tc>
          <w:tcPr>
            <w:tcW w:w="399" w:type="pct"/>
            <w:shd w:val="clear" w:color="auto" w:fill="auto"/>
            <w:noWrap/>
            <w:hideMark/>
          </w:tcPr>
          <w:p w14:paraId="398A516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1.6</w:t>
            </w:r>
          </w:p>
        </w:tc>
        <w:tc>
          <w:tcPr>
            <w:tcW w:w="399" w:type="pct"/>
            <w:shd w:val="clear" w:color="auto" w:fill="auto"/>
            <w:noWrap/>
            <w:hideMark/>
          </w:tcPr>
          <w:p w14:paraId="0A6159A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53B8F37F"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1.9</w:t>
            </w:r>
          </w:p>
        </w:tc>
        <w:tc>
          <w:tcPr>
            <w:tcW w:w="399" w:type="pct"/>
            <w:shd w:val="clear" w:color="auto" w:fill="auto"/>
            <w:noWrap/>
            <w:hideMark/>
          </w:tcPr>
          <w:p w14:paraId="79621FD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2.2</w:t>
            </w:r>
          </w:p>
        </w:tc>
        <w:tc>
          <w:tcPr>
            <w:tcW w:w="399" w:type="pct"/>
            <w:shd w:val="clear" w:color="auto" w:fill="auto"/>
            <w:noWrap/>
            <w:hideMark/>
          </w:tcPr>
          <w:p w14:paraId="446C204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2.1</w:t>
            </w:r>
          </w:p>
        </w:tc>
        <w:tc>
          <w:tcPr>
            <w:tcW w:w="399" w:type="pct"/>
            <w:shd w:val="clear" w:color="auto" w:fill="auto"/>
            <w:noWrap/>
            <w:hideMark/>
          </w:tcPr>
          <w:p w14:paraId="031ED48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1.8</w:t>
            </w:r>
          </w:p>
        </w:tc>
        <w:tc>
          <w:tcPr>
            <w:tcW w:w="399" w:type="pct"/>
            <w:shd w:val="clear" w:color="auto" w:fill="auto"/>
            <w:noWrap/>
            <w:hideMark/>
          </w:tcPr>
          <w:p w14:paraId="50CB1FBF"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2.0</w:t>
            </w:r>
          </w:p>
        </w:tc>
        <w:tc>
          <w:tcPr>
            <w:tcW w:w="399" w:type="pct"/>
            <w:shd w:val="clear" w:color="auto" w:fill="auto"/>
            <w:noWrap/>
            <w:hideMark/>
          </w:tcPr>
          <w:p w14:paraId="1B8DB5C9"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1.9</w:t>
            </w:r>
          </w:p>
        </w:tc>
      </w:tr>
      <w:tr w:rsidR="00AF0ADF" w:rsidRPr="005E1E68" w14:paraId="2C24FD52" w14:textId="77777777" w:rsidTr="00940A8B">
        <w:trPr>
          <w:trHeight w:val="251"/>
        </w:trPr>
        <w:tc>
          <w:tcPr>
            <w:tcW w:w="1409" w:type="pct"/>
            <w:shd w:val="clear" w:color="auto" w:fill="auto"/>
            <w:noWrap/>
            <w:hideMark/>
          </w:tcPr>
          <w:p w14:paraId="25250E1D"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Non-Indigenous</w:t>
            </w:r>
          </w:p>
        </w:tc>
        <w:tc>
          <w:tcPr>
            <w:tcW w:w="399" w:type="pct"/>
            <w:shd w:val="clear" w:color="auto" w:fill="auto"/>
            <w:noWrap/>
            <w:hideMark/>
          </w:tcPr>
          <w:p w14:paraId="199B43BB"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7482249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3FC19B0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016538FC"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2347BC1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1206AB93"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24F0EBC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4990EF9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5843627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r>
      <w:tr w:rsidR="00B733E2" w:rsidRPr="005E1E68" w14:paraId="4631CA42" w14:textId="77777777" w:rsidTr="00B733E2">
        <w:trPr>
          <w:trHeight w:val="251"/>
        </w:trPr>
        <w:tc>
          <w:tcPr>
            <w:tcW w:w="5000" w:type="pct"/>
            <w:gridSpan w:val="10"/>
            <w:shd w:val="clear" w:color="auto" w:fill="auto"/>
            <w:noWrap/>
            <w:hideMark/>
          </w:tcPr>
          <w:p w14:paraId="573FD095" w14:textId="3F834676" w:rsidR="00B733E2" w:rsidRPr="00A11ECE" w:rsidRDefault="00B733E2" w:rsidP="00AF0ADF">
            <w:pPr>
              <w:rPr>
                <w:rFonts w:cstheme="minorHAnsi"/>
                <w:sz w:val="20"/>
                <w:szCs w:val="20"/>
              </w:rPr>
            </w:pPr>
            <w:r w:rsidRPr="00A11ECE">
              <w:rPr>
                <w:rFonts w:cstheme="minorHAnsi"/>
                <w:b/>
                <w:bCs/>
                <w:color w:val="000000"/>
                <w:sz w:val="20"/>
                <w:szCs w:val="20"/>
              </w:rPr>
              <w:t>Hospital sector</w:t>
            </w:r>
          </w:p>
        </w:tc>
      </w:tr>
      <w:tr w:rsidR="00AF0ADF" w:rsidRPr="005E1E68" w14:paraId="36A34507" w14:textId="77777777" w:rsidTr="00940A8B">
        <w:trPr>
          <w:trHeight w:val="251"/>
        </w:trPr>
        <w:tc>
          <w:tcPr>
            <w:tcW w:w="1409" w:type="pct"/>
            <w:shd w:val="clear" w:color="auto" w:fill="auto"/>
            <w:noWrap/>
            <w:hideMark/>
          </w:tcPr>
          <w:p w14:paraId="7F290F8D"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Private</w:t>
            </w:r>
          </w:p>
        </w:tc>
        <w:tc>
          <w:tcPr>
            <w:tcW w:w="399" w:type="pct"/>
            <w:shd w:val="clear" w:color="auto" w:fill="auto"/>
            <w:noWrap/>
            <w:hideMark/>
          </w:tcPr>
          <w:p w14:paraId="6546A2A9"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0.6</w:t>
            </w:r>
          </w:p>
        </w:tc>
        <w:tc>
          <w:tcPr>
            <w:tcW w:w="399" w:type="pct"/>
            <w:shd w:val="clear" w:color="auto" w:fill="auto"/>
            <w:noWrap/>
            <w:hideMark/>
          </w:tcPr>
          <w:p w14:paraId="61DB12C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0.7</w:t>
            </w:r>
          </w:p>
        </w:tc>
        <w:tc>
          <w:tcPr>
            <w:tcW w:w="399" w:type="pct"/>
            <w:shd w:val="clear" w:color="auto" w:fill="auto"/>
            <w:noWrap/>
            <w:hideMark/>
          </w:tcPr>
          <w:p w14:paraId="2C6C068E"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0.7</w:t>
            </w:r>
          </w:p>
        </w:tc>
        <w:tc>
          <w:tcPr>
            <w:tcW w:w="399" w:type="pct"/>
            <w:shd w:val="clear" w:color="auto" w:fill="auto"/>
            <w:noWrap/>
            <w:hideMark/>
          </w:tcPr>
          <w:p w14:paraId="47443A2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0.8</w:t>
            </w:r>
          </w:p>
        </w:tc>
        <w:tc>
          <w:tcPr>
            <w:tcW w:w="399" w:type="pct"/>
            <w:shd w:val="clear" w:color="auto" w:fill="auto"/>
            <w:noWrap/>
            <w:hideMark/>
          </w:tcPr>
          <w:p w14:paraId="1F777F0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0.8</w:t>
            </w:r>
          </w:p>
        </w:tc>
        <w:tc>
          <w:tcPr>
            <w:tcW w:w="399" w:type="pct"/>
            <w:shd w:val="clear" w:color="auto" w:fill="auto"/>
            <w:noWrap/>
            <w:hideMark/>
          </w:tcPr>
          <w:p w14:paraId="464FE98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0.9</w:t>
            </w:r>
          </w:p>
        </w:tc>
        <w:tc>
          <w:tcPr>
            <w:tcW w:w="399" w:type="pct"/>
            <w:shd w:val="clear" w:color="auto" w:fill="auto"/>
            <w:noWrap/>
            <w:hideMark/>
          </w:tcPr>
          <w:p w14:paraId="02BDF72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0.8</w:t>
            </w:r>
          </w:p>
        </w:tc>
        <w:tc>
          <w:tcPr>
            <w:tcW w:w="399" w:type="pct"/>
            <w:shd w:val="clear" w:color="auto" w:fill="auto"/>
            <w:noWrap/>
            <w:hideMark/>
          </w:tcPr>
          <w:p w14:paraId="4CBF14E4"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0.9</w:t>
            </w:r>
          </w:p>
        </w:tc>
        <w:tc>
          <w:tcPr>
            <w:tcW w:w="399" w:type="pct"/>
            <w:shd w:val="clear" w:color="auto" w:fill="auto"/>
            <w:noWrap/>
            <w:hideMark/>
          </w:tcPr>
          <w:p w14:paraId="59914F7D"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0.9</w:t>
            </w:r>
          </w:p>
        </w:tc>
      </w:tr>
      <w:tr w:rsidR="00AF0ADF" w:rsidRPr="005E1E68" w14:paraId="28E248C2" w14:textId="77777777" w:rsidTr="00940A8B">
        <w:trPr>
          <w:trHeight w:val="251"/>
        </w:trPr>
        <w:tc>
          <w:tcPr>
            <w:tcW w:w="1409" w:type="pct"/>
            <w:shd w:val="clear" w:color="auto" w:fill="auto"/>
            <w:noWrap/>
            <w:hideMark/>
          </w:tcPr>
          <w:p w14:paraId="309BF67C"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Public</w:t>
            </w:r>
          </w:p>
        </w:tc>
        <w:tc>
          <w:tcPr>
            <w:tcW w:w="399" w:type="pct"/>
            <w:shd w:val="clear" w:color="auto" w:fill="auto"/>
            <w:noWrap/>
            <w:hideMark/>
          </w:tcPr>
          <w:p w14:paraId="6A4BBDD3"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76BE2C2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78AFDE14"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1.6</w:t>
            </w:r>
          </w:p>
        </w:tc>
        <w:tc>
          <w:tcPr>
            <w:tcW w:w="399" w:type="pct"/>
            <w:shd w:val="clear" w:color="auto" w:fill="auto"/>
            <w:noWrap/>
            <w:hideMark/>
          </w:tcPr>
          <w:p w14:paraId="0DE79B4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1.6</w:t>
            </w:r>
          </w:p>
        </w:tc>
        <w:tc>
          <w:tcPr>
            <w:tcW w:w="399" w:type="pct"/>
            <w:shd w:val="clear" w:color="auto" w:fill="auto"/>
            <w:noWrap/>
            <w:hideMark/>
          </w:tcPr>
          <w:p w14:paraId="093CCFEF"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1.6</w:t>
            </w:r>
          </w:p>
        </w:tc>
        <w:tc>
          <w:tcPr>
            <w:tcW w:w="399" w:type="pct"/>
            <w:shd w:val="clear" w:color="auto" w:fill="auto"/>
            <w:noWrap/>
            <w:hideMark/>
          </w:tcPr>
          <w:p w14:paraId="7D01AED4"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1.6</w:t>
            </w:r>
          </w:p>
        </w:tc>
        <w:tc>
          <w:tcPr>
            <w:tcW w:w="399" w:type="pct"/>
            <w:shd w:val="clear" w:color="auto" w:fill="auto"/>
            <w:noWrap/>
            <w:hideMark/>
          </w:tcPr>
          <w:p w14:paraId="449D054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56DF93C3"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5A34711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r>
      <w:tr w:rsidR="00AF0ADF" w:rsidRPr="005E1E68" w14:paraId="0F6584AF" w14:textId="77777777" w:rsidTr="00AF0ADF">
        <w:trPr>
          <w:trHeight w:val="251"/>
        </w:trPr>
        <w:tc>
          <w:tcPr>
            <w:tcW w:w="5000" w:type="pct"/>
            <w:gridSpan w:val="10"/>
            <w:shd w:val="clear" w:color="auto" w:fill="auto"/>
            <w:noWrap/>
            <w:hideMark/>
          </w:tcPr>
          <w:p w14:paraId="0C0DFB11" w14:textId="77777777" w:rsidR="00AF0ADF" w:rsidRPr="00A11ECE" w:rsidRDefault="00AF0ADF" w:rsidP="00AF0ADF">
            <w:pPr>
              <w:rPr>
                <w:rFonts w:cstheme="minorHAnsi"/>
                <w:sz w:val="20"/>
                <w:szCs w:val="20"/>
              </w:rPr>
            </w:pPr>
            <w:r w:rsidRPr="00A11ECE">
              <w:rPr>
                <w:rFonts w:cstheme="minorHAnsi"/>
                <w:b/>
                <w:bCs/>
                <w:color w:val="000000"/>
                <w:sz w:val="20"/>
                <w:szCs w:val="20"/>
              </w:rPr>
              <w:t>Hospitals annual number of births</w:t>
            </w:r>
          </w:p>
        </w:tc>
      </w:tr>
      <w:tr w:rsidR="00AF0ADF" w:rsidRPr="005E1E68" w14:paraId="2939B80C" w14:textId="77777777" w:rsidTr="00940A8B">
        <w:trPr>
          <w:trHeight w:val="251"/>
        </w:trPr>
        <w:tc>
          <w:tcPr>
            <w:tcW w:w="1409" w:type="pct"/>
            <w:shd w:val="clear" w:color="auto" w:fill="auto"/>
            <w:noWrap/>
            <w:hideMark/>
          </w:tcPr>
          <w:p w14:paraId="449FE851"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1-100 births</w:t>
            </w:r>
          </w:p>
        </w:tc>
        <w:tc>
          <w:tcPr>
            <w:tcW w:w="399" w:type="pct"/>
            <w:shd w:val="clear" w:color="auto" w:fill="auto"/>
            <w:noWrap/>
            <w:hideMark/>
          </w:tcPr>
          <w:p w14:paraId="45A054D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1.0</w:t>
            </w:r>
          </w:p>
        </w:tc>
        <w:tc>
          <w:tcPr>
            <w:tcW w:w="399" w:type="pct"/>
            <w:shd w:val="clear" w:color="auto" w:fill="auto"/>
            <w:noWrap/>
            <w:hideMark/>
          </w:tcPr>
          <w:p w14:paraId="32E3F87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1.1</w:t>
            </w:r>
          </w:p>
        </w:tc>
        <w:tc>
          <w:tcPr>
            <w:tcW w:w="399" w:type="pct"/>
            <w:shd w:val="clear" w:color="auto" w:fill="auto"/>
            <w:noWrap/>
            <w:hideMark/>
          </w:tcPr>
          <w:p w14:paraId="6EC02C8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0.9</w:t>
            </w:r>
          </w:p>
        </w:tc>
        <w:tc>
          <w:tcPr>
            <w:tcW w:w="399" w:type="pct"/>
            <w:shd w:val="clear" w:color="auto" w:fill="auto"/>
            <w:noWrap/>
            <w:hideMark/>
          </w:tcPr>
          <w:p w14:paraId="5D78E01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0.9</w:t>
            </w:r>
          </w:p>
        </w:tc>
        <w:tc>
          <w:tcPr>
            <w:tcW w:w="399" w:type="pct"/>
            <w:shd w:val="clear" w:color="auto" w:fill="auto"/>
            <w:noWrap/>
            <w:hideMark/>
          </w:tcPr>
          <w:p w14:paraId="013A33F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30E8618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5DF12C03"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0832637F"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1.1</w:t>
            </w:r>
          </w:p>
        </w:tc>
        <w:tc>
          <w:tcPr>
            <w:tcW w:w="399" w:type="pct"/>
            <w:shd w:val="clear" w:color="auto" w:fill="auto"/>
            <w:noWrap/>
            <w:hideMark/>
          </w:tcPr>
          <w:p w14:paraId="101FA64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r>
      <w:tr w:rsidR="00AF0ADF" w:rsidRPr="005E1E68" w14:paraId="10B35ADB" w14:textId="77777777" w:rsidTr="00940A8B">
        <w:trPr>
          <w:trHeight w:val="251"/>
        </w:trPr>
        <w:tc>
          <w:tcPr>
            <w:tcW w:w="1409" w:type="pct"/>
            <w:shd w:val="clear" w:color="auto" w:fill="auto"/>
            <w:noWrap/>
            <w:hideMark/>
          </w:tcPr>
          <w:p w14:paraId="26567330"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101-500 births</w:t>
            </w:r>
          </w:p>
        </w:tc>
        <w:tc>
          <w:tcPr>
            <w:tcW w:w="399" w:type="pct"/>
            <w:shd w:val="clear" w:color="auto" w:fill="auto"/>
            <w:noWrap/>
            <w:hideMark/>
          </w:tcPr>
          <w:p w14:paraId="5D8DAF35"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1.0</w:t>
            </w:r>
          </w:p>
        </w:tc>
        <w:tc>
          <w:tcPr>
            <w:tcW w:w="399" w:type="pct"/>
            <w:shd w:val="clear" w:color="auto" w:fill="auto"/>
            <w:noWrap/>
            <w:hideMark/>
          </w:tcPr>
          <w:p w14:paraId="1F877BFE"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2BAC7CCB"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133C301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070DD2F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3863748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5A79F8E4"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144E363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1782D1B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r>
      <w:tr w:rsidR="00AF0ADF" w:rsidRPr="005E1E68" w14:paraId="60B7469D" w14:textId="77777777" w:rsidTr="00940A8B">
        <w:trPr>
          <w:trHeight w:val="251"/>
        </w:trPr>
        <w:tc>
          <w:tcPr>
            <w:tcW w:w="1409" w:type="pct"/>
            <w:shd w:val="clear" w:color="auto" w:fill="auto"/>
            <w:noWrap/>
            <w:hideMark/>
          </w:tcPr>
          <w:p w14:paraId="4BB13815"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501-1,000 births</w:t>
            </w:r>
          </w:p>
        </w:tc>
        <w:tc>
          <w:tcPr>
            <w:tcW w:w="399" w:type="pct"/>
            <w:shd w:val="clear" w:color="auto" w:fill="auto"/>
            <w:noWrap/>
            <w:hideMark/>
          </w:tcPr>
          <w:p w14:paraId="68C1642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1.1</w:t>
            </w:r>
          </w:p>
        </w:tc>
        <w:tc>
          <w:tcPr>
            <w:tcW w:w="399" w:type="pct"/>
            <w:shd w:val="clear" w:color="auto" w:fill="auto"/>
            <w:noWrap/>
            <w:hideMark/>
          </w:tcPr>
          <w:p w14:paraId="5E2B326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3A39B99E"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5392A33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3B8C2D0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0BA83A4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1.2</w:t>
            </w:r>
          </w:p>
        </w:tc>
        <w:tc>
          <w:tcPr>
            <w:tcW w:w="399" w:type="pct"/>
            <w:shd w:val="clear" w:color="auto" w:fill="auto"/>
            <w:noWrap/>
            <w:hideMark/>
          </w:tcPr>
          <w:p w14:paraId="4FD0ED1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1D238A4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777BBAB9"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r>
      <w:tr w:rsidR="00AF0ADF" w:rsidRPr="005E1E68" w14:paraId="08B21508" w14:textId="77777777" w:rsidTr="00940A8B">
        <w:trPr>
          <w:trHeight w:val="251"/>
        </w:trPr>
        <w:tc>
          <w:tcPr>
            <w:tcW w:w="1409" w:type="pct"/>
            <w:shd w:val="clear" w:color="auto" w:fill="auto"/>
            <w:noWrap/>
            <w:hideMark/>
          </w:tcPr>
          <w:p w14:paraId="721CD52A"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1,001-2,000 births</w:t>
            </w:r>
          </w:p>
        </w:tc>
        <w:tc>
          <w:tcPr>
            <w:tcW w:w="399" w:type="pct"/>
            <w:shd w:val="clear" w:color="auto" w:fill="auto"/>
            <w:noWrap/>
            <w:hideMark/>
          </w:tcPr>
          <w:p w14:paraId="572AAE2F"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1.0</w:t>
            </w:r>
          </w:p>
        </w:tc>
        <w:tc>
          <w:tcPr>
            <w:tcW w:w="399" w:type="pct"/>
            <w:shd w:val="clear" w:color="auto" w:fill="auto"/>
            <w:noWrap/>
            <w:hideMark/>
          </w:tcPr>
          <w:p w14:paraId="1B6919B8"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2A0C56C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3668D25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6E5A8EEC"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2329F7D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1.5</w:t>
            </w:r>
          </w:p>
        </w:tc>
        <w:tc>
          <w:tcPr>
            <w:tcW w:w="399" w:type="pct"/>
            <w:shd w:val="clear" w:color="auto" w:fill="auto"/>
            <w:noWrap/>
            <w:hideMark/>
          </w:tcPr>
          <w:p w14:paraId="1C158936"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013DA680"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352933B9"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r>
      <w:tr w:rsidR="00AF0ADF" w:rsidRPr="005E1E68" w14:paraId="1AD7D4D0" w14:textId="77777777" w:rsidTr="00940A8B">
        <w:trPr>
          <w:trHeight w:val="251"/>
        </w:trPr>
        <w:tc>
          <w:tcPr>
            <w:tcW w:w="1409" w:type="pct"/>
            <w:shd w:val="clear" w:color="auto" w:fill="auto"/>
            <w:noWrap/>
            <w:hideMark/>
          </w:tcPr>
          <w:p w14:paraId="32DD8433" w14:textId="77777777" w:rsidR="00AF0ADF" w:rsidRPr="00A11ECE" w:rsidRDefault="00AF0ADF" w:rsidP="00AF0ADF">
            <w:pPr>
              <w:ind w:firstLineChars="100" w:firstLine="200"/>
              <w:rPr>
                <w:rFonts w:cstheme="minorHAnsi"/>
                <w:color w:val="000000"/>
                <w:sz w:val="20"/>
                <w:szCs w:val="20"/>
              </w:rPr>
            </w:pPr>
            <w:r w:rsidRPr="00A11ECE">
              <w:rPr>
                <w:rFonts w:cstheme="minorHAnsi"/>
                <w:color w:val="000000"/>
                <w:sz w:val="20"/>
                <w:szCs w:val="20"/>
              </w:rPr>
              <w:t>2,001 births and over</w:t>
            </w:r>
          </w:p>
        </w:tc>
        <w:tc>
          <w:tcPr>
            <w:tcW w:w="399" w:type="pct"/>
            <w:shd w:val="clear" w:color="auto" w:fill="auto"/>
            <w:noWrap/>
            <w:hideMark/>
          </w:tcPr>
          <w:p w14:paraId="772561C4"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70249E7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47E0200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7C38D26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2AECA5EA"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53A5DC72"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1.4</w:t>
            </w:r>
          </w:p>
        </w:tc>
        <w:tc>
          <w:tcPr>
            <w:tcW w:w="399" w:type="pct"/>
            <w:shd w:val="clear" w:color="auto" w:fill="auto"/>
            <w:noWrap/>
            <w:hideMark/>
          </w:tcPr>
          <w:p w14:paraId="1D06E479"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2C77AE61"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c>
          <w:tcPr>
            <w:tcW w:w="399" w:type="pct"/>
            <w:shd w:val="clear" w:color="auto" w:fill="auto"/>
            <w:noWrap/>
            <w:hideMark/>
          </w:tcPr>
          <w:p w14:paraId="06699077" w14:textId="77777777" w:rsidR="00AF0ADF" w:rsidRPr="00A11ECE" w:rsidRDefault="00AF0ADF" w:rsidP="00AF0ADF">
            <w:pPr>
              <w:jc w:val="right"/>
              <w:rPr>
                <w:rFonts w:cstheme="minorHAnsi"/>
                <w:color w:val="000000"/>
                <w:sz w:val="20"/>
                <w:szCs w:val="20"/>
              </w:rPr>
            </w:pPr>
            <w:r w:rsidRPr="00A11ECE">
              <w:rPr>
                <w:rFonts w:cstheme="minorHAnsi"/>
                <w:color w:val="000000"/>
                <w:sz w:val="20"/>
                <w:szCs w:val="20"/>
              </w:rPr>
              <w:t>1.3</w:t>
            </w:r>
          </w:p>
        </w:tc>
      </w:tr>
    </w:tbl>
    <w:p w14:paraId="7BCA5B1A" w14:textId="77777777" w:rsidR="00940A8B" w:rsidRPr="00B94D3E" w:rsidRDefault="00940A8B" w:rsidP="00B94D3E">
      <w:pPr>
        <w:rPr>
          <w:sz w:val="18"/>
          <w:szCs w:val="18"/>
        </w:rPr>
      </w:pPr>
      <w:r w:rsidRPr="00B94D3E">
        <w:rPr>
          <w:b/>
          <w:sz w:val="18"/>
          <w:szCs w:val="18"/>
        </w:rPr>
        <w:t>Data Notes</w:t>
      </w:r>
      <w:r w:rsidRPr="00B94D3E">
        <w:rPr>
          <w:bCs/>
          <w:sz w:val="18"/>
          <w:szCs w:val="18"/>
        </w:rPr>
        <w:t>:</w:t>
      </w:r>
    </w:p>
    <w:p w14:paraId="1608D1AD" w14:textId="527FDB59" w:rsidR="00AF0ADF" w:rsidRPr="00B94D3E" w:rsidRDefault="00AF0ADF" w:rsidP="008D3FB5">
      <w:pPr>
        <w:pStyle w:val="ListParagraph"/>
        <w:numPr>
          <w:ilvl w:val="0"/>
          <w:numId w:val="21"/>
        </w:numPr>
        <w:ind w:left="284" w:hanging="284"/>
        <w:rPr>
          <w:sz w:val="18"/>
          <w:szCs w:val="18"/>
        </w:rPr>
      </w:pPr>
      <w:r w:rsidRPr="00B94D3E">
        <w:rPr>
          <w:sz w:val="18"/>
          <w:szCs w:val="18"/>
        </w:rPr>
        <w:t>Some caution is required with interpretation of these percentages as the number of babies born at or after term with an Apgar score less than 7 is small.</w:t>
      </w:r>
    </w:p>
    <w:p w14:paraId="6B609497" w14:textId="33A917B3" w:rsidR="00AF0ADF" w:rsidRPr="00B94D3E" w:rsidRDefault="00AF0ADF" w:rsidP="008D3FB5">
      <w:pPr>
        <w:pStyle w:val="ListParagraph"/>
        <w:numPr>
          <w:ilvl w:val="0"/>
          <w:numId w:val="21"/>
        </w:numPr>
        <w:ind w:left="284" w:hanging="284"/>
        <w:rPr>
          <w:sz w:val="18"/>
          <w:szCs w:val="18"/>
        </w:rPr>
      </w:pPr>
      <w:r w:rsidRPr="00B94D3E">
        <w:rPr>
          <w:sz w:val="18"/>
          <w:szCs w:val="18"/>
        </w:rPr>
        <w:t>Percentages for mother's Indigenous status are age-standardised.</w:t>
      </w:r>
    </w:p>
    <w:p w14:paraId="676D4E10" w14:textId="77777777" w:rsidR="001A3818" w:rsidRPr="001A3818" w:rsidRDefault="001A3818" w:rsidP="008D3FB5">
      <w:pPr>
        <w:pStyle w:val="ListParagraph"/>
        <w:numPr>
          <w:ilvl w:val="0"/>
          <w:numId w:val="21"/>
        </w:numPr>
        <w:ind w:left="284" w:hanging="284"/>
        <w:rPr>
          <w:sz w:val="18"/>
          <w:szCs w:val="18"/>
        </w:rPr>
      </w:pPr>
      <w:r w:rsidRPr="001A3818">
        <w:rPr>
          <w:sz w:val="18"/>
          <w:szCs w:val="18"/>
        </w:rPr>
        <w:t xml:space="preserve">Source: </w:t>
      </w:r>
      <w:r w:rsidRPr="00B94D3E">
        <w:rPr>
          <w:sz w:val="18"/>
          <w:szCs w:val="18"/>
        </w:rPr>
        <w:t>AIHW analysis of National Perinatal Data Collection. Australian Institute of Health and Welfare 2021. National Core Maternity Indicators. Cat no. PER 95. Canberra: AIHW</w:t>
      </w:r>
    </w:p>
    <w:p w14:paraId="6FCA7CF7" w14:textId="77777777" w:rsidR="00940A8B" w:rsidRDefault="00940A8B" w:rsidP="00B94D3E">
      <w:bookmarkStart w:id="455" w:name="_Ref117109214"/>
      <w:r>
        <w:br w:type="page"/>
      </w:r>
    </w:p>
    <w:p w14:paraId="7CCF19D5" w14:textId="6A37816E" w:rsidR="00AF0ADF" w:rsidRPr="008E401A" w:rsidRDefault="00AF0ADF" w:rsidP="00AF0ADF">
      <w:pPr>
        <w:pStyle w:val="Caption"/>
        <w:rPr>
          <w:sz w:val="20"/>
          <w:szCs w:val="20"/>
        </w:rPr>
      </w:pPr>
      <w:bookmarkStart w:id="456" w:name="_Ref117929301"/>
      <w:bookmarkStart w:id="457" w:name="_Toc121429206"/>
      <w:r w:rsidRPr="008E401A">
        <w:rPr>
          <w:sz w:val="20"/>
          <w:szCs w:val="20"/>
        </w:rPr>
        <w:lastRenderedPageBreak/>
        <w:t xml:space="preserve">Table </w:t>
      </w:r>
      <w:r w:rsidR="00A64FC5" w:rsidRPr="008E401A">
        <w:rPr>
          <w:sz w:val="20"/>
          <w:szCs w:val="20"/>
        </w:rPr>
        <w:fldChar w:fldCharType="begin"/>
      </w:r>
      <w:r w:rsidR="00A64FC5" w:rsidRPr="008E401A">
        <w:rPr>
          <w:sz w:val="20"/>
          <w:szCs w:val="20"/>
        </w:rPr>
        <w:instrText xml:space="preserve"> SEQ Table \* ARABIC </w:instrText>
      </w:r>
      <w:r w:rsidR="00A64FC5" w:rsidRPr="008E401A">
        <w:rPr>
          <w:sz w:val="20"/>
          <w:szCs w:val="20"/>
        </w:rPr>
        <w:fldChar w:fldCharType="separate"/>
      </w:r>
      <w:r w:rsidR="00296988">
        <w:rPr>
          <w:noProof/>
          <w:sz w:val="20"/>
          <w:szCs w:val="20"/>
        </w:rPr>
        <w:t>30</w:t>
      </w:r>
      <w:r w:rsidR="00A64FC5" w:rsidRPr="008E401A">
        <w:rPr>
          <w:noProof/>
          <w:sz w:val="20"/>
          <w:szCs w:val="20"/>
        </w:rPr>
        <w:fldChar w:fldCharType="end"/>
      </w:r>
      <w:bookmarkEnd w:id="455"/>
      <w:bookmarkEnd w:id="456"/>
      <w:r w:rsidRPr="008E401A">
        <w:rPr>
          <w:sz w:val="20"/>
          <w:szCs w:val="20"/>
        </w:rPr>
        <w:tab/>
        <w:t>Small babies among births at or after 40 weeks</w:t>
      </w:r>
      <w:r w:rsidR="008E401A">
        <w:rPr>
          <w:sz w:val="20"/>
          <w:szCs w:val="20"/>
        </w:rPr>
        <w:t>’</w:t>
      </w:r>
      <w:r w:rsidRPr="008E401A">
        <w:rPr>
          <w:sz w:val="20"/>
          <w:szCs w:val="20"/>
        </w:rPr>
        <w:t xml:space="preserve"> gestation (PI10), 2011–2019</w:t>
      </w:r>
      <w:bookmarkEnd w:id="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753"/>
        <w:gridCol w:w="753"/>
        <w:gridCol w:w="753"/>
        <w:gridCol w:w="753"/>
        <w:gridCol w:w="753"/>
        <w:gridCol w:w="753"/>
        <w:gridCol w:w="753"/>
        <w:gridCol w:w="753"/>
        <w:gridCol w:w="759"/>
      </w:tblGrid>
      <w:tr w:rsidR="00AF0ADF" w:rsidRPr="005E1E68" w14:paraId="32D57248" w14:textId="77777777" w:rsidTr="00B94D3E">
        <w:trPr>
          <w:trHeight w:val="228"/>
        </w:trPr>
        <w:tc>
          <w:tcPr>
            <w:tcW w:w="1559" w:type="pct"/>
            <w:shd w:val="clear" w:color="auto" w:fill="auto"/>
            <w:noWrap/>
          </w:tcPr>
          <w:p w14:paraId="301EF904" w14:textId="77777777" w:rsidR="00AF0ADF" w:rsidRPr="005E1E68" w:rsidRDefault="00AF0ADF" w:rsidP="00AF0ADF">
            <w:pPr>
              <w:rPr>
                <w:rFonts w:cstheme="minorHAnsi"/>
                <w:b/>
                <w:bCs/>
                <w:color w:val="000000"/>
                <w:sz w:val="20"/>
                <w:szCs w:val="20"/>
              </w:rPr>
            </w:pPr>
          </w:p>
        </w:tc>
        <w:tc>
          <w:tcPr>
            <w:tcW w:w="382" w:type="pct"/>
            <w:shd w:val="clear" w:color="auto" w:fill="auto"/>
            <w:noWrap/>
            <w:vAlign w:val="center"/>
            <w:hideMark/>
          </w:tcPr>
          <w:p w14:paraId="2F43D304"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2011</w:t>
            </w:r>
          </w:p>
        </w:tc>
        <w:tc>
          <w:tcPr>
            <w:tcW w:w="382" w:type="pct"/>
            <w:shd w:val="clear" w:color="auto" w:fill="auto"/>
            <w:noWrap/>
            <w:vAlign w:val="center"/>
            <w:hideMark/>
          </w:tcPr>
          <w:p w14:paraId="5802FBA5"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2012</w:t>
            </w:r>
          </w:p>
        </w:tc>
        <w:tc>
          <w:tcPr>
            <w:tcW w:w="382" w:type="pct"/>
            <w:shd w:val="clear" w:color="auto" w:fill="auto"/>
            <w:noWrap/>
            <w:vAlign w:val="center"/>
            <w:hideMark/>
          </w:tcPr>
          <w:p w14:paraId="057CD5D1"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2013</w:t>
            </w:r>
          </w:p>
        </w:tc>
        <w:tc>
          <w:tcPr>
            <w:tcW w:w="382" w:type="pct"/>
            <w:shd w:val="clear" w:color="auto" w:fill="auto"/>
            <w:noWrap/>
            <w:vAlign w:val="center"/>
            <w:hideMark/>
          </w:tcPr>
          <w:p w14:paraId="2123637B"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2014</w:t>
            </w:r>
          </w:p>
        </w:tc>
        <w:tc>
          <w:tcPr>
            <w:tcW w:w="382" w:type="pct"/>
            <w:shd w:val="clear" w:color="auto" w:fill="auto"/>
            <w:noWrap/>
            <w:vAlign w:val="center"/>
            <w:hideMark/>
          </w:tcPr>
          <w:p w14:paraId="65AC3422"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2015</w:t>
            </w:r>
          </w:p>
        </w:tc>
        <w:tc>
          <w:tcPr>
            <w:tcW w:w="382" w:type="pct"/>
            <w:shd w:val="clear" w:color="auto" w:fill="auto"/>
            <w:noWrap/>
            <w:vAlign w:val="center"/>
            <w:hideMark/>
          </w:tcPr>
          <w:p w14:paraId="1A58DD03"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2016</w:t>
            </w:r>
          </w:p>
        </w:tc>
        <w:tc>
          <w:tcPr>
            <w:tcW w:w="382" w:type="pct"/>
            <w:shd w:val="clear" w:color="auto" w:fill="auto"/>
            <w:noWrap/>
            <w:vAlign w:val="center"/>
            <w:hideMark/>
          </w:tcPr>
          <w:p w14:paraId="5E237BB4"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2017</w:t>
            </w:r>
          </w:p>
        </w:tc>
        <w:tc>
          <w:tcPr>
            <w:tcW w:w="382" w:type="pct"/>
            <w:shd w:val="clear" w:color="auto" w:fill="auto"/>
            <w:noWrap/>
            <w:vAlign w:val="center"/>
            <w:hideMark/>
          </w:tcPr>
          <w:p w14:paraId="124D8A66"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2018</w:t>
            </w:r>
          </w:p>
        </w:tc>
        <w:tc>
          <w:tcPr>
            <w:tcW w:w="385" w:type="pct"/>
            <w:shd w:val="clear" w:color="auto" w:fill="auto"/>
            <w:noWrap/>
            <w:vAlign w:val="center"/>
            <w:hideMark/>
          </w:tcPr>
          <w:p w14:paraId="43C33502" w14:textId="77777777" w:rsidR="00AF0ADF" w:rsidRPr="005E1E68" w:rsidRDefault="00AF0ADF" w:rsidP="00B94D3E">
            <w:pPr>
              <w:jc w:val="center"/>
              <w:rPr>
                <w:rFonts w:cstheme="minorHAnsi"/>
                <w:b/>
                <w:bCs/>
                <w:color w:val="000000"/>
                <w:sz w:val="20"/>
                <w:szCs w:val="20"/>
              </w:rPr>
            </w:pPr>
            <w:r w:rsidRPr="005E1E68">
              <w:rPr>
                <w:rFonts w:cstheme="minorHAnsi"/>
                <w:b/>
                <w:bCs/>
                <w:color w:val="000000"/>
                <w:sz w:val="20"/>
                <w:szCs w:val="20"/>
              </w:rPr>
              <w:t>2019</w:t>
            </w:r>
          </w:p>
        </w:tc>
      </w:tr>
      <w:tr w:rsidR="00AF0ADF" w:rsidRPr="005E1E68" w14:paraId="0D65566E" w14:textId="77777777" w:rsidTr="00AF0ADF">
        <w:trPr>
          <w:trHeight w:val="228"/>
        </w:trPr>
        <w:tc>
          <w:tcPr>
            <w:tcW w:w="1559" w:type="pct"/>
            <w:shd w:val="clear" w:color="auto" w:fill="auto"/>
            <w:noWrap/>
          </w:tcPr>
          <w:p w14:paraId="418E04DB" w14:textId="77777777" w:rsidR="00AF0ADF" w:rsidRPr="005E1E68" w:rsidRDefault="00AF0ADF" w:rsidP="00AF0ADF">
            <w:pPr>
              <w:rPr>
                <w:rFonts w:cstheme="minorHAnsi"/>
                <w:b/>
                <w:bCs/>
                <w:color w:val="000000"/>
                <w:sz w:val="20"/>
                <w:szCs w:val="20"/>
              </w:rPr>
            </w:pPr>
          </w:p>
        </w:tc>
        <w:tc>
          <w:tcPr>
            <w:tcW w:w="3441" w:type="pct"/>
            <w:gridSpan w:val="9"/>
            <w:shd w:val="clear" w:color="auto" w:fill="auto"/>
            <w:noWrap/>
          </w:tcPr>
          <w:p w14:paraId="005D1117" w14:textId="77777777" w:rsidR="00AF0ADF" w:rsidRPr="005E1E68" w:rsidRDefault="00AF0ADF" w:rsidP="00AF0ADF">
            <w:pPr>
              <w:jc w:val="center"/>
              <w:rPr>
                <w:rFonts w:cstheme="minorHAnsi"/>
                <w:b/>
                <w:bCs/>
                <w:color w:val="000000"/>
                <w:sz w:val="20"/>
                <w:szCs w:val="20"/>
              </w:rPr>
            </w:pPr>
            <w:r w:rsidRPr="005E1E68">
              <w:rPr>
                <w:rFonts w:cstheme="minorHAnsi"/>
                <w:b/>
                <w:bCs/>
                <w:sz w:val="20"/>
                <w:szCs w:val="20"/>
              </w:rPr>
              <w:t>In per cent (%)</w:t>
            </w:r>
          </w:p>
        </w:tc>
      </w:tr>
      <w:tr w:rsidR="00AF0ADF" w:rsidRPr="005E1E68" w14:paraId="4BA8C03B" w14:textId="77777777" w:rsidTr="00AF0ADF">
        <w:trPr>
          <w:trHeight w:val="228"/>
        </w:trPr>
        <w:tc>
          <w:tcPr>
            <w:tcW w:w="5000" w:type="pct"/>
            <w:gridSpan w:val="10"/>
            <w:shd w:val="clear" w:color="auto" w:fill="auto"/>
            <w:noWrap/>
            <w:hideMark/>
          </w:tcPr>
          <w:p w14:paraId="03B180D9" w14:textId="77777777" w:rsidR="00AF0ADF" w:rsidRPr="005E1E68" w:rsidRDefault="00AF0ADF" w:rsidP="00AF0ADF">
            <w:pPr>
              <w:rPr>
                <w:rFonts w:cstheme="minorHAnsi"/>
                <w:sz w:val="20"/>
                <w:szCs w:val="20"/>
              </w:rPr>
            </w:pPr>
            <w:r w:rsidRPr="005E1E68">
              <w:rPr>
                <w:rFonts w:cstheme="minorHAnsi"/>
                <w:b/>
                <w:bCs/>
                <w:color w:val="000000"/>
                <w:sz w:val="20"/>
                <w:szCs w:val="20"/>
              </w:rPr>
              <w:t>Australia</w:t>
            </w:r>
          </w:p>
        </w:tc>
      </w:tr>
      <w:tr w:rsidR="00AF0ADF" w:rsidRPr="005E1E68" w14:paraId="7CDA48D1" w14:textId="77777777" w:rsidTr="00AF0ADF">
        <w:trPr>
          <w:trHeight w:val="228"/>
        </w:trPr>
        <w:tc>
          <w:tcPr>
            <w:tcW w:w="1559" w:type="pct"/>
            <w:shd w:val="clear" w:color="auto" w:fill="auto"/>
            <w:noWrap/>
            <w:hideMark/>
          </w:tcPr>
          <w:p w14:paraId="23E37AB2"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Total</w:t>
            </w:r>
          </w:p>
        </w:tc>
        <w:tc>
          <w:tcPr>
            <w:tcW w:w="382" w:type="pct"/>
            <w:shd w:val="clear" w:color="auto" w:fill="auto"/>
            <w:noWrap/>
            <w:hideMark/>
          </w:tcPr>
          <w:p w14:paraId="68E6D3D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7A5A668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791D21E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6DABD19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7395AE1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5044361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63DB0D4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659A4F16"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5" w:type="pct"/>
            <w:shd w:val="clear" w:color="auto" w:fill="auto"/>
            <w:noWrap/>
            <w:hideMark/>
          </w:tcPr>
          <w:p w14:paraId="6BD8F27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r>
      <w:tr w:rsidR="00AF0ADF" w:rsidRPr="005E1E68" w14:paraId="7652052E" w14:textId="77777777" w:rsidTr="00AF0ADF">
        <w:trPr>
          <w:trHeight w:val="228"/>
        </w:trPr>
        <w:tc>
          <w:tcPr>
            <w:tcW w:w="5000" w:type="pct"/>
            <w:gridSpan w:val="10"/>
            <w:shd w:val="clear" w:color="auto" w:fill="auto"/>
            <w:noWrap/>
            <w:hideMark/>
          </w:tcPr>
          <w:p w14:paraId="5D2883B8" w14:textId="77777777" w:rsidR="00AF0ADF" w:rsidRPr="005E1E68" w:rsidRDefault="00AF0ADF" w:rsidP="00AF0ADF">
            <w:pPr>
              <w:rPr>
                <w:rFonts w:cstheme="minorHAnsi"/>
                <w:sz w:val="20"/>
                <w:szCs w:val="20"/>
              </w:rPr>
            </w:pPr>
            <w:r w:rsidRPr="005E1E68">
              <w:rPr>
                <w:rFonts w:cstheme="minorHAnsi"/>
                <w:b/>
                <w:bCs/>
                <w:color w:val="000000"/>
                <w:sz w:val="20"/>
                <w:szCs w:val="20"/>
              </w:rPr>
              <w:t>Mother's age at birth</w:t>
            </w:r>
          </w:p>
        </w:tc>
      </w:tr>
      <w:tr w:rsidR="00AF0ADF" w:rsidRPr="005E1E68" w14:paraId="62155C03" w14:textId="77777777" w:rsidTr="00AF0ADF">
        <w:trPr>
          <w:trHeight w:val="228"/>
        </w:trPr>
        <w:tc>
          <w:tcPr>
            <w:tcW w:w="1559" w:type="pct"/>
            <w:shd w:val="clear" w:color="auto" w:fill="auto"/>
            <w:noWrap/>
            <w:hideMark/>
          </w:tcPr>
          <w:p w14:paraId="439D9FA9"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Younger than 20</w:t>
            </w:r>
          </w:p>
        </w:tc>
        <w:tc>
          <w:tcPr>
            <w:tcW w:w="382" w:type="pct"/>
            <w:shd w:val="clear" w:color="auto" w:fill="auto"/>
            <w:noWrap/>
            <w:hideMark/>
          </w:tcPr>
          <w:p w14:paraId="1102EA3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2.5</w:t>
            </w:r>
          </w:p>
        </w:tc>
        <w:tc>
          <w:tcPr>
            <w:tcW w:w="382" w:type="pct"/>
            <w:shd w:val="clear" w:color="auto" w:fill="auto"/>
            <w:noWrap/>
            <w:hideMark/>
          </w:tcPr>
          <w:p w14:paraId="37E109D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2.0</w:t>
            </w:r>
          </w:p>
        </w:tc>
        <w:tc>
          <w:tcPr>
            <w:tcW w:w="382" w:type="pct"/>
            <w:shd w:val="clear" w:color="auto" w:fill="auto"/>
            <w:noWrap/>
            <w:hideMark/>
          </w:tcPr>
          <w:p w14:paraId="4F4260B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2.2</w:t>
            </w:r>
          </w:p>
        </w:tc>
        <w:tc>
          <w:tcPr>
            <w:tcW w:w="382" w:type="pct"/>
            <w:shd w:val="clear" w:color="auto" w:fill="auto"/>
            <w:noWrap/>
            <w:hideMark/>
          </w:tcPr>
          <w:p w14:paraId="4085BC8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2.0</w:t>
            </w:r>
          </w:p>
        </w:tc>
        <w:tc>
          <w:tcPr>
            <w:tcW w:w="382" w:type="pct"/>
            <w:shd w:val="clear" w:color="auto" w:fill="auto"/>
            <w:noWrap/>
            <w:hideMark/>
          </w:tcPr>
          <w:p w14:paraId="659F4629"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2A53840A"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60FD31B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6C6A5C7A"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5" w:type="pct"/>
            <w:shd w:val="clear" w:color="auto" w:fill="auto"/>
            <w:noWrap/>
            <w:hideMark/>
          </w:tcPr>
          <w:p w14:paraId="476AAA55"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r>
      <w:tr w:rsidR="00AF0ADF" w:rsidRPr="005E1E68" w14:paraId="62A587A5" w14:textId="77777777" w:rsidTr="00AF0ADF">
        <w:trPr>
          <w:trHeight w:val="228"/>
        </w:trPr>
        <w:tc>
          <w:tcPr>
            <w:tcW w:w="1559" w:type="pct"/>
            <w:shd w:val="clear" w:color="auto" w:fill="auto"/>
            <w:noWrap/>
            <w:hideMark/>
          </w:tcPr>
          <w:p w14:paraId="6877D6D3"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20-24</w:t>
            </w:r>
          </w:p>
        </w:tc>
        <w:tc>
          <w:tcPr>
            <w:tcW w:w="382" w:type="pct"/>
            <w:shd w:val="clear" w:color="auto" w:fill="auto"/>
            <w:noWrap/>
            <w:hideMark/>
          </w:tcPr>
          <w:p w14:paraId="5879408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2.0</w:t>
            </w:r>
          </w:p>
        </w:tc>
        <w:tc>
          <w:tcPr>
            <w:tcW w:w="382" w:type="pct"/>
            <w:shd w:val="clear" w:color="auto" w:fill="auto"/>
            <w:noWrap/>
            <w:hideMark/>
          </w:tcPr>
          <w:p w14:paraId="3EAD801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1.9</w:t>
            </w:r>
          </w:p>
        </w:tc>
        <w:tc>
          <w:tcPr>
            <w:tcW w:w="382" w:type="pct"/>
            <w:shd w:val="clear" w:color="auto" w:fill="auto"/>
            <w:noWrap/>
            <w:hideMark/>
          </w:tcPr>
          <w:p w14:paraId="2118C92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4EE9B73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7727390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36C2F51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70424F3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3AE70B70"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5" w:type="pct"/>
            <w:shd w:val="clear" w:color="auto" w:fill="auto"/>
            <w:noWrap/>
            <w:hideMark/>
          </w:tcPr>
          <w:p w14:paraId="4CAEA2BA"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r>
      <w:tr w:rsidR="00AF0ADF" w:rsidRPr="005E1E68" w14:paraId="05560701" w14:textId="77777777" w:rsidTr="00AF0ADF">
        <w:trPr>
          <w:trHeight w:val="228"/>
        </w:trPr>
        <w:tc>
          <w:tcPr>
            <w:tcW w:w="1559" w:type="pct"/>
            <w:shd w:val="clear" w:color="auto" w:fill="auto"/>
            <w:noWrap/>
            <w:hideMark/>
          </w:tcPr>
          <w:p w14:paraId="0351A920"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25-29</w:t>
            </w:r>
          </w:p>
        </w:tc>
        <w:tc>
          <w:tcPr>
            <w:tcW w:w="382" w:type="pct"/>
            <w:shd w:val="clear" w:color="auto" w:fill="auto"/>
            <w:noWrap/>
            <w:hideMark/>
          </w:tcPr>
          <w:p w14:paraId="6ED1DE7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0450F4D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30CCE87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3FFFF93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5A07E1A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7B69CD56"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24F7697C"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42967CA9"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5" w:type="pct"/>
            <w:shd w:val="clear" w:color="auto" w:fill="auto"/>
            <w:noWrap/>
            <w:hideMark/>
          </w:tcPr>
          <w:p w14:paraId="2239253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r>
      <w:tr w:rsidR="00AF0ADF" w:rsidRPr="005E1E68" w14:paraId="633C63DF" w14:textId="77777777" w:rsidTr="00AF0ADF">
        <w:trPr>
          <w:trHeight w:val="228"/>
        </w:trPr>
        <w:tc>
          <w:tcPr>
            <w:tcW w:w="1559" w:type="pct"/>
            <w:shd w:val="clear" w:color="auto" w:fill="auto"/>
            <w:noWrap/>
            <w:hideMark/>
          </w:tcPr>
          <w:p w14:paraId="5057582D"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30-34</w:t>
            </w:r>
          </w:p>
        </w:tc>
        <w:tc>
          <w:tcPr>
            <w:tcW w:w="382" w:type="pct"/>
            <w:shd w:val="clear" w:color="auto" w:fill="auto"/>
            <w:noWrap/>
            <w:hideMark/>
          </w:tcPr>
          <w:p w14:paraId="41DE93A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12D28D2A"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327E398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2F71F5D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41F208DC"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7D4AB72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3660A40A"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3481E3E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5" w:type="pct"/>
            <w:shd w:val="clear" w:color="auto" w:fill="auto"/>
            <w:noWrap/>
            <w:hideMark/>
          </w:tcPr>
          <w:p w14:paraId="76101D2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r>
      <w:tr w:rsidR="00AF0ADF" w:rsidRPr="005E1E68" w14:paraId="406DBCAA" w14:textId="77777777" w:rsidTr="00AF0ADF">
        <w:trPr>
          <w:trHeight w:val="228"/>
        </w:trPr>
        <w:tc>
          <w:tcPr>
            <w:tcW w:w="1559" w:type="pct"/>
            <w:shd w:val="clear" w:color="auto" w:fill="auto"/>
            <w:noWrap/>
            <w:hideMark/>
          </w:tcPr>
          <w:p w14:paraId="1ED04D16"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35-39</w:t>
            </w:r>
          </w:p>
        </w:tc>
        <w:tc>
          <w:tcPr>
            <w:tcW w:w="382" w:type="pct"/>
            <w:shd w:val="clear" w:color="auto" w:fill="auto"/>
            <w:noWrap/>
            <w:hideMark/>
          </w:tcPr>
          <w:p w14:paraId="382A0E1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406C9FE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223EC57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5D2B608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6423924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43B0A40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6A92B89A"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19C0CE07"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5" w:type="pct"/>
            <w:shd w:val="clear" w:color="auto" w:fill="auto"/>
            <w:noWrap/>
            <w:hideMark/>
          </w:tcPr>
          <w:p w14:paraId="14ACB37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r>
      <w:tr w:rsidR="00AF0ADF" w:rsidRPr="005E1E68" w14:paraId="49264DF2" w14:textId="77777777" w:rsidTr="00AF0ADF">
        <w:trPr>
          <w:trHeight w:val="228"/>
        </w:trPr>
        <w:tc>
          <w:tcPr>
            <w:tcW w:w="1559" w:type="pct"/>
            <w:shd w:val="clear" w:color="auto" w:fill="auto"/>
            <w:noWrap/>
            <w:hideMark/>
          </w:tcPr>
          <w:p w14:paraId="4CEB96D4"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40 and over</w:t>
            </w:r>
          </w:p>
        </w:tc>
        <w:tc>
          <w:tcPr>
            <w:tcW w:w="382" w:type="pct"/>
            <w:shd w:val="clear" w:color="auto" w:fill="auto"/>
            <w:noWrap/>
            <w:hideMark/>
          </w:tcPr>
          <w:p w14:paraId="0506316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2.2</w:t>
            </w:r>
          </w:p>
        </w:tc>
        <w:tc>
          <w:tcPr>
            <w:tcW w:w="382" w:type="pct"/>
            <w:shd w:val="clear" w:color="auto" w:fill="auto"/>
            <w:noWrap/>
            <w:hideMark/>
          </w:tcPr>
          <w:p w14:paraId="59A16BC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20B139D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4A05BB6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58F47D9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36831C1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5EDA73F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7D9F354C"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5" w:type="pct"/>
            <w:shd w:val="clear" w:color="auto" w:fill="auto"/>
            <w:noWrap/>
            <w:hideMark/>
          </w:tcPr>
          <w:p w14:paraId="5FCCA6C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r>
      <w:tr w:rsidR="00AF0ADF" w:rsidRPr="005E1E68" w14:paraId="716582D3" w14:textId="77777777" w:rsidTr="00AF0ADF">
        <w:trPr>
          <w:trHeight w:val="228"/>
        </w:trPr>
        <w:tc>
          <w:tcPr>
            <w:tcW w:w="5000" w:type="pct"/>
            <w:gridSpan w:val="10"/>
            <w:shd w:val="clear" w:color="auto" w:fill="auto"/>
            <w:noWrap/>
            <w:hideMark/>
          </w:tcPr>
          <w:p w14:paraId="5D892536" w14:textId="0D172515" w:rsidR="00AF0ADF" w:rsidRPr="005E1E68" w:rsidRDefault="00AF0ADF" w:rsidP="00AF0ADF">
            <w:pPr>
              <w:rPr>
                <w:rFonts w:cstheme="minorHAnsi"/>
                <w:sz w:val="20"/>
                <w:szCs w:val="20"/>
              </w:rPr>
            </w:pPr>
            <w:r w:rsidRPr="005E1E68">
              <w:rPr>
                <w:rFonts w:cstheme="minorHAnsi"/>
                <w:b/>
                <w:bCs/>
                <w:color w:val="000000"/>
                <w:sz w:val="20"/>
                <w:szCs w:val="20"/>
              </w:rPr>
              <w:t xml:space="preserve">Mother's </w:t>
            </w:r>
            <w:r w:rsidR="00FB0C38">
              <w:rPr>
                <w:rFonts w:cstheme="minorHAnsi"/>
                <w:b/>
                <w:bCs/>
                <w:color w:val="000000"/>
                <w:sz w:val="20"/>
                <w:szCs w:val="20"/>
              </w:rPr>
              <w:t>Indig</w:t>
            </w:r>
            <w:r w:rsidRPr="005E1E68">
              <w:rPr>
                <w:rFonts w:cstheme="minorHAnsi"/>
                <w:b/>
                <w:bCs/>
                <w:color w:val="000000"/>
                <w:sz w:val="20"/>
                <w:szCs w:val="20"/>
              </w:rPr>
              <w:t>enous status</w:t>
            </w:r>
          </w:p>
        </w:tc>
      </w:tr>
      <w:tr w:rsidR="00AF0ADF" w:rsidRPr="005E1E68" w14:paraId="1F54FF6E" w14:textId="77777777" w:rsidTr="00AF0ADF">
        <w:trPr>
          <w:trHeight w:val="228"/>
        </w:trPr>
        <w:tc>
          <w:tcPr>
            <w:tcW w:w="1559" w:type="pct"/>
            <w:shd w:val="clear" w:color="auto" w:fill="auto"/>
            <w:noWrap/>
            <w:hideMark/>
          </w:tcPr>
          <w:p w14:paraId="5E58BC4E"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Indigenous</w:t>
            </w:r>
          </w:p>
        </w:tc>
        <w:tc>
          <w:tcPr>
            <w:tcW w:w="382" w:type="pct"/>
            <w:shd w:val="clear" w:color="auto" w:fill="auto"/>
            <w:noWrap/>
            <w:hideMark/>
          </w:tcPr>
          <w:p w14:paraId="0D3CECA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3.4</w:t>
            </w:r>
          </w:p>
        </w:tc>
        <w:tc>
          <w:tcPr>
            <w:tcW w:w="382" w:type="pct"/>
            <w:shd w:val="clear" w:color="auto" w:fill="auto"/>
            <w:noWrap/>
            <w:hideMark/>
          </w:tcPr>
          <w:p w14:paraId="754FA73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3.5</w:t>
            </w:r>
          </w:p>
        </w:tc>
        <w:tc>
          <w:tcPr>
            <w:tcW w:w="382" w:type="pct"/>
            <w:shd w:val="clear" w:color="auto" w:fill="auto"/>
            <w:noWrap/>
            <w:hideMark/>
          </w:tcPr>
          <w:p w14:paraId="0BCF0669"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3.0</w:t>
            </w:r>
          </w:p>
        </w:tc>
        <w:tc>
          <w:tcPr>
            <w:tcW w:w="382" w:type="pct"/>
            <w:shd w:val="clear" w:color="auto" w:fill="auto"/>
            <w:noWrap/>
            <w:hideMark/>
          </w:tcPr>
          <w:p w14:paraId="20358F6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3.1</w:t>
            </w:r>
          </w:p>
        </w:tc>
        <w:tc>
          <w:tcPr>
            <w:tcW w:w="382" w:type="pct"/>
            <w:shd w:val="clear" w:color="auto" w:fill="auto"/>
            <w:noWrap/>
            <w:hideMark/>
          </w:tcPr>
          <w:p w14:paraId="41CA870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3.6</w:t>
            </w:r>
          </w:p>
        </w:tc>
        <w:tc>
          <w:tcPr>
            <w:tcW w:w="382" w:type="pct"/>
            <w:shd w:val="clear" w:color="auto" w:fill="auto"/>
            <w:noWrap/>
            <w:hideMark/>
          </w:tcPr>
          <w:p w14:paraId="11AA1A7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2.4</w:t>
            </w:r>
          </w:p>
        </w:tc>
        <w:tc>
          <w:tcPr>
            <w:tcW w:w="382" w:type="pct"/>
            <w:shd w:val="clear" w:color="auto" w:fill="auto"/>
            <w:noWrap/>
            <w:hideMark/>
          </w:tcPr>
          <w:p w14:paraId="45C7012E"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2.3</w:t>
            </w:r>
          </w:p>
        </w:tc>
        <w:tc>
          <w:tcPr>
            <w:tcW w:w="382" w:type="pct"/>
            <w:shd w:val="clear" w:color="auto" w:fill="auto"/>
            <w:noWrap/>
            <w:hideMark/>
          </w:tcPr>
          <w:p w14:paraId="7E851E65"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2.7</w:t>
            </w:r>
          </w:p>
        </w:tc>
        <w:tc>
          <w:tcPr>
            <w:tcW w:w="385" w:type="pct"/>
            <w:shd w:val="clear" w:color="auto" w:fill="auto"/>
            <w:noWrap/>
            <w:hideMark/>
          </w:tcPr>
          <w:p w14:paraId="53EBFCF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r>
      <w:tr w:rsidR="00AF0ADF" w:rsidRPr="005E1E68" w14:paraId="1A6E1611" w14:textId="77777777" w:rsidTr="00AF0ADF">
        <w:trPr>
          <w:trHeight w:val="228"/>
        </w:trPr>
        <w:tc>
          <w:tcPr>
            <w:tcW w:w="1559" w:type="pct"/>
            <w:shd w:val="clear" w:color="auto" w:fill="auto"/>
            <w:noWrap/>
            <w:hideMark/>
          </w:tcPr>
          <w:p w14:paraId="1AD7D510"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Non-Indigenous</w:t>
            </w:r>
          </w:p>
        </w:tc>
        <w:tc>
          <w:tcPr>
            <w:tcW w:w="382" w:type="pct"/>
            <w:shd w:val="clear" w:color="auto" w:fill="auto"/>
            <w:noWrap/>
            <w:hideMark/>
          </w:tcPr>
          <w:p w14:paraId="65157FD5"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04D5F0F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1E8ACEE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4E2F9E0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13CF2C6C"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0DE7DA9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12B9A4E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76F807C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5" w:type="pct"/>
            <w:shd w:val="clear" w:color="auto" w:fill="auto"/>
            <w:noWrap/>
            <w:hideMark/>
          </w:tcPr>
          <w:p w14:paraId="244F8A0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r>
      <w:tr w:rsidR="00AF0ADF" w:rsidRPr="005E1E68" w14:paraId="25CAC96B" w14:textId="77777777" w:rsidTr="00AF0ADF">
        <w:trPr>
          <w:trHeight w:val="228"/>
        </w:trPr>
        <w:tc>
          <w:tcPr>
            <w:tcW w:w="5000" w:type="pct"/>
            <w:gridSpan w:val="10"/>
            <w:shd w:val="clear" w:color="auto" w:fill="auto"/>
            <w:noWrap/>
            <w:hideMark/>
          </w:tcPr>
          <w:p w14:paraId="0C514B84" w14:textId="77777777" w:rsidR="00AF0ADF" w:rsidRPr="005E1E68" w:rsidRDefault="00AF0ADF" w:rsidP="00AF0ADF">
            <w:pPr>
              <w:rPr>
                <w:rFonts w:cstheme="minorHAnsi"/>
                <w:sz w:val="20"/>
                <w:szCs w:val="20"/>
              </w:rPr>
            </w:pPr>
            <w:r w:rsidRPr="005E1E68">
              <w:rPr>
                <w:rFonts w:cstheme="minorHAnsi"/>
                <w:b/>
                <w:bCs/>
                <w:color w:val="000000"/>
                <w:sz w:val="20"/>
                <w:szCs w:val="20"/>
              </w:rPr>
              <w:t>Remoteness of mother's usual residence</w:t>
            </w:r>
          </w:p>
        </w:tc>
      </w:tr>
      <w:tr w:rsidR="00B80113" w:rsidRPr="005E1E68" w14:paraId="735BF4CB" w14:textId="77777777" w:rsidTr="00AF0ADF">
        <w:trPr>
          <w:trHeight w:val="228"/>
        </w:trPr>
        <w:tc>
          <w:tcPr>
            <w:tcW w:w="1559" w:type="pct"/>
            <w:shd w:val="clear" w:color="auto" w:fill="auto"/>
            <w:noWrap/>
            <w:hideMark/>
          </w:tcPr>
          <w:p w14:paraId="6F9DC5C4"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Major cities</w:t>
            </w:r>
          </w:p>
        </w:tc>
        <w:tc>
          <w:tcPr>
            <w:tcW w:w="382" w:type="pct"/>
            <w:shd w:val="clear" w:color="auto" w:fill="auto"/>
            <w:noWrap/>
            <w:hideMark/>
          </w:tcPr>
          <w:p w14:paraId="12B8DD60" w14:textId="601927DF" w:rsidR="00B80113" w:rsidRPr="005E1E68" w:rsidRDefault="00B80113" w:rsidP="00B80113">
            <w:pPr>
              <w:ind w:firstLineChars="100" w:firstLine="200"/>
              <w:rPr>
                <w:rFonts w:cstheme="minorHAnsi"/>
                <w:color w:val="000000"/>
                <w:sz w:val="20"/>
                <w:szCs w:val="20"/>
              </w:rPr>
            </w:pPr>
            <w:r w:rsidRPr="00C33EEF">
              <w:rPr>
                <w:rFonts w:cstheme="minorHAnsi"/>
                <w:color w:val="000000"/>
                <w:sz w:val="20"/>
                <w:szCs w:val="20"/>
              </w:rPr>
              <w:t>n.a.</w:t>
            </w:r>
          </w:p>
        </w:tc>
        <w:tc>
          <w:tcPr>
            <w:tcW w:w="382" w:type="pct"/>
            <w:shd w:val="clear" w:color="auto" w:fill="auto"/>
            <w:noWrap/>
            <w:hideMark/>
          </w:tcPr>
          <w:p w14:paraId="59117860"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0E43E62D"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5DE20405"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42C10C15"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02F95A6C"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330E9E14"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52D32BA0"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5" w:type="pct"/>
            <w:shd w:val="clear" w:color="auto" w:fill="auto"/>
            <w:noWrap/>
            <w:hideMark/>
          </w:tcPr>
          <w:p w14:paraId="0A3D791D"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r>
      <w:tr w:rsidR="00B80113" w:rsidRPr="005E1E68" w14:paraId="4F942734" w14:textId="77777777" w:rsidTr="00AF0ADF">
        <w:trPr>
          <w:trHeight w:val="228"/>
        </w:trPr>
        <w:tc>
          <w:tcPr>
            <w:tcW w:w="1559" w:type="pct"/>
            <w:shd w:val="clear" w:color="auto" w:fill="auto"/>
            <w:noWrap/>
            <w:hideMark/>
          </w:tcPr>
          <w:p w14:paraId="29CB16D8"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Inner regional</w:t>
            </w:r>
          </w:p>
        </w:tc>
        <w:tc>
          <w:tcPr>
            <w:tcW w:w="382" w:type="pct"/>
            <w:shd w:val="clear" w:color="auto" w:fill="auto"/>
            <w:noWrap/>
            <w:hideMark/>
          </w:tcPr>
          <w:p w14:paraId="6F382320" w14:textId="401B7698" w:rsidR="00B80113" w:rsidRPr="005E1E68" w:rsidRDefault="00B80113" w:rsidP="00B80113">
            <w:pPr>
              <w:ind w:firstLineChars="100" w:firstLine="200"/>
              <w:rPr>
                <w:rFonts w:cstheme="minorHAnsi"/>
                <w:color w:val="000000"/>
                <w:sz w:val="20"/>
                <w:szCs w:val="20"/>
              </w:rPr>
            </w:pPr>
            <w:r w:rsidRPr="00C33EEF">
              <w:rPr>
                <w:rFonts w:cstheme="minorHAnsi"/>
                <w:color w:val="000000"/>
                <w:sz w:val="20"/>
                <w:szCs w:val="20"/>
              </w:rPr>
              <w:t>n.a.</w:t>
            </w:r>
          </w:p>
        </w:tc>
        <w:tc>
          <w:tcPr>
            <w:tcW w:w="382" w:type="pct"/>
            <w:shd w:val="clear" w:color="auto" w:fill="auto"/>
            <w:noWrap/>
            <w:hideMark/>
          </w:tcPr>
          <w:p w14:paraId="57A8677A"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7296A00A"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17868EFB"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2027E3AA"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3555B83E"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3489E0F1"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1.0</w:t>
            </w:r>
          </w:p>
        </w:tc>
        <w:tc>
          <w:tcPr>
            <w:tcW w:w="382" w:type="pct"/>
            <w:shd w:val="clear" w:color="auto" w:fill="auto"/>
            <w:noWrap/>
            <w:hideMark/>
          </w:tcPr>
          <w:p w14:paraId="28873CCB"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1.0</w:t>
            </w:r>
          </w:p>
        </w:tc>
        <w:tc>
          <w:tcPr>
            <w:tcW w:w="385" w:type="pct"/>
            <w:shd w:val="clear" w:color="auto" w:fill="auto"/>
            <w:noWrap/>
            <w:hideMark/>
          </w:tcPr>
          <w:p w14:paraId="6733F6E9"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1.1</w:t>
            </w:r>
          </w:p>
        </w:tc>
      </w:tr>
      <w:tr w:rsidR="00B80113" w:rsidRPr="005E1E68" w14:paraId="7648F8BA" w14:textId="77777777" w:rsidTr="00AF0ADF">
        <w:trPr>
          <w:trHeight w:val="228"/>
        </w:trPr>
        <w:tc>
          <w:tcPr>
            <w:tcW w:w="1559" w:type="pct"/>
            <w:shd w:val="clear" w:color="auto" w:fill="auto"/>
            <w:noWrap/>
            <w:hideMark/>
          </w:tcPr>
          <w:p w14:paraId="01B0D893"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Outer regional</w:t>
            </w:r>
          </w:p>
        </w:tc>
        <w:tc>
          <w:tcPr>
            <w:tcW w:w="382" w:type="pct"/>
            <w:shd w:val="clear" w:color="auto" w:fill="auto"/>
            <w:noWrap/>
            <w:hideMark/>
          </w:tcPr>
          <w:p w14:paraId="78713B58" w14:textId="78A1843A" w:rsidR="00B80113" w:rsidRPr="005E1E68" w:rsidRDefault="00B80113" w:rsidP="00B80113">
            <w:pPr>
              <w:ind w:firstLineChars="100" w:firstLine="200"/>
              <w:rPr>
                <w:rFonts w:cstheme="minorHAnsi"/>
                <w:color w:val="000000"/>
                <w:sz w:val="20"/>
                <w:szCs w:val="20"/>
              </w:rPr>
            </w:pPr>
            <w:r w:rsidRPr="00C33EEF">
              <w:rPr>
                <w:rFonts w:cstheme="minorHAnsi"/>
                <w:color w:val="000000"/>
                <w:sz w:val="20"/>
                <w:szCs w:val="20"/>
              </w:rPr>
              <w:t>n.a.</w:t>
            </w:r>
          </w:p>
        </w:tc>
        <w:tc>
          <w:tcPr>
            <w:tcW w:w="382" w:type="pct"/>
            <w:shd w:val="clear" w:color="auto" w:fill="auto"/>
            <w:noWrap/>
            <w:hideMark/>
          </w:tcPr>
          <w:p w14:paraId="2AFE84CD"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01397130"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13B7E135"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10476C86"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1F1B0D7D"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6BE1241A"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3732D7AB"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5" w:type="pct"/>
            <w:shd w:val="clear" w:color="auto" w:fill="auto"/>
            <w:noWrap/>
            <w:hideMark/>
          </w:tcPr>
          <w:p w14:paraId="348891AA"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r>
      <w:tr w:rsidR="00B80113" w:rsidRPr="005E1E68" w14:paraId="23E1E9C4" w14:textId="77777777" w:rsidTr="00AF0ADF">
        <w:trPr>
          <w:trHeight w:val="228"/>
        </w:trPr>
        <w:tc>
          <w:tcPr>
            <w:tcW w:w="1559" w:type="pct"/>
            <w:shd w:val="clear" w:color="auto" w:fill="auto"/>
            <w:noWrap/>
            <w:hideMark/>
          </w:tcPr>
          <w:p w14:paraId="687AECD5"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Remote</w:t>
            </w:r>
          </w:p>
        </w:tc>
        <w:tc>
          <w:tcPr>
            <w:tcW w:w="382" w:type="pct"/>
            <w:shd w:val="clear" w:color="auto" w:fill="auto"/>
            <w:noWrap/>
            <w:hideMark/>
          </w:tcPr>
          <w:p w14:paraId="4EDC8B8F" w14:textId="675A8B32" w:rsidR="00B80113" w:rsidRPr="005E1E68" w:rsidRDefault="00B80113" w:rsidP="00B80113">
            <w:pPr>
              <w:ind w:firstLineChars="100" w:firstLine="200"/>
              <w:rPr>
                <w:rFonts w:cstheme="minorHAnsi"/>
                <w:color w:val="000000"/>
                <w:sz w:val="20"/>
                <w:szCs w:val="20"/>
              </w:rPr>
            </w:pPr>
            <w:r w:rsidRPr="00C33EEF">
              <w:rPr>
                <w:rFonts w:cstheme="minorHAnsi"/>
                <w:color w:val="000000"/>
                <w:sz w:val="20"/>
                <w:szCs w:val="20"/>
              </w:rPr>
              <w:t>n.a.</w:t>
            </w:r>
          </w:p>
        </w:tc>
        <w:tc>
          <w:tcPr>
            <w:tcW w:w="382" w:type="pct"/>
            <w:shd w:val="clear" w:color="auto" w:fill="auto"/>
            <w:noWrap/>
            <w:hideMark/>
          </w:tcPr>
          <w:p w14:paraId="7DE2C12A"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1.9</w:t>
            </w:r>
          </w:p>
        </w:tc>
        <w:tc>
          <w:tcPr>
            <w:tcW w:w="382" w:type="pct"/>
            <w:shd w:val="clear" w:color="auto" w:fill="auto"/>
            <w:noWrap/>
            <w:hideMark/>
          </w:tcPr>
          <w:p w14:paraId="7F196EC0"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0DBABDC1"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500E4E48"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4FDE10B3"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15337620"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72476DF5"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c>
          <w:tcPr>
            <w:tcW w:w="385" w:type="pct"/>
            <w:shd w:val="clear" w:color="auto" w:fill="auto"/>
            <w:noWrap/>
            <w:hideMark/>
          </w:tcPr>
          <w:p w14:paraId="39524305"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1.0</w:t>
            </w:r>
          </w:p>
        </w:tc>
      </w:tr>
      <w:tr w:rsidR="00B80113" w:rsidRPr="005E1E68" w14:paraId="3A245A72" w14:textId="77777777" w:rsidTr="00AF0ADF">
        <w:trPr>
          <w:trHeight w:val="228"/>
        </w:trPr>
        <w:tc>
          <w:tcPr>
            <w:tcW w:w="1559" w:type="pct"/>
            <w:shd w:val="clear" w:color="auto" w:fill="auto"/>
            <w:noWrap/>
            <w:hideMark/>
          </w:tcPr>
          <w:p w14:paraId="2CD1BA9A"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Very remote</w:t>
            </w:r>
          </w:p>
        </w:tc>
        <w:tc>
          <w:tcPr>
            <w:tcW w:w="382" w:type="pct"/>
            <w:shd w:val="clear" w:color="auto" w:fill="auto"/>
            <w:noWrap/>
            <w:hideMark/>
          </w:tcPr>
          <w:p w14:paraId="04F07AD8" w14:textId="179AED2F" w:rsidR="00B80113" w:rsidRPr="005E1E68" w:rsidRDefault="00B80113" w:rsidP="00B80113">
            <w:pPr>
              <w:ind w:firstLineChars="100" w:firstLine="200"/>
              <w:rPr>
                <w:rFonts w:cstheme="minorHAnsi"/>
                <w:color w:val="000000"/>
                <w:sz w:val="20"/>
                <w:szCs w:val="20"/>
              </w:rPr>
            </w:pPr>
            <w:r w:rsidRPr="00C33EEF">
              <w:rPr>
                <w:rFonts w:cstheme="minorHAnsi"/>
                <w:color w:val="000000"/>
                <w:sz w:val="20"/>
                <w:szCs w:val="20"/>
              </w:rPr>
              <w:t>n.a.</w:t>
            </w:r>
          </w:p>
        </w:tc>
        <w:tc>
          <w:tcPr>
            <w:tcW w:w="382" w:type="pct"/>
            <w:shd w:val="clear" w:color="auto" w:fill="auto"/>
            <w:noWrap/>
            <w:hideMark/>
          </w:tcPr>
          <w:p w14:paraId="18A55C3B"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3.3</w:t>
            </w:r>
          </w:p>
        </w:tc>
        <w:tc>
          <w:tcPr>
            <w:tcW w:w="382" w:type="pct"/>
            <w:shd w:val="clear" w:color="auto" w:fill="auto"/>
            <w:noWrap/>
            <w:hideMark/>
          </w:tcPr>
          <w:p w14:paraId="1ACFF9E9"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2.7</w:t>
            </w:r>
          </w:p>
        </w:tc>
        <w:tc>
          <w:tcPr>
            <w:tcW w:w="382" w:type="pct"/>
            <w:shd w:val="clear" w:color="auto" w:fill="auto"/>
            <w:noWrap/>
            <w:hideMark/>
          </w:tcPr>
          <w:p w14:paraId="37B31525"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2.3</w:t>
            </w:r>
          </w:p>
        </w:tc>
        <w:tc>
          <w:tcPr>
            <w:tcW w:w="382" w:type="pct"/>
            <w:shd w:val="clear" w:color="auto" w:fill="auto"/>
            <w:noWrap/>
            <w:hideMark/>
          </w:tcPr>
          <w:p w14:paraId="6C3EFA70"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3.0</w:t>
            </w:r>
          </w:p>
        </w:tc>
        <w:tc>
          <w:tcPr>
            <w:tcW w:w="382" w:type="pct"/>
            <w:shd w:val="clear" w:color="auto" w:fill="auto"/>
            <w:noWrap/>
            <w:hideMark/>
          </w:tcPr>
          <w:p w14:paraId="471A9E43"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2.1</w:t>
            </w:r>
          </w:p>
        </w:tc>
        <w:tc>
          <w:tcPr>
            <w:tcW w:w="382" w:type="pct"/>
            <w:shd w:val="clear" w:color="auto" w:fill="auto"/>
            <w:noWrap/>
            <w:hideMark/>
          </w:tcPr>
          <w:p w14:paraId="633648AE"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3.0</w:t>
            </w:r>
          </w:p>
        </w:tc>
        <w:tc>
          <w:tcPr>
            <w:tcW w:w="382" w:type="pct"/>
            <w:shd w:val="clear" w:color="auto" w:fill="auto"/>
            <w:noWrap/>
            <w:hideMark/>
          </w:tcPr>
          <w:p w14:paraId="348F1AF8"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2.3</w:t>
            </w:r>
          </w:p>
        </w:tc>
        <w:tc>
          <w:tcPr>
            <w:tcW w:w="385" w:type="pct"/>
            <w:shd w:val="clear" w:color="auto" w:fill="auto"/>
            <w:noWrap/>
            <w:hideMark/>
          </w:tcPr>
          <w:p w14:paraId="710A7B2D"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1.0</w:t>
            </w:r>
          </w:p>
        </w:tc>
      </w:tr>
      <w:tr w:rsidR="00AF0ADF" w:rsidRPr="005E1E68" w14:paraId="065F2F77" w14:textId="77777777" w:rsidTr="00AF0ADF">
        <w:trPr>
          <w:trHeight w:val="228"/>
        </w:trPr>
        <w:tc>
          <w:tcPr>
            <w:tcW w:w="5000" w:type="pct"/>
            <w:gridSpan w:val="10"/>
            <w:shd w:val="clear" w:color="auto" w:fill="auto"/>
            <w:noWrap/>
            <w:hideMark/>
          </w:tcPr>
          <w:p w14:paraId="1FAE8CE0" w14:textId="77777777" w:rsidR="00AF0ADF" w:rsidRPr="005E1E68" w:rsidRDefault="00AF0ADF" w:rsidP="00AF0ADF">
            <w:pPr>
              <w:rPr>
                <w:rFonts w:cstheme="minorHAnsi"/>
                <w:sz w:val="20"/>
                <w:szCs w:val="20"/>
              </w:rPr>
            </w:pPr>
            <w:r w:rsidRPr="005E1E68">
              <w:rPr>
                <w:rFonts w:cstheme="minorHAnsi"/>
                <w:b/>
                <w:bCs/>
                <w:color w:val="000000"/>
                <w:sz w:val="20"/>
                <w:szCs w:val="20"/>
              </w:rPr>
              <w:t>Disadvantage quintile of mother's usual residence</w:t>
            </w:r>
          </w:p>
        </w:tc>
      </w:tr>
      <w:tr w:rsidR="00B80113" w:rsidRPr="005E1E68" w14:paraId="78F6D1B9" w14:textId="77777777" w:rsidTr="00AF0ADF">
        <w:trPr>
          <w:trHeight w:val="228"/>
        </w:trPr>
        <w:tc>
          <w:tcPr>
            <w:tcW w:w="1559" w:type="pct"/>
            <w:shd w:val="clear" w:color="auto" w:fill="auto"/>
            <w:noWrap/>
            <w:hideMark/>
          </w:tcPr>
          <w:p w14:paraId="0CACA3A7"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Q1 - most disadvantaged</w:t>
            </w:r>
          </w:p>
        </w:tc>
        <w:tc>
          <w:tcPr>
            <w:tcW w:w="382" w:type="pct"/>
            <w:shd w:val="clear" w:color="auto" w:fill="auto"/>
            <w:noWrap/>
            <w:hideMark/>
          </w:tcPr>
          <w:p w14:paraId="560EF2B7" w14:textId="6FB451B6" w:rsidR="00B80113" w:rsidRPr="005E1E68" w:rsidRDefault="00B80113" w:rsidP="00B80113">
            <w:pPr>
              <w:ind w:firstLineChars="100" w:firstLine="200"/>
              <w:rPr>
                <w:rFonts w:cstheme="minorHAnsi"/>
                <w:color w:val="000000"/>
                <w:sz w:val="20"/>
                <w:szCs w:val="20"/>
              </w:rPr>
            </w:pPr>
            <w:r w:rsidRPr="00D55580">
              <w:rPr>
                <w:rFonts w:cstheme="minorHAnsi"/>
                <w:color w:val="000000"/>
                <w:sz w:val="20"/>
                <w:szCs w:val="20"/>
              </w:rPr>
              <w:t>n.a.</w:t>
            </w:r>
          </w:p>
        </w:tc>
        <w:tc>
          <w:tcPr>
            <w:tcW w:w="382" w:type="pct"/>
            <w:shd w:val="clear" w:color="auto" w:fill="auto"/>
            <w:noWrap/>
            <w:hideMark/>
          </w:tcPr>
          <w:p w14:paraId="16824766"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1.9</w:t>
            </w:r>
          </w:p>
        </w:tc>
        <w:tc>
          <w:tcPr>
            <w:tcW w:w="382" w:type="pct"/>
            <w:shd w:val="clear" w:color="auto" w:fill="auto"/>
            <w:noWrap/>
            <w:hideMark/>
          </w:tcPr>
          <w:p w14:paraId="1EF9E3A2"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739E6D94"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1FDEBBA8"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3ED1DD4B"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1423681B"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2D5D8FD4"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1.6</w:t>
            </w:r>
          </w:p>
        </w:tc>
        <w:tc>
          <w:tcPr>
            <w:tcW w:w="385" w:type="pct"/>
            <w:shd w:val="clear" w:color="auto" w:fill="auto"/>
            <w:noWrap/>
            <w:hideMark/>
          </w:tcPr>
          <w:p w14:paraId="79637E72"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r>
      <w:tr w:rsidR="00B80113" w:rsidRPr="005E1E68" w14:paraId="7067A2C9" w14:textId="77777777" w:rsidTr="00AF0ADF">
        <w:trPr>
          <w:trHeight w:val="228"/>
        </w:trPr>
        <w:tc>
          <w:tcPr>
            <w:tcW w:w="1559" w:type="pct"/>
            <w:shd w:val="clear" w:color="auto" w:fill="auto"/>
            <w:noWrap/>
            <w:hideMark/>
          </w:tcPr>
          <w:p w14:paraId="2FD89F38"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Q2</w:t>
            </w:r>
          </w:p>
        </w:tc>
        <w:tc>
          <w:tcPr>
            <w:tcW w:w="382" w:type="pct"/>
            <w:shd w:val="clear" w:color="auto" w:fill="auto"/>
            <w:noWrap/>
            <w:hideMark/>
          </w:tcPr>
          <w:p w14:paraId="2460E84F" w14:textId="73AFB1AB" w:rsidR="00B80113" w:rsidRPr="005E1E68" w:rsidRDefault="00B80113" w:rsidP="00B80113">
            <w:pPr>
              <w:ind w:firstLineChars="100" w:firstLine="200"/>
              <w:rPr>
                <w:rFonts w:cstheme="minorHAnsi"/>
                <w:color w:val="000000"/>
                <w:sz w:val="20"/>
                <w:szCs w:val="20"/>
              </w:rPr>
            </w:pPr>
            <w:r w:rsidRPr="00D55580">
              <w:rPr>
                <w:rFonts w:cstheme="minorHAnsi"/>
                <w:color w:val="000000"/>
                <w:sz w:val="20"/>
                <w:szCs w:val="20"/>
              </w:rPr>
              <w:t>n.a.</w:t>
            </w:r>
          </w:p>
        </w:tc>
        <w:tc>
          <w:tcPr>
            <w:tcW w:w="382" w:type="pct"/>
            <w:shd w:val="clear" w:color="auto" w:fill="auto"/>
            <w:noWrap/>
            <w:hideMark/>
          </w:tcPr>
          <w:p w14:paraId="34BCE4AF"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4D9DDA13"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3BC3F633"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67C8E08F"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205BCC95"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7CC4228D"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0B6E84CB"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5" w:type="pct"/>
            <w:shd w:val="clear" w:color="auto" w:fill="auto"/>
            <w:noWrap/>
            <w:hideMark/>
          </w:tcPr>
          <w:p w14:paraId="29E9261B"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r>
      <w:tr w:rsidR="00B80113" w:rsidRPr="005E1E68" w14:paraId="7A3E315A" w14:textId="77777777" w:rsidTr="00AF0ADF">
        <w:trPr>
          <w:trHeight w:val="228"/>
        </w:trPr>
        <w:tc>
          <w:tcPr>
            <w:tcW w:w="1559" w:type="pct"/>
            <w:shd w:val="clear" w:color="auto" w:fill="auto"/>
            <w:noWrap/>
            <w:hideMark/>
          </w:tcPr>
          <w:p w14:paraId="52DCF613"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Q3</w:t>
            </w:r>
          </w:p>
        </w:tc>
        <w:tc>
          <w:tcPr>
            <w:tcW w:w="382" w:type="pct"/>
            <w:shd w:val="clear" w:color="auto" w:fill="auto"/>
            <w:noWrap/>
            <w:hideMark/>
          </w:tcPr>
          <w:p w14:paraId="01D916E4" w14:textId="363FE562" w:rsidR="00B80113" w:rsidRPr="005E1E68" w:rsidRDefault="00B80113" w:rsidP="00B80113">
            <w:pPr>
              <w:ind w:firstLineChars="100" w:firstLine="200"/>
              <w:rPr>
                <w:rFonts w:cstheme="minorHAnsi"/>
                <w:color w:val="000000"/>
                <w:sz w:val="20"/>
                <w:szCs w:val="20"/>
              </w:rPr>
            </w:pPr>
            <w:r w:rsidRPr="00D55580">
              <w:rPr>
                <w:rFonts w:cstheme="minorHAnsi"/>
                <w:color w:val="000000"/>
                <w:sz w:val="20"/>
                <w:szCs w:val="20"/>
              </w:rPr>
              <w:t>n.a.</w:t>
            </w:r>
          </w:p>
        </w:tc>
        <w:tc>
          <w:tcPr>
            <w:tcW w:w="382" w:type="pct"/>
            <w:shd w:val="clear" w:color="auto" w:fill="auto"/>
            <w:noWrap/>
            <w:hideMark/>
          </w:tcPr>
          <w:p w14:paraId="004FD018"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10EEE318"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378AC6F0"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61FEA9BF"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01C2E5F3"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2CFC3B6C"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63807527"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c>
          <w:tcPr>
            <w:tcW w:w="385" w:type="pct"/>
            <w:shd w:val="clear" w:color="auto" w:fill="auto"/>
            <w:noWrap/>
            <w:hideMark/>
          </w:tcPr>
          <w:p w14:paraId="521B3E9F"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1.1</w:t>
            </w:r>
          </w:p>
        </w:tc>
      </w:tr>
      <w:tr w:rsidR="00B80113" w:rsidRPr="005E1E68" w14:paraId="40300F17" w14:textId="77777777" w:rsidTr="00AF0ADF">
        <w:trPr>
          <w:trHeight w:val="228"/>
        </w:trPr>
        <w:tc>
          <w:tcPr>
            <w:tcW w:w="1559" w:type="pct"/>
            <w:shd w:val="clear" w:color="auto" w:fill="auto"/>
            <w:noWrap/>
            <w:hideMark/>
          </w:tcPr>
          <w:p w14:paraId="3EF8307F" w14:textId="77777777" w:rsidR="00B80113" w:rsidRPr="005E1E68" w:rsidRDefault="00B80113" w:rsidP="00B80113">
            <w:pPr>
              <w:ind w:firstLineChars="100" w:firstLine="200"/>
              <w:rPr>
                <w:rFonts w:cstheme="minorHAnsi"/>
                <w:color w:val="000000"/>
                <w:sz w:val="20"/>
                <w:szCs w:val="20"/>
              </w:rPr>
            </w:pPr>
            <w:r w:rsidRPr="005E1E68">
              <w:rPr>
                <w:rFonts w:cstheme="minorHAnsi"/>
                <w:color w:val="000000"/>
                <w:sz w:val="20"/>
                <w:szCs w:val="20"/>
              </w:rPr>
              <w:t>Q4</w:t>
            </w:r>
          </w:p>
        </w:tc>
        <w:tc>
          <w:tcPr>
            <w:tcW w:w="382" w:type="pct"/>
            <w:shd w:val="clear" w:color="auto" w:fill="auto"/>
            <w:noWrap/>
            <w:hideMark/>
          </w:tcPr>
          <w:p w14:paraId="52695A11" w14:textId="4C4FA89B" w:rsidR="00B80113" w:rsidRPr="005E1E68" w:rsidRDefault="00B80113" w:rsidP="00B80113">
            <w:pPr>
              <w:ind w:firstLineChars="100" w:firstLine="200"/>
              <w:rPr>
                <w:rFonts w:cstheme="minorHAnsi"/>
                <w:color w:val="000000"/>
                <w:sz w:val="20"/>
                <w:szCs w:val="20"/>
              </w:rPr>
            </w:pPr>
            <w:r w:rsidRPr="00D55580">
              <w:rPr>
                <w:rFonts w:cstheme="minorHAnsi"/>
                <w:color w:val="000000"/>
                <w:sz w:val="20"/>
                <w:szCs w:val="20"/>
              </w:rPr>
              <w:t>n.a.</w:t>
            </w:r>
          </w:p>
        </w:tc>
        <w:tc>
          <w:tcPr>
            <w:tcW w:w="382" w:type="pct"/>
            <w:shd w:val="clear" w:color="auto" w:fill="auto"/>
            <w:noWrap/>
            <w:hideMark/>
          </w:tcPr>
          <w:p w14:paraId="2EB12787"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5D46285A"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6786FB61"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4066ADA7"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3E20AB59"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065A3A58"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4E7D009C"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1.2</w:t>
            </w:r>
          </w:p>
        </w:tc>
        <w:tc>
          <w:tcPr>
            <w:tcW w:w="385" w:type="pct"/>
            <w:shd w:val="clear" w:color="auto" w:fill="auto"/>
            <w:noWrap/>
            <w:hideMark/>
          </w:tcPr>
          <w:p w14:paraId="2C8D34D1" w14:textId="77777777" w:rsidR="00B80113" w:rsidRPr="005E1E68" w:rsidRDefault="00B80113" w:rsidP="00B80113">
            <w:pPr>
              <w:jc w:val="right"/>
              <w:rPr>
                <w:rFonts w:cstheme="minorHAnsi"/>
                <w:color w:val="000000"/>
                <w:sz w:val="20"/>
                <w:szCs w:val="20"/>
              </w:rPr>
            </w:pPr>
            <w:r w:rsidRPr="005E1E68">
              <w:rPr>
                <w:rFonts w:cstheme="minorHAnsi"/>
                <w:color w:val="000000"/>
                <w:sz w:val="20"/>
                <w:szCs w:val="20"/>
              </w:rPr>
              <w:t>1.1</w:t>
            </w:r>
          </w:p>
        </w:tc>
      </w:tr>
      <w:tr w:rsidR="00AF0ADF" w:rsidRPr="005E1E68" w14:paraId="6C29F7BE" w14:textId="77777777" w:rsidTr="00AF0ADF">
        <w:trPr>
          <w:trHeight w:val="228"/>
        </w:trPr>
        <w:tc>
          <w:tcPr>
            <w:tcW w:w="1559" w:type="pct"/>
            <w:shd w:val="clear" w:color="auto" w:fill="auto"/>
            <w:noWrap/>
            <w:hideMark/>
          </w:tcPr>
          <w:p w14:paraId="0EBFC50B"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Q5 - least disadvantaged</w:t>
            </w:r>
          </w:p>
        </w:tc>
        <w:tc>
          <w:tcPr>
            <w:tcW w:w="382" w:type="pct"/>
            <w:shd w:val="clear" w:color="auto" w:fill="auto"/>
            <w:noWrap/>
            <w:hideMark/>
          </w:tcPr>
          <w:p w14:paraId="6DF6E8BF" w14:textId="0A3A82E7" w:rsidR="00AF0ADF" w:rsidRPr="005E1E68" w:rsidRDefault="00B80113" w:rsidP="00AF0ADF">
            <w:pPr>
              <w:ind w:firstLineChars="100" w:firstLine="200"/>
              <w:rPr>
                <w:rFonts w:cstheme="minorHAnsi"/>
                <w:color w:val="000000"/>
                <w:sz w:val="20"/>
                <w:szCs w:val="20"/>
              </w:rPr>
            </w:pPr>
            <w:r>
              <w:rPr>
                <w:rFonts w:cstheme="minorHAnsi"/>
                <w:color w:val="000000"/>
                <w:sz w:val="20"/>
                <w:szCs w:val="20"/>
              </w:rPr>
              <w:t>n.a.</w:t>
            </w:r>
          </w:p>
        </w:tc>
        <w:tc>
          <w:tcPr>
            <w:tcW w:w="382" w:type="pct"/>
            <w:shd w:val="clear" w:color="auto" w:fill="auto"/>
            <w:noWrap/>
            <w:hideMark/>
          </w:tcPr>
          <w:p w14:paraId="344BD89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5CC17777"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0511032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78B37AE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187E306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3C12D1E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c>
          <w:tcPr>
            <w:tcW w:w="382" w:type="pct"/>
            <w:shd w:val="clear" w:color="auto" w:fill="auto"/>
            <w:noWrap/>
            <w:hideMark/>
          </w:tcPr>
          <w:p w14:paraId="390A7A0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c>
          <w:tcPr>
            <w:tcW w:w="385" w:type="pct"/>
            <w:shd w:val="clear" w:color="auto" w:fill="auto"/>
            <w:noWrap/>
            <w:hideMark/>
          </w:tcPr>
          <w:p w14:paraId="61F76D5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r>
      <w:tr w:rsidR="00AF0ADF" w:rsidRPr="005E1E68" w14:paraId="52FFE017" w14:textId="77777777" w:rsidTr="00AF0ADF">
        <w:trPr>
          <w:trHeight w:val="228"/>
        </w:trPr>
        <w:tc>
          <w:tcPr>
            <w:tcW w:w="5000" w:type="pct"/>
            <w:gridSpan w:val="10"/>
            <w:shd w:val="clear" w:color="auto" w:fill="auto"/>
            <w:noWrap/>
            <w:hideMark/>
          </w:tcPr>
          <w:p w14:paraId="21123820" w14:textId="77777777" w:rsidR="00AF0ADF" w:rsidRPr="005E1E68" w:rsidRDefault="00AF0ADF" w:rsidP="00AF0ADF">
            <w:pPr>
              <w:rPr>
                <w:rFonts w:cstheme="minorHAnsi"/>
                <w:sz w:val="20"/>
                <w:szCs w:val="20"/>
              </w:rPr>
            </w:pPr>
            <w:r w:rsidRPr="005E1E68">
              <w:rPr>
                <w:rFonts w:cstheme="minorHAnsi"/>
                <w:b/>
                <w:bCs/>
                <w:color w:val="000000"/>
                <w:sz w:val="20"/>
                <w:szCs w:val="20"/>
              </w:rPr>
              <w:t>Hospital sector</w:t>
            </w:r>
          </w:p>
        </w:tc>
      </w:tr>
      <w:tr w:rsidR="00AF0ADF" w:rsidRPr="005E1E68" w14:paraId="755CCE7A" w14:textId="77777777" w:rsidTr="00AF0ADF">
        <w:trPr>
          <w:trHeight w:val="228"/>
        </w:trPr>
        <w:tc>
          <w:tcPr>
            <w:tcW w:w="1559" w:type="pct"/>
            <w:shd w:val="clear" w:color="auto" w:fill="auto"/>
            <w:noWrap/>
            <w:hideMark/>
          </w:tcPr>
          <w:p w14:paraId="3D44C299"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Private</w:t>
            </w:r>
          </w:p>
        </w:tc>
        <w:tc>
          <w:tcPr>
            <w:tcW w:w="382" w:type="pct"/>
            <w:shd w:val="clear" w:color="auto" w:fill="auto"/>
            <w:noWrap/>
            <w:hideMark/>
          </w:tcPr>
          <w:p w14:paraId="11EA452C"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636C5770"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4E63553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53C88CD9"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4FD03C5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02A6E75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5804B38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c>
          <w:tcPr>
            <w:tcW w:w="382" w:type="pct"/>
            <w:shd w:val="clear" w:color="auto" w:fill="auto"/>
            <w:noWrap/>
            <w:hideMark/>
          </w:tcPr>
          <w:p w14:paraId="4767A56C"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5" w:type="pct"/>
            <w:shd w:val="clear" w:color="auto" w:fill="auto"/>
            <w:noWrap/>
            <w:hideMark/>
          </w:tcPr>
          <w:p w14:paraId="6E42023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r>
      <w:tr w:rsidR="00AF0ADF" w:rsidRPr="005E1E68" w14:paraId="48435C27" w14:textId="77777777" w:rsidTr="00AF0ADF">
        <w:trPr>
          <w:trHeight w:val="228"/>
        </w:trPr>
        <w:tc>
          <w:tcPr>
            <w:tcW w:w="1559" w:type="pct"/>
            <w:shd w:val="clear" w:color="auto" w:fill="auto"/>
            <w:noWrap/>
            <w:hideMark/>
          </w:tcPr>
          <w:p w14:paraId="046A02F4"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Public</w:t>
            </w:r>
          </w:p>
        </w:tc>
        <w:tc>
          <w:tcPr>
            <w:tcW w:w="382" w:type="pct"/>
            <w:shd w:val="clear" w:color="auto" w:fill="auto"/>
            <w:noWrap/>
            <w:hideMark/>
          </w:tcPr>
          <w:p w14:paraId="71FFFC0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04741A3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751DA3A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0D1B9C4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77461CC9"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57CB4D8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2D6AB785"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720F43FA"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5" w:type="pct"/>
            <w:shd w:val="clear" w:color="auto" w:fill="auto"/>
            <w:noWrap/>
            <w:hideMark/>
          </w:tcPr>
          <w:p w14:paraId="4EAFC5C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r>
      <w:tr w:rsidR="00AF0ADF" w:rsidRPr="005E1E68" w14:paraId="52FEE54E" w14:textId="77777777" w:rsidTr="00AF0ADF">
        <w:trPr>
          <w:trHeight w:val="228"/>
        </w:trPr>
        <w:tc>
          <w:tcPr>
            <w:tcW w:w="5000" w:type="pct"/>
            <w:gridSpan w:val="10"/>
            <w:shd w:val="clear" w:color="auto" w:fill="auto"/>
            <w:noWrap/>
            <w:hideMark/>
          </w:tcPr>
          <w:p w14:paraId="5B331D7B" w14:textId="77777777" w:rsidR="00AF0ADF" w:rsidRPr="005E1E68" w:rsidRDefault="00AF0ADF" w:rsidP="00AF0ADF">
            <w:pPr>
              <w:rPr>
                <w:rFonts w:cstheme="minorHAnsi"/>
                <w:sz w:val="20"/>
                <w:szCs w:val="20"/>
              </w:rPr>
            </w:pPr>
            <w:r w:rsidRPr="005E1E68">
              <w:rPr>
                <w:rFonts w:cstheme="minorHAnsi"/>
                <w:b/>
                <w:bCs/>
                <w:color w:val="000000"/>
                <w:sz w:val="20"/>
                <w:szCs w:val="20"/>
              </w:rPr>
              <w:t>Hospitals annual number of births</w:t>
            </w:r>
          </w:p>
        </w:tc>
      </w:tr>
      <w:tr w:rsidR="00AF0ADF" w:rsidRPr="005E1E68" w14:paraId="590E60D8" w14:textId="77777777" w:rsidTr="00AF0ADF">
        <w:trPr>
          <w:trHeight w:val="228"/>
        </w:trPr>
        <w:tc>
          <w:tcPr>
            <w:tcW w:w="1559" w:type="pct"/>
            <w:shd w:val="clear" w:color="auto" w:fill="auto"/>
            <w:noWrap/>
            <w:hideMark/>
          </w:tcPr>
          <w:p w14:paraId="17AFB136"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1-100 births</w:t>
            </w:r>
          </w:p>
        </w:tc>
        <w:tc>
          <w:tcPr>
            <w:tcW w:w="382" w:type="pct"/>
            <w:shd w:val="clear" w:color="auto" w:fill="auto"/>
            <w:noWrap/>
            <w:hideMark/>
          </w:tcPr>
          <w:p w14:paraId="4A2E303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2.4</w:t>
            </w:r>
          </w:p>
        </w:tc>
        <w:tc>
          <w:tcPr>
            <w:tcW w:w="382" w:type="pct"/>
            <w:shd w:val="clear" w:color="auto" w:fill="auto"/>
            <w:noWrap/>
            <w:hideMark/>
          </w:tcPr>
          <w:p w14:paraId="68FCB8B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4248608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6DAB555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1.8</w:t>
            </w:r>
          </w:p>
        </w:tc>
        <w:tc>
          <w:tcPr>
            <w:tcW w:w="382" w:type="pct"/>
            <w:shd w:val="clear" w:color="auto" w:fill="auto"/>
            <w:noWrap/>
            <w:hideMark/>
          </w:tcPr>
          <w:p w14:paraId="60F6871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2.3</w:t>
            </w:r>
          </w:p>
        </w:tc>
        <w:tc>
          <w:tcPr>
            <w:tcW w:w="382" w:type="pct"/>
            <w:shd w:val="clear" w:color="auto" w:fill="auto"/>
            <w:noWrap/>
            <w:hideMark/>
          </w:tcPr>
          <w:p w14:paraId="6CAA0B2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0.6</w:t>
            </w:r>
          </w:p>
        </w:tc>
        <w:tc>
          <w:tcPr>
            <w:tcW w:w="382" w:type="pct"/>
            <w:shd w:val="clear" w:color="auto" w:fill="auto"/>
            <w:noWrap/>
            <w:hideMark/>
          </w:tcPr>
          <w:p w14:paraId="527B743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0.9</w:t>
            </w:r>
          </w:p>
        </w:tc>
        <w:tc>
          <w:tcPr>
            <w:tcW w:w="382" w:type="pct"/>
            <w:shd w:val="clear" w:color="auto" w:fill="auto"/>
            <w:noWrap/>
            <w:hideMark/>
          </w:tcPr>
          <w:p w14:paraId="65257A8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5" w:type="pct"/>
            <w:shd w:val="clear" w:color="auto" w:fill="auto"/>
            <w:noWrap/>
            <w:hideMark/>
          </w:tcPr>
          <w:p w14:paraId="69D9869F"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0.8</w:t>
            </w:r>
          </w:p>
        </w:tc>
      </w:tr>
      <w:tr w:rsidR="00AF0ADF" w:rsidRPr="005E1E68" w14:paraId="01E33B4D" w14:textId="77777777" w:rsidTr="00AF0ADF">
        <w:trPr>
          <w:trHeight w:val="228"/>
        </w:trPr>
        <w:tc>
          <w:tcPr>
            <w:tcW w:w="1559" w:type="pct"/>
            <w:shd w:val="clear" w:color="auto" w:fill="auto"/>
            <w:noWrap/>
            <w:hideMark/>
          </w:tcPr>
          <w:p w14:paraId="17A62B91"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101-500 births</w:t>
            </w:r>
          </w:p>
        </w:tc>
        <w:tc>
          <w:tcPr>
            <w:tcW w:w="382" w:type="pct"/>
            <w:shd w:val="clear" w:color="auto" w:fill="auto"/>
            <w:noWrap/>
            <w:hideMark/>
          </w:tcPr>
          <w:p w14:paraId="5CE21F2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69D143C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1C22F14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038E260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7F55A51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13AB7FA9"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354D2646"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6BC227E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c>
          <w:tcPr>
            <w:tcW w:w="385" w:type="pct"/>
            <w:shd w:val="clear" w:color="auto" w:fill="auto"/>
            <w:noWrap/>
            <w:hideMark/>
          </w:tcPr>
          <w:p w14:paraId="12813537"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r>
      <w:tr w:rsidR="00AF0ADF" w:rsidRPr="005E1E68" w14:paraId="18998F10" w14:textId="77777777" w:rsidTr="00AF0ADF">
        <w:trPr>
          <w:trHeight w:val="228"/>
        </w:trPr>
        <w:tc>
          <w:tcPr>
            <w:tcW w:w="1559" w:type="pct"/>
            <w:shd w:val="clear" w:color="auto" w:fill="auto"/>
            <w:noWrap/>
            <w:hideMark/>
          </w:tcPr>
          <w:p w14:paraId="0566B4EB"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501-1,000 births</w:t>
            </w:r>
          </w:p>
        </w:tc>
        <w:tc>
          <w:tcPr>
            <w:tcW w:w="382" w:type="pct"/>
            <w:shd w:val="clear" w:color="auto" w:fill="auto"/>
            <w:noWrap/>
            <w:hideMark/>
          </w:tcPr>
          <w:p w14:paraId="50375AD6"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76A4AEC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26D2F50C"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060F898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1D1BD46A"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c>
          <w:tcPr>
            <w:tcW w:w="382" w:type="pct"/>
            <w:shd w:val="clear" w:color="auto" w:fill="auto"/>
            <w:noWrap/>
            <w:hideMark/>
          </w:tcPr>
          <w:p w14:paraId="4FB0AE37"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4818474D"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66742E36"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1.0</w:t>
            </w:r>
          </w:p>
        </w:tc>
        <w:tc>
          <w:tcPr>
            <w:tcW w:w="385" w:type="pct"/>
            <w:shd w:val="clear" w:color="auto" w:fill="auto"/>
            <w:noWrap/>
            <w:hideMark/>
          </w:tcPr>
          <w:p w14:paraId="121DB446"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1.0</w:t>
            </w:r>
          </w:p>
        </w:tc>
      </w:tr>
      <w:tr w:rsidR="00AF0ADF" w:rsidRPr="005E1E68" w14:paraId="10982D76" w14:textId="77777777" w:rsidTr="00AF0ADF">
        <w:trPr>
          <w:trHeight w:val="228"/>
        </w:trPr>
        <w:tc>
          <w:tcPr>
            <w:tcW w:w="1559" w:type="pct"/>
            <w:shd w:val="clear" w:color="auto" w:fill="auto"/>
            <w:noWrap/>
            <w:hideMark/>
          </w:tcPr>
          <w:p w14:paraId="5612240A"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1,001-2,000 births</w:t>
            </w:r>
          </w:p>
        </w:tc>
        <w:tc>
          <w:tcPr>
            <w:tcW w:w="382" w:type="pct"/>
            <w:shd w:val="clear" w:color="auto" w:fill="auto"/>
            <w:noWrap/>
            <w:hideMark/>
          </w:tcPr>
          <w:p w14:paraId="10FD7B90"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6779F450"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4C9E995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7B6CCD15"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180486DB"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2" w:type="pct"/>
            <w:shd w:val="clear" w:color="auto" w:fill="auto"/>
            <w:noWrap/>
            <w:hideMark/>
          </w:tcPr>
          <w:p w14:paraId="00B64C84"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6CA205F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2" w:type="pct"/>
            <w:shd w:val="clear" w:color="auto" w:fill="auto"/>
            <w:noWrap/>
            <w:hideMark/>
          </w:tcPr>
          <w:p w14:paraId="1ECBE6C5"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1.2</w:t>
            </w:r>
          </w:p>
        </w:tc>
        <w:tc>
          <w:tcPr>
            <w:tcW w:w="385" w:type="pct"/>
            <w:shd w:val="clear" w:color="auto" w:fill="auto"/>
            <w:noWrap/>
            <w:hideMark/>
          </w:tcPr>
          <w:p w14:paraId="0F60D355"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1.1</w:t>
            </w:r>
          </w:p>
        </w:tc>
      </w:tr>
      <w:tr w:rsidR="00AF0ADF" w:rsidRPr="005E1E68" w14:paraId="7B6A25D5" w14:textId="77777777" w:rsidTr="00AF0ADF">
        <w:trPr>
          <w:trHeight w:val="228"/>
        </w:trPr>
        <w:tc>
          <w:tcPr>
            <w:tcW w:w="1559" w:type="pct"/>
            <w:shd w:val="clear" w:color="auto" w:fill="auto"/>
            <w:noWrap/>
            <w:hideMark/>
          </w:tcPr>
          <w:p w14:paraId="3914C994" w14:textId="77777777" w:rsidR="00AF0ADF" w:rsidRPr="005E1E68" w:rsidRDefault="00AF0ADF" w:rsidP="00AF0ADF">
            <w:pPr>
              <w:ind w:firstLineChars="100" w:firstLine="200"/>
              <w:rPr>
                <w:rFonts w:cstheme="minorHAnsi"/>
                <w:color w:val="000000"/>
                <w:sz w:val="20"/>
                <w:szCs w:val="20"/>
              </w:rPr>
            </w:pPr>
            <w:r w:rsidRPr="005E1E68">
              <w:rPr>
                <w:rFonts w:cstheme="minorHAnsi"/>
                <w:color w:val="000000"/>
                <w:sz w:val="20"/>
                <w:szCs w:val="20"/>
              </w:rPr>
              <w:t>2,001 births and over</w:t>
            </w:r>
          </w:p>
        </w:tc>
        <w:tc>
          <w:tcPr>
            <w:tcW w:w="382" w:type="pct"/>
            <w:shd w:val="clear" w:color="auto" w:fill="auto"/>
            <w:noWrap/>
            <w:hideMark/>
          </w:tcPr>
          <w:p w14:paraId="6D86181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1.7</w:t>
            </w:r>
          </w:p>
        </w:tc>
        <w:tc>
          <w:tcPr>
            <w:tcW w:w="382" w:type="pct"/>
            <w:shd w:val="clear" w:color="auto" w:fill="auto"/>
            <w:noWrap/>
            <w:hideMark/>
          </w:tcPr>
          <w:p w14:paraId="4C56343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221D2AEC"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1.6</w:t>
            </w:r>
          </w:p>
        </w:tc>
        <w:tc>
          <w:tcPr>
            <w:tcW w:w="382" w:type="pct"/>
            <w:shd w:val="clear" w:color="auto" w:fill="auto"/>
            <w:noWrap/>
            <w:hideMark/>
          </w:tcPr>
          <w:p w14:paraId="54046185"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471E1796"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687BC163"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1.5</w:t>
            </w:r>
          </w:p>
        </w:tc>
        <w:tc>
          <w:tcPr>
            <w:tcW w:w="382" w:type="pct"/>
            <w:shd w:val="clear" w:color="auto" w:fill="auto"/>
            <w:noWrap/>
            <w:hideMark/>
          </w:tcPr>
          <w:p w14:paraId="6EB6E261"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c>
          <w:tcPr>
            <w:tcW w:w="382" w:type="pct"/>
            <w:shd w:val="clear" w:color="auto" w:fill="auto"/>
            <w:noWrap/>
            <w:hideMark/>
          </w:tcPr>
          <w:p w14:paraId="7917A742"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1.4</w:t>
            </w:r>
          </w:p>
        </w:tc>
        <w:tc>
          <w:tcPr>
            <w:tcW w:w="385" w:type="pct"/>
            <w:shd w:val="clear" w:color="auto" w:fill="auto"/>
            <w:noWrap/>
            <w:hideMark/>
          </w:tcPr>
          <w:p w14:paraId="1B789148" w14:textId="77777777" w:rsidR="00AF0ADF" w:rsidRPr="005E1E68" w:rsidRDefault="00AF0ADF" w:rsidP="00AF0ADF">
            <w:pPr>
              <w:jc w:val="right"/>
              <w:rPr>
                <w:rFonts w:cstheme="minorHAnsi"/>
                <w:color w:val="000000"/>
                <w:sz w:val="20"/>
                <w:szCs w:val="20"/>
              </w:rPr>
            </w:pPr>
            <w:r w:rsidRPr="005E1E68">
              <w:rPr>
                <w:rFonts w:cstheme="minorHAnsi"/>
                <w:color w:val="000000"/>
                <w:sz w:val="20"/>
                <w:szCs w:val="20"/>
              </w:rPr>
              <w:t>1.3</w:t>
            </w:r>
          </w:p>
        </w:tc>
      </w:tr>
    </w:tbl>
    <w:p w14:paraId="6E428B48" w14:textId="5303767E" w:rsidR="002705B2" w:rsidRPr="007667EF" w:rsidRDefault="002705B2" w:rsidP="002705B2">
      <w:pPr>
        <w:ind w:left="284" w:hanging="284"/>
        <w:rPr>
          <w:sz w:val="18"/>
          <w:szCs w:val="18"/>
        </w:rPr>
      </w:pPr>
      <w:r>
        <w:rPr>
          <w:rFonts w:cstheme="minorHAnsi"/>
          <w:color w:val="000000"/>
          <w:sz w:val="20"/>
          <w:szCs w:val="20"/>
        </w:rPr>
        <w:t>n.a.</w:t>
      </w:r>
      <w:r w:rsidRPr="007667EF">
        <w:rPr>
          <w:sz w:val="18"/>
          <w:szCs w:val="18"/>
        </w:rPr>
        <w:t xml:space="preserve"> : </w:t>
      </w:r>
      <w:r>
        <w:rPr>
          <w:sz w:val="18"/>
          <w:szCs w:val="18"/>
        </w:rPr>
        <w:t>data not available</w:t>
      </w:r>
      <w:r w:rsidR="00887119">
        <w:rPr>
          <w:sz w:val="18"/>
          <w:szCs w:val="18"/>
        </w:rPr>
        <w:t>.</w:t>
      </w:r>
    </w:p>
    <w:p w14:paraId="0FB5EC24" w14:textId="018E5BD3" w:rsidR="003F0351" w:rsidRPr="00165760" w:rsidRDefault="003F0351" w:rsidP="00751711">
      <w:pPr>
        <w:rPr>
          <w:sz w:val="18"/>
          <w:szCs w:val="18"/>
        </w:rPr>
      </w:pPr>
    </w:p>
    <w:p w14:paraId="54E04C45" w14:textId="77777777" w:rsidR="00940A8B" w:rsidRPr="00B94D3E" w:rsidRDefault="00940A8B" w:rsidP="004F0088">
      <w:pPr>
        <w:tabs>
          <w:tab w:val="left" w:pos="0"/>
        </w:tabs>
        <w:ind w:left="284" w:hanging="284"/>
        <w:rPr>
          <w:b/>
          <w:sz w:val="18"/>
          <w:szCs w:val="18"/>
        </w:rPr>
      </w:pPr>
      <w:r w:rsidRPr="00B94D3E">
        <w:rPr>
          <w:b/>
          <w:sz w:val="18"/>
          <w:szCs w:val="18"/>
        </w:rPr>
        <w:t>Data Notes:</w:t>
      </w:r>
    </w:p>
    <w:p w14:paraId="04ED2738" w14:textId="7CFE6F8F" w:rsidR="00AF0ADF" w:rsidRPr="00B94D3E" w:rsidRDefault="00AF0ADF" w:rsidP="008D3FB5">
      <w:pPr>
        <w:pStyle w:val="ListParagraph"/>
        <w:numPr>
          <w:ilvl w:val="0"/>
          <w:numId w:val="22"/>
        </w:numPr>
        <w:tabs>
          <w:tab w:val="left" w:pos="0"/>
        </w:tabs>
        <w:ind w:left="284" w:hanging="284"/>
        <w:rPr>
          <w:sz w:val="18"/>
          <w:szCs w:val="18"/>
        </w:rPr>
      </w:pPr>
      <w:r w:rsidRPr="00B94D3E">
        <w:rPr>
          <w:sz w:val="18"/>
          <w:szCs w:val="18"/>
        </w:rPr>
        <w:t>Caution should be used when comparing these results with other nationally and internationally reported indicators, as the cut-off birthweight may be different to this indicator.</w:t>
      </w:r>
    </w:p>
    <w:p w14:paraId="19065388" w14:textId="44DCFB7E" w:rsidR="00AF0ADF" w:rsidRPr="00B94D3E" w:rsidRDefault="00AF0ADF" w:rsidP="008D3FB5">
      <w:pPr>
        <w:pStyle w:val="ListParagraph"/>
        <w:numPr>
          <w:ilvl w:val="0"/>
          <w:numId w:val="22"/>
        </w:numPr>
        <w:tabs>
          <w:tab w:val="left" w:pos="0"/>
        </w:tabs>
        <w:ind w:left="284" w:hanging="284"/>
        <w:rPr>
          <w:sz w:val="18"/>
          <w:szCs w:val="18"/>
        </w:rPr>
      </w:pPr>
      <w:r w:rsidRPr="00B94D3E">
        <w:rPr>
          <w:sz w:val="18"/>
          <w:szCs w:val="18"/>
        </w:rPr>
        <w:t>Some caution is required with interpretation of these percentages as the number of small babies born at or after 40 weeks gestation is small.</w:t>
      </w:r>
    </w:p>
    <w:p w14:paraId="645F5F1D" w14:textId="77777777" w:rsidR="00B94D3E" w:rsidRPr="00DA4115" w:rsidRDefault="00AF0ADF" w:rsidP="008D3FB5">
      <w:pPr>
        <w:pStyle w:val="ListParagraph"/>
        <w:numPr>
          <w:ilvl w:val="0"/>
          <w:numId w:val="22"/>
        </w:numPr>
        <w:tabs>
          <w:tab w:val="left" w:pos="0"/>
        </w:tabs>
        <w:ind w:left="284" w:hanging="284"/>
      </w:pPr>
      <w:r w:rsidRPr="00B94D3E">
        <w:rPr>
          <w:sz w:val="18"/>
          <w:szCs w:val="18"/>
        </w:rPr>
        <w:t>Percentages for mother's Indigenous status are age-standardised.</w:t>
      </w:r>
    </w:p>
    <w:p w14:paraId="6F3E06E6" w14:textId="2C5F702E" w:rsidR="004F0088" w:rsidRDefault="009651A8" w:rsidP="008D3FB5">
      <w:pPr>
        <w:pStyle w:val="ListParagraph"/>
        <w:numPr>
          <w:ilvl w:val="0"/>
          <w:numId w:val="22"/>
        </w:numPr>
        <w:tabs>
          <w:tab w:val="left" w:pos="0"/>
        </w:tabs>
        <w:ind w:left="284" w:hanging="284"/>
      </w:pPr>
      <w:r w:rsidRPr="00B94D3E">
        <w:rPr>
          <w:sz w:val="18"/>
          <w:szCs w:val="18"/>
        </w:rPr>
        <w:t>Source: AIHW analysis of National Perinatal Data Collection. Australian Institute of Health and Welfare 2021. National Core Maternity Indicators. Cat no. PER 95. Canberra: AIHW</w:t>
      </w:r>
      <w:bookmarkStart w:id="458" w:name="_Ref117108797"/>
      <w:bookmarkStart w:id="459" w:name="_Ref117108737"/>
      <w:r w:rsidR="004F0088">
        <w:br w:type="page"/>
      </w:r>
    </w:p>
    <w:p w14:paraId="6F0A518E" w14:textId="2A0F434A" w:rsidR="00AF0ADF" w:rsidRPr="008E401A" w:rsidRDefault="00AF0ADF" w:rsidP="00AF0ADF">
      <w:pPr>
        <w:pStyle w:val="Caption"/>
        <w:rPr>
          <w:sz w:val="20"/>
          <w:szCs w:val="20"/>
        </w:rPr>
      </w:pPr>
      <w:bookmarkStart w:id="460" w:name="_Ref117929945"/>
      <w:bookmarkStart w:id="461" w:name="_Toc121429207"/>
      <w:r w:rsidRPr="008E401A">
        <w:rPr>
          <w:sz w:val="20"/>
          <w:szCs w:val="20"/>
        </w:rPr>
        <w:lastRenderedPageBreak/>
        <w:t xml:space="preserve">Table </w:t>
      </w:r>
      <w:r w:rsidR="00A64FC5" w:rsidRPr="008E401A">
        <w:rPr>
          <w:sz w:val="20"/>
          <w:szCs w:val="20"/>
        </w:rPr>
        <w:fldChar w:fldCharType="begin"/>
      </w:r>
      <w:r w:rsidR="00A64FC5" w:rsidRPr="008E401A">
        <w:rPr>
          <w:sz w:val="20"/>
          <w:szCs w:val="20"/>
        </w:rPr>
        <w:instrText xml:space="preserve"> SEQ Table \* ARABIC </w:instrText>
      </w:r>
      <w:r w:rsidR="00A64FC5" w:rsidRPr="008E401A">
        <w:rPr>
          <w:sz w:val="20"/>
          <w:szCs w:val="20"/>
        </w:rPr>
        <w:fldChar w:fldCharType="separate"/>
      </w:r>
      <w:r w:rsidR="00296988">
        <w:rPr>
          <w:noProof/>
          <w:sz w:val="20"/>
          <w:szCs w:val="20"/>
        </w:rPr>
        <w:t>31</w:t>
      </w:r>
      <w:r w:rsidR="00A64FC5" w:rsidRPr="008E401A">
        <w:rPr>
          <w:noProof/>
          <w:sz w:val="20"/>
          <w:szCs w:val="20"/>
        </w:rPr>
        <w:fldChar w:fldCharType="end"/>
      </w:r>
      <w:bookmarkEnd w:id="458"/>
      <w:bookmarkEnd w:id="460"/>
      <w:r w:rsidRPr="008E401A">
        <w:rPr>
          <w:sz w:val="20"/>
          <w:szCs w:val="20"/>
        </w:rPr>
        <w:tab/>
        <w:t>Third and fourth degree tears</w:t>
      </w:r>
      <w:r w:rsidR="008E401A">
        <w:rPr>
          <w:sz w:val="20"/>
          <w:szCs w:val="20"/>
        </w:rPr>
        <w:t>,</w:t>
      </w:r>
      <w:r w:rsidRPr="008E401A">
        <w:rPr>
          <w:sz w:val="20"/>
          <w:szCs w:val="20"/>
        </w:rPr>
        <w:t xml:space="preserve"> all vaginal </w:t>
      </w:r>
      <w:r w:rsidR="008E401A">
        <w:rPr>
          <w:sz w:val="20"/>
          <w:szCs w:val="20"/>
        </w:rPr>
        <w:t>first births (PI13a), 2011–</w:t>
      </w:r>
      <w:r w:rsidRPr="008E401A">
        <w:rPr>
          <w:sz w:val="20"/>
          <w:szCs w:val="20"/>
        </w:rPr>
        <w:t>2019</w:t>
      </w:r>
      <w:bookmarkEnd w:id="459"/>
      <w:bookmarkEnd w:id="461"/>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7"/>
        <w:gridCol w:w="789"/>
        <w:gridCol w:w="790"/>
        <w:gridCol w:w="789"/>
        <w:gridCol w:w="790"/>
        <w:gridCol w:w="789"/>
        <w:gridCol w:w="790"/>
        <w:gridCol w:w="790"/>
      </w:tblGrid>
      <w:tr w:rsidR="00AF0ADF" w:rsidRPr="00874241" w14:paraId="3601D6B6" w14:textId="77777777" w:rsidTr="00B94D3E">
        <w:trPr>
          <w:trHeight w:val="253"/>
        </w:trPr>
        <w:tc>
          <w:tcPr>
            <w:tcW w:w="3817" w:type="dxa"/>
            <w:shd w:val="clear" w:color="auto" w:fill="auto"/>
            <w:noWrap/>
            <w:hideMark/>
          </w:tcPr>
          <w:p w14:paraId="79E7A832" w14:textId="118105A1" w:rsidR="00AF0ADF" w:rsidRPr="00874241" w:rsidRDefault="00AF0ADF" w:rsidP="00AF0ADF">
            <w:pPr>
              <w:rPr>
                <w:rFonts w:cstheme="minorHAnsi"/>
                <w:b/>
                <w:bCs/>
                <w:color w:val="000000"/>
                <w:sz w:val="20"/>
                <w:szCs w:val="20"/>
              </w:rPr>
            </w:pPr>
          </w:p>
        </w:tc>
        <w:tc>
          <w:tcPr>
            <w:tcW w:w="789" w:type="dxa"/>
            <w:shd w:val="clear" w:color="auto" w:fill="auto"/>
            <w:noWrap/>
            <w:vAlign w:val="center"/>
            <w:hideMark/>
          </w:tcPr>
          <w:p w14:paraId="472C90DB"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2013</w:t>
            </w:r>
          </w:p>
        </w:tc>
        <w:tc>
          <w:tcPr>
            <w:tcW w:w="790" w:type="dxa"/>
            <w:shd w:val="clear" w:color="auto" w:fill="auto"/>
            <w:noWrap/>
            <w:vAlign w:val="center"/>
            <w:hideMark/>
          </w:tcPr>
          <w:p w14:paraId="13BE03CB"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2014</w:t>
            </w:r>
          </w:p>
        </w:tc>
        <w:tc>
          <w:tcPr>
            <w:tcW w:w="789" w:type="dxa"/>
            <w:shd w:val="clear" w:color="auto" w:fill="auto"/>
            <w:noWrap/>
            <w:vAlign w:val="center"/>
            <w:hideMark/>
          </w:tcPr>
          <w:p w14:paraId="7BA43B3D"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2015</w:t>
            </w:r>
          </w:p>
        </w:tc>
        <w:tc>
          <w:tcPr>
            <w:tcW w:w="790" w:type="dxa"/>
            <w:shd w:val="clear" w:color="auto" w:fill="auto"/>
            <w:noWrap/>
            <w:vAlign w:val="center"/>
            <w:hideMark/>
          </w:tcPr>
          <w:p w14:paraId="668191B6"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2016</w:t>
            </w:r>
          </w:p>
        </w:tc>
        <w:tc>
          <w:tcPr>
            <w:tcW w:w="789" w:type="dxa"/>
            <w:shd w:val="clear" w:color="auto" w:fill="auto"/>
            <w:noWrap/>
            <w:vAlign w:val="center"/>
            <w:hideMark/>
          </w:tcPr>
          <w:p w14:paraId="13BFEB61"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2017</w:t>
            </w:r>
          </w:p>
        </w:tc>
        <w:tc>
          <w:tcPr>
            <w:tcW w:w="790" w:type="dxa"/>
            <w:shd w:val="clear" w:color="auto" w:fill="auto"/>
            <w:noWrap/>
            <w:vAlign w:val="center"/>
            <w:hideMark/>
          </w:tcPr>
          <w:p w14:paraId="44B5B02B"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2018</w:t>
            </w:r>
          </w:p>
        </w:tc>
        <w:tc>
          <w:tcPr>
            <w:tcW w:w="790" w:type="dxa"/>
            <w:shd w:val="clear" w:color="auto" w:fill="auto"/>
            <w:noWrap/>
            <w:vAlign w:val="center"/>
            <w:hideMark/>
          </w:tcPr>
          <w:p w14:paraId="093449DA"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2019</w:t>
            </w:r>
          </w:p>
        </w:tc>
      </w:tr>
      <w:tr w:rsidR="00AF0ADF" w:rsidRPr="00874241" w14:paraId="5A46DAE1" w14:textId="77777777" w:rsidTr="00B94D3E">
        <w:trPr>
          <w:trHeight w:val="253"/>
        </w:trPr>
        <w:tc>
          <w:tcPr>
            <w:tcW w:w="3817" w:type="dxa"/>
            <w:shd w:val="clear" w:color="auto" w:fill="auto"/>
            <w:noWrap/>
          </w:tcPr>
          <w:p w14:paraId="7F96C587" w14:textId="77777777" w:rsidR="00AF0ADF" w:rsidRPr="00874241" w:rsidRDefault="00AF0ADF" w:rsidP="00AF0ADF">
            <w:pPr>
              <w:rPr>
                <w:rFonts w:cstheme="minorHAnsi"/>
                <w:b/>
                <w:bCs/>
                <w:color w:val="000000"/>
                <w:sz w:val="20"/>
                <w:szCs w:val="20"/>
              </w:rPr>
            </w:pPr>
          </w:p>
        </w:tc>
        <w:tc>
          <w:tcPr>
            <w:tcW w:w="5527" w:type="dxa"/>
            <w:gridSpan w:val="7"/>
            <w:shd w:val="clear" w:color="auto" w:fill="auto"/>
            <w:noWrap/>
          </w:tcPr>
          <w:p w14:paraId="5624BBD6" w14:textId="77777777" w:rsidR="00AF0ADF" w:rsidRPr="00874241" w:rsidRDefault="00AF0ADF" w:rsidP="00AF0ADF">
            <w:pPr>
              <w:jc w:val="center"/>
              <w:rPr>
                <w:rFonts w:cstheme="minorHAnsi"/>
                <w:b/>
                <w:bCs/>
                <w:color w:val="000000"/>
                <w:sz w:val="20"/>
                <w:szCs w:val="20"/>
              </w:rPr>
            </w:pPr>
            <w:r w:rsidRPr="00874241">
              <w:rPr>
                <w:rFonts w:cstheme="minorHAnsi"/>
                <w:b/>
                <w:bCs/>
                <w:sz w:val="20"/>
                <w:szCs w:val="20"/>
              </w:rPr>
              <w:t>In per cent (%)</w:t>
            </w:r>
          </w:p>
        </w:tc>
      </w:tr>
      <w:tr w:rsidR="00AF0ADF" w:rsidRPr="00874241" w14:paraId="3E1AD46D" w14:textId="77777777" w:rsidTr="00B94D3E">
        <w:trPr>
          <w:trHeight w:val="253"/>
        </w:trPr>
        <w:tc>
          <w:tcPr>
            <w:tcW w:w="9344" w:type="dxa"/>
            <w:gridSpan w:val="8"/>
            <w:shd w:val="clear" w:color="auto" w:fill="auto"/>
            <w:noWrap/>
            <w:hideMark/>
          </w:tcPr>
          <w:p w14:paraId="6B47D748" w14:textId="77777777" w:rsidR="00AF0ADF" w:rsidRPr="00874241" w:rsidRDefault="00AF0ADF" w:rsidP="00AF0ADF">
            <w:pPr>
              <w:rPr>
                <w:rFonts w:cstheme="minorHAnsi"/>
                <w:sz w:val="20"/>
                <w:szCs w:val="20"/>
              </w:rPr>
            </w:pPr>
            <w:r w:rsidRPr="00874241">
              <w:rPr>
                <w:rFonts w:cstheme="minorHAnsi"/>
                <w:b/>
                <w:bCs/>
                <w:color w:val="000000"/>
                <w:sz w:val="20"/>
                <w:szCs w:val="20"/>
              </w:rPr>
              <w:t>Australia</w:t>
            </w:r>
          </w:p>
        </w:tc>
      </w:tr>
      <w:tr w:rsidR="00AF0ADF" w:rsidRPr="00874241" w14:paraId="2F83D779" w14:textId="77777777" w:rsidTr="00B94D3E">
        <w:trPr>
          <w:trHeight w:val="253"/>
        </w:trPr>
        <w:tc>
          <w:tcPr>
            <w:tcW w:w="3817" w:type="dxa"/>
            <w:shd w:val="clear" w:color="auto" w:fill="auto"/>
            <w:noWrap/>
            <w:hideMark/>
          </w:tcPr>
          <w:p w14:paraId="26542966"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Total</w:t>
            </w:r>
          </w:p>
        </w:tc>
        <w:tc>
          <w:tcPr>
            <w:tcW w:w="789" w:type="dxa"/>
            <w:shd w:val="clear" w:color="auto" w:fill="auto"/>
            <w:noWrap/>
            <w:hideMark/>
          </w:tcPr>
          <w:p w14:paraId="05C4F2B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5.2</w:t>
            </w:r>
          </w:p>
        </w:tc>
        <w:tc>
          <w:tcPr>
            <w:tcW w:w="790" w:type="dxa"/>
            <w:shd w:val="clear" w:color="auto" w:fill="auto"/>
            <w:noWrap/>
            <w:hideMark/>
          </w:tcPr>
          <w:p w14:paraId="6F9F327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5.4</w:t>
            </w:r>
          </w:p>
        </w:tc>
        <w:tc>
          <w:tcPr>
            <w:tcW w:w="789" w:type="dxa"/>
            <w:shd w:val="clear" w:color="auto" w:fill="auto"/>
            <w:noWrap/>
            <w:hideMark/>
          </w:tcPr>
          <w:p w14:paraId="495FC19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5.6</w:t>
            </w:r>
          </w:p>
        </w:tc>
        <w:tc>
          <w:tcPr>
            <w:tcW w:w="790" w:type="dxa"/>
            <w:shd w:val="clear" w:color="auto" w:fill="auto"/>
            <w:noWrap/>
            <w:hideMark/>
          </w:tcPr>
          <w:p w14:paraId="7993A1D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5.3</w:t>
            </w:r>
          </w:p>
        </w:tc>
        <w:tc>
          <w:tcPr>
            <w:tcW w:w="789" w:type="dxa"/>
            <w:shd w:val="clear" w:color="auto" w:fill="auto"/>
            <w:noWrap/>
            <w:hideMark/>
          </w:tcPr>
          <w:p w14:paraId="2FB48DF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c>
          <w:tcPr>
            <w:tcW w:w="790" w:type="dxa"/>
            <w:shd w:val="clear" w:color="auto" w:fill="auto"/>
            <w:noWrap/>
            <w:hideMark/>
          </w:tcPr>
          <w:p w14:paraId="3CB74D6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c>
          <w:tcPr>
            <w:tcW w:w="790" w:type="dxa"/>
            <w:shd w:val="clear" w:color="auto" w:fill="auto"/>
            <w:noWrap/>
            <w:hideMark/>
          </w:tcPr>
          <w:p w14:paraId="5F21D20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r>
      <w:tr w:rsidR="00AF0ADF" w:rsidRPr="00874241" w14:paraId="1B0A4C00" w14:textId="77777777" w:rsidTr="00B94D3E">
        <w:trPr>
          <w:trHeight w:val="253"/>
        </w:trPr>
        <w:tc>
          <w:tcPr>
            <w:tcW w:w="9344" w:type="dxa"/>
            <w:gridSpan w:val="8"/>
            <w:shd w:val="clear" w:color="auto" w:fill="auto"/>
            <w:noWrap/>
            <w:hideMark/>
          </w:tcPr>
          <w:p w14:paraId="6FEE10E0" w14:textId="77777777" w:rsidR="00AF0ADF" w:rsidRPr="00874241" w:rsidRDefault="00AF0ADF" w:rsidP="00AF0ADF">
            <w:pPr>
              <w:rPr>
                <w:rFonts w:cstheme="minorHAnsi"/>
                <w:sz w:val="20"/>
                <w:szCs w:val="20"/>
              </w:rPr>
            </w:pPr>
            <w:r w:rsidRPr="00874241">
              <w:rPr>
                <w:rFonts w:cstheme="minorHAnsi"/>
                <w:b/>
                <w:bCs/>
                <w:color w:val="000000"/>
                <w:sz w:val="20"/>
                <w:szCs w:val="20"/>
              </w:rPr>
              <w:t>Mother's age at birth</w:t>
            </w:r>
          </w:p>
        </w:tc>
      </w:tr>
      <w:tr w:rsidR="00AF0ADF" w:rsidRPr="00874241" w14:paraId="17BC3722" w14:textId="77777777" w:rsidTr="00B94D3E">
        <w:trPr>
          <w:trHeight w:val="253"/>
        </w:trPr>
        <w:tc>
          <w:tcPr>
            <w:tcW w:w="3817" w:type="dxa"/>
            <w:shd w:val="clear" w:color="auto" w:fill="auto"/>
            <w:noWrap/>
            <w:hideMark/>
          </w:tcPr>
          <w:p w14:paraId="751261C1"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Younger than 20</w:t>
            </w:r>
          </w:p>
        </w:tc>
        <w:tc>
          <w:tcPr>
            <w:tcW w:w="789" w:type="dxa"/>
            <w:shd w:val="clear" w:color="auto" w:fill="auto"/>
            <w:noWrap/>
            <w:hideMark/>
          </w:tcPr>
          <w:p w14:paraId="5D3D2D6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2.8</w:t>
            </w:r>
          </w:p>
        </w:tc>
        <w:tc>
          <w:tcPr>
            <w:tcW w:w="790" w:type="dxa"/>
            <w:shd w:val="clear" w:color="auto" w:fill="auto"/>
            <w:noWrap/>
            <w:hideMark/>
          </w:tcPr>
          <w:p w14:paraId="0F04F32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3.3</w:t>
            </w:r>
          </w:p>
        </w:tc>
        <w:tc>
          <w:tcPr>
            <w:tcW w:w="789" w:type="dxa"/>
            <w:shd w:val="clear" w:color="auto" w:fill="auto"/>
            <w:noWrap/>
            <w:hideMark/>
          </w:tcPr>
          <w:p w14:paraId="4BF04A3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3.3</w:t>
            </w:r>
          </w:p>
        </w:tc>
        <w:tc>
          <w:tcPr>
            <w:tcW w:w="790" w:type="dxa"/>
            <w:shd w:val="clear" w:color="auto" w:fill="auto"/>
            <w:noWrap/>
            <w:hideMark/>
          </w:tcPr>
          <w:p w14:paraId="5C5B611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2.7</w:t>
            </w:r>
          </w:p>
        </w:tc>
        <w:tc>
          <w:tcPr>
            <w:tcW w:w="789" w:type="dxa"/>
            <w:shd w:val="clear" w:color="auto" w:fill="auto"/>
            <w:noWrap/>
            <w:hideMark/>
          </w:tcPr>
          <w:p w14:paraId="38A9868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2.9</w:t>
            </w:r>
          </w:p>
        </w:tc>
        <w:tc>
          <w:tcPr>
            <w:tcW w:w="790" w:type="dxa"/>
            <w:shd w:val="clear" w:color="auto" w:fill="auto"/>
            <w:noWrap/>
            <w:hideMark/>
          </w:tcPr>
          <w:p w14:paraId="5A9ABF9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2.9</w:t>
            </w:r>
          </w:p>
        </w:tc>
        <w:tc>
          <w:tcPr>
            <w:tcW w:w="790" w:type="dxa"/>
            <w:shd w:val="clear" w:color="auto" w:fill="auto"/>
            <w:noWrap/>
            <w:hideMark/>
          </w:tcPr>
          <w:p w14:paraId="7DB4AF7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2.8</w:t>
            </w:r>
          </w:p>
        </w:tc>
      </w:tr>
      <w:tr w:rsidR="00AF0ADF" w:rsidRPr="00874241" w14:paraId="1AD9E022" w14:textId="77777777" w:rsidTr="00B94D3E">
        <w:trPr>
          <w:trHeight w:val="253"/>
        </w:trPr>
        <w:tc>
          <w:tcPr>
            <w:tcW w:w="3817" w:type="dxa"/>
            <w:shd w:val="clear" w:color="auto" w:fill="auto"/>
            <w:noWrap/>
            <w:hideMark/>
          </w:tcPr>
          <w:p w14:paraId="2A9BD12B"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20-24</w:t>
            </w:r>
          </w:p>
        </w:tc>
        <w:tc>
          <w:tcPr>
            <w:tcW w:w="789" w:type="dxa"/>
            <w:shd w:val="clear" w:color="auto" w:fill="auto"/>
            <w:noWrap/>
            <w:hideMark/>
          </w:tcPr>
          <w:p w14:paraId="36B432D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4.1</w:t>
            </w:r>
          </w:p>
        </w:tc>
        <w:tc>
          <w:tcPr>
            <w:tcW w:w="790" w:type="dxa"/>
            <w:shd w:val="clear" w:color="auto" w:fill="auto"/>
            <w:noWrap/>
            <w:hideMark/>
          </w:tcPr>
          <w:p w14:paraId="3A0F423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4.4</w:t>
            </w:r>
          </w:p>
        </w:tc>
        <w:tc>
          <w:tcPr>
            <w:tcW w:w="789" w:type="dxa"/>
            <w:shd w:val="clear" w:color="auto" w:fill="auto"/>
            <w:noWrap/>
            <w:hideMark/>
          </w:tcPr>
          <w:p w14:paraId="766CF9B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4.3</w:t>
            </w:r>
          </w:p>
        </w:tc>
        <w:tc>
          <w:tcPr>
            <w:tcW w:w="790" w:type="dxa"/>
            <w:shd w:val="clear" w:color="auto" w:fill="auto"/>
            <w:noWrap/>
            <w:hideMark/>
          </w:tcPr>
          <w:p w14:paraId="4DB506B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4.2</w:t>
            </w:r>
          </w:p>
        </w:tc>
        <w:tc>
          <w:tcPr>
            <w:tcW w:w="789" w:type="dxa"/>
            <w:shd w:val="clear" w:color="auto" w:fill="auto"/>
            <w:noWrap/>
            <w:hideMark/>
          </w:tcPr>
          <w:p w14:paraId="34CEC86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4.3</w:t>
            </w:r>
          </w:p>
        </w:tc>
        <w:tc>
          <w:tcPr>
            <w:tcW w:w="790" w:type="dxa"/>
            <w:shd w:val="clear" w:color="auto" w:fill="auto"/>
            <w:noWrap/>
            <w:hideMark/>
          </w:tcPr>
          <w:p w14:paraId="7BEC282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4.1</w:t>
            </w:r>
          </w:p>
        </w:tc>
        <w:tc>
          <w:tcPr>
            <w:tcW w:w="790" w:type="dxa"/>
            <w:shd w:val="clear" w:color="auto" w:fill="auto"/>
            <w:noWrap/>
            <w:hideMark/>
          </w:tcPr>
          <w:p w14:paraId="2DCC8A1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4.0</w:t>
            </w:r>
          </w:p>
        </w:tc>
      </w:tr>
      <w:tr w:rsidR="00AF0ADF" w:rsidRPr="00874241" w14:paraId="6BF76DB6" w14:textId="77777777" w:rsidTr="00B94D3E">
        <w:trPr>
          <w:trHeight w:val="253"/>
        </w:trPr>
        <w:tc>
          <w:tcPr>
            <w:tcW w:w="3817" w:type="dxa"/>
            <w:shd w:val="clear" w:color="auto" w:fill="auto"/>
            <w:noWrap/>
            <w:hideMark/>
          </w:tcPr>
          <w:p w14:paraId="33783B0A"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25-29</w:t>
            </w:r>
          </w:p>
        </w:tc>
        <w:tc>
          <w:tcPr>
            <w:tcW w:w="789" w:type="dxa"/>
            <w:shd w:val="clear" w:color="auto" w:fill="auto"/>
            <w:noWrap/>
            <w:hideMark/>
          </w:tcPr>
          <w:p w14:paraId="267DBB7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6.3</w:t>
            </w:r>
          </w:p>
        </w:tc>
        <w:tc>
          <w:tcPr>
            <w:tcW w:w="790" w:type="dxa"/>
            <w:shd w:val="clear" w:color="auto" w:fill="auto"/>
            <w:noWrap/>
            <w:hideMark/>
          </w:tcPr>
          <w:p w14:paraId="408C722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6.4</w:t>
            </w:r>
          </w:p>
        </w:tc>
        <w:tc>
          <w:tcPr>
            <w:tcW w:w="789" w:type="dxa"/>
            <w:shd w:val="clear" w:color="auto" w:fill="auto"/>
            <w:noWrap/>
            <w:hideMark/>
          </w:tcPr>
          <w:p w14:paraId="67034FE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6.7</w:t>
            </w:r>
          </w:p>
        </w:tc>
        <w:tc>
          <w:tcPr>
            <w:tcW w:w="790" w:type="dxa"/>
            <w:shd w:val="clear" w:color="auto" w:fill="auto"/>
            <w:noWrap/>
            <w:hideMark/>
          </w:tcPr>
          <w:p w14:paraId="051D2AB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6.1</w:t>
            </w:r>
          </w:p>
        </w:tc>
        <w:tc>
          <w:tcPr>
            <w:tcW w:w="789" w:type="dxa"/>
            <w:shd w:val="clear" w:color="auto" w:fill="auto"/>
            <w:noWrap/>
            <w:hideMark/>
          </w:tcPr>
          <w:p w14:paraId="4AFB464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5.5</w:t>
            </w:r>
          </w:p>
        </w:tc>
        <w:tc>
          <w:tcPr>
            <w:tcW w:w="790" w:type="dxa"/>
            <w:shd w:val="clear" w:color="auto" w:fill="auto"/>
            <w:noWrap/>
            <w:hideMark/>
          </w:tcPr>
          <w:p w14:paraId="24C3EF4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5.8</w:t>
            </w:r>
          </w:p>
        </w:tc>
        <w:tc>
          <w:tcPr>
            <w:tcW w:w="790" w:type="dxa"/>
            <w:shd w:val="clear" w:color="auto" w:fill="auto"/>
            <w:noWrap/>
            <w:hideMark/>
          </w:tcPr>
          <w:p w14:paraId="0BC0513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5.6</w:t>
            </w:r>
          </w:p>
        </w:tc>
      </w:tr>
      <w:tr w:rsidR="00AF0ADF" w:rsidRPr="00874241" w14:paraId="07DED6DA" w14:textId="77777777" w:rsidTr="00B94D3E">
        <w:trPr>
          <w:trHeight w:val="253"/>
        </w:trPr>
        <w:tc>
          <w:tcPr>
            <w:tcW w:w="3817" w:type="dxa"/>
            <w:shd w:val="clear" w:color="auto" w:fill="auto"/>
            <w:noWrap/>
            <w:hideMark/>
          </w:tcPr>
          <w:p w14:paraId="0E38BFB4"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30-34</w:t>
            </w:r>
          </w:p>
        </w:tc>
        <w:tc>
          <w:tcPr>
            <w:tcW w:w="789" w:type="dxa"/>
            <w:shd w:val="clear" w:color="auto" w:fill="auto"/>
            <w:noWrap/>
            <w:hideMark/>
          </w:tcPr>
          <w:p w14:paraId="321F151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5.6</w:t>
            </w:r>
          </w:p>
        </w:tc>
        <w:tc>
          <w:tcPr>
            <w:tcW w:w="790" w:type="dxa"/>
            <w:shd w:val="clear" w:color="auto" w:fill="auto"/>
            <w:noWrap/>
            <w:hideMark/>
          </w:tcPr>
          <w:p w14:paraId="6D79C04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5.9</w:t>
            </w:r>
          </w:p>
        </w:tc>
        <w:tc>
          <w:tcPr>
            <w:tcW w:w="789" w:type="dxa"/>
            <w:shd w:val="clear" w:color="auto" w:fill="auto"/>
            <w:noWrap/>
            <w:hideMark/>
          </w:tcPr>
          <w:p w14:paraId="72D1DC8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6.0</w:t>
            </w:r>
          </w:p>
        </w:tc>
        <w:tc>
          <w:tcPr>
            <w:tcW w:w="790" w:type="dxa"/>
            <w:shd w:val="clear" w:color="auto" w:fill="auto"/>
            <w:noWrap/>
            <w:hideMark/>
          </w:tcPr>
          <w:p w14:paraId="7805E93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5.8</w:t>
            </w:r>
          </w:p>
        </w:tc>
        <w:tc>
          <w:tcPr>
            <w:tcW w:w="789" w:type="dxa"/>
            <w:shd w:val="clear" w:color="auto" w:fill="auto"/>
            <w:noWrap/>
            <w:hideMark/>
          </w:tcPr>
          <w:p w14:paraId="15D058B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5.4</w:t>
            </w:r>
          </w:p>
        </w:tc>
        <w:tc>
          <w:tcPr>
            <w:tcW w:w="790" w:type="dxa"/>
            <w:shd w:val="clear" w:color="auto" w:fill="auto"/>
            <w:noWrap/>
            <w:hideMark/>
          </w:tcPr>
          <w:p w14:paraId="74E842D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5.3</w:t>
            </w:r>
          </w:p>
        </w:tc>
        <w:tc>
          <w:tcPr>
            <w:tcW w:w="790" w:type="dxa"/>
            <w:shd w:val="clear" w:color="auto" w:fill="auto"/>
            <w:noWrap/>
            <w:hideMark/>
          </w:tcPr>
          <w:p w14:paraId="0D5819B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5.4</w:t>
            </w:r>
          </w:p>
        </w:tc>
      </w:tr>
      <w:tr w:rsidR="00AF0ADF" w:rsidRPr="00874241" w14:paraId="2A707331" w14:textId="77777777" w:rsidTr="00B94D3E">
        <w:trPr>
          <w:trHeight w:val="253"/>
        </w:trPr>
        <w:tc>
          <w:tcPr>
            <w:tcW w:w="3817" w:type="dxa"/>
            <w:shd w:val="clear" w:color="auto" w:fill="auto"/>
            <w:noWrap/>
            <w:hideMark/>
          </w:tcPr>
          <w:p w14:paraId="0AE50F1D"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35-39</w:t>
            </w:r>
          </w:p>
        </w:tc>
        <w:tc>
          <w:tcPr>
            <w:tcW w:w="789" w:type="dxa"/>
            <w:shd w:val="clear" w:color="auto" w:fill="auto"/>
            <w:noWrap/>
            <w:hideMark/>
          </w:tcPr>
          <w:p w14:paraId="10817B9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90" w:type="dxa"/>
            <w:shd w:val="clear" w:color="auto" w:fill="auto"/>
            <w:noWrap/>
            <w:hideMark/>
          </w:tcPr>
          <w:p w14:paraId="526E2DB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4.5</w:t>
            </w:r>
          </w:p>
        </w:tc>
        <w:tc>
          <w:tcPr>
            <w:tcW w:w="789" w:type="dxa"/>
            <w:shd w:val="clear" w:color="auto" w:fill="auto"/>
            <w:noWrap/>
            <w:hideMark/>
          </w:tcPr>
          <w:p w14:paraId="67DC764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c>
          <w:tcPr>
            <w:tcW w:w="790" w:type="dxa"/>
            <w:shd w:val="clear" w:color="auto" w:fill="auto"/>
            <w:noWrap/>
            <w:hideMark/>
          </w:tcPr>
          <w:p w14:paraId="0FB1A55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4.6</w:t>
            </w:r>
          </w:p>
        </w:tc>
        <w:tc>
          <w:tcPr>
            <w:tcW w:w="789" w:type="dxa"/>
            <w:shd w:val="clear" w:color="auto" w:fill="auto"/>
            <w:noWrap/>
            <w:hideMark/>
          </w:tcPr>
          <w:p w14:paraId="2D20822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90" w:type="dxa"/>
            <w:shd w:val="clear" w:color="auto" w:fill="auto"/>
            <w:noWrap/>
            <w:hideMark/>
          </w:tcPr>
          <w:p w14:paraId="532EB91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90" w:type="dxa"/>
            <w:shd w:val="clear" w:color="auto" w:fill="auto"/>
            <w:noWrap/>
            <w:hideMark/>
          </w:tcPr>
          <w:p w14:paraId="427F586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4.5</w:t>
            </w:r>
          </w:p>
        </w:tc>
      </w:tr>
      <w:tr w:rsidR="00AF0ADF" w:rsidRPr="00874241" w14:paraId="51249B01" w14:textId="77777777" w:rsidTr="00B94D3E">
        <w:trPr>
          <w:trHeight w:val="253"/>
        </w:trPr>
        <w:tc>
          <w:tcPr>
            <w:tcW w:w="3817" w:type="dxa"/>
            <w:shd w:val="clear" w:color="auto" w:fill="auto"/>
            <w:noWrap/>
            <w:hideMark/>
          </w:tcPr>
          <w:p w14:paraId="36FFE29D"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40 and over</w:t>
            </w:r>
          </w:p>
        </w:tc>
        <w:tc>
          <w:tcPr>
            <w:tcW w:w="789" w:type="dxa"/>
            <w:shd w:val="clear" w:color="auto" w:fill="auto"/>
            <w:noWrap/>
            <w:hideMark/>
          </w:tcPr>
          <w:p w14:paraId="11A5634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3.6</w:t>
            </w:r>
          </w:p>
        </w:tc>
        <w:tc>
          <w:tcPr>
            <w:tcW w:w="790" w:type="dxa"/>
            <w:shd w:val="clear" w:color="auto" w:fill="auto"/>
            <w:noWrap/>
            <w:hideMark/>
          </w:tcPr>
          <w:p w14:paraId="10DE3DC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4.0</w:t>
            </w:r>
          </w:p>
        </w:tc>
        <w:tc>
          <w:tcPr>
            <w:tcW w:w="789" w:type="dxa"/>
            <w:shd w:val="clear" w:color="auto" w:fill="auto"/>
            <w:noWrap/>
            <w:hideMark/>
          </w:tcPr>
          <w:p w14:paraId="38F51B3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3.2</w:t>
            </w:r>
          </w:p>
        </w:tc>
        <w:tc>
          <w:tcPr>
            <w:tcW w:w="790" w:type="dxa"/>
            <w:shd w:val="clear" w:color="auto" w:fill="auto"/>
            <w:noWrap/>
            <w:hideMark/>
          </w:tcPr>
          <w:p w14:paraId="2E20F21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3.5</w:t>
            </w:r>
          </w:p>
        </w:tc>
        <w:tc>
          <w:tcPr>
            <w:tcW w:w="789" w:type="dxa"/>
            <w:shd w:val="clear" w:color="auto" w:fill="auto"/>
            <w:noWrap/>
            <w:hideMark/>
          </w:tcPr>
          <w:p w14:paraId="40F4BE5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3.5</w:t>
            </w:r>
          </w:p>
        </w:tc>
        <w:tc>
          <w:tcPr>
            <w:tcW w:w="790" w:type="dxa"/>
            <w:shd w:val="clear" w:color="auto" w:fill="auto"/>
            <w:noWrap/>
            <w:hideMark/>
          </w:tcPr>
          <w:p w14:paraId="0836E2D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2.9</w:t>
            </w:r>
          </w:p>
        </w:tc>
        <w:tc>
          <w:tcPr>
            <w:tcW w:w="790" w:type="dxa"/>
            <w:shd w:val="clear" w:color="auto" w:fill="auto"/>
            <w:noWrap/>
            <w:hideMark/>
          </w:tcPr>
          <w:p w14:paraId="3CA9977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3.0</w:t>
            </w:r>
          </w:p>
        </w:tc>
      </w:tr>
      <w:tr w:rsidR="00AF0ADF" w:rsidRPr="00874241" w14:paraId="3D0BBA4C" w14:textId="77777777" w:rsidTr="00B94D3E">
        <w:trPr>
          <w:trHeight w:val="253"/>
        </w:trPr>
        <w:tc>
          <w:tcPr>
            <w:tcW w:w="9344" w:type="dxa"/>
            <w:gridSpan w:val="8"/>
            <w:shd w:val="clear" w:color="auto" w:fill="auto"/>
            <w:noWrap/>
            <w:hideMark/>
          </w:tcPr>
          <w:p w14:paraId="045B48FD" w14:textId="01C1C148" w:rsidR="00AF0ADF" w:rsidRPr="00874241" w:rsidRDefault="00AF0ADF" w:rsidP="00AF0ADF">
            <w:pPr>
              <w:rPr>
                <w:rFonts w:cstheme="minorHAnsi"/>
                <w:sz w:val="20"/>
                <w:szCs w:val="20"/>
              </w:rPr>
            </w:pPr>
            <w:r w:rsidRPr="00874241">
              <w:rPr>
                <w:rFonts w:cstheme="minorHAnsi"/>
                <w:b/>
                <w:bCs/>
                <w:color w:val="000000"/>
                <w:sz w:val="20"/>
                <w:szCs w:val="20"/>
              </w:rPr>
              <w:t xml:space="preserve">Mother's </w:t>
            </w:r>
            <w:r w:rsidR="00FB0C38">
              <w:rPr>
                <w:rFonts w:cstheme="minorHAnsi"/>
                <w:b/>
                <w:bCs/>
                <w:color w:val="000000"/>
                <w:sz w:val="20"/>
                <w:szCs w:val="20"/>
              </w:rPr>
              <w:t>Indig</w:t>
            </w:r>
            <w:r w:rsidRPr="00874241">
              <w:rPr>
                <w:rFonts w:cstheme="minorHAnsi"/>
                <w:b/>
                <w:bCs/>
                <w:color w:val="000000"/>
                <w:sz w:val="20"/>
                <w:szCs w:val="20"/>
              </w:rPr>
              <w:t>enous status</w:t>
            </w:r>
          </w:p>
        </w:tc>
      </w:tr>
      <w:tr w:rsidR="00AF0ADF" w:rsidRPr="00874241" w14:paraId="3DC8916B" w14:textId="77777777" w:rsidTr="00B94D3E">
        <w:trPr>
          <w:trHeight w:val="253"/>
        </w:trPr>
        <w:tc>
          <w:tcPr>
            <w:tcW w:w="3817" w:type="dxa"/>
            <w:shd w:val="clear" w:color="auto" w:fill="auto"/>
            <w:noWrap/>
            <w:hideMark/>
          </w:tcPr>
          <w:p w14:paraId="05F6CBC8"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Indigenous</w:t>
            </w:r>
          </w:p>
        </w:tc>
        <w:tc>
          <w:tcPr>
            <w:tcW w:w="789" w:type="dxa"/>
            <w:shd w:val="clear" w:color="auto" w:fill="auto"/>
            <w:noWrap/>
            <w:hideMark/>
          </w:tcPr>
          <w:p w14:paraId="67F466C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4.6</w:t>
            </w:r>
          </w:p>
        </w:tc>
        <w:tc>
          <w:tcPr>
            <w:tcW w:w="790" w:type="dxa"/>
            <w:shd w:val="clear" w:color="auto" w:fill="auto"/>
            <w:noWrap/>
            <w:hideMark/>
          </w:tcPr>
          <w:p w14:paraId="2618108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c>
          <w:tcPr>
            <w:tcW w:w="789" w:type="dxa"/>
            <w:shd w:val="clear" w:color="auto" w:fill="auto"/>
            <w:noWrap/>
            <w:hideMark/>
          </w:tcPr>
          <w:p w14:paraId="043EC6E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3.2</w:t>
            </w:r>
          </w:p>
        </w:tc>
        <w:tc>
          <w:tcPr>
            <w:tcW w:w="790" w:type="dxa"/>
            <w:shd w:val="clear" w:color="auto" w:fill="auto"/>
            <w:noWrap/>
            <w:hideMark/>
          </w:tcPr>
          <w:p w14:paraId="7761B78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4.3</w:t>
            </w:r>
          </w:p>
        </w:tc>
        <w:tc>
          <w:tcPr>
            <w:tcW w:w="789" w:type="dxa"/>
            <w:shd w:val="clear" w:color="auto" w:fill="auto"/>
            <w:noWrap/>
            <w:hideMark/>
          </w:tcPr>
          <w:p w14:paraId="7AC9A80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4.4</w:t>
            </w:r>
          </w:p>
        </w:tc>
        <w:tc>
          <w:tcPr>
            <w:tcW w:w="790" w:type="dxa"/>
            <w:shd w:val="clear" w:color="auto" w:fill="auto"/>
            <w:noWrap/>
            <w:hideMark/>
          </w:tcPr>
          <w:p w14:paraId="2540F2FC"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4.8</w:t>
            </w:r>
          </w:p>
        </w:tc>
        <w:tc>
          <w:tcPr>
            <w:tcW w:w="790" w:type="dxa"/>
            <w:shd w:val="clear" w:color="auto" w:fill="auto"/>
            <w:noWrap/>
            <w:hideMark/>
          </w:tcPr>
          <w:p w14:paraId="47B6758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5.1</w:t>
            </w:r>
          </w:p>
        </w:tc>
      </w:tr>
      <w:tr w:rsidR="00AF0ADF" w:rsidRPr="00874241" w14:paraId="37B092D4" w14:textId="77777777" w:rsidTr="00B94D3E">
        <w:trPr>
          <w:trHeight w:val="253"/>
        </w:trPr>
        <w:tc>
          <w:tcPr>
            <w:tcW w:w="3817" w:type="dxa"/>
            <w:shd w:val="clear" w:color="auto" w:fill="auto"/>
            <w:noWrap/>
            <w:hideMark/>
          </w:tcPr>
          <w:p w14:paraId="527F7EA0"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Non-Indigenous</w:t>
            </w:r>
          </w:p>
        </w:tc>
        <w:tc>
          <w:tcPr>
            <w:tcW w:w="789" w:type="dxa"/>
            <w:shd w:val="clear" w:color="auto" w:fill="auto"/>
            <w:noWrap/>
            <w:hideMark/>
          </w:tcPr>
          <w:p w14:paraId="0029A84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4.5</w:t>
            </w:r>
          </w:p>
        </w:tc>
        <w:tc>
          <w:tcPr>
            <w:tcW w:w="790" w:type="dxa"/>
            <w:shd w:val="clear" w:color="auto" w:fill="auto"/>
            <w:noWrap/>
            <w:hideMark/>
          </w:tcPr>
          <w:p w14:paraId="592971B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89" w:type="dxa"/>
            <w:shd w:val="clear" w:color="auto" w:fill="auto"/>
            <w:noWrap/>
            <w:hideMark/>
          </w:tcPr>
          <w:p w14:paraId="25FBCBE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90" w:type="dxa"/>
            <w:shd w:val="clear" w:color="auto" w:fill="auto"/>
            <w:noWrap/>
            <w:hideMark/>
          </w:tcPr>
          <w:p w14:paraId="47CB1A8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4.5</w:t>
            </w:r>
          </w:p>
        </w:tc>
        <w:tc>
          <w:tcPr>
            <w:tcW w:w="789" w:type="dxa"/>
            <w:shd w:val="clear" w:color="auto" w:fill="auto"/>
            <w:noWrap/>
            <w:hideMark/>
          </w:tcPr>
          <w:p w14:paraId="55C5F8F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4.4</w:t>
            </w:r>
          </w:p>
        </w:tc>
        <w:tc>
          <w:tcPr>
            <w:tcW w:w="790" w:type="dxa"/>
            <w:shd w:val="clear" w:color="auto" w:fill="auto"/>
            <w:noWrap/>
            <w:hideMark/>
          </w:tcPr>
          <w:p w14:paraId="26EE38D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4.2</w:t>
            </w:r>
          </w:p>
        </w:tc>
        <w:tc>
          <w:tcPr>
            <w:tcW w:w="790" w:type="dxa"/>
            <w:shd w:val="clear" w:color="auto" w:fill="auto"/>
            <w:noWrap/>
            <w:hideMark/>
          </w:tcPr>
          <w:p w14:paraId="1C0645C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4.2</w:t>
            </w:r>
          </w:p>
        </w:tc>
      </w:tr>
      <w:tr w:rsidR="00AF0ADF" w:rsidRPr="00874241" w14:paraId="1C43D6BE" w14:textId="77777777" w:rsidTr="00B94D3E">
        <w:trPr>
          <w:trHeight w:val="253"/>
        </w:trPr>
        <w:tc>
          <w:tcPr>
            <w:tcW w:w="9344" w:type="dxa"/>
            <w:gridSpan w:val="8"/>
            <w:shd w:val="clear" w:color="auto" w:fill="auto"/>
            <w:noWrap/>
            <w:hideMark/>
          </w:tcPr>
          <w:p w14:paraId="0BFDA231" w14:textId="77777777" w:rsidR="00AF0ADF" w:rsidRPr="00874241" w:rsidRDefault="00AF0ADF" w:rsidP="00AF0ADF">
            <w:pPr>
              <w:rPr>
                <w:rFonts w:cstheme="minorHAnsi"/>
                <w:sz w:val="20"/>
                <w:szCs w:val="20"/>
              </w:rPr>
            </w:pPr>
            <w:r w:rsidRPr="00874241">
              <w:rPr>
                <w:rFonts w:cstheme="minorHAnsi"/>
                <w:b/>
                <w:bCs/>
                <w:color w:val="000000"/>
                <w:sz w:val="20"/>
                <w:szCs w:val="20"/>
              </w:rPr>
              <w:t>Remoteness of mother's usual residence</w:t>
            </w:r>
          </w:p>
        </w:tc>
      </w:tr>
      <w:tr w:rsidR="00AF0ADF" w:rsidRPr="00874241" w14:paraId="3B848C79" w14:textId="77777777" w:rsidTr="00B94D3E">
        <w:trPr>
          <w:trHeight w:val="253"/>
        </w:trPr>
        <w:tc>
          <w:tcPr>
            <w:tcW w:w="3817" w:type="dxa"/>
            <w:shd w:val="clear" w:color="auto" w:fill="auto"/>
            <w:noWrap/>
            <w:hideMark/>
          </w:tcPr>
          <w:p w14:paraId="7191FF8D"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Major cities</w:t>
            </w:r>
          </w:p>
        </w:tc>
        <w:tc>
          <w:tcPr>
            <w:tcW w:w="789" w:type="dxa"/>
            <w:shd w:val="clear" w:color="auto" w:fill="auto"/>
            <w:noWrap/>
            <w:hideMark/>
          </w:tcPr>
          <w:p w14:paraId="0905BDD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5.5</w:t>
            </w:r>
          </w:p>
        </w:tc>
        <w:tc>
          <w:tcPr>
            <w:tcW w:w="790" w:type="dxa"/>
            <w:shd w:val="clear" w:color="auto" w:fill="auto"/>
            <w:noWrap/>
            <w:hideMark/>
          </w:tcPr>
          <w:p w14:paraId="3C5066B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5.6</w:t>
            </w:r>
          </w:p>
        </w:tc>
        <w:tc>
          <w:tcPr>
            <w:tcW w:w="789" w:type="dxa"/>
            <w:shd w:val="clear" w:color="auto" w:fill="auto"/>
            <w:noWrap/>
            <w:hideMark/>
          </w:tcPr>
          <w:p w14:paraId="7381B8F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5.8</w:t>
            </w:r>
          </w:p>
        </w:tc>
        <w:tc>
          <w:tcPr>
            <w:tcW w:w="790" w:type="dxa"/>
            <w:shd w:val="clear" w:color="auto" w:fill="auto"/>
            <w:noWrap/>
            <w:hideMark/>
          </w:tcPr>
          <w:p w14:paraId="52A111C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5.4</w:t>
            </w:r>
          </w:p>
        </w:tc>
        <w:tc>
          <w:tcPr>
            <w:tcW w:w="789" w:type="dxa"/>
            <w:shd w:val="clear" w:color="auto" w:fill="auto"/>
            <w:noWrap/>
            <w:hideMark/>
          </w:tcPr>
          <w:p w14:paraId="0833CE7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5.1</w:t>
            </w:r>
          </w:p>
        </w:tc>
        <w:tc>
          <w:tcPr>
            <w:tcW w:w="790" w:type="dxa"/>
            <w:shd w:val="clear" w:color="auto" w:fill="auto"/>
            <w:noWrap/>
            <w:hideMark/>
          </w:tcPr>
          <w:p w14:paraId="4685916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c>
          <w:tcPr>
            <w:tcW w:w="790" w:type="dxa"/>
            <w:shd w:val="clear" w:color="auto" w:fill="auto"/>
            <w:noWrap/>
            <w:hideMark/>
          </w:tcPr>
          <w:p w14:paraId="0D27661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r>
      <w:tr w:rsidR="00AF0ADF" w:rsidRPr="00874241" w14:paraId="780F023D" w14:textId="77777777" w:rsidTr="00B94D3E">
        <w:trPr>
          <w:trHeight w:val="253"/>
        </w:trPr>
        <w:tc>
          <w:tcPr>
            <w:tcW w:w="3817" w:type="dxa"/>
            <w:shd w:val="clear" w:color="auto" w:fill="auto"/>
            <w:noWrap/>
            <w:hideMark/>
          </w:tcPr>
          <w:p w14:paraId="670DCB0E"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Inner regional</w:t>
            </w:r>
          </w:p>
        </w:tc>
        <w:tc>
          <w:tcPr>
            <w:tcW w:w="789" w:type="dxa"/>
            <w:shd w:val="clear" w:color="auto" w:fill="auto"/>
            <w:noWrap/>
            <w:hideMark/>
          </w:tcPr>
          <w:p w14:paraId="1733D4C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4.4</w:t>
            </w:r>
          </w:p>
        </w:tc>
        <w:tc>
          <w:tcPr>
            <w:tcW w:w="790" w:type="dxa"/>
            <w:shd w:val="clear" w:color="auto" w:fill="auto"/>
            <w:noWrap/>
            <w:hideMark/>
          </w:tcPr>
          <w:p w14:paraId="3A7646A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c>
          <w:tcPr>
            <w:tcW w:w="789" w:type="dxa"/>
            <w:shd w:val="clear" w:color="auto" w:fill="auto"/>
            <w:noWrap/>
            <w:hideMark/>
          </w:tcPr>
          <w:p w14:paraId="6680901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4.8</w:t>
            </w:r>
          </w:p>
        </w:tc>
        <w:tc>
          <w:tcPr>
            <w:tcW w:w="790" w:type="dxa"/>
            <w:shd w:val="clear" w:color="auto" w:fill="auto"/>
            <w:noWrap/>
            <w:hideMark/>
          </w:tcPr>
          <w:p w14:paraId="6D258B8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c>
          <w:tcPr>
            <w:tcW w:w="789" w:type="dxa"/>
            <w:shd w:val="clear" w:color="auto" w:fill="auto"/>
            <w:noWrap/>
            <w:hideMark/>
          </w:tcPr>
          <w:p w14:paraId="54661EC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4.6</w:t>
            </w:r>
          </w:p>
        </w:tc>
        <w:tc>
          <w:tcPr>
            <w:tcW w:w="790" w:type="dxa"/>
            <w:shd w:val="clear" w:color="auto" w:fill="auto"/>
            <w:noWrap/>
            <w:hideMark/>
          </w:tcPr>
          <w:p w14:paraId="6CB740E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4.8</w:t>
            </w:r>
          </w:p>
        </w:tc>
        <w:tc>
          <w:tcPr>
            <w:tcW w:w="790" w:type="dxa"/>
            <w:shd w:val="clear" w:color="auto" w:fill="auto"/>
            <w:noWrap/>
            <w:hideMark/>
          </w:tcPr>
          <w:p w14:paraId="4D42003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r>
      <w:tr w:rsidR="00AF0ADF" w:rsidRPr="00874241" w14:paraId="2318972C" w14:textId="77777777" w:rsidTr="00B94D3E">
        <w:trPr>
          <w:trHeight w:val="253"/>
        </w:trPr>
        <w:tc>
          <w:tcPr>
            <w:tcW w:w="3817" w:type="dxa"/>
            <w:shd w:val="clear" w:color="auto" w:fill="auto"/>
            <w:noWrap/>
            <w:hideMark/>
          </w:tcPr>
          <w:p w14:paraId="72D5CA34"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Outer regional</w:t>
            </w:r>
          </w:p>
        </w:tc>
        <w:tc>
          <w:tcPr>
            <w:tcW w:w="789" w:type="dxa"/>
            <w:shd w:val="clear" w:color="auto" w:fill="auto"/>
            <w:noWrap/>
            <w:hideMark/>
          </w:tcPr>
          <w:p w14:paraId="0EBB2A6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4.6</w:t>
            </w:r>
          </w:p>
        </w:tc>
        <w:tc>
          <w:tcPr>
            <w:tcW w:w="790" w:type="dxa"/>
            <w:shd w:val="clear" w:color="auto" w:fill="auto"/>
            <w:noWrap/>
            <w:hideMark/>
          </w:tcPr>
          <w:p w14:paraId="3D56481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89" w:type="dxa"/>
            <w:shd w:val="clear" w:color="auto" w:fill="auto"/>
            <w:noWrap/>
            <w:hideMark/>
          </w:tcPr>
          <w:p w14:paraId="3219A88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5.2</w:t>
            </w:r>
          </w:p>
        </w:tc>
        <w:tc>
          <w:tcPr>
            <w:tcW w:w="790" w:type="dxa"/>
            <w:shd w:val="clear" w:color="auto" w:fill="auto"/>
            <w:noWrap/>
            <w:hideMark/>
          </w:tcPr>
          <w:p w14:paraId="1D62FFA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c>
          <w:tcPr>
            <w:tcW w:w="789" w:type="dxa"/>
            <w:shd w:val="clear" w:color="auto" w:fill="auto"/>
            <w:noWrap/>
            <w:hideMark/>
          </w:tcPr>
          <w:p w14:paraId="79F6CE3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5.2</w:t>
            </w:r>
          </w:p>
        </w:tc>
        <w:tc>
          <w:tcPr>
            <w:tcW w:w="790" w:type="dxa"/>
            <w:shd w:val="clear" w:color="auto" w:fill="auto"/>
            <w:noWrap/>
            <w:hideMark/>
          </w:tcPr>
          <w:p w14:paraId="0C51C2F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5.4</w:t>
            </w:r>
          </w:p>
        </w:tc>
        <w:tc>
          <w:tcPr>
            <w:tcW w:w="790" w:type="dxa"/>
            <w:shd w:val="clear" w:color="auto" w:fill="auto"/>
            <w:noWrap/>
            <w:hideMark/>
          </w:tcPr>
          <w:p w14:paraId="37B12D0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r>
      <w:tr w:rsidR="00AF0ADF" w:rsidRPr="00874241" w14:paraId="0DB6A351" w14:textId="77777777" w:rsidTr="00B94D3E">
        <w:trPr>
          <w:trHeight w:val="253"/>
        </w:trPr>
        <w:tc>
          <w:tcPr>
            <w:tcW w:w="3817" w:type="dxa"/>
            <w:shd w:val="clear" w:color="auto" w:fill="auto"/>
            <w:noWrap/>
            <w:hideMark/>
          </w:tcPr>
          <w:p w14:paraId="016C269D"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Remote</w:t>
            </w:r>
          </w:p>
        </w:tc>
        <w:tc>
          <w:tcPr>
            <w:tcW w:w="789" w:type="dxa"/>
            <w:shd w:val="clear" w:color="auto" w:fill="auto"/>
            <w:noWrap/>
            <w:hideMark/>
          </w:tcPr>
          <w:p w14:paraId="2D120E4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3.7</w:t>
            </w:r>
          </w:p>
        </w:tc>
        <w:tc>
          <w:tcPr>
            <w:tcW w:w="790" w:type="dxa"/>
            <w:shd w:val="clear" w:color="auto" w:fill="auto"/>
            <w:noWrap/>
            <w:hideMark/>
          </w:tcPr>
          <w:p w14:paraId="28BAB14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89" w:type="dxa"/>
            <w:shd w:val="clear" w:color="auto" w:fill="auto"/>
            <w:noWrap/>
            <w:hideMark/>
          </w:tcPr>
          <w:p w14:paraId="1D30D7D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5.8</w:t>
            </w:r>
          </w:p>
        </w:tc>
        <w:tc>
          <w:tcPr>
            <w:tcW w:w="790" w:type="dxa"/>
            <w:shd w:val="clear" w:color="auto" w:fill="auto"/>
            <w:noWrap/>
            <w:hideMark/>
          </w:tcPr>
          <w:p w14:paraId="75D419E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5.6</w:t>
            </w:r>
          </w:p>
        </w:tc>
        <w:tc>
          <w:tcPr>
            <w:tcW w:w="789" w:type="dxa"/>
            <w:shd w:val="clear" w:color="auto" w:fill="auto"/>
            <w:noWrap/>
            <w:hideMark/>
          </w:tcPr>
          <w:p w14:paraId="64F33C4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4.0</w:t>
            </w:r>
          </w:p>
        </w:tc>
        <w:tc>
          <w:tcPr>
            <w:tcW w:w="790" w:type="dxa"/>
            <w:shd w:val="clear" w:color="auto" w:fill="auto"/>
            <w:noWrap/>
            <w:hideMark/>
          </w:tcPr>
          <w:p w14:paraId="625C413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90" w:type="dxa"/>
            <w:shd w:val="clear" w:color="auto" w:fill="auto"/>
            <w:noWrap/>
            <w:hideMark/>
          </w:tcPr>
          <w:p w14:paraId="083FAC0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5.1</w:t>
            </w:r>
          </w:p>
        </w:tc>
      </w:tr>
      <w:tr w:rsidR="00AF0ADF" w:rsidRPr="00874241" w14:paraId="6962CA3A" w14:textId="77777777" w:rsidTr="00B94D3E">
        <w:trPr>
          <w:trHeight w:val="253"/>
        </w:trPr>
        <w:tc>
          <w:tcPr>
            <w:tcW w:w="3817" w:type="dxa"/>
            <w:shd w:val="clear" w:color="auto" w:fill="auto"/>
            <w:noWrap/>
            <w:hideMark/>
          </w:tcPr>
          <w:p w14:paraId="32A4250E"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Very remote</w:t>
            </w:r>
          </w:p>
        </w:tc>
        <w:tc>
          <w:tcPr>
            <w:tcW w:w="789" w:type="dxa"/>
            <w:shd w:val="clear" w:color="auto" w:fill="auto"/>
            <w:noWrap/>
            <w:hideMark/>
          </w:tcPr>
          <w:p w14:paraId="5E2E60A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5.3</w:t>
            </w:r>
          </w:p>
        </w:tc>
        <w:tc>
          <w:tcPr>
            <w:tcW w:w="790" w:type="dxa"/>
            <w:shd w:val="clear" w:color="auto" w:fill="auto"/>
            <w:noWrap/>
            <w:hideMark/>
          </w:tcPr>
          <w:p w14:paraId="343DD27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7.1</w:t>
            </w:r>
          </w:p>
        </w:tc>
        <w:tc>
          <w:tcPr>
            <w:tcW w:w="789" w:type="dxa"/>
            <w:shd w:val="clear" w:color="auto" w:fill="auto"/>
            <w:noWrap/>
            <w:hideMark/>
          </w:tcPr>
          <w:p w14:paraId="42BFC7C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6.2</w:t>
            </w:r>
          </w:p>
        </w:tc>
        <w:tc>
          <w:tcPr>
            <w:tcW w:w="790" w:type="dxa"/>
            <w:shd w:val="clear" w:color="auto" w:fill="auto"/>
            <w:noWrap/>
            <w:hideMark/>
          </w:tcPr>
          <w:p w14:paraId="525F8E4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6.4</w:t>
            </w:r>
          </w:p>
        </w:tc>
        <w:tc>
          <w:tcPr>
            <w:tcW w:w="789" w:type="dxa"/>
            <w:shd w:val="clear" w:color="auto" w:fill="auto"/>
            <w:noWrap/>
            <w:hideMark/>
          </w:tcPr>
          <w:p w14:paraId="36E339F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c>
          <w:tcPr>
            <w:tcW w:w="790" w:type="dxa"/>
            <w:shd w:val="clear" w:color="auto" w:fill="auto"/>
            <w:noWrap/>
            <w:hideMark/>
          </w:tcPr>
          <w:p w14:paraId="4633038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6.7</w:t>
            </w:r>
          </w:p>
        </w:tc>
        <w:tc>
          <w:tcPr>
            <w:tcW w:w="790" w:type="dxa"/>
            <w:shd w:val="clear" w:color="auto" w:fill="auto"/>
            <w:noWrap/>
            <w:hideMark/>
          </w:tcPr>
          <w:p w14:paraId="2E1B539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3.8</w:t>
            </w:r>
          </w:p>
        </w:tc>
      </w:tr>
      <w:tr w:rsidR="00AF0ADF" w:rsidRPr="00874241" w14:paraId="0E41B27C" w14:textId="77777777" w:rsidTr="00B94D3E">
        <w:trPr>
          <w:trHeight w:val="253"/>
        </w:trPr>
        <w:tc>
          <w:tcPr>
            <w:tcW w:w="9344" w:type="dxa"/>
            <w:gridSpan w:val="8"/>
            <w:shd w:val="clear" w:color="auto" w:fill="auto"/>
            <w:noWrap/>
            <w:hideMark/>
          </w:tcPr>
          <w:p w14:paraId="0DF51560" w14:textId="77777777" w:rsidR="00AF0ADF" w:rsidRPr="00874241" w:rsidRDefault="00AF0ADF" w:rsidP="00AF0ADF">
            <w:pPr>
              <w:rPr>
                <w:rFonts w:cstheme="minorHAnsi"/>
                <w:sz w:val="20"/>
                <w:szCs w:val="20"/>
              </w:rPr>
            </w:pPr>
            <w:r w:rsidRPr="00874241">
              <w:rPr>
                <w:rFonts w:cstheme="minorHAnsi"/>
                <w:b/>
                <w:bCs/>
                <w:color w:val="000000"/>
                <w:sz w:val="20"/>
                <w:szCs w:val="20"/>
              </w:rPr>
              <w:t>Hospital sector</w:t>
            </w:r>
          </w:p>
        </w:tc>
      </w:tr>
      <w:tr w:rsidR="00AF0ADF" w:rsidRPr="00874241" w14:paraId="09E30F76" w14:textId="77777777" w:rsidTr="00B94D3E">
        <w:trPr>
          <w:trHeight w:val="253"/>
        </w:trPr>
        <w:tc>
          <w:tcPr>
            <w:tcW w:w="3817" w:type="dxa"/>
            <w:shd w:val="clear" w:color="auto" w:fill="auto"/>
            <w:noWrap/>
            <w:hideMark/>
          </w:tcPr>
          <w:p w14:paraId="0968F1C7"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Private</w:t>
            </w:r>
          </w:p>
        </w:tc>
        <w:tc>
          <w:tcPr>
            <w:tcW w:w="789" w:type="dxa"/>
            <w:shd w:val="clear" w:color="auto" w:fill="auto"/>
            <w:noWrap/>
            <w:hideMark/>
          </w:tcPr>
          <w:p w14:paraId="1A1011A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2.8</w:t>
            </w:r>
          </w:p>
        </w:tc>
        <w:tc>
          <w:tcPr>
            <w:tcW w:w="790" w:type="dxa"/>
            <w:shd w:val="clear" w:color="auto" w:fill="auto"/>
            <w:noWrap/>
            <w:hideMark/>
          </w:tcPr>
          <w:p w14:paraId="7581C32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2.8</w:t>
            </w:r>
          </w:p>
        </w:tc>
        <w:tc>
          <w:tcPr>
            <w:tcW w:w="789" w:type="dxa"/>
            <w:shd w:val="clear" w:color="auto" w:fill="auto"/>
            <w:noWrap/>
            <w:hideMark/>
          </w:tcPr>
          <w:p w14:paraId="0E29863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3.4</w:t>
            </w:r>
          </w:p>
        </w:tc>
        <w:tc>
          <w:tcPr>
            <w:tcW w:w="790" w:type="dxa"/>
            <w:shd w:val="clear" w:color="auto" w:fill="auto"/>
            <w:noWrap/>
            <w:hideMark/>
          </w:tcPr>
          <w:p w14:paraId="6A0DCE8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2.6</w:t>
            </w:r>
          </w:p>
        </w:tc>
        <w:tc>
          <w:tcPr>
            <w:tcW w:w="789" w:type="dxa"/>
            <w:shd w:val="clear" w:color="auto" w:fill="auto"/>
            <w:noWrap/>
            <w:hideMark/>
          </w:tcPr>
          <w:p w14:paraId="2EBA05B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2.8</w:t>
            </w:r>
          </w:p>
        </w:tc>
        <w:tc>
          <w:tcPr>
            <w:tcW w:w="790" w:type="dxa"/>
            <w:shd w:val="clear" w:color="auto" w:fill="auto"/>
            <w:noWrap/>
            <w:hideMark/>
          </w:tcPr>
          <w:p w14:paraId="317AE99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2.3</w:t>
            </w:r>
          </w:p>
        </w:tc>
        <w:tc>
          <w:tcPr>
            <w:tcW w:w="790" w:type="dxa"/>
            <w:shd w:val="clear" w:color="auto" w:fill="auto"/>
            <w:noWrap/>
            <w:hideMark/>
          </w:tcPr>
          <w:p w14:paraId="535F4B9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2.5</w:t>
            </w:r>
          </w:p>
        </w:tc>
      </w:tr>
      <w:tr w:rsidR="00AF0ADF" w:rsidRPr="00874241" w14:paraId="5C00F875" w14:textId="77777777" w:rsidTr="00B94D3E">
        <w:trPr>
          <w:trHeight w:val="253"/>
        </w:trPr>
        <w:tc>
          <w:tcPr>
            <w:tcW w:w="3817" w:type="dxa"/>
            <w:shd w:val="clear" w:color="auto" w:fill="auto"/>
            <w:noWrap/>
            <w:hideMark/>
          </w:tcPr>
          <w:p w14:paraId="66D4D92A"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Public</w:t>
            </w:r>
          </w:p>
        </w:tc>
        <w:tc>
          <w:tcPr>
            <w:tcW w:w="789" w:type="dxa"/>
            <w:shd w:val="clear" w:color="auto" w:fill="auto"/>
            <w:noWrap/>
            <w:hideMark/>
          </w:tcPr>
          <w:p w14:paraId="0E9BFC0C"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6.0</w:t>
            </w:r>
          </w:p>
        </w:tc>
        <w:tc>
          <w:tcPr>
            <w:tcW w:w="790" w:type="dxa"/>
            <w:shd w:val="clear" w:color="auto" w:fill="auto"/>
            <w:noWrap/>
            <w:hideMark/>
          </w:tcPr>
          <w:p w14:paraId="11211F6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6.3</w:t>
            </w:r>
          </w:p>
        </w:tc>
        <w:tc>
          <w:tcPr>
            <w:tcW w:w="789" w:type="dxa"/>
            <w:shd w:val="clear" w:color="auto" w:fill="auto"/>
            <w:noWrap/>
            <w:hideMark/>
          </w:tcPr>
          <w:p w14:paraId="3EBE20A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6.3</w:t>
            </w:r>
          </w:p>
        </w:tc>
        <w:tc>
          <w:tcPr>
            <w:tcW w:w="790" w:type="dxa"/>
            <w:shd w:val="clear" w:color="auto" w:fill="auto"/>
            <w:noWrap/>
            <w:hideMark/>
          </w:tcPr>
          <w:p w14:paraId="1EF7CB5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6.1</w:t>
            </w:r>
          </w:p>
        </w:tc>
        <w:tc>
          <w:tcPr>
            <w:tcW w:w="789" w:type="dxa"/>
            <w:shd w:val="clear" w:color="auto" w:fill="auto"/>
            <w:noWrap/>
            <w:hideMark/>
          </w:tcPr>
          <w:p w14:paraId="23416BB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5.7</w:t>
            </w:r>
          </w:p>
        </w:tc>
        <w:tc>
          <w:tcPr>
            <w:tcW w:w="790" w:type="dxa"/>
            <w:shd w:val="clear" w:color="auto" w:fill="auto"/>
            <w:noWrap/>
            <w:hideMark/>
          </w:tcPr>
          <w:p w14:paraId="1FCDA5B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5.7</w:t>
            </w:r>
          </w:p>
        </w:tc>
        <w:tc>
          <w:tcPr>
            <w:tcW w:w="790" w:type="dxa"/>
            <w:shd w:val="clear" w:color="auto" w:fill="auto"/>
            <w:noWrap/>
            <w:hideMark/>
          </w:tcPr>
          <w:p w14:paraId="2F5B48B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5.6</w:t>
            </w:r>
          </w:p>
        </w:tc>
      </w:tr>
      <w:tr w:rsidR="00AF0ADF" w:rsidRPr="00874241" w14:paraId="73EC0F3E" w14:textId="77777777" w:rsidTr="00B94D3E">
        <w:trPr>
          <w:trHeight w:val="253"/>
        </w:trPr>
        <w:tc>
          <w:tcPr>
            <w:tcW w:w="9344" w:type="dxa"/>
            <w:gridSpan w:val="8"/>
            <w:shd w:val="clear" w:color="auto" w:fill="auto"/>
            <w:noWrap/>
            <w:hideMark/>
          </w:tcPr>
          <w:p w14:paraId="2C487CE4" w14:textId="77777777" w:rsidR="00AF0ADF" w:rsidRPr="00874241" w:rsidRDefault="00AF0ADF" w:rsidP="00AF0ADF">
            <w:pPr>
              <w:rPr>
                <w:rFonts w:cstheme="minorHAnsi"/>
                <w:sz w:val="20"/>
                <w:szCs w:val="20"/>
              </w:rPr>
            </w:pPr>
            <w:r w:rsidRPr="00874241">
              <w:rPr>
                <w:rFonts w:cstheme="minorHAnsi"/>
                <w:b/>
                <w:bCs/>
                <w:color w:val="000000"/>
                <w:sz w:val="20"/>
                <w:szCs w:val="20"/>
              </w:rPr>
              <w:t>Hospitals annual number of births</w:t>
            </w:r>
          </w:p>
        </w:tc>
      </w:tr>
      <w:tr w:rsidR="00AF0ADF" w:rsidRPr="00874241" w14:paraId="4CE6E9F4" w14:textId="77777777" w:rsidTr="00B94D3E">
        <w:trPr>
          <w:trHeight w:val="253"/>
        </w:trPr>
        <w:tc>
          <w:tcPr>
            <w:tcW w:w="3817" w:type="dxa"/>
            <w:shd w:val="clear" w:color="auto" w:fill="auto"/>
            <w:noWrap/>
            <w:hideMark/>
          </w:tcPr>
          <w:p w14:paraId="4211A440"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1-100 births</w:t>
            </w:r>
          </w:p>
        </w:tc>
        <w:tc>
          <w:tcPr>
            <w:tcW w:w="789" w:type="dxa"/>
            <w:shd w:val="clear" w:color="auto" w:fill="auto"/>
            <w:noWrap/>
            <w:hideMark/>
          </w:tcPr>
          <w:p w14:paraId="39D7064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3.2</w:t>
            </w:r>
          </w:p>
        </w:tc>
        <w:tc>
          <w:tcPr>
            <w:tcW w:w="790" w:type="dxa"/>
            <w:shd w:val="clear" w:color="auto" w:fill="auto"/>
            <w:noWrap/>
            <w:hideMark/>
          </w:tcPr>
          <w:p w14:paraId="091912F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4.5</w:t>
            </w:r>
          </w:p>
        </w:tc>
        <w:tc>
          <w:tcPr>
            <w:tcW w:w="789" w:type="dxa"/>
            <w:shd w:val="clear" w:color="auto" w:fill="auto"/>
            <w:noWrap/>
            <w:hideMark/>
          </w:tcPr>
          <w:p w14:paraId="21F9252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4.4</w:t>
            </w:r>
          </w:p>
        </w:tc>
        <w:tc>
          <w:tcPr>
            <w:tcW w:w="790" w:type="dxa"/>
            <w:shd w:val="clear" w:color="auto" w:fill="auto"/>
            <w:noWrap/>
            <w:hideMark/>
          </w:tcPr>
          <w:p w14:paraId="6E14504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3.1</w:t>
            </w:r>
          </w:p>
        </w:tc>
        <w:tc>
          <w:tcPr>
            <w:tcW w:w="789" w:type="dxa"/>
            <w:shd w:val="clear" w:color="auto" w:fill="auto"/>
            <w:noWrap/>
            <w:hideMark/>
          </w:tcPr>
          <w:p w14:paraId="1C592D6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4.6</w:t>
            </w:r>
          </w:p>
        </w:tc>
        <w:tc>
          <w:tcPr>
            <w:tcW w:w="790" w:type="dxa"/>
            <w:shd w:val="clear" w:color="auto" w:fill="auto"/>
            <w:noWrap/>
            <w:hideMark/>
          </w:tcPr>
          <w:p w14:paraId="242EBDE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4.7</w:t>
            </w:r>
          </w:p>
        </w:tc>
        <w:tc>
          <w:tcPr>
            <w:tcW w:w="790" w:type="dxa"/>
            <w:shd w:val="clear" w:color="auto" w:fill="auto"/>
            <w:noWrap/>
            <w:hideMark/>
          </w:tcPr>
          <w:p w14:paraId="303719D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4.4</w:t>
            </w:r>
          </w:p>
        </w:tc>
      </w:tr>
      <w:tr w:rsidR="00AF0ADF" w:rsidRPr="00874241" w14:paraId="391DDDDB" w14:textId="77777777" w:rsidTr="00B94D3E">
        <w:trPr>
          <w:trHeight w:val="253"/>
        </w:trPr>
        <w:tc>
          <w:tcPr>
            <w:tcW w:w="3817" w:type="dxa"/>
            <w:shd w:val="clear" w:color="auto" w:fill="auto"/>
            <w:noWrap/>
            <w:hideMark/>
          </w:tcPr>
          <w:p w14:paraId="51AA0CDB"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101-500 births</w:t>
            </w:r>
          </w:p>
        </w:tc>
        <w:tc>
          <w:tcPr>
            <w:tcW w:w="789" w:type="dxa"/>
            <w:shd w:val="clear" w:color="auto" w:fill="auto"/>
            <w:noWrap/>
            <w:hideMark/>
          </w:tcPr>
          <w:p w14:paraId="03BC17E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4.5</w:t>
            </w:r>
          </w:p>
        </w:tc>
        <w:tc>
          <w:tcPr>
            <w:tcW w:w="790" w:type="dxa"/>
            <w:shd w:val="clear" w:color="auto" w:fill="auto"/>
            <w:noWrap/>
            <w:hideMark/>
          </w:tcPr>
          <w:p w14:paraId="61ED094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5.3</w:t>
            </w:r>
          </w:p>
        </w:tc>
        <w:tc>
          <w:tcPr>
            <w:tcW w:w="789" w:type="dxa"/>
            <w:shd w:val="clear" w:color="auto" w:fill="auto"/>
            <w:noWrap/>
            <w:hideMark/>
          </w:tcPr>
          <w:p w14:paraId="5D89A9E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c>
          <w:tcPr>
            <w:tcW w:w="790" w:type="dxa"/>
            <w:shd w:val="clear" w:color="auto" w:fill="auto"/>
            <w:noWrap/>
            <w:hideMark/>
          </w:tcPr>
          <w:p w14:paraId="0547FD3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c>
          <w:tcPr>
            <w:tcW w:w="789" w:type="dxa"/>
            <w:shd w:val="clear" w:color="auto" w:fill="auto"/>
            <w:noWrap/>
            <w:hideMark/>
          </w:tcPr>
          <w:p w14:paraId="35C9782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c>
          <w:tcPr>
            <w:tcW w:w="790" w:type="dxa"/>
            <w:shd w:val="clear" w:color="auto" w:fill="auto"/>
            <w:noWrap/>
            <w:hideMark/>
          </w:tcPr>
          <w:p w14:paraId="0D1335D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4.8</w:t>
            </w:r>
          </w:p>
        </w:tc>
        <w:tc>
          <w:tcPr>
            <w:tcW w:w="790" w:type="dxa"/>
            <w:shd w:val="clear" w:color="auto" w:fill="auto"/>
            <w:noWrap/>
            <w:hideMark/>
          </w:tcPr>
          <w:p w14:paraId="3505C33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4.8</w:t>
            </w:r>
          </w:p>
        </w:tc>
      </w:tr>
      <w:tr w:rsidR="00AF0ADF" w:rsidRPr="00874241" w14:paraId="49B4D94B" w14:textId="77777777" w:rsidTr="00B94D3E">
        <w:trPr>
          <w:trHeight w:val="253"/>
        </w:trPr>
        <w:tc>
          <w:tcPr>
            <w:tcW w:w="3817" w:type="dxa"/>
            <w:shd w:val="clear" w:color="auto" w:fill="auto"/>
            <w:noWrap/>
            <w:hideMark/>
          </w:tcPr>
          <w:p w14:paraId="49D4F718"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501-1,000 births</w:t>
            </w:r>
          </w:p>
        </w:tc>
        <w:tc>
          <w:tcPr>
            <w:tcW w:w="789" w:type="dxa"/>
            <w:shd w:val="clear" w:color="auto" w:fill="auto"/>
            <w:noWrap/>
            <w:hideMark/>
          </w:tcPr>
          <w:p w14:paraId="0A183A1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4.0</w:t>
            </w:r>
          </w:p>
        </w:tc>
        <w:tc>
          <w:tcPr>
            <w:tcW w:w="790" w:type="dxa"/>
            <w:shd w:val="clear" w:color="auto" w:fill="auto"/>
            <w:noWrap/>
            <w:hideMark/>
          </w:tcPr>
          <w:p w14:paraId="5E78A30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3.9</w:t>
            </w:r>
          </w:p>
        </w:tc>
        <w:tc>
          <w:tcPr>
            <w:tcW w:w="789" w:type="dxa"/>
            <w:shd w:val="clear" w:color="auto" w:fill="auto"/>
            <w:noWrap/>
            <w:hideMark/>
          </w:tcPr>
          <w:p w14:paraId="5512F8E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5.8</w:t>
            </w:r>
          </w:p>
        </w:tc>
        <w:tc>
          <w:tcPr>
            <w:tcW w:w="790" w:type="dxa"/>
            <w:shd w:val="clear" w:color="auto" w:fill="auto"/>
            <w:noWrap/>
            <w:hideMark/>
          </w:tcPr>
          <w:p w14:paraId="53E3294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4.1</w:t>
            </w:r>
          </w:p>
        </w:tc>
        <w:tc>
          <w:tcPr>
            <w:tcW w:w="789" w:type="dxa"/>
            <w:shd w:val="clear" w:color="auto" w:fill="auto"/>
            <w:noWrap/>
            <w:hideMark/>
          </w:tcPr>
          <w:p w14:paraId="4CB2881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4.3</w:t>
            </w:r>
          </w:p>
        </w:tc>
        <w:tc>
          <w:tcPr>
            <w:tcW w:w="790" w:type="dxa"/>
            <w:shd w:val="clear" w:color="auto" w:fill="auto"/>
            <w:noWrap/>
            <w:hideMark/>
          </w:tcPr>
          <w:p w14:paraId="781ACBC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4.0</w:t>
            </w:r>
          </w:p>
        </w:tc>
        <w:tc>
          <w:tcPr>
            <w:tcW w:w="790" w:type="dxa"/>
            <w:shd w:val="clear" w:color="auto" w:fill="auto"/>
            <w:noWrap/>
            <w:hideMark/>
          </w:tcPr>
          <w:p w14:paraId="3708050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3.8</w:t>
            </w:r>
          </w:p>
        </w:tc>
      </w:tr>
      <w:tr w:rsidR="00AF0ADF" w:rsidRPr="00874241" w14:paraId="272E3ED1" w14:textId="77777777" w:rsidTr="00B94D3E">
        <w:trPr>
          <w:trHeight w:val="253"/>
        </w:trPr>
        <w:tc>
          <w:tcPr>
            <w:tcW w:w="3817" w:type="dxa"/>
            <w:shd w:val="clear" w:color="auto" w:fill="auto"/>
            <w:noWrap/>
            <w:hideMark/>
          </w:tcPr>
          <w:p w14:paraId="3A00FB99"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1,001-2,000 births</w:t>
            </w:r>
          </w:p>
        </w:tc>
        <w:tc>
          <w:tcPr>
            <w:tcW w:w="789" w:type="dxa"/>
            <w:shd w:val="clear" w:color="auto" w:fill="auto"/>
            <w:noWrap/>
            <w:hideMark/>
          </w:tcPr>
          <w:p w14:paraId="52C0DEE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c>
          <w:tcPr>
            <w:tcW w:w="790" w:type="dxa"/>
            <w:shd w:val="clear" w:color="auto" w:fill="auto"/>
            <w:noWrap/>
            <w:hideMark/>
          </w:tcPr>
          <w:p w14:paraId="4C33C78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5.3</w:t>
            </w:r>
          </w:p>
        </w:tc>
        <w:tc>
          <w:tcPr>
            <w:tcW w:w="789" w:type="dxa"/>
            <w:shd w:val="clear" w:color="auto" w:fill="auto"/>
            <w:noWrap/>
            <w:hideMark/>
          </w:tcPr>
          <w:p w14:paraId="7979E20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5.3</w:t>
            </w:r>
          </w:p>
        </w:tc>
        <w:tc>
          <w:tcPr>
            <w:tcW w:w="790" w:type="dxa"/>
            <w:shd w:val="clear" w:color="auto" w:fill="auto"/>
            <w:noWrap/>
            <w:hideMark/>
          </w:tcPr>
          <w:p w14:paraId="53E00C0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5.1</w:t>
            </w:r>
          </w:p>
        </w:tc>
        <w:tc>
          <w:tcPr>
            <w:tcW w:w="789" w:type="dxa"/>
            <w:shd w:val="clear" w:color="auto" w:fill="auto"/>
            <w:noWrap/>
            <w:hideMark/>
          </w:tcPr>
          <w:p w14:paraId="553AC72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c>
          <w:tcPr>
            <w:tcW w:w="790" w:type="dxa"/>
            <w:shd w:val="clear" w:color="auto" w:fill="auto"/>
            <w:noWrap/>
            <w:hideMark/>
          </w:tcPr>
          <w:p w14:paraId="4AF7161C"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c>
          <w:tcPr>
            <w:tcW w:w="790" w:type="dxa"/>
            <w:shd w:val="clear" w:color="auto" w:fill="auto"/>
            <w:noWrap/>
            <w:hideMark/>
          </w:tcPr>
          <w:p w14:paraId="0417FC1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4.9</w:t>
            </w:r>
          </w:p>
        </w:tc>
      </w:tr>
      <w:tr w:rsidR="00AF0ADF" w:rsidRPr="00874241" w14:paraId="777993EC" w14:textId="77777777" w:rsidTr="00B94D3E">
        <w:trPr>
          <w:trHeight w:val="253"/>
        </w:trPr>
        <w:tc>
          <w:tcPr>
            <w:tcW w:w="3817" w:type="dxa"/>
            <w:shd w:val="clear" w:color="auto" w:fill="auto"/>
            <w:noWrap/>
            <w:hideMark/>
          </w:tcPr>
          <w:p w14:paraId="342CB091"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2,001 births and over</w:t>
            </w:r>
          </w:p>
        </w:tc>
        <w:tc>
          <w:tcPr>
            <w:tcW w:w="789" w:type="dxa"/>
            <w:shd w:val="clear" w:color="auto" w:fill="auto"/>
            <w:noWrap/>
            <w:hideMark/>
          </w:tcPr>
          <w:p w14:paraId="317E7FF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5.7</w:t>
            </w:r>
          </w:p>
        </w:tc>
        <w:tc>
          <w:tcPr>
            <w:tcW w:w="790" w:type="dxa"/>
            <w:shd w:val="clear" w:color="auto" w:fill="auto"/>
            <w:noWrap/>
            <w:hideMark/>
          </w:tcPr>
          <w:p w14:paraId="5CFF3583"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5.8</w:t>
            </w:r>
          </w:p>
        </w:tc>
        <w:tc>
          <w:tcPr>
            <w:tcW w:w="789" w:type="dxa"/>
            <w:shd w:val="clear" w:color="auto" w:fill="auto"/>
            <w:noWrap/>
            <w:hideMark/>
          </w:tcPr>
          <w:p w14:paraId="45B4D12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5.7</w:t>
            </w:r>
          </w:p>
        </w:tc>
        <w:tc>
          <w:tcPr>
            <w:tcW w:w="790" w:type="dxa"/>
            <w:shd w:val="clear" w:color="auto" w:fill="auto"/>
            <w:noWrap/>
            <w:hideMark/>
          </w:tcPr>
          <w:p w14:paraId="44C9D5C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5.6</w:t>
            </w:r>
          </w:p>
        </w:tc>
        <w:tc>
          <w:tcPr>
            <w:tcW w:w="789" w:type="dxa"/>
            <w:shd w:val="clear" w:color="auto" w:fill="auto"/>
            <w:noWrap/>
            <w:hideMark/>
          </w:tcPr>
          <w:p w14:paraId="0E1C48F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5.2</w:t>
            </w:r>
          </w:p>
        </w:tc>
        <w:tc>
          <w:tcPr>
            <w:tcW w:w="790" w:type="dxa"/>
            <w:shd w:val="clear" w:color="auto" w:fill="auto"/>
            <w:noWrap/>
            <w:hideMark/>
          </w:tcPr>
          <w:p w14:paraId="6E27A1E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5.2</w:t>
            </w:r>
          </w:p>
        </w:tc>
        <w:tc>
          <w:tcPr>
            <w:tcW w:w="790" w:type="dxa"/>
            <w:shd w:val="clear" w:color="auto" w:fill="auto"/>
            <w:noWrap/>
            <w:hideMark/>
          </w:tcPr>
          <w:p w14:paraId="017B6FB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5.2</w:t>
            </w:r>
          </w:p>
        </w:tc>
      </w:tr>
    </w:tbl>
    <w:p w14:paraId="632B1F67" w14:textId="77777777" w:rsidR="004F0088" w:rsidRPr="00B94D3E" w:rsidRDefault="004F0088" w:rsidP="004F0088">
      <w:pPr>
        <w:tabs>
          <w:tab w:val="left" w:pos="0"/>
        </w:tabs>
        <w:ind w:left="360" w:hanging="360"/>
        <w:rPr>
          <w:b/>
          <w:sz w:val="18"/>
          <w:szCs w:val="18"/>
        </w:rPr>
      </w:pPr>
      <w:r w:rsidRPr="00B94D3E">
        <w:rPr>
          <w:b/>
          <w:sz w:val="18"/>
          <w:szCs w:val="18"/>
        </w:rPr>
        <w:t>Data Notes:</w:t>
      </w:r>
    </w:p>
    <w:p w14:paraId="762F67AF" w14:textId="3F727735" w:rsidR="00AF0ADF" w:rsidRPr="00B94D3E" w:rsidRDefault="00AF0ADF" w:rsidP="008D3FB5">
      <w:pPr>
        <w:pStyle w:val="ListParagraph"/>
        <w:numPr>
          <w:ilvl w:val="0"/>
          <w:numId w:val="27"/>
        </w:numPr>
        <w:ind w:left="284" w:hanging="284"/>
        <w:rPr>
          <w:sz w:val="18"/>
          <w:szCs w:val="18"/>
        </w:rPr>
      </w:pPr>
      <w:r w:rsidRPr="00B94D3E">
        <w:rPr>
          <w:sz w:val="18"/>
          <w:szCs w:val="18"/>
        </w:rPr>
        <w:t>For multiple births, the perineal status after the birth of the first-born baby was used.</w:t>
      </w:r>
    </w:p>
    <w:p w14:paraId="13A9993E" w14:textId="4CBF30C7" w:rsidR="00AF0ADF" w:rsidRPr="00B94D3E" w:rsidRDefault="00AF0ADF" w:rsidP="008D3FB5">
      <w:pPr>
        <w:pStyle w:val="ListParagraph"/>
        <w:numPr>
          <w:ilvl w:val="0"/>
          <w:numId w:val="27"/>
        </w:numPr>
        <w:ind w:left="284" w:hanging="284"/>
        <w:rPr>
          <w:sz w:val="18"/>
          <w:szCs w:val="18"/>
        </w:rPr>
      </w:pPr>
      <w:r w:rsidRPr="00B94D3E">
        <w:rPr>
          <w:sz w:val="18"/>
          <w:szCs w:val="18"/>
        </w:rPr>
        <w:t xml:space="preserve"> Some caution is required with interpretation of these percentages as the number of small babies born at or after 40 weeks gestation is small.</w:t>
      </w:r>
    </w:p>
    <w:p w14:paraId="01CE04D5" w14:textId="77777777" w:rsidR="00AF0ADF" w:rsidRPr="00B94D3E" w:rsidRDefault="00AF0ADF" w:rsidP="008D3FB5">
      <w:pPr>
        <w:pStyle w:val="ListParagraph"/>
        <w:numPr>
          <w:ilvl w:val="0"/>
          <w:numId w:val="27"/>
        </w:numPr>
        <w:ind w:left="284" w:hanging="284"/>
        <w:rPr>
          <w:sz w:val="18"/>
          <w:szCs w:val="18"/>
        </w:rPr>
      </w:pPr>
      <w:r w:rsidRPr="009B75B7">
        <w:rPr>
          <w:sz w:val="18"/>
          <w:szCs w:val="18"/>
        </w:rPr>
        <w:t>Some caution is required in interpretating these percentages as the total number of annual tears is small.</w:t>
      </w:r>
    </w:p>
    <w:p w14:paraId="25CA5404" w14:textId="31AC8D09" w:rsidR="00AF0ADF" w:rsidRPr="00C459D0" w:rsidRDefault="00851311" w:rsidP="00B94D3E">
      <w:pPr>
        <w:pStyle w:val="ListParagraph"/>
        <w:numPr>
          <w:ilvl w:val="0"/>
          <w:numId w:val="27"/>
        </w:numPr>
        <w:ind w:left="284" w:hanging="284"/>
        <w:rPr>
          <w:sz w:val="18"/>
          <w:szCs w:val="18"/>
        </w:rPr>
      </w:pPr>
      <w:r w:rsidRPr="006B3AA3">
        <w:rPr>
          <w:sz w:val="18"/>
          <w:szCs w:val="18"/>
        </w:rPr>
        <w:t>Source:</w:t>
      </w:r>
      <w:r w:rsidR="00DF649C" w:rsidRPr="00DF649C">
        <w:rPr>
          <w:sz w:val="18"/>
          <w:szCs w:val="18"/>
        </w:rPr>
        <w:t xml:space="preserve"> </w:t>
      </w:r>
      <w:r w:rsidR="00DF649C" w:rsidRPr="00B94D3E">
        <w:rPr>
          <w:sz w:val="18"/>
          <w:szCs w:val="18"/>
        </w:rPr>
        <w:t>AIHW analysis of National Perinatal Data Collection. Australian Institute of Health and Welfare 2021. National Core Maternity Indicators. Cat no. PER 95. Canberra: AIHW</w:t>
      </w:r>
      <w:bookmarkStart w:id="462" w:name="_Ref117108661"/>
    </w:p>
    <w:p w14:paraId="5B5AAAC7" w14:textId="77777777" w:rsidR="004F0088" w:rsidRDefault="004F0088" w:rsidP="00B94D3E">
      <w:bookmarkStart w:id="463" w:name="_Ref117108160"/>
      <w:bookmarkEnd w:id="462"/>
      <w:r>
        <w:br w:type="page"/>
      </w:r>
    </w:p>
    <w:p w14:paraId="5E05F318" w14:textId="549CE191" w:rsidR="00AF0ADF" w:rsidRPr="008E401A" w:rsidRDefault="00AF0ADF" w:rsidP="00AF0ADF">
      <w:pPr>
        <w:pStyle w:val="Caption"/>
        <w:rPr>
          <w:sz w:val="20"/>
          <w:szCs w:val="20"/>
        </w:rPr>
      </w:pPr>
      <w:bookmarkStart w:id="464" w:name="_Ref117931106"/>
      <w:bookmarkStart w:id="465" w:name="_Toc121429208"/>
      <w:r w:rsidRPr="008E401A">
        <w:rPr>
          <w:sz w:val="20"/>
          <w:szCs w:val="20"/>
        </w:rPr>
        <w:lastRenderedPageBreak/>
        <w:t xml:space="preserve">Table </w:t>
      </w:r>
      <w:r w:rsidR="00A64FC5" w:rsidRPr="008E401A">
        <w:rPr>
          <w:sz w:val="20"/>
          <w:szCs w:val="20"/>
        </w:rPr>
        <w:fldChar w:fldCharType="begin"/>
      </w:r>
      <w:r w:rsidR="00A64FC5" w:rsidRPr="008E401A">
        <w:rPr>
          <w:sz w:val="20"/>
          <w:szCs w:val="20"/>
        </w:rPr>
        <w:instrText xml:space="preserve"> SEQ Table \* ARABIC </w:instrText>
      </w:r>
      <w:r w:rsidR="00A64FC5" w:rsidRPr="008E401A">
        <w:rPr>
          <w:sz w:val="20"/>
          <w:szCs w:val="20"/>
        </w:rPr>
        <w:fldChar w:fldCharType="separate"/>
      </w:r>
      <w:r w:rsidR="00296988">
        <w:rPr>
          <w:noProof/>
          <w:sz w:val="20"/>
          <w:szCs w:val="20"/>
        </w:rPr>
        <w:t>32</w:t>
      </w:r>
      <w:r w:rsidR="00A64FC5" w:rsidRPr="008E401A">
        <w:rPr>
          <w:noProof/>
          <w:sz w:val="20"/>
          <w:szCs w:val="20"/>
        </w:rPr>
        <w:fldChar w:fldCharType="end"/>
      </w:r>
      <w:bookmarkEnd w:id="463"/>
      <w:bookmarkEnd w:id="464"/>
      <w:r w:rsidRPr="008E401A">
        <w:rPr>
          <w:sz w:val="20"/>
          <w:szCs w:val="20"/>
        </w:rPr>
        <w:tab/>
        <w:t>Third and fourth degree tears</w:t>
      </w:r>
      <w:r w:rsidR="008E401A">
        <w:rPr>
          <w:sz w:val="20"/>
          <w:szCs w:val="20"/>
        </w:rPr>
        <w:t>,</w:t>
      </w:r>
      <w:r w:rsidRPr="008E401A">
        <w:rPr>
          <w:sz w:val="20"/>
          <w:szCs w:val="20"/>
        </w:rPr>
        <w:t xml:space="preserve"> all vaginal births (PI13b), 2011–2019</w:t>
      </w:r>
      <w:bookmarkEnd w:id="4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937"/>
        <w:gridCol w:w="936"/>
        <w:gridCol w:w="936"/>
        <w:gridCol w:w="936"/>
        <w:gridCol w:w="936"/>
        <w:gridCol w:w="936"/>
        <w:gridCol w:w="938"/>
      </w:tblGrid>
      <w:tr w:rsidR="00AF0ADF" w:rsidRPr="00222448" w14:paraId="1F2E093F" w14:textId="77777777" w:rsidTr="00B94D3E">
        <w:trPr>
          <w:trHeight w:val="253"/>
        </w:trPr>
        <w:tc>
          <w:tcPr>
            <w:tcW w:w="1674" w:type="pct"/>
            <w:shd w:val="clear" w:color="auto" w:fill="auto"/>
            <w:noWrap/>
          </w:tcPr>
          <w:p w14:paraId="254BD12A" w14:textId="77777777" w:rsidR="00AF0ADF" w:rsidRPr="00B94D3E" w:rsidRDefault="00AF0ADF" w:rsidP="00AF0ADF">
            <w:pPr>
              <w:rPr>
                <w:rFonts w:cstheme="minorHAnsi"/>
                <w:b/>
                <w:bCs/>
                <w:color w:val="000000"/>
                <w:sz w:val="20"/>
                <w:szCs w:val="20"/>
              </w:rPr>
            </w:pPr>
          </w:p>
        </w:tc>
        <w:tc>
          <w:tcPr>
            <w:tcW w:w="475" w:type="pct"/>
            <w:shd w:val="clear" w:color="auto" w:fill="auto"/>
            <w:noWrap/>
            <w:vAlign w:val="center"/>
            <w:hideMark/>
          </w:tcPr>
          <w:p w14:paraId="68A3EBE2"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2013</w:t>
            </w:r>
          </w:p>
        </w:tc>
        <w:tc>
          <w:tcPr>
            <w:tcW w:w="475" w:type="pct"/>
            <w:shd w:val="clear" w:color="auto" w:fill="auto"/>
            <w:noWrap/>
            <w:vAlign w:val="center"/>
            <w:hideMark/>
          </w:tcPr>
          <w:p w14:paraId="739D1CB5"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2014</w:t>
            </w:r>
          </w:p>
        </w:tc>
        <w:tc>
          <w:tcPr>
            <w:tcW w:w="475" w:type="pct"/>
            <w:shd w:val="clear" w:color="auto" w:fill="auto"/>
            <w:noWrap/>
            <w:vAlign w:val="center"/>
            <w:hideMark/>
          </w:tcPr>
          <w:p w14:paraId="6D634343"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2015</w:t>
            </w:r>
          </w:p>
        </w:tc>
        <w:tc>
          <w:tcPr>
            <w:tcW w:w="475" w:type="pct"/>
            <w:shd w:val="clear" w:color="auto" w:fill="auto"/>
            <w:noWrap/>
            <w:vAlign w:val="center"/>
            <w:hideMark/>
          </w:tcPr>
          <w:p w14:paraId="141856C1"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2016</w:t>
            </w:r>
          </w:p>
        </w:tc>
        <w:tc>
          <w:tcPr>
            <w:tcW w:w="475" w:type="pct"/>
            <w:shd w:val="clear" w:color="auto" w:fill="auto"/>
            <w:noWrap/>
            <w:vAlign w:val="center"/>
            <w:hideMark/>
          </w:tcPr>
          <w:p w14:paraId="04C4F5DF"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2017</w:t>
            </w:r>
          </w:p>
        </w:tc>
        <w:tc>
          <w:tcPr>
            <w:tcW w:w="475" w:type="pct"/>
            <w:shd w:val="clear" w:color="auto" w:fill="auto"/>
            <w:noWrap/>
            <w:vAlign w:val="center"/>
            <w:hideMark/>
          </w:tcPr>
          <w:p w14:paraId="131911A1"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2018</w:t>
            </w:r>
          </w:p>
        </w:tc>
        <w:tc>
          <w:tcPr>
            <w:tcW w:w="476" w:type="pct"/>
            <w:shd w:val="clear" w:color="auto" w:fill="auto"/>
            <w:noWrap/>
            <w:vAlign w:val="center"/>
            <w:hideMark/>
          </w:tcPr>
          <w:p w14:paraId="43C60802" w14:textId="77777777" w:rsidR="00AF0ADF" w:rsidRPr="00B94D3E" w:rsidRDefault="00AF0ADF" w:rsidP="00B94D3E">
            <w:pPr>
              <w:jc w:val="center"/>
              <w:rPr>
                <w:rFonts w:cstheme="minorHAnsi"/>
                <w:b/>
                <w:bCs/>
                <w:color w:val="000000"/>
                <w:sz w:val="20"/>
                <w:szCs w:val="20"/>
              </w:rPr>
            </w:pPr>
            <w:r w:rsidRPr="00B94D3E">
              <w:rPr>
                <w:rFonts w:cstheme="minorHAnsi"/>
                <w:b/>
                <w:bCs/>
                <w:color w:val="000000"/>
                <w:sz w:val="20"/>
                <w:szCs w:val="20"/>
              </w:rPr>
              <w:t>2019</w:t>
            </w:r>
          </w:p>
        </w:tc>
      </w:tr>
      <w:tr w:rsidR="00AF0ADF" w:rsidRPr="00222448" w14:paraId="50CD8E09" w14:textId="77777777" w:rsidTr="00AF0ADF">
        <w:trPr>
          <w:trHeight w:val="253"/>
        </w:trPr>
        <w:tc>
          <w:tcPr>
            <w:tcW w:w="1674" w:type="pct"/>
            <w:shd w:val="clear" w:color="auto" w:fill="auto"/>
            <w:noWrap/>
          </w:tcPr>
          <w:p w14:paraId="44258B88" w14:textId="77777777" w:rsidR="00AF0ADF" w:rsidRPr="00B94D3E" w:rsidRDefault="00AF0ADF" w:rsidP="00AF0ADF">
            <w:pPr>
              <w:rPr>
                <w:rFonts w:cstheme="minorHAnsi"/>
                <w:b/>
                <w:bCs/>
                <w:color w:val="000000"/>
                <w:sz w:val="20"/>
                <w:szCs w:val="20"/>
              </w:rPr>
            </w:pPr>
          </w:p>
        </w:tc>
        <w:tc>
          <w:tcPr>
            <w:tcW w:w="3326" w:type="pct"/>
            <w:gridSpan w:val="7"/>
            <w:shd w:val="clear" w:color="auto" w:fill="auto"/>
            <w:noWrap/>
          </w:tcPr>
          <w:p w14:paraId="6F66AB7B" w14:textId="77777777" w:rsidR="00AF0ADF" w:rsidRPr="00B94D3E" w:rsidRDefault="00AF0ADF" w:rsidP="00AF0ADF">
            <w:pPr>
              <w:jc w:val="center"/>
              <w:rPr>
                <w:rFonts w:cstheme="minorHAnsi"/>
                <w:b/>
                <w:bCs/>
                <w:color w:val="000000"/>
                <w:sz w:val="20"/>
                <w:szCs w:val="20"/>
              </w:rPr>
            </w:pPr>
            <w:r w:rsidRPr="00874241">
              <w:rPr>
                <w:rFonts w:cstheme="minorHAnsi"/>
                <w:b/>
                <w:bCs/>
                <w:sz w:val="20"/>
                <w:szCs w:val="20"/>
              </w:rPr>
              <w:t>In per cent (%)</w:t>
            </w:r>
          </w:p>
        </w:tc>
      </w:tr>
      <w:tr w:rsidR="00AF0ADF" w:rsidRPr="00222448" w14:paraId="30E63EC2" w14:textId="77777777" w:rsidTr="00AF0ADF">
        <w:trPr>
          <w:trHeight w:val="253"/>
        </w:trPr>
        <w:tc>
          <w:tcPr>
            <w:tcW w:w="5000" w:type="pct"/>
            <w:gridSpan w:val="8"/>
            <w:shd w:val="clear" w:color="auto" w:fill="auto"/>
            <w:noWrap/>
            <w:hideMark/>
          </w:tcPr>
          <w:p w14:paraId="78CECEF3" w14:textId="77777777" w:rsidR="00AF0ADF" w:rsidRPr="00B94D3E" w:rsidRDefault="00AF0ADF" w:rsidP="00AF0ADF">
            <w:pPr>
              <w:rPr>
                <w:rFonts w:cstheme="minorHAnsi"/>
                <w:sz w:val="20"/>
                <w:szCs w:val="20"/>
              </w:rPr>
            </w:pPr>
            <w:r w:rsidRPr="00B94D3E">
              <w:rPr>
                <w:rFonts w:cstheme="minorHAnsi"/>
                <w:b/>
                <w:bCs/>
                <w:color w:val="000000"/>
                <w:sz w:val="20"/>
                <w:szCs w:val="20"/>
              </w:rPr>
              <w:t>Australia</w:t>
            </w:r>
          </w:p>
        </w:tc>
      </w:tr>
      <w:tr w:rsidR="00AF0ADF" w:rsidRPr="00222448" w14:paraId="13F089BF" w14:textId="77777777" w:rsidTr="004F0088">
        <w:trPr>
          <w:trHeight w:val="253"/>
        </w:trPr>
        <w:tc>
          <w:tcPr>
            <w:tcW w:w="1674" w:type="pct"/>
            <w:shd w:val="clear" w:color="auto" w:fill="auto"/>
            <w:noWrap/>
            <w:hideMark/>
          </w:tcPr>
          <w:p w14:paraId="0C026355"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Total</w:t>
            </w:r>
          </w:p>
        </w:tc>
        <w:tc>
          <w:tcPr>
            <w:tcW w:w="475" w:type="pct"/>
            <w:shd w:val="clear" w:color="auto" w:fill="auto"/>
            <w:noWrap/>
            <w:hideMark/>
          </w:tcPr>
          <w:p w14:paraId="52A978F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3.0</w:t>
            </w:r>
          </w:p>
        </w:tc>
        <w:tc>
          <w:tcPr>
            <w:tcW w:w="475" w:type="pct"/>
            <w:shd w:val="clear" w:color="auto" w:fill="auto"/>
            <w:noWrap/>
            <w:hideMark/>
          </w:tcPr>
          <w:p w14:paraId="4A92615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3.1</w:t>
            </w:r>
          </w:p>
        </w:tc>
        <w:tc>
          <w:tcPr>
            <w:tcW w:w="475" w:type="pct"/>
            <w:shd w:val="clear" w:color="auto" w:fill="auto"/>
            <w:noWrap/>
            <w:hideMark/>
          </w:tcPr>
          <w:p w14:paraId="6CAD16A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3.2</w:t>
            </w:r>
          </w:p>
        </w:tc>
        <w:tc>
          <w:tcPr>
            <w:tcW w:w="475" w:type="pct"/>
            <w:shd w:val="clear" w:color="auto" w:fill="auto"/>
            <w:noWrap/>
            <w:hideMark/>
          </w:tcPr>
          <w:p w14:paraId="4749F80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3.0</w:t>
            </w:r>
          </w:p>
        </w:tc>
        <w:tc>
          <w:tcPr>
            <w:tcW w:w="475" w:type="pct"/>
            <w:shd w:val="clear" w:color="auto" w:fill="auto"/>
            <w:noWrap/>
            <w:hideMark/>
          </w:tcPr>
          <w:p w14:paraId="7BBD00C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5" w:type="pct"/>
            <w:shd w:val="clear" w:color="auto" w:fill="auto"/>
            <w:noWrap/>
            <w:hideMark/>
          </w:tcPr>
          <w:p w14:paraId="1CD3C32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6" w:type="pct"/>
            <w:shd w:val="clear" w:color="auto" w:fill="auto"/>
            <w:noWrap/>
            <w:hideMark/>
          </w:tcPr>
          <w:p w14:paraId="02F1DE7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r>
      <w:tr w:rsidR="00AF0ADF" w:rsidRPr="00222448" w14:paraId="12208226" w14:textId="77777777" w:rsidTr="00AF0ADF">
        <w:trPr>
          <w:trHeight w:val="253"/>
        </w:trPr>
        <w:tc>
          <w:tcPr>
            <w:tcW w:w="5000" w:type="pct"/>
            <w:gridSpan w:val="8"/>
            <w:shd w:val="clear" w:color="auto" w:fill="auto"/>
            <w:noWrap/>
            <w:hideMark/>
          </w:tcPr>
          <w:p w14:paraId="0DE12A4D" w14:textId="77777777" w:rsidR="00AF0ADF" w:rsidRPr="00B94D3E" w:rsidRDefault="00AF0ADF" w:rsidP="00AF0ADF">
            <w:pPr>
              <w:rPr>
                <w:rFonts w:cstheme="minorHAnsi"/>
                <w:sz w:val="20"/>
                <w:szCs w:val="20"/>
              </w:rPr>
            </w:pPr>
            <w:r w:rsidRPr="00B94D3E">
              <w:rPr>
                <w:rFonts w:cstheme="minorHAnsi"/>
                <w:b/>
                <w:bCs/>
                <w:color w:val="000000"/>
                <w:sz w:val="20"/>
                <w:szCs w:val="20"/>
              </w:rPr>
              <w:t>Mother's age at birth</w:t>
            </w:r>
          </w:p>
        </w:tc>
      </w:tr>
      <w:tr w:rsidR="00AF0ADF" w:rsidRPr="00222448" w14:paraId="10638765" w14:textId="77777777" w:rsidTr="004F0088">
        <w:trPr>
          <w:trHeight w:val="253"/>
        </w:trPr>
        <w:tc>
          <w:tcPr>
            <w:tcW w:w="1674" w:type="pct"/>
            <w:shd w:val="clear" w:color="auto" w:fill="auto"/>
            <w:noWrap/>
            <w:hideMark/>
          </w:tcPr>
          <w:p w14:paraId="042DABCC"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Younger than 20</w:t>
            </w:r>
          </w:p>
        </w:tc>
        <w:tc>
          <w:tcPr>
            <w:tcW w:w="475" w:type="pct"/>
            <w:shd w:val="clear" w:color="auto" w:fill="auto"/>
            <w:noWrap/>
            <w:hideMark/>
          </w:tcPr>
          <w:p w14:paraId="6724693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5" w:type="pct"/>
            <w:shd w:val="clear" w:color="auto" w:fill="auto"/>
            <w:noWrap/>
            <w:hideMark/>
          </w:tcPr>
          <w:p w14:paraId="7AE5D82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5" w:type="pct"/>
            <w:shd w:val="clear" w:color="auto" w:fill="auto"/>
            <w:noWrap/>
            <w:hideMark/>
          </w:tcPr>
          <w:p w14:paraId="5EA1E9D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5" w:type="pct"/>
            <w:shd w:val="clear" w:color="auto" w:fill="auto"/>
            <w:noWrap/>
            <w:hideMark/>
          </w:tcPr>
          <w:p w14:paraId="0495CF2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5" w:type="pct"/>
            <w:shd w:val="clear" w:color="auto" w:fill="auto"/>
            <w:noWrap/>
            <w:hideMark/>
          </w:tcPr>
          <w:p w14:paraId="0239CFE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5" w:type="pct"/>
            <w:shd w:val="clear" w:color="auto" w:fill="auto"/>
            <w:noWrap/>
            <w:hideMark/>
          </w:tcPr>
          <w:p w14:paraId="7EE9D9F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c>
          <w:tcPr>
            <w:tcW w:w="476" w:type="pct"/>
            <w:shd w:val="clear" w:color="auto" w:fill="auto"/>
            <w:noWrap/>
            <w:hideMark/>
          </w:tcPr>
          <w:p w14:paraId="6C5B94A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2.4</w:t>
            </w:r>
          </w:p>
        </w:tc>
      </w:tr>
      <w:tr w:rsidR="00AF0ADF" w:rsidRPr="00222448" w14:paraId="61374D7E" w14:textId="77777777" w:rsidTr="004F0088">
        <w:trPr>
          <w:trHeight w:val="253"/>
        </w:trPr>
        <w:tc>
          <w:tcPr>
            <w:tcW w:w="1674" w:type="pct"/>
            <w:shd w:val="clear" w:color="auto" w:fill="auto"/>
            <w:noWrap/>
            <w:hideMark/>
          </w:tcPr>
          <w:p w14:paraId="554DD960"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20-24</w:t>
            </w:r>
          </w:p>
        </w:tc>
        <w:tc>
          <w:tcPr>
            <w:tcW w:w="475" w:type="pct"/>
            <w:shd w:val="clear" w:color="auto" w:fill="auto"/>
            <w:noWrap/>
            <w:hideMark/>
          </w:tcPr>
          <w:p w14:paraId="26990DB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c>
          <w:tcPr>
            <w:tcW w:w="475" w:type="pct"/>
            <w:shd w:val="clear" w:color="auto" w:fill="auto"/>
            <w:noWrap/>
            <w:hideMark/>
          </w:tcPr>
          <w:p w14:paraId="58B1120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5" w:type="pct"/>
            <w:shd w:val="clear" w:color="auto" w:fill="auto"/>
            <w:noWrap/>
            <w:hideMark/>
          </w:tcPr>
          <w:p w14:paraId="1C0CA45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5" w:type="pct"/>
            <w:shd w:val="clear" w:color="auto" w:fill="auto"/>
            <w:noWrap/>
            <w:hideMark/>
          </w:tcPr>
          <w:p w14:paraId="2C09F16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5" w:type="pct"/>
            <w:shd w:val="clear" w:color="auto" w:fill="auto"/>
            <w:noWrap/>
            <w:hideMark/>
          </w:tcPr>
          <w:p w14:paraId="147FCF8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2.8</w:t>
            </w:r>
          </w:p>
        </w:tc>
        <w:tc>
          <w:tcPr>
            <w:tcW w:w="475" w:type="pct"/>
            <w:shd w:val="clear" w:color="auto" w:fill="auto"/>
            <w:noWrap/>
            <w:hideMark/>
          </w:tcPr>
          <w:p w14:paraId="0649E56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6" w:type="pct"/>
            <w:shd w:val="clear" w:color="auto" w:fill="auto"/>
            <w:noWrap/>
            <w:hideMark/>
          </w:tcPr>
          <w:p w14:paraId="5BF1AAE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r>
      <w:tr w:rsidR="00AF0ADF" w:rsidRPr="00222448" w14:paraId="3C9B77CE" w14:textId="77777777" w:rsidTr="004F0088">
        <w:trPr>
          <w:trHeight w:val="253"/>
        </w:trPr>
        <w:tc>
          <w:tcPr>
            <w:tcW w:w="1674" w:type="pct"/>
            <w:shd w:val="clear" w:color="auto" w:fill="auto"/>
            <w:noWrap/>
            <w:hideMark/>
          </w:tcPr>
          <w:p w14:paraId="21A4BD3B"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25-29</w:t>
            </w:r>
          </w:p>
        </w:tc>
        <w:tc>
          <w:tcPr>
            <w:tcW w:w="475" w:type="pct"/>
            <w:shd w:val="clear" w:color="auto" w:fill="auto"/>
            <w:noWrap/>
            <w:hideMark/>
          </w:tcPr>
          <w:p w14:paraId="47FC4DD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3.7</w:t>
            </w:r>
          </w:p>
        </w:tc>
        <w:tc>
          <w:tcPr>
            <w:tcW w:w="475" w:type="pct"/>
            <w:shd w:val="clear" w:color="auto" w:fill="auto"/>
            <w:noWrap/>
            <w:hideMark/>
          </w:tcPr>
          <w:p w14:paraId="3542D69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3.8</w:t>
            </w:r>
          </w:p>
        </w:tc>
        <w:tc>
          <w:tcPr>
            <w:tcW w:w="475" w:type="pct"/>
            <w:shd w:val="clear" w:color="auto" w:fill="auto"/>
            <w:noWrap/>
            <w:hideMark/>
          </w:tcPr>
          <w:p w14:paraId="602E71F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4.0</w:t>
            </w:r>
          </w:p>
        </w:tc>
        <w:tc>
          <w:tcPr>
            <w:tcW w:w="475" w:type="pct"/>
            <w:shd w:val="clear" w:color="auto" w:fill="auto"/>
            <w:noWrap/>
            <w:hideMark/>
          </w:tcPr>
          <w:p w14:paraId="70D7AD4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3.7</w:t>
            </w:r>
          </w:p>
        </w:tc>
        <w:tc>
          <w:tcPr>
            <w:tcW w:w="475" w:type="pct"/>
            <w:shd w:val="clear" w:color="auto" w:fill="auto"/>
            <w:noWrap/>
            <w:hideMark/>
          </w:tcPr>
          <w:p w14:paraId="1D20849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3.3</w:t>
            </w:r>
          </w:p>
        </w:tc>
        <w:tc>
          <w:tcPr>
            <w:tcW w:w="475" w:type="pct"/>
            <w:shd w:val="clear" w:color="auto" w:fill="auto"/>
            <w:noWrap/>
            <w:hideMark/>
          </w:tcPr>
          <w:p w14:paraId="038B8D6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w:t>
            </w:r>
          </w:p>
        </w:tc>
        <w:tc>
          <w:tcPr>
            <w:tcW w:w="476" w:type="pct"/>
            <w:shd w:val="clear" w:color="auto" w:fill="auto"/>
            <w:noWrap/>
            <w:hideMark/>
          </w:tcPr>
          <w:p w14:paraId="1BBCFF5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w:t>
            </w:r>
          </w:p>
        </w:tc>
      </w:tr>
      <w:tr w:rsidR="00AF0ADF" w:rsidRPr="00222448" w14:paraId="4A2D7C87" w14:textId="77777777" w:rsidTr="004F0088">
        <w:trPr>
          <w:trHeight w:val="253"/>
        </w:trPr>
        <w:tc>
          <w:tcPr>
            <w:tcW w:w="1674" w:type="pct"/>
            <w:shd w:val="clear" w:color="auto" w:fill="auto"/>
            <w:noWrap/>
            <w:hideMark/>
          </w:tcPr>
          <w:p w14:paraId="334FE836"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30-34</w:t>
            </w:r>
          </w:p>
        </w:tc>
        <w:tc>
          <w:tcPr>
            <w:tcW w:w="475" w:type="pct"/>
            <w:shd w:val="clear" w:color="auto" w:fill="auto"/>
            <w:noWrap/>
            <w:hideMark/>
          </w:tcPr>
          <w:p w14:paraId="1B8C394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3.1</w:t>
            </w:r>
          </w:p>
        </w:tc>
        <w:tc>
          <w:tcPr>
            <w:tcW w:w="475" w:type="pct"/>
            <w:shd w:val="clear" w:color="auto" w:fill="auto"/>
            <w:noWrap/>
            <w:hideMark/>
          </w:tcPr>
          <w:p w14:paraId="6D7F4F6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3.2</w:t>
            </w:r>
          </w:p>
        </w:tc>
        <w:tc>
          <w:tcPr>
            <w:tcW w:w="475" w:type="pct"/>
            <w:shd w:val="clear" w:color="auto" w:fill="auto"/>
            <w:noWrap/>
            <w:hideMark/>
          </w:tcPr>
          <w:p w14:paraId="481736F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w:t>
            </w:r>
          </w:p>
        </w:tc>
        <w:tc>
          <w:tcPr>
            <w:tcW w:w="475" w:type="pct"/>
            <w:shd w:val="clear" w:color="auto" w:fill="auto"/>
            <w:noWrap/>
            <w:hideMark/>
          </w:tcPr>
          <w:p w14:paraId="3DA4228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3.2</w:t>
            </w:r>
          </w:p>
        </w:tc>
        <w:tc>
          <w:tcPr>
            <w:tcW w:w="475" w:type="pct"/>
            <w:shd w:val="clear" w:color="auto" w:fill="auto"/>
            <w:noWrap/>
            <w:hideMark/>
          </w:tcPr>
          <w:p w14:paraId="5CCE7B5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3.0</w:t>
            </w:r>
          </w:p>
        </w:tc>
        <w:tc>
          <w:tcPr>
            <w:tcW w:w="475" w:type="pct"/>
            <w:shd w:val="clear" w:color="auto" w:fill="auto"/>
            <w:noWrap/>
            <w:hideMark/>
          </w:tcPr>
          <w:p w14:paraId="785EF66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3.0</w:t>
            </w:r>
          </w:p>
        </w:tc>
        <w:tc>
          <w:tcPr>
            <w:tcW w:w="476" w:type="pct"/>
            <w:shd w:val="clear" w:color="auto" w:fill="auto"/>
            <w:noWrap/>
            <w:hideMark/>
          </w:tcPr>
          <w:p w14:paraId="6E1F849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3.1</w:t>
            </w:r>
          </w:p>
        </w:tc>
      </w:tr>
      <w:tr w:rsidR="00AF0ADF" w:rsidRPr="00222448" w14:paraId="431176DC" w14:textId="77777777" w:rsidTr="004F0088">
        <w:trPr>
          <w:trHeight w:val="253"/>
        </w:trPr>
        <w:tc>
          <w:tcPr>
            <w:tcW w:w="1674" w:type="pct"/>
            <w:shd w:val="clear" w:color="auto" w:fill="auto"/>
            <w:noWrap/>
            <w:hideMark/>
          </w:tcPr>
          <w:p w14:paraId="4E0F1664"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35-39</w:t>
            </w:r>
          </w:p>
        </w:tc>
        <w:tc>
          <w:tcPr>
            <w:tcW w:w="475" w:type="pct"/>
            <w:shd w:val="clear" w:color="auto" w:fill="auto"/>
            <w:noWrap/>
            <w:hideMark/>
          </w:tcPr>
          <w:p w14:paraId="33DAE1E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2.1</w:t>
            </w:r>
          </w:p>
        </w:tc>
        <w:tc>
          <w:tcPr>
            <w:tcW w:w="475" w:type="pct"/>
            <w:shd w:val="clear" w:color="auto" w:fill="auto"/>
            <w:noWrap/>
            <w:hideMark/>
          </w:tcPr>
          <w:p w14:paraId="6F184FA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2.1</w:t>
            </w:r>
          </w:p>
        </w:tc>
        <w:tc>
          <w:tcPr>
            <w:tcW w:w="475" w:type="pct"/>
            <w:shd w:val="clear" w:color="auto" w:fill="auto"/>
            <w:noWrap/>
            <w:hideMark/>
          </w:tcPr>
          <w:p w14:paraId="12B393A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2.4</w:t>
            </w:r>
          </w:p>
        </w:tc>
        <w:tc>
          <w:tcPr>
            <w:tcW w:w="475" w:type="pct"/>
            <w:shd w:val="clear" w:color="auto" w:fill="auto"/>
            <w:noWrap/>
            <w:hideMark/>
          </w:tcPr>
          <w:p w14:paraId="0E334D8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5" w:type="pct"/>
            <w:shd w:val="clear" w:color="auto" w:fill="auto"/>
            <w:noWrap/>
            <w:hideMark/>
          </w:tcPr>
          <w:p w14:paraId="6132C75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2.1</w:t>
            </w:r>
          </w:p>
        </w:tc>
        <w:tc>
          <w:tcPr>
            <w:tcW w:w="475" w:type="pct"/>
            <w:shd w:val="clear" w:color="auto" w:fill="auto"/>
            <w:noWrap/>
            <w:hideMark/>
          </w:tcPr>
          <w:p w14:paraId="7415C8B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6" w:type="pct"/>
            <w:shd w:val="clear" w:color="auto" w:fill="auto"/>
            <w:noWrap/>
            <w:hideMark/>
          </w:tcPr>
          <w:p w14:paraId="02C10CB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r>
      <w:tr w:rsidR="00AF0ADF" w:rsidRPr="00222448" w14:paraId="24F2625F" w14:textId="77777777" w:rsidTr="004F0088">
        <w:trPr>
          <w:trHeight w:val="253"/>
        </w:trPr>
        <w:tc>
          <w:tcPr>
            <w:tcW w:w="1674" w:type="pct"/>
            <w:shd w:val="clear" w:color="auto" w:fill="auto"/>
            <w:noWrap/>
            <w:hideMark/>
          </w:tcPr>
          <w:p w14:paraId="1009C07A"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40 and over</w:t>
            </w:r>
          </w:p>
        </w:tc>
        <w:tc>
          <w:tcPr>
            <w:tcW w:w="475" w:type="pct"/>
            <w:shd w:val="clear" w:color="auto" w:fill="auto"/>
            <w:noWrap/>
            <w:hideMark/>
          </w:tcPr>
          <w:p w14:paraId="6129B7A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1.7</w:t>
            </w:r>
          </w:p>
        </w:tc>
        <w:tc>
          <w:tcPr>
            <w:tcW w:w="475" w:type="pct"/>
            <w:shd w:val="clear" w:color="auto" w:fill="auto"/>
            <w:noWrap/>
            <w:hideMark/>
          </w:tcPr>
          <w:p w14:paraId="187839E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1.6</w:t>
            </w:r>
          </w:p>
        </w:tc>
        <w:tc>
          <w:tcPr>
            <w:tcW w:w="475" w:type="pct"/>
            <w:shd w:val="clear" w:color="auto" w:fill="auto"/>
            <w:noWrap/>
            <w:hideMark/>
          </w:tcPr>
          <w:p w14:paraId="5751DC0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1.6</w:t>
            </w:r>
          </w:p>
        </w:tc>
        <w:tc>
          <w:tcPr>
            <w:tcW w:w="475" w:type="pct"/>
            <w:shd w:val="clear" w:color="auto" w:fill="auto"/>
            <w:noWrap/>
            <w:hideMark/>
          </w:tcPr>
          <w:p w14:paraId="7A740B6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1.5</w:t>
            </w:r>
          </w:p>
        </w:tc>
        <w:tc>
          <w:tcPr>
            <w:tcW w:w="475" w:type="pct"/>
            <w:shd w:val="clear" w:color="auto" w:fill="auto"/>
            <w:noWrap/>
            <w:hideMark/>
          </w:tcPr>
          <w:p w14:paraId="50E76EF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1.4</w:t>
            </w:r>
          </w:p>
        </w:tc>
        <w:tc>
          <w:tcPr>
            <w:tcW w:w="475" w:type="pct"/>
            <w:shd w:val="clear" w:color="auto" w:fill="auto"/>
            <w:noWrap/>
            <w:hideMark/>
          </w:tcPr>
          <w:p w14:paraId="5998410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1.3</w:t>
            </w:r>
          </w:p>
        </w:tc>
        <w:tc>
          <w:tcPr>
            <w:tcW w:w="476" w:type="pct"/>
            <w:shd w:val="clear" w:color="auto" w:fill="auto"/>
            <w:noWrap/>
            <w:hideMark/>
          </w:tcPr>
          <w:p w14:paraId="4102D6A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1.5</w:t>
            </w:r>
          </w:p>
        </w:tc>
      </w:tr>
      <w:tr w:rsidR="00AF0ADF" w:rsidRPr="00222448" w14:paraId="098B3924" w14:textId="77777777" w:rsidTr="00AF0ADF">
        <w:trPr>
          <w:trHeight w:val="253"/>
        </w:trPr>
        <w:tc>
          <w:tcPr>
            <w:tcW w:w="5000" w:type="pct"/>
            <w:gridSpan w:val="8"/>
            <w:shd w:val="clear" w:color="auto" w:fill="auto"/>
            <w:noWrap/>
            <w:hideMark/>
          </w:tcPr>
          <w:p w14:paraId="01B4A0D8" w14:textId="5A998384" w:rsidR="00AF0ADF" w:rsidRPr="00B94D3E" w:rsidRDefault="00AF0ADF" w:rsidP="00AF0ADF">
            <w:pPr>
              <w:rPr>
                <w:rFonts w:cstheme="minorHAnsi"/>
                <w:sz w:val="20"/>
                <w:szCs w:val="20"/>
              </w:rPr>
            </w:pPr>
            <w:r w:rsidRPr="00B94D3E">
              <w:rPr>
                <w:rFonts w:cstheme="minorHAnsi"/>
                <w:b/>
                <w:bCs/>
                <w:color w:val="000000"/>
                <w:sz w:val="20"/>
                <w:szCs w:val="20"/>
              </w:rPr>
              <w:t xml:space="preserve">Mother's </w:t>
            </w:r>
            <w:r w:rsidR="00FB0C38">
              <w:rPr>
                <w:rFonts w:cstheme="minorHAnsi"/>
                <w:b/>
                <w:bCs/>
                <w:color w:val="000000"/>
                <w:sz w:val="20"/>
                <w:szCs w:val="20"/>
              </w:rPr>
              <w:t>Indig</w:t>
            </w:r>
            <w:r w:rsidRPr="00B94D3E">
              <w:rPr>
                <w:rFonts w:cstheme="minorHAnsi"/>
                <w:b/>
                <w:bCs/>
                <w:color w:val="000000"/>
                <w:sz w:val="20"/>
                <w:szCs w:val="20"/>
              </w:rPr>
              <w:t>enous status</w:t>
            </w:r>
          </w:p>
        </w:tc>
      </w:tr>
      <w:tr w:rsidR="00AF0ADF" w:rsidRPr="00222448" w14:paraId="73CECF01" w14:textId="77777777" w:rsidTr="004F0088">
        <w:trPr>
          <w:trHeight w:val="253"/>
        </w:trPr>
        <w:tc>
          <w:tcPr>
            <w:tcW w:w="1674" w:type="pct"/>
            <w:shd w:val="clear" w:color="auto" w:fill="auto"/>
            <w:noWrap/>
            <w:hideMark/>
          </w:tcPr>
          <w:p w14:paraId="3D1BD62C"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Indigenous</w:t>
            </w:r>
          </w:p>
        </w:tc>
        <w:tc>
          <w:tcPr>
            <w:tcW w:w="475" w:type="pct"/>
            <w:shd w:val="clear" w:color="auto" w:fill="auto"/>
            <w:noWrap/>
            <w:hideMark/>
          </w:tcPr>
          <w:p w14:paraId="6FF43A6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1.6</w:t>
            </w:r>
          </w:p>
        </w:tc>
        <w:tc>
          <w:tcPr>
            <w:tcW w:w="475" w:type="pct"/>
            <w:shd w:val="clear" w:color="auto" w:fill="auto"/>
            <w:noWrap/>
            <w:hideMark/>
          </w:tcPr>
          <w:p w14:paraId="0770751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1.6</w:t>
            </w:r>
          </w:p>
        </w:tc>
        <w:tc>
          <w:tcPr>
            <w:tcW w:w="475" w:type="pct"/>
            <w:shd w:val="clear" w:color="auto" w:fill="auto"/>
            <w:noWrap/>
            <w:hideMark/>
          </w:tcPr>
          <w:p w14:paraId="0048520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1.8</w:t>
            </w:r>
          </w:p>
        </w:tc>
        <w:tc>
          <w:tcPr>
            <w:tcW w:w="475" w:type="pct"/>
            <w:shd w:val="clear" w:color="auto" w:fill="auto"/>
            <w:noWrap/>
            <w:hideMark/>
          </w:tcPr>
          <w:p w14:paraId="717F1D7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1.4</w:t>
            </w:r>
          </w:p>
        </w:tc>
        <w:tc>
          <w:tcPr>
            <w:tcW w:w="475" w:type="pct"/>
            <w:shd w:val="clear" w:color="auto" w:fill="auto"/>
            <w:noWrap/>
            <w:hideMark/>
          </w:tcPr>
          <w:p w14:paraId="34998EE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1.7</w:t>
            </w:r>
          </w:p>
        </w:tc>
        <w:tc>
          <w:tcPr>
            <w:tcW w:w="475" w:type="pct"/>
            <w:shd w:val="clear" w:color="auto" w:fill="auto"/>
            <w:noWrap/>
            <w:hideMark/>
          </w:tcPr>
          <w:p w14:paraId="020B4EB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1.5</w:t>
            </w:r>
          </w:p>
        </w:tc>
        <w:tc>
          <w:tcPr>
            <w:tcW w:w="476" w:type="pct"/>
            <w:shd w:val="clear" w:color="auto" w:fill="auto"/>
            <w:noWrap/>
            <w:hideMark/>
          </w:tcPr>
          <w:p w14:paraId="06D6A6E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1.8</w:t>
            </w:r>
          </w:p>
        </w:tc>
      </w:tr>
      <w:tr w:rsidR="00AF0ADF" w:rsidRPr="00222448" w14:paraId="38865AA4" w14:textId="77777777" w:rsidTr="004F0088">
        <w:trPr>
          <w:trHeight w:val="253"/>
        </w:trPr>
        <w:tc>
          <w:tcPr>
            <w:tcW w:w="1674" w:type="pct"/>
            <w:shd w:val="clear" w:color="auto" w:fill="auto"/>
            <w:noWrap/>
            <w:hideMark/>
          </w:tcPr>
          <w:p w14:paraId="5FE84254"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Non-Indigenous</w:t>
            </w:r>
          </w:p>
        </w:tc>
        <w:tc>
          <w:tcPr>
            <w:tcW w:w="475" w:type="pct"/>
            <w:shd w:val="clear" w:color="auto" w:fill="auto"/>
            <w:noWrap/>
            <w:hideMark/>
          </w:tcPr>
          <w:p w14:paraId="6C456D8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c>
          <w:tcPr>
            <w:tcW w:w="475" w:type="pct"/>
            <w:shd w:val="clear" w:color="auto" w:fill="auto"/>
            <w:noWrap/>
            <w:hideMark/>
          </w:tcPr>
          <w:p w14:paraId="3E86B14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5" w:type="pct"/>
            <w:shd w:val="clear" w:color="auto" w:fill="auto"/>
            <w:noWrap/>
            <w:hideMark/>
          </w:tcPr>
          <w:p w14:paraId="504C9CB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2.8</w:t>
            </w:r>
          </w:p>
        </w:tc>
        <w:tc>
          <w:tcPr>
            <w:tcW w:w="475" w:type="pct"/>
            <w:shd w:val="clear" w:color="auto" w:fill="auto"/>
            <w:noWrap/>
            <w:hideMark/>
          </w:tcPr>
          <w:p w14:paraId="26258FE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c>
          <w:tcPr>
            <w:tcW w:w="475" w:type="pct"/>
            <w:shd w:val="clear" w:color="auto" w:fill="auto"/>
            <w:noWrap/>
            <w:hideMark/>
          </w:tcPr>
          <w:p w14:paraId="0A0E157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5" w:type="pct"/>
            <w:shd w:val="clear" w:color="auto" w:fill="auto"/>
            <w:noWrap/>
            <w:hideMark/>
          </w:tcPr>
          <w:p w14:paraId="595B395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6" w:type="pct"/>
            <w:shd w:val="clear" w:color="auto" w:fill="auto"/>
            <w:noWrap/>
            <w:hideMark/>
          </w:tcPr>
          <w:p w14:paraId="1BB2E19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r>
      <w:tr w:rsidR="00AF0ADF" w:rsidRPr="00222448" w14:paraId="3E61D714" w14:textId="77777777" w:rsidTr="00AF0ADF">
        <w:trPr>
          <w:trHeight w:val="253"/>
        </w:trPr>
        <w:tc>
          <w:tcPr>
            <w:tcW w:w="5000" w:type="pct"/>
            <w:gridSpan w:val="8"/>
            <w:shd w:val="clear" w:color="auto" w:fill="auto"/>
            <w:noWrap/>
            <w:hideMark/>
          </w:tcPr>
          <w:p w14:paraId="1550232B" w14:textId="77777777" w:rsidR="00AF0ADF" w:rsidRPr="00B94D3E" w:rsidRDefault="00AF0ADF" w:rsidP="00AF0ADF">
            <w:pPr>
              <w:rPr>
                <w:rFonts w:cstheme="minorHAnsi"/>
                <w:sz w:val="20"/>
                <w:szCs w:val="20"/>
              </w:rPr>
            </w:pPr>
            <w:r w:rsidRPr="00B94D3E">
              <w:rPr>
                <w:rFonts w:cstheme="minorHAnsi"/>
                <w:b/>
                <w:bCs/>
                <w:color w:val="000000"/>
                <w:sz w:val="20"/>
                <w:szCs w:val="20"/>
              </w:rPr>
              <w:t>Remoteness of mother's usual residence</w:t>
            </w:r>
          </w:p>
        </w:tc>
      </w:tr>
      <w:tr w:rsidR="00AF0ADF" w:rsidRPr="00222448" w14:paraId="516EF4D0" w14:textId="77777777" w:rsidTr="004F0088">
        <w:trPr>
          <w:trHeight w:val="253"/>
        </w:trPr>
        <w:tc>
          <w:tcPr>
            <w:tcW w:w="1674" w:type="pct"/>
            <w:shd w:val="clear" w:color="auto" w:fill="auto"/>
            <w:noWrap/>
            <w:hideMark/>
          </w:tcPr>
          <w:p w14:paraId="4A84E56B"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Major cities</w:t>
            </w:r>
          </w:p>
        </w:tc>
        <w:tc>
          <w:tcPr>
            <w:tcW w:w="475" w:type="pct"/>
            <w:shd w:val="clear" w:color="auto" w:fill="auto"/>
            <w:noWrap/>
            <w:hideMark/>
          </w:tcPr>
          <w:p w14:paraId="67621AD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3.2</w:t>
            </w:r>
          </w:p>
        </w:tc>
        <w:tc>
          <w:tcPr>
            <w:tcW w:w="475" w:type="pct"/>
            <w:shd w:val="clear" w:color="auto" w:fill="auto"/>
            <w:noWrap/>
            <w:hideMark/>
          </w:tcPr>
          <w:p w14:paraId="39AC128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3.3</w:t>
            </w:r>
          </w:p>
        </w:tc>
        <w:tc>
          <w:tcPr>
            <w:tcW w:w="475" w:type="pct"/>
            <w:shd w:val="clear" w:color="auto" w:fill="auto"/>
            <w:noWrap/>
            <w:hideMark/>
          </w:tcPr>
          <w:p w14:paraId="194EB06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3.5</w:t>
            </w:r>
          </w:p>
        </w:tc>
        <w:tc>
          <w:tcPr>
            <w:tcW w:w="475" w:type="pct"/>
            <w:shd w:val="clear" w:color="auto" w:fill="auto"/>
            <w:noWrap/>
            <w:hideMark/>
          </w:tcPr>
          <w:p w14:paraId="7AD1916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3.2</w:t>
            </w:r>
          </w:p>
        </w:tc>
        <w:tc>
          <w:tcPr>
            <w:tcW w:w="475" w:type="pct"/>
            <w:shd w:val="clear" w:color="auto" w:fill="auto"/>
            <w:noWrap/>
            <w:hideMark/>
          </w:tcPr>
          <w:p w14:paraId="54C48C5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3.0</w:t>
            </w:r>
          </w:p>
        </w:tc>
        <w:tc>
          <w:tcPr>
            <w:tcW w:w="475" w:type="pct"/>
            <w:shd w:val="clear" w:color="auto" w:fill="auto"/>
            <w:noWrap/>
            <w:hideMark/>
          </w:tcPr>
          <w:p w14:paraId="1348B0C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6" w:type="pct"/>
            <w:shd w:val="clear" w:color="auto" w:fill="auto"/>
            <w:noWrap/>
            <w:hideMark/>
          </w:tcPr>
          <w:p w14:paraId="66B1E36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r>
      <w:tr w:rsidR="00AF0ADF" w:rsidRPr="00222448" w14:paraId="12DD92A5" w14:textId="77777777" w:rsidTr="004F0088">
        <w:trPr>
          <w:trHeight w:val="253"/>
        </w:trPr>
        <w:tc>
          <w:tcPr>
            <w:tcW w:w="1674" w:type="pct"/>
            <w:shd w:val="clear" w:color="auto" w:fill="auto"/>
            <w:noWrap/>
            <w:hideMark/>
          </w:tcPr>
          <w:p w14:paraId="28B2A116"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Inner regional</w:t>
            </w:r>
          </w:p>
        </w:tc>
        <w:tc>
          <w:tcPr>
            <w:tcW w:w="475" w:type="pct"/>
            <w:shd w:val="clear" w:color="auto" w:fill="auto"/>
            <w:noWrap/>
            <w:hideMark/>
          </w:tcPr>
          <w:p w14:paraId="67DA947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2.3</w:t>
            </w:r>
          </w:p>
        </w:tc>
        <w:tc>
          <w:tcPr>
            <w:tcW w:w="475" w:type="pct"/>
            <w:shd w:val="clear" w:color="auto" w:fill="auto"/>
            <w:noWrap/>
            <w:hideMark/>
          </w:tcPr>
          <w:p w14:paraId="477DAFE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c>
          <w:tcPr>
            <w:tcW w:w="475" w:type="pct"/>
            <w:shd w:val="clear" w:color="auto" w:fill="auto"/>
            <w:noWrap/>
            <w:hideMark/>
          </w:tcPr>
          <w:p w14:paraId="3BD13C1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c>
          <w:tcPr>
            <w:tcW w:w="475" w:type="pct"/>
            <w:shd w:val="clear" w:color="auto" w:fill="auto"/>
            <w:noWrap/>
            <w:hideMark/>
          </w:tcPr>
          <w:p w14:paraId="64FBAAD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5" w:type="pct"/>
            <w:shd w:val="clear" w:color="auto" w:fill="auto"/>
            <w:noWrap/>
            <w:hideMark/>
          </w:tcPr>
          <w:p w14:paraId="25D56AB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2.4</w:t>
            </w:r>
          </w:p>
        </w:tc>
        <w:tc>
          <w:tcPr>
            <w:tcW w:w="475" w:type="pct"/>
            <w:shd w:val="clear" w:color="auto" w:fill="auto"/>
            <w:noWrap/>
            <w:hideMark/>
          </w:tcPr>
          <w:p w14:paraId="076CF22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6" w:type="pct"/>
            <w:shd w:val="clear" w:color="auto" w:fill="auto"/>
            <w:noWrap/>
            <w:hideMark/>
          </w:tcPr>
          <w:p w14:paraId="7992E16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r>
      <w:tr w:rsidR="00AF0ADF" w:rsidRPr="00222448" w14:paraId="6F6E3C96" w14:textId="77777777" w:rsidTr="004F0088">
        <w:trPr>
          <w:trHeight w:val="253"/>
        </w:trPr>
        <w:tc>
          <w:tcPr>
            <w:tcW w:w="1674" w:type="pct"/>
            <w:shd w:val="clear" w:color="auto" w:fill="auto"/>
            <w:noWrap/>
            <w:hideMark/>
          </w:tcPr>
          <w:p w14:paraId="594F8B32"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Outer regional</w:t>
            </w:r>
          </w:p>
        </w:tc>
        <w:tc>
          <w:tcPr>
            <w:tcW w:w="475" w:type="pct"/>
            <w:shd w:val="clear" w:color="auto" w:fill="auto"/>
            <w:noWrap/>
            <w:hideMark/>
          </w:tcPr>
          <w:p w14:paraId="5B9BF36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5" w:type="pct"/>
            <w:shd w:val="clear" w:color="auto" w:fill="auto"/>
            <w:noWrap/>
            <w:hideMark/>
          </w:tcPr>
          <w:p w14:paraId="08D5820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2.3</w:t>
            </w:r>
          </w:p>
        </w:tc>
        <w:tc>
          <w:tcPr>
            <w:tcW w:w="475" w:type="pct"/>
            <w:shd w:val="clear" w:color="auto" w:fill="auto"/>
            <w:noWrap/>
            <w:hideMark/>
          </w:tcPr>
          <w:p w14:paraId="01E9DE3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c>
          <w:tcPr>
            <w:tcW w:w="475" w:type="pct"/>
            <w:shd w:val="clear" w:color="auto" w:fill="auto"/>
            <w:noWrap/>
            <w:hideMark/>
          </w:tcPr>
          <w:p w14:paraId="03FEF37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c>
          <w:tcPr>
            <w:tcW w:w="475" w:type="pct"/>
            <w:shd w:val="clear" w:color="auto" w:fill="auto"/>
            <w:noWrap/>
            <w:hideMark/>
          </w:tcPr>
          <w:p w14:paraId="66CF165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5" w:type="pct"/>
            <w:shd w:val="clear" w:color="auto" w:fill="auto"/>
            <w:noWrap/>
            <w:hideMark/>
          </w:tcPr>
          <w:p w14:paraId="3199E17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6" w:type="pct"/>
            <w:shd w:val="clear" w:color="auto" w:fill="auto"/>
            <w:noWrap/>
            <w:hideMark/>
          </w:tcPr>
          <w:p w14:paraId="776B6E2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r>
      <w:tr w:rsidR="00AF0ADF" w:rsidRPr="00222448" w14:paraId="1873A911" w14:textId="77777777" w:rsidTr="004F0088">
        <w:trPr>
          <w:trHeight w:val="253"/>
        </w:trPr>
        <w:tc>
          <w:tcPr>
            <w:tcW w:w="1674" w:type="pct"/>
            <w:shd w:val="clear" w:color="auto" w:fill="auto"/>
            <w:noWrap/>
            <w:hideMark/>
          </w:tcPr>
          <w:p w14:paraId="73174618"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Remote</w:t>
            </w:r>
          </w:p>
        </w:tc>
        <w:tc>
          <w:tcPr>
            <w:tcW w:w="475" w:type="pct"/>
            <w:shd w:val="clear" w:color="auto" w:fill="auto"/>
            <w:noWrap/>
            <w:hideMark/>
          </w:tcPr>
          <w:p w14:paraId="5EE8ED7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2.1</w:t>
            </w:r>
          </w:p>
        </w:tc>
        <w:tc>
          <w:tcPr>
            <w:tcW w:w="475" w:type="pct"/>
            <w:shd w:val="clear" w:color="auto" w:fill="auto"/>
            <w:noWrap/>
            <w:hideMark/>
          </w:tcPr>
          <w:p w14:paraId="28EA097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2.4</w:t>
            </w:r>
          </w:p>
        </w:tc>
        <w:tc>
          <w:tcPr>
            <w:tcW w:w="475" w:type="pct"/>
            <w:shd w:val="clear" w:color="auto" w:fill="auto"/>
            <w:noWrap/>
            <w:hideMark/>
          </w:tcPr>
          <w:p w14:paraId="3579753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3.0</w:t>
            </w:r>
          </w:p>
        </w:tc>
        <w:tc>
          <w:tcPr>
            <w:tcW w:w="475" w:type="pct"/>
            <w:shd w:val="clear" w:color="auto" w:fill="auto"/>
            <w:noWrap/>
            <w:hideMark/>
          </w:tcPr>
          <w:p w14:paraId="0F92A32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5" w:type="pct"/>
            <w:shd w:val="clear" w:color="auto" w:fill="auto"/>
            <w:noWrap/>
            <w:hideMark/>
          </w:tcPr>
          <w:p w14:paraId="078A301E"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5" w:type="pct"/>
            <w:shd w:val="clear" w:color="auto" w:fill="auto"/>
            <w:noWrap/>
            <w:hideMark/>
          </w:tcPr>
          <w:p w14:paraId="5B64A8A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2.3</w:t>
            </w:r>
          </w:p>
        </w:tc>
        <w:tc>
          <w:tcPr>
            <w:tcW w:w="476" w:type="pct"/>
            <w:shd w:val="clear" w:color="auto" w:fill="auto"/>
            <w:noWrap/>
            <w:hideMark/>
          </w:tcPr>
          <w:p w14:paraId="3FA783A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2.8</w:t>
            </w:r>
          </w:p>
        </w:tc>
      </w:tr>
      <w:tr w:rsidR="00AF0ADF" w:rsidRPr="00222448" w14:paraId="026119F5" w14:textId="77777777" w:rsidTr="004F0088">
        <w:trPr>
          <w:trHeight w:val="253"/>
        </w:trPr>
        <w:tc>
          <w:tcPr>
            <w:tcW w:w="1674" w:type="pct"/>
            <w:shd w:val="clear" w:color="auto" w:fill="auto"/>
            <w:noWrap/>
            <w:hideMark/>
          </w:tcPr>
          <w:p w14:paraId="2829B882"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Very remote</w:t>
            </w:r>
          </w:p>
        </w:tc>
        <w:tc>
          <w:tcPr>
            <w:tcW w:w="475" w:type="pct"/>
            <w:shd w:val="clear" w:color="auto" w:fill="auto"/>
            <w:noWrap/>
            <w:hideMark/>
          </w:tcPr>
          <w:p w14:paraId="63982A1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2.4</w:t>
            </w:r>
          </w:p>
        </w:tc>
        <w:tc>
          <w:tcPr>
            <w:tcW w:w="475" w:type="pct"/>
            <w:shd w:val="clear" w:color="auto" w:fill="auto"/>
            <w:noWrap/>
            <w:hideMark/>
          </w:tcPr>
          <w:p w14:paraId="5F92BC0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3.2</w:t>
            </w:r>
          </w:p>
        </w:tc>
        <w:tc>
          <w:tcPr>
            <w:tcW w:w="475" w:type="pct"/>
            <w:shd w:val="clear" w:color="auto" w:fill="auto"/>
            <w:noWrap/>
            <w:hideMark/>
          </w:tcPr>
          <w:p w14:paraId="1B43F09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2.8</w:t>
            </w:r>
          </w:p>
        </w:tc>
        <w:tc>
          <w:tcPr>
            <w:tcW w:w="475" w:type="pct"/>
            <w:shd w:val="clear" w:color="auto" w:fill="auto"/>
            <w:noWrap/>
            <w:hideMark/>
          </w:tcPr>
          <w:p w14:paraId="1871DCD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5" w:type="pct"/>
            <w:shd w:val="clear" w:color="auto" w:fill="auto"/>
            <w:noWrap/>
            <w:hideMark/>
          </w:tcPr>
          <w:p w14:paraId="633149D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2.8</w:t>
            </w:r>
          </w:p>
        </w:tc>
        <w:tc>
          <w:tcPr>
            <w:tcW w:w="475" w:type="pct"/>
            <w:shd w:val="clear" w:color="auto" w:fill="auto"/>
            <w:noWrap/>
            <w:hideMark/>
          </w:tcPr>
          <w:p w14:paraId="74E9B57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w:t>
            </w:r>
          </w:p>
        </w:tc>
        <w:tc>
          <w:tcPr>
            <w:tcW w:w="476" w:type="pct"/>
            <w:shd w:val="clear" w:color="auto" w:fill="auto"/>
            <w:noWrap/>
            <w:hideMark/>
          </w:tcPr>
          <w:p w14:paraId="44E438B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2.6</w:t>
            </w:r>
          </w:p>
        </w:tc>
      </w:tr>
      <w:tr w:rsidR="00AF0ADF" w:rsidRPr="00222448" w14:paraId="0397E4DB" w14:textId="77777777" w:rsidTr="00AF0ADF">
        <w:trPr>
          <w:trHeight w:val="253"/>
        </w:trPr>
        <w:tc>
          <w:tcPr>
            <w:tcW w:w="5000" w:type="pct"/>
            <w:gridSpan w:val="8"/>
            <w:shd w:val="clear" w:color="auto" w:fill="auto"/>
            <w:noWrap/>
            <w:hideMark/>
          </w:tcPr>
          <w:p w14:paraId="622D6C12" w14:textId="77777777" w:rsidR="00AF0ADF" w:rsidRPr="00B94D3E" w:rsidRDefault="00AF0ADF" w:rsidP="00AF0ADF">
            <w:pPr>
              <w:rPr>
                <w:rFonts w:cstheme="minorHAnsi"/>
                <w:sz w:val="20"/>
                <w:szCs w:val="20"/>
              </w:rPr>
            </w:pPr>
            <w:r w:rsidRPr="00B94D3E">
              <w:rPr>
                <w:rFonts w:cstheme="minorHAnsi"/>
                <w:b/>
                <w:bCs/>
                <w:color w:val="000000"/>
                <w:sz w:val="20"/>
                <w:szCs w:val="20"/>
              </w:rPr>
              <w:t>Hospital sector</w:t>
            </w:r>
          </w:p>
        </w:tc>
      </w:tr>
      <w:tr w:rsidR="00AF0ADF" w:rsidRPr="00222448" w14:paraId="7DCADCA0" w14:textId="77777777" w:rsidTr="004F0088">
        <w:trPr>
          <w:trHeight w:val="253"/>
        </w:trPr>
        <w:tc>
          <w:tcPr>
            <w:tcW w:w="1674" w:type="pct"/>
            <w:shd w:val="clear" w:color="auto" w:fill="auto"/>
            <w:noWrap/>
            <w:hideMark/>
          </w:tcPr>
          <w:p w14:paraId="753368C4"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Private</w:t>
            </w:r>
          </w:p>
        </w:tc>
        <w:tc>
          <w:tcPr>
            <w:tcW w:w="475" w:type="pct"/>
            <w:shd w:val="clear" w:color="auto" w:fill="auto"/>
            <w:noWrap/>
            <w:hideMark/>
          </w:tcPr>
          <w:p w14:paraId="504724C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1.6</w:t>
            </w:r>
          </w:p>
        </w:tc>
        <w:tc>
          <w:tcPr>
            <w:tcW w:w="475" w:type="pct"/>
            <w:shd w:val="clear" w:color="auto" w:fill="auto"/>
            <w:noWrap/>
            <w:hideMark/>
          </w:tcPr>
          <w:p w14:paraId="545AF6F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1.7</w:t>
            </w:r>
          </w:p>
        </w:tc>
        <w:tc>
          <w:tcPr>
            <w:tcW w:w="475" w:type="pct"/>
            <w:shd w:val="clear" w:color="auto" w:fill="auto"/>
            <w:noWrap/>
            <w:hideMark/>
          </w:tcPr>
          <w:p w14:paraId="40C1CB5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5" w:type="pct"/>
            <w:shd w:val="clear" w:color="auto" w:fill="auto"/>
            <w:noWrap/>
            <w:hideMark/>
          </w:tcPr>
          <w:p w14:paraId="65A3498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1.5</w:t>
            </w:r>
          </w:p>
        </w:tc>
        <w:tc>
          <w:tcPr>
            <w:tcW w:w="475" w:type="pct"/>
            <w:shd w:val="clear" w:color="auto" w:fill="auto"/>
            <w:noWrap/>
            <w:hideMark/>
          </w:tcPr>
          <w:p w14:paraId="4448E0B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1.6</w:t>
            </w:r>
          </w:p>
        </w:tc>
        <w:tc>
          <w:tcPr>
            <w:tcW w:w="475" w:type="pct"/>
            <w:shd w:val="clear" w:color="auto" w:fill="auto"/>
            <w:noWrap/>
            <w:hideMark/>
          </w:tcPr>
          <w:p w14:paraId="3AE0AA9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1.3</w:t>
            </w:r>
          </w:p>
        </w:tc>
        <w:tc>
          <w:tcPr>
            <w:tcW w:w="476" w:type="pct"/>
            <w:shd w:val="clear" w:color="auto" w:fill="auto"/>
            <w:noWrap/>
            <w:hideMark/>
          </w:tcPr>
          <w:p w14:paraId="57FC1BF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1.4</w:t>
            </w:r>
          </w:p>
        </w:tc>
      </w:tr>
      <w:tr w:rsidR="00AF0ADF" w:rsidRPr="00222448" w14:paraId="0A41F313" w14:textId="77777777" w:rsidTr="004F0088">
        <w:trPr>
          <w:trHeight w:val="253"/>
        </w:trPr>
        <w:tc>
          <w:tcPr>
            <w:tcW w:w="1674" w:type="pct"/>
            <w:shd w:val="clear" w:color="auto" w:fill="auto"/>
            <w:noWrap/>
            <w:hideMark/>
          </w:tcPr>
          <w:p w14:paraId="6A7EE1E7"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Public</w:t>
            </w:r>
          </w:p>
        </w:tc>
        <w:tc>
          <w:tcPr>
            <w:tcW w:w="475" w:type="pct"/>
            <w:shd w:val="clear" w:color="auto" w:fill="auto"/>
            <w:noWrap/>
            <w:hideMark/>
          </w:tcPr>
          <w:p w14:paraId="20AD5DD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w:t>
            </w:r>
          </w:p>
        </w:tc>
        <w:tc>
          <w:tcPr>
            <w:tcW w:w="475" w:type="pct"/>
            <w:shd w:val="clear" w:color="auto" w:fill="auto"/>
            <w:noWrap/>
            <w:hideMark/>
          </w:tcPr>
          <w:p w14:paraId="35F50147"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3.5</w:t>
            </w:r>
          </w:p>
        </w:tc>
        <w:tc>
          <w:tcPr>
            <w:tcW w:w="475" w:type="pct"/>
            <w:shd w:val="clear" w:color="auto" w:fill="auto"/>
            <w:noWrap/>
            <w:hideMark/>
          </w:tcPr>
          <w:p w14:paraId="133EDF4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3.6</w:t>
            </w:r>
          </w:p>
        </w:tc>
        <w:tc>
          <w:tcPr>
            <w:tcW w:w="475" w:type="pct"/>
            <w:shd w:val="clear" w:color="auto" w:fill="auto"/>
            <w:noWrap/>
            <w:hideMark/>
          </w:tcPr>
          <w:p w14:paraId="6E08828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3.5</w:t>
            </w:r>
          </w:p>
        </w:tc>
        <w:tc>
          <w:tcPr>
            <w:tcW w:w="475" w:type="pct"/>
            <w:shd w:val="clear" w:color="auto" w:fill="auto"/>
            <w:noWrap/>
            <w:hideMark/>
          </w:tcPr>
          <w:p w14:paraId="5783754A"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3.2</w:t>
            </w:r>
          </w:p>
        </w:tc>
        <w:tc>
          <w:tcPr>
            <w:tcW w:w="475" w:type="pct"/>
            <w:shd w:val="clear" w:color="auto" w:fill="auto"/>
            <w:noWrap/>
            <w:hideMark/>
          </w:tcPr>
          <w:p w14:paraId="69377D6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3.3</w:t>
            </w:r>
          </w:p>
        </w:tc>
        <w:tc>
          <w:tcPr>
            <w:tcW w:w="476" w:type="pct"/>
            <w:shd w:val="clear" w:color="auto" w:fill="auto"/>
            <w:noWrap/>
            <w:hideMark/>
          </w:tcPr>
          <w:p w14:paraId="10D303B5"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3.3</w:t>
            </w:r>
          </w:p>
        </w:tc>
      </w:tr>
      <w:tr w:rsidR="00AF0ADF" w:rsidRPr="00222448" w14:paraId="4AFCD34C" w14:textId="77777777" w:rsidTr="00AF0ADF">
        <w:trPr>
          <w:trHeight w:val="253"/>
        </w:trPr>
        <w:tc>
          <w:tcPr>
            <w:tcW w:w="5000" w:type="pct"/>
            <w:gridSpan w:val="8"/>
            <w:shd w:val="clear" w:color="auto" w:fill="auto"/>
            <w:noWrap/>
            <w:hideMark/>
          </w:tcPr>
          <w:p w14:paraId="1F16DBD9" w14:textId="77777777" w:rsidR="00AF0ADF" w:rsidRPr="00B94D3E" w:rsidRDefault="00AF0ADF" w:rsidP="00AF0ADF">
            <w:pPr>
              <w:rPr>
                <w:rFonts w:cstheme="minorHAnsi"/>
                <w:sz w:val="20"/>
                <w:szCs w:val="20"/>
              </w:rPr>
            </w:pPr>
            <w:r w:rsidRPr="00B94D3E">
              <w:rPr>
                <w:rFonts w:cstheme="minorHAnsi"/>
                <w:b/>
                <w:bCs/>
                <w:color w:val="000000"/>
                <w:sz w:val="20"/>
                <w:szCs w:val="20"/>
              </w:rPr>
              <w:t>Hospitals annual number of births</w:t>
            </w:r>
          </w:p>
        </w:tc>
      </w:tr>
      <w:tr w:rsidR="00AF0ADF" w:rsidRPr="00222448" w14:paraId="6688E13C" w14:textId="77777777" w:rsidTr="004F0088">
        <w:trPr>
          <w:trHeight w:val="253"/>
        </w:trPr>
        <w:tc>
          <w:tcPr>
            <w:tcW w:w="1674" w:type="pct"/>
            <w:shd w:val="clear" w:color="auto" w:fill="auto"/>
            <w:noWrap/>
            <w:hideMark/>
          </w:tcPr>
          <w:p w14:paraId="6042DEAD"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1-100 births</w:t>
            </w:r>
          </w:p>
        </w:tc>
        <w:tc>
          <w:tcPr>
            <w:tcW w:w="475" w:type="pct"/>
            <w:shd w:val="clear" w:color="auto" w:fill="auto"/>
            <w:noWrap/>
            <w:hideMark/>
          </w:tcPr>
          <w:p w14:paraId="00658B6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1.5</w:t>
            </w:r>
          </w:p>
        </w:tc>
        <w:tc>
          <w:tcPr>
            <w:tcW w:w="475" w:type="pct"/>
            <w:shd w:val="clear" w:color="auto" w:fill="auto"/>
            <w:noWrap/>
            <w:hideMark/>
          </w:tcPr>
          <w:p w14:paraId="52A1F89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1.7</w:t>
            </w:r>
          </w:p>
        </w:tc>
        <w:tc>
          <w:tcPr>
            <w:tcW w:w="475" w:type="pct"/>
            <w:shd w:val="clear" w:color="auto" w:fill="auto"/>
            <w:noWrap/>
            <w:hideMark/>
          </w:tcPr>
          <w:p w14:paraId="2ACA6A3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1.7</w:t>
            </w:r>
          </w:p>
        </w:tc>
        <w:tc>
          <w:tcPr>
            <w:tcW w:w="475" w:type="pct"/>
            <w:shd w:val="clear" w:color="auto" w:fill="auto"/>
            <w:noWrap/>
            <w:hideMark/>
          </w:tcPr>
          <w:p w14:paraId="325A5C8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1.5</w:t>
            </w:r>
          </w:p>
        </w:tc>
        <w:tc>
          <w:tcPr>
            <w:tcW w:w="475" w:type="pct"/>
            <w:shd w:val="clear" w:color="auto" w:fill="auto"/>
            <w:noWrap/>
            <w:hideMark/>
          </w:tcPr>
          <w:p w14:paraId="4F9DAED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2.0</w:t>
            </w:r>
          </w:p>
        </w:tc>
        <w:tc>
          <w:tcPr>
            <w:tcW w:w="475" w:type="pct"/>
            <w:shd w:val="clear" w:color="auto" w:fill="auto"/>
            <w:noWrap/>
            <w:hideMark/>
          </w:tcPr>
          <w:p w14:paraId="6F49669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6" w:type="pct"/>
            <w:shd w:val="clear" w:color="auto" w:fill="auto"/>
            <w:noWrap/>
            <w:hideMark/>
          </w:tcPr>
          <w:p w14:paraId="6DF18BB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2.0</w:t>
            </w:r>
          </w:p>
        </w:tc>
      </w:tr>
      <w:tr w:rsidR="00AF0ADF" w:rsidRPr="00222448" w14:paraId="00B03C92" w14:textId="77777777" w:rsidTr="004F0088">
        <w:trPr>
          <w:trHeight w:val="253"/>
        </w:trPr>
        <w:tc>
          <w:tcPr>
            <w:tcW w:w="1674" w:type="pct"/>
            <w:shd w:val="clear" w:color="auto" w:fill="auto"/>
            <w:noWrap/>
            <w:hideMark/>
          </w:tcPr>
          <w:p w14:paraId="2C35B635"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101-500 births</w:t>
            </w:r>
          </w:p>
        </w:tc>
        <w:tc>
          <w:tcPr>
            <w:tcW w:w="475" w:type="pct"/>
            <w:shd w:val="clear" w:color="auto" w:fill="auto"/>
            <w:noWrap/>
            <w:hideMark/>
          </w:tcPr>
          <w:p w14:paraId="239BC8F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5" w:type="pct"/>
            <w:shd w:val="clear" w:color="auto" w:fill="auto"/>
            <w:noWrap/>
            <w:hideMark/>
          </w:tcPr>
          <w:p w14:paraId="2A78E6D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5" w:type="pct"/>
            <w:shd w:val="clear" w:color="auto" w:fill="auto"/>
            <w:noWrap/>
            <w:hideMark/>
          </w:tcPr>
          <w:p w14:paraId="7B3DD59F"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5" w:type="pct"/>
            <w:shd w:val="clear" w:color="auto" w:fill="auto"/>
            <w:noWrap/>
            <w:hideMark/>
          </w:tcPr>
          <w:p w14:paraId="0E392216"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5" w:type="pct"/>
            <w:shd w:val="clear" w:color="auto" w:fill="auto"/>
            <w:noWrap/>
            <w:hideMark/>
          </w:tcPr>
          <w:p w14:paraId="40DD5A1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c>
          <w:tcPr>
            <w:tcW w:w="475" w:type="pct"/>
            <w:shd w:val="clear" w:color="auto" w:fill="auto"/>
            <w:noWrap/>
            <w:hideMark/>
          </w:tcPr>
          <w:p w14:paraId="06D5213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2.4</w:t>
            </w:r>
          </w:p>
        </w:tc>
        <w:tc>
          <w:tcPr>
            <w:tcW w:w="476" w:type="pct"/>
            <w:shd w:val="clear" w:color="auto" w:fill="auto"/>
            <w:noWrap/>
            <w:hideMark/>
          </w:tcPr>
          <w:p w14:paraId="3968B338"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2.5</w:t>
            </w:r>
          </w:p>
        </w:tc>
      </w:tr>
      <w:tr w:rsidR="00AF0ADF" w:rsidRPr="00222448" w14:paraId="09E53D2E" w14:textId="77777777" w:rsidTr="004F0088">
        <w:trPr>
          <w:trHeight w:val="253"/>
        </w:trPr>
        <w:tc>
          <w:tcPr>
            <w:tcW w:w="1674" w:type="pct"/>
            <w:shd w:val="clear" w:color="auto" w:fill="auto"/>
            <w:noWrap/>
            <w:hideMark/>
          </w:tcPr>
          <w:p w14:paraId="04105C9F"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501-1,000 births</w:t>
            </w:r>
          </w:p>
        </w:tc>
        <w:tc>
          <w:tcPr>
            <w:tcW w:w="475" w:type="pct"/>
            <w:shd w:val="clear" w:color="auto" w:fill="auto"/>
            <w:noWrap/>
            <w:hideMark/>
          </w:tcPr>
          <w:p w14:paraId="02BE005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5" w:type="pct"/>
            <w:shd w:val="clear" w:color="auto" w:fill="auto"/>
            <w:noWrap/>
            <w:hideMark/>
          </w:tcPr>
          <w:p w14:paraId="4E2051B2"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2.3</w:t>
            </w:r>
          </w:p>
        </w:tc>
        <w:tc>
          <w:tcPr>
            <w:tcW w:w="475" w:type="pct"/>
            <w:shd w:val="clear" w:color="auto" w:fill="auto"/>
            <w:noWrap/>
            <w:hideMark/>
          </w:tcPr>
          <w:p w14:paraId="48EB01C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3.6</w:t>
            </w:r>
          </w:p>
        </w:tc>
        <w:tc>
          <w:tcPr>
            <w:tcW w:w="475" w:type="pct"/>
            <w:shd w:val="clear" w:color="auto" w:fill="auto"/>
            <w:noWrap/>
            <w:hideMark/>
          </w:tcPr>
          <w:p w14:paraId="7AB0A5E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5" w:type="pct"/>
            <w:shd w:val="clear" w:color="auto" w:fill="auto"/>
            <w:noWrap/>
            <w:hideMark/>
          </w:tcPr>
          <w:p w14:paraId="65D8A07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2.4</w:t>
            </w:r>
          </w:p>
        </w:tc>
        <w:tc>
          <w:tcPr>
            <w:tcW w:w="475" w:type="pct"/>
            <w:shd w:val="clear" w:color="auto" w:fill="auto"/>
            <w:noWrap/>
            <w:hideMark/>
          </w:tcPr>
          <w:p w14:paraId="429125F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2.2</w:t>
            </w:r>
          </w:p>
        </w:tc>
        <w:tc>
          <w:tcPr>
            <w:tcW w:w="476" w:type="pct"/>
            <w:shd w:val="clear" w:color="auto" w:fill="auto"/>
            <w:noWrap/>
            <w:hideMark/>
          </w:tcPr>
          <w:p w14:paraId="556B213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2.1</w:t>
            </w:r>
          </w:p>
        </w:tc>
      </w:tr>
      <w:tr w:rsidR="00AF0ADF" w:rsidRPr="00222448" w14:paraId="43546EFC" w14:textId="77777777" w:rsidTr="004F0088">
        <w:trPr>
          <w:trHeight w:val="253"/>
        </w:trPr>
        <w:tc>
          <w:tcPr>
            <w:tcW w:w="1674" w:type="pct"/>
            <w:shd w:val="clear" w:color="auto" w:fill="auto"/>
            <w:noWrap/>
            <w:hideMark/>
          </w:tcPr>
          <w:p w14:paraId="3A68C229"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1,001-2,000 births</w:t>
            </w:r>
          </w:p>
        </w:tc>
        <w:tc>
          <w:tcPr>
            <w:tcW w:w="475" w:type="pct"/>
            <w:shd w:val="clear" w:color="auto" w:fill="auto"/>
            <w:noWrap/>
            <w:hideMark/>
          </w:tcPr>
          <w:p w14:paraId="5FED7E6D"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2.8</w:t>
            </w:r>
          </w:p>
        </w:tc>
        <w:tc>
          <w:tcPr>
            <w:tcW w:w="475" w:type="pct"/>
            <w:shd w:val="clear" w:color="auto" w:fill="auto"/>
            <w:noWrap/>
            <w:hideMark/>
          </w:tcPr>
          <w:p w14:paraId="35180C2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5" w:type="pct"/>
            <w:shd w:val="clear" w:color="auto" w:fill="auto"/>
            <w:noWrap/>
            <w:hideMark/>
          </w:tcPr>
          <w:p w14:paraId="7696942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5" w:type="pct"/>
            <w:shd w:val="clear" w:color="auto" w:fill="auto"/>
            <w:noWrap/>
            <w:hideMark/>
          </w:tcPr>
          <w:p w14:paraId="09BF46B0"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c>
          <w:tcPr>
            <w:tcW w:w="475" w:type="pct"/>
            <w:shd w:val="clear" w:color="auto" w:fill="auto"/>
            <w:noWrap/>
            <w:hideMark/>
          </w:tcPr>
          <w:p w14:paraId="0A07743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5" w:type="pct"/>
            <w:shd w:val="clear" w:color="auto" w:fill="auto"/>
            <w:noWrap/>
            <w:hideMark/>
          </w:tcPr>
          <w:p w14:paraId="5B02A7F1"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2.7</w:t>
            </w:r>
          </w:p>
        </w:tc>
        <w:tc>
          <w:tcPr>
            <w:tcW w:w="476" w:type="pct"/>
            <w:shd w:val="clear" w:color="auto" w:fill="auto"/>
            <w:noWrap/>
            <w:hideMark/>
          </w:tcPr>
          <w:p w14:paraId="0FF19E5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2.9</w:t>
            </w:r>
          </w:p>
        </w:tc>
      </w:tr>
      <w:tr w:rsidR="00AF0ADF" w:rsidRPr="00222448" w14:paraId="666F0B85" w14:textId="77777777" w:rsidTr="004F0088">
        <w:trPr>
          <w:trHeight w:val="253"/>
        </w:trPr>
        <w:tc>
          <w:tcPr>
            <w:tcW w:w="1674" w:type="pct"/>
            <w:shd w:val="clear" w:color="auto" w:fill="auto"/>
            <w:noWrap/>
            <w:hideMark/>
          </w:tcPr>
          <w:p w14:paraId="19328B4C" w14:textId="77777777" w:rsidR="00AF0ADF" w:rsidRPr="00B94D3E" w:rsidRDefault="00AF0ADF" w:rsidP="00AF0ADF">
            <w:pPr>
              <w:ind w:firstLineChars="100" w:firstLine="200"/>
              <w:rPr>
                <w:rFonts w:cstheme="minorHAnsi"/>
                <w:color w:val="000000"/>
                <w:sz w:val="20"/>
                <w:szCs w:val="20"/>
              </w:rPr>
            </w:pPr>
            <w:r w:rsidRPr="00B94D3E">
              <w:rPr>
                <w:rFonts w:cstheme="minorHAnsi"/>
                <w:color w:val="000000"/>
                <w:sz w:val="20"/>
                <w:szCs w:val="20"/>
              </w:rPr>
              <w:t>2,001 births and over</w:t>
            </w:r>
          </w:p>
        </w:tc>
        <w:tc>
          <w:tcPr>
            <w:tcW w:w="475" w:type="pct"/>
            <w:shd w:val="clear" w:color="auto" w:fill="auto"/>
            <w:noWrap/>
            <w:hideMark/>
          </w:tcPr>
          <w:p w14:paraId="43169C9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w:t>
            </w:r>
          </w:p>
        </w:tc>
        <w:tc>
          <w:tcPr>
            <w:tcW w:w="475" w:type="pct"/>
            <w:shd w:val="clear" w:color="auto" w:fill="auto"/>
            <w:noWrap/>
            <w:hideMark/>
          </w:tcPr>
          <w:p w14:paraId="5582B069"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w:t>
            </w:r>
          </w:p>
        </w:tc>
        <w:tc>
          <w:tcPr>
            <w:tcW w:w="475" w:type="pct"/>
            <w:shd w:val="clear" w:color="auto" w:fill="auto"/>
            <w:noWrap/>
            <w:hideMark/>
          </w:tcPr>
          <w:p w14:paraId="11B69EA3"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3.4</w:t>
            </w:r>
          </w:p>
        </w:tc>
        <w:tc>
          <w:tcPr>
            <w:tcW w:w="475" w:type="pct"/>
            <w:shd w:val="clear" w:color="auto" w:fill="auto"/>
            <w:noWrap/>
            <w:hideMark/>
          </w:tcPr>
          <w:p w14:paraId="25F09BAC"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3.3</w:t>
            </w:r>
          </w:p>
        </w:tc>
        <w:tc>
          <w:tcPr>
            <w:tcW w:w="475" w:type="pct"/>
            <w:shd w:val="clear" w:color="auto" w:fill="auto"/>
            <w:noWrap/>
            <w:hideMark/>
          </w:tcPr>
          <w:p w14:paraId="1A90E1C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3.1</w:t>
            </w:r>
          </w:p>
        </w:tc>
        <w:tc>
          <w:tcPr>
            <w:tcW w:w="475" w:type="pct"/>
            <w:shd w:val="clear" w:color="auto" w:fill="auto"/>
            <w:noWrap/>
            <w:hideMark/>
          </w:tcPr>
          <w:p w14:paraId="4331CC3B"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3.1</w:t>
            </w:r>
          </w:p>
        </w:tc>
        <w:tc>
          <w:tcPr>
            <w:tcW w:w="476" w:type="pct"/>
            <w:shd w:val="clear" w:color="auto" w:fill="auto"/>
            <w:noWrap/>
            <w:hideMark/>
          </w:tcPr>
          <w:p w14:paraId="6874DDD4" w14:textId="77777777" w:rsidR="00AF0ADF" w:rsidRPr="00B94D3E" w:rsidRDefault="00AF0ADF" w:rsidP="00AF0ADF">
            <w:pPr>
              <w:jc w:val="right"/>
              <w:rPr>
                <w:rFonts w:cstheme="minorHAnsi"/>
                <w:color w:val="000000"/>
                <w:sz w:val="20"/>
                <w:szCs w:val="20"/>
              </w:rPr>
            </w:pPr>
            <w:r w:rsidRPr="00B94D3E">
              <w:rPr>
                <w:rFonts w:cstheme="minorHAnsi"/>
                <w:color w:val="000000"/>
                <w:sz w:val="20"/>
                <w:szCs w:val="20"/>
              </w:rPr>
              <w:t>3.1</w:t>
            </w:r>
          </w:p>
        </w:tc>
      </w:tr>
    </w:tbl>
    <w:p w14:paraId="4D19D0AC" w14:textId="77777777" w:rsidR="00AF0ADF" w:rsidRPr="004F0088" w:rsidRDefault="00AF0ADF" w:rsidP="004F0088">
      <w:pPr>
        <w:ind w:left="284" w:hanging="284"/>
        <w:rPr>
          <w:b/>
          <w:bCs/>
          <w:sz w:val="18"/>
          <w:szCs w:val="18"/>
        </w:rPr>
      </w:pPr>
      <w:r w:rsidRPr="004F0088">
        <w:rPr>
          <w:b/>
          <w:bCs/>
          <w:sz w:val="18"/>
          <w:szCs w:val="18"/>
        </w:rPr>
        <w:t>Data Notes:</w:t>
      </w:r>
    </w:p>
    <w:p w14:paraId="72672AC7" w14:textId="336AECC3" w:rsidR="00AF0ADF" w:rsidRPr="00B94D3E" w:rsidRDefault="00AF0ADF" w:rsidP="008D3FB5">
      <w:pPr>
        <w:pStyle w:val="ListParagraph"/>
        <w:numPr>
          <w:ilvl w:val="0"/>
          <w:numId w:val="24"/>
        </w:numPr>
        <w:ind w:left="284" w:hanging="284"/>
        <w:rPr>
          <w:sz w:val="18"/>
          <w:szCs w:val="18"/>
        </w:rPr>
      </w:pPr>
      <w:r w:rsidRPr="00B94D3E">
        <w:rPr>
          <w:sz w:val="18"/>
          <w:szCs w:val="18"/>
        </w:rPr>
        <w:t>For multiple births, the perineal status after the birth of the first-born baby was used.</w:t>
      </w:r>
    </w:p>
    <w:p w14:paraId="7AE0FB64" w14:textId="68E8E89A" w:rsidR="00AF0ADF" w:rsidRPr="00B94D3E" w:rsidRDefault="00AF0ADF" w:rsidP="008D3FB5">
      <w:pPr>
        <w:pStyle w:val="ListParagraph"/>
        <w:numPr>
          <w:ilvl w:val="0"/>
          <w:numId w:val="24"/>
        </w:numPr>
        <w:ind w:left="284" w:hanging="284"/>
        <w:rPr>
          <w:sz w:val="18"/>
          <w:szCs w:val="18"/>
        </w:rPr>
      </w:pPr>
      <w:r w:rsidRPr="00B94D3E">
        <w:rPr>
          <w:sz w:val="18"/>
          <w:szCs w:val="18"/>
        </w:rPr>
        <w:t>Some caution is required with interpretation of these percentages as the number of small babies born at or after 40 weeks gestation is small.</w:t>
      </w:r>
    </w:p>
    <w:p w14:paraId="744BD64A" w14:textId="77777777" w:rsidR="00AF0ADF" w:rsidRPr="00B94D3E" w:rsidRDefault="00AF0ADF" w:rsidP="008D3FB5">
      <w:pPr>
        <w:pStyle w:val="ListParagraph"/>
        <w:numPr>
          <w:ilvl w:val="0"/>
          <w:numId w:val="24"/>
        </w:numPr>
        <w:ind w:left="284" w:hanging="284"/>
        <w:rPr>
          <w:sz w:val="18"/>
          <w:szCs w:val="18"/>
        </w:rPr>
      </w:pPr>
      <w:r w:rsidRPr="009B75B7">
        <w:rPr>
          <w:sz w:val="18"/>
          <w:szCs w:val="18"/>
        </w:rPr>
        <w:t>Some caution is required in interpretating these percentages as the total number of annual tears is small.</w:t>
      </w:r>
    </w:p>
    <w:p w14:paraId="39767035" w14:textId="6A7B6D5B" w:rsidR="00AF0ADF" w:rsidRPr="00C459D0" w:rsidRDefault="006E120D" w:rsidP="00AF0ADF">
      <w:pPr>
        <w:pStyle w:val="ListParagraph"/>
        <w:numPr>
          <w:ilvl w:val="0"/>
          <w:numId w:val="24"/>
        </w:numPr>
        <w:ind w:left="284" w:hanging="284"/>
        <w:rPr>
          <w:sz w:val="18"/>
          <w:szCs w:val="18"/>
        </w:rPr>
      </w:pPr>
      <w:r w:rsidRPr="006E120D">
        <w:rPr>
          <w:sz w:val="18"/>
          <w:szCs w:val="18"/>
        </w:rPr>
        <w:t xml:space="preserve">Source: </w:t>
      </w:r>
      <w:r w:rsidRPr="00B94D3E">
        <w:rPr>
          <w:sz w:val="18"/>
          <w:szCs w:val="18"/>
        </w:rPr>
        <w:t>AIHW analysis of National Perinatal Data Collection. Australian Institute of Health and Welfare 2021. National Core Maternity Indicators. Cat no. PER 95. Canberra: AIHW</w:t>
      </w:r>
    </w:p>
    <w:p w14:paraId="5B7CA36C" w14:textId="77777777" w:rsidR="00AF0ADF" w:rsidRDefault="00AF0ADF" w:rsidP="00AF0ADF">
      <w:r>
        <w:br w:type="page"/>
      </w:r>
    </w:p>
    <w:p w14:paraId="5796465E" w14:textId="2900FBA9" w:rsidR="00AF0ADF" w:rsidRPr="008E401A" w:rsidRDefault="00AF0ADF" w:rsidP="00AF0ADF">
      <w:pPr>
        <w:pStyle w:val="Caption"/>
        <w:rPr>
          <w:sz w:val="20"/>
          <w:szCs w:val="20"/>
        </w:rPr>
      </w:pPr>
      <w:bookmarkStart w:id="466" w:name="_Ref117116851"/>
      <w:bookmarkStart w:id="467" w:name="_Toc121429209"/>
      <w:r>
        <w:lastRenderedPageBreak/>
        <w:t>T</w:t>
      </w:r>
      <w:r w:rsidRPr="008E401A">
        <w:rPr>
          <w:sz w:val="20"/>
          <w:szCs w:val="20"/>
        </w:rPr>
        <w:t xml:space="preserve">able </w:t>
      </w:r>
      <w:r w:rsidR="00A64FC5" w:rsidRPr="008E401A">
        <w:rPr>
          <w:sz w:val="20"/>
          <w:szCs w:val="20"/>
        </w:rPr>
        <w:fldChar w:fldCharType="begin"/>
      </w:r>
      <w:r w:rsidR="00A64FC5" w:rsidRPr="008E401A">
        <w:rPr>
          <w:sz w:val="20"/>
          <w:szCs w:val="20"/>
        </w:rPr>
        <w:instrText xml:space="preserve"> SEQ Table \* ARABIC </w:instrText>
      </w:r>
      <w:r w:rsidR="00A64FC5" w:rsidRPr="008E401A">
        <w:rPr>
          <w:sz w:val="20"/>
          <w:szCs w:val="20"/>
        </w:rPr>
        <w:fldChar w:fldCharType="separate"/>
      </w:r>
      <w:r w:rsidR="00296988">
        <w:rPr>
          <w:noProof/>
          <w:sz w:val="20"/>
          <w:szCs w:val="20"/>
        </w:rPr>
        <w:t>33</w:t>
      </w:r>
      <w:r w:rsidR="00A64FC5" w:rsidRPr="008E401A">
        <w:rPr>
          <w:noProof/>
          <w:sz w:val="20"/>
          <w:szCs w:val="20"/>
        </w:rPr>
        <w:fldChar w:fldCharType="end"/>
      </w:r>
      <w:bookmarkEnd w:id="466"/>
      <w:r w:rsidRPr="008E401A">
        <w:rPr>
          <w:sz w:val="20"/>
          <w:szCs w:val="20"/>
        </w:rPr>
        <w:tab/>
        <w:t>Perinatal, stillbirth and neonatal death rates, 2019</w:t>
      </w:r>
      <w:bookmarkEnd w:id="467"/>
    </w:p>
    <w:tbl>
      <w:tblPr>
        <w:tblStyle w:val="TableGrid"/>
        <w:tblW w:w="5000" w:type="pct"/>
        <w:tblLook w:val="04A0" w:firstRow="1" w:lastRow="0" w:firstColumn="1" w:lastColumn="0" w:noHBand="0" w:noVBand="1"/>
      </w:tblPr>
      <w:tblGrid>
        <w:gridCol w:w="4607"/>
        <w:gridCol w:w="1750"/>
        <w:gridCol w:w="1750"/>
        <w:gridCol w:w="1748"/>
      </w:tblGrid>
      <w:tr w:rsidR="00AF0ADF" w:rsidRPr="00EB1AF3" w14:paraId="6BFB2EBC" w14:textId="77777777" w:rsidTr="00B94D3E">
        <w:trPr>
          <w:cantSplit/>
          <w:trHeight w:val="20"/>
          <w:tblHeader/>
        </w:trPr>
        <w:tc>
          <w:tcPr>
            <w:tcW w:w="2337" w:type="pct"/>
            <w:noWrap/>
            <w:vAlign w:val="center"/>
            <w:hideMark/>
          </w:tcPr>
          <w:p w14:paraId="3B165FB6" w14:textId="77777777" w:rsidR="00AF0ADF" w:rsidRPr="00874241" w:rsidRDefault="00AF0ADF" w:rsidP="00AF0ADF">
            <w:pPr>
              <w:ind w:firstLineChars="100" w:firstLine="201"/>
              <w:rPr>
                <w:rFonts w:cstheme="minorHAnsi"/>
                <w:b/>
                <w:bCs/>
                <w:color w:val="000000"/>
                <w:sz w:val="20"/>
                <w:szCs w:val="20"/>
              </w:rPr>
            </w:pPr>
          </w:p>
        </w:tc>
        <w:tc>
          <w:tcPr>
            <w:tcW w:w="888" w:type="pct"/>
            <w:vAlign w:val="center"/>
          </w:tcPr>
          <w:p w14:paraId="6462A19B"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Perinatal deaths</w:t>
            </w:r>
          </w:p>
        </w:tc>
        <w:tc>
          <w:tcPr>
            <w:tcW w:w="888" w:type="pct"/>
            <w:vAlign w:val="center"/>
          </w:tcPr>
          <w:p w14:paraId="36DEA501"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Stillbirths</w:t>
            </w:r>
          </w:p>
        </w:tc>
        <w:tc>
          <w:tcPr>
            <w:tcW w:w="887" w:type="pct"/>
            <w:noWrap/>
            <w:vAlign w:val="center"/>
            <w:hideMark/>
          </w:tcPr>
          <w:p w14:paraId="166CEE35" w14:textId="77777777" w:rsidR="00AF0ADF" w:rsidRPr="00874241" w:rsidRDefault="00AF0ADF" w:rsidP="00B94D3E">
            <w:pPr>
              <w:jc w:val="center"/>
              <w:rPr>
                <w:rFonts w:cstheme="minorHAnsi"/>
                <w:b/>
                <w:bCs/>
                <w:color w:val="000000"/>
                <w:sz w:val="20"/>
                <w:szCs w:val="20"/>
              </w:rPr>
            </w:pPr>
            <w:r w:rsidRPr="00874241">
              <w:rPr>
                <w:rFonts w:cstheme="minorHAnsi"/>
                <w:b/>
                <w:bCs/>
                <w:color w:val="000000"/>
                <w:sz w:val="20"/>
                <w:szCs w:val="20"/>
              </w:rPr>
              <w:t>Neonatal deaths</w:t>
            </w:r>
          </w:p>
        </w:tc>
      </w:tr>
      <w:tr w:rsidR="00AF0ADF" w:rsidRPr="00EB1AF3" w14:paraId="5BB25F43" w14:textId="77777777" w:rsidTr="00AF0ADF">
        <w:trPr>
          <w:cantSplit/>
          <w:trHeight w:val="20"/>
          <w:tblHeader/>
        </w:trPr>
        <w:tc>
          <w:tcPr>
            <w:tcW w:w="2337" w:type="pct"/>
            <w:noWrap/>
            <w:vAlign w:val="center"/>
          </w:tcPr>
          <w:p w14:paraId="1E3CC714" w14:textId="77777777" w:rsidR="00AF0ADF" w:rsidRPr="00874241" w:rsidRDefault="00AF0ADF" w:rsidP="00AF0ADF">
            <w:pPr>
              <w:ind w:firstLineChars="100" w:firstLine="201"/>
              <w:rPr>
                <w:rFonts w:cstheme="minorHAnsi"/>
                <w:b/>
                <w:bCs/>
                <w:color w:val="000000"/>
                <w:sz w:val="20"/>
                <w:szCs w:val="20"/>
              </w:rPr>
            </w:pPr>
          </w:p>
        </w:tc>
        <w:tc>
          <w:tcPr>
            <w:tcW w:w="2663" w:type="pct"/>
            <w:gridSpan w:val="3"/>
            <w:vAlign w:val="center"/>
          </w:tcPr>
          <w:p w14:paraId="1CAE0995" w14:textId="77777777" w:rsidR="00AF0ADF" w:rsidRPr="00874241" w:rsidRDefault="00AF0ADF" w:rsidP="00AF0ADF">
            <w:pPr>
              <w:jc w:val="center"/>
              <w:rPr>
                <w:rFonts w:cstheme="minorHAnsi"/>
                <w:b/>
                <w:bCs/>
                <w:color w:val="000000"/>
                <w:sz w:val="20"/>
                <w:szCs w:val="20"/>
              </w:rPr>
            </w:pPr>
            <w:r w:rsidRPr="00874241">
              <w:rPr>
                <w:rFonts w:cstheme="minorHAnsi"/>
                <w:b/>
                <w:bCs/>
                <w:color w:val="000000"/>
                <w:sz w:val="20"/>
                <w:szCs w:val="20"/>
              </w:rPr>
              <w:t>Rate</w:t>
            </w:r>
          </w:p>
        </w:tc>
      </w:tr>
      <w:tr w:rsidR="008060F6" w:rsidRPr="00EB1AF3" w14:paraId="097FC835" w14:textId="77777777" w:rsidTr="008060F6">
        <w:trPr>
          <w:cantSplit/>
          <w:trHeight w:val="20"/>
        </w:trPr>
        <w:tc>
          <w:tcPr>
            <w:tcW w:w="5000" w:type="pct"/>
            <w:gridSpan w:val="4"/>
            <w:noWrap/>
            <w:vAlign w:val="center"/>
            <w:hideMark/>
          </w:tcPr>
          <w:p w14:paraId="1508B120" w14:textId="0B0EA425" w:rsidR="008060F6" w:rsidRPr="00874241" w:rsidRDefault="008060F6" w:rsidP="00B94D3E">
            <w:pPr>
              <w:rPr>
                <w:rFonts w:cstheme="minorHAnsi"/>
                <w:b/>
                <w:bCs/>
                <w:color w:val="000000"/>
                <w:sz w:val="20"/>
                <w:szCs w:val="20"/>
              </w:rPr>
            </w:pPr>
            <w:r w:rsidRPr="00874241">
              <w:rPr>
                <w:rFonts w:cstheme="minorHAnsi"/>
                <w:b/>
                <w:bCs/>
                <w:color w:val="000000"/>
                <w:sz w:val="20"/>
                <w:szCs w:val="20"/>
              </w:rPr>
              <w:t>Australia</w:t>
            </w:r>
          </w:p>
        </w:tc>
      </w:tr>
      <w:tr w:rsidR="00AF0ADF" w:rsidRPr="00D23AFA" w14:paraId="217569F1" w14:textId="77777777" w:rsidTr="00AF0ADF">
        <w:trPr>
          <w:cantSplit/>
          <w:trHeight w:val="20"/>
        </w:trPr>
        <w:tc>
          <w:tcPr>
            <w:tcW w:w="2337" w:type="pct"/>
            <w:noWrap/>
            <w:vAlign w:val="center"/>
            <w:hideMark/>
          </w:tcPr>
          <w:p w14:paraId="063059D9"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Total</w:t>
            </w:r>
          </w:p>
        </w:tc>
        <w:tc>
          <w:tcPr>
            <w:tcW w:w="888" w:type="pct"/>
            <w:vAlign w:val="center"/>
          </w:tcPr>
          <w:p w14:paraId="07F37CF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9.6</w:t>
            </w:r>
          </w:p>
        </w:tc>
        <w:tc>
          <w:tcPr>
            <w:tcW w:w="888" w:type="pct"/>
            <w:vAlign w:val="center"/>
          </w:tcPr>
          <w:p w14:paraId="230E3D9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7.2</w:t>
            </w:r>
          </w:p>
        </w:tc>
        <w:tc>
          <w:tcPr>
            <w:tcW w:w="887" w:type="pct"/>
            <w:noWrap/>
            <w:vAlign w:val="center"/>
          </w:tcPr>
          <w:p w14:paraId="745CA6BC"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2.4</w:t>
            </w:r>
          </w:p>
        </w:tc>
      </w:tr>
      <w:tr w:rsidR="008060F6" w:rsidRPr="00EB1AF3" w14:paraId="6D0E49EB" w14:textId="77777777" w:rsidTr="008060F6">
        <w:trPr>
          <w:cantSplit/>
          <w:trHeight w:val="20"/>
        </w:trPr>
        <w:tc>
          <w:tcPr>
            <w:tcW w:w="5000" w:type="pct"/>
            <w:gridSpan w:val="4"/>
            <w:noWrap/>
            <w:vAlign w:val="center"/>
            <w:hideMark/>
          </w:tcPr>
          <w:p w14:paraId="1345850F" w14:textId="57E303C2" w:rsidR="008060F6" w:rsidRPr="00874241" w:rsidRDefault="008060F6" w:rsidP="00B94D3E">
            <w:pPr>
              <w:rPr>
                <w:rFonts w:cstheme="minorHAnsi"/>
                <w:b/>
                <w:bCs/>
                <w:color w:val="000000"/>
                <w:sz w:val="20"/>
                <w:szCs w:val="20"/>
              </w:rPr>
            </w:pPr>
            <w:r w:rsidRPr="00874241">
              <w:rPr>
                <w:rFonts w:cstheme="minorHAnsi"/>
                <w:b/>
                <w:bCs/>
                <w:color w:val="000000"/>
                <w:sz w:val="20"/>
                <w:szCs w:val="20"/>
              </w:rPr>
              <w:t>Mother's age at birth</w:t>
            </w:r>
          </w:p>
        </w:tc>
      </w:tr>
      <w:tr w:rsidR="00AF0ADF" w:rsidRPr="00D23AFA" w14:paraId="4C166C56" w14:textId="77777777" w:rsidTr="00AF0ADF">
        <w:trPr>
          <w:cantSplit/>
          <w:trHeight w:val="20"/>
        </w:trPr>
        <w:tc>
          <w:tcPr>
            <w:tcW w:w="2337" w:type="pct"/>
            <w:noWrap/>
            <w:vAlign w:val="center"/>
            <w:hideMark/>
          </w:tcPr>
          <w:p w14:paraId="5836A26C"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Younger than 20</w:t>
            </w:r>
          </w:p>
        </w:tc>
        <w:tc>
          <w:tcPr>
            <w:tcW w:w="888" w:type="pct"/>
            <w:vAlign w:val="center"/>
          </w:tcPr>
          <w:p w14:paraId="4301F25C"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18.4</w:t>
            </w:r>
          </w:p>
        </w:tc>
        <w:tc>
          <w:tcPr>
            <w:tcW w:w="888" w:type="pct"/>
            <w:vAlign w:val="center"/>
          </w:tcPr>
          <w:p w14:paraId="3CBB873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13.5</w:t>
            </w:r>
          </w:p>
        </w:tc>
        <w:tc>
          <w:tcPr>
            <w:tcW w:w="887" w:type="pct"/>
            <w:noWrap/>
            <w:vAlign w:val="center"/>
          </w:tcPr>
          <w:p w14:paraId="013E3F7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5.0</w:t>
            </w:r>
          </w:p>
        </w:tc>
      </w:tr>
      <w:tr w:rsidR="00AF0ADF" w:rsidRPr="00D23AFA" w14:paraId="4B10A93A" w14:textId="77777777" w:rsidTr="00AF0ADF">
        <w:trPr>
          <w:cantSplit/>
          <w:trHeight w:val="20"/>
        </w:trPr>
        <w:tc>
          <w:tcPr>
            <w:tcW w:w="2337" w:type="pct"/>
            <w:noWrap/>
            <w:vAlign w:val="center"/>
            <w:hideMark/>
          </w:tcPr>
          <w:p w14:paraId="1346F57D"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20-24</w:t>
            </w:r>
          </w:p>
        </w:tc>
        <w:tc>
          <w:tcPr>
            <w:tcW w:w="888" w:type="pct"/>
            <w:vAlign w:val="center"/>
          </w:tcPr>
          <w:p w14:paraId="24447DF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11.1</w:t>
            </w:r>
          </w:p>
        </w:tc>
        <w:tc>
          <w:tcPr>
            <w:tcW w:w="888" w:type="pct"/>
            <w:vAlign w:val="center"/>
          </w:tcPr>
          <w:p w14:paraId="72A190D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8.4</w:t>
            </w:r>
          </w:p>
        </w:tc>
        <w:tc>
          <w:tcPr>
            <w:tcW w:w="887" w:type="pct"/>
            <w:noWrap/>
            <w:vAlign w:val="center"/>
          </w:tcPr>
          <w:p w14:paraId="3B3DC08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2.7</w:t>
            </w:r>
          </w:p>
        </w:tc>
      </w:tr>
      <w:tr w:rsidR="00AF0ADF" w:rsidRPr="00D23AFA" w14:paraId="0B0C6ED4" w14:textId="77777777" w:rsidTr="00AF0ADF">
        <w:trPr>
          <w:cantSplit/>
          <w:trHeight w:val="20"/>
        </w:trPr>
        <w:tc>
          <w:tcPr>
            <w:tcW w:w="2337" w:type="pct"/>
            <w:noWrap/>
            <w:vAlign w:val="center"/>
            <w:hideMark/>
          </w:tcPr>
          <w:p w14:paraId="59390543"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25-29</w:t>
            </w:r>
          </w:p>
        </w:tc>
        <w:tc>
          <w:tcPr>
            <w:tcW w:w="888" w:type="pct"/>
            <w:vAlign w:val="center"/>
          </w:tcPr>
          <w:p w14:paraId="7B8BCA7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8.5</w:t>
            </w:r>
          </w:p>
        </w:tc>
        <w:tc>
          <w:tcPr>
            <w:tcW w:w="888" w:type="pct"/>
            <w:vAlign w:val="center"/>
          </w:tcPr>
          <w:p w14:paraId="3CE2D2A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6.2</w:t>
            </w:r>
          </w:p>
        </w:tc>
        <w:tc>
          <w:tcPr>
            <w:tcW w:w="887" w:type="pct"/>
            <w:noWrap/>
            <w:vAlign w:val="center"/>
          </w:tcPr>
          <w:p w14:paraId="64B83D1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2.3</w:t>
            </w:r>
          </w:p>
        </w:tc>
      </w:tr>
      <w:tr w:rsidR="00AF0ADF" w:rsidRPr="00D23AFA" w14:paraId="0DFD0C41" w14:textId="77777777" w:rsidTr="00AF0ADF">
        <w:trPr>
          <w:cantSplit/>
          <w:trHeight w:val="20"/>
        </w:trPr>
        <w:tc>
          <w:tcPr>
            <w:tcW w:w="2337" w:type="pct"/>
            <w:noWrap/>
            <w:vAlign w:val="center"/>
            <w:hideMark/>
          </w:tcPr>
          <w:p w14:paraId="77047BD3"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30-34</w:t>
            </w:r>
          </w:p>
        </w:tc>
        <w:tc>
          <w:tcPr>
            <w:tcW w:w="888" w:type="pct"/>
            <w:vAlign w:val="center"/>
          </w:tcPr>
          <w:p w14:paraId="020F526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8.7</w:t>
            </w:r>
          </w:p>
        </w:tc>
        <w:tc>
          <w:tcPr>
            <w:tcW w:w="888" w:type="pct"/>
            <w:vAlign w:val="center"/>
          </w:tcPr>
          <w:p w14:paraId="20D9F45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6.5</w:t>
            </w:r>
          </w:p>
        </w:tc>
        <w:tc>
          <w:tcPr>
            <w:tcW w:w="887" w:type="pct"/>
            <w:noWrap/>
            <w:vAlign w:val="center"/>
          </w:tcPr>
          <w:p w14:paraId="647F982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2.1</w:t>
            </w:r>
          </w:p>
        </w:tc>
      </w:tr>
      <w:tr w:rsidR="00AF0ADF" w:rsidRPr="00D23AFA" w14:paraId="5A438119" w14:textId="77777777" w:rsidTr="00AF0ADF">
        <w:trPr>
          <w:cantSplit/>
          <w:trHeight w:val="20"/>
        </w:trPr>
        <w:tc>
          <w:tcPr>
            <w:tcW w:w="2337" w:type="pct"/>
            <w:noWrap/>
            <w:vAlign w:val="center"/>
            <w:hideMark/>
          </w:tcPr>
          <w:p w14:paraId="3FCBC54C"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35-39</w:t>
            </w:r>
          </w:p>
        </w:tc>
        <w:tc>
          <w:tcPr>
            <w:tcW w:w="888" w:type="pct"/>
            <w:vAlign w:val="center"/>
          </w:tcPr>
          <w:p w14:paraId="075CCA7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9.5</w:t>
            </w:r>
          </w:p>
        </w:tc>
        <w:tc>
          <w:tcPr>
            <w:tcW w:w="888" w:type="pct"/>
            <w:vAlign w:val="center"/>
          </w:tcPr>
          <w:p w14:paraId="0DD08A4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7.4</w:t>
            </w:r>
          </w:p>
        </w:tc>
        <w:tc>
          <w:tcPr>
            <w:tcW w:w="887" w:type="pct"/>
            <w:noWrap/>
            <w:vAlign w:val="center"/>
          </w:tcPr>
          <w:p w14:paraId="14569FF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2.2</w:t>
            </w:r>
          </w:p>
        </w:tc>
      </w:tr>
      <w:tr w:rsidR="00AF0ADF" w:rsidRPr="00D23AFA" w14:paraId="05590F78" w14:textId="77777777" w:rsidTr="00AF0ADF">
        <w:trPr>
          <w:cantSplit/>
          <w:trHeight w:val="20"/>
        </w:trPr>
        <w:tc>
          <w:tcPr>
            <w:tcW w:w="2337" w:type="pct"/>
            <w:noWrap/>
            <w:vAlign w:val="center"/>
            <w:hideMark/>
          </w:tcPr>
          <w:p w14:paraId="6ABC8907"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40 and over</w:t>
            </w:r>
          </w:p>
        </w:tc>
        <w:tc>
          <w:tcPr>
            <w:tcW w:w="888" w:type="pct"/>
            <w:vAlign w:val="center"/>
          </w:tcPr>
          <w:p w14:paraId="5DE1AF6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15.1</w:t>
            </w:r>
          </w:p>
        </w:tc>
        <w:tc>
          <w:tcPr>
            <w:tcW w:w="888" w:type="pct"/>
            <w:vAlign w:val="center"/>
          </w:tcPr>
          <w:p w14:paraId="3613D94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11.4</w:t>
            </w:r>
          </w:p>
        </w:tc>
        <w:tc>
          <w:tcPr>
            <w:tcW w:w="887" w:type="pct"/>
            <w:noWrap/>
            <w:vAlign w:val="center"/>
          </w:tcPr>
          <w:p w14:paraId="3283CCE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3.7</w:t>
            </w:r>
          </w:p>
        </w:tc>
      </w:tr>
      <w:tr w:rsidR="008060F6" w:rsidRPr="00EB1AF3" w14:paraId="783CB623" w14:textId="77777777" w:rsidTr="008060F6">
        <w:trPr>
          <w:cantSplit/>
          <w:trHeight w:val="20"/>
        </w:trPr>
        <w:tc>
          <w:tcPr>
            <w:tcW w:w="5000" w:type="pct"/>
            <w:gridSpan w:val="4"/>
            <w:noWrap/>
            <w:vAlign w:val="center"/>
            <w:hideMark/>
          </w:tcPr>
          <w:p w14:paraId="69A4F44A" w14:textId="7086CE12" w:rsidR="008060F6" w:rsidRPr="00874241" w:rsidRDefault="008060F6" w:rsidP="00B94D3E">
            <w:pPr>
              <w:rPr>
                <w:rFonts w:cstheme="minorHAnsi"/>
                <w:b/>
                <w:bCs/>
                <w:color w:val="000000"/>
                <w:sz w:val="20"/>
                <w:szCs w:val="20"/>
              </w:rPr>
            </w:pPr>
            <w:r w:rsidRPr="00874241">
              <w:rPr>
                <w:rFonts w:cstheme="minorHAnsi"/>
                <w:b/>
                <w:bCs/>
                <w:color w:val="000000"/>
                <w:sz w:val="20"/>
                <w:szCs w:val="20"/>
              </w:rPr>
              <w:t>Mother's country of birth</w:t>
            </w:r>
          </w:p>
        </w:tc>
      </w:tr>
      <w:tr w:rsidR="00AF0ADF" w:rsidRPr="00D23AFA" w14:paraId="5B90108C" w14:textId="77777777" w:rsidTr="00AF0ADF">
        <w:trPr>
          <w:cantSplit/>
          <w:trHeight w:val="20"/>
        </w:trPr>
        <w:tc>
          <w:tcPr>
            <w:tcW w:w="2337" w:type="pct"/>
            <w:noWrap/>
            <w:vAlign w:val="center"/>
            <w:hideMark/>
          </w:tcPr>
          <w:p w14:paraId="4C245533"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Born in Australia</w:t>
            </w:r>
          </w:p>
        </w:tc>
        <w:tc>
          <w:tcPr>
            <w:tcW w:w="888" w:type="pct"/>
            <w:vAlign w:val="center"/>
          </w:tcPr>
          <w:p w14:paraId="28E5625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9.2</w:t>
            </w:r>
          </w:p>
        </w:tc>
        <w:tc>
          <w:tcPr>
            <w:tcW w:w="888" w:type="pct"/>
            <w:vAlign w:val="center"/>
          </w:tcPr>
          <w:p w14:paraId="02FB65A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7.0</w:t>
            </w:r>
          </w:p>
        </w:tc>
        <w:tc>
          <w:tcPr>
            <w:tcW w:w="887" w:type="pct"/>
            <w:noWrap/>
            <w:vAlign w:val="center"/>
          </w:tcPr>
          <w:p w14:paraId="01775F4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2.2</w:t>
            </w:r>
          </w:p>
        </w:tc>
      </w:tr>
      <w:tr w:rsidR="00AF0ADF" w:rsidRPr="00D23AFA" w14:paraId="1832F138" w14:textId="77777777" w:rsidTr="00AF0ADF">
        <w:trPr>
          <w:cantSplit/>
          <w:trHeight w:val="20"/>
        </w:trPr>
        <w:tc>
          <w:tcPr>
            <w:tcW w:w="2337" w:type="pct"/>
            <w:noWrap/>
            <w:vAlign w:val="center"/>
            <w:hideMark/>
          </w:tcPr>
          <w:p w14:paraId="40D7BA32"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Born overseas</w:t>
            </w:r>
          </w:p>
        </w:tc>
        <w:tc>
          <w:tcPr>
            <w:tcW w:w="888" w:type="pct"/>
            <w:vAlign w:val="center"/>
          </w:tcPr>
          <w:p w14:paraId="2F0EFA1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10.2</w:t>
            </w:r>
          </w:p>
        </w:tc>
        <w:tc>
          <w:tcPr>
            <w:tcW w:w="888" w:type="pct"/>
            <w:vAlign w:val="center"/>
          </w:tcPr>
          <w:p w14:paraId="6C9DFE3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7.5</w:t>
            </w:r>
          </w:p>
        </w:tc>
        <w:tc>
          <w:tcPr>
            <w:tcW w:w="887" w:type="pct"/>
            <w:noWrap/>
            <w:vAlign w:val="center"/>
          </w:tcPr>
          <w:p w14:paraId="042EF32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2.7</w:t>
            </w:r>
          </w:p>
        </w:tc>
      </w:tr>
      <w:tr w:rsidR="008060F6" w:rsidRPr="00EB1AF3" w14:paraId="79840F58" w14:textId="77777777" w:rsidTr="008060F6">
        <w:trPr>
          <w:cantSplit/>
          <w:trHeight w:val="20"/>
        </w:trPr>
        <w:tc>
          <w:tcPr>
            <w:tcW w:w="5000" w:type="pct"/>
            <w:gridSpan w:val="4"/>
            <w:noWrap/>
            <w:vAlign w:val="center"/>
            <w:hideMark/>
          </w:tcPr>
          <w:p w14:paraId="040CC8E8" w14:textId="31BAA320" w:rsidR="008060F6" w:rsidRPr="00874241" w:rsidRDefault="008060F6" w:rsidP="00B94D3E">
            <w:pPr>
              <w:rPr>
                <w:rFonts w:cstheme="minorHAnsi"/>
                <w:b/>
                <w:bCs/>
                <w:color w:val="000000"/>
                <w:sz w:val="20"/>
                <w:szCs w:val="20"/>
              </w:rPr>
            </w:pPr>
            <w:r w:rsidRPr="00874241">
              <w:rPr>
                <w:rFonts w:cstheme="minorHAnsi"/>
                <w:b/>
                <w:bCs/>
                <w:color w:val="000000"/>
                <w:sz w:val="20"/>
                <w:szCs w:val="20"/>
              </w:rPr>
              <w:t>Mother's Indigenous status</w:t>
            </w:r>
          </w:p>
        </w:tc>
      </w:tr>
      <w:tr w:rsidR="00AF0ADF" w:rsidRPr="00D23AFA" w14:paraId="4FB2A70A" w14:textId="77777777" w:rsidTr="00AF0ADF">
        <w:trPr>
          <w:cantSplit/>
          <w:trHeight w:val="20"/>
        </w:trPr>
        <w:tc>
          <w:tcPr>
            <w:tcW w:w="2337" w:type="pct"/>
            <w:noWrap/>
            <w:vAlign w:val="center"/>
            <w:hideMark/>
          </w:tcPr>
          <w:p w14:paraId="5A4DA378"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Indigenous</w:t>
            </w:r>
          </w:p>
        </w:tc>
        <w:tc>
          <w:tcPr>
            <w:tcW w:w="888" w:type="pct"/>
            <w:vAlign w:val="center"/>
          </w:tcPr>
          <w:p w14:paraId="6F85203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14.8</w:t>
            </w:r>
          </w:p>
        </w:tc>
        <w:tc>
          <w:tcPr>
            <w:tcW w:w="888" w:type="pct"/>
            <w:vAlign w:val="center"/>
          </w:tcPr>
          <w:p w14:paraId="6131ADD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10.4</w:t>
            </w:r>
          </w:p>
        </w:tc>
        <w:tc>
          <w:tcPr>
            <w:tcW w:w="887" w:type="pct"/>
            <w:noWrap/>
            <w:vAlign w:val="center"/>
          </w:tcPr>
          <w:p w14:paraId="49E77650"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4.4</w:t>
            </w:r>
          </w:p>
        </w:tc>
      </w:tr>
      <w:tr w:rsidR="00AF0ADF" w:rsidRPr="00D23AFA" w14:paraId="2CC2B92C" w14:textId="77777777" w:rsidTr="00AF0ADF">
        <w:trPr>
          <w:cantSplit/>
          <w:trHeight w:val="20"/>
        </w:trPr>
        <w:tc>
          <w:tcPr>
            <w:tcW w:w="2337" w:type="pct"/>
            <w:noWrap/>
            <w:vAlign w:val="center"/>
            <w:hideMark/>
          </w:tcPr>
          <w:p w14:paraId="13BF0B85"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Non-Indigenous</w:t>
            </w:r>
          </w:p>
        </w:tc>
        <w:tc>
          <w:tcPr>
            <w:tcW w:w="888" w:type="pct"/>
            <w:vAlign w:val="center"/>
          </w:tcPr>
          <w:p w14:paraId="23299B7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9.3</w:t>
            </w:r>
          </w:p>
        </w:tc>
        <w:tc>
          <w:tcPr>
            <w:tcW w:w="888" w:type="pct"/>
            <w:vAlign w:val="center"/>
          </w:tcPr>
          <w:p w14:paraId="0E3E469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7.1</w:t>
            </w:r>
          </w:p>
        </w:tc>
        <w:tc>
          <w:tcPr>
            <w:tcW w:w="887" w:type="pct"/>
            <w:noWrap/>
            <w:vAlign w:val="center"/>
          </w:tcPr>
          <w:p w14:paraId="06274D0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2.3</w:t>
            </w:r>
          </w:p>
        </w:tc>
      </w:tr>
      <w:tr w:rsidR="008060F6" w:rsidRPr="00EB1AF3" w14:paraId="64B37072" w14:textId="77777777" w:rsidTr="008060F6">
        <w:trPr>
          <w:cantSplit/>
          <w:trHeight w:val="20"/>
        </w:trPr>
        <w:tc>
          <w:tcPr>
            <w:tcW w:w="5000" w:type="pct"/>
            <w:gridSpan w:val="4"/>
            <w:noWrap/>
            <w:vAlign w:val="center"/>
            <w:hideMark/>
          </w:tcPr>
          <w:p w14:paraId="2C200D85" w14:textId="713C2350" w:rsidR="008060F6" w:rsidRPr="00874241" w:rsidRDefault="008060F6" w:rsidP="00B94D3E">
            <w:pPr>
              <w:rPr>
                <w:rFonts w:cstheme="minorHAnsi"/>
                <w:b/>
                <w:bCs/>
                <w:color w:val="000000"/>
                <w:sz w:val="20"/>
                <w:szCs w:val="20"/>
              </w:rPr>
            </w:pPr>
            <w:r w:rsidRPr="00874241">
              <w:rPr>
                <w:rFonts w:cstheme="minorHAnsi"/>
                <w:b/>
                <w:bCs/>
                <w:color w:val="000000"/>
                <w:sz w:val="20"/>
                <w:szCs w:val="20"/>
              </w:rPr>
              <w:t>Remoteness of mother's usual residence</w:t>
            </w:r>
          </w:p>
        </w:tc>
      </w:tr>
      <w:tr w:rsidR="00AF0ADF" w:rsidRPr="00D23AFA" w14:paraId="4A7FB5FA" w14:textId="77777777" w:rsidTr="00AF0ADF">
        <w:trPr>
          <w:cantSplit/>
          <w:trHeight w:val="20"/>
        </w:trPr>
        <w:tc>
          <w:tcPr>
            <w:tcW w:w="2337" w:type="pct"/>
            <w:noWrap/>
            <w:vAlign w:val="center"/>
            <w:hideMark/>
          </w:tcPr>
          <w:p w14:paraId="52EDAA0B"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Major cities</w:t>
            </w:r>
          </w:p>
        </w:tc>
        <w:tc>
          <w:tcPr>
            <w:tcW w:w="888" w:type="pct"/>
            <w:vAlign w:val="center"/>
          </w:tcPr>
          <w:p w14:paraId="02A13FA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9.3</w:t>
            </w:r>
          </w:p>
        </w:tc>
        <w:tc>
          <w:tcPr>
            <w:tcW w:w="888" w:type="pct"/>
            <w:vAlign w:val="center"/>
          </w:tcPr>
          <w:p w14:paraId="7F14242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7.1</w:t>
            </w:r>
          </w:p>
        </w:tc>
        <w:tc>
          <w:tcPr>
            <w:tcW w:w="887" w:type="pct"/>
            <w:noWrap/>
            <w:vAlign w:val="center"/>
          </w:tcPr>
          <w:p w14:paraId="42BC3D1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2.2</w:t>
            </w:r>
          </w:p>
        </w:tc>
      </w:tr>
      <w:tr w:rsidR="00AF0ADF" w:rsidRPr="00D23AFA" w14:paraId="4AEA330E" w14:textId="77777777" w:rsidTr="00AF0ADF">
        <w:trPr>
          <w:cantSplit/>
          <w:trHeight w:val="20"/>
        </w:trPr>
        <w:tc>
          <w:tcPr>
            <w:tcW w:w="2337" w:type="pct"/>
            <w:noWrap/>
            <w:vAlign w:val="center"/>
            <w:hideMark/>
          </w:tcPr>
          <w:p w14:paraId="20751AE1"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Inner regional</w:t>
            </w:r>
          </w:p>
        </w:tc>
        <w:tc>
          <w:tcPr>
            <w:tcW w:w="888" w:type="pct"/>
            <w:vAlign w:val="center"/>
          </w:tcPr>
          <w:p w14:paraId="4794E22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9.6</w:t>
            </w:r>
          </w:p>
        </w:tc>
        <w:tc>
          <w:tcPr>
            <w:tcW w:w="888" w:type="pct"/>
            <w:vAlign w:val="center"/>
          </w:tcPr>
          <w:p w14:paraId="35B5101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7.0</w:t>
            </w:r>
          </w:p>
        </w:tc>
        <w:tc>
          <w:tcPr>
            <w:tcW w:w="887" w:type="pct"/>
            <w:noWrap/>
            <w:vAlign w:val="center"/>
          </w:tcPr>
          <w:p w14:paraId="7E3824D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2.6</w:t>
            </w:r>
          </w:p>
        </w:tc>
      </w:tr>
      <w:tr w:rsidR="00AF0ADF" w:rsidRPr="00D23AFA" w14:paraId="73A7195A" w14:textId="77777777" w:rsidTr="00AF0ADF">
        <w:trPr>
          <w:cantSplit/>
          <w:trHeight w:val="20"/>
        </w:trPr>
        <w:tc>
          <w:tcPr>
            <w:tcW w:w="2337" w:type="pct"/>
            <w:noWrap/>
            <w:vAlign w:val="center"/>
            <w:hideMark/>
          </w:tcPr>
          <w:p w14:paraId="15B5901B"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Outer regional</w:t>
            </w:r>
          </w:p>
        </w:tc>
        <w:tc>
          <w:tcPr>
            <w:tcW w:w="888" w:type="pct"/>
            <w:vAlign w:val="center"/>
          </w:tcPr>
          <w:p w14:paraId="7166247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10.6</w:t>
            </w:r>
          </w:p>
        </w:tc>
        <w:tc>
          <w:tcPr>
            <w:tcW w:w="888" w:type="pct"/>
            <w:vAlign w:val="center"/>
          </w:tcPr>
          <w:p w14:paraId="7692B09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7.7</w:t>
            </w:r>
          </w:p>
        </w:tc>
        <w:tc>
          <w:tcPr>
            <w:tcW w:w="887" w:type="pct"/>
            <w:noWrap/>
            <w:vAlign w:val="center"/>
          </w:tcPr>
          <w:p w14:paraId="748D815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2.9</w:t>
            </w:r>
          </w:p>
        </w:tc>
      </w:tr>
      <w:tr w:rsidR="00AF0ADF" w:rsidRPr="00D23AFA" w14:paraId="2DE196A5" w14:textId="77777777" w:rsidTr="00AF0ADF">
        <w:trPr>
          <w:cantSplit/>
          <w:trHeight w:val="20"/>
        </w:trPr>
        <w:tc>
          <w:tcPr>
            <w:tcW w:w="2337" w:type="pct"/>
            <w:noWrap/>
            <w:vAlign w:val="center"/>
            <w:hideMark/>
          </w:tcPr>
          <w:p w14:paraId="6C84878E"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Remote</w:t>
            </w:r>
          </w:p>
        </w:tc>
        <w:tc>
          <w:tcPr>
            <w:tcW w:w="888" w:type="pct"/>
            <w:vAlign w:val="center"/>
          </w:tcPr>
          <w:p w14:paraId="3351482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8.7</w:t>
            </w:r>
          </w:p>
        </w:tc>
        <w:tc>
          <w:tcPr>
            <w:tcW w:w="888" w:type="pct"/>
            <w:vAlign w:val="center"/>
          </w:tcPr>
          <w:p w14:paraId="5049B37E"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6.3</w:t>
            </w:r>
          </w:p>
        </w:tc>
        <w:tc>
          <w:tcPr>
            <w:tcW w:w="887" w:type="pct"/>
            <w:noWrap/>
            <w:vAlign w:val="center"/>
          </w:tcPr>
          <w:p w14:paraId="3677D2DF"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2.4</w:t>
            </w:r>
          </w:p>
        </w:tc>
      </w:tr>
      <w:tr w:rsidR="00AF0ADF" w:rsidRPr="00D23AFA" w14:paraId="57CC7B18" w14:textId="77777777" w:rsidTr="00AF0ADF">
        <w:trPr>
          <w:cantSplit/>
          <w:trHeight w:val="20"/>
        </w:trPr>
        <w:tc>
          <w:tcPr>
            <w:tcW w:w="2337" w:type="pct"/>
            <w:noWrap/>
            <w:vAlign w:val="center"/>
            <w:hideMark/>
          </w:tcPr>
          <w:p w14:paraId="425D056B"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Very remote</w:t>
            </w:r>
          </w:p>
        </w:tc>
        <w:tc>
          <w:tcPr>
            <w:tcW w:w="888" w:type="pct"/>
            <w:vAlign w:val="center"/>
          </w:tcPr>
          <w:p w14:paraId="05A5ACAC"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19.6</w:t>
            </w:r>
          </w:p>
        </w:tc>
        <w:tc>
          <w:tcPr>
            <w:tcW w:w="888" w:type="pct"/>
            <w:vAlign w:val="center"/>
          </w:tcPr>
          <w:p w14:paraId="3FDDEAF2"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14.6</w:t>
            </w:r>
          </w:p>
        </w:tc>
        <w:tc>
          <w:tcPr>
            <w:tcW w:w="887" w:type="pct"/>
            <w:noWrap/>
            <w:vAlign w:val="center"/>
          </w:tcPr>
          <w:p w14:paraId="3F8B230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5.1</w:t>
            </w:r>
          </w:p>
        </w:tc>
      </w:tr>
      <w:tr w:rsidR="008060F6" w:rsidRPr="00EB1AF3" w14:paraId="5D0BF8E3" w14:textId="77777777" w:rsidTr="008060F6">
        <w:trPr>
          <w:cantSplit/>
          <w:trHeight w:val="20"/>
        </w:trPr>
        <w:tc>
          <w:tcPr>
            <w:tcW w:w="5000" w:type="pct"/>
            <w:gridSpan w:val="4"/>
            <w:noWrap/>
            <w:vAlign w:val="center"/>
            <w:hideMark/>
          </w:tcPr>
          <w:p w14:paraId="643B9690" w14:textId="457D4138" w:rsidR="008060F6" w:rsidRPr="00874241" w:rsidRDefault="008060F6" w:rsidP="00B94D3E">
            <w:pPr>
              <w:rPr>
                <w:rFonts w:cstheme="minorHAnsi"/>
                <w:b/>
                <w:bCs/>
                <w:color w:val="000000"/>
                <w:sz w:val="20"/>
                <w:szCs w:val="20"/>
              </w:rPr>
            </w:pPr>
            <w:r w:rsidRPr="00874241">
              <w:rPr>
                <w:rFonts w:cstheme="minorHAnsi"/>
                <w:b/>
                <w:bCs/>
                <w:color w:val="000000"/>
                <w:sz w:val="20"/>
                <w:szCs w:val="20"/>
              </w:rPr>
              <w:t>Disadvantage quintile of mother's usual residence</w:t>
            </w:r>
          </w:p>
        </w:tc>
      </w:tr>
      <w:tr w:rsidR="00AF0ADF" w:rsidRPr="00D23AFA" w14:paraId="403CA735" w14:textId="77777777" w:rsidTr="00AF0ADF">
        <w:trPr>
          <w:cantSplit/>
          <w:trHeight w:val="20"/>
        </w:trPr>
        <w:tc>
          <w:tcPr>
            <w:tcW w:w="2337" w:type="pct"/>
            <w:noWrap/>
            <w:vAlign w:val="center"/>
            <w:hideMark/>
          </w:tcPr>
          <w:p w14:paraId="2F580FDB"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Q1 - most disadvantaged</w:t>
            </w:r>
          </w:p>
        </w:tc>
        <w:tc>
          <w:tcPr>
            <w:tcW w:w="888" w:type="pct"/>
            <w:vAlign w:val="center"/>
          </w:tcPr>
          <w:p w14:paraId="606513E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11.1</w:t>
            </w:r>
          </w:p>
        </w:tc>
        <w:tc>
          <w:tcPr>
            <w:tcW w:w="888" w:type="pct"/>
            <w:vAlign w:val="center"/>
          </w:tcPr>
          <w:p w14:paraId="20B992D6"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8.3</w:t>
            </w:r>
          </w:p>
        </w:tc>
        <w:tc>
          <w:tcPr>
            <w:tcW w:w="887" w:type="pct"/>
            <w:noWrap/>
            <w:vAlign w:val="center"/>
          </w:tcPr>
          <w:p w14:paraId="0A42D045"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2.9</w:t>
            </w:r>
          </w:p>
        </w:tc>
      </w:tr>
      <w:tr w:rsidR="00AF0ADF" w:rsidRPr="00D23AFA" w14:paraId="547E1AA9" w14:textId="77777777" w:rsidTr="00AF0ADF">
        <w:trPr>
          <w:cantSplit/>
          <w:trHeight w:val="20"/>
        </w:trPr>
        <w:tc>
          <w:tcPr>
            <w:tcW w:w="2337" w:type="pct"/>
            <w:noWrap/>
            <w:vAlign w:val="center"/>
            <w:hideMark/>
          </w:tcPr>
          <w:p w14:paraId="71E7624F"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Q2</w:t>
            </w:r>
          </w:p>
        </w:tc>
        <w:tc>
          <w:tcPr>
            <w:tcW w:w="888" w:type="pct"/>
            <w:vAlign w:val="center"/>
          </w:tcPr>
          <w:p w14:paraId="54B36A8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9.8</w:t>
            </w:r>
          </w:p>
        </w:tc>
        <w:tc>
          <w:tcPr>
            <w:tcW w:w="888" w:type="pct"/>
            <w:vAlign w:val="center"/>
          </w:tcPr>
          <w:p w14:paraId="020ACABD"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7.4</w:t>
            </w:r>
          </w:p>
        </w:tc>
        <w:tc>
          <w:tcPr>
            <w:tcW w:w="887" w:type="pct"/>
            <w:noWrap/>
            <w:vAlign w:val="center"/>
          </w:tcPr>
          <w:p w14:paraId="7310544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2.4</w:t>
            </w:r>
          </w:p>
        </w:tc>
      </w:tr>
      <w:tr w:rsidR="00AF0ADF" w:rsidRPr="00D23AFA" w14:paraId="45A2E0E2" w14:textId="77777777" w:rsidTr="00AF0ADF">
        <w:trPr>
          <w:cantSplit/>
          <w:trHeight w:val="20"/>
        </w:trPr>
        <w:tc>
          <w:tcPr>
            <w:tcW w:w="2337" w:type="pct"/>
            <w:noWrap/>
            <w:vAlign w:val="center"/>
            <w:hideMark/>
          </w:tcPr>
          <w:p w14:paraId="04D1A156"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Q3</w:t>
            </w:r>
          </w:p>
        </w:tc>
        <w:tc>
          <w:tcPr>
            <w:tcW w:w="888" w:type="pct"/>
            <w:vAlign w:val="center"/>
          </w:tcPr>
          <w:p w14:paraId="79270ED8"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9.4</w:t>
            </w:r>
          </w:p>
        </w:tc>
        <w:tc>
          <w:tcPr>
            <w:tcW w:w="888" w:type="pct"/>
            <w:vAlign w:val="center"/>
          </w:tcPr>
          <w:p w14:paraId="6A7173E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6.9</w:t>
            </w:r>
          </w:p>
        </w:tc>
        <w:tc>
          <w:tcPr>
            <w:tcW w:w="887" w:type="pct"/>
            <w:noWrap/>
            <w:vAlign w:val="center"/>
          </w:tcPr>
          <w:p w14:paraId="1D78FD87"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2.5</w:t>
            </w:r>
          </w:p>
        </w:tc>
      </w:tr>
      <w:tr w:rsidR="00AF0ADF" w:rsidRPr="00D23AFA" w14:paraId="06BAB250" w14:textId="77777777" w:rsidTr="00AF0ADF">
        <w:trPr>
          <w:cantSplit/>
          <w:trHeight w:val="20"/>
        </w:trPr>
        <w:tc>
          <w:tcPr>
            <w:tcW w:w="2337" w:type="pct"/>
            <w:noWrap/>
            <w:vAlign w:val="center"/>
            <w:hideMark/>
          </w:tcPr>
          <w:p w14:paraId="149A2AD3"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Q4</w:t>
            </w:r>
          </w:p>
        </w:tc>
        <w:tc>
          <w:tcPr>
            <w:tcW w:w="888" w:type="pct"/>
            <w:vAlign w:val="center"/>
          </w:tcPr>
          <w:p w14:paraId="7969A9A1"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9.1</w:t>
            </w:r>
          </w:p>
        </w:tc>
        <w:tc>
          <w:tcPr>
            <w:tcW w:w="888" w:type="pct"/>
            <w:vAlign w:val="center"/>
          </w:tcPr>
          <w:p w14:paraId="659D828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6.9</w:t>
            </w:r>
          </w:p>
        </w:tc>
        <w:tc>
          <w:tcPr>
            <w:tcW w:w="887" w:type="pct"/>
            <w:noWrap/>
            <w:vAlign w:val="center"/>
          </w:tcPr>
          <w:p w14:paraId="66A5EE7A"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2.2</w:t>
            </w:r>
          </w:p>
        </w:tc>
      </w:tr>
      <w:tr w:rsidR="00AF0ADF" w:rsidRPr="00D23AFA" w14:paraId="28202550" w14:textId="77777777" w:rsidTr="00AF0ADF">
        <w:trPr>
          <w:cantSplit/>
          <w:trHeight w:val="20"/>
        </w:trPr>
        <w:tc>
          <w:tcPr>
            <w:tcW w:w="2337" w:type="pct"/>
            <w:noWrap/>
            <w:vAlign w:val="center"/>
            <w:hideMark/>
          </w:tcPr>
          <w:p w14:paraId="4357616F" w14:textId="77777777" w:rsidR="00AF0ADF" w:rsidRPr="00874241" w:rsidRDefault="00AF0ADF" w:rsidP="00AF0ADF">
            <w:pPr>
              <w:ind w:firstLineChars="100" w:firstLine="200"/>
              <w:rPr>
                <w:rFonts w:cstheme="minorHAnsi"/>
                <w:color w:val="000000"/>
                <w:sz w:val="20"/>
                <w:szCs w:val="20"/>
              </w:rPr>
            </w:pPr>
            <w:r w:rsidRPr="00874241">
              <w:rPr>
                <w:rFonts w:cstheme="minorHAnsi"/>
                <w:color w:val="000000"/>
                <w:sz w:val="20"/>
                <w:szCs w:val="20"/>
              </w:rPr>
              <w:t>Q5 - least disadvantaged</w:t>
            </w:r>
          </w:p>
        </w:tc>
        <w:tc>
          <w:tcPr>
            <w:tcW w:w="888" w:type="pct"/>
            <w:vAlign w:val="center"/>
          </w:tcPr>
          <w:p w14:paraId="0A41A5E9"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8.3</w:t>
            </w:r>
          </w:p>
        </w:tc>
        <w:tc>
          <w:tcPr>
            <w:tcW w:w="888" w:type="pct"/>
            <w:vAlign w:val="center"/>
          </w:tcPr>
          <w:p w14:paraId="1386932B"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6.5</w:t>
            </w:r>
          </w:p>
        </w:tc>
        <w:tc>
          <w:tcPr>
            <w:tcW w:w="887" w:type="pct"/>
            <w:noWrap/>
            <w:vAlign w:val="center"/>
          </w:tcPr>
          <w:p w14:paraId="2CC8A2F4" w14:textId="77777777" w:rsidR="00AF0ADF" w:rsidRPr="00874241" w:rsidRDefault="00AF0ADF" w:rsidP="00AF0ADF">
            <w:pPr>
              <w:jc w:val="right"/>
              <w:rPr>
                <w:rFonts w:cstheme="minorHAnsi"/>
                <w:color w:val="000000"/>
                <w:sz w:val="20"/>
                <w:szCs w:val="20"/>
              </w:rPr>
            </w:pPr>
            <w:r w:rsidRPr="00874241">
              <w:rPr>
                <w:rFonts w:cstheme="minorHAnsi"/>
                <w:color w:val="000000"/>
                <w:sz w:val="20"/>
                <w:szCs w:val="20"/>
              </w:rPr>
              <w:t>1.8</w:t>
            </w:r>
          </w:p>
        </w:tc>
      </w:tr>
    </w:tbl>
    <w:p w14:paraId="76120DEE" w14:textId="77777777" w:rsidR="00AF0ADF" w:rsidRPr="00B94D3E" w:rsidRDefault="00AF0ADF" w:rsidP="004F0088">
      <w:pPr>
        <w:ind w:left="284" w:hanging="284"/>
        <w:rPr>
          <w:b/>
          <w:sz w:val="18"/>
          <w:szCs w:val="18"/>
        </w:rPr>
      </w:pPr>
      <w:r w:rsidRPr="00B94D3E">
        <w:rPr>
          <w:b/>
          <w:sz w:val="18"/>
          <w:szCs w:val="18"/>
        </w:rPr>
        <w:t>Data notes:</w:t>
      </w:r>
    </w:p>
    <w:p w14:paraId="6DBE9A8F" w14:textId="77777777" w:rsidR="00AF0ADF" w:rsidRPr="00CD7A85" w:rsidRDefault="00AF0ADF" w:rsidP="008D3FB5">
      <w:pPr>
        <w:pStyle w:val="pf0"/>
        <w:numPr>
          <w:ilvl w:val="0"/>
          <w:numId w:val="33"/>
        </w:numPr>
        <w:spacing w:before="0" w:beforeAutospacing="0" w:after="0" w:afterAutospacing="0"/>
        <w:ind w:left="284" w:hanging="284"/>
        <w:rPr>
          <w:rFonts w:asciiTheme="minorHAnsi" w:hAnsiTheme="minorHAnsi"/>
          <w:sz w:val="18"/>
          <w:szCs w:val="18"/>
        </w:rPr>
      </w:pPr>
      <w:r w:rsidRPr="00CD7A85">
        <w:rPr>
          <w:rFonts w:asciiTheme="minorHAnsi" w:hAnsiTheme="minorHAnsi"/>
          <w:sz w:val="18"/>
          <w:szCs w:val="18"/>
        </w:rPr>
        <w:t>The rate is the number of deaths per 1,000 births. Stillbirth and perinatal death rates were calculated using total births (live births and stillbirths). Neonatal death rates were calculated using live births.</w:t>
      </w:r>
    </w:p>
    <w:p w14:paraId="443C3F8F" w14:textId="77777777" w:rsidR="00AF0ADF" w:rsidRPr="00CD7A85" w:rsidRDefault="00AF0ADF" w:rsidP="008D3FB5">
      <w:pPr>
        <w:pStyle w:val="pf0"/>
        <w:numPr>
          <w:ilvl w:val="0"/>
          <w:numId w:val="33"/>
        </w:numPr>
        <w:spacing w:before="0" w:beforeAutospacing="0" w:after="0" w:afterAutospacing="0"/>
        <w:ind w:left="284" w:hanging="284"/>
        <w:rPr>
          <w:rFonts w:asciiTheme="minorHAnsi" w:hAnsiTheme="minorHAnsi"/>
          <w:sz w:val="18"/>
          <w:szCs w:val="18"/>
        </w:rPr>
      </w:pPr>
      <w:r w:rsidRPr="00CD7A85">
        <w:rPr>
          <w:rFonts w:asciiTheme="minorHAnsi" w:hAnsiTheme="minorHAnsi"/>
          <w:sz w:val="18"/>
          <w:szCs w:val="18"/>
        </w:rPr>
        <w:t>Mother's age at birth excludes births where mother's age is less than 10 years.</w:t>
      </w:r>
    </w:p>
    <w:p w14:paraId="565F2218" w14:textId="77777777" w:rsidR="00AF0ADF" w:rsidRPr="00CD7A85" w:rsidRDefault="00AF0ADF" w:rsidP="008D3FB5">
      <w:pPr>
        <w:pStyle w:val="pf0"/>
        <w:numPr>
          <w:ilvl w:val="0"/>
          <w:numId w:val="33"/>
        </w:numPr>
        <w:spacing w:before="0" w:beforeAutospacing="0" w:after="0" w:afterAutospacing="0"/>
        <w:ind w:left="284" w:hanging="284"/>
        <w:rPr>
          <w:rFonts w:asciiTheme="minorHAnsi" w:hAnsiTheme="minorHAnsi"/>
          <w:sz w:val="18"/>
          <w:szCs w:val="18"/>
        </w:rPr>
      </w:pPr>
      <w:r w:rsidRPr="00CD7A85">
        <w:rPr>
          <w:rFonts w:asciiTheme="minorHAnsi" w:hAnsiTheme="minorHAnsi"/>
          <w:sz w:val="18"/>
          <w:szCs w:val="18"/>
        </w:rPr>
        <w:t>Country of birth (mother): Data were mapped to the ABS Standard Classification of Countries (SACC), 2011.</w:t>
      </w:r>
    </w:p>
    <w:p w14:paraId="1AABE80F" w14:textId="77777777" w:rsidR="00AF0ADF" w:rsidRPr="00CD7A85" w:rsidRDefault="00AF0ADF" w:rsidP="008D3FB5">
      <w:pPr>
        <w:pStyle w:val="pf0"/>
        <w:numPr>
          <w:ilvl w:val="0"/>
          <w:numId w:val="33"/>
        </w:numPr>
        <w:spacing w:before="0" w:beforeAutospacing="0" w:after="0" w:afterAutospacing="0"/>
        <w:ind w:left="284" w:hanging="284"/>
        <w:rPr>
          <w:rFonts w:asciiTheme="minorHAnsi" w:hAnsiTheme="minorHAnsi"/>
          <w:sz w:val="18"/>
          <w:szCs w:val="18"/>
        </w:rPr>
      </w:pPr>
      <w:r w:rsidRPr="00CD7A85">
        <w:rPr>
          <w:rFonts w:asciiTheme="minorHAnsi" w:hAnsiTheme="minorHAnsi"/>
          <w:sz w:val="18"/>
          <w:szCs w:val="18"/>
        </w:rPr>
        <w:t>Indigenous status (mother): The status of Indigenous includes Aboriginal, Aboriginal and Torres Strait Islander, and Torres Strait Islander.</w:t>
      </w:r>
    </w:p>
    <w:p w14:paraId="4FF24C28" w14:textId="10631CCC" w:rsidR="00AF0ADF" w:rsidRDefault="00AF0ADF" w:rsidP="008D3FB5">
      <w:pPr>
        <w:pStyle w:val="pf0"/>
        <w:numPr>
          <w:ilvl w:val="0"/>
          <w:numId w:val="33"/>
        </w:numPr>
        <w:spacing w:before="0" w:beforeAutospacing="0" w:after="0" w:afterAutospacing="0"/>
        <w:ind w:left="284" w:hanging="284"/>
        <w:rPr>
          <w:rFonts w:asciiTheme="minorHAnsi" w:hAnsiTheme="minorHAnsi"/>
          <w:sz w:val="18"/>
          <w:szCs w:val="18"/>
        </w:rPr>
      </w:pPr>
      <w:r w:rsidRPr="00CD7A85">
        <w:rPr>
          <w:rFonts w:asciiTheme="minorHAnsi" w:hAnsiTheme="minorHAnsi"/>
          <w:sz w:val="18"/>
          <w:szCs w:val="18"/>
        </w:rPr>
        <w:t xml:space="preserve">Remoteness area: Remoteness assigned using the ABS Australian Statistical Geography Standard (ASGS) 2016 remoteness structure applied to Statistical Areas Level 2 (SA2) of mother’s area of usual residence. Only includes records where </w:t>
      </w:r>
      <w:r w:rsidR="00EA4F24" w:rsidRPr="00CD7A85">
        <w:rPr>
          <w:rFonts w:asciiTheme="minorHAnsi" w:hAnsiTheme="minorHAnsi"/>
          <w:sz w:val="18"/>
          <w:szCs w:val="18"/>
        </w:rPr>
        <w:t>mothers’</w:t>
      </w:r>
      <w:r w:rsidRPr="00CD7A85">
        <w:rPr>
          <w:rFonts w:asciiTheme="minorHAnsi" w:hAnsiTheme="minorHAnsi"/>
          <w:sz w:val="18"/>
          <w:szCs w:val="18"/>
        </w:rPr>
        <w:t xml:space="preserve"> usual residence is a</w:t>
      </w:r>
      <w:r w:rsidR="008F6FB7">
        <w:rPr>
          <w:rFonts w:asciiTheme="minorHAnsi" w:hAnsiTheme="minorHAnsi"/>
          <w:sz w:val="18"/>
          <w:szCs w:val="18"/>
        </w:rPr>
        <w:t>n</w:t>
      </w:r>
      <w:r w:rsidRPr="00CD7A85">
        <w:rPr>
          <w:rFonts w:asciiTheme="minorHAnsi" w:hAnsiTheme="minorHAnsi"/>
          <w:sz w:val="18"/>
          <w:szCs w:val="18"/>
        </w:rPr>
        <w:t xml:space="preserve"> Australian state and/or territory (excluding 'Other territories').</w:t>
      </w:r>
    </w:p>
    <w:p w14:paraId="1D608A07" w14:textId="1DAA990F" w:rsidR="00AF0ADF" w:rsidRDefault="00AF0ADF" w:rsidP="008D3FB5">
      <w:pPr>
        <w:pStyle w:val="pf0"/>
        <w:numPr>
          <w:ilvl w:val="0"/>
          <w:numId w:val="33"/>
        </w:numPr>
        <w:spacing w:before="0" w:beforeAutospacing="0" w:after="0" w:afterAutospacing="0"/>
        <w:ind w:left="284" w:hanging="284"/>
        <w:rPr>
          <w:rFonts w:asciiTheme="minorHAnsi" w:hAnsiTheme="minorHAnsi"/>
          <w:sz w:val="18"/>
          <w:szCs w:val="18"/>
        </w:rPr>
      </w:pPr>
      <w:r w:rsidRPr="006247C8">
        <w:rPr>
          <w:rFonts w:asciiTheme="minorHAnsi" w:hAnsiTheme="minorHAnsi"/>
          <w:sz w:val="18"/>
          <w:szCs w:val="18"/>
        </w:rPr>
        <w:t xml:space="preserve">Socioeconomic status: Disadvantage quintile assigned using the ABS SEIFA IRSD 2016 scores applied to Statistical Areas Level 2 (SA2) of mother’s area of usual residence. Only includes records where </w:t>
      </w:r>
      <w:r w:rsidR="00EA4F24" w:rsidRPr="006247C8">
        <w:rPr>
          <w:rFonts w:asciiTheme="minorHAnsi" w:hAnsiTheme="minorHAnsi"/>
          <w:sz w:val="18"/>
          <w:szCs w:val="18"/>
        </w:rPr>
        <w:t>mothers’</w:t>
      </w:r>
      <w:r w:rsidRPr="006247C8">
        <w:rPr>
          <w:rFonts w:asciiTheme="minorHAnsi" w:hAnsiTheme="minorHAnsi"/>
          <w:sz w:val="18"/>
          <w:szCs w:val="18"/>
        </w:rPr>
        <w:t xml:space="preserve"> usual residence is an Australian state and/or territory (excluding 'Other territories').</w:t>
      </w:r>
    </w:p>
    <w:p w14:paraId="2DCC38BC" w14:textId="305005A4" w:rsidR="00D1014F" w:rsidRPr="00C459D0" w:rsidRDefault="008F6FB7" w:rsidP="006B1CF4">
      <w:pPr>
        <w:pStyle w:val="pf0"/>
        <w:numPr>
          <w:ilvl w:val="0"/>
          <w:numId w:val="33"/>
        </w:numPr>
        <w:spacing w:before="0" w:beforeAutospacing="0" w:after="0" w:afterAutospacing="0"/>
        <w:ind w:left="284" w:hanging="284"/>
        <w:rPr>
          <w:rFonts w:asciiTheme="minorHAnsi" w:hAnsiTheme="minorHAnsi"/>
          <w:sz w:val="18"/>
          <w:szCs w:val="18"/>
        </w:rPr>
      </w:pPr>
      <w:r w:rsidRPr="00CD7A85">
        <w:rPr>
          <w:rFonts w:asciiTheme="minorHAnsi" w:hAnsiTheme="minorHAnsi"/>
          <w:sz w:val="18"/>
          <w:szCs w:val="18"/>
        </w:rPr>
        <w:t xml:space="preserve">Source: AIHW analysis of the National Perinatal Mortality Data Collection and the National Perinatal Data Collection. </w:t>
      </w:r>
    </w:p>
    <w:sectPr w:rsidR="00D1014F" w:rsidRPr="00C459D0" w:rsidSect="006247C8">
      <w:headerReference w:type="even" r:id="rId92"/>
      <w:headerReference w:type="default" r:id="rId93"/>
      <w:footerReference w:type="default" r:id="rId94"/>
      <w:headerReference w:type="first" r:id="rId95"/>
      <w:pgSz w:w="11906" w:h="16838"/>
      <w:pgMar w:top="1134" w:right="964"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76B45" w14:textId="77777777" w:rsidR="00467B22" w:rsidRDefault="00467B22" w:rsidP="00625E8D">
      <w:r>
        <w:separator/>
      </w:r>
    </w:p>
  </w:endnote>
  <w:endnote w:type="continuationSeparator" w:id="0">
    <w:p w14:paraId="62B3FA5B" w14:textId="77777777" w:rsidR="00467B22" w:rsidRDefault="00467B22" w:rsidP="00625E8D">
      <w:r>
        <w:continuationSeparator/>
      </w:r>
    </w:p>
  </w:endnote>
  <w:endnote w:type="continuationNotice" w:id="1">
    <w:p w14:paraId="473A1DAD" w14:textId="77777777" w:rsidR="00467B22" w:rsidRDefault="00467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081"/>
      <w:gridCol w:w="907"/>
      <w:gridCol w:w="4082"/>
    </w:tblGrid>
    <w:tr w:rsidR="00BC7EB1" w14:paraId="1DF15231" w14:textId="77777777">
      <w:trPr>
        <w:trHeight w:val="151"/>
      </w:trPr>
      <w:tc>
        <w:tcPr>
          <w:tcW w:w="2250" w:type="pct"/>
          <w:tcBorders>
            <w:bottom w:val="single" w:sz="4" w:space="0" w:color="4F81BD" w:themeColor="accent1"/>
          </w:tcBorders>
        </w:tcPr>
        <w:p w14:paraId="06B3D1B6" w14:textId="77777777" w:rsidR="00BC7EB1" w:rsidRDefault="00BC7EB1">
          <w:pPr>
            <w:pStyle w:val="Header"/>
            <w:rPr>
              <w:rFonts w:asciiTheme="majorHAnsi" w:eastAsiaTheme="majorEastAsia" w:hAnsiTheme="majorHAnsi" w:cstheme="majorBidi"/>
              <w:b/>
              <w:bCs/>
            </w:rPr>
          </w:pPr>
        </w:p>
      </w:tc>
      <w:tc>
        <w:tcPr>
          <w:tcW w:w="500" w:type="pct"/>
          <w:vMerge w:val="restart"/>
          <w:noWrap/>
          <w:vAlign w:val="center"/>
        </w:tcPr>
        <w:p w14:paraId="3B80EED6" w14:textId="77777777" w:rsidR="00BC7EB1" w:rsidRDefault="00BC7EB1" w:rsidP="007A06FE">
          <w:pPr>
            <w:pStyle w:val="NoSpacing"/>
            <w:jc w:val="center"/>
            <w:rPr>
              <w:rFonts w:asciiTheme="majorHAnsi" w:eastAsiaTheme="majorEastAsia" w:hAnsiTheme="majorHAnsi" w:cstheme="majorBidi"/>
            </w:rPr>
          </w:pPr>
          <w:r>
            <w:fldChar w:fldCharType="begin"/>
          </w:r>
          <w:r>
            <w:instrText xml:space="preserve"> PAGE  \* MERGEFORMAT </w:instrText>
          </w:r>
          <w:r>
            <w:fldChar w:fldCharType="separate"/>
          </w:r>
          <w:r w:rsidRPr="00875C4E">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5C5758AA" w14:textId="77777777" w:rsidR="00BC7EB1" w:rsidRDefault="00BC7EB1">
          <w:pPr>
            <w:pStyle w:val="Header"/>
            <w:rPr>
              <w:rFonts w:asciiTheme="majorHAnsi" w:eastAsiaTheme="majorEastAsia" w:hAnsiTheme="majorHAnsi" w:cstheme="majorBidi"/>
              <w:b/>
              <w:bCs/>
            </w:rPr>
          </w:pPr>
        </w:p>
      </w:tc>
    </w:tr>
    <w:tr w:rsidR="00BC7EB1" w14:paraId="06A79E15" w14:textId="77777777">
      <w:trPr>
        <w:trHeight w:val="150"/>
      </w:trPr>
      <w:tc>
        <w:tcPr>
          <w:tcW w:w="2250" w:type="pct"/>
          <w:tcBorders>
            <w:top w:val="single" w:sz="4" w:space="0" w:color="4F81BD" w:themeColor="accent1"/>
          </w:tcBorders>
        </w:tcPr>
        <w:p w14:paraId="4DEAF2DF" w14:textId="77777777" w:rsidR="00BC7EB1" w:rsidRDefault="00BC7EB1">
          <w:pPr>
            <w:pStyle w:val="Header"/>
            <w:rPr>
              <w:rFonts w:asciiTheme="majorHAnsi" w:eastAsiaTheme="majorEastAsia" w:hAnsiTheme="majorHAnsi" w:cstheme="majorBidi"/>
              <w:b/>
              <w:bCs/>
            </w:rPr>
          </w:pPr>
        </w:p>
      </w:tc>
      <w:tc>
        <w:tcPr>
          <w:tcW w:w="500" w:type="pct"/>
          <w:vMerge/>
        </w:tcPr>
        <w:p w14:paraId="49744361" w14:textId="77777777" w:rsidR="00BC7EB1" w:rsidRDefault="00BC7EB1">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0C49CF6F" w14:textId="77777777" w:rsidR="00BC7EB1" w:rsidRDefault="00BC7EB1">
          <w:pPr>
            <w:pStyle w:val="Header"/>
            <w:rPr>
              <w:rFonts w:asciiTheme="majorHAnsi" w:eastAsiaTheme="majorEastAsia" w:hAnsiTheme="majorHAnsi" w:cstheme="majorBidi"/>
              <w:b/>
              <w:bCs/>
            </w:rPr>
          </w:pPr>
        </w:p>
      </w:tc>
    </w:tr>
  </w:tbl>
  <w:p w14:paraId="67684D6A" w14:textId="77777777" w:rsidR="00BC7EB1" w:rsidRDefault="00BC7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39BA" w14:textId="77777777" w:rsidR="00BC7EB1" w:rsidRDefault="00BC7EB1" w:rsidP="008528B1">
    <w:pPr>
      <w:pStyle w:val="Footer"/>
    </w:pPr>
  </w:p>
  <w:p w14:paraId="5B136C3C" w14:textId="77777777" w:rsidR="00BC7EB1" w:rsidRPr="009D7507" w:rsidRDefault="00BC7EB1" w:rsidP="008528B1">
    <w:pPr>
      <w:pStyle w:val="Footer"/>
      <w:pBdr>
        <w:top w:val="single" w:sz="4" w:space="1" w:color="0398D7"/>
      </w:pBdr>
      <w:rPr>
        <w:sz w:val="4"/>
        <w:szCs w:val="4"/>
      </w:rPr>
    </w:pPr>
    <w:r w:rsidRPr="009D7507">
      <w:rPr>
        <w:sz w:val="4"/>
        <w:szCs w:val="4"/>
      </w:rPr>
      <w:tab/>
    </w:r>
    <w:r w:rsidRPr="009D7507">
      <w:rPr>
        <w:sz w:val="4"/>
        <w:szCs w:val="4"/>
      </w:rPr>
      <w:tab/>
    </w:r>
  </w:p>
  <w:p w14:paraId="132C2792" w14:textId="15B281E0" w:rsidR="00BC7EB1" w:rsidRPr="0044269C" w:rsidRDefault="00BC7EB1" w:rsidP="008528B1">
    <w:pPr>
      <w:pStyle w:val="Footer"/>
      <w:tabs>
        <w:tab w:val="right" w:pos="9356"/>
      </w:tabs>
      <w:rPr>
        <w:sz w:val="18"/>
        <w:szCs w:val="20"/>
      </w:rPr>
    </w:pPr>
    <w:r>
      <w:rPr>
        <w:sz w:val="20"/>
        <w:szCs w:val="20"/>
      </w:rPr>
      <w:t>Improving Social Connectedness of Older Australians – Evaluation Plan</w:t>
    </w:r>
    <w:r w:rsidRPr="0044269C">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sidRPr="0044269C">
      <w:rPr>
        <w:sz w:val="18"/>
        <w:szCs w:val="20"/>
      </w:rPr>
      <w:t xml:space="preserve">Page </w:t>
    </w:r>
    <w:r w:rsidRPr="0044269C">
      <w:rPr>
        <w:sz w:val="18"/>
        <w:szCs w:val="20"/>
      </w:rPr>
      <w:fldChar w:fldCharType="begin"/>
    </w:r>
    <w:r w:rsidRPr="0044269C">
      <w:rPr>
        <w:sz w:val="18"/>
        <w:szCs w:val="20"/>
      </w:rPr>
      <w:instrText xml:space="preserve"> PAGE   \* MERGEFORMAT </w:instrText>
    </w:r>
    <w:r w:rsidRPr="0044269C">
      <w:rPr>
        <w:sz w:val="18"/>
        <w:szCs w:val="20"/>
      </w:rPr>
      <w:fldChar w:fldCharType="separate"/>
    </w:r>
    <w:r>
      <w:rPr>
        <w:noProof/>
        <w:sz w:val="18"/>
        <w:szCs w:val="20"/>
      </w:rPr>
      <w:t>46</w:t>
    </w:r>
    <w:r w:rsidRPr="0044269C">
      <w:rPr>
        <w:noProof/>
        <w:sz w:val="18"/>
        <w:szCs w:val="20"/>
      </w:rPr>
      <w:fldChar w:fldCharType="end"/>
    </w:r>
  </w:p>
  <w:p w14:paraId="52E61E16" w14:textId="3F384134" w:rsidR="00BC7EB1" w:rsidRPr="008910BC" w:rsidRDefault="00BC7EB1" w:rsidP="008528B1">
    <w:pPr>
      <w:pStyle w:val="Footer"/>
      <w:tabs>
        <w:tab w:val="right" w:pos="9356"/>
      </w:tabs>
      <w:rPr>
        <w:i w:val="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178446"/>
      <w:docPartObj>
        <w:docPartGallery w:val="Page Numbers (Bottom of Page)"/>
        <w:docPartUnique/>
      </w:docPartObj>
    </w:sdtPr>
    <w:sdtEndPr>
      <w:rPr>
        <w:noProof/>
      </w:rPr>
    </w:sdtEndPr>
    <w:sdtContent>
      <w:p w14:paraId="77990147" w14:textId="1BFA36B5" w:rsidR="00BC7EB1" w:rsidRPr="00947871" w:rsidRDefault="00BC7EB1" w:rsidP="00947871">
        <w:pPr>
          <w:pStyle w:val="Footer"/>
          <w:tabs>
            <w:tab w:val="right" w:pos="9356"/>
          </w:tabs>
        </w:pPr>
        <w:r w:rsidRPr="00C24842">
          <w:rPr>
            <w:sz w:val="18"/>
            <w:szCs w:val="18"/>
          </w:rPr>
          <w:t xml:space="preserve">Monitoring and evaluation of the </w:t>
        </w:r>
        <w:r>
          <w:rPr>
            <w:sz w:val="18"/>
            <w:szCs w:val="18"/>
          </w:rPr>
          <w:t>Woman-Centred Care Strategy: Part 1 - Baseline Report</w:t>
        </w:r>
        <w:r>
          <w:rPr>
            <w:sz w:val="18"/>
            <w:szCs w:val="18"/>
          </w:rPr>
          <w:tab/>
        </w:r>
        <w:r>
          <w:rPr>
            <w:sz w:val="18"/>
            <w:szCs w:val="18"/>
          </w:rPr>
          <w:tab/>
        </w:r>
        <w:r>
          <w:rPr>
            <w:sz w:val="18"/>
            <w:szCs w:val="18"/>
          </w:rPr>
          <w:tab/>
          <w:t xml:space="preserve">       </w:t>
        </w:r>
        <w:r>
          <w:fldChar w:fldCharType="begin"/>
        </w:r>
        <w:r>
          <w:instrText xml:space="preserve"> PAGE   \* MERGEFORMAT </w:instrText>
        </w:r>
        <w:r>
          <w:fldChar w:fldCharType="separate"/>
        </w:r>
        <w:r w:rsidR="00A72EF8">
          <w:rPr>
            <w:noProof/>
          </w:rPr>
          <w:t>vii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5424" w14:textId="77777777" w:rsidR="00BC7EB1" w:rsidRDefault="00BC7EB1" w:rsidP="00EF6278">
    <w:pPr>
      <w:pStyle w:val="Footer"/>
    </w:pPr>
  </w:p>
  <w:p w14:paraId="2F42B129" w14:textId="003B130F" w:rsidR="00BC7EB1" w:rsidRPr="00A70009" w:rsidRDefault="00BC7EB1" w:rsidP="005B427D">
    <w:pPr>
      <w:pStyle w:val="Footer"/>
      <w:pBdr>
        <w:top w:val="single" w:sz="4" w:space="1" w:color="0398D7"/>
      </w:pBdr>
      <w:rPr>
        <w:sz w:val="18"/>
        <w:szCs w:val="18"/>
      </w:rPr>
    </w:pPr>
    <w:r w:rsidRPr="00EE1C3F">
      <w:rPr>
        <w:sz w:val="18"/>
        <w:szCs w:val="18"/>
      </w:rPr>
      <w:t>Monitoring and evaluation of the</w:t>
    </w:r>
    <w:r>
      <w:rPr>
        <w:sz w:val="18"/>
        <w:szCs w:val="18"/>
      </w:rPr>
      <w:t xml:space="preserve"> Woman-Centred Care Strategy: Part 1 - Baseline Report</w:t>
    </w:r>
    <w:r>
      <w:rPr>
        <w:sz w:val="18"/>
        <w:szCs w:val="18"/>
      </w:rPr>
      <w:tab/>
    </w:r>
    <w:r>
      <w:rPr>
        <w:sz w:val="18"/>
        <w:szCs w:val="18"/>
      </w:rPr>
      <w:tab/>
    </w:r>
    <w:r w:rsidRPr="00A70009">
      <w:rPr>
        <w:sz w:val="18"/>
        <w:szCs w:val="18"/>
      </w:rPr>
      <w:fldChar w:fldCharType="begin"/>
    </w:r>
    <w:r w:rsidRPr="00A70009">
      <w:rPr>
        <w:sz w:val="18"/>
        <w:szCs w:val="18"/>
      </w:rPr>
      <w:instrText xml:space="preserve"> PAGE   \* MERGEFORMAT </w:instrText>
    </w:r>
    <w:r w:rsidRPr="00A70009">
      <w:rPr>
        <w:sz w:val="18"/>
        <w:szCs w:val="18"/>
      </w:rPr>
      <w:fldChar w:fldCharType="separate"/>
    </w:r>
    <w:r w:rsidR="00A72EF8">
      <w:rPr>
        <w:noProof/>
        <w:sz w:val="18"/>
        <w:szCs w:val="18"/>
      </w:rPr>
      <w:t>68</w:t>
    </w:r>
    <w:r w:rsidRPr="00A70009">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4CE4" w14:textId="77777777" w:rsidR="00BC7EB1" w:rsidRDefault="00BC7EB1" w:rsidP="00EF6278">
    <w:pPr>
      <w:pStyle w:val="Footer"/>
    </w:pPr>
  </w:p>
  <w:p w14:paraId="1AADA88A" w14:textId="7AF9484E" w:rsidR="00BC7EB1" w:rsidRPr="00A70009" w:rsidRDefault="00BC7EB1" w:rsidP="005B427D">
    <w:pPr>
      <w:pStyle w:val="Footer"/>
      <w:pBdr>
        <w:top w:val="single" w:sz="4" w:space="1" w:color="0398D7"/>
      </w:pBdr>
      <w:rPr>
        <w:sz w:val="18"/>
        <w:szCs w:val="18"/>
      </w:rPr>
    </w:pPr>
    <w:r w:rsidRPr="00EE1C3F">
      <w:rPr>
        <w:sz w:val="18"/>
        <w:szCs w:val="18"/>
      </w:rPr>
      <w:t>Monitoring and evaluation of the</w:t>
    </w:r>
    <w:r>
      <w:rPr>
        <w:sz w:val="18"/>
        <w:szCs w:val="18"/>
      </w:rPr>
      <w:t xml:space="preserve"> Woman-Centred Care Strategy: Part 1 - Baseline Report</w:t>
    </w:r>
    <w:r>
      <w:rPr>
        <w:sz w:val="18"/>
        <w:szCs w:val="18"/>
      </w:rPr>
      <w:tab/>
    </w:r>
    <w:r>
      <w:rPr>
        <w:sz w:val="18"/>
        <w:szCs w:val="18"/>
      </w:rPr>
      <w:tab/>
    </w:r>
    <w:r w:rsidRPr="00A70009">
      <w:rPr>
        <w:sz w:val="18"/>
        <w:szCs w:val="18"/>
      </w:rPr>
      <w:fldChar w:fldCharType="begin"/>
    </w:r>
    <w:r w:rsidRPr="00A70009">
      <w:rPr>
        <w:sz w:val="18"/>
        <w:szCs w:val="18"/>
      </w:rPr>
      <w:instrText xml:space="preserve"> PAGE   \* MERGEFORMAT </w:instrText>
    </w:r>
    <w:r w:rsidRPr="00A70009">
      <w:rPr>
        <w:sz w:val="18"/>
        <w:szCs w:val="18"/>
      </w:rPr>
      <w:fldChar w:fldCharType="separate"/>
    </w:r>
    <w:r w:rsidR="00A72EF8">
      <w:rPr>
        <w:noProof/>
        <w:sz w:val="18"/>
        <w:szCs w:val="18"/>
      </w:rPr>
      <w:t>73</w:t>
    </w:r>
    <w:r w:rsidRPr="00A70009">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190D3" w14:textId="77777777" w:rsidR="00467B22" w:rsidRDefault="00467B22" w:rsidP="00625E8D">
      <w:r>
        <w:separator/>
      </w:r>
    </w:p>
  </w:footnote>
  <w:footnote w:type="continuationSeparator" w:id="0">
    <w:p w14:paraId="1614E335" w14:textId="77777777" w:rsidR="00467B22" w:rsidRDefault="00467B22" w:rsidP="00625E8D">
      <w:r>
        <w:continuationSeparator/>
      </w:r>
    </w:p>
  </w:footnote>
  <w:footnote w:type="continuationNotice" w:id="1">
    <w:p w14:paraId="237BC9E6" w14:textId="77777777" w:rsidR="00467B22" w:rsidRDefault="00467B22"/>
  </w:footnote>
  <w:footnote w:id="2">
    <w:p w14:paraId="5848567E" w14:textId="66F9BD2C" w:rsidR="00BC7EB1" w:rsidRDefault="00BC7EB1" w:rsidP="00F66EC6">
      <w:pPr>
        <w:pStyle w:val="FootnoteText"/>
        <w:spacing w:before="80"/>
      </w:pPr>
      <w:r>
        <w:rPr>
          <w:rStyle w:val="FootnoteReference"/>
        </w:rPr>
        <w:footnoteRef/>
      </w:r>
      <w:r>
        <w:t xml:space="preserve"> </w:t>
      </w:r>
      <w:r w:rsidRPr="00BF1EC3">
        <w:t>As noted by the AIHW</w:t>
      </w:r>
      <w:r>
        <w:t xml:space="preserve"> (2022)</w:t>
      </w:r>
      <w:r w:rsidRPr="00BF1EC3">
        <w:t xml:space="preserve">, </w:t>
      </w:r>
      <w:r>
        <w:t>the World Health Organisation acknowledges that interventions such as caesarean section save lives when medically indicated, although a rate of over 10% of babies born by caesarean section is not associated with reduced maternal and newborn mortality and morbidity at a population level. A</w:t>
      </w:r>
      <w:r w:rsidRPr="00BF1EC3">
        <w:t xml:space="preserve"> variety of clinical, maternal and medico-legal factors influence the </w:t>
      </w:r>
      <w:r>
        <w:t>rate</w:t>
      </w:r>
      <w:r w:rsidRPr="00BF1EC3">
        <w:t xml:space="preserve"> of caesarean sections, ‘however, the reasons for the steep rise </w:t>
      </w:r>
      <w:r>
        <w:t xml:space="preserve">[in Australian statistics] </w:t>
      </w:r>
      <w:r w:rsidRPr="00BF1EC3">
        <w:t>remain unexplained’ (AIHW, 2022, p.23</w:t>
      </w:r>
      <w:r>
        <w:t>).</w:t>
      </w:r>
    </w:p>
  </w:footnote>
  <w:footnote w:id="3">
    <w:p w14:paraId="41B9235E" w14:textId="1A360C66" w:rsidR="00BC7EB1" w:rsidRDefault="00BC7EB1" w:rsidP="00F66EC6">
      <w:pPr>
        <w:pStyle w:val="FootnoteText"/>
        <w:spacing w:before="80"/>
      </w:pPr>
      <w:r>
        <w:rPr>
          <w:rStyle w:val="FootnoteReference"/>
        </w:rPr>
        <w:footnoteRef/>
      </w:r>
      <w:r>
        <w:t xml:space="preserve"> Funding to develop and implement national postnatal care guidelines was announced in the 2022-23 federal budget; stakeholder consultations for this report concluded in August 2022.</w:t>
      </w:r>
    </w:p>
  </w:footnote>
  <w:footnote w:id="4">
    <w:p w14:paraId="009A66CB" w14:textId="36D9A4A6" w:rsidR="00BC7EB1" w:rsidRDefault="00BC7EB1">
      <w:pPr>
        <w:pStyle w:val="FootnoteText"/>
      </w:pPr>
      <w:r>
        <w:rPr>
          <w:rStyle w:val="FootnoteReference"/>
        </w:rPr>
        <w:footnoteRef/>
      </w:r>
      <w:r>
        <w:t xml:space="preserve"> A national clinical care standard for stillbirth prevention was due for release in November 2022.</w:t>
      </w:r>
    </w:p>
  </w:footnote>
  <w:footnote w:id="5">
    <w:p w14:paraId="0BD30C32" w14:textId="5ABD8030" w:rsidR="00BC7EB1" w:rsidRDefault="00BC7EB1">
      <w:pPr>
        <w:pStyle w:val="FootnoteText"/>
      </w:pPr>
      <w:r>
        <w:rPr>
          <w:rStyle w:val="FootnoteReference"/>
        </w:rPr>
        <w:footnoteRef/>
      </w:r>
      <w:r>
        <w:t xml:space="preserve"> </w:t>
      </w:r>
      <w:r w:rsidRPr="00F97161">
        <w:t>Se</w:t>
      </w:r>
      <w:r w:rsidRPr="00685356">
        <w:t>lected women are defined as ‘</w:t>
      </w:r>
      <w:r w:rsidRPr="00E83160">
        <w:t xml:space="preserve">aged between 20 and 34 years, where gestational age at birth was between 37 and 41 completed weeks, with a singleton </w:t>
      </w:r>
      <w:r w:rsidR="000F4799">
        <w:t>baby in the vertex presentation</w:t>
      </w:r>
      <w:r w:rsidRPr="00FC656B">
        <w:rPr>
          <w:rStyle w:val="CommentReference"/>
          <w:sz w:val="20"/>
          <w:szCs w:val="20"/>
        </w:rPr>
        <w:t xml:space="preserve">’. They are reported on separately </w:t>
      </w:r>
      <w:r w:rsidR="000F4799">
        <w:rPr>
          <w:rStyle w:val="CommentReference"/>
          <w:sz w:val="20"/>
          <w:szCs w:val="20"/>
        </w:rPr>
        <w:t xml:space="preserve">by the AIHW </w:t>
      </w:r>
      <w:r w:rsidRPr="00FC656B">
        <w:rPr>
          <w:rStyle w:val="CommentReference"/>
          <w:sz w:val="20"/>
          <w:szCs w:val="20"/>
        </w:rPr>
        <w:t>as it is expected that they will have fewer labour complications and more optimal birth outcomes due to their lower risk. This cohort represents about one quarter of all women who give birth in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0648" w14:textId="3B95F2BA" w:rsidR="00BC7EB1" w:rsidRDefault="00BC7EB1">
    <w:pPr>
      <w:pStyle w:val="Header"/>
    </w:pPr>
    <w:r>
      <w:rPr>
        <w:noProof/>
      </w:rPr>
      <mc:AlternateContent>
        <mc:Choice Requires="wps">
          <w:drawing>
            <wp:anchor distT="0" distB="0" distL="114300" distR="114300" simplePos="0" relativeHeight="251658240" behindDoc="1" locked="0" layoutInCell="0" allowOverlap="1" wp14:anchorId="675E5023" wp14:editId="502E110C">
              <wp:simplePos x="0" y="0"/>
              <wp:positionH relativeFrom="margin">
                <wp:align>center</wp:align>
              </wp:positionH>
              <wp:positionV relativeFrom="margin">
                <wp:align>center</wp:align>
              </wp:positionV>
              <wp:extent cx="5074920" cy="3044825"/>
              <wp:effectExtent l="0" t="742950" r="0" b="593725"/>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BEF4EB" w14:textId="77777777" w:rsidR="00BC7EB1" w:rsidRDefault="00BC7EB1"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5E5023" id="_x0000_t202" coordsize="21600,21600" o:spt="202" path="m,l,21600r21600,l21600,xe">
              <v:stroke joinstyle="miter"/>
              <v:path gradientshapeok="t" o:connecttype="rect"/>
            </v:shapetype>
            <v:shape id="WordArt 2" o:spid="_x0000_s1026" type="#_x0000_t202" style="position:absolute;margin-left:0;margin-top:0;width:399.6pt;height:239.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" o:allowincell="f" filled="f" stroked="f">
              <v:stroke joinstyle="round"/>
              <o:lock v:ext="edit" shapetype="t"/>
              <v:textbox style="mso-fit-shape-to-text:t">
                <w:txbxContent>
                  <w:p w14:paraId="0ABEF4EB" w14:textId="77777777" w:rsidR="00BC7EB1" w:rsidRDefault="00BC7EB1"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tab/>
    </w:r>
    <w:r>
      <w:rPr>
        <w:noProof/>
      </w:rPr>
      <w:drawing>
        <wp:inline distT="0" distB="0" distL="0" distR="0" wp14:anchorId="04AD0EA3" wp14:editId="033B5737">
          <wp:extent cx="1054735" cy="372110"/>
          <wp:effectExtent l="0" t="0" r="0" b="889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2447C69C" w14:textId="77777777" w:rsidR="00BC7EB1" w:rsidRDefault="00BC7E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F99D" w14:textId="749E54CC" w:rsidR="00BC7EB1" w:rsidRDefault="00BC7EB1" w:rsidP="0012523E">
    <w:pPr>
      <w:pStyle w:val="Header"/>
      <w:jc w:val="right"/>
    </w:pPr>
    <w:r>
      <w:rPr>
        <w:noProof/>
      </w:rPr>
      <w:drawing>
        <wp:inline distT="0" distB="0" distL="0" distR="0" wp14:anchorId="26DA1201" wp14:editId="7DD61F20">
          <wp:extent cx="1054735" cy="372110"/>
          <wp:effectExtent l="0" t="0" r="0" b="8890"/>
          <wp:docPr id="10" name="Picture 10" descr="logo for Centre for health service develop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for Centre for health service development&#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2713E60F" w14:textId="77777777" w:rsidR="00BC7EB1" w:rsidRPr="009D7507" w:rsidRDefault="00BC7EB1" w:rsidP="0012523E">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7D915AB7" w14:textId="5A02B61E" w:rsidR="00BC7EB1" w:rsidRPr="0051637C" w:rsidRDefault="00BC7EB1" w:rsidP="0051637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FB0E" w14:textId="7CCF4147" w:rsidR="00BC7EB1" w:rsidRDefault="00BC7E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F477" w14:textId="7633C83E" w:rsidR="00BC7EB1" w:rsidRDefault="00BC7EB1" w:rsidP="00702E92">
    <w:pPr>
      <w:pStyle w:val="Header"/>
      <w:jc w:val="right"/>
    </w:pPr>
    <w:r>
      <w:rPr>
        <w:noProof/>
      </w:rPr>
      <w:drawing>
        <wp:inline distT="0" distB="0" distL="0" distR="0" wp14:anchorId="371D9FE3" wp14:editId="69876E63">
          <wp:extent cx="1054735" cy="372110"/>
          <wp:effectExtent l="0" t="0" r="0" b="889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549AF7F" w14:textId="35BADEE1" w:rsidR="00BC7EB1" w:rsidRPr="00702E92" w:rsidRDefault="00BC7EB1" w:rsidP="00702E9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52B5" w14:textId="2C281BC0" w:rsidR="00BC7EB1" w:rsidRDefault="00BC7E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EFFF" w14:textId="19BD6B12" w:rsidR="00BC7EB1" w:rsidRDefault="00BC7EB1" w:rsidP="00803782">
    <w:pPr>
      <w:pStyle w:val="Header"/>
      <w:jc w:val="right"/>
    </w:pPr>
    <w:r>
      <w:rPr>
        <w:noProof/>
      </w:rPr>
      <w:drawing>
        <wp:inline distT="0" distB="0" distL="0" distR="0" wp14:anchorId="16881C9D" wp14:editId="364D316F">
          <wp:extent cx="1054735" cy="372110"/>
          <wp:effectExtent l="0" t="0" r="0" b="8890"/>
          <wp:docPr id="16" name="Picture 16" descr="Logo of Centre for health service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of Centre for health service developmen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134CD7DD" w14:textId="77777777" w:rsidR="00BC7EB1" w:rsidRPr="009D7507" w:rsidRDefault="00BC7EB1" w:rsidP="0080378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0602050B" w14:textId="77777777" w:rsidR="00BC7EB1" w:rsidRPr="00803782" w:rsidRDefault="00BC7EB1" w:rsidP="008037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D1D9" w14:textId="63ED92DD" w:rsidR="00BC7EB1" w:rsidRDefault="00BC7E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B210" w14:textId="1CF16B93" w:rsidR="00BC7EB1" w:rsidRDefault="00BC7E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D68C" w14:textId="74B8A304" w:rsidR="00BC7EB1" w:rsidRDefault="00BC7EB1" w:rsidP="00393704">
    <w:pPr>
      <w:pStyle w:val="Header"/>
      <w:jc w:val="right"/>
    </w:pPr>
    <w:r>
      <w:rPr>
        <w:noProof/>
      </w:rPr>
      <w:drawing>
        <wp:inline distT="0" distB="0" distL="0" distR="0" wp14:anchorId="282FD4FA" wp14:editId="132D515C">
          <wp:extent cx="1054735" cy="372110"/>
          <wp:effectExtent l="0" t="0" r="0" b="8890"/>
          <wp:docPr id="17" name="Picture 17" descr="logo for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for Centre for health service develop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058F6333" w14:textId="77777777" w:rsidR="00BC7EB1" w:rsidRPr="009D7507" w:rsidRDefault="00BC7EB1" w:rsidP="00393704">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68DD40B1" w14:textId="77777777" w:rsidR="00BC7EB1" w:rsidRDefault="00BC7E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508B" w14:textId="12C14E9C" w:rsidR="00BC7EB1" w:rsidRDefault="00BC7E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01A2" w14:textId="360839CE" w:rsidR="00BC7EB1" w:rsidRDefault="00BC7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07A1856"/>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32012F9"/>
    <w:multiLevelType w:val="hybridMultilevel"/>
    <w:tmpl w:val="4BB4909C"/>
    <w:lvl w:ilvl="0" w:tplc="196241E0">
      <w:start w:val="1"/>
      <w:numFmt w:val="decimal"/>
      <w:lvlText w:val="%1."/>
      <w:lvlJc w:val="left"/>
      <w:pPr>
        <w:ind w:left="720" w:hanging="360"/>
      </w:pPr>
      <w:rPr>
        <w:rFonts w:asciiTheme="minorHAnsi" w:eastAsiaTheme="majorEastAsia" w:hAnsiTheme="minorHAnsi" w:cstheme="minorHAnsi"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DD6D68"/>
    <w:multiLevelType w:val="hybridMultilevel"/>
    <w:tmpl w:val="7EF27A00"/>
    <w:lvl w:ilvl="0" w:tplc="BCDCFD7C">
      <w:start w:val="1"/>
      <w:numFmt w:val="decimal"/>
      <w:lvlText w:val="%1."/>
      <w:lvlJc w:val="left"/>
      <w:pPr>
        <w:ind w:left="720" w:hanging="360"/>
      </w:pPr>
      <w:rPr>
        <w:rFonts w:ascii="Calibri" w:eastAsiaTheme="majorEastAsia" w:hAnsi="Calibri" w:cs="Calibr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997E0B"/>
    <w:multiLevelType w:val="hybridMultilevel"/>
    <w:tmpl w:val="D7C09F60"/>
    <w:lvl w:ilvl="0" w:tplc="9FB0BE6E">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F06285"/>
    <w:multiLevelType w:val="multilevel"/>
    <w:tmpl w:val="0C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80A2841"/>
    <w:multiLevelType w:val="hybridMultilevel"/>
    <w:tmpl w:val="B4524B80"/>
    <w:lvl w:ilvl="0" w:tplc="E912EF76">
      <w:start w:val="1"/>
      <w:numFmt w:val="decimal"/>
      <w:lvlText w:val="%1."/>
      <w:lvlJc w:val="left"/>
      <w:pPr>
        <w:ind w:left="720" w:hanging="360"/>
      </w:pPr>
      <w:rPr>
        <w:rFonts w:asciiTheme="minorHAnsi" w:eastAsiaTheme="majorEastAsia" w:hAnsiTheme="minorHAnsi" w:cstheme="minorHAnsi" w:hint="default"/>
        <w:b w:val="0"/>
        <w:sz w:val="18"/>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7" w15:restartNumberingAfterBreak="0">
    <w:nsid w:val="15602925"/>
    <w:multiLevelType w:val="hybridMultilevel"/>
    <w:tmpl w:val="100277FA"/>
    <w:lvl w:ilvl="0" w:tplc="FFFFFFFF">
      <w:start w:val="1"/>
      <w:numFmt w:val="decimal"/>
      <w:lvlText w:val="%1."/>
      <w:lvlJc w:val="left"/>
      <w:pPr>
        <w:ind w:left="360" w:hanging="360"/>
      </w:pPr>
      <w:rPr>
        <w:rFonts w:asciiTheme="minorHAnsi" w:eastAsiaTheme="majorEastAsia" w:hAnsiTheme="minorHAnsi" w:cstheme="minorHAnsi" w:hint="default"/>
        <w:sz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76062CA"/>
    <w:multiLevelType w:val="hybridMultilevel"/>
    <w:tmpl w:val="6978867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8E23AD3"/>
    <w:multiLevelType w:val="hybridMultilevel"/>
    <w:tmpl w:val="100277FA"/>
    <w:lvl w:ilvl="0" w:tplc="4F721F38">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FA387C"/>
    <w:multiLevelType w:val="hybridMultilevel"/>
    <w:tmpl w:val="2BE43C98"/>
    <w:lvl w:ilvl="0" w:tplc="20BE6592">
      <w:start w:val="1"/>
      <w:numFmt w:val="bullet"/>
      <w:pStyle w:val="Bullets"/>
      <w:lvlText w:val=""/>
      <w:lvlJc w:val="left"/>
      <w:pPr>
        <w:ind w:left="360" w:hanging="360"/>
      </w:pPr>
      <w:rPr>
        <w:rFonts w:ascii="Wingdings" w:hAnsi="Wingdings" w:hint="default"/>
        <w:color w:val="auto"/>
        <w:sz w:val="24"/>
        <w:szCs w:val="24"/>
      </w:rPr>
    </w:lvl>
    <w:lvl w:ilvl="1" w:tplc="5C7EBC94">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261331"/>
    <w:multiLevelType w:val="multilevel"/>
    <w:tmpl w:val="8D4E6E04"/>
    <w:lvl w:ilvl="0">
      <w:start w:val="1"/>
      <w:numFmt w:val="decimal"/>
      <w:pStyle w:val="Heading1"/>
      <w:lvlText w:val="%1"/>
      <w:lvlJc w:val="left"/>
      <w:pPr>
        <w:ind w:left="1566" w:hanging="432"/>
      </w:pPr>
      <w:rPr>
        <w:specVanish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145"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462081B"/>
    <w:multiLevelType w:val="hybridMultilevel"/>
    <w:tmpl w:val="867011CE"/>
    <w:lvl w:ilvl="0" w:tplc="E912EF76">
      <w:start w:val="1"/>
      <w:numFmt w:val="decimal"/>
      <w:lvlText w:val="%1."/>
      <w:lvlJc w:val="left"/>
      <w:pPr>
        <w:ind w:left="360" w:hanging="360"/>
      </w:pPr>
      <w:rPr>
        <w:rFonts w:asciiTheme="minorHAnsi" w:eastAsiaTheme="majorEastAsia" w:hAnsiTheme="minorHAnsi" w:cstheme="minorHAnsi" w:hint="default"/>
        <w:b w:val="0"/>
        <w:sz w:val="18"/>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36033B3"/>
    <w:multiLevelType w:val="singleLevel"/>
    <w:tmpl w:val="9716B962"/>
    <w:lvl w:ilvl="0">
      <w:start w:val="1"/>
      <w:numFmt w:val="bullet"/>
      <w:pStyle w:val="Plainbullets"/>
      <w:lvlText w:val=""/>
      <w:lvlJc w:val="left"/>
      <w:pPr>
        <w:tabs>
          <w:tab w:val="num" w:pos="360"/>
        </w:tabs>
        <w:ind w:left="360" w:hanging="360"/>
      </w:pPr>
      <w:rPr>
        <w:rFonts w:ascii="Wingdings" w:hAnsi="Wingdings" w:hint="default"/>
      </w:rPr>
    </w:lvl>
  </w:abstractNum>
  <w:abstractNum w:abstractNumId="14" w15:restartNumberingAfterBreak="0">
    <w:nsid w:val="37E173DC"/>
    <w:multiLevelType w:val="hybridMultilevel"/>
    <w:tmpl w:val="314826CA"/>
    <w:lvl w:ilvl="0" w:tplc="FFFFFFFF">
      <w:start w:val="1"/>
      <w:numFmt w:val="decimal"/>
      <w:lvlText w:val="%1."/>
      <w:lvlJc w:val="left"/>
      <w:pPr>
        <w:ind w:left="720" w:hanging="360"/>
      </w:pPr>
      <w:rPr>
        <w:rFonts w:ascii="Segoe UI" w:eastAsiaTheme="majorEastAsia" w:hAnsi="Segoe UI" w:cs="Segoe U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626E26"/>
    <w:multiLevelType w:val="hybridMultilevel"/>
    <w:tmpl w:val="E99A69C6"/>
    <w:lvl w:ilvl="0" w:tplc="0C09000F">
      <w:start w:val="1"/>
      <w:numFmt w:val="decimal"/>
      <w:lvlText w:val="%1."/>
      <w:lvlJc w:val="left"/>
      <w:pPr>
        <w:ind w:left="360" w:hanging="360"/>
      </w:pPr>
      <w:rPr>
        <w:rFonts w:hint="default"/>
        <w:sz w:val="24"/>
        <w:szCs w:val="24"/>
      </w:rPr>
    </w:lvl>
    <w:lvl w:ilvl="1" w:tplc="FFFFFFFF">
      <w:start w:val="1"/>
      <w:numFmt w:val="bullet"/>
      <w:lvlText w:val="-"/>
      <w:lvlJc w:val="left"/>
      <w:pPr>
        <w:ind w:left="1080" w:hanging="360"/>
      </w:pPr>
      <w:rPr>
        <w:rFonts w:ascii="Calibri" w:hAnsi="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BD1054F"/>
    <w:multiLevelType w:val="hybridMultilevel"/>
    <w:tmpl w:val="C3E007E4"/>
    <w:lvl w:ilvl="0" w:tplc="FF76ED20">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45051357"/>
    <w:multiLevelType w:val="hybridMultilevel"/>
    <w:tmpl w:val="4C5A7BD0"/>
    <w:lvl w:ilvl="0" w:tplc="4BD224C8">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EB0267"/>
    <w:multiLevelType w:val="hybridMultilevel"/>
    <w:tmpl w:val="CB9EF160"/>
    <w:lvl w:ilvl="0" w:tplc="6F044BAA">
      <w:start w:val="1"/>
      <w:numFmt w:val="decimal"/>
      <w:lvlText w:val="%1."/>
      <w:lvlJc w:val="left"/>
      <w:pPr>
        <w:ind w:left="720" w:hanging="360"/>
      </w:pPr>
      <w:rPr>
        <w:rFonts w:asciiTheme="minorHAnsi" w:eastAsiaTheme="majorEastAsia" w:hAnsiTheme="minorHAnsi" w:cstheme="minorHAnsi" w:hint="default"/>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6479F3"/>
    <w:multiLevelType w:val="hybridMultilevel"/>
    <w:tmpl w:val="2E524D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B096054"/>
    <w:multiLevelType w:val="hybridMultilevel"/>
    <w:tmpl w:val="F1F04E0A"/>
    <w:lvl w:ilvl="0" w:tplc="5F888088">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6F15B4"/>
    <w:multiLevelType w:val="hybridMultilevel"/>
    <w:tmpl w:val="1E10A100"/>
    <w:lvl w:ilvl="0" w:tplc="FF108EFA">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3601E8"/>
    <w:multiLevelType w:val="singleLevel"/>
    <w:tmpl w:val="B048381A"/>
    <w:lvl w:ilvl="0">
      <w:start w:val="1"/>
      <w:numFmt w:val="bullet"/>
      <w:pStyle w:val="bullets0"/>
      <w:lvlText w:val=""/>
      <w:lvlJc w:val="left"/>
      <w:pPr>
        <w:tabs>
          <w:tab w:val="num" w:pos="360"/>
        </w:tabs>
        <w:ind w:left="360" w:hanging="360"/>
      </w:pPr>
      <w:rPr>
        <w:rFonts w:ascii="Wingdings" w:hAnsi="Wingdings" w:hint="default"/>
      </w:rPr>
    </w:lvl>
  </w:abstractNum>
  <w:abstractNum w:abstractNumId="24" w15:restartNumberingAfterBreak="0">
    <w:nsid w:val="4FF0744F"/>
    <w:multiLevelType w:val="hybridMultilevel"/>
    <w:tmpl w:val="86ACDDEC"/>
    <w:lvl w:ilvl="0" w:tplc="3560FEDC">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BA1E5A"/>
    <w:multiLevelType w:val="multilevel"/>
    <w:tmpl w:val="FA40F4D4"/>
    <w:styleLink w:val="ZZBullets"/>
    <w:lvl w:ilvl="0">
      <w:start w:val="1"/>
      <w:numFmt w:val="decimal"/>
      <w:lvlText w:val="%1."/>
      <w:lvlJc w:val="left"/>
      <w:pPr>
        <w:ind w:left="284" w:hanging="284"/>
      </w:pPr>
      <w:rPr>
        <w:rFonts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C09BB"/>
    <w:multiLevelType w:val="hybridMultilevel"/>
    <w:tmpl w:val="314826CA"/>
    <w:lvl w:ilvl="0" w:tplc="FFFFFFFF">
      <w:start w:val="1"/>
      <w:numFmt w:val="decimal"/>
      <w:lvlText w:val="%1."/>
      <w:lvlJc w:val="left"/>
      <w:pPr>
        <w:ind w:left="720" w:hanging="360"/>
      </w:pPr>
      <w:rPr>
        <w:rFonts w:ascii="Segoe UI" w:eastAsiaTheme="majorEastAsia" w:hAnsi="Segoe UI" w:cs="Segoe U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B8723BD"/>
    <w:multiLevelType w:val="hybridMultilevel"/>
    <w:tmpl w:val="E8163524"/>
    <w:lvl w:ilvl="0" w:tplc="236C631E">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A46476"/>
    <w:multiLevelType w:val="hybridMultilevel"/>
    <w:tmpl w:val="EB8879AA"/>
    <w:lvl w:ilvl="0" w:tplc="052600D8">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281C89"/>
    <w:multiLevelType w:val="hybridMultilevel"/>
    <w:tmpl w:val="314826CA"/>
    <w:lvl w:ilvl="0" w:tplc="FFFFFFFF">
      <w:start w:val="1"/>
      <w:numFmt w:val="decimal"/>
      <w:lvlText w:val="%1."/>
      <w:lvlJc w:val="left"/>
      <w:pPr>
        <w:ind w:left="720" w:hanging="360"/>
      </w:pPr>
      <w:rPr>
        <w:rFonts w:ascii="Segoe UI" w:eastAsiaTheme="majorEastAsia" w:hAnsi="Segoe UI" w:cs="Segoe U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73E058D"/>
    <w:multiLevelType w:val="hybridMultilevel"/>
    <w:tmpl w:val="56DA5980"/>
    <w:lvl w:ilvl="0" w:tplc="021C6A8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C281197"/>
    <w:multiLevelType w:val="multilevel"/>
    <w:tmpl w:val="FA40F4D4"/>
    <w:numStyleLink w:val="ZZBullets"/>
  </w:abstractNum>
  <w:abstractNum w:abstractNumId="32" w15:restartNumberingAfterBreak="0">
    <w:nsid w:val="6F904800"/>
    <w:multiLevelType w:val="hybridMultilevel"/>
    <w:tmpl w:val="314826CA"/>
    <w:lvl w:ilvl="0" w:tplc="03E6F498">
      <w:start w:val="1"/>
      <w:numFmt w:val="decimal"/>
      <w:lvlText w:val="%1."/>
      <w:lvlJc w:val="left"/>
      <w:pPr>
        <w:ind w:left="720" w:hanging="360"/>
      </w:pPr>
      <w:rPr>
        <w:rFonts w:ascii="Segoe UI" w:eastAsiaTheme="majorEastAsia" w:hAnsi="Segoe UI" w:cs="Segoe UI"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A018DA"/>
    <w:multiLevelType w:val="hybridMultilevel"/>
    <w:tmpl w:val="4D1EC76C"/>
    <w:lvl w:ilvl="0" w:tplc="1902B42A">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AB6B6B"/>
    <w:multiLevelType w:val="hybridMultilevel"/>
    <w:tmpl w:val="314826CA"/>
    <w:lvl w:ilvl="0" w:tplc="FFFFFFFF">
      <w:start w:val="1"/>
      <w:numFmt w:val="decimal"/>
      <w:lvlText w:val="%1."/>
      <w:lvlJc w:val="left"/>
      <w:pPr>
        <w:ind w:left="720" w:hanging="360"/>
      </w:pPr>
      <w:rPr>
        <w:rFonts w:ascii="Segoe UI" w:eastAsiaTheme="majorEastAsia" w:hAnsi="Segoe UI" w:cs="Segoe U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8B5CD2"/>
    <w:multiLevelType w:val="hybridMultilevel"/>
    <w:tmpl w:val="D54EBC46"/>
    <w:lvl w:ilvl="0" w:tplc="3AD20E92">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CF47003"/>
    <w:multiLevelType w:val="hybridMultilevel"/>
    <w:tmpl w:val="5BD429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F28731B"/>
    <w:multiLevelType w:val="hybridMultilevel"/>
    <w:tmpl w:val="8422A506"/>
    <w:lvl w:ilvl="0" w:tplc="57A828DA">
      <w:start w:val="1"/>
      <w:numFmt w:val="decimal"/>
      <w:lvlText w:val="%1."/>
      <w:lvlJc w:val="left"/>
      <w:pPr>
        <w:ind w:left="720" w:hanging="360"/>
      </w:pPr>
      <w:rPr>
        <w:rFonts w:asciiTheme="minorHAnsi" w:eastAsiaTheme="majorEastAsia" w:hAnsiTheme="minorHAnsi" w:cstheme="minorHAnsi"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3"/>
  </w:num>
  <w:num w:numId="6">
    <w:abstractNumId w:val="25"/>
  </w:num>
  <w:num w:numId="7">
    <w:abstractNumId w:val="17"/>
  </w:num>
  <w:num w:numId="8">
    <w:abstractNumId w:val="23"/>
  </w:num>
  <w:num w:numId="9">
    <w:abstractNumId w:val="31"/>
  </w:num>
  <w:num w:numId="10">
    <w:abstractNumId w:val="30"/>
  </w:num>
  <w:num w:numId="11">
    <w:abstractNumId w:val="8"/>
  </w:num>
  <w:num w:numId="12">
    <w:abstractNumId w:val="19"/>
  </w:num>
  <w:num w:numId="13">
    <w:abstractNumId w:val="34"/>
  </w:num>
  <w:num w:numId="14">
    <w:abstractNumId w:val="33"/>
  </w:num>
  <w:num w:numId="15">
    <w:abstractNumId w:val="24"/>
  </w:num>
  <w:num w:numId="16">
    <w:abstractNumId w:val="27"/>
  </w:num>
  <w:num w:numId="17">
    <w:abstractNumId w:val="28"/>
  </w:num>
  <w:num w:numId="18">
    <w:abstractNumId w:val="2"/>
  </w:num>
  <w:num w:numId="19">
    <w:abstractNumId w:val="16"/>
  </w:num>
  <w:num w:numId="20">
    <w:abstractNumId w:val="37"/>
  </w:num>
  <w:num w:numId="21">
    <w:abstractNumId w:val="26"/>
  </w:num>
  <w:num w:numId="22">
    <w:abstractNumId w:val="18"/>
  </w:num>
  <w:num w:numId="23">
    <w:abstractNumId w:val="14"/>
  </w:num>
  <w:num w:numId="24">
    <w:abstractNumId w:val="3"/>
  </w:num>
  <w:num w:numId="25">
    <w:abstractNumId w:val="29"/>
  </w:num>
  <w:num w:numId="26">
    <w:abstractNumId w:val="4"/>
  </w:num>
  <w:num w:numId="27">
    <w:abstractNumId w:val="21"/>
  </w:num>
  <w:num w:numId="28">
    <w:abstractNumId w:val="5"/>
  </w:num>
  <w:num w:numId="29">
    <w:abstractNumId w:val="32"/>
  </w:num>
  <w:num w:numId="30">
    <w:abstractNumId w:val="1"/>
  </w:num>
  <w:num w:numId="31">
    <w:abstractNumId w:val="22"/>
  </w:num>
  <w:num w:numId="32">
    <w:abstractNumId w:val="9"/>
  </w:num>
  <w:num w:numId="33">
    <w:abstractNumId w:val="35"/>
  </w:num>
  <w:num w:numId="34">
    <w:abstractNumId w:val="12"/>
  </w:num>
  <w:num w:numId="35">
    <w:abstractNumId w:val="36"/>
  </w:num>
  <w:num w:numId="36">
    <w:abstractNumId w:val="20"/>
  </w:num>
  <w:num w:numId="37">
    <w:abstractNumId w:val="7"/>
  </w:num>
  <w:num w:numId="38">
    <w:abstractNumId w:val="15"/>
  </w:num>
  <w:num w:numId="39">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ewrsr2203a2a0veserrv55dezzwsepr5psw2&quot;&gt;Aust Maternity Services Strategy Copy-Converted&lt;record-ids&gt;&lt;item&gt;2&lt;/item&gt;&lt;item&gt;14&lt;/item&gt;&lt;item&gt;17&lt;/item&gt;&lt;item&gt;34&lt;/item&gt;&lt;item&gt;39&lt;/item&gt;&lt;item&gt;47&lt;/item&gt;&lt;item&gt;49&lt;/item&gt;&lt;item&gt;50&lt;/item&gt;&lt;item&gt;53&lt;/item&gt;&lt;item&gt;59&lt;/item&gt;&lt;item&gt;60&lt;/item&gt;&lt;item&gt;88&lt;/item&gt;&lt;item&gt;89&lt;/item&gt;&lt;item&gt;98&lt;/item&gt;&lt;item&gt;102&lt;/item&gt;&lt;item&gt;107&lt;/item&gt;&lt;item&gt;109&lt;/item&gt;&lt;item&gt;112&lt;/item&gt;&lt;item&gt;114&lt;/item&gt;&lt;item&gt;121&lt;/item&gt;&lt;item&gt;137&lt;/item&gt;&lt;item&gt;142&lt;/item&gt;&lt;item&gt;146&lt;/item&gt;&lt;item&gt;153&lt;/item&gt;&lt;item&gt;161&lt;/item&gt;&lt;item&gt;162&lt;/item&gt;&lt;item&gt;165&lt;/item&gt;&lt;item&gt;170&lt;/item&gt;&lt;item&gt;171&lt;/item&gt;&lt;item&gt;172&lt;/item&gt;&lt;item&gt;173&lt;/item&gt;&lt;item&gt;174&lt;/item&gt;&lt;item&gt;175&lt;/item&gt;&lt;item&gt;176&lt;/item&gt;&lt;item&gt;177&lt;/item&gt;&lt;item&gt;178&lt;/item&gt;&lt;item&gt;179&lt;/item&gt;&lt;item&gt;183&lt;/item&gt;&lt;item&gt;186&lt;/item&gt;&lt;item&gt;187&lt;/item&gt;&lt;item&gt;189&lt;/item&gt;&lt;item&gt;190&lt;/item&gt;&lt;item&gt;191&lt;/item&gt;&lt;item&gt;192&lt;/item&gt;&lt;item&gt;193&lt;/item&gt;&lt;item&gt;195&lt;/item&gt;&lt;item&gt;196&lt;/item&gt;&lt;item&gt;197&lt;/item&gt;&lt;item&gt;201&lt;/item&gt;&lt;item&gt;202&lt;/item&gt;&lt;item&gt;203&lt;/item&gt;&lt;item&gt;204&lt;/item&gt;&lt;item&gt;206&lt;/item&gt;&lt;item&gt;208&lt;/item&gt;&lt;item&gt;212&lt;/item&gt;&lt;item&gt;213&lt;/item&gt;&lt;item&gt;216&lt;/item&gt;&lt;item&gt;217&lt;/item&gt;&lt;item&gt;219&lt;/item&gt;&lt;item&gt;224&lt;/item&gt;&lt;item&gt;225&lt;/item&gt;&lt;item&gt;228&lt;/item&gt;&lt;item&gt;229&lt;/item&gt;&lt;item&gt;230&lt;/item&gt;&lt;item&gt;231&lt;/item&gt;&lt;item&gt;232&lt;/item&gt;&lt;item&gt;238&lt;/item&gt;&lt;item&gt;245&lt;/item&gt;&lt;item&gt;249&lt;/item&gt;&lt;item&gt;250&lt;/item&gt;&lt;item&gt;260&lt;/item&gt;&lt;/record-ids&gt;&lt;/item&gt;&lt;/Libraries&gt;"/>
  </w:docVars>
  <w:rsids>
    <w:rsidRoot w:val="000B46BA"/>
    <w:rsid w:val="00000C40"/>
    <w:rsid w:val="00000D1B"/>
    <w:rsid w:val="00000E36"/>
    <w:rsid w:val="000013EC"/>
    <w:rsid w:val="000015C0"/>
    <w:rsid w:val="00001C7E"/>
    <w:rsid w:val="000021B4"/>
    <w:rsid w:val="00002218"/>
    <w:rsid w:val="00002643"/>
    <w:rsid w:val="0000266C"/>
    <w:rsid w:val="00002C0C"/>
    <w:rsid w:val="00002C62"/>
    <w:rsid w:val="0000320C"/>
    <w:rsid w:val="00003A18"/>
    <w:rsid w:val="00003CA6"/>
    <w:rsid w:val="00004522"/>
    <w:rsid w:val="000047CF"/>
    <w:rsid w:val="00004F04"/>
    <w:rsid w:val="000050C4"/>
    <w:rsid w:val="00005C35"/>
    <w:rsid w:val="00005F10"/>
    <w:rsid w:val="00005F8C"/>
    <w:rsid w:val="0000641F"/>
    <w:rsid w:val="000064BC"/>
    <w:rsid w:val="00006FE0"/>
    <w:rsid w:val="00007DB4"/>
    <w:rsid w:val="00010171"/>
    <w:rsid w:val="00011093"/>
    <w:rsid w:val="000113E9"/>
    <w:rsid w:val="00011745"/>
    <w:rsid w:val="00011864"/>
    <w:rsid w:val="000118E6"/>
    <w:rsid w:val="000119D0"/>
    <w:rsid w:val="000122CB"/>
    <w:rsid w:val="000134F3"/>
    <w:rsid w:val="00013AD8"/>
    <w:rsid w:val="000142FA"/>
    <w:rsid w:val="0001451E"/>
    <w:rsid w:val="00014D4B"/>
    <w:rsid w:val="0001566D"/>
    <w:rsid w:val="00015FF1"/>
    <w:rsid w:val="000162F0"/>
    <w:rsid w:val="000165FB"/>
    <w:rsid w:val="00016D50"/>
    <w:rsid w:val="00020BB0"/>
    <w:rsid w:val="00021043"/>
    <w:rsid w:val="00021784"/>
    <w:rsid w:val="00021811"/>
    <w:rsid w:val="000218E6"/>
    <w:rsid w:val="00021ADC"/>
    <w:rsid w:val="00021B0C"/>
    <w:rsid w:val="0002292D"/>
    <w:rsid w:val="00022C2A"/>
    <w:rsid w:val="00022F90"/>
    <w:rsid w:val="0002382D"/>
    <w:rsid w:val="0002384E"/>
    <w:rsid w:val="00023971"/>
    <w:rsid w:val="00023D93"/>
    <w:rsid w:val="00023E5C"/>
    <w:rsid w:val="0002445A"/>
    <w:rsid w:val="00024C00"/>
    <w:rsid w:val="000251C5"/>
    <w:rsid w:val="0002520E"/>
    <w:rsid w:val="0002546B"/>
    <w:rsid w:val="00025FCA"/>
    <w:rsid w:val="00025FE6"/>
    <w:rsid w:val="00026B60"/>
    <w:rsid w:val="0002720A"/>
    <w:rsid w:val="00027CB9"/>
    <w:rsid w:val="00030C0D"/>
    <w:rsid w:val="0003125D"/>
    <w:rsid w:val="00031365"/>
    <w:rsid w:val="00031CF3"/>
    <w:rsid w:val="00031F27"/>
    <w:rsid w:val="000323DC"/>
    <w:rsid w:val="0003261D"/>
    <w:rsid w:val="00032737"/>
    <w:rsid w:val="000329DE"/>
    <w:rsid w:val="00033371"/>
    <w:rsid w:val="000338AD"/>
    <w:rsid w:val="000339F8"/>
    <w:rsid w:val="00033DC9"/>
    <w:rsid w:val="000340C6"/>
    <w:rsid w:val="00034453"/>
    <w:rsid w:val="00034840"/>
    <w:rsid w:val="00034D3A"/>
    <w:rsid w:val="00035222"/>
    <w:rsid w:val="00035905"/>
    <w:rsid w:val="000361DD"/>
    <w:rsid w:val="00036A01"/>
    <w:rsid w:val="0003751B"/>
    <w:rsid w:val="00040D54"/>
    <w:rsid w:val="00040FBC"/>
    <w:rsid w:val="0004379C"/>
    <w:rsid w:val="00043EBD"/>
    <w:rsid w:val="000441B9"/>
    <w:rsid w:val="00044F67"/>
    <w:rsid w:val="00045034"/>
    <w:rsid w:val="00045319"/>
    <w:rsid w:val="00046282"/>
    <w:rsid w:val="00046301"/>
    <w:rsid w:val="00046EBD"/>
    <w:rsid w:val="000470C9"/>
    <w:rsid w:val="00047389"/>
    <w:rsid w:val="000473C5"/>
    <w:rsid w:val="000477AF"/>
    <w:rsid w:val="0004780C"/>
    <w:rsid w:val="000479E3"/>
    <w:rsid w:val="00050414"/>
    <w:rsid w:val="00050780"/>
    <w:rsid w:val="000508F4"/>
    <w:rsid w:val="00050A03"/>
    <w:rsid w:val="0005182C"/>
    <w:rsid w:val="00051905"/>
    <w:rsid w:val="00052C9B"/>
    <w:rsid w:val="000533AE"/>
    <w:rsid w:val="000536DE"/>
    <w:rsid w:val="000539A1"/>
    <w:rsid w:val="00054044"/>
    <w:rsid w:val="00054212"/>
    <w:rsid w:val="0005450F"/>
    <w:rsid w:val="000549DA"/>
    <w:rsid w:val="00054B29"/>
    <w:rsid w:val="00054FAB"/>
    <w:rsid w:val="00055891"/>
    <w:rsid w:val="00055F86"/>
    <w:rsid w:val="00056D20"/>
    <w:rsid w:val="00056DA4"/>
    <w:rsid w:val="000572C4"/>
    <w:rsid w:val="0006071B"/>
    <w:rsid w:val="00060CC7"/>
    <w:rsid w:val="000610C4"/>
    <w:rsid w:val="00061E64"/>
    <w:rsid w:val="000621A3"/>
    <w:rsid w:val="00062314"/>
    <w:rsid w:val="00062993"/>
    <w:rsid w:val="00062FCE"/>
    <w:rsid w:val="00063257"/>
    <w:rsid w:val="00064C9D"/>
    <w:rsid w:val="00065012"/>
    <w:rsid w:val="00065248"/>
    <w:rsid w:val="000653F8"/>
    <w:rsid w:val="00065D64"/>
    <w:rsid w:val="0006621D"/>
    <w:rsid w:val="0006627D"/>
    <w:rsid w:val="00067327"/>
    <w:rsid w:val="000675C5"/>
    <w:rsid w:val="000679BB"/>
    <w:rsid w:val="000711D7"/>
    <w:rsid w:val="0007130D"/>
    <w:rsid w:val="00071362"/>
    <w:rsid w:val="00071E6D"/>
    <w:rsid w:val="00071EDA"/>
    <w:rsid w:val="000723DD"/>
    <w:rsid w:val="0007269A"/>
    <w:rsid w:val="00072E0F"/>
    <w:rsid w:val="00072EF3"/>
    <w:rsid w:val="00073542"/>
    <w:rsid w:val="00073C88"/>
    <w:rsid w:val="00073F1C"/>
    <w:rsid w:val="000746F3"/>
    <w:rsid w:val="000750D0"/>
    <w:rsid w:val="000757D9"/>
    <w:rsid w:val="00075FE5"/>
    <w:rsid w:val="000769A5"/>
    <w:rsid w:val="00077044"/>
    <w:rsid w:val="00077180"/>
    <w:rsid w:val="000776BD"/>
    <w:rsid w:val="00077E4F"/>
    <w:rsid w:val="00080981"/>
    <w:rsid w:val="00080B22"/>
    <w:rsid w:val="00080B6E"/>
    <w:rsid w:val="00080D96"/>
    <w:rsid w:val="00080E63"/>
    <w:rsid w:val="0008118C"/>
    <w:rsid w:val="00081835"/>
    <w:rsid w:val="00082258"/>
    <w:rsid w:val="000825B1"/>
    <w:rsid w:val="00082F63"/>
    <w:rsid w:val="00083070"/>
    <w:rsid w:val="00083413"/>
    <w:rsid w:val="0008373B"/>
    <w:rsid w:val="0008396E"/>
    <w:rsid w:val="00084302"/>
    <w:rsid w:val="000847C7"/>
    <w:rsid w:val="00085634"/>
    <w:rsid w:val="00085A9F"/>
    <w:rsid w:val="00086010"/>
    <w:rsid w:val="00086737"/>
    <w:rsid w:val="000868E9"/>
    <w:rsid w:val="00086B21"/>
    <w:rsid w:val="0008745E"/>
    <w:rsid w:val="00090034"/>
    <w:rsid w:val="0009043A"/>
    <w:rsid w:val="000909A7"/>
    <w:rsid w:val="00090FAE"/>
    <w:rsid w:val="000914F2"/>
    <w:rsid w:val="0009180B"/>
    <w:rsid w:val="00093188"/>
    <w:rsid w:val="000932F1"/>
    <w:rsid w:val="000935C6"/>
    <w:rsid w:val="000936B0"/>
    <w:rsid w:val="00093CA1"/>
    <w:rsid w:val="00094155"/>
    <w:rsid w:val="00094380"/>
    <w:rsid w:val="00094586"/>
    <w:rsid w:val="00094749"/>
    <w:rsid w:val="00094E2B"/>
    <w:rsid w:val="00096790"/>
    <w:rsid w:val="000969D3"/>
    <w:rsid w:val="00096C3F"/>
    <w:rsid w:val="00096DE3"/>
    <w:rsid w:val="0009701D"/>
    <w:rsid w:val="00097316"/>
    <w:rsid w:val="00097BCD"/>
    <w:rsid w:val="000A0854"/>
    <w:rsid w:val="000A08CC"/>
    <w:rsid w:val="000A0DBA"/>
    <w:rsid w:val="000A0EAE"/>
    <w:rsid w:val="000A0FD3"/>
    <w:rsid w:val="000A1306"/>
    <w:rsid w:val="000A1578"/>
    <w:rsid w:val="000A1A3F"/>
    <w:rsid w:val="000A1C66"/>
    <w:rsid w:val="000A2DDF"/>
    <w:rsid w:val="000A2E60"/>
    <w:rsid w:val="000A2E95"/>
    <w:rsid w:val="000A325A"/>
    <w:rsid w:val="000A3526"/>
    <w:rsid w:val="000A45FE"/>
    <w:rsid w:val="000A47E6"/>
    <w:rsid w:val="000A4AC4"/>
    <w:rsid w:val="000A53F4"/>
    <w:rsid w:val="000A5728"/>
    <w:rsid w:val="000A5995"/>
    <w:rsid w:val="000A6628"/>
    <w:rsid w:val="000A68DD"/>
    <w:rsid w:val="000A79AA"/>
    <w:rsid w:val="000A7B8D"/>
    <w:rsid w:val="000B08F5"/>
    <w:rsid w:val="000B0A40"/>
    <w:rsid w:val="000B15E4"/>
    <w:rsid w:val="000B1E7D"/>
    <w:rsid w:val="000B21F3"/>
    <w:rsid w:val="000B26D7"/>
    <w:rsid w:val="000B34B9"/>
    <w:rsid w:val="000B34FB"/>
    <w:rsid w:val="000B3D2E"/>
    <w:rsid w:val="000B3F62"/>
    <w:rsid w:val="000B46BA"/>
    <w:rsid w:val="000B473E"/>
    <w:rsid w:val="000B4C93"/>
    <w:rsid w:val="000B51FC"/>
    <w:rsid w:val="000B55DC"/>
    <w:rsid w:val="000B55ED"/>
    <w:rsid w:val="000B5C2B"/>
    <w:rsid w:val="000B5E16"/>
    <w:rsid w:val="000B5EC4"/>
    <w:rsid w:val="000B67BB"/>
    <w:rsid w:val="000B6A0D"/>
    <w:rsid w:val="000B71BF"/>
    <w:rsid w:val="000B7289"/>
    <w:rsid w:val="000B7335"/>
    <w:rsid w:val="000B79BE"/>
    <w:rsid w:val="000B7B3F"/>
    <w:rsid w:val="000B7D15"/>
    <w:rsid w:val="000B7D5D"/>
    <w:rsid w:val="000C062E"/>
    <w:rsid w:val="000C097D"/>
    <w:rsid w:val="000C0B8F"/>
    <w:rsid w:val="000C1130"/>
    <w:rsid w:val="000C1E6F"/>
    <w:rsid w:val="000C2EA5"/>
    <w:rsid w:val="000C2F0D"/>
    <w:rsid w:val="000C30EE"/>
    <w:rsid w:val="000C3326"/>
    <w:rsid w:val="000C4967"/>
    <w:rsid w:val="000C5678"/>
    <w:rsid w:val="000C611F"/>
    <w:rsid w:val="000C6586"/>
    <w:rsid w:val="000C6931"/>
    <w:rsid w:val="000C6F5B"/>
    <w:rsid w:val="000C76C1"/>
    <w:rsid w:val="000C7865"/>
    <w:rsid w:val="000C7A23"/>
    <w:rsid w:val="000D058E"/>
    <w:rsid w:val="000D1E20"/>
    <w:rsid w:val="000D2B7E"/>
    <w:rsid w:val="000D3828"/>
    <w:rsid w:val="000D38A6"/>
    <w:rsid w:val="000D491B"/>
    <w:rsid w:val="000D52D2"/>
    <w:rsid w:val="000D5CFF"/>
    <w:rsid w:val="000D5E15"/>
    <w:rsid w:val="000D6206"/>
    <w:rsid w:val="000D6E82"/>
    <w:rsid w:val="000D70BB"/>
    <w:rsid w:val="000D7A39"/>
    <w:rsid w:val="000D7A5C"/>
    <w:rsid w:val="000E01FA"/>
    <w:rsid w:val="000E02DA"/>
    <w:rsid w:val="000E0595"/>
    <w:rsid w:val="000E0CCA"/>
    <w:rsid w:val="000E0EE9"/>
    <w:rsid w:val="000E186E"/>
    <w:rsid w:val="000E1ADA"/>
    <w:rsid w:val="000E2218"/>
    <w:rsid w:val="000E3017"/>
    <w:rsid w:val="000E3134"/>
    <w:rsid w:val="000E3C43"/>
    <w:rsid w:val="000E4519"/>
    <w:rsid w:val="000E5332"/>
    <w:rsid w:val="000E53CD"/>
    <w:rsid w:val="000E5471"/>
    <w:rsid w:val="000E547E"/>
    <w:rsid w:val="000E5697"/>
    <w:rsid w:val="000E65C4"/>
    <w:rsid w:val="000E6856"/>
    <w:rsid w:val="000E68AE"/>
    <w:rsid w:val="000E6EA2"/>
    <w:rsid w:val="000E71F5"/>
    <w:rsid w:val="000E7E27"/>
    <w:rsid w:val="000E7F2E"/>
    <w:rsid w:val="000F0BE2"/>
    <w:rsid w:val="000F0C53"/>
    <w:rsid w:val="000F132B"/>
    <w:rsid w:val="000F1BD8"/>
    <w:rsid w:val="000F1BEB"/>
    <w:rsid w:val="000F34F5"/>
    <w:rsid w:val="000F35D5"/>
    <w:rsid w:val="000F37C0"/>
    <w:rsid w:val="000F4270"/>
    <w:rsid w:val="000F4799"/>
    <w:rsid w:val="000F54ED"/>
    <w:rsid w:val="000F6289"/>
    <w:rsid w:val="000F633D"/>
    <w:rsid w:val="000F67EA"/>
    <w:rsid w:val="000F6E70"/>
    <w:rsid w:val="000F7461"/>
    <w:rsid w:val="000F7740"/>
    <w:rsid w:val="000F7EDC"/>
    <w:rsid w:val="000F7F94"/>
    <w:rsid w:val="001002A3"/>
    <w:rsid w:val="00100878"/>
    <w:rsid w:val="00100CFE"/>
    <w:rsid w:val="00100EB9"/>
    <w:rsid w:val="001014F1"/>
    <w:rsid w:val="00101D55"/>
    <w:rsid w:val="001020A6"/>
    <w:rsid w:val="001022DE"/>
    <w:rsid w:val="00103241"/>
    <w:rsid w:val="00103ADC"/>
    <w:rsid w:val="00103FEA"/>
    <w:rsid w:val="00104088"/>
    <w:rsid w:val="001044C9"/>
    <w:rsid w:val="00104B5E"/>
    <w:rsid w:val="00105122"/>
    <w:rsid w:val="00105542"/>
    <w:rsid w:val="00105642"/>
    <w:rsid w:val="001057B4"/>
    <w:rsid w:val="00105F76"/>
    <w:rsid w:val="001068CA"/>
    <w:rsid w:val="00106DD6"/>
    <w:rsid w:val="001071E0"/>
    <w:rsid w:val="00107728"/>
    <w:rsid w:val="00107836"/>
    <w:rsid w:val="001079EC"/>
    <w:rsid w:val="00107AC5"/>
    <w:rsid w:val="00110415"/>
    <w:rsid w:val="0011059C"/>
    <w:rsid w:val="00110A4E"/>
    <w:rsid w:val="00110EE7"/>
    <w:rsid w:val="0011168C"/>
    <w:rsid w:val="001118F5"/>
    <w:rsid w:val="00111C1D"/>
    <w:rsid w:val="00111E14"/>
    <w:rsid w:val="00111F3A"/>
    <w:rsid w:val="00112138"/>
    <w:rsid w:val="0011358E"/>
    <w:rsid w:val="00113BE1"/>
    <w:rsid w:val="00114152"/>
    <w:rsid w:val="00114956"/>
    <w:rsid w:val="00114C84"/>
    <w:rsid w:val="00114CDA"/>
    <w:rsid w:val="00115334"/>
    <w:rsid w:val="0011559E"/>
    <w:rsid w:val="00115AEC"/>
    <w:rsid w:val="00115EAF"/>
    <w:rsid w:val="00115F37"/>
    <w:rsid w:val="0011662C"/>
    <w:rsid w:val="00116815"/>
    <w:rsid w:val="00116910"/>
    <w:rsid w:val="00116F09"/>
    <w:rsid w:val="001171A4"/>
    <w:rsid w:val="0012014B"/>
    <w:rsid w:val="001205BD"/>
    <w:rsid w:val="001212AA"/>
    <w:rsid w:val="00121543"/>
    <w:rsid w:val="00121E93"/>
    <w:rsid w:val="00122141"/>
    <w:rsid w:val="0012238D"/>
    <w:rsid w:val="0012319C"/>
    <w:rsid w:val="0012321D"/>
    <w:rsid w:val="001233DB"/>
    <w:rsid w:val="001237DF"/>
    <w:rsid w:val="001238C4"/>
    <w:rsid w:val="00123ACD"/>
    <w:rsid w:val="00123B5E"/>
    <w:rsid w:val="00123BFB"/>
    <w:rsid w:val="00124039"/>
    <w:rsid w:val="0012523E"/>
    <w:rsid w:val="0012563B"/>
    <w:rsid w:val="00125681"/>
    <w:rsid w:val="00125BF4"/>
    <w:rsid w:val="00126213"/>
    <w:rsid w:val="00126256"/>
    <w:rsid w:val="00126D1B"/>
    <w:rsid w:val="00127844"/>
    <w:rsid w:val="00127F22"/>
    <w:rsid w:val="0013026D"/>
    <w:rsid w:val="00130304"/>
    <w:rsid w:val="00131233"/>
    <w:rsid w:val="0013124E"/>
    <w:rsid w:val="00131A2F"/>
    <w:rsid w:val="00131B70"/>
    <w:rsid w:val="001328C8"/>
    <w:rsid w:val="001329C7"/>
    <w:rsid w:val="00132ABB"/>
    <w:rsid w:val="00132CFA"/>
    <w:rsid w:val="00133DC4"/>
    <w:rsid w:val="00133EF0"/>
    <w:rsid w:val="0013475E"/>
    <w:rsid w:val="00134793"/>
    <w:rsid w:val="0013496E"/>
    <w:rsid w:val="001349D1"/>
    <w:rsid w:val="00134C42"/>
    <w:rsid w:val="00134E3C"/>
    <w:rsid w:val="001366B6"/>
    <w:rsid w:val="00136A40"/>
    <w:rsid w:val="00136D52"/>
    <w:rsid w:val="00136F3C"/>
    <w:rsid w:val="00137432"/>
    <w:rsid w:val="00137AAF"/>
    <w:rsid w:val="00137CD0"/>
    <w:rsid w:val="00137F41"/>
    <w:rsid w:val="0014044D"/>
    <w:rsid w:val="0014061F"/>
    <w:rsid w:val="001406E9"/>
    <w:rsid w:val="001407AB"/>
    <w:rsid w:val="00141252"/>
    <w:rsid w:val="001418B1"/>
    <w:rsid w:val="00141C8D"/>
    <w:rsid w:val="00141C9A"/>
    <w:rsid w:val="00141F58"/>
    <w:rsid w:val="00142435"/>
    <w:rsid w:val="0014255E"/>
    <w:rsid w:val="0014256F"/>
    <w:rsid w:val="001427CB"/>
    <w:rsid w:val="00142E45"/>
    <w:rsid w:val="001436B0"/>
    <w:rsid w:val="001436FA"/>
    <w:rsid w:val="00143905"/>
    <w:rsid w:val="00143966"/>
    <w:rsid w:val="00143A4D"/>
    <w:rsid w:val="001440BC"/>
    <w:rsid w:val="0014439A"/>
    <w:rsid w:val="00145384"/>
    <w:rsid w:val="00145CEA"/>
    <w:rsid w:val="001460F9"/>
    <w:rsid w:val="00146B2B"/>
    <w:rsid w:val="0014715D"/>
    <w:rsid w:val="0015072D"/>
    <w:rsid w:val="001510DA"/>
    <w:rsid w:val="0015139D"/>
    <w:rsid w:val="0015166C"/>
    <w:rsid w:val="001516F0"/>
    <w:rsid w:val="00151B5A"/>
    <w:rsid w:val="001521B2"/>
    <w:rsid w:val="001522B7"/>
    <w:rsid w:val="00152A58"/>
    <w:rsid w:val="00152D0D"/>
    <w:rsid w:val="001530E5"/>
    <w:rsid w:val="001534E6"/>
    <w:rsid w:val="00154051"/>
    <w:rsid w:val="00154C4D"/>
    <w:rsid w:val="00154D46"/>
    <w:rsid w:val="00154ECB"/>
    <w:rsid w:val="00155CB3"/>
    <w:rsid w:val="0015689C"/>
    <w:rsid w:val="00156E3C"/>
    <w:rsid w:val="001577BC"/>
    <w:rsid w:val="001601D9"/>
    <w:rsid w:val="0016089C"/>
    <w:rsid w:val="00161CD5"/>
    <w:rsid w:val="001639A5"/>
    <w:rsid w:val="00163A71"/>
    <w:rsid w:val="00163BF1"/>
    <w:rsid w:val="0016467A"/>
    <w:rsid w:val="001650F3"/>
    <w:rsid w:val="00165A07"/>
    <w:rsid w:val="00165BB2"/>
    <w:rsid w:val="00166675"/>
    <w:rsid w:val="00166740"/>
    <w:rsid w:val="001671A7"/>
    <w:rsid w:val="001701A7"/>
    <w:rsid w:val="001706BD"/>
    <w:rsid w:val="001719E2"/>
    <w:rsid w:val="00172031"/>
    <w:rsid w:val="00172306"/>
    <w:rsid w:val="00173AF2"/>
    <w:rsid w:val="0017458B"/>
    <w:rsid w:val="00174BC6"/>
    <w:rsid w:val="0017534F"/>
    <w:rsid w:val="001778F8"/>
    <w:rsid w:val="00177CF9"/>
    <w:rsid w:val="00180233"/>
    <w:rsid w:val="001806DF"/>
    <w:rsid w:val="001809A3"/>
    <w:rsid w:val="00180BB5"/>
    <w:rsid w:val="00180ED6"/>
    <w:rsid w:val="00180F0F"/>
    <w:rsid w:val="00181283"/>
    <w:rsid w:val="00181653"/>
    <w:rsid w:val="00181B6B"/>
    <w:rsid w:val="00182478"/>
    <w:rsid w:val="00182950"/>
    <w:rsid w:val="00183D48"/>
    <w:rsid w:val="00183FB1"/>
    <w:rsid w:val="00184498"/>
    <w:rsid w:val="00184727"/>
    <w:rsid w:val="00184998"/>
    <w:rsid w:val="00184FB3"/>
    <w:rsid w:val="0018580E"/>
    <w:rsid w:val="00185B13"/>
    <w:rsid w:val="001860A6"/>
    <w:rsid w:val="001861BA"/>
    <w:rsid w:val="00187632"/>
    <w:rsid w:val="00187B92"/>
    <w:rsid w:val="00191777"/>
    <w:rsid w:val="00191A09"/>
    <w:rsid w:val="00191B59"/>
    <w:rsid w:val="00191FF0"/>
    <w:rsid w:val="001921C0"/>
    <w:rsid w:val="00192AEF"/>
    <w:rsid w:val="00192D9D"/>
    <w:rsid w:val="001932AA"/>
    <w:rsid w:val="001937D8"/>
    <w:rsid w:val="001944D1"/>
    <w:rsid w:val="001947F8"/>
    <w:rsid w:val="00194A5B"/>
    <w:rsid w:val="00194C81"/>
    <w:rsid w:val="00194DBE"/>
    <w:rsid w:val="00195194"/>
    <w:rsid w:val="001956C3"/>
    <w:rsid w:val="001957D3"/>
    <w:rsid w:val="00195858"/>
    <w:rsid w:val="001959B3"/>
    <w:rsid w:val="0019746D"/>
    <w:rsid w:val="001974F9"/>
    <w:rsid w:val="00197F1C"/>
    <w:rsid w:val="00197F85"/>
    <w:rsid w:val="001A00AE"/>
    <w:rsid w:val="001A09AC"/>
    <w:rsid w:val="001A09E1"/>
    <w:rsid w:val="001A0ABB"/>
    <w:rsid w:val="001A1233"/>
    <w:rsid w:val="001A1596"/>
    <w:rsid w:val="001A2573"/>
    <w:rsid w:val="001A3125"/>
    <w:rsid w:val="001A3313"/>
    <w:rsid w:val="001A3706"/>
    <w:rsid w:val="001A3818"/>
    <w:rsid w:val="001A4064"/>
    <w:rsid w:val="001A4921"/>
    <w:rsid w:val="001A4CF1"/>
    <w:rsid w:val="001A585D"/>
    <w:rsid w:val="001A61AB"/>
    <w:rsid w:val="001A6559"/>
    <w:rsid w:val="001A6795"/>
    <w:rsid w:val="001A6C27"/>
    <w:rsid w:val="001A700D"/>
    <w:rsid w:val="001A71BF"/>
    <w:rsid w:val="001A72A6"/>
    <w:rsid w:val="001A7A8A"/>
    <w:rsid w:val="001A7BF5"/>
    <w:rsid w:val="001A7E83"/>
    <w:rsid w:val="001B0431"/>
    <w:rsid w:val="001B0468"/>
    <w:rsid w:val="001B0EA2"/>
    <w:rsid w:val="001B15CF"/>
    <w:rsid w:val="001B196F"/>
    <w:rsid w:val="001B205D"/>
    <w:rsid w:val="001B21A6"/>
    <w:rsid w:val="001B2331"/>
    <w:rsid w:val="001B2822"/>
    <w:rsid w:val="001B35F8"/>
    <w:rsid w:val="001B3C65"/>
    <w:rsid w:val="001B4158"/>
    <w:rsid w:val="001B4227"/>
    <w:rsid w:val="001B4C85"/>
    <w:rsid w:val="001B5749"/>
    <w:rsid w:val="001B58C2"/>
    <w:rsid w:val="001B5F8F"/>
    <w:rsid w:val="001B6821"/>
    <w:rsid w:val="001B6B64"/>
    <w:rsid w:val="001B6EDA"/>
    <w:rsid w:val="001B7098"/>
    <w:rsid w:val="001B77CC"/>
    <w:rsid w:val="001B7B30"/>
    <w:rsid w:val="001C2242"/>
    <w:rsid w:val="001C2C26"/>
    <w:rsid w:val="001C3700"/>
    <w:rsid w:val="001C3761"/>
    <w:rsid w:val="001C3BBE"/>
    <w:rsid w:val="001C3D65"/>
    <w:rsid w:val="001C3F82"/>
    <w:rsid w:val="001C4420"/>
    <w:rsid w:val="001C4727"/>
    <w:rsid w:val="001C4740"/>
    <w:rsid w:val="001C4C03"/>
    <w:rsid w:val="001C505F"/>
    <w:rsid w:val="001C5DF2"/>
    <w:rsid w:val="001C6061"/>
    <w:rsid w:val="001C7B92"/>
    <w:rsid w:val="001D0396"/>
    <w:rsid w:val="001D0524"/>
    <w:rsid w:val="001D0895"/>
    <w:rsid w:val="001D0E17"/>
    <w:rsid w:val="001D11D0"/>
    <w:rsid w:val="001D1832"/>
    <w:rsid w:val="001D1B19"/>
    <w:rsid w:val="001D2414"/>
    <w:rsid w:val="001D27C0"/>
    <w:rsid w:val="001D290A"/>
    <w:rsid w:val="001D2B62"/>
    <w:rsid w:val="001D3040"/>
    <w:rsid w:val="001D3270"/>
    <w:rsid w:val="001D36B4"/>
    <w:rsid w:val="001D3CE6"/>
    <w:rsid w:val="001D45BA"/>
    <w:rsid w:val="001D4600"/>
    <w:rsid w:val="001D4758"/>
    <w:rsid w:val="001D4871"/>
    <w:rsid w:val="001D4A5C"/>
    <w:rsid w:val="001D4E34"/>
    <w:rsid w:val="001D574F"/>
    <w:rsid w:val="001D5C10"/>
    <w:rsid w:val="001D5EC9"/>
    <w:rsid w:val="001D65CE"/>
    <w:rsid w:val="001D6AE0"/>
    <w:rsid w:val="001D6E01"/>
    <w:rsid w:val="001D72D9"/>
    <w:rsid w:val="001D798E"/>
    <w:rsid w:val="001D7AC3"/>
    <w:rsid w:val="001E03E3"/>
    <w:rsid w:val="001E0BF9"/>
    <w:rsid w:val="001E0E91"/>
    <w:rsid w:val="001E117F"/>
    <w:rsid w:val="001E19D3"/>
    <w:rsid w:val="001E1E0A"/>
    <w:rsid w:val="001E24C2"/>
    <w:rsid w:val="001E36B4"/>
    <w:rsid w:val="001E41BE"/>
    <w:rsid w:val="001E4724"/>
    <w:rsid w:val="001E4C46"/>
    <w:rsid w:val="001E5B76"/>
    <w:rsid w:val="001E5E80"/>
    <w:rsid w:val="001E5F54"/>
    <w:rsid w:val="001E6073"/>
    <w:rsid w:val="001E642E"/>
    <w:rsid w:val="001E66D4"/>
    <w:rsid w:val="001E6833"/>
    <w:rsid w:val="001E6BE5"/>
    <w:rsid w:val="001E6BF2"/>
    <w:rsid w:val="001E7386"/>
    <w:rsid w:val="001E75AE"/>
    <w:rsid w:val="001E7CFF"/>
    <w:rsid w:val="001F01C1"/>
    <w:rsid w:val="001F01D8"/>
    <w:rsid w:val="001F01EF"/>
    <w:rsid w:val="001F04D4"/>
    <w:rsid w:val="001F0B8B"/>
    <w:rsid w:val="001F0EDF"/>
    <w:rsid w:val="001F1129"/>
    <w:rsid w:val="001F1457"/>
    <w:rsid w:val="001F152E"/>
    <w:rsid w:val="001F1B59"/>
    <w:rsid w:val="001F1EF5"/>
    <w:rsid w:val="001F2343"/>
    <w:rsid w:val="001F26EA"/>
    <w:rsid w:val="001F2B76"/>
    <w:rsid w:val="001F3924"/>
    <w:rsid w:val="001F4AF6"/>
    <w:rsid w:val="001F4C1C"/>
    <w:rsid w:val="001F4FF4"/>
    <w:rsid w:val="001F5020"/>
    <w:rsid w:val="001F579A"/>
    <w:rsid w:val="001F57F7"/>
    <w:rsid w:val="001F6224"/>
    <w:rsid w:val="001F6870"/>
    <w:rsid w:val="001F6C4D"/>
    <w:rsid w:val="001F7827"/>
    <w:rsid w:val="001F799F"/>
    <w:rsid w:val="002001B7"/>
    <w:rsid w:val="0020027C"/>
    <w:rsid w:val="00200F91"/>
    <w:rsid w:val="00200FBE"/>
    <w:rsid w:val="0020135E"/>
    <w:rsid w:val="0020220A"/>
    <w:rsid w:val="00202940"/>
    <w:rsid w:val="002032CD"/>
    <w:rsid w:val="002050DB"/>
    <w:rsid w:val="0020544F"/>
    <w:rsid w:val="002054B9"/>
    <w:rsid w:val="00205997"/>
    <w:rsid w:val="00205A38"/>
    <w:rsid w:val="00205C46"/>
    <w:rsid w:val="00205E23"/>
    <w:rsid w:val="002063ED"/>
    <w:rsid w:val="00206C84"/>
    <w:rsid w:val="002077D2"/>
    <w:rsid w:val="002078C5"/>
    <w:rsid w:val="002079FE"/>
    <w:rsid w:val="00210A14"/>
    <w:rsid w:val="00211E3D"/>
    <w:rsid w:val="0021202C"/>
    <w:rsid w:val="002129B6"/>
    <w:rsid w:val="00213396"/>
    <w:rsid w:val="00213401"/>
    <w:rsid w:val="002136D0"/>
    <w:rsid w:val="002136E2"/>
    <w:rsid w:val="00214DF6"/>
    <w:rsid w:val="0021561C"/>
    <w:rsid w:val="002157B0"/>
    <w:rsid w:val="0021589D"/>
    <w:rsid w:val="00215B81"/>
    <w:rsid w:val="002160A8"/>
    <w:rsid w:val="00216519"/>
    <w:rsid w:val="00216880"/>
    <w:rsid w:val="00216BFC"/>
    <w:rsid w:val="00216F72"/>
    <w:rsid w:val="00217480"/>
    <w:rsid w:val="00217A05"/>
    <w:rsid w:val="0022001A"/>
    <w:rsid w:val="0022019F"/>
    <w:rsid w:val="00220890"/>
    <w:rsid w:val="00220990"/>
    <w:rsid w:val="00220AEA"/>
    <w:rsid w:val="00220F4C"/>
    <w:rsid w:val="00221070"/>
    <w:rsid w:val="0022116F"/>
    <w:rsid w:val="00221798"/>
    <w:rsid w:val="00221950"/>
    <w:rsid w:val="00221BD0"/>
    <w:rsid w:val="00221D2F"/>
    <w:rsid w:val="00221D85"/>
    <w:rsid w:val="00222E34"/>
    <w:rsid w:val="00223257"/>
    <w:rsid w:val="00223507"/>
    <w:rsid w:val="00223564"/>
    <w:rsid w:val="00223D3D"/>
    <w:rsid w:val="00224883"/>
    <w:rsid w:val="00224D05"/>
    <w:rsid w:val="00224EF2"/>
    <w:rsid w:val="00225106"/>
    <w:rsid w:val="002257B8"/>
    <w:rsid w:val="002257FE"/>
    <w:rsid w:val="00226066"/>
    <w:rsid w:val="002264AA"/>
    <w:rsid w:val="002265E5"/>
    <w:rsid w:val="002267CD"/>
    <w:rsid w:val="00226B7E"/>
    <w:rsid w:val="00226FC0"/>
    <w:rsid w:val="00227039"/>
    <w:rsid w:val="002270A0"/>
    <w:rsid w:val="002270F9"/>
    <w:rsid w:val="002271E2"/>
    <w:rsid w:val="0023049B"/>
    <w:rsid w:val="00230554"/>
    <w:rsid w:val="00230661"/>
    <w:rsid w:val="00230C16"/>
    <w:rsid w:val="00231B10"/>
    <w:rsid w:val="00232085"/>
    <w:rsid w:val="00232DA7"/>
    <w:rsid w:val="00233564"/>
    <w:rsid w:val="00233DFA"/>
    <w:rsid w:val="00233FF4"/>
    <w:rsid w:val="00233FFA"/>
    <w:rsid w:val="00234110"/>
    <w:rsid w:val="00234267"/>
    <w:rsid w:val="002342B9"/>
    <w:rsid w:val="0023517C"/>
    <w:rsid w:val="00235736"/>
    <w:rsid w:val="00235FF1"/>
    <w:rsid w:val="00236829"/>
    <w:rsid w:val="00236ED9"/>
    <w:rsid w:val="00236F7A"/>
    <w:rsid w:val="00240432"/>
    <w:rsid w:val="00240AFD"/>
    <w:rsid w:val="00240C2A"/>
    <w:rsid w:val="00240E88"/>
    <w:rsid w:val="00241F8B"/>
    <w:rsid w:val="00242A6D"/>
    <w:rsid w:val="00242C4F"/>
    <w:rsid w:val="0024371E"/>
    <w:rsid w:val="00243B51"/>
    <w:rsid w:val="002442A4"/>
    <w:rsid w:val="00244A35"/>
    <w:rsid w:val="00244A7F"/>
    <w:rsid w:val="00244F9D"/>
    <w:rsid w:val="0024504A"/>
    <w:rsid w:val="00245117"/>
    <w:rsid w:val="00245146"/>
    <w:rsid w:val="00245389"/>
    <w:rsid w:val="002457B6"/>
    <w:rsid w:val="00245B5A"/>
    <w:rsid w:val="00245DD2"/>
    <w:rsid w:val="00246807"/>
    <w:rsid w:val="00246EDB"/>
    <w:rsid w:val="0024709B"/>
    <w:rsid w:val="00247965"/>
    <w:rsid w:val="00250952"/>
    <w:rsid w:val="00250CC5"/>
    <w:rsid w:val="00251029"/>
    <w:rsid w:val="00251305"/>
    <w:rsid w:val="002516CD"/>
    <w:rsid w:val="002523C6"/>
    <w:rsid w:val="00252441"/>
    <w:rsid w:val="0025246F"/>
    <w:rsid w:val="0025276E"/>
    <w:rsid w:val="00252E91"/>
    <w:rsid w:val="0025394F"/>
    <w:rsid w:val="00253A5A"/>
    <w:rsid w:val="00254161"/>
    <w:rsid w:val="00254D39"/>
    <w:rsid w:val="002554B5"/>
    <w:rsid w:val="00255A78"/>
    <w:rsid w:val="00255C82"/>
    <w:rsid w:val="00256886"/>
    <w:rsid w:val="0026020D"/>
    <w:rsid w:val="002604D8"/>
    <w:rsid w:val="00260546"/>
    <w:rsid w:val="00260BBE"/>
    <w:rsid w:val="00260EB7"/>
    <w:rsid w:val="00261795"/>
    <w:rsid w:val="00261C2C"/>
    <w:rsid w:val="00262337"/>
    <w:rsid w:val="002623BC"/>
    <w:rsid w:val="00262D13"/>
    <w:rsid w:val="00262D6E"/>
    <w:rsid w:val="00263116"/>
    <w:rsid w:val="00263226"/>
    <w:rsid w:val="002640E7"/>
    <w:rsid w:val="0026451F"/>
    <w:rsid w:val="00264887"/>
    <w:rsid w:val="00264AAB"/>
    <w:rsid w:val="00265406"/>
    <w:rsid w:val="00265951"/>
    <w:rsid w:val="00265CE8"/>
    <w:rsid w:val="002666BE"/>
    <w:rsid w:val="00267323"/>
    <w:rsid w:val="00267BD0"/>
    <w:rsid w:val="002701A2"/>
    <w:rsid w:val="00270389"/>
    <w:rsid w:val="002705B2"/>
    <w:rsid w:val="002709A2"/>
    <w:rsid w:val="002710A4"/>
    <w:rsid w:val="00271874"/>
    <w:rsid w:val="00271FBE"/>
    <w:rsid w:val="0027215D"/>
    <w:rsid w:val="00272409"/>
    <w:rsid w:val="0027257F"/>
    <w:rsid w:val="002729FE"/>
    <w:rsid w:val="00272CC7"/>
    <w:rsid w:val="00272E6B"/>
    <w:rsid w:val="00273AF0"/>
    <w:rsid w:val="00273E93"/>
    <w:rsid w:val="00274A92"/>
    <w:rsid w:val="0027565D"/>
    <w:rsid w:val="002756DC"/>
    <w:rsid w:val="00275BEC"/>
    <w:rsid w:val="00275EA0"/>
    <w:rsid w:val="00275F0E"/>
    <w:rsid w:val="0027601D"/>
    <w:rsid w:val="00276A74"/>
    <w:rsid w:val="00276F86"/>
    <w:rsid w:val="00277CF6"/>
    <w:rsid w:val="00280331"/>
    <w:rsid w:val="00280FBA"/>
    <w:rsid w:val="002810E8"/>
    <w:rsid w:val="002816FD"/>
    <w:rsid w:val="0028174B"/>
    <w:rsid w:val="00281975"/>
    <w:rsid w:val="0028230E"/>
    <w:rsid w:val="00282A21"/>
    <w:rsid w:val="00282A5C"/>
    <w:rsid w:val="00282E75"/>
    <w:rsid w:val="0028300F"/>
    <w:rsid w:val="002832C7"/>
    <w:rsid w:val="00283597"/>
    <w:rsid w:val="002835F9"/>
    <w:rsid w:val="00283725"/>
    <w:rsid w:val="00283DC3"/>
    <w:rsid w:val="00283F63"/>
    <w:rsid w:val="00284703"/>
    <w:rsid w:val="00284928"/>
    <w:rsid w:val="00285DAE"/>
    <w:rsid w:val="0028617D"/>
    <w:rsid w:val="002867A5"/>
    <w:rsid w:val="00286A49"/>
    <w:rsid w:val="002872CA"/>
    <w:rsid w:val="00287913"/>
    <w:rsid w:val="00287A56"/>
    <w:rsid w:val="00287A8C"/>
    <w:rsid w:val="002904EB"/>
    <w:rsid w:val="002905F3"/>
    <w:rsid w:val="00290C77"/>
    <w:rsid w:val="00290F48"/>
    <w:rsid w:val="00291A65"/>
    <w:rsid w:val="00292324"/>
    <w:rsid w:val="0029238E"/>
    <w:rsid w:val="00292856"/>
    <w:rsid w:val="00292D35"/>
    <w:rsid w:val="00293823"/>
    <w:rsid w:val="00293837"/>
    <w:rsid w:val="00293CBD"/>
    <w:rsid w:val="00293DCA"/>
    <w:rsid w:val="002947DF"/>
    <w:rsid w:val="0029513E"/>
    <w:rsid w:val="002957D7"/>
    <w:rsid w:val="00295968"/>
    <w:rsid w:val="002959A4"/>
    <w:rsid w:val="00295CEF"/>
    <w:rsid w:val="0029658B"/>
    <w:rsid w:val="00296622"/>
    <w:rsid w:val="0029663C"/>
    <w:rsid w:val="00296988"/>
    <w:rsid w:val="00296E29"/>
    <w:rsid w:val="00297265"/>
    <w:rsid w:val="002972F7"/>
    <w:rsid w:val="002A02CC"/>
    <w:rsid w:val="002A059A"/>
    <w:rsid w:val="002A0BED"/>
    <w:rsid w:val="002A1294"/>
    <w:rsid w:val="002A13DA"/>
    <w:rsid w:val="002A1F87"/>
    <w:rsid w:val="002A1F9A"/>
    <w:rsid w:val="002A2194"/>
    <w:rsid w:val="002A2371"/>
    <w:rsid w:val="002A2A3C"/>
    <w:rsid w:val="002A2C7D"/>
    <w:rsid w:val="002A3D3D"/>
    <w:rsid w:val="002A4214"/>
    <w:rsid w:val="002A459E"/>
    <w:rsid w:val="002A4815"/>
    <w:rsid w:val="002A646A"/>
    <w:rsid w:val="002A689D"/>
    <w:rsid w:val="002A6A43"/>
    <w:rsid w:val="002A71B9"/>
    <w:rsid w:val="002A7342"/>
    <w:rsid w:val="002A738D"/>
    <w:rsid w:val="002A7444"/>
    <w:rsid w:val="002A7B16"/>
    <w:rsid w:val="002A7DE5"/>
    <w:rsid w:val="002A7E93"/>
    <w:rsid w:val="002B0F95"/>
    <w:rsid w:val="002B1249"/>
    <w:rsid w:val="002B1481"/>
    <w:rsid w:val="002B1B45"/>
    <w:rsid w:val="002B1BA3"/>
    <w:rsid w:val="002B1BEF"/>
    <w:rsid w:val="002B271E"/>
    <w:rsid w:val="002B29E2"/>
    <w:rsid w:val="002B3046"/>
    <w:rsid w:val="002B3AA4"/>
    <w:rsid w:val="002B3B65"/>
    <w:rsid w:val="002B3BEF"/>
    <w:rsid w:val="002B3D05"/>
    <w:rsid w:val="002B40A1"/>
    <w:rsid w:val="002B4845"/>
    <w:rsid w:val="002B4D3F"/>
    <w:rsid w:val="002B4E9E"/>
    <w:rsid w:val="002B532C"/>
    <w:rsid w:val="002B5794"/>
    <w:rsid w:val="002B6259"/>
    <w:rsid w:val="002B72F1"/>
    <w:rsid w:val="002B74C2"/>
    <w:rsid w:val="002B757F"/>
    <w:rsid w:val="002B76B8"/>
    <w:rsid w:val="002C03D4"/>
    <w:rsid w:val="002C1298"/>
    <w:rsid w:val="002C1426"/>
    <w:rsid w:val="002C143E"/>
    <w:rsid w:val="002C1A1D"/>
    <w:rsid w:val="002C1B03"/>
    <w:rsid w:val="002C3819"/>
    <w:rsid w:val="002C3C54"/>
    <w:rsid w:val="002C3E03"/>
    <w:rsid w:val="002C42F8"/>
    <w:rsid w:val="002C430D"/>
    <w:rsid w:val="002C45ED"/>
    <w:rsid w:val="002C45FB"/>
    <w:rsid w:val="002C50F8"/>
    <w:rsid w:val="002C5103"/>
    <w:rsid w:val="002C533D"/>
    <w:rsid w:val="002C584C"/>
    <w:rsid w:val="002C6CD9"/>
    <w:rsid w:val="002C6F01"/>
    <w:rsid w:val="002C706C"/>
    <w:rsid w:val="002C7F23"/>
    <w:rsid w:val="002D0B38"/>
    <w:rsid w:val="002D0C13"/>
    <w:rsid w:val="002D0E8A"/>
    <w:rsid w:val="002D0F8E"/>
    <w:rsid w:val="002D1058"/>
    <w:rsid w:val="002D1266"/>
    <w:rsid w:val="002D1CA1"/>
    <w:rsid w:val="002D2066"/>
    <w:rsid w:val="002D2711"/>
    <w:rsid w:val="002D2A82"/>
    <w:rsid w:val="002D2CE5"/>
    <w:rsid w:val="002D3C98"/>
    <w:rsid w:val="002D518E"/>
    <w:rsid w:val="002D5328"/>
    <w:rsid w:val="002D59C7"/>
    <w:rsid w:val="002D63B2"/>
    <w:rsid w:val="002D6996"/>
    <w:rsid w:val="002D6BEA"/>
    <w:rsid w:val="002D7441"/>
    <w:rsid w:val="002D7973"/>
    <w:rsid w:val="002E048D"/>
    <w:rsid w:val="002E134E"/>
    <w:rsid w:val="002E1513"/>
    <w:rsid w:val="002E1916"/>
    <w:rsid w:val="002E1A80"/>
    <w:rsid w:val="002E2934"/>
    <w:rsid w:val="002E347E"/>
    <w:rsid w:val="002E3702"/>
    <w:rsid w:val="002E3EAE"/>
    <w:rsid w:val="002E503F"/>
    <w:rsid w:val="002E5179"/>
    <w:rsid w:val="002E54B2"/>
    <w:rsid w:val="002E571F"/>
    <w:rsid w:val="002E58B1"/>
    <w:rsid w:val="002E6889"/>
    <w:rsid w:val="002E6C00"/>
    <w:rsid w:val="002E6D96"/>
    <w:rsid w:val="002E6EA6"/>
    <w:rsid w:val="002E7E17"/>
    <w:rsid w:val="002F0001"/>
    <w:rsid w:val="002F01C5"/>
    <w:rsid w:val="002F035F"/>
    <w:rsid w:val="002F04ED"/>
    <w:rsid w:val="002F075C"/>
    <w:rsid w:val="002F18F2"/>
    <w:rsid w:val="002F1C5C"/>
    <w:rsid w:val="002F1E8E"/>
    <w:rsid w:val="002F2075"/>
    <w:rsid w:val="002F20D4"/>
    <w:rsid w:val="002F20E2"/>
    <w:rsid w:val="002F2314"/>
    <w:rsid w:val="002F246A"/>
    <w:rsid w:val="002F2A98"/>
    <w:rsid w:val="002F37F9"/>
    <w:rsid w:val="002F3E52"/>
    <w:rsid w:val="002F4D8E"/>
    <w:rsid w:val="002F4E23"/>
    <w:rsid w:val="002F4F8F"/>
    <w:rsid w:val="002F59DC"/>
    <w:rsid w:val="002F6395"/>
    <w:rsid w:val="002F64C2"/>
    <w:rsid w:val="002F654A"/>
    <w:rsid w:val="002F79C8"/>
    <w:rsid w:val="00300220"/>
    <w:rsid w:val="00300AA0"/>
    <w:rsid w:val="00301425"/>
    <w:rsid w:val="003016BC"/>
    <w:rsid w:val="00301900"/>
    <w:rsid w:val="00301E93"/>
    <w:rsid w:val="0030272A"/>
    <w:rsid w:val="00303DA8"/>
    <w:rsid w:val="00305A2D"/>
    <w:rsid w:val="00305AAA"/>
    <w:rsid w:val="00305B3A"/>
    <w:rsid w:val="00305DFB"/>
    <w:rsid w:val="0030631E"/>
    <w:rsid w:val="0030652D"/>
    <w:rsid w:val="003069F5"/>
    <w:rsid w:val="00307933"/>
    <w:rsid w:val="003104DF"/>
    <w:rsid w:val="00310A7E"/>
    <w:rsid w:val="00310EF8"/>
    <w:rsid w:val="00311329"/>
    <w:rsid w:val="00311419"/>
    <w:rsid w:val="00311601"/>
    <w:rsid w:val="003118FF"/>
    <w:rsid w:val="0031191A"/>
    <w:rsid w:val="00311D66"/>
    <w:rsid w:val="00311DF1"/>
    <w:rsid w:val="003123B9"/>
    <w:rsid w:val="003124B8"/>
    <w:rsid w:val="003125D4"/>
    <w:rsid w:val="00312745"/>
    <w:rsid w:val="00312D59"/>
    <w:rsid w:val="00312E45"/>
    <w:rsid w:val="00314BB5"/>
    <w:rsid w:val="00314C68"/>
    <w:rsid w:val="003152A6"/>
    <w:rsid w:val="003152AD"/>
    <w:rsid w:val="003152F5"/>
    <w:rsid w:val="00315C37"/>
    <w:rsid w:val="00315F00"/>
    <w:rsid w:val="00316682"/>
    <w:rsid w:val="003168F8"/>
    <w:rsid w:val="003169E4"/>
    <w:rsid w:val="00316DC8"/>
    <w:rsid w:val="00316EDB"/>
    <w:rsid w:val="0031702B"/>
    <w:rsid w:val="00317033"/>
    <w:rsid w:val="00317077"/>
    <w:rsid w:val="003171DC"/>
    <w:rsid w:val="00317302"/>
    <w:rsid w:val="003174AD"/>
    <w:rsid w:val="00317739"/>
    <w:rsid w:val="003177BF"/>
    <w:rsid w:val="00317AB5"/>
    <w:rsid w:val="00317FC7"/>
    <w:rsid w:val="00320F74"/>
    <w:rsid w:val="00321273"/>
    <w:rsid w:val="00321585"/>
    <w:rsid w:val="003216E5"/>
    <w:rsid w:val="003219AC"/>
    <w:rsid w:val="00322061"/>
    <w:rsid w:val="00322CC5"/>
    <w:rsid w:val="00323429"/>
    <w:rsid w:val="003236E4"/>
    <w:rsid w:val="00323920"/>
    <w:rsid w:val="00323EA8"/>
    <w:rsid w:val="003243E7"/>
    <w:rsid w:val="00324621"/>
    <w:rsid w:val="003246DC"/>
    <w:rsid w:val="003247A5"/>
    <w:rsid w:val="0032498E"/>
    <w:rsid w:val="00324CAA"/>
    <w:rsid w:val="00325B1F"/>
    <w:rsid w:val="003266D6"/>
    <w:rsid w:val="00326BCC"/>
    <w:rsid w:val="00326FAA"/>
    <w:rsid w:val="003270BE"/>
    <w:rsid w:val="003271E3"/>
    <w:rsid w:val="00327296"/>
    <w:rsid w:val="003274BE"/>
    <w:rsid w:val="003279D7"/>
    <w:rsid w:val="00327CFB"/>
    <w:rsid w:val="003306DD"/>
    <w:rsid w:val="00331BC4"/>
    <w:rsid w:val="00331E8B"/>
    <w:rsid w:val="0033258B"/>
    <w:rsid w:val="00332A2C"/>
    <w:rsid w:val="0033301C"/>
    <w:rsid w:val="00333207"/>
    <w:rsid w:val="0033382A"/>
    <w:rsid w:val="00333E58"/>
    <w:rsid w:val="003345DF"/>
    <w:rsid w:val="00335343"/>
    <w:rsid w:val="00335609"/>
    <w:rsid w:val="003356A2"/>
    <w:rsid w:val="003358FA"/>
    <w:rsid w:val="0033597C"/>
    <w:rsid w:val="00335B0B"/>
    <w:rsid w:val="00335F1D"/>
    <w:rsid w:val="0033627C"/>
    <w:rsid w:val="00340279"/>
    <w:rsid w:val="00340BB5"/>
    <w:rsid w:val="00340BF6"/>
    <w:rsid w:val="00341279"/>
    <w:rsid w:val="00341307"/>
    <w:rsid w:val="003416C9"/>
    <w:rsid w:val="003419DA"/>
    <w:rsid w:val="00341AAA"/>
    <w:rsid w:val="00341C6B"/>
    <w:rsid w:val="00341F8B"/>
    <w:rsid w:val="00342231"/>
    <w:rsid w:val="003423BB"/>
    <w:rsid w:val="003425C7"/>
    <w:rsid w:val="00343C57"/>
    <w:rsid w:val="00344F90"/>
    <w:rsid w:val="00345184"/>
    <w:rsid w:val="0034592A"/>
    <w:rsid w:val="00345EF9"/>
    <w:rsid w:val="00346298"/>
    <w:rsid w:val="0034671C"/>
    <w:rsid w:val="003469CB"/>
    <w:rsid w:val="00347090"/>
    <w:rsid w:val="003473CB"/>
    <w:rsid w:val="00347A9E"/>
    <w:rsid w:val="00350058"/>
    <w:rsid w:val="0035011B"/>
    <w:rsid w:val="0035030B"/>
    <w:rsid w:val="003515C1"/>
    <w:rsid w:val="003518DC"/>
    <w:rsid w:val="00351D4C"/>
    <w:rsid w:val="00352017"/>
    <w:rsid w:val="0035247C"/>
    <w:rsid w:val="00352E80"/>
    <w:rsid w:val="003530F3"/>
    <w:rsid w:val="00353938"/>
    <w:rsid w:val="00353F55"/>
    <w:rsid w:val="00353F6D"/>
    <w:rsid w:val="00354B0B"/>
    <w:rsid w:val="00354BEC"/>
    <w:rsid w:val="00354E45"/>
    <w:rsid w:val="003551F1"/>
    <w:rsid w:val="003555F9"/>
    <w:rsid w:val="00355EA1"/>
    <w:rsid w:val="0035617A"/>
    <w:rsid w:val="00357614"/>
    <w:rsid w:val="00357C70"/>
    <w:rsid w:val="003602F1"/>
    <w:rsid w:val="0036086B"/>
    <w:rsid w:val="00360C92"/>
    <w:rsid w:val="003611E6"/>
    <w:rsid w:val="0036136E"/>
    <w:rsid w:val="00361827"/>
    <w:rsid w:val="003620D0"/>
    <w:rsid w:val="003632C2"/>
    <w:rsid w:val="0036345D"/>
    <w:rsid w:val="003635D6"/>
    <w:rsid w:val="00363726"/>
    <w:rsid w:val="00363BAE"/>
    <w:rsid w:val="003640AC"/>
    <w:rsid w:val="0036524F"/>
    <w:rsid w:val="00365880"/>
    <w:rsid w:val="003658BB"/>
    <w:rsid w:val="0036740C"/>
    <w:rsid w:val="00367AA8"/>
    <w:rsid w:val="00367EA8"/>
    <w:rsid w:val="003701AE"/>
    <w:rsid w:val="00370CFE"/>
    <w:rsid w:val="00370DCE"/>
    <w:rsid w:val="00370F25"/>
    <w:rsid w:val="003710BE"/>
    <w:rsid w:val="00371899"/>
    <w:rsid w:val="00373327"/>
    <w:rsid w:val="00373491"/>
    <w:rsid w:val="0037355A"/>
    <w:rsid w:val="00374DDC"/>
    <w:rsid w:val="00375925"/>
    <w:rsid w:val="003759BE"/>
    <w:rsid w:val="00375AC3"/>
    <w:rsid w:val="00375DA4"/>
    <w:rsid w:val="00375E7F"/>
    <w:rsid w:val="0037655A"/>
    <w:rsid w:val="00376617"/>
    <w:rsid w:val="003770AE"/>
    <w:rsid w:val="003770E8"/>
    <w:rsid w:val="0037728A"/>
    <w:rsid w:val="003774B0"/>
    <w:rsid w:val="00377849"/>
    <w:rsid w:val="00377B36"/>
    <w:rsid w:val="00377C52"/>
    <w:rsid w:val="003801BA"/>
    <w:rsid w:val="00380562"/>
    <w:rsid w:val="0038133E"/>
    <w:rsid w:val="00381978"/>
    <w:rsid w:val="00381E4D"/>
    <w:rsid w:val="00382107"/>
    <w:rsid w:val="00382415"/>
    <w:rsid w:val="003824D8"/>
    <w:rsid w:val="00382B82"/>
    <w:rsid w:val="003832F1"/>
    <w:rsid w:val="003838A5"/>
    <w:rsid w:val="00383CA0"/>
    <w:rsid w:val="0038408D"/>
    <w:rsid w:val="00384AE1"/>
    <w:rsid w:val="003853B2"/>
    <w:rsid w:val="00385976"/>
    <w:rsid w:val="00385E40"/>
    <w:rsid w:val="0038688D"/>
    <w:rsid w:val="00387575"/>
    <w:rsid w:val="00387DFE"/>
    <w:rsid w:val="00390560"/>
    <w:rsid w:val="00390CB6"/>
    <w:rsid w:val="00390D37"/>
    <w:rsid w:val="00390F22"/>
    <w:rsid w:val="00390FB3"/>
    <w:rsid w:val="00391287"/>
    <w:rsid w:val="00392CB5"/>
    <w:rsid w:val="00393457"/>
    <w:rsid w:val="00393704"/>
    <w:rsid w:val="0039447B"/>
    <w:rsid w:val="00394687"/>
    <w:rsid w:val="00394B4E"/>
    <w:rsid w:val="00394FCE"/>
    <w:rsid w:val="0039597F"/>
    <w:rsid w:val="00395A13"/>
    <w:rsid w:val="00395D9A"/>
    <w:rsid w:val="003964A8"/>
    <w:rsid w:val="00396899"/>
    <w:rsid w:val="00396F7A"/>
    <w:rsid w:val="0039776A"/>
    <w:rsid w:val="003978CE"/>
    <w:rsid w:val="00397A46"/>
    <w:rsid w:val="00397CE9"/>
    <w:rsid w:val="003A043B"/>
    <w:rsid w:val="003A0EF9"/>
    <w:rsid w:val="003A0F24"/>
    <w:rsid w:val="003A14CE"/>
    <w:rsid w:val="003A161E"/>
    <w:rsid w:val="003A17D2"/>
    <w:rsid w:val="003A1A06"/>
    <w:rsid w:val="003A1A66"/>
    <w:rsid w:val="003A1AF1"/>
    <w:rsid w:val="003A1C88"/>
    <w:rsid w:val="003A27C2"/>
    <w:rsid w:val="003A2EF6"/>
    <w:rsid w:val="003A4C93"/>
    <w:rsid w:val="003A4E48"/>
    <w:rsid w:val="003A701B"/>
    <w:rsid w:val="003A7599"/>
    <w:rsid w:val="003A75ED"/>
    <w:rsid w:val="003A7A1C"/>
    <w:rsid w:val="003A7BF5"/>
    <w:rsid w:val="003A7CFF"/>
    <w:rsid w:val="003B077D"/>
    <w:rsid w:val="003B0E62"/>
    <w:rsid w:val="003B0FBE"/>
    <w:rsid w:val="003B177B"/>
    <w:rsid w:val="003B17AC"/>
    <w:rsid w:val="003B1A12"/>
    <w:rsid w:val="003B1D6F"/>
    <w:rsid w:val="003B280C"/>
    <w:rsid w:val="003B2978"/>
    <w:rsid w:val="003B2A42"/>
    <w:rsid w:val="003B2AE3"/>
    <w:rsid w:val="003B2D22"/>
    <w:rsid w:val="003B369B"/>
    <w:rsid w:val="003B3929"/>
    <w:rsid w:val="003B40DD"/>
    <w:rsid w:val="003B4B5C"/>
    <w:rsid w:val="003B4E0C"/>
    <w:rsid w:val="003B4F4D"/>
    <w:rsid w:val="003B5987"/>
    <w:rsid w:val="003B5D73"/>
    <w:rsid w:val="003B5E3B"/>
    <w:rsid w:val="003B62FE"/>
    <w:rsid w:val="003B6968"/>
    <w:rsid w:val="003B6A0C"/>
    <w:rsid w:val="003B70B9"/>
    <w:rsid w:val="003B7218"/>
    <w:rsid w:val="003B77BF"/>
    <w:rsid w:val="003B7A21"/>
    <w:rsid w:val="003B7ACB"/>
    <w:rsid w:val="003B7B62"/>
    <w:rsid w:val="003B7C8E"/>
    <w:rsid w:val="003B7E28"/>
    <w:rsid w:val="003B7F84"/>
    <w:rsid w:val="003C0D05"/>
    <w:rsid w:val="003C1041"/>
    <w:rsid w:val="003C166A"/>
    <w:rsid w:val="003C1827"/>
    <w:rsid w:val="003C1A34"/>
    <w:rsid w:val="003C2135"/>
    <w:rsid w:val="003C27BC"/>
    <w:rsid w:val="003C3546"/>
    <w:rsid w:val="003C3656"/>
    <w:rsid w:val="003C3E4A"/>
    <w:rsid w:val="003C50FF"/>
    <w:rsid w:val="003C5EA7"/>
    <w:rsid w:val="003C63E0"/>
    <w:rsid w:val="003C6C32"/>
    <w:rsid w:val="003C7789"/>
    <w:rsid w:val="003D0745"/>
    <w:rsid w:val="003D0A48"/>
    <w:rsid w:val="003D12C7"/>
    <w:rsid w:val="003D1FDA"/>
    <w:rsid w:val="003D22A8"/>
    <w:rsid w:val="003D24F8"/>
    <w:rsid w:val="003D2D53"/>
    <w:rsid w:val="003D2E21"/>
    <w:rsid w:val="003D38F1"/>
    <w:rsid w:val="003D3D2C"/>
    <w:rsid w:val="003D45FC"/>
    <w:rsid w:val="003D4893"/>
    <w:rsid w:val="003D4B93"/>
    <w:rsid w:val="003D4B9A"/>
    <w:rsid w:val="003D50D5"/>
    <w:rsid w:val="003D5204"/>
    <w:rsid w:val="003D53EB"/>
    <w:rsid w:val="003D5A60"/>
    <w:rsid w:val="003D5EDF"/>
    <w:rsid w:val="003D6184"/>
    <w:rsid w:val="003D7832"/>
    <w:rsid w:val="003D788D"/>
    <w:rsid w:val="003D7B2E"/>
    <w:rsid w:val="003E0C43"/>
    <w:rsid w:val="003E0D33"/>
    <w:rsid w:val="003E1171"/>
    <w:rsid w:val="003E197A"/>
    <w:rsid w:val="003E29B5"/>
    <w:rsid w:val="003E2B0F"/>
    <w:rsid w:val="003E303A"/>
    <w:rsid w:val="003E30F5"/>
    <w:rsid w:val="003E327C"/>
    <w:rsid w:val="003E398E"/>
    <w:rsid w:val="003E3A41"/>
    <w:rsid w:val="003E41B8"/>
    <w:rsid w:val="003E447B"/>
    <w:rsid w:val="003E4A26"/>
    <w:rsid w:val="003E501A"/>
    <w:rsid w:val="003E5092"/>
    <w:rsid w:val="003E5F69"/>
    <w:rsid w:val="003E67ED"/>
    <w:rsid w:val="003E72AF"/>
    <w:rsid w:val="003E78BB"/>
    <w:rsid w:val="003E7E94"/>
    <w:rsid w:val="003E7FD2"/>
    <w:rsid w:val="003F00D8"/>
    <w:rsid w:val="003F0351"/>
    <w:rsid w:val="003F0C66"/>
    <w:rsid w:val="003F0DDC"/>
    <w:rsid w:val="003F2104"/>
    <w:rsid w:val="003F275D"/>
    <w:rsid w:val="003F2BB7"/>
    <w:rsid w:val="003F31E5"/>
    <w:rsid w:val="003F3B7B"/>
    <w:rsid w:val="003F3BFE"/>
    <w:rsid w:val="003F43C6"/>
    <w:rsid w:val="003F4E4A"/>
    <w:rsid w:val="003F5AA8"/>
    <w:rsid w:val="003F6087"/>
    <w:rsid w:val="003F6219"/>
    <w:rsid w:val="003F7382"/>
    <w:rsid w:val="00400454"/>
    <w:rsid w:val="00400926"/>
    <w:rsid w:val="00400FF2"/>
    <w:rsid w:val="0040128B"/>
    <w:rsid w:val="00401A52"/>
    <w:rsid w:val="00401ECD"/>
    <w:rsid w:val="00401F78"/>
    <w:rsid w:val="00402490"/>
    <w:rsid w:val="00403098"/>
    <w:rsid w:val="004033F0"/>
    <w:rsid w:val="004034BE"/>
    <w:rsid w:val="00403850"/>
    <w:rsid w:val="004038C5"/>
    <w:rsid w:val="004040D4"/>
    <w:rsid w:val="004042D7"/>
    <w:rsid w:val="00404AF1"/>
    <w:rsid w:val="00404BAD"/>
    <w:rsid w:val="00405489"/>
    <w:rsid w:val="004055D1"/>
    <w:rsid w:val="00407D96"/>
    <w:rsid w:val="00410CA0"/>
    <w:rsid w:val="004111F9"/>
    <w:rsid w:val="00411702"/>
    <w:rsid w:val="00411A7F"/>
    <w:rsid w:val="00412119"/>
    <w:rsid w:val="00412553"/>
    <w:rsid w:val="004134C3"/>
    <w:rsid w:val="00414C60"/>
    <w:rsid w:val="004155DB"/>
    <w:rsid w:val="00415C04"/>
    <w:rsid w:val="00415FDE"/>
    <w:rsid w:val="0041659C"/>
    <w:rsid w:val="00416EAA"/>
    <w:rsid w:val="004173C0"/>
    <w:rsid w:val="00417BC6"/>
    <w:rsid w:val="004201A7"/>
    <w:rsid w:val="004202A7"/>
    <w:rsid w:val="00420FC7"/>
    <w:rsid w:val="00421377"/>
    <w:rsid w:val="004213B3"/>
    <w:rsid w:val="00421425"/>
    <w:rsid w:val="0042156E"/>
    <w:rsid w:val="004217AB"/>
    <w:rsid w:val="00421818"/>
    <w:rsid w:val="00422268"/>
    <w:rsid w:val="004222A8"/>
    <w:rsid w:val="00422A01"/>
    <w:rsid w:val="00422CFC"/>
    <w:rsid w:val="004244D5"/>
    <w:rsid w:val="00424692"/>
    <w:rsid w:val="004248FC"/>
    <w:rsid w:val="00424FB8"/>
    <w:rsid w:val="00425760"/>
    <w:rsid w:val="0042585A"/>
    <w:rsid w:val="00425879"/>
    <w:rsid w:val="00425E96"/>
    <w:rsid w:val="004261D3"/>
    <w:rsid w:val="004268F4"/>
    <w:rsid w:val="00426A37"/>
    <w:rsid w:val="00427B34"/>
    <w:rsid w:val="00427CC1"/>
    <w:rsid w:val="00427F72"/>
    <w:rsid w:val="00430756"/>
    <w:rsid w:val="00430BD0"/>
    <w:rsid w:val="004311D8"/>
    <w:rsid w:val="00431501"/>
    <w:rsid w:val="0043165B"/>
    <w:rsid w:val="004317D0"/>
    <w:rsid w:val="004325BB"/>
    <w:rsid w:val="0043298B"/>
    <w:rsid w:val="00432CD6"/>
    <w:rsid w:val="00432F01"/>
    <w:rsid w:val="00434698"/>
    <w:rsid w:val="004347C6"/>
    <w:rsid w:val="004347F9"/>
    <w:rsid w:val="00434B62"/>
    <w:rsid w:val="00435B58"/>
    <w:rsid w:val="004362C1"/>
    <w:rsid w:val="00436C5C"/>
    <w:rsid w:val="00436E01"/>
    <w:rsid w:val="0043705A"/>
    <w:rsid w:val="0044009E"/>
    <w:rsid w:val="0044098B"/>
    <w:rsid w:val="00440CE6"/>
    <w:rsid w:val="004413F6"/>
    <w:rsid w:val="0044269C"/>
    <w:rsid w:val="004438B1"/>
    <w:rsid w:val="00443C64"/>
    <w:rsid w:val="004448AD"/>
    <w:rsid w:val="00445254"/>
    <w:rsid w:val="004453F7"/>
    <w:rsid w:val="00446064"/>
    <w:rsid w:val="00446666"/>
    <w:rsid w:val="004468D9"/>
    <w:rsid w:val="00446C30"/>
    <w:rsid w:val="00450246"/>
    <w:rsid w:val="004509A4"/>
    <w:rsid w:val="004514E6"/>
    <w:rsid w:val="00451E00"/>
    <w:rsid w:val="004522DB"/>
    <w:rsid w:val="00452781"/>
    <w:rsid w:val="00452C5F"/>
    <w:rsid w:val="00452D27"/>
    <w:rsid w:val="00452F3C"/>
    <w:rsid w:val="0045335E"/>
    <w:rsid w:val="00453875"/>
    <w:rsid w:val="00453C5A"/>
    <w:rsid w:val="00453C7B"/>
    <w:rsid w:val="00454907"/>
    <w:rsid w:val="00454C84"/>
    <w:rsid w:val="004553E5"/>
    <w:rsid w:val="00455743"/>
    <w:rsid w:val="00455ED5"/>
    <w:rsid w:val="00456381"/>
    <w:rsid w:val="0045639D"/>
    <w:rsid w:val="00456A68"/>
    <w:rsid w:val="00456AF3"/>
    <w:rsid w:val="00457E45"/>
    <w:rsid w:val="00457F16"/>
    <w:rsid w:val="00460217"/>
    <w:rsid w:val="004602B8"/>
    <w:rsid w:val="00460601"/>
    <w:rsid w:val="004608FE"/>
    <w:rsid w:val="00460B48"/>
    <w:rsid w:val="00460F8B"/>
    <w:rsid w:val="00461560"/>
    <w:rsid w:val="004620AF"/>
    <w:rsid w:val="004621BC"/>
    <w:rsid w:val="004622CB"/>
    <w:rsid w:val="00463449"/>
    <w:rsid w:val="00463E87"/>
    <w:rsid w:val="004640B3"/>
    <w:rsid w:val="00464280"/>
    <w:rsid w:val="0046428C"/>
    <w:rsid w:val="004643D5"/>
    <w:rsid w:val="00464532"/>
    <w:rsid w:val="00464C91"/>
    <w:rsid w:val="00464DA2"/>
    <w:rsid w:val="00464F02"/>
    <w:rsid w:val="004654A4"/>
    <w:rsid w:val="004659B9"/>
    <w:rsid w:val="004660CD"/>
    <w:rsid w:val="0046614F"/>
    <w:rsid w:val="00466195"/>
    <w:rsid w:val="004662DD"/>
    <w:rsid w:val="00466612"/>
    <w:rsid w:val="0046688C"/>
    <w:rsid w:val="00467880"/>
    <w:rsid w:val="00467B22"/>
    <w:rsid w:val="00467F93"/>
    <w:rsid w:val="004702DC"/>
    <w:rsid w:val="00470CC4"/>
    <w:rsid w:val="00470EF1"/>
    <w:rsid w:val="004712EB"/>
    <w:rsid w:val="0047234B"/>
    <w:rsid w:val="0047237E"/>
    <w:rsid w:val="004724EB"/>
    <w:rsid w:val="00472BC0"/>
    <w:rsid w:val="00472DF0"/>
    <w:rsid w:val="00472EEA"/>
    <w:rsid w:val="0047323E"/>
    <w:rsid w:val="00473435"/>
    <w:rsid w:val="00473CD4"/>
    <w:rsid w:val="00474BD9"/>
    <w:rsid w:val="00474C6C"/>
    <w:rsid w:val="00474EAC"/>
    <w:rsid w:val="00475049"/>
    <w:rsid w:val="00475276"/>
    <w:rsid w:val="00475350"/>
    <w:rsid w:val="00475516"/>
    <w:rsid w:val="004757D9"/>
    <w:rsid w:val="00475FB1"/>
    <w:rsid w:val="004764A2"/>
    <w:rsid w:val="0047669D"/>
    <w:rsid w:val="00476848"/>
    <w:rsid w:val="004772E9"/>
    <w:rsid w:val="00477676"/>
    <w:rsid w:val="0047771F"/>
    <w:rsid w:val="00477BBF"/>
    <w:rsid w:val="00477EAC"/>
    <w:rsid w:val="00477F64"/>
    <w:rsid w:val="0048072A"/>
    <w:rsid w:val="004808EF"/>
    <w:rsid w:val="00480E5F"/>
    <w:rsid w:val="00481F01"/>
    <w:rsid w:val="004820FD"/>
    <w:rsid w:val="004823E7"/>
    <w:rsid w:val="004830C5"/>
    <w:rsid w:val="0048343D"/>
    <w:rsid w:val="00483F1C"/>
    <w:rsid w:val="00484694"/>
    <w:rsid w:val="004853F7"/>
    <w:rsid w:val="0048557A"/>
    <w:rsid w:val="00486906"/>
    <w:rsid w:val="00486C0F"/>
    <w:rsid w:val="00487055"/>
    <w:rsid w:val="0048763A"/>
    <w:rsid w:val="004879C2"/>
    <w:rsid w:val="00487A32"/>
    <w:rsid w:val="00487F1A"/>
    <w:rsid w:val="00490486"/>
    <w:rsid w:val="004904FC"/>
    <w:rsid w:val="00490A9F"/>
    <w:rsid w:val="004911B0"/>
    <w:rsid w:val="004925C4"/>
    <w:rsid w:val="00492713"/>
    <w:rsid w:val="00492A18"/>
    <w:rsid w:val="00492F64"/>
    <w:rsid w:val="00493219"/>
    <w:rsid w:val="00493495"/>
    <w:rsid w:val="00493C87"/>
    <w:rsid w:val="00495269"/>
    <w:rsid w:val="004962C7"/>
    <w:rsid w:val="00496AAF"/>
    <w:rsid w:val="00496CD5"/>
    <w:rsid w:val="00497012"/>
    <w:rsid w:val="00497797"/>
    <w:rsid w:val="004A03B0"/>
    <w:rsid w:val="004A07E1"/>
    <w:rsid w:val="004A13FB"/>
    <w:rsid w:val="004A16BF"/>
    <w:rsid w:val="004A1DEB"/>
    <w:rsid w:val="004A296D"/>
    <w:rsid w:val="004A29B3"/>
    <w:rsid w:val="004A3773"/>
    <w:rsid w:val="004A3D6B"/>
    <w:rsid w:val="004A4C50"/>
    <w:rsid w:val="004A51A3"/>
    <w:rsid w:val="004A5311"/>
    <w:rsid w:val="004A5415"/>
    <w:rsid w:val="004A5813"/>
    <w:rsid w:val="004A5F4F"/>
    <w:rsid w:val="004A5FA4"/>
    <w:rsid w:val="004A6839"/>
    <w:rsid w:val="004A719D"/>
    <w:rsid w:val="004A78C8"/>
    <w:rsid w:val="004B03C4"/>
    <w:rsid w:val="004B0B4F"/>
    <w:rsid w:val="004B0E33"/>
    <w:rsid w:val="004B141D"/>
    <w:rsid w:val="004B185F"/>
    <w:rsid w:val="004B231D"/>
    <w:rsid w:val="004B261C"/>
    <w:rsid w:val="004B29B1"/>
    <w:rsid w:val="004B2FB2"/>
    <w:rsid w:val="004B501E"/>
    <w:rsid w:val="004B5318"/>
    <w:rsid w:val="004B6BCD"/>
    <w:rsid w:val="004B70A6"/>
    <w:rsid w:val="004B74B5"/>
    <w:rsid w:val="004B76C0"/>
    <w:rsid w:val="004C0183"/>
    <w:rsid w:val="004C081C"/>
    <w:rsid w:val="004C0DD2"/>
    <w:rsid w:val="004C0FD1"/>
    <w:rsid w:val="004C15F7"/>
    <w:rsid w:val="004C17DB"/>
    <w:rsid w:val="004C1966"/>
    <w:rsid w:val="004C1EC5"/>
    <w:rsid w:val="004C21EC"/>
    <w:rsid w:val="004C40D0"/>
    <w:rsid w:val="004C47A4"/>
    <w:rsid w:val="004C4B37"/>
    <w:rsid w:val="004C4BDF"/>
    <w:rsid w:val="004C4E57"/>
    <w:rsid w:val="004C5110"/>
    <w:rsid w:val="004C54F0"/>
    <w:rsid w:val="004C58B7"/>
    <w:rsid w:val="004C5A61"/>
    <w:rsid w:val="004C5FFF"/>
    <w:rsid w:val="004C6664"/>
    <w:rsid w:val="004C6DA6"/>
    <w:rsid w:val="004C709B"/>
    <w:rsid w:val="004C7324"/>
    <w:rsid w:val="004C7D1D"/>
    <w:rsid w:val="004C7F2D"/>
    <w:rsid w:val="004D0111"/>
    <w:rsid w:val="004D09DA"/>
    <w:rsid w:val="004D0A42"/>
    <w:rsid w:val="004D0FF4"/>
    <w:rsid w:val="004D14D1"/>
    <w:rsid w:val="004D1951"/>
    <w:rsid w:val="004D1BDC"/>
    <w:rsid w:val="004D1D89"/>
    <w:rsid w:val="004D1DAC"/>
    <w:rsid w:val="004D22AF"/>
    <w:rsid w:val="004D2926"/>
    <w:rsid w:val="004D2B3C"/>
    <w:rsid w:val="004D3481"/>
    <w:rsid w:val="004D3E28"/>
    <w:rsid w:val="004D3ECF"/>
    <w:rsid w:val="004D4476"/>
    <w:rsid w:val="004D4512"/>
    <w:rsid w:val="004D47BA"/>
    <w:rsid w:val="004D4BA1"/>
    <w:rsid w:val="004D4CFD"/>
    <w:rsid w:val="004D526C"/>
    <w:rsid w:val="004D527B"/>
    <w:rsid w:val="004D54DB"/>
    <w:rsid w:val="004D59A8"/>
    <w:rsid w:val="004D67B2"/>
    <w:rsid w:val="004D6836"/>
    <w:rsid w:val="004D6EFE"/>
    <w:rsid w:val="004D72B2"/>
    <w:rsid w:val="004D7B63"/>
    <w:rsid w:val="004D7E1D"/>
    <w:rsid w:val="004D7E84"/>
    <w:rsid w:val="004E006D"/>
    <w:rsid w:val="004E03E5"/>
    <w:rsid w:val="004E0784"/>
    <w:rsid w:val="004E0AFB"/>
    <w:rsid w:val="004E0E23"/>
    <w:rsid w:val="004E1482"/>
    <w:rsid w:val="004E1FE9"/>
    <w:rsid w:val="004E2B2E"/>
    <w:rsid w:val="004E2D20"/>
    <w:rsid w:val="004E39A4"/>
    <w:rsid w:val="004E3B9A"/>
    <w:rsid w:val="004E49D7"/>
    <w:rsid w:val="004E51D0"/>
    <w:rsid w:val="004E5B31"/>
    <w:rsid w:val="004E5DCE"/>
    <w:rsid w:val="004E5FA0"/>
    <w:rsid w:val="004E6C86"/>
    <w:rsid w:val="004E76F7"/>
    <w:rsid w:val="004E7A4D"/>
    <w:rsid w:val="004F0088"/>
    <w:rsid w:val="004F0B8D"/>
    <w:rsid w:val="004F109D"/>
    <w:rsid w:val="004F1442"/>
    <w:rsid w:val="004F171C"/>
    <w:rsid w:val="004F1C75"/>
    <w:rsid w:val="004F1CE0"/>
    <w:rsid w:val="004F294D"/>
    <w:rsid w:val="004F32AA"/>
    <w:rsid w:val="004F34E0"/>
    <w:rsid w:val="004F3A77"/>
    <w:rsid w:val="004F4065"/>
    <w:rsid w:val="004F41E7"/>
    <w:rsid w:val="004F4364"/>
    <w:rsid w:val="004F44E5"/>
    <w:rsid w:val="004F4DF9"/>
    <w:rsid w:val="004F5834"/>
    <w:rsid w:val="004F5B2B"/>
    <w:rsid w:val="004F667E"/>
    <w:rsid w:val="004F695A"/>
    <w:rsid w:val="004F6D88"/>
    <w:rsid w:val="004F6E35"/>
    <w:rsid w:val="004F767D"/>
    <w:rsid w:val="004F7E72"/>
    <w:rsid w:val="005000D4"/>
    <w:rsid w:val="00500412"/>
    <w:rsid w:val="00500746"/>
    <w:rsid w:val="00501996"/>
    <w:rsid w:val="0050283E"/>
    <w:rsid w:val="00502C60"/>
    <w:rsid w:val="00502E8D"/>
    <w:rsid w:val="0050397E"/>
    <w:rsid w:val="00503AF0"/>
    <w:rsid w:val="00503FB0"/>
    <w:rsid w:val="00504BB6"/>
    <w:rsid w:val="00505593"/>
    <w:rsid w:val="005055C6"/>
    <w:rsid w:val="00505C21"/>
    <w:rsid w:val="00505CF7"/>
    <w:rsid w:val="00506118"/>
    <w:rsid w:val="00506AC2"/>
    <w:rsid w:val="00506CA9"/>
    <w:rsid w:val="005101A0"/>
    <w:rsid w:val="0051127B"/>
    <w:rsid w:val="0051134A"/>
    <w:rsid w:val="005120B4"/>
    <w:rsid w:val="00512899"/>
    <w:rsid w:val="00512967"/>
    <w:rsid w:val="005129BC"/>
    <w:rsid w:val="00513415"/>
    <w:rsid w:val="0051352D"/>
    <w:rsid w:val="00513C33"/>
    <w:rsid w:val="0051498D"/>
    <w:rsid w:val="00514E45"/>
    <w:rsid w:val="005152B9"/>
    <w:rsid w:val="00515689"/>
    <w:rsid w:val="005157C7"/>
    <w:rsid w:val="00515A80"/>
    <w:rsid w:val="00515E91"/>
    <w:rsid w:val="0051637C"/>
    <w:rsid w:val="00517360"/>
    <w:rsid w:val="00517735"/>
    <w:rsid w:val="0051782B"/>
    <w:rsid w:val="00517D1A"/>
    <w:rsid w:val="00517D21"/>
    <w:rsid w:val="005203BE"/>
    <w:rsid w:val="005209C6"/>
    <w:rsid w:val="00521238"/>
    <w:rsid w:val="00521C49"/>
    <w:rsid w:val="00522E37"/>
    <w:rsid w:val="00522FD9"/>
    <w:rsid w:val="005234C2"/>
    <w:rsid w:val="005238ED"/>
    <w:rsid w:val="00523E3B"/>
    <w:rsid w:val="00524AA4"/>
    <w:rsid w:val="00524DE0"/>
    <w:rsid w:val="005250A9"/>
    <w:rsid w:val="00525AAB"/>
    <w:rsid w:val="005260D6"/>
    <w:rsid w:val="00526EF7"/>
    <w:rsid w:val="00527271"/>
    <w:rsid w:val="005277A0"/>
    <w:rsid w:val="00527C23"/>
    <w:rsid w:val="005300AE"/>
    <w:rsid w:val="00530329"/>
    <w:rsid w:val="0053076D"/>
    <w:rsid w:val="00531023"/>
    <w:rsid w:val="005312C0"/>
    <w:rsid w:val="00531BE9"/>
    <w:rsid w:val="0053206C"/>
    <w:rsid w:val="0053269F"/>
    <w:rsid w:val="00532973"/>
    <w:rsid w:val="00533679"/>
    <w:rsid w:val="005338D1"/>
    <w:rsid w:val="0053409E"/>
    <w:rsid w:val="005354B0"/>
    <w:rsid w:val="00535648"/>
    <w:rsid w:val="005356D1"/>
    <w:rsid w:val="00535AF7"/>
    <w:rsid w:val="005364A7"/>
    <w:rsid w:val="00536932"/>
    <w:rsid w:val="00537E3E"/>
    <w:rsid w:val="0054045B"/>
    <w:rsid w:val="00540600"/>
    <w:rsid w:val="00540964"/>
    <w:rsid w:val="00540A85"/>
    <w:rsid w:val="0054118D"/>
    <w:rsid w:val="00541397"/>
    <w:rsid w:val="00541C09"/>
    <w:rsid w:val="00541C59"/>
    <w:rsid w:val="00541FC7"/>
    <w:rsid w:val="005425B3"/>
    <w:rsid w:val="0054275F"/>
    <w:rsid w:val="00542957"/>
    <w:rsid w:val="00542D74"/>
    <w:rsid w:val="00543275"/>
    <w:rsid w:val="00543F75"/>
    <w:rsid w:val="00544081"/>
    <w:rsid w:val="00544348"/>
    <w:rsid w:val="00544A21"/>
    <w:rsid w:val="00544AC7"/>
    <w:rsid w:val="00544B8F"/>
    <w:rsid w:val="00544F32"/>
    <w:rsid w:val="00545660"/>
    <w:rsid w:val="0054598C"/>
    <w:rsid w:val="00545C24"/>
    <w:rsid w:val="0054605B"/>
    <w:rsid w:val="0054617C"/>
    <w:rsid w:val="0054679B"/>
    <w:rsid w:val="00546CD3"/>
    <w:rsid w:val="00550625"/>
    <w:rsid w:val="0055120F"/>
    <w:rsid w:val="005518EA"/>
    <w:rsid w:val="00551A27"/>
    <w:rsid w:val="0055234C"/>
    <w:rsid w:val="0055265C"/>
    <w:rsid w:val="00552671"/>
    <w:rsid w:val="00552CB6"/>
    <w:rsid w:val="00553AF6"/>
    <w:rsid w:val="00553B6A"/>
    <w:rsid w:val="00553CE1"/>
    <w:rsid w:val="00554E03"/>
    <w:rsid w:val="00554EE3"/>
    <w:rsid w:val="00555538"/>
    <w:rsid w:val="00555D39"/>
    <w:rsid w:val="00556034"/>
    <w:rsid w:val="00556770"/>
    <w:rsid w:val="00556F67"/>
    <w:rsid w:val="00557084"/>
    <w:rsid w:val="00557107"/>
    <w:rsid w:val="00560041"/>
    <w:rsid w:val="00560140"/>
    <w:rsid w:val="00560321"/>
    <w:rsid w:val="00560679"/>
    <w:rsid w:val="00560A19"/>
    <w:rsid w:val="00560AA6"/>
    <w:rsid w:val="00562048"/>
    <w:rsid w:val="00562733"/>
    <w:rsid w:val="00562F0B"/>
    <w:rsid w:val="00563325"/>
    <w:rsid w:val="00563971"/>
    <w:rsid w:val="005640CD"/>
    <w:rsid w:val="00564621"/>
    <w:rsid w:val="005649BF"/>
    <w:rsid w:val="0056578E"/>
    <w:rsid w:val="005659EA"/>
    <w:rsid w:val="00565E12"/>
    <w:rsid w:val="0056605E"/>
    <w:rsid w:val="00566429"/>
    <w:rsid w:val="00566973"/>
    <w:rsid w:val="00566986"/>
    <w:rsid w:val="00566CCC"/>
    <w:rsid w:val="00566F4E"/>
    <w:rsid w:val="00567978"/>
    <w:rsid w:val="005679DF"/>
    <w:rsid w:val="00570277"/>
    <w:rsid w:val="0057037C"/>
    <w:rsid w:val="00570580"/>
    <w:rsid w:val="005716A7"/>
    <w:rsid w:val="00571DCF"/>
    <w:rsid w:val="005723E3"/>
    <w:rsid w:val="005733E2"/>
    <w:rsid w:val="005738A1"/>
    <w:rsid w:val="00573B8A"/>
    <w:rsid w:val="00573BE5"/>
    <w:rsid w:val="00574170"/>
    <w:rsid w:val="00574748"/>
    <w:rsid w:val="00574BA4"/>
    <w:rsid w:val="00575099"/>
    <w:rsid w:val="0057573B"/>
    <w:rsid w:val="00575899"/>
    <w:rsid w:val="005759CE"/>
    <w:rsid w:val="00575ADF"/>
    <w:rsid w:val="00575B2F"/>
    <w:rsid w:val="0057616E"/>
    <w:rsid w:val="005767B9"/>
    <w:rsid w:val="00576873"/>
    <w:rsid w:val="005770F1"/>
    <w:rsid w:val="00577A06"/>
    <w:rsid w:val="00577BD7"/>
    <w:rsid w:val="005809B7"/>
    <w:rsid w:val="00580E2B"/>
    <w:rsid w:val="00580EAD"/>
    <w:rsid w:val="00580F86"/>
    <w:rsid w:val="005810D3"/>
    <w:rsid w:val="005816B5"/>
    <w:rsid w:val="00581C41"/>
    <w:rsid w:val="00581EB2"/>
    <w:rsid w:val="00582314"/>
    <w:rsid w:val="0058326C"/>
    <w:rsid w:val="00583462"/>
    <w:rsid w:val="00583489"/>
    <w:rsid w:val="005836F0"/>
    <w:rsid w:val="00583AE7"/>
    <w:rsid w:val="00583F7B"/>
    <w:rsid w:val="0058421B"/>
    <w:rsid w:val="0058475C"/>
    <w:rsid w:val="00584D1F"/>
    <w:rsid w:val="00585F75"/>
    <w:rsid w:val="00586492"/>
    <w:rsid w:val="00586DBB"/>
    <w:rsid w:val="0058764D"/>
    <w:rsid w:val="00587C09"/>
    <w:rsid w:val="00587EBF"/>
    <w:rsid w:val="00590C67"/>
    <w:rsid w:val="00591E05"/>
    <w:rsid w:val="00592878"/>
    <w:rsid w:val="0059296F"/>
    <w:rsid w:val="00592B36"/>
    <w:rsid w:val="00592E46"/>
    <w:rsid w:val="0059393D"/>
    <w:rsid w:val="00593E70"/>
    <w:rsid w:val="005940A4"/>
    <w:rsid w:val="00594366"/>
    <w:rsid w:val="0059545A"/>
    <w:rsid w:val="0059549C"/>
    <w:rsid w:val="00595E43"/>
    <w:rsid w:val="00595FEF"/>
    <w:rsid w:val="0059600A"/>
    <w:rsid w:val="005968B3"/>
    <w:rsid w:val="0059715F"/>
    <w:rsid w:val="00597328"/>
    <w:rsid w:val="00597634"/>
    <w:rsid w:val="00597B8B"/>
    <w:rsid w:val="00597E57"/>
    <w:rsid w:val="00597F20"/>
    <w:rsid w:val="005A1134"/>
    <w:rsid w:val="005A1E50"/>
    <w:rsid w:val="005A2003"/>
    <w:rsid w:val="005A23F5"/>
    <w:rsid w:val="005A2640"/>
    <w:rsid w:val="005A31D2"/>
    <w:rsid w:val="005A3A35"/>
    <w:rsid w:val="005A3C58"/>
    <w:rsid w:val="005A4504"/>
    <w:rsid w:val="005A5A75"/>
    <w:rsid w:val="005A5AF3"/>
    <w:rsid w:val="005A5AF9"/>
    <w:rsid w:val="005A5DBF"/>
    <w:rsid w:val="005A622E"/>
    <w:rsid w:val="005A6508"/>
    <w:rsid w:val="005A6587"/>
    <w:rsid w:val="005A6741"/>
    <w:rsid w:val="005A6A03"/>
    <w:rsid w:val="005A6D76"/>
    <w:rsid w:val="005B0496"/>
    <w:rsid w:val="005B0AE8"/>
    <w:rsid w:val="005B0E19"/>
    <w:rsid w:val="005B0FDF"/>
    <w:rsid w:val="005B17DE"/>
    <w:rsid w:val="005B2297"/>
    <w:rsid w:val="005B3467"/>
    <w:rsid w:val="005B3656"/>
    <w:rsid w:val="005B3667"/>
    <w:rsid w:val="005B37DA"/>
    <w:rsid w:val="005B399C"/>
    <w:rsid w:val="005B3C9D"/>
    <w:rsid w:val="005B4126"/>
    <w:rsid w:val="005B427D"/>
    <w:rsid w:val="005B4970"/>
    <w:rsid w:val="005B541C"/>
    <w:rsid w:val="005B5B47"/>
    <w:rsid w:val="005B6E89"/>
    <w:rsid w:val="005B6F26"/>
    <w:rsid w:val="005B7ECF"/>
    <w:rsid w:val="005C0168"/>
    <w:rsid w:val="005C02C5"/>
    <w:rsid w:val="005C054D"/>
    <w:rsid w:val="005C0944"/>
    <w:rsid w:val="005C0D84"/>
    <w:rsid w:val="005C13C7"/>
    <w:rsid w:val="005C1459"/>
    <w:rsid w:val="005C1634"/>
    <w:rsid w:val="005C17C6"/>
    <w:rsid w:val="005C21D5"/>
    <w:rsid w:val="005C26F9"/>
    <w:rsid w:val="005C294F"/>
    <w:rsid w:val="005C2E57"/>
    <w:rsid w:val="005C3139"/>
    <w:rsid w:val="005C380D"/>
    <w:rsid w:val="005C3CFB"/>
    <w:rsid w:val="005C3EE8"/>
    <w:rsid w:val="005C4339"/>
    <w:rsid w:val="005C4D23"/>
    <w:rsid w:val="005C5898"/>
    <w:rsid w:val="005C5E88"/>
    <w:rsid w:val="005C6D4F"/>
    <w:rsid w:val="005C7DC5"/>
    <w:rsid w:val="005C7F7D"/>
    <w:rsid w:val="005D0BE6"/>
    <w:rsid w:val="005D1337"/>
    <w:rsid w:val="005D231B"/>
    <w:rsid w:val="005D2A43"/>
    <w:rsid w:val="005D3E99"/>
    <w:rsid w:val="005D3EEE"/>
    <w:rsid w:val="005D54DD"/>
    <w:rsid w:val="005D5886"/>
    <w:rsid w:val="005D59E7"/>
    <w:rsid w:val="005D6A90"/>
    <w:rsid w:val="005E0375"/>
    <w:rsid w:val="005E03AD"/>
    <w:rsid w:val="005E132E"/>
    <w:rsid w:val="005E2529"/>
    <w:rsid w:val="005E28AD"/>
    <w:rsid w:val="005E2C58"/>
    <w:rsid w:val="005E2D0C"/>
    <w:rsid w:val="005E3751"/>
    <w:rsid w:val="005E3BEF"/>
    <w:rsid w:val="005E3C47"/>
    <w:rsid w:val="005E3CDC"/>
    <w:rsid w:val="005E3DD7"/>
    <w:rsid w:val="005E3EFA"/>
    <w:rsid w:val="005E4706"/>
    <w:rsid w:val="005E4972"/>
    <w:rsid w:val="005E4CDE"/>
    <w:rsid w:val="005E4EAA"/>
    <w:rsid w:val="005E5523"/>
    <w:rsid w:val="005E671D"/>
    <w:rsid w:val="005E6802"/>
    <w:rsid w:val="005E6845"/>
    <w:rsid w:val="005E6B0F"/>
    <w:rsid w:val="005E6BBA"/>
    <w:rsid w:val="005E70B9"/>
    <w:rsid w:val="005E747B"/>
    <w:rsid w:val="005E75A8"/>
    <w:rsid w:val="005E7D00"/>
    <w:rsid w:val="005F044C"/>
    <w:rsid w:val="005F0B06"/>
    <w:rsid w:val="005F11CE"/>
    <w:rsid w:val="005F1DA2"/>
    <w:rsid w:val="005F208F"/>
    <w:rsid w:val="005F22C3"/>
    <w:rsid w:val="005F2341"/>
    <w:rsid w:val="005F235A"/>
    <w:rsid w:val="005F2582"/>
    <w:rsid w:val="005F2753"/>
    <w:rsid w:val="005F2917"/>
    <w:rsid w:val="005F311A"/>
    <w:rsid w:val="005F35DA"/>
    <w:rsid w:val="005F3630"/>
    <w:rsid w:val="005F3980"/>
    <w:rsid w:val="005F3B74"/>
    <w:rsid w:val="005F3F78"/>
    <w:rsid w:val="005F5654"/>
    <w:rsid w:val="005F5704"/>
    <w:rsid w:val="005F60E6"/>
    <w:rsid w:val="005F64DD"/>
    <w:rsid w:val="005F6551"/>
    <w:rsid w:val="005F67F9"/>
    <w:rsid w:val="005F6B59"/>
    <w:rsid w:val="005F6C7F"/>
    <w:rsid w:val="005F76C8"/>
    <w:rsid w:val="00600BB6"/>
    <w:rsid w:val="00601119"/>
    <w:rsid w:val="006017F5"/>
    <w:rsid w:val="00601E52"/>
    <w:rsid w:val="0060247C"/>
    <w:rsid w:val="006025B6"/>
    <w:rsid w:val="00602AE5"/>
    <w:rsid w:val="00603040"/>
    <w:rsid w:val="00603244"/>
    <w:rsid w:val="00603360"/>
    <w:rsid w:val="00603794"/>
    <w:rsid w:val="006038C8"/>
    <w:rsid w:val="00603E4E"/>
    <w:rsid w:val="006041C4"/>
    <w:rsid w:val="00604375"/>
    <w:rsid w:val="00604CF3"/>
    <w:rsid w:val="006052FD"/>
    <w:rsid w:val="006057A4"/>
    <w:rsid w:val="006067A1"/>
    <w:rsid w:val="00606897"/>
    <w:rsid w:val="00607BF9"/>
    <w:rsid w:val="00607DB4"/>
    <w:rsid w:val="00607EBE"/>
    <w:rsid w:val="006100C8"/>
    <w:rsid w:val="00610861"/>
    <w:rsid w:val="00610982"/>
    <w:rsid w:val="00610B39"/>
    <w:rsid w:val="00610DBF"/>
    <w:rsid w:val="00611A04"/>
    <w:rsid w:val="00611DC7"/>
    <w:rsid w:val="00611FA9"/>
    <w:rsid w:val="006125BF"/>
    <w:rsid w:val="006126F7"/>
    <w:rsid w:val="00612AE3"/>
    <w:rsid w:val="00613209"/>
    <w:rsid w:val="0061328C"/>
    <w:rsid w:val="0061394D"/>
    <w:rsid w:val="00613C77"/>
    <w:rsid w:val="0061645A"/>
    <w:rsid w:val="00617708"/>
    <w:rsid w:val="00617E2F"/>
    <w:rsid w:val="00620162"/>
    <w:rsid w:val="006208BC"/>
    <w:rsid w:val="00621752"/>
    <w:rsid w:val="006220B8"/>
    <w:rsid w:val="00622137"/>
    <w:rsid w:val="00622682"/>
    <w:rsid w:val="00622B56"/>
    <w:rsid w:val="00622CD0"/>
    <w:rsid w:val="00622E66"/>
    <w:rsid w:val="00623288"/>
    <w:rsid w:val="00623407"/>
    <w:rsid w:val="006237B3"/>
    <w:rsid w:val="006247C8"/>
    <w:rsid w:val="00624C9D"/>
    <w:rsid w:val="00624F6C"/>
    <w:rsid w:val="00625E8D"/>
    <w:rsid w:val="006264E6"/>
    <w:rsid w:val="00626740"/>
    <w:rsid w:val="00627BDC"/>
    <w:rsid w:val="00630659"/>
    <w:rsid w:val="0063066D"/>
    <w:rsid w:val="00632B2C"/>
    <w:rsid w:val="00633C45"/>
    <w:rsid w:val="00634408"/>
    <w:rsid w:val="00634F63"/>
    <w:rsid w:val="00635D1F"/>
    <w:rsid w:val="0063641C"/>
    <w:rsid w:val="00636FC2"/>
    <w:rsid w:val="00637687"/>
    <w:rsid w:val="0063794F"/>
    <w:rsid w:val="00637975"/>
    <w:rsid w:val="00637980"/>
    <w:rsid w:val="00637ED9"/>
    <w:rsid w:val="0064059F"/>
    <w:rsid w:val="006412A0"/>
    <w:rsid w:val="0064184D"/>
    <w:rsid w:val="006418FB"/>
    <w:rsid w:val="0064223F"/>
    <w:rsid w:val="00642CE9"/>
    <w:rsid w:val="0064363D"/>
    <w:rsid w:val="00643DC8"/>
    <w:rsid w:val="006441B1"/>
    <w:rsid w:val="00644BE7"/>
    <w:rsid w:val="006450EB"/>
    <w:rsid w:val="006459D5"/>
    <w:rsid w:val="0064617A"/>
    <w:rsid w:val="00646377"/>
    <w:rsid w:val="00646AFE"/>
    <w:rsid w:val="00646B18"/>
    <w:rsid w:val="006472D2"/>
    <w:rsid w:val="0064747F"/>
    <w:rsid w:val="0065143C"/>
    <w:rsid w:val="0065154E"/>
    <w:rsid w:val="00651BAD"/>
    <w:rsid w:val="0065212C"/>
    <w:rsid w:val="0065215A"/>
    <w:rsid w:val="006529BE"/>
    <w:rsid w:val="00652E21"/>
    <w:rsid w:val="006540CA"/>
    <w:rsid w:val="00654728"/>
    <w:rsid w:val="0065473C"/>
    <w:rsid w:val="00654AFB"/>
    <w:rsid w:val="00654C9F"/>
    <w:rsid w:val="00655817"/>
    <w:rsid w:val="00655DAD"/>
    <w:rsid w:val="00656036"/>
    <w:rsid w:val="006561C5"/>
    <w:rsid w:val="006564B4"/>
    <w:rsid w:val="006576EE"/>
    <w:rsid w:val="006579B1"/>
    <w:rsid w:val="00657AC7"/>
    <w:rsid w:val="00657D38"/>
    <w:rsid w:val="006601C8"/>
    <w:rsid w:val="00660429"/>
    <w:rsid w:val="006607DA"/>
    <w:rsid w:val="00660E29"/>
    <w:rsid w:val="00662161"/>
    <w:rsid w:val="006621B8"/>
    <w:rsid w:val="00662DF8"/>
    <w:rsid w:val="0066330B"/>
    <w:rsid w:val="0066382B"/>
    <w:rsid w:val="0066421C"/>
    <w:rsid w:val="00664249"/>
    <w:rsid w:val="00664934"/>
    <w:rsid w:val="00664D8A"/>
    <w:rsid w:val="0066542B"/>
    <w:rsid w:val="006654F8"/>
    <w:rsid w:val="0066557F"/>
    <w:rsid w:val="00665932"/>
    <w:rsid w:val="00665B6E"/>
    <w:rsid w:val="00666796"/>
    <w:rsid w:val="00666D03"/>
    <w:rsid w:val="00667849"/>
    <w:rsid w:val="006679E0"/>
    <w:rsid w:val="00667CAA"/>
    <w:rsid w:val="00667E0E"/>
    <w:rsid w:val="00670CC7"/>
    <w:rsid w:val="00670F38"/>
    <w:rsid w:val="00671F9A"/>
    <w:rsid w:val="00671FF8"/>
    <w:rsid w:val="0067211E"/>
    <w:rsid w:val="0067223A"/>
    <w:rsid w:val="006728F6"/>
    <w:rsid w:val="00672DAD"/>
    <w:rsid w:val="00673136"/>
    <w:rsid w:val="00673873"/>
    <w:rsid w:val="00673C55"/>
    <w:rsid w:val="00674A86"/>
    <w:rsid w:val="00674DB4"/>
    <w:rsid w:val="00674FD3"/>
    <w:rsid w:val="00675072"/>
    <w:rsid w:val="006750FC"/>
    <w:rsid w:val="006753F5"/>
    <w:rsid w:val="006759BE"/>
    <w:rsid w:val="006768F3"/>
    <w:rsid w:val="006775B9"/>
    <w:rsid w:val="006775BA"/>
    <w:rsid w:val="00677C47"/>
    <w:rsid w:val="00680342"/>
    <w:rsid w:val="006807AD"/>
    <w:rsid w:val="00681102"/>
    <w:rsid w:val="006812BB"/>
    <w:rsid w:val="00681491"/>
    <w:rsid w:val="006815DB"/>
    <w:rsid w:val="00682513"/>
    <w:rsid w:val="00682AD9"/>
    <w:rsid w:val="006838A5"/>
    <w:rsid w:val="00683EA4"/>
    <w:rsid w:val="00684F6D"/>
    <w:rsid w:val="0068529F"/>
    <w:rsid w:val="00685356"/>
    <w:rsid w:val="006856B6"/>
    <w:rsid w:val="00685E96"/>
    <w:rsid w:val="006863EB"/>
    <w:rsid w:val="006864AC"/>
    <w:rsid w:val="00686605"/>
    <w:rsid w:val="00686C82"/>
    <w:rsid w:val="0068791B"/>
    <w:rsid w:val="00687C56"/>
    <w:rsid w:val="006903E8"/>
    <w:rsid w:val="00690E11"/>
    <w:rsid w:val="00691B6B"/>
    <w:rsid w:val="00691BE7"/>
    <w:rsid w:val="00691F8D"/>
    <w:rsid w:val="00692152"/>
    <w:rsid w:val="00692F18"/>
    <w:rsid w:val="00692F7A"/>
    <w:rsid w:val="0069316B"/>
    <w:rsid w:val="0069491F"/>
    <w:rsid w:val="00694A66"/>
    <w:rsid w:val="00695152"/>
    <w:rsid w:val="00695BB2"/>
    <w:rsid w:val="006960DD"/>
    <w:rsid w:val="006965F0"/>
    <w:rsid w:val="00696602"/>
    <w:rsid w:val="00696796"/>
    <w:rsid w:val="00696C8F"/>
    <w:rsid w:val="00697343"/>
    <w:rsid w:val="006973DF"/>
    <w:rsid w:val="00697D3D"/>
    <w:rsid w:val="006A05F6"/>
    <w:rsid w:val="006A08C4"/>
    <w:rsid w:val="006A09EA"/>
    <w:rsid w:val="006A13DB"/>
    <w:rsid w:val="006A165E"/>
    <w:rsid w:val="006A2170"/>
    <w:rsid w:val="006A229C"/>
    <w:rsid w:val="006A2629"/>
    <w:rsid w:val="006A26D4"/>
    <w:rsid w:val="006A2765"/>
    <w:rsid w:val="006A2EA8"/>
    <w:rsid w:val="006A410A"/>
    <w:rsid w:val="006A4594"/>
    <w:rsid w:val="006A45AA"/>
    <w:rsid w:val="006A4E29"/>
    <w:rsid w:val="006A539D"/>
    <w:rsid w:val="006A56E3"/>
    <w:rsid w:val="006A5B22"/>
    <w:rsid w:val="006A5DBE"/>
    <w:rsid w:val="006A6660"/>
    <w:rsid w:val="006A6726"/>
    <w:rsid w:val="006A6C53"/>
    <w:rsid w:val="006A6EFB"/>
    <w:rsid w:val="006A7227"/>
    <w:rsid w:val="006A7533"/>
    <w:rsid w:val="006A79EA"/>
    <w:rsid w:val="006A7ADE"/>
    <w:rsid w:val="006A7C96"/>
    <w:rsid w:val="006B04E2"/>
    <w:rsid w:val="006B057A"/>
    <w:rsid w:val="006B062E"/>
    <w:rsid w:val="006B07AC"/>
    <w:rsid w:val="006B0DA8"/>
    <w:rsid w:val="006B1023"/>
    <w:rsid w:val="006B1374"/>
    <w:rsid w:val="006B17EB"/>
    <w:rsid w:val="006B1CD3"/>
    <w:rsid w:val="006B1CF4"/>
    <w:rsid w:val="006B1F8B"/>
    <w:rsid w:val="006B2244"/>
    <w:rsid w:val="006B22F7"/>
    <w:rsid w:val="006B2589"/>
    <w:rsid w:val="006B2784"/>
    <w:rsid w:val="006B32DC"/>
    <w:rsid w:val="006B32F3"/>
    <w:rsid w:val="006B395F"/>
    <w:rsid w:val="006B39BB"/>
    <w:rsid w:val="006B3AA3"/>
    <w:rsid w:val="006B5247"/>
    <w:rsid w:val="006B52B9"/>
    <w:rsid w:val="006B52F8"/>
    <w:rsid w:val="006B5F13"/>
    <w:rsid w:val="006B6914"/>
    <w:rsid w:val="006B6B81"/>
    <w:rsid w:val="006B6BDB"/>
    <w:rsid w:val="006B6F3D"/>
    <w:rsid w:val="006B7568"/>
    <w:rsid w:val="006B75C7"/>
    <w:rsid w:val="006B796B"/>
    <w:rsid w:val="006B7997"/>
    <w:rsid w:val="006C0070"/>
    <w:rsid w:val="006C08F7"/>
    <w:rsid w:val="006C0CD3"/>
    <w:rsid w:val="006C0E7E"/>
    <w:rsid w:val="006C1928"/>
    <w:rsid w:val="006C22D0"/>
    <w:rsid w:val="006C27F8"/>
    <w:rsid w:val="006C2A6B"/>
    <w:rsid w:val="006C2DC2"/>
    <w:rsid w:val="006C2E9F"/>
    <w:rsid w:val="006C3852"/>
    <w:rsid w:val="006C437D"/>
    <w:rsid w:val="006C4ADE"/>
    <w:rsid w:val="006C56C1"/>
    <w:rsid w:val="006C6198"/>
    <w:rsid w:val="006C61A2"/>
    <w:rsid w:val="006C64C5"/>
    <w:rsid w:val="006C69C8"/>
    <w:rsid w:val="006C7EF0"/>
    <w:rsid w:val="006C7FA2"/>
    <w:rsid w:val="006D046C"/>
    <w:rsid w:val="006D0602"/>
    <w:rsid w:val="006D0CFC"/>
    <w:rsid w:val="006D0DBE"/>
    <w:rsid w:val="006D1B52"/>
    <w:rsid w:val="006D1BBD"/>
    <w:rsid w:val="006D221B"/>
    <w:rsid w:val="006D31B6"/>
    <w:rsid w:val="006D3834"/>
    <w:rsid w:val="006D3BFB"/>
    <w:rsid w:val="006D4236"/>
    <w:rsid w:val="006D4920"/>
    <w:rsid w:val="006D51D1"/>
    <w:rsid w:val="006D55ED"/>
    <w:rsid w:val="006D59B3"/>
    <w:rsid w:val="006D60A5"/>
    <w:rsid w:val="006D710C"/>
    <w:rsid w:val="006D7539"/>
    <w:rsid w:val="006D7EEA"/>
    <w:rsid w:val="006E04A2"/>
    <w:rsid w:val="006E04C1"/>
    <w:rsid w:val="006E0B13"/>
    <w:rsid w:val="006E120D"/>
    <w:rsid w:val="006E13E2"/>
    <w:rsid w:val="006E1996"/>
    <w:rsid w:val="006E1BCF"/>
    <w:rsid w:val="006E1FFE"/>
    <w:rsid w:val="006E2E76"/>
    <w:rsid w:val="006E2FE0"/>
    <w:rsid w:val="006E335E"/>
    <w:rsid w:val="006E3797"/>
    <w:rsid w:val="006E39BE"/>
    <w:rsid w:val="006E3B42"/>
    <w:rsid w:val="006E40BC"/>
    <w:rsid w:val="006E41B3"/>
    <w:rsid w:val="006E4482"/>
    <w:rsid w:val="006E46C3"/>
    <w:rsid w:val="006E478F"/>
    <w:rsid w:val="006E4D24"/>
    <w:rsid w:val="006E58AF"/>
    <w:rsid w:val="006E5FE1"/>
    <w:rsid w:val="006E627C"/>
    <w:rsid w:val="006E677E"/>
    <w:rsid w:val="006E67D3"/>
    <w:rsid w:val="006E69E8"/>
    <w:rsid w:val="006E6FEB"/>
    <w:rsid w:val="006E72DB"/>
    <w:rsid w:val="006E7649"/>
    <w:rsid w:val="006E79D8"/>
    <w:rsid w:val="006E7C6E"/>
    <w:rsid w:val="006E7E48"/>
    <w:rsid w:val="006F0114"/>
    <w:rsid w:val="006F090D"/>
    <w:rsid w:val="006F0A1D"/>
    <w:rsid w:val="006F0C55"/>
    <w:rsid w:val="006F16A1"/>
    <w:rsid w:val="006F191B"/>
    <w:rsid w:val="006F4931"/>
    <w:rsid w:val="006F541B"/>
    <w:rsid w:val="006F5521"/>
    <w:rsid w:val="006F5569"/>
    <w:rsid w:val="006F578D"/>
    <w:rsid w:val="006F57AB"/>
    <w:rsid w:val="006F5B01"/>
    <w:rsid w:val="006F5CF0"/>
    <w:rsid w:val="006F5EBB"/>
    <w:rsid w:val="006F5FD2"/>
    <w:rsid w:val="006F6757"/>
    <w:rsid w:val="006F6B57"/>
    <w:rsid w:val="006F716D"/>
    <w:rsid w:val="006F77E2"/>
    <w:rsid w:val="006F78E1"/>
    <w:rsid w:val="006F791E"/>
    <w:rsid w:val="006F79AF"/>
    <w:rsid w:val="007018C1"/>
    <w:rsid w:val="00701BF3"/>
    <w:rsid w:val="00702237"/>
    <w:rsid w:val="00702E28"/>
    <w:rsid w:val="00702E92"/>
    <w:rsid w:val="00703C36"/>
    <w:rsid w:val="00703CAA"/>
    <w:rsid w:val="0070420C"/>
    <w:rsid w:val="0070427D"/>
    <w:rsid w:val="0070439F"/>
    <w:rsid w:val="007049B7"/>
    <w:rsid w:val="00704F59"/>
    <w:rsid w:val="00706743"/>
    <w:rsid w:val="0070705A"/>
    <w:rsid w:val="0070766B"/>
    <w:rsid w:val="007100DB"/>
    <w:rsid w:val="00710B94"/>
    <w:rsid w:val="00710DF3"/>
    <w:rsid w:val="00710E58"/>
    <w:rsid w:val="00710F04"/>
    <w:rsid w:val="00710F7D"/>
    <w:rsid w:val="00711D79"/>
    <w:rsid w:val="00711FD4"/>
    <w:rsid w:val="007123FA"/>
    <w:rsid w:val="0071281A"/>
    <w:rsid w:val="00713ED1"/>
    <w:rsid w:val="00713EE8"/>
    <w:rsid w:val="007152EF"/>
    <w:rsid w:val="00715BAC"/>
    <w:rsid w:val="00715F24"/>
    <w:rsid w:val="00716A13"/>
    <w:rsid w:val="007170AE"/>
    <w:rsid w:val="007174F8"/>
    <w:rsid w:val="00717690"/>
    <w:rsid w:val="00717E2E"/>
    <w:rsid w:val="00720327"/>
    <w:rsid w:val="00720781"/>
    <w:rsid w:val="0072090E"/>
    <w:rsid w:val="00720D64"/>
    <w:rsid w:val="00720D87"/>
    <w:rsid w:val="00720E95"/>
    <w:rsid w:val="007215DB"/>
    <w:rsid w:val="007216E1"/>
    <w:rsid w:val="007218F1"/>
    <w:rsid w:val="0072194A"/>
    <w:rsid w:val="007219CB"/>
    <w:rsid w:val="00721D57"/>
    <w:rsid w:val="00721D71"/>
    <w:rsid w:val="0072287A"/>
    <w:rsid w:val="00722A5C"/>
    <w:rsid w:val="007237AF"/>
    <w:rsid w:val="00723FDF"/>
    <w:rsid w:val="00724CAE"/>
    <w:rsid w:val="007252E7"/>
    <w:rsid w:val="00725436"/>
    <w:rsid w:val="007256EE"/>
    <w:rsid w:val="00725948"/>
    <w:rsid w:val="0072646E"/>
    <w:rsid w:val="00726549"/>
    <w:rsid w:val="0072682C"/>
    <w:rsid w:val="007269D7"/>
    <w:rsid w:val="00726A64"/>
    <w:rsid w:val="00726B56"/>
    <w:rsid w:val="00726C2F"/>
    <w:rsid w:val="00727056"/>
    <w:rsid w:val="00727088"/>
    <w:rsid w:val="0072709C"/>
    <w:rsid w:val="00727257"/>
    <w:rsid w:val="00731056"/>
    <w:rsid w:val="00731247"/>
    <w:rsid w:val="007312F3"/>
    <w:rsid w:val="00731363"/>
    <w:rsid w:val="007318D7"/>
    <w:rsid w:val="00731924"/>
    <w:rsid w:val="00731D53"/>
    <w:rsid w:val="00732F1B"/>
    <w:rsid w:val="0073356A"/>
    <w:rsid w:val="0073388D"/>
    <w:rsid w:val="0073433F"/>
    <w:rsid w:val="007345AE"/>
    <w:rsid w:val="00734B2B"/>
    <w:rsid w:val="00734E33"/>
    <w:rsid w:val="00735822"/>
    <w:rsid w:val="00736579"/>
    <w:rsid w:val="00736878"/>
    <w:rsid w:val="00737E0A"/>
    <w:rsid w:val="0074002B"/>
    <w:rsid w:val="0074062B"/>
    <w:rsid w:val="00740D33"/>
    <w:rsid w:val="00741D59"/>
    <w:rsid w:val="00741E0A"/>
    <w:rsid w:val="007427AB"/>
    <w:rsid w:val="00742B04"/>
    <w:rsid w:val="007432DE"/>
    <w:rsid w:val="00743519"/>
    <w:rsid w:val="00743D4E"/>
    <w:rsid w:val="00743F8C"/>
    <w:rsid w:val="007443C7"/>
    <w:rsid w:val="00744657"/>
    <w:rsid w:val="00744F40"/>
    <w:rsid w:val="0074526F"/>
    <w:rsid w:val="007453F7"/>
    <w:rsid w:val="00745966"/>
    <w:rsid w:val="00745A0D"/>
    <w:rsid w:val="00745A23"/>
    <w:rsid w:val="0074608C"/>
    <w:rsid w:val="007474AF"/>
    <w:rsid w:val="007477D6"/>
    <w:rsid w:val="00747B1D"/>
    <w:rsid w:val="00750CCA"/>
    <w:rsid w:val="00750D05"/>
    <w:rsid w:val="00751711"/>
    <w:rsid w:val="00751FBD"/>
    <w:rsid w:val="00753902"/>
    <w:rsid w:val="00753D1B"/>
    <w:rsid w:val="007543F1"/>
    <w:rsid w:val="007547E7"/>
    <w:rsid w:val="00754EA2"/>
    <w:rsid w:val="00754FCE"/>
    <w:rsid w:val="007550F4"/>
    <w:rsid w:val="00755257"/>
    <w:rsid w:val="0075537C"/>
    <w:rsid w:val="00755481"/>
    <w:rsid w:val="007564A2"/>
    <w:rsid w:val="007576BF"/>
    <w:rsid w:val="00757BC9"/>
    <w:rsid w:val="007604AB"/>
    <w:rsid w:val="007611CE"/>
    <w:rsid w:val="00761358"/>
    <w:rsid w:val="00761F6D"/>
    <w:rsid w:val="007627A7"/>
    <w:rsid w:val="00762915"/>
    <w:rsid w:val="007631C4"/>
    <w:rsid w:val="00763B24"/>
    <w:rsid w:val="00763F5A"/>
    <w:rsid w:val="007641F6"/>
    <w:rsid w:val="00765479"/>
    <w:rsid w:val="00765722"/>
    <w:rsid w:val="00765778"/>
    <w:rsid w:val="007662E3"/>
    <w:rsid w:val="0076671B"/>
    <w:rsid w:val="007667EF"/>
    <w:rsid w:val="00766E9C"/>
    <w:rsid w:val="00767526"/>
    <w:rsid w:val="0076770A"/>
    <w:rsid w:val="007701C8"/>
    <w:rsid w:val="0077043D"/>
    <w:rsid w:val="007706EF"/>
    <w:rsid w:val="0077122C"/>
    <w:rsid w:val="00771263"/>
    <w:rsid w:val="00771C67"/>
    <w:rsid w:val="00771DBB"/>
    <w:rsid w:val="00771DE5"/>
    <w:rsid w:val="007724D5"/>
    <w:rsid w:val="00772A33"/>
    <w:rsid w:val="00772AF3"/>
    <w:rsid w:val="00772EDF"/>
    <w:rsid w:val="00772EF6"/>
    <w:rsid w:val="007735FD"/>
    <w:rsid w:val="00773695"/>
    <w:rsid w:val="00773831"/>
    <w:rsid w:val="00774306"/>
    <w:rsid w:val="00774B39"/>
    <w:rsid w:val="00774B42"/>
    <w:rsid w:val="0077528D"/>
    <w:rsid w:val="007755E7"/>
    <w:rsid w:val="00775F94"/>
    <w:rsid w:val="007760F7"/>
    <w:rsid w:val="007766E5"/>
    <w:rsid w:val="00776B19"/>
    <w:rsid w:val="00776B83"/>
    <w:rsid w:val="007773FA"/>
    <w:rsid w:val="00777587"/>
    <w:rsid w:val="0077790F"/>
    <w:rsid w:val="007805B2"/>
    <w:rsid w:val="00780AE2"/>
    <w:rsid w:val="00780BEC"/>
    <w:rsid w:val="00781526"/>
    <w:rsid w:val="00781F71"/>
    <w:rsid w:val="00782FC3"/>
    <w:rsid w:val="0078313B"/>
    <w:rsid w:val="007831AA"/>
    <w:rsid w:val="00783703"/>
    <w:rsid w:val="00783840"/>
    <w:rsid w:val="00784E92"/>
    <w:rsid w:val="00785026"/>
    <w:rsid w:val="00785459"/>
    <w:rsid w:val="00785A1B"/>
    <w:rsid w:val="00785A6A"/>
    <w:rsid w:val="00785D81"/>
    <w:rsid w:val="00785EFF"/>
    <w:rsid w:val="00785F28"/>
    <w:rsid w:val="00786369"/>
    <w:rsid w:val="007864F5"/>
    <w:rsid w:val="00786D20"/>
    <w:rsid w:val="00786E49"/>
    <w:rsid w:val="007879DD"/>
    <w:rsid w:val="00787C10"/>
    <w:rsid w:val="00787EAD"/>
    <w:rsid w:val="00790287"/>
    <w:rsid w:val="00790BEC"/>
    <w:rsid w:val="00790D50"/>
    <w:rsid w:val="00791B8F"/>
    <w:rsid w:val="00792C06"/>
    <w:rsid w:val="00792C75"/>
    <w:rsid w:val="00793892"/>
    <w:rsid w:val="00793F11"/>
    <w:rsid w:val="007941AA"/>
    <w:rsid w:val="00795218"/>
    <w:rsid w:val="00795249"/>
    <w:rsid w:val="007958DF"/>
    <w:rsid w:val="00795A20"/>
    <w:rsid w:val="0079600C"/>
    <w:rsid w:val="00796430"/>
    <w:rsid w:val="00796466"/>
    <w:rsid w:val="00796776"/>
    <w:rsid w:val="0079721B"/>
    <w:rsid w:val="0079725A"/>
    <w:rsid w:val="00797614"/>
    <w:rsid w:val="0079779E"/>
    <w:rsid w:val="00797B7B"/>
    <w:rsid w:val="007A06FE"/>
    <w:rsid w:val="007A0D22"/>
    <w:rsid w:val="007A0D78"/>
    <w:rsid w:val="007A1A00"/>
    <w:rsid w:val="007A1C89"/>
    <w:rsid w:val="007A2330"/>
    <w:rsid w:val="007A299A"/>
    <w:rsid w:val="007A3656"/>
    <w:rsid w:val="007A3EE5"/>
    <w:rsid w:val="007A43D9"/>
    <w:rsid w:val="007A4444"/>
    <w:rsid w:val="007A44A5"/>
    <w:rsid w:val="007A5008"/>
    <w:rsid w:val="007A63B6"/>
    <w:rsid w:val="007A6618"/>
    <w:rsid w:val="007A6B0F"/>
    <w:rsid w:val="007A6B67"/>
    <w:rsid w:val="007A6E2F"/>
    <w:rsid w:val="007A6EAC"/>
    <w:rsid w:val="007A6F95"/>
    <w:rsid w:val="007A701D"/>
    <w:rsid w:val="007A71D3"/>
    <w:rsid w:val="007A7A69"/>
    <w:rsid w:val="007B00C8"/>
    <w:rsid w:val="007B032D"/>
    <w:rsid w:val="007B0454"/>
    <w:rsid w:val="007B0D6B"/>
    <w:rsid w:val="007B16DA"/>
    <w:rsid w:val="007B1735"/>
    <w:rsid w:val="007B1D41"/>
    <w:rsid w:val="007B1D61"/>
    <w:rsid w:val="007B23D3"/>
    <w:rsid w:val="007B2CE2"/>
    <w:rsid w:val="007B2FCB"/>
    <w:rsid w:val="007B30B4"/>
    <w:rsid w:val="007B3EFA"/>
    <w:rsid w:val="007B4ED2"/>
    <w:rsid w:val="007B50CC"/>
    <w:rsid w:val="007B513A"/>
    <w:rsid w:val="007B5FEA"/>
    <w:rsid w:val="007B6131"/>
    <w:rsid w:val="007B6273"/>
    <w:rsid w:val="007B6425"/>
    <w:rsid w:val="007B6C23"/>
    <w:rsid w:val="007B7310"/>
    <w:rsid w:val="007B77CC"/>
    <w:rsid w:val="007B7A43"/>
    <w:rsid w:val="007B7DA5"/>
    <w:rsid w:val="007C0B66"/>
    <w:rsid w:val="007C0EAF"/>
    <w:rsid w:val="007C1361"/>
    <w:rsid w:val="007C16C4"/>
    <w:rsid w:val="007C294B"/>
    <w:rsid w:val="007C2B58"/>
    <w:rsid w:val="007C41CE"/>
    <w:rsid w:val="007C4B94"/>
    <w:rsid w:val="007C4C57"/>
    <w:rsid w:val="007C4C59"/>
    <w:rsid w:val="007C53C7"/>
    <w:rsid w:val="007C5611"/>
    <w:rsid w:val="007C71BE"/>
    <w:rsid w:val="007C7CF9"/>
    <w:rsid w:val="007D068C"/>
    <w:rsid w:val="007D13AB"/>
    <w:rsid w:val="007D1817"/>
    <w:rsid w:val="007D1A81"/>
    <w:rsid w:val="007D2652"/>
    <w:rsid w:val="007D29F1"/>
    <w:rsid w:val="007D3000"/>
    <w:rsid w:val="007D30B5"/>
    <w:rsid w:val="007D38F2"/>
    <w:rsid w:val="007D3BDC"/>
    <w:rsid w:val="007D3D6A"/>
    <w:rsid w:val="007D4006"/>
    <w:rsid w:val="007D4468"/>
    <w:rsid w:val="007D4683"/>
    <w:rsid w:val="007D551A"/>
    <w:rsid w:val="007D582C"/>
    <w:rsid w:val="007D5D53"/>
    <w:rsid w:val="007D617D"/>
    <w:rsid w:val="007D678A"/>
    <w:rsid w:val="007D6973"/>
    <w:rsid w:val="007D6A1E"/>
    <w:rsid w:val="007D6DDA"/>
    <w:rsid w:val="007D7F0F"/>
    <w:rsid w:val="007E0129"/>
    <w:rsid w:val="007E03E2"/>
    <w:rsid w:val="007E0467"/>
    <w:rsid w:val="007E096F"/>
    <w:rsid w:val="007E0FFE"/>
    <w:rsid w:val="007E10C3"/>
    <w:rsid w:val="007E10E6"/>
    <w:rsid w:val="007E1583"/>
    <w:rsid w:val="007E1741"/>
    <w:rsid w:val="007E2686"/>
    <w:rsid w:val="007E26ED"/>
    <w:rsid w:val="007E330D"/>
    <w:rsid w:val="007E365B"/>
    <w:rsid w:val="007E423C"/>
    <w:rsid w:val="007E4578"/>
    <w:rsid w:val="007E5A79"/>
    <w:rsid w:val="007E5C01"/>
    <w:rsid w:val="007E6638"/>
    <w:rsid w:val="007E6794"/>
    <w:rsid w:val="007E6FA4"/>
    <w:rsid w:val="007E7357"/>
    <w:rsid w:val="007E7800"/>
    <w:rsid w:val="007E7F68"/>
    <w:rsid w:val="007F008A"/>
    <w:rsid w:val="007F176E"/>
    <w:rsid w:val="007F226E"/>
    <w:rsid w:val="007F26B1"/>
    <w:rsid w:val="007F29C9"/>
    <w:rsid w:val="007F2CEF"/>
    <w:rsid w:val="007F302C"/>
    <w:rsid w:val="007F30EF"/>
    <w:rsid w:val="007F3B12"/>
    <w:rsid w:val="007F3D3C"/>
    <w:rsid w:val="007F454F"/>
    <w:rsid w:val="007F4AD6"/>
    <w:rsid w:val="007F577E"/>
    <w:rsid w:val="007F6AF8"/>
    <w:rsid w:val="007F6E7B"/>
    <w:rsid w:val="007F7392"/>
    <w:rsid w:val="007F7825"/>
    <w:rsid w:val="007F7D02"/>
    <w:rsid w:val="008009D5"/>
    <w:rsid w:val="00800AAC"/>
    <w:rsid w:val="008015AA"/>
    <w:rsid w:val="008017FB"/>
    <w:rsid w:val="008028C1"/>
    <w:rsid w:val="00803579"/>
    <w:rsid w:val="00803696"/>
    <w:rsid w:val="008036EB"/>
    <w:rsid w:val="00803782"/>
    <w:rsid w:val="008038C0"/>
    <w:rsid w:val="00803990"/>
    <w:rsid w:val="00803ABC"/>
    <w:rsid w:val="00804ACB"/>
    <w:rsid w:val="00804E7A"/>
    <w:rsid w:val="008051E3"/>
    <w:rsid w:val="00805CF5"/>
    <w:rsid w:val="00806036"/>
    <w:rsid w:val="008060F6"/>
    <w:rsid w:val="00806424"/>
    <w:rsid w:val="008064DE"/>
    <w:rsid w:val="00806EB6"/>
    <w:rsid w:val="008073EC"/>
    <w:rsid w:val="008078BC"/>
    <w:rsid w:val="00807A16"/>
    <w:rsid w:val="0081099A"/>
    <w:rsid w:val="00810C50"/>
    <w:rsid w:val="0081109B"/>
    <w:rsid w:val="00811720"/>
    <w:rsid w:val="00811C56"/>
    <w:rsid w:val="008125BB"/>
    <w:rsid w:val="00812A30"/>
    <w:rsid w:val="00812B41"/>
    <w:rsid w:val="00812E45"/>
    <w:rsid w:val="00813292"/>
    <w:rsid w:val="0081452C"/>
    <w:rsid w:val="00815233"/>
    <w:rsid w:val="0081534A"/>
    <w:rsid w:val="0081577A"/>
    <w:rsid w:val="00815B46"/>
    <w:rsid w:val="008167D0"/>
    <w:rsid w:val="00816F0F"/>
    <w:rsid w:val="008171E6"/>
    <w:rsid w:val="00817850"/>
    <w:rsid w:val="00817AD9"/>
    <w:rsid w:val="00817DAF"/>
    <w:rsid w:val="00820031"/>
    <w:rsid w:val="008201E7"/>
    <w:rsid w:val="0082067F"/>
    <w:rsid w:val="00820715"/>
    <w:rsid w:val="00820DE7"/>
    <w:rsid w:val="00821369"/>
    <w:rsid w:val="00821736"/>
    <w:rsid w:val="00821B54"/>
    <w:rsid w:val="00821B90"/>
    <w:rsid w:val="00821B9E"/>
    <w:rsid w:val="00822120"/>
    <w:rsid w:val="008222C0"/>
    <w:rsid w:val="00822855"/>
    <w:rsid w:val="00822A20"/>
    <w:rsid w:val="00822ED1"/>
    <w:rsid w:val="00822FA7"/>
    <w:rsid w:val="0082320D"/>
    <w:rsid w:val="008233D6"/>
    <w:rsid w:val="00823689"/>
    <w:rsid w:val="00823BE3"/>
    <w:rsid w:val="00823D65"/>
    <w:rsid w:val="0082417B"/>
    <w:rsid w:val="0082515E"/>
    <w:rsid w:val="00825A40"/>
    <w:rsid w:val="00825EE2"/>
    <w:rsid w:val="008268A6"/>
    <w:rsid w:val="00826A81"/>
    <w:rsid w:val="008277FC"/>
    <w:rsid w:val="00827BD7"/>
    <w:rsid w:val="00830104"/>
    <w:rsid w:val="008301D7"/>
    <w:rsid w:val="00830357"/>
    <w:rsid w:val="00830417"/>
    <w:rsid w:val="00830427"/>
    <w:rsid w:val="00830432"/>
    <w:rsid w:val="008325A5"/>
    <w:rsid w:val="008334A8"/>
    <w:rsid w:val="008339BE"/>
    <w:rsid w:val="008342F1"/>
    <w:rsid w:val="008355B6"/>
    <w:rsid w:val="008359C5"/>
    <w:rsid w:val="00835BE3"/>
    <w:rsid w:val="00835DEE"/>
    <w:rsid w:val="008363D9"/>
    <w:rsid w:val="008364A1"/>
    <w:rsid w:val="00836687"/>
    <w:rsid w:val="008366C7"/>
    <w:rsid w:val="0083670E"/>
    <w:rsid w:val="008369BD"/>
    <w:rsid w:val="00836CF3"/>
    <w:rsid w:val="00837CEA"/>
    <w:rsid w:val="00837D8E"/>
    <w:rsid w:val="008400D8"/>
    <w:rsid w:val="00840AE8"/>
    <w:rsid w:val="00840E24"/>
    <w:rsid w:val="00840F96"/>
    <w:rsid w:val="00841485"/>
    <w:rsid w:val="00841AAC"/>
    <w:rsid w:val="00841BBD"/>
    <w:rsid w:val="00841FEA"/>
    <w:rsid w:val="00842037"/>
    <w:rsid w:val="008422F9"/>
    <w:rsid w:val="0084263D"/>
    <w:rsid w:val="00842C1A"/>
    <w:rsid w:val="00843186"/>
    <w:rsid w:val="0084405C"/>
    <w:rsid w:val="0084428C"/>
    <w:rsid w:val="008448BE"/>
    <w:rsid w:val="0084499A"/>
    <w:rsid w:val="00844AC7"/>
    <w:rsid w:val="008460A2"/>
    <w:rsid w:val="008469B0"/>
    <w:rsid w:val="00846B86"/>
    <w:rsid w:val="00846BB3"/>
    <w:rsid w:val="008473BE"/>
    <w:rsid w:val="008477C8"/>
    <w:rsid w:val="00850ECD"/>
    <w:rsid w:val="00851311"/>
    <w:rsid w:val="00851443"/>
    <w:rsid w:val="00852374"/>
    <w:rsid w:val="008523BB"/>
    <w:rsid w:val="00852504"/>
    <w:rsid w:val="008528B1"/>
    <w:rsid w:val="00852A79"/>
    <w:rsid w:val="0085383C"/>
    <w:rsid w:val="00853C7E"/>
    <w:rsid w:val="00853E49"/>
    <w:rsid w:val="00853E9E"/>
    <w:rsid w:val="0085462C"/>
    <w:rsid w:val="00854647"/>
    <w:rsid w:val="00855104"/>
    <w:rsid w:val="00855171"/>
    <w:rsid w:val="0085584A"/>
    <w:rsid w:val="00855E7B"/>
    <w:rsid w:val="00855F1C"/>
    <w:rsid w:val="00857162"/>
    <w:rsid w:val="0085759A"/>
    <w:rsid w:val="00857E74"/>
    <w:rsid w:val="00860B25"/>
    <w:rsid w:val="00860C47"/>
    <w:rsid w:val="008615D5"/>
    <w:rsid w:val="008616D6"/>
    <w:rsid w:val="00861882"/>
    <w:rsid w:val="00861B1B"/>
    <w:rsid w:val="008621D8"/>
    <w:rsid w:val="008625C9"/>
    <w:rsid w:val="008627C3"/>
    <w:rsid w:val="00862802"/>
    <w:rsid w:val="00862B6F"/>
    <w:rsid w:val="008632A6"/>
    <w:rsid w:val="00863408"/>
    <w:rsid w:val="008634BB"/>
    <w:rsid w:val="008635A3"/>
    <w:rsid w:val="008640EB"/>
    <w:rsid w:val="0086475F"/>
    <w:rsid w:val="00864DFC"/>
    <w:rsid w:val="008653F6"/>
    <w:rsid w:val="00865900"/>
    <w:rsid w:val="00866221"/>
    <w:rsid w:val="008677EA"/>
    <w:rsid w:val="00867BAB"/>
    <w:rsid w:val="0087024B"/>
    <w:rsid w:val="00870C9F"/>
    <w:rsid w:val="0087151D"/>
    <w:rsid w:val="00871873"/>
    <w:rsid w:val="00871C4D"/>
    <w:rsid w:val="00871E65"/>
    <w:rsid w:val="008728E1"/>
    <w:rsid w:val="00872EF9"/>
    <w:rsid w:val="008731A7"/>
    <w:rsid w:val="008736E1"/>
    <w:rsid w:val="00873741"/>
    <w:rsid w:val="00873955"/>
    <w:rsid w:val="00874241"/>
    <w:rsid w:val="008744D9"/>
    <w:rsid w:val="00874692"/>
    <w:rsid w:val="00874C30"/>
    <w:rsid w:val="008751E5"/>
    <w:rsid w:val="008753C5"/>
    <w:rsid w:val="00875598"/>
    <w:rsid w:val="00875B00"/>
    <w:rsid w:val="00875C4E"/>
    <w:rsid w:val="00875DA7"/>
    <w:rsid w:val="00875F09"/>
    <w:rsid w:val="00875FFB"/>
    <w:rsid w:val="00876775"/>
    <w:rsid w:val="00877307"/>
    <w:rsid w:val="00877651"/>
    <w:rsid w:val="00877E3C"/>
    <w:rsid w:val="00880C19"/>
    <w:rsid w:val="00880D6B"/>
    <w:rsid w:val="00880D9E"/>
    <w:rsid w:val="00881279"/>
    <w:rsid w:val="008816EB"/>
    <w:rsid w:val="00881B3D"/>
    <w:rsid w:val="00882010"/>
    <w:rsid w:val="00882288"/>
    <w:rsid w:val="008825BF"/>
    <w:rsid w:val="00882A10"/>
    <w:rsid w:val="00883061"/>
    <w:rsid w:val="008837D0"/>
    <w:rsid w:val="0088385C"/>
    <w:rsid w:val="00883DC6"/>
    <w:rsid w:val="008842F0"/>
    <w:rsid w:val="008842F7"/>
    <w:rsid w:val="008844CE"/>
    <w:rsid w:val="00884BC0"/>
    <w:rsid w:val="00885D0C"/>
    <w:rsid w:val="008860AC"/>
    <w:rsid w:val="0088625D"/>
    <w:rsid w:val="008866A1"/>
    <w:rsid w:val="00886B2C"/>
    <w:rsid w:val="0088709E"/>
    <w:rsid w:val="008870FB"/>
    <w:rsid w:val="00887119"/>
    <w:rsid w:val="00887330"/>
    <w:rsid w:val="00887946"/>
    <w:rsid w:val="008909A4"/>
    <w:rsid w:val="0089100F"/>
    <w:rsid w:val="008910BC"/>
    <w:rsid w:val="008913BD"/>
    <w:rsid w:val="008915B6"/>
    <w:rsid w:val="0089185A"/>
    <w:rsid w:val="00891B1A"/>
    <w:rsid w:val="00891DD4"/>
    <w:rsid w:val="00892414"/>
    <w:rsid w:val="00892763"/>
    <w:rsid w:val="00892ADC"/>
    <w:rsid w:val="008932BA"/>
    <w:rsid w:val="008932D3"/>
    <w:rsid w:val="00894C03"/>
    <w:rsid w:val="00894E94"/>
    <w:rsid w:val="008953EB"/>
    <w:rsid w:val="008959FE"/>
    <w:rsid w:val="00896010"/>
    <w:rsid w:val="008968F2"/>
    <w:rsid w:val="00897263"/>
    <w:rsid w:val="00897720"/>
    <w:rsid w:val="00897F74"/>
    <w:rsid w:val="008A08BF"/>
    <w:rsid w:val="008A1F5A"/>
    <w:rsid w:val="008A260E"/>
    <w:rsid w:val="008A28A7"/>
    <w:rsid w:val="008A2C89"/>
    <w:rsid w:val="008A34C9"/>
    <w:rsid w:val="008A3AAC"/>
    <w:rsid w:val="008A42F9"/>
    <w:rsid w:val="008A4523"/>
    <w:rsid w:val="008A4BB3"/>
    <w:rsid w:val="008A5153"/>
    <w:rsid w:val="008A5283"/>
    <w:rsid w:val="008A5DB8"/>
    <w:rsid w:val="008A6520"/>
    <w:rsid w:val="008A6E0A"/>
    <w:rsid w:val="008A6FA2"/>
    <w:rsid w:val="008A7224"/>
    <w:rsid w:val="008A76F1"/>
    <w:rsid w:val="008A7730"/>
    <w:rsid w:val="008A78A6"/>
    <w:rsid w:val="008A78D4"/>
    <w:rsid w:val="008A7B6C"/>
    <w:rsid w:val="008B055D"/>
    <w:rsid w:val="008B0984"/>
    <w:rsid w:val="008B0D79"/>
    <w:rsid w:val="008B0EE0"/>
    <w:rsid w:val="008B2A94"/>
    <w:rsid w:val="008B3375"/>
    <w:rsid w:val="008B40FA"/>
    <w:rsid w:val="008B4BE3"/>
    <w:rsid w:val="008B4EAB"/>
    <w:rsid w:val="008B5822"/>
    <w:rsid w:val="008B5F8B"/>
    <w:rsid w:val="008B691B"/>
    <w:rsid w:val="008B6F92"/>
    <w:rsid w:val="008B707C"/>
    <w:rsid w:val="008B71D8"/>
    <w:rsid w:val="008B7279"/>
    <w:rsid w:val="008B75FD"/>
    <w:rsid w:val="008C08D5"/>
    <w:rsid w:val="008C08EE"/>
    <w:rsid w:val="008C0A7D"/>
    <w:rsid w:val="008C0C64"/>
    <w:rsid w:val="008C0CE3"/>
    <w:rsid w:val="008C0F4C"/>
    <w:rsid w:val="008C183D"/>
    <w:rsid w:val="008C19CE"/>
    <w:rsid w:val="008C1C05"/>
    <w:rsid w:val="008C24FA"/>
    <w:rsid w:val="008C26C4"/>
    <w:rsid w:val="008C27E0"/>
    <w:rsid w:val="008C308F"/>
    <w:rsid w:val="008C33CF"/>
    <w:rsid w:val="008C469A"/>
    <w:rsid w:val="008C52E4"/>
    <w:rsid w:val="008C5B65"/>
    <w:rsid w:val="008C6230"/>
    <w:rsid w:val="008C76BC"/>
    <w:rsid w:val="008C7729"/>
    <w:rsid w:val="008C79A2"/>
    <w:rsid w:val="008C7A14"/>
    <w:rsid w:val="008C7AD4"/>
    <w:rsid w:val="008D066D"/>
    <w:rsid w:val="008D0CD7"/>
    <w:rsid w:val="008D174F"/>
    <w:rsid w:val="008D1A8B"/>
    <w:rsid w:val="008D1CB2"/>
    <w:rsid w:val="008D27F1"/>
    <w:rsid w:val="008D367B"/>
    <w:rsid w:val="008D3C9A"/>
    <w:rsid w:val="008D3FB5"/>
    <w:rsid w:val="008D4736"/>
    <w:rsid w:val="008D48EB"/>
    <w:rsid w:val="008D5324"/>
    <w:rsid w:val="008D612E"/>
    <w:rsid w:val="008D62E1"/>
    <w:rsid w:val="008D695B"/>
    <w:rsid w:val="008D6A1C"/>
    <w:rsid w:val="008D6D23"/>
    <w:rsid w:val="008D7D65"/>
    <w:rsid w:val="008E0F46"/>
    <w:rsid w:val="008E2305"/>
    <w:rsid w:val="008E340C"/>
    <w:rsid w:val="008E3A6E"/>
    <w:rsid w:val="008E3C5B"/>
    <w:rsid w:val="008E401A"/>
    <w:rsid w:val="008E45DB"/>
    <w:rsid w:val="008E4B12"/>
    <w:rsid w:val="008E4C8C"/>
    <w:rsid w:val="008E4C99"/>
    <w:rsid w:val="008E52F0"/>
    <w:rsid w:val="008E6320"/>
    <w:rsid w:val="008E6D48"/>
    <w:rsid w:val="008E6E27"/>
    <w:rsid w:val="008E6FA7"/>
    <w:rsid w:val="008E704A"/>
    <w:rsid w:val="008E730B"/>
    <w:rsid w:val="008E7AF7"/>
    <w:rsid w:val="008E7D83"/>
    <w:rsid w:val="008F022E"/>
    <w:rsid w:val="008F0892"/>
    <w:rsid w:val="008F0C02"/>
    <w:rsid w:val="008F1B58"/>
    <w:rsid w:val="008F1C67"/>
    <w:rsid w:val="008F1C72"/>
    <w:rsid w:val="008F20CC"/>
    <w:rsid w:val="008F2A6D"/>
    <w:rsid w:val="008F2CF3"/>
    <w:rsid w:val="008F3CDD"/>
    <w:rsid w:val="008F4610"/>
    <w:rsid w:val="008F4977"/>
    <w:rsid w:val="008F4D6A"/>
    <w:rsid w:val="008F54D4"/>
    <w:rsid w:val="008F5BE6"/>
    <w:rsid w:val="008F68DB"/>
    <w:rsid w:val="008F6A52"/>
    <w:rsid w:val="008F6FB7"/>
    <w:rsid w:val="008F72BC"/>
    <w:rsid w:val="008F777D"/>
    <w:rsid w:val="008F7FC5"/>
    <w:rsid w:val="00900469"/>
    <w:rsid w:val="00900FCC"/>
    <w:rsid w:val="00901021"/>
    <w:rsid w:val="0090266A"/>
    <w:rsid w:val="00902682"/>
    <w:rsid w:val="0090347B"/>
    <w:rsid w:val="00904047"/>
    <w:rsid w:val="00904CC9"/>
    <w:rsid w:val="0090548D"/>
    <w:rsid w:val="00905AA8"/>
    <w:rsid w:val="0090620C"/>
    <w:rsid w:val="009103BB"/>
    <w:rsid w:val="00910522"/>
    <w:rsid w:val="009113D4"/>
    <w:rsid w:val="0091160F"/>
    <w:rsid w:val="00911EF8"/>
    <w:rsid w:val="00911F21"/>
    <w:rsid w:val="00912857"/>
    <w:rsid w:val="009129A9"/>
    <w:rsid w:val="00913215"/>
    <w:rsid w:val="00913466"/>
    <w:rsid w:val="009135AF"/>
    <w:rsid w:val="009150E5"/>
    <w:rsid w:val="00915458"/>
    <w:rsid w:val="00916E66"/>
    <w:rsid w:val="00916FC4"/>
    <w:rsid w:val="00917814"/>
    <w:rsid w:val="00920044"/>
    <w:rsid w:val="00920929"/>
    <w:rsid w:val="00920954"/>
    <w:rsid w:val="00920967"/>
    <w:rsid w:val="00920F2C"/>
    <w:rsid w:val="00920FDD"/>
    <w:rsid w:val="009216C5"/>
    <w:rsid w:val="00921A6C"/>
    <w:rsid w:val="00921BE8"/>
    <w:rsid w:val="00921C62"/>
    <w:rsid w:val="00922EEE"/>
    <w:rsid w:val="009237D5"/>
    <w:rsid w:val="00923D28"/>
    <w:rsid w:val="00924850"/>
    <w:rsid w:val="009248B2"/>
    <w:rsid w:val="00924D2A"/>
    <w:rsid w:val="00924F59"/>
    <w:rsid w:val="00925AAC"/>
    <w:rsid w:val="00925B41"/>
    <w:rsid w:val="0092757A"/>
    <w:rsid w:val="00930FBD"/>
    <w:rsid w:val="00931034"/>
    <w:rsid w:val="0093167C"/>
    <w:rsid w:val="00931AD9"/>
    <w:rsid w:val="00932282"/>
    <w:rsid w:val="009326C4"/>
    <w:rsid w:val="00932A32"/>
    <w:rsid w:val="00932FA6"/>
    <w:rsid w:val="00933118"/>
    <w:rsid w:val="00933677"/>
    <w:rsid w:val="00934040"/>
    <w:rsid w:val="00934A48"/>
    <w:rsid w:val="00934AE3"/>
    <w:rsid w:val="00934BB7"/>
    <w:rsid w:val="00934F6E"/>
    <w:rsid w:val="009360C5"/>
    <w:rsid w:val="009360CA"/>
    <w:rsid w:val="0093664D"/>
    <w:rsid w:val="00936783"/>
    <w:rsid w:val="00936AB4"/>
    <w:rsid w:val="00936DA0"/>
    <w:rsid w:val="00936DC3"/>
    <w:rsid w:val="00936E36"/>
    <w:rsid w:val="00937D63"/>
    <w:rsid w:val="009402AE"/>
    <w:rsid w:val="009402E0"/>
    <w:rsid w:val="009407D0"/>
    <w:rsid w:val="00940A8B"/>
    <w:rsid w:val="009413E2"/>
    <w:rsid w:val="009420D3"/>
    <w:rsid w:val="0094229F"/>
    <w:rsid w:val="009424BB"/>
    <w:rsid w:val="00942693"/>
    <w:rsid w:val="0094289C"/>
    <w:rsid w:val="00942EA6"/>
    <w:rsid w:val="00943220"/>
    <w:rsid w:val="0094352C"/>
    <w:rsid w:val="00943FE6"/>
    <w:rsid w:val="0094459C"/>
    <w:rsid w:val="009449FD"/>
    <w:rsid w:val="00944D3B"/>
    <w:rsid w:val="00945416"/>
    <w:rsid w:val="00945863"/>
    <w:rsid w:val="009462D3"/>
    <w:rsid w:val="00946A93"/>
    <w:rsid w:val="00946FD3"/>
    <w:rsid w:val="00947162"/>
    <w:rsid w:val="00947871"/>
    <w:rsid w:val="00947E31"/>
    <w:rsid w:val="00950820"/>
    <w:rsid w:val="00950D1F"/>
    <w:rsid w:val="00950D8E"/>
    <w:rsid w:val="009519F9"/>
    <w:rsid w:val="00951BE3"/>
    <w:rsid w:val="009524E7"/>
    <w:rsid w:val="009530B9"/>
    <w:rsid w:val="0095316E"/>
    <w:rsid w:val="009533A7"/>
    <w:rsid w:val="00953523"/>
    <w:rsid w:val="00954238"/>
    <w:rsid w:val="00954BFB"/>
    <w:rsid w:val="00955F5B"/>
    <w:rsid w:val="00956D80"/>
    <w:rsid w:val="00956EE8"/>
    <w:rsid w:val="00957021"/>
    <w:rsid w:val="009571E9"/>
    <w:rsid w:val="009575BC"/>
    <w:rsid w:val="00957D44"/>
    <w:rsid w:val="00957DB8"/>
    <w:rsid w:val="00957FDE"/>
    <w:rsid w:val="00960920"/>
    <w:rsid w:val="00960AC4"/>
    <w:rsid w:val="00961258"/>
    <w:rsid w:val="00962017"/>
    <w:rsid w:val="0096213F"/>
    <w:rsid w:val="009626C0"/>
    <w:rsid w:val="00962AE2"/>
    <w:rsid w:val="00962CBD"/>
    <w:rsid w:val="00962CDC"/>
    <w:rsid w:val="00962D67"/>
    <w:rsid w:val="00963468"/>
    <w:rsid w:val="009634F1"/>
    <w:rsid w:val="00963C0F"/>
    <w:rsid w:val="009641AA"/>
    <w:rsid w:val="0096460E"/>
    <w:rsid w:val="00964922"/>
    <w:rsid w:val="00964D50"/>
    <w:rsid w:val="00964DBF"/>
    <w:rsid w:val="00965074"/>
    <w:rsid w:val="009651A8"/>
    <w:rsid w:val="00965421"/>
    <w:rsid w:val="009658B9"/>
    <w:rsid w:val="00965BB8"/>
    <w:rsid w:val="00965CEC"/>
    <w:rsid w:val="00965DDC"/>
    <w:rsid w:val="009665BF"/>
    <w:rsid w:val="009668C9"/>
    <w:rsid w:val="00966B91"/>
    <w:rsid w:val="00966C4C"/>
    <w:rsid w:val="009673DF"/>
    <w:rsid w:val="009675D8"/>
    <w:rsid w:val="00967996"/>
    <w:rsid w:val="00967F02"/>
    <w:rsid w:val="009713CB"/>
    <w:rsid w:val="00972638"/>
    <w:rsid w:val="009741E7"/>
    <w:rsid w:val="00974893"/>
    <w:rsid w:val="00975009"/>
    <w:rsid w:val="009753F6"/>
    <w:rsid w:val="00975534"/>
    <w:rsid w:val="0097587D"/>
    <w:rsid w:val="00975A43"/>
    <w:rsid w:val="00975B32"/>
    <w:rsid w:val="009760E2"/>
    <w:rsid w:val="00976936"/>
    <w:rsid w:val="00977147"/>
    <w:rsid w:val="0097732E"/>
    <w:rsid w:val="009803DE"/>
    <w:rsid w:val="00980463"/>
    <w:rsid w:val="009807E9"/>
    <w:rsid w:val="00980D20"/>
    <w:rsid w:val="00981177"/>
    <w:rsid w:val="0098187F"/>
    <w:rsid w:val="0098202E"/>
    <w:rsid w:val="00982760"/>
    <w:rsid w:val="00982836"/>
    <w:rsid w:val="00982B76"/>
    <w:rsid w:val="009832AF"/>
    <w:rsid w:val="00983808"/>
    <w:rsid w:val="00983DA6"/>
    <w:rsid w:val="00984341"/>
    <w:rsid w:val="009861C0"/>
    <w:rsid w:val="00986359"/>
    <w:rsid w:val="00986AE5"/>
    <w:rsid w:val="00986F51"/>
    <w:rsid w:val="009874A4"/>
    <w:rsid w:val="00987736"/>
    <w:rsid w:val="00987D0A"/>
    <w:rsid w:val="00987E34"/>
    <w:rsid w:val="00987FF7"/>
    <w:rsid w:val="0099056E"/>
    <w:rsid w:val="00991138"/>
    <w:rsid w:val="009916E0"/>
    <w:rsid w:val="0099239E"/>
    <w:rsid w:val="009926CF"/>
    <w:rsid w:val="00992D39"/>
    <w:rsid w:val="00993019"/>
    <w:rsid w:val="009934D9"/>
    <w:rsid w:val="0099488B"/>
    <w:rsid w:val="00994C46"/>
    <w:rsid w:val="00996915"/>
    <w:rsid w:val="00996EF2"/>
    <w:rsid w:val="009975AD"/>
    <w:rsid w:val="009976DA"/>
    <w:rsid w:val="00997726"/>
    <w:rsid w:val="00997FE6"/>
    <w:rsid w:val="009A00AC"/>
    <w:rsid w:val="009A2055"/>
    <w:rsid w:val="009A2BB4"/>
    <w:rsid w:val="009A3267"/>
    <w:rsid w:val="009A40D8"/>
    <w:rsid w:val="009A4307"/>
    <w:rsid w:val="009A4AC0"/>
    <w:rsid w:val="009A4DF1"/>
    <w:rsid w:val="009A56C3"/>
    <w:rsid w:val="009A570F"/>
    <w:rsid w:val="009A6013"/>
    <w:rsid w:val="009A687A"/>
    <w:rsid w:val="009A6F49"/>
    <w:rsid w:val="009A71C8"/>
    <w:rsid w:val="009A754D"/>
    <w:rsid w:val="009A7E6D"/>
    <w:rsid w:val="009B02BA"/>
    <w:rsid w:val="009B065A"/>
    <w:rsid w:val="009B0A04"/>
    <w:rsid w:val="009B1406"/>
    <w:rsid w:val="009B164D"/>
    <w:rsid w:val="009B2088"/>
    <w:rsid w:val="009B2229"/>
    <w:rsid w:val="009B22F1"/>
    <w:rsid w:val="009B271B"/>
    <w:rsid w:val="009B36EE"/>
    <w:rsid w:val="009B3AE4"/>
    <w:rsid w:val="009B3CB5"/>
    <w:rsid w:val="009B434F"/>
    <w:rsid w:val="009B4B5E"/>
    <w:rsid w:val="009B4D29"/>
    <w:rsid w:val="009B4D3D"/>
    <w:rsid w:val="009B534E"/>
    <w:rsid w:val="009B587B"/>
    <w:rsid w:val="009B5D1A"/>
    <w:rsid w:val="009B5FB2"/>
    <w:rsid w:val="009B6152"/>
    <w:rsid w:val="009B6163"/>
    <w:rsid w:val="009B6CA9"/>
    <w:rsid w:val="009B7071"/>
    <w:rsid w:val="009B7411"/>
    <w:rsid w:val="009B75B7"/>
    <w:rsid w:val="009B7788"/>
    <w:rsid w:val="009C1681"/>
    <w:rsid w:val="009C1B2B"/>
    <w:rsid w:val="009C2300"/>
    <w:rsid w:val="009C23FB"/>
    <w:rsid w:val="009C2449"/>
    <w:rsid w:val="009C27ED"/>
    <w:rsid w:val="009C2B5A"/>
    <w:rsid w:val="009C3E6A"/>
    <w:rsid w:val="009C3EFA"/>
    <w:rsid w:val="009C4F73"/>
    <w:rsid w:val="009C51C7"/>
    <w:rsid w:val="009C5B35"/>
    <w:rsid w:val="009C5BF8"/>
    <w:rsid w:val="009C5D09"/>
    <w:rsid w:val="009C5E65"/>
    <w:rsid w:val="009C6091"/>
    <w:rsid w:val="009C6ADA"/>
    <w:rsid w:val="009C7026"/>
    <w:rsid w:val="009C7705"/>
    <w:rsid w:val="009C7D6C"/>
    <w:rsid w:val="009D005A"/>
    <w:rsid w:val="009D00BE"/>
    <w:rsid w:val="009D0268"/>
    <w:rsid w:val="009D125E"/>
    <w:rsid w:val="009D1604"/>
    <w:rsid w:val="009D169C"/>
    <w:rsid w:val="009D16BA"/>
    <w:rsid w:val="009D20B8"/>
    <w:rsid w:val="009D2478"/>
    <w:rsid w:val="009D2E59"/>
    <w:rsid w:val="009D3B3D"/>
    <w:rsid w:val="009D40BD"/>
    <w:rsid w:val="009D476B"/>
    <w:rsid w:val="009D49C3"/>
    <w:rsid w:val="009D54CF"/>
    <w:rsid w:val="009D6DF1"/>
    <w:rsid w:val="009D738E"/>
    <w:rsid w:val="009D7507"/>
    <w:rsid w:val="009D76EA"/>
    <w:rsid w:val="009D77C9"/>
    <w:rsid w:val="009D7998"/>
    <w:rsid w:val="009D7ECF"/>
    <w:rsid w:val="009E004B"/>
    <w:rsid w:val="009E07F3"/>
    <w:rsid w:val="009E0ADE"/>
    <w:rsid w:val="009E1A06"/>
    <w:rsid w:val="009E2209"/>
    <w:rsid w:val="009E2241"/>
    <w:rsid w:val="009E244E"/>
    <w:rsid w:val="009E2620"/>
    <w:rsid w:val="009E30B4"/>
    <w:rsid w:val="009E3615"/>
    <w:rsid w:val="009E38AE"/>
    <w:rsid w:val="009E44FF"/>
    <w:rsid w:val="009E49EF"/>
    <w:rsid w:val="009E4FA9"/>
    <w:rsid w:val="009E69A9"/>
    <w:rsid w:val="009E69E4"/>
    <w:rsid w:val="009F02B2"/>
    <w:rsid w:val="009F02F5"/>
    <w:rsid w:val="009F0469"/>
    <w:rsid w:val="009F0766"/>
    <w:rsid w:val="009F0DC8"/>
    <w:rsid w:val="009F0FD6"/>
    <w:rsid w:val="009F1FD6"/>
    <w:rsid w:val="009F3835"/>
    <w:rsid w:val="009F3A4A"/>
    <w:rsid w:val="009F3CA5"/>
    <w:rsid w:val="009F3D21"/>
    <w:rsid w:val="009F400E"/>
    <w:rsid w:val="009F44B0"/>
    <w:rsid w:val="009F48F6"/>
    <w:rsid w:val="009F4AEC"/>
    <w:rsid w:val="009F4D15"/>
    <w:rsid w:val="009F570D"/>
    <w:rsid w:val="009F5860"/>
    <w:rsid w:val="009F5DAF"/>
    <w:rsid w:val="009F5DBB"/>
    <w:rsid w:val="009F5E13"/>
    <w:rsid w:val="009F6051"/>
    <w:rsid w:val="009F6594"/>
    <w:rsid w:val="009F66F0"/>
    <w:rsid w:val="00A01686"/>
    <w:rsid w:val="00A020A1"/>
    <w:rsid w:val="00A02DF9"/>
    <w:rsid w:val="00A02EC4"/>
    <w:rsid w:val="00A0349D"/>
    <w:rsid w:val="00A037F3"/>
    <w:rsid w:val="00A039C4"/>
    <w:rsid w:val="00A04873"/>
    <w:rsid w:val="00A04CB4"/>
    <w:rsid w:val="00A04CE9"/>
    <w:rsid w:val="00A0512E"/>
    <w:rsid w:val="00A05EEB"/>
    <w:rsid w:val="00A072F4"/>
    <w:rsid w:val="00A073C7"/>
    <w:rsid w:val="00A0774B"/>
    <w:rsid w:val="00A10A78"/>
    <w:rsid w:val="00A11257"/>
    <w:rsid w:val="00A113FD"/>
    <w:rsid w:val="00A11ECE"/>
    <w:rsid w:val="00A11F52"/>
    <w:rsid w:val="00A12870"/>
    <w:rsid w:val="00A13463"/>
    <w:rsid w:val="00A13ABA"/>
    <w:rsid w:val="00A13FE9"/>
    <w:rsid w:val="00A14171"/>
    <w:rsid w:val="00A1488C"/>
    <w:rsid w:val="00A15568"/>
    <w:rsid w:val="00A1599F"/>
    <w:rsid w:val="00A15D52"/>
    <w:rsid w:val="00A166CD"/>
    <w:rsid w:val="00A16743"/>
    <w:rsid w:val="00A16D68"/>
    <w:rsid w:val="00A17A4D"/>
    <w:rsid w:val="00A17FEA"/>
    <w:rsid w:val="00A2033D"/>
    <w:rsid w:val="00A2191D"/>
    <w:rsid w:val="00A21BD3"/>
    <w:rsid w:val="00A21E74"/>
    <w:rsid w:val="00A22146"/>
    <w:rsid w:val="00A22717"/>
    <w:rsid w:val="00A22AF8"/>
    <w:rsid w:val="00A22B51"/>
    <w:rsid w:val="00A22CA8"/>
    <w:rsid w:val="00A22D23"/>
    <w:rsid w:val="00A22E1A"/>
    <w:rsid w:val="00A22F60"/>
    <w:rsid w:val="00A22F96"/>
    <w:rsid w:val="00A23C3A"/>
    <w:rsid w:val="00A2434F"/>
    <w:rsid w:val="00A24A14"/>
    <w:rsid w:val="00A24DA9"/>
    <w:rsid w:val="00A25023"/>
    <w:rsid w:val="00A25837"/>
    <w:rsid w:val="00A258AA"/>
    <w:rsid w:val="00A25CE5"/>
    <w:rsid w:val="00A26479"/>
    <w:rsid w:val="00A26868"/>
    <w:rsid w:val="00A26A61"/>
    <w:rsid w:val="00A26BE0"/>
    <w:rsid w:val="00A2739D"/>
    <w:rsid w:val="00A2764F"/>
    <w:rsid w:val="00A2783C"/>
    <w:rsid w:val="00A27868"/>
    <w:rsid w:val="00A30740"/>
    <w:rsid w:val="00A30A66"/>
    <w:rsid w:val="00A31036"/>
    <w:rsid w:val="00A3193F"/>
    <w:rsid w:val="00A32773"/>
    <w:rsid w:val="00A32C10"/>
    <w:rsid w:val="00A32E67"/>
    <w:rsid w:val="00A32E98"/>
    <w:rsid w:val="00A334BB"/>
    <w:rsid w:val="00A3417C"/>
    <w:rsid w:val="00A3423B"/>
    <w:rsid w:val="00A3448C"/>
    <w:rsid w:val="00A34535"/>
    <w:rsid w:val="00A34E98"/>
    <w:rsid w:val="00A354DC"/>
    <w:rsid w:val="00A35C21"/>
    <w:rsid w:val="00A36189"/>
    <w:rsid w:val="00A3647F"/>
    <w:rsid w:val="00A36A67"/>
    <w:rsid w:val="00A36CA4"/>
    <w:rsid w:val="00A402E8"/>
    <w:rsid w:val="00A40A91"/>
    <w:rsid w:val="00A41733"/>
    <w:rsid w:val="00A42402"/>
    <w:rsid w:val="00A428F9"/>
    <w:rsid w:val="00A42B0F"/>
    <w:rsid w:val="00A42C4A"/>
    <w:rsid w:val="00A43ED8"/>
    <w:rsid w:val="00A4418C"/>
    <w:rsid w:val="00A445F9"/>
    <w:rsid w:val="00A44E90"/>
    <w:rsid w:val="00A454C8"/>
    <w:rsid w:val="00A457BC"/>
    <w:rsid w:val="00A458A9"/>
    <w:rsid w:val="00A45B71"/>
    <w:rsid w:val="00A4644B"/>
    <w:rsid w:val="00A466C0"/>
    <w:rsid w:val="00A46741"/>
    <w:rsid w:val="00A4751B"/>
    <w:rsid w:val="00A47888"/>
    <w:rsid w:val="00A507A0"/>
    <w:rsid w:val="00A50CD4"/>
    <w:rsid w:val="00A51315"/>
    <w:rsid w:val="00A515FD"/>
    <w:rsid w:val="00A51D4B"/>
    <w:rsid w:val="00A523AD"/>
    <w:rsid w:val="00A52466"/>
    <w:rsid w:val="00A52F9F"/>
    <w:rsid w:val="00A5300D"/>
    <w:rsid w:val="00A53066"/>
    <w:rsid w:val="00A536F7"/>
    <w:rsid w:val="00A5376C"/>
    <w:rsid w:val="00A53A01"/>
    <w:rsid w:val="00A5488C"/>
    <w:rsid w:val="00A548E0"/>
    <w:rsid w:val="00A54C2A"/>
    <w:rsid w:val="00A54D4A"/>
    <w:rsid w:val="00A54F15"/>
    <w:rsid w:val="00A54FC0"/>
    <w:rsid w:val="00A553B5"/>
    <w:rsid w:val="00A565DF"/>
    <w:rsid w:val="00A56C2E"/>
    <w:rsid w:val="00A57164"/>
    <w:rsid w:val="00A57F8E"/>
    <w:rsid w:val="00A60A8F"/>
    <w:rsid w:val="00A60FB8"/>
    <w:rsid w:val="00A610DB"/>
    <w:rsid w:val="00A61649"/>
    <w:rsid w:val="00A61D19"/>
    <w:rsid w:val="00A62279"/>
    <w:rsid w:val="00A62FD2"/>
    <w:rsid w:val="00A63464"/>
    <w:rsid w:val="00A63A39"/>
    <w:rsid w:val="00A63D45"/>
    <w:rsid w:val="00A64FC5"/>
    <w:rsid w:val="00A657DA"/>
    <w:rsid w:val="00A65C4E"/>
    <w:rsid w:val="00A67519"/>
    <w:rsid w:val="00A67935"/>
    <w:rsid w:val="00A70009"/>
    <w:rsid w:val="00A703A4"/>
    <w:rsid w:val="00A704A3"/>
    <w:rsid w:val="00A70E26"/>
    <w:rsid w:val="00A71004"/>
    <w:rsid w:val="00A71A39"/>
    <w:rsid w:val="00A71B03"/>
    <w:rsid w:val="00A71BC7"/>
    <w:rsid w:val="00A72570"/>
    <w:rsid w:val="00A727B7"/>
    <w:rsid w:val="00A7292A"/>
    <w:rsid w:val="00A72DD2"/>
    <w:rsid w:val="00A72EF8"/>
    <w:rsid w:val="00A7329A"/>
    <w:rsid w:val="00A73D24"/>
    <w:rsid w:val="00A73F0D"/>
    <w:rsid w:val="00A73FCF"/>
    <w:rsid w:val="00A73FE3"/>
    <w:rsid w:val="00A74353"/>
    <w:rsid w:val="00A74B2A"/>
    <w:rsid w:val="00A75528"/>
    <w:rsid w:val="00A75582"/>
    <w:rsid w:val="00A760DA"/>
    <w:rsid w:val="00A76272"/>
    <w:rsid w:val="00A767D1"/>
    <w:rsid w:val="00A775B4"/>
    <w:rsid w:val="00A80556"/>
    <w:rsid w:val="00A8065D"/>
    <w:rsid w:val="00A80AA4"/>
    <w:rsid w:val="00A81341"/>
    <w:rsid w:val="00A82D79"/>
    <w:rsid w:val="00A83025"/>
    <w:rsid w:val="00A834CF"/>
    <w:rsid w:val="00A847DD"/>
    <w:rsid w:val="00A849CC"/>
    <w:rsid w:val="00A84AD6"/>
    <w:rsid w:val="00A84B2B"/>
    <w:rsid w:val="00A84BAF"/>
    <w:rsid w:val="00A851A8"/>
    <w:rsid w:val="00A85484"/>
    <w:rsid w:val="00A85CAF"/>
    <w:rsid w:val="00A86046"/>
    <w:rsid w:val="00A8613D"/>
    <w:rsid w:val="00A86A60"/>
    <w:rsid w:val="00A872BA"/>
    <w:rsid w:val="00A874E7"/>
    <w:rsid w:val="00A87B21"/>
    <w:rsid w:val="00A906EE"/>
    <w:rsid w:val="00A90D1D"/>
    <w:rsid w:val="00A9120B"/>
    <w:rsid w:val="00A91CCF"/>
    <w:rsid w:val="00A922BD"/>
    <w:rsid w:val="00A92D1A"/>
    <w:rsid w:val="00A92F6C"/>
    <w:rsid w:val="00A9339C"/>
    <w:rsid w:val="00A93542"/>
    <w:rsid w:val="00A93A92"/>
    <w:rsid w:val="00A93C24"/>
    <w:rsid w:val="00A93DB4"/>
    <w:rsid w:val="00A9443D"/>
    <w:rsid w:val="00A94CD3"/>
    <w:rsid w:val="00A95380"/>
    <w:rsid w:val="00A9581B"/>
    <w:rsid w:val="00A9583C"/>
    <w:rsid w:val="00A9585B"/>
    <w:rsid w:val="00A967FD"/>
    <w:rsid w:val="00A9740D"/>
    <w:rsid w:val="00A97420"/>
    <w:rsid w:val="00A97532"/>
    <w:rsid w:val="00AA0BFE"/>
    <w:rsid w:val="00AA1B61"/>
    <w:rsid w:val="00AA1EF7"/>
    <w:rsid w:val="00AA23FA"/>
    <w:rsid w:val="00AA25FD"/>
    <w:rsid w:val="00AA3340"/>
    <w:rsid w:val="00AA386A"/>
    <w:rsid w:val="00AA3903"/>
    <w:rsid w:val="00AA3CF3"/>
    <w:rsid w:val="00AA4B82"/>
    <w:rsid w:val="00AA59A3"/>
    <w:rsid w:val="00AA5CD7"/>
    <w:rsid w:val="00AA6075"/>
    <w:rsid w:val="00AA6077"/>
    <w:rsid w:val="00AA636F"/>
    <w:rsid w:val="00AA6645"/>
    <w:rsid w:val="00AA72BF"/>
    <w:rsid w:val="00AB0455"/>
    <w:rsid w:val="00AB0AC8"/>
    <w:rsid w:val="00AB0B0C"/>
    <w:rsid w:val="00AB1B67"/>
    <w:rsid w:val="00AB1CF1"/>
    <w:rsid w:val="00AB3D79"/>
    <w:rsid w:val="00AB45C1"/>
    <w:rsid w:val="00AB53FA"/>
    <w:rsid w:val="00AB5FB8"/>
    <w:rsid w:val="00AB603D"/>
    <w:rsid w:val="00AB60AF"/>
    <w:rsid w:val="00AB727C"/>
    <w:rsid w:val="00AB739A"/>
    <w:rsid w:val="00AC053E"/>
    <w:rsid w:val="00AC09C8"/>
    <w:rsid w:val="00AC142C"/>
    <w:rsid w:val="00AC189F"/>
    <w:rsid w:val="00AC1964"/>
    <w:rsid w:val="00AC206E"/>
    <w:rsid w:val="00AC2766"/>
    <w:rsid w:val="00AC2C21"/>
    <w:rsid w:val="00AC2F10"/>
    <w:rsid w:val="00AC31C4"/>
    <w:rsid w:val="00AC331A"/>
    <w:rsid w:val="00AC38C1"/>
    <w:rsid w:val="00AC3E70"/>
    <w:rsid w:val="00AC3F1E"/>
    <w:rsid w:val="00AC4467"/>
    <w:rsid w:val="00AC51D3"/>
    <w:rsid w:val="00AC5482"/>
    <w:rsid w:val="00AC5728"/>
    <w:rsid w:val="00AC5923"/>
    <w:rsid w:val="00AC66A3"/>
    <w:rsid w:val="00AC684A"/>
    <w:rsid w:val="00AC6EA8"/>
    <w:rsid w:val="00AC7231"/>
    <w:rsid w:val="00AC7C96"/>
    <w:rsid w:val="00AD1329"/>
    <w:rsid w:val="00AD1682"/>
    <w:rsid w:val="00AD1E13"/>
    <w:rsid w:val="00AD226D"/>
    <w:rsid w:val="00AD2374"/>
    <w:rsid w:val="00AD241A"/>
    <w:rsid w:val="00AD2E66"/>
    <w:rsid w:val="00AD3371"/>
    <w:rsid w:val="00AD4760"/>
    <w:rsid w:val="00AD51F7"/>
    <w:rsid w:val="00AD5A86"/>
    <w:rsid w:val="00AD6240"/>
    <w:rsid w:val="00AD694E"/>
    <w:rsid w:val="00AD6D34"/>
    <w:rsid w:val="00AD75AE"/>
    <w:rsid w:val="00AD7C3E"/>
    <w:rsid w:val="00AD7DA8"/>
    <w:rsid w:val="00AE004A"/>
    <w:rsid w:val="00AE023F"/>
    <w:rsid w:val="00AE0255"/>
    <w:rsid w:val="00AE0414"/>
    <w:rsid w:val="00AE0A54"/>
    <w:rsid w:val="00AE0A6D"/>
    <w:rsid w:val="00AE0CF4"/>
    <w:rsid w:val="00AE1814"/>
    <w:rsid w:val="00AE201A"/>
    <w:rsid w:val="00AE22BC"/>
    <w:rsid w:val="00AE233D"/>
    <w:rsid w:val="00AE261B"/>
    <w:rsid w:val="00AE2E11"/>
    <w:rsid w:val="00AE3327"/>
    <w:rsid w:val="00AE35A0"/>
    <w:rsid w:val="00AE3820"/>
    <w:rsid w:val="00AE3937"/>
    <w:rsid w:val="00AE3C58"/>
    <w:rsid w:val="00AE3D54"/>
    <w:rsid w:val="00AE3F65"/>
    <w:rsid w:val="00AE4071"/>
    <w:rsid w:val="00AE49FE"/>
    <w:rsid w:val="00AE57B4"/>
    <w:rsid w:val="00AE5C70"/>
    <w:rsid w:val="00AE5D31"/>
    <w:rsid w:val="00AE6AE4"/>
    <w:rsid w:val="00AE6CC6"/>
    <w:rsid w:val="00AF0315"/>
    <w:rsid w:val="00AF03D2"/>
    <w:rsid w:val="00AF0AC9"/>
    <w:rsid w:val="00AF0ADF"/>
    <w:rsid w:val="00AF1197"/>
    <w:rsid w:val="00AF2349"/>
    <w:rsid w:val="00AF256D"/>
    <w:rsid w:val="00AF2929"/>
    <w:rsid w:val="00AF2A45"/>
    <w:rsid w:val="00AF3208"/>
    <w:rsid w:val="00AF3E0E"/>
    <w:rsid w:val="00AF422A"/>
    <w:rsid w:val="00AF43E5"/>
    <w:rsid w:val="00AF497C"/>
    <w:rsid w:val="00AF4E0A"/>
    <w:rsid w:val="00AF5A8D"/>
    <w:rsid w:val="00AF5EC7"/>
    <w:rsid w:val="00AF68CD"/>
    <w:rsid w:val="00AF77B9"/>
    <w:rsid w:val="00B008BE"/>
    <w:rsid w:val="00B009CB"/>
    <w:rsid w:val="00B009D1"/>
    <w:rsid w:val="00B01105"/>
    <w:rsid w:val="00B014F2"/>
    <w:rsid w:val="00B01A6D"/>
    <w:rsid w:val="00B02CEF"/>
    <w:rsid w:val="00B03CD0"/>
    <w:rsid w:val="00B041F1"/>
    <w:rsid w:val="00B042DD"/>
    <w:rsid w:val="00B04414"/>
    <w:rsid w:val="00B04577"/>
    <w:rsid w:val="00B047E7"/>
    <w:rsid w:val="00B0488C"/>
    <w:rsid w:val="00B04920"/>
    <w:rsid w:val="00B04A2C"/>
    <w:rsid w:val="00B0501E"/>
    <w:rsid w:val="00B052F6"/>
    <w:rsid w:val="00B0572C"/>
    <w:rsid w:val="00B05951"/>
    <w:rsid w:val="00B05A21"/>
    <w:rsid w:val="00B06323"/>
    <w:rsid w:val="00B10276"/>
    <w:rsid w:val="00B102D8"/>
    <w:rsid w:val="00B11671"/>
    <w:rsid w:val="00B117ED"/>
    <w:rsid w:val="00B11AB2"/>
    <w:rsid w:val="00B125F1"/>
    <w:rsid w:val="00B12AAA"/>
    <w:rsid w:val="00B12B4F"/>
    <w:rsid w:val="00B13297"/>
    <w:rsid w:val="00B138B0"/>
    <w:rsid w:val="00B142E3"/>
    <w:rsid w:val="00B14462"/>
    <w:rsid w:val="00B14CB9"/>
    <w:rsid w:val="00B14F1F"/>
    <w:rsid w:val="00B15472"/>
    <w:rsid w:val="00B1548A"/>
    <w:rsid w:val="00B158E3"/>
    <w:rsid w:val="00B15A2E"/>
    <w:rsid w:val="00B16036"/>
    <w:rsid w:val="00B162E6"/>
    <w:rsid w:val="00B16B3D"/>
    <w:rsid w:val="00B16EB4"/>
    <w:rsid w:val="00B176C9"/>
    <w:rsid w:val="00B17FC9"/>
    <w:rsid w:val="00B202DC"/>
    <w:rsid w:val="00B20D17"/>
    <w:rsid w:val="00B212E3"/>
    <w:rsid w:val="00B21B8E"/>
    <w:rsid w:val="00B21FB6"/>
    <w:rsid w:val="00B2254D"/>
    <w:rsid w:val="00B225CF"/>
    <w:rsid w:val="00B231ED"/>
    <w:rsid w:val="00B23218"/>
    <w:rsid w:val="00B23CDF"/>
    <w:rsid w:val="00B2401C"/>
    <w:rsid w:val="00B247F1"/>
    <w:rsid w:val="00B2494D"/>
    <w:rsid w:val="00B24AB2"/>
    <w:rsid w:val="00B24E95"/>
    <w:rsid w:val="00B24FA2"/>
    <w:rsid w:val="00B250F2"/>
    <w:rsid w:val="00B25117"/>
    <w:rsid w:val="00B253BF"/>
    <w:rsid w:val="00B25F39"/>
    <w:rsid w:val="00B26590"/>
    <w:rsid w:val="00B26622"/>
    <w:rsid w:val="00B2711B"/>
    <w:rsid w:val="00B27859"/>
    <w:rsid w:val="00B27A37"/>
    <w:rsid w:val="00B30158"/>
    <w:rsid w:val="00B301E8"/>
    <w:rsid w:val="00B30213"/>
    <w:rsid w:val="00B308D2"/>
    <w:rsid w:val="00B3092A"/>
    <w:rsid w:val="00B30E20"/>
    <w:rsid w:val="00B30F18"/>
    <w:rsid w:val="00B316DB"/>
    <w:rsid w:val="00B31DC2"/>
    <w:rsid w:val="00B3202A"/>
    <w:rsid w:val="00B32D13"/>
    <w:rsid w:val="00B33302"/>
    <w:rsid w:val="00B33574"/>
    <w:rsid w:val="00B33711"/>
    <w:rsid w:val="00B33EB0"/>
    <w:rsid w:val="00B3489D"/>
    <w:rsid w:val="00B34FBE"/>
    <w:rsid w:val="00B35EE8"/>
    <w:rsid w:val="00B36390"/>
    <w:rsid w:val="00B36625"/>
    <w:rsid w:val="00B36809"/>
    <w:rsid w:val="00B36E86"/>
    <w:rsid w:val="00B3735A"/>
    <w:rsid w:val="00B37B5A"/>
    <w:rsid w:val="00B37E1D"/>
    <w:rsid w:val="00B405C7"/>
    <w:rsid w:val="00B4155A"/>
    <w:rsid w:val="00B4170D"/>
    <w:rsid w:val="00B41817"/>
    <w:rsid w:val="00B41CAB"/>
    <w:rsid w:val="00B4205E"/>
    <w:rsid w:val="00B42DA0"/>
    <w:rsid w:val="00B43CCC"/>
    <w:rsid w:val="00B44352"/>
    <w:rsid w:val="00B44B08"/>
    <w:rsid w:val="00B44C61"/>
    <w:rsid w:val="00B45AD7"/>
    <w:rsid w:val="00B45ADE"/>
    <w:rsid w:val="00B45D74"/>
    <w:rsid w:val="00B46084"/>
    <w:rsid w:val="00B46455"/>
    <w:rsid w:val="00B465AE"/>
    <w:rsid w:val="00B46AB7"/>
    <w:rsid w:val="00B46FA4"/>
    <w:rsid w:val="00B4735F"/>
    <w:rsid w:val="00B47A29"/>
    <w:rsid w:val="00B47EE9"/>
    <w:rsid w:val="00B47F8E"/>
    <w:rsid w:val="00B501D3"/>
    <w:rsid w:val="00B50CE1"/>
    <w:rsid w:val="00B50E65"/>
    <w:rsid w:val="00B52074"/>
    <w:rsid w:val="00B5295E"/>
    <w:rsid w:val="00B52B35"/>
    <w:rsid w:val="00B52F3A"/>
    <w:rsid w:val="00B53042"/>
    <w:rsid w:val="00B5318C"/>
    <w:rsid w:val="00B5397E"/>
    <w:rsid w:val="00B5397F"/>
    <w:rsid w:val="00B53CB9"/>
    <w:rsid w:val="00B53E41"/>
    <w:rsid w:val="00B55200"/>
    <w:rsid w:val="00B552D3"/>
    <w:rsid w:val="00B55B5D"/>
    <w:rsid w:val="00B55BD8"/>
    <w:rsid w:val="00B55F88"/>
    <w:rsid w:val="00B56AC2"/>
    <w:rsid w:val="00B56E60"/>
    <w:rsid w:val="00B57354"/>
    <w:rsid w:val="00B5753B"/>
    <w:rsid w:val="00B57960"/>
    <w:rsid w:val="00B57C97"/>
    <w:rsid w:val="00B57D2A"/>
    <w:rsid w:val="00B633E4"/>
    <w:rsid w:val="00B63FCA"/>
    <w:rsid w:val="00B64547"/>
    <w:rsid w:val="00B6486E"/>
    <w:rsid w:val="00B6564E"/>
    <w:rsid w:val="00B65794"/>
    <w:rsid w:val="00B65AB1"/>
    <w:rsid w:val="00B65B54"/>
    <w:rsid w:val="00B65C55"/>
    <w:rsid w:val="00B661FE"/>
    <w:rsid w:val="00B6658E"/>
    <w:rsid w:val="00B6685A"/>
    <w:rsid w:val="00B668F0"/>
    <w:rsid w:val="00B67104"/>
    <w:rsid w:val="00B6742E"/>
    <w:rsid w:val="00B674BA"/>
    <w:rsid w:val="00B6769F"/>
    <w:rsid w:val="00B6783E"/>
    <w:rsid w:val="00B67913"/>
    <w:rsid w:val="00B67AA5"/>
    <w:rsid w:val="00B71388"/>
    <w:rsid w:val="00B71ABA"/>
    <w:rsid w:val="00B71C49"/>
    <w:rsid w:val="00B71DDD"/>
    <w:rsid w:val="00B72263"/>
    <w:rsid w:val="00B722E8"/>
    <w:rsid w:val="00B72362"/>
    <w:rsid w:val="00B72748"/>
    <w:rsid w:val="00B72A32"/>
    <w:rsid w:val="00B73342"/>
    <w:rsid w:val="00B733E2"/>
    <w:rsid w:val="00B7385F"/>
    <w:rsid w:val="00B7406F"/>
    <w:rsid w:val="00B74E51"/>
    <w:rsid w:val="00B750D9"/>
    <w:rsid w:val="00B752FC"/>
    <w:rsid w:val="00B75467"/>
    <w:rsid w:val="00B775BE"/>
    <w:rsid w:val="00B80113"/>
    <w:rsid w:val="00B80AD6"/>
    <w:rsid w:val="00B814C2"/>
    <w:rsid w:val="00B816AD"/>
    <w:rsid w:val="00B8183B"/>
    <w:rsid w:val="00B819E7"/>
    <w:rsid w:val="00B823FA"/>
    <w:rsid w:val="00B82C40"/>
    <w:rsid w:val="00B82E7E"/>
    <w:rsid w:val="00B8326B"/>
    <w:rsid w:val="00B8377D"/>
    <w:rsid w:val="00B83E73"/>
    <w:rsid w:val="00B84AEA"/>
    <w:rsid w:val="00B84D1F"/>
    <w:rsid w:val="00B84DB3"/>
    <w:rsid w:val="00B85707"/>
    <w:rsid w:val="00B8581A"/>
    <w:rsid w:val="00B85DEE"/>
    <w:rsid w:val="00B86B77"/>
    <w:rsid w:val="00B86BB5"/>
    <w:rsid w:val="00B875A3"/>
    <w:rsid w:val="00B8762C"/>
    <w:rsid w:val="00B8767A"/>
    <w:rsid w:val="00B876BD"/>
    <w:rsid w:val="00B87BE5"/>
    <w:rsid w:val="00B87E4F"/>
    <w:rsid w:val="00B90252"/>
    <w:rsid w:val="00B903EE"/>
    <w:rsid w:val="00B904B2"/>
    <w:rsid w:val="00B907A7"/>
    <w:rsid w:val="00B90AB2"/>
    <w:rsid w:val="00B90DF4"/>
    <w:rsid w:val="00B9140A"/>
    <w:rsid w:val="00B917B8"/>
    <w:rsid w:val="00B91976"/>
    <w:rsid w:val="00B92298"/>
    <w:rsid w:val="00B92351"/>
    <w:rsid w:val="00B926A1"/>
    <w:rsid w:val="00B92AA7"/>
    <w:rsid w:val="00B92ABC"/>
    <w:rsid w:val="00B92CCE"/>
    <w:rsid w:val="00B9307D"/>
    <w:rsid w:val="00B93586"/>
    <w:rsid w:val="00B93BDC"/>
    <w:rsid w:val="00B93EA4"/>
    <w:rsid w:val="00B940AF"/>
    <w:rsid w:val="00B9498B"/>
    <w:rsid w:val="00B94D3E"/>
    <w:rsid w:val="00B94F8C"/>
    <w:rsid w:val="00B95257"/>
    <w:rsid w:val="00B95A9F"/>
    <w:rsid w:val="00B95C87"/>
    <w:rsid w:val="00B9603B"/>
    <w:rsid w:val="00B97144"/>
    <w:rsid w:val="00B9794D"/>
    <w:rsid w:val="00B97A2C"/>
    <w:rsid w:val="00B97B85"/>
    <w:rsid w:val="00BA00FE"/>
    <w:rsid w:val="00BA03D3"/>
    <w:rsid w:val="00BA03FF"/>
    <w:rsid w:val="00BA0C00"/>
    <w:rsid w:val="00BA0EA4"/>
    <w:rsid w:val="00BA1016"/>
    <w:rsid w:val="00BA16EA"/>
    <w:rsid w:val="00BA1FF1"/>
    <w:rsid w:val="00BA22DD"/>
    <w:rsid w:val="00BA2EC3"/>
    <w:rsid w:val="00BA37DB"/>
    <w:rsid w:val="00BA3D17"/>
    <w:rsid w:val="00BA3F4A"/>
    <w:rsid w:val="00BA40EE"/>
    <w:rsid w:val="00BA49F6"/>
    <w:rsid w:val="00BA7203"/>
    <w:rsid w:val="00BB02B1"/>
    <w:rsid w:val="00BB05CF"/>
    <w:rsid w:val="00BB06D0"/>
    <w:rsid w:val="00BB07CD"/>
    <w:rsid w:val="00BB093D"/>
    <w:rsid w:val="00BB181F"/>
    <w:rsid w:val="00BB1B05"/>
    <w:rsid w:val="00BB1CAF"/>
    <w:rsid w:val="00BB1DDB"/>
    <w:rsid w:val="00BB205E"/>
    <w:rsid w:val="00BB211A"/>
    <w:rsid w:val="00BB360B"/>
    <w:rsid w:val="00BB370A"/>
    <w:rsid w:val="00BB44FF"/>
    <w:rsid w:val="00BB4516"/>
    <w:rsid w:val="00BB457A"/>
    <w:rsid w:val="00BB5450"/>
    <w:rsid w:val="00BB6240"/>
    <w:rsid w:val="00BB66F1"/>
    <w:rsid w:val="00BB7EB3"/>
    <w:rsid w:val="00BC0224"/>
    <w:rsid w:val="00BC1115"/>
    <w:rsid w:val="00BC1443"/>
    <w:rsid w:val="00BC14DC"/>
    <w:rsid w:val="00BC1565"/>
    <w:rsid w:val="00BC171C"/>
    <w:rsid w:val="00BC1CB4"/>
    <w:rsid w:val="00BC25D7"/>
    <w:rsid w:val="00BC27C1"/>
    <w:rsid w:val="00BC2B1A"/>
    <w:rsid w:val="00BC3786"/>
    <w:rsid w:val="00BC3F00"/>
    <w:rsid w:val="00BC3F4F"/>
    <w:rsid w:val="00BC4581"/>
    <w:rsid w:val="00BC4E17"/>
    <w:rsid w:val="00BC5613"/>
    <w:rsid w:val="00BC5A20"/>
    <w:rsid w:val="00BC5BC9"/>
    <w:rsid w:val="00BC647A"/>
    <w:rsid w:val="00BC675A"/>
    <w:rsid w:val="00BC735A"/>
    <w:rsid w:val="00BC77D6"/>
    <w:rsid w:val="00BC78C7"/>
    <w:rsid w:val="00BC7C85"/>
    <w:rsid w:val="00BC7D23"/>
    <w:rsid w:val="00BC7D57"/>
    <w:rsid w:val="00BC7EB1"/>
    <w:rsid w:val="00BD029F"/>
    <w:rsid w:val="00BD0DC3"/>
    <w:rsid w:val="00BD1429"/>
    <w:rsid w:val="00BD16E7"/>
    <w:rsid w:val="00BD1C17"/>
    <w:rsid w:val="00BD2BE2"/>
    <w:rsid w:val="00BD30E5"/>
    <w:rsid w:val="00BD3249"/>
    <w:rsid w:val="00BD365A"/>
    <w:rsid w:val="00BD3AD6"/>
    <w:rsid w:val="00BD3C0B"/>
    <w:rsid w:val="00BD4A0E"/>
    <w:rsid w:val="00BD4AC7"/>
    <w:rsid w:val="00BD519A"/>
    <w:rsid w:val="00BD5633"/>
    <w:rsid w:val="00BD56CA"/>
    <w:rsid w:val="00BD5C3B"/>
    <w:rsid w:val="00BD74B3"/>
    <w:rsid w:val="00BD77CB"/>
    <w:rsid w:val="00BD78BF"/>
    <w:rsid w:val="00BE05B6"/>
    <w:rsid w:val="00BE06A7"/>
    <w:rsid w:val="00BE07F2"/>
    <w:rsid w:val="00BE09C2"/>
    <w:rsid w:val="00BE09F3"/>
    <w:rsid w:val="00BE1178"/>
    <w:rsid w:val="00BE13CC"/>
    <w:rsid w:val="00BE19B7"/>
    <w:rsid w:val="00BE1DE3"/>
    <w:rsid w:val="00BE1E4B"/>
    <w:rsid w:val="00BE220A"/>
    <w:rsid w:val="00BE23FD"/>
    <w:rsid w:val="00BE2F9C"/>
    <w:rsid w:val="00BE3071"/>
    <w:rsid w:val="00BE323C"/>
    <w:rsid w:val="00BE334B"/>
    <w:rsid w:val="00BE33E0"/>
    <w:rsid w:val="00BE3CE1"/>
    <w:rsid w:val="00BE465C"/>
    <w:rsid w:val="00BE48AF"/>
    <w:rsid w:val="00BE494B"/>
    <w:rsid w:val="00BE4A9B"/>
    <w:rsid w:val="00BE4E4A"/>
    <w:rsid w:val="00BE4E87"/>
    <w:rsid w:val="00BE555F"/>
    <w:rsid w:val="00BE5B04"/>
    <w:rsid w:val="00BE60A0"/>
    <w:rsid w:val="00BE6480"/>
    <w:rsid w:val="00BE6959"/>
    <w:rsid w:val="00BE69A4"/>
    <w:rsid w:val="00BE6D10"/>
    <w:rsid w:val="00BE7590"/>
    <w:rsid w:val="00BE7642"/>
    <w:rsid w:val="00BE79E8"/>
    <w:rsid w:val="00BE7A3F"/>
    <w:rsid w:val="00BE7A42"/>
    <w:rsid w:val="00BE7AB4"/>
    <w:rsid w:val="00BE7C89"/>
    <w:rsid w:val="00BE7EA8"/>
    <w:rsid w:val="00BF00DD"/>
    <w:rsid w:val="00BF020D"/>
    <w:rsid w:val="00BF0286"/>
    <w:rsid w:val="00BF065B"/>
    <w:rsid w:val="00BF0666"/>
    <w:rsid w:val="00BF08B4"/>
    <w:rsid w:val="00BF09A4"/>
    <w:rsid w:val="00BF1028"/>
    <w:rsid w:val="00BF1035"/>
    <w:rsid w:val="00BF193A"/>
    <w:rsid w:val="00BF1B29"/>
    <w:rsid w:val="00BF1D0F"/>
    <w:rsid w:val="00BF1EC3"/>
    <w:rsid w:val="00BF2307"/>
    <w:rsid w:val="00BF2B98"/>
    <w:rsid w:val="00BF3A86"/>
    <w:rsid w:val="00BF3BA0"/>
    <w:rsid w:val="00BF3BDF"/>
    <w:rsid w:val="00BF3C6F"/>
    <w:rsid w:val="00BF3CBC"/>
    <w:rsid w:val="00BF3D32"/>
    <w:rsid w:val="00BF3EB5"/>
    <w:rsid w:val="00BF42BD"/>
    <w:rsid w:val="00BF4E5B"/>
    <w:rsid w:val="00BF50AE"/>
    <w:rsid w:val="00BF5292"/>
    <w:rsid w:val="00BF529D"/>
    <w:rsid w:val="00BF5594"/>
    <w:rsid w:val="00BF5727"/>
    <w:rsid w:val="00BF5B6A"/>
    <w:rsid w:val="00BF5BB8"/>
    <w:rsid w:val="00BF6479"/>
    <w:rsid w:val="00BF6FF8"/>
    <w:rsid w:val="00BF78B5"/>
    <w:rsid w:val="00BF7B20"/>
    <w:rsid w:val="00C00517"/>
    <w:rsid w:val="00C008B3"/>
    <w:rsid w:val="00C00A46"/>
    <w:rsid w:val="00C00AF2"/>
    <w:rsid w:val="00C00FB2"/>
    <w:rsid w:val="00C0293C"/>
    <w:rsid w:val="00C02AD2"/>
    <w:rsid w:val="00C02D71"/>
    <w:rsid w:val="00C02E90"/>
    <w:rsid w:val="00C02ED5"/>
    <w:rsid w:val="00C02FD1"/>
    <w:rsid w:val="00C0357B"/>
    <w:rsid w:val="00C036E7"/>
    <w:rsid w:val="00C03C12"/>
    <w:rsid w:val="00C03D37"/>
    <w:rsid w:val="00C0483C"/>
    <w:rsid w:val="00C05170"/>
    <w:rsid w:val="00C056E6"/>
    <w:rsid w:val="00C05A23"/>
    <w:rsid w:val="00C05DE7"/>
    <w:rsid w:val="00C05F22"/>
    <w:rsid w:val="00C05FAC"/>
    <w:rsid w:val="00C06397"/>
    <w:rsid w:val="00C065A1"/>
    <w:rsid w:val="00C06DC7"/>
    <w:rsid w:val="00C07724"/>
    <w:rsid w:val="00C10496"/>
    <w:rsid w:val="00C10DE9"/>
    <w:rsid w:val="00C11722"/>
    <w:rsid w:val="00C11DA8"/>
    <w:rsid w:val="00C128E6"/>
    <w:rsid w:val="00C12D4D"/>
    <w:rsid w:val="00C1312C"/>
    <w:rsid w:val="00C131DA"/>
    <w:rsid w:val="00C134AD"/>
    <w:rsid w:val="00C14F28"/>
    <w:rsid w:val="00C1542B"/>
    <w:rsid w:val="00C15460"/>
    <w:rsid w:val="00C162F7"/>
    <w:rsid w:val="00C16782"/>
    <w:rsid w:val="00C169F6"/>
    <w:rsid w:val="00C16A28"/>
    <w:rsid w:val="00C175DE"/>
    <w:rsid w:val="00C17B2E"/>
    <w:rsid w:val="00C17C24"/>
    <w:rsid w:val="00C17E39"/>
    <w:rsid w:val="00C202A9"/>
    <w:rsid w:val="00C2113A"/>
    <w:rsid w:val="00C2149E"/>
    <w:rsid w:val="00C21884"/>
    <w:rsid w:val="00C21DA3"/>
    <w:rsid w:val="00C21EEF"/>
    <w:rsid w:val="00C2214A"/>
    <w:rsid w:val="00C221F7"/>
    <w:rsid w:val="00C22B65"/>
    <w:rsid w:val="00C23414"/>
    <w:rsid w:val="00C23666"/>
    <w:rsid w:val="00C239D6"/>
    <w:rsid w:val="00C23CBE"/>
    <w:rsid w:val="00C24248"/>
    <w:rsid w:val="00C24842"/>
    <w:rsid w:val="00C24A20"/>
    <w:rsid w:val="00C250B7"/>
    <w:rsid w:val="00C2538A"/>
    <w:rsid w:val="00C25C79"/>
    <w:rsid w:val="00C26985"/>
    <w:rsid w:val="00C26BBD"/>
    <w:rsid w:val="00C26BD2"/>
    <w:rsid w:val="00C27091"/>
    <w:rsid w:val="00C27335"/>
    <w:rsid w:val="00C27AE4"/>
    <w:rsid w:val="00C30882"/>
    <w:rsid w:val="00C30C30"/>
    <w:rsid w:val="00C310DC"/>
    <w:rsid w:val="00C31121"/>
    <w:rsid w:val="00C3133F"/>
    <w:rsid w:val="00C3137B"/>
    <w:rsid w:val="00C31842"/>
    <w:rsid w:val="00C31DE4"/>
    <w:rsid w:val="00C31EC0"/>
    <w:rsid w:val="00C32016"/>
    <w:rsid w:val="00C323D7"/>
    <w:rsid w:val="00C32645"/>
    <w:rsid w:val="00C32CB3"/>
    <w:rsid w:val="00C33222"/>
    <w:rsid w:val="00C34225"/>
    <w:rsid w:val="00C342F4"/>
    <w:rsid w:val="00C34381"/>
    <w:rsid w:val="00C3474C"/>
    <w:rsid w:val="00C35330"/>
    <w:rsid w:val="00C3537E"/>
    <w:rsid w:val="00C37D13"/>
    <w:rsid w:val="00C40828"/>
    <w:rsid w:val="00C41244"/>
    <w:rsid w:val="00C41ABB"/>
    <w:rsid w:val="00C41DC5"/>
    <w:rsid w:val="00C41F0F"/>
    <w:rsid w:val="00C42224"/>
    <w:rsid w:val="00C429B9"/>
    <w:rsid w:val="00C43588"/>
    <w:rsid w:val="00C440E8"/>
    <w:rsid w:val="00C44748"/>
    <w:rsid w:val="00C44EED"/>
    <w:rsid w:val="00C45091"/>
    <w:rsid w:val="00C45741"/>
    <w:rsid w:val="00C459D0"/>
    <w:rsid w:val="00C459EF"/>
    <w:rsid w:val="00C45A85"/>
    <w:rsid w:val="00C45F0D"/>
    <w:rsid w:val="00C462B6"/>
    <w:rsid w:val="00C464C5"/>
    <w:rsid w:val="00C4650A"/>
    <w:rsid w:val="00C4692C"/>
    <w:rsid w:val="00C46BD6"/>
    <w:rsid w:val="00C46DA6"/>
    <w:rsid w:val="00C47521"/>
    <w:rsid w:val="00C47C1F"/>
    <w:rsid w:val="00C506AE"/>
    <w:rsid w:val="00C50CAD"/>
    <w:rsid w:val="00C517A8"/>
    <w:rsid w:val="00C51B3A"/>
    <w:rsid w:val="00C51FFA"/>
    <w:rsid w:val="00C5295B"/>
    <w:rsid w:val="00C52DB9"/>
    <w:rsid w:val="00C53E6F"/>
    <w:rsid w:val="00C54444"/>
    <w:rsid w:val="00C55F2A"/>
    <w:rsid w:val="00C55F33"/>
    <w:rsid w:val="00C560E7"/>
    <w:rsid w:val="00C561F6"/>
    <w:rsid w:val="00C565BC"/>
    <w:rsid w:val="00C56D7A"/>
    <w:rsid w:val="00C57268"/>
    <w:rsid w:val="00C600C7"/>
    <w:rsid w:val="00C60828"/>
    <w:rsid w:val="00C6118D"/>
    <w:rsid w:val="00C6143E"/>
    <w:rsid w:val="00C61F8C"/>
    <w:rsid w:val="00C6217C"/>
    <w:rsid w:val="00C63255"/>
    <w:rsid w:val="00C63BF5"/>
    <w:rsid w:val="00C63E2F"/>
    <w:rsid w:val="00C6557E"/>
    <w:rsid w:val="00C655C3"/>
    <w:rsid w:val="00C65856"/>
    <w:rsid w:val="00C65A28"/>
    <w:rsid w:val="00C65ECC"/>
    <w:rsid w:val="00C65F9A"/>
    <w:rsid w:val="00C66125"/>
    <w:rsid w:val="00C66F9B"/>
    <w:rsid w:val="00C6723D"/>
    <w:rsid w:val="00C6748B"/>
    <w:rsid w:val="00C677D6"/>
    <w:rsid w:val="00C67825"/>
    <w:rsid w:val="00C67CC2"/>
    <w:rsid w:val="00C701FD"/>
    <w:rsid w:val="00C704AE"/>
    <w:rsid w:val="00C70DE4"/>
    <w:rsid w:val="00C71904"/>
    <w:rsid w:val="00C71A95"/>
    <w:rsid w:val="00C71EBB"/>
    <w:rsid w:val="00C72E07"/>
    <w:rsid w:val="00C73019"/>
    <w:rsid w:val="00C7311E"/>
    <w:rsid w:val="00C73218"/>
    <w:rsid w:val="00C73D6E"/>
    <w:rsid w:val="00C73E1D"/>
    <w:rsid w:val="00C744F1"/>
    <w:rsid w:val="00C7487D"/>
    <w:rsid w:val="00C74DC1"/>
    <w:rsid w:val="00C7597C"/>
    <w:rsid w:val="00C765BE"/>
    <w:rsid w:val="00C76664"/>
    <w:rsid w:val="00C76864"/>
    <w:rsid w:val="00C76F9E"/>
    <w:rsid w:val="00C77D29"/>
    <w:rsid w:val="00C819F6"/>
    <w:rsid w:val="00C81C6C"/>
    <w:rsid w:val="00C81CE8"/>
    <w:rsid w:val="00C82A4A"/>
    <w:rsid w:val="00C8303C"/>
    <w:rsid w:val="00C831C3"/>
    <w:rsid w:val="00C83E7F"/>
    <w:rsid w:val="00C843D1"/>
    <w:rsid w:val="00C849B4"/>
    <w:rsid w:val="00C84A7B"/>
    <w:rsid w:val="00C84BF7"/>
    <w:rsid w:val="00C85A01"/>
    <w:rsid w:val="00C860E8"/>
    <w:rsid w:val="00C8706E"/>
    <w:rsid w:val="00C87333"/>
    <w:rsid w:val="00C874E5"/>
    <w:rsid w:val="00C87808"/>
    <w:rsid w:val="00C87921"/>
    <w:rsid w:val="00C90008"/>
    <w:rsid w:val="00C90350"/>
    <w:rsid w:val="00C9078C"/>
    <w:rsid w:val="00C90904"/>
    <w:rsid w:val="00C9114C"/>
    <w:rsid w:val="00C91FF8"/>
    <w:rsid w:val="00C92386"/>
    <w:rsid w:val="00C92905"/>
    <w:rsid w:val="00C92AD6"/>
    <w:rsid w:val="00C93804"/>
    <w:rsid w:val="00C94875"/>
    <w:rsid w:val="00C94920"/>
    <w:rsid w:val="00C94C43"/>
    <w:rsid w:val="00C94FB9"/>
    <w:rsid w:val="00C9576C"/>
    <w:rsid w:val="00C95DDE"/>
    <w:rsid w:val="00C962A7"/>
    <w:rsid w:val="00C967BD"/>
    <w:rsid w:val="00C971CD"/>
    <w:rsid w:val="00C97457"/>
    <w:rsid w:val="00C975AC"/>
    <w:rsid w:val="00C9762E"/>
    <w:rsid w:val="00C97BC6"/>
    <w:rsid w:val="00CA017A"/>
    <w:rsid w:val="00CA11BF"/>
    <w:rsid w:val="00CA174C"/>
    <w:rsid w:val="00CA1906"/>
    <w:rsid w:val="00CA1DBA"/>
    <w:rsid w:val="00CA2133"/>
    <w:rsid w:val="00CA2272"/>
    <w:rsid w:val="00CA22D5"/>
    <w:rsid w:val="00CA2A24"/>
    <w:rsid w:val="00CA337A"/>
    <w:rsid w:val="00CA36D1"/>
    <w:rsid w:val="00CA378F"/>
    <w:rsid w:val="00CA3EAB"/>
    <w:rsid w:val="00CA3F6E"/>
    <w:rsid w:val="00CA40AF"/>
    <w:rsid w:val="00CA4603"/>
    <w:rsid w:val="00CA4BF5"/>
    <w:rsid w:val="00CA4DCC"/>
    <w:rsid w:val="00CA63E4"/>
    <w:rsid w:val="00CA69A8"/>
    <w:rsid w:val="00CA75B3"/>
    <w:rsid w:val="00CA7745"/>
    <w:rsid w:val="00CA7AC7"/>
    <w:rsid w:val="00CB02EB"/>
    <w:rsid w:val="00CB030B"/>
    <w:rsid w:val="00CB03BE"/>
    <w:rsid w:val="00CB0662"/>
    <w:rsid w:val="00CB1A38"/>
    <w:rsid w:val="00CB1CC3"/>
    <w:rsid w:val="00CB2103"/>
    <w:rsid w:val="00CB256F"/>
    <w:rsid w:val="00CB2B6F"/>
    <w:rsid w:val="00CB2D19"/>
    <w:rsid w:val="00CB2D54"/>
    <w:rsid w:val="00CB2F25"/>
    <w:rsid w:val="00CB3313"/>
    <w:rsid w:val="00CB39A1"/>
    <w:rsid w:val="00CB3A4D"/>
    <w:rsid w:val="00CB40D8"/>
    <w:rsid w:val="00CB494B"/>
    <w:rsid w:val="00CB4BD7"/>
    <w:rsid w:val="00CB4C17"/>
    <w:rsid w:val="00CB5541"/>
    <w:rsid w:val="00CB5673"/>
    <w:rsid w:val="00CB59D9"/>
    <w:rsid w:val="00CB5D82"/>
    <w:rsid w:val="00CB6C46"/>
    <w:rsid w:val="00CB6C83"/>
    <w:rsid w:val="00CB7A82"/>
    <w:rsid w:val="00CC0185"/>
    <w:rsid w:val="00CC0B1B"/>
    <w:rsid w:val="00CC12BC"/>
    <w:rsid w:val="00CC156F"/>
    <w:rsid w:val="00CC2115"/>
    <w:rsid w:val="00CC2997"/>
    <w:rsid w:val="00CC2C94"/>
    <w:rsid w:val="00CC333F"/>
    <w:rsid w:val="00CC396A"/>
    <w:rsid w:val="00CC3E54"/>
    <w:rsid w:val="00CC407B"/>
    <w:rsid w:val="00CC40BE"/>
    <w:rsid w:val="00CC485A"/>
    <w:rsid w:val="00CC4C1B"/>
    <w:rsid w:val="00CC4FE9"/>
    <w:rsid w:val="00CC5ADA"/>
    <w:rsid w:val="00CC5DB1"/>
    <w:rsid w:val="00CC5DCC"/>
    <w:rsid w:val="00CC6302"/>
    <w:rsid w:val="00CC631B"/>
    <w:rsid w:val="00CC639B"/>
    <w:rsid w:val="00CC693F"/>
    <w:rsid w:val="00CC6DC9"/>
    <w:rsid w:val="00CC7ABD"/>
    <w:rsid w:val="00CC7AFC"/>
    <w:rsid w:val="00CD036E"/>
    <w:rsid w:val="00CD0A8D"/>
    <w:rsid w:val="00CD137E"/>
    <w:rsid w:val="00CD195A"/>
    <w:rsid w:val="00CD1BDC"/>
    <w:rsid w:val="00CD2069"/>
    <w:rsid w:val="00CD2220"/>
    <w:rsid w:val="00CD2277"/>
    <w:rsid w:val="00CD24B4"/>
    <w:rsid w:val="00CD2740"/>
    <w:rsid w:val="00CD338B"/>
    <w:rsid w:val="00CD3E40"/>
    <w:rsid w:val="00CD3EB6"/>
    <w:rsid w:val="00CD42DC"/>
    <w:rsid w:val="00CD4472"/>
    <w:rsid w:val="00CD46CB"/>
    <w:rsid w:val="00CD4FD6"/>
    <w:rsid w:val="00CD505C"/>
    <w:rsid w:val="00CD535E"/>
    <w:rsid w:val="00CD538F"/>
    <w:rsid w:val="00CD5AD4"/>
    <w:rsid w:val="00CD600F"/>
    <w:rsid w:val="00CD63D6"/>
    <w:rsid w:val="00CD64F2"/>
    <w:rsid w:val="00CD7CE3"/>
    <w:rsid w:val="00CE0B04"/>
    <w:rsid w:val="00CE0F49"/>
    <w:rsid w:val="00CE0F5B"/>
    <w:rsid w:val="00CE1224"/>
    <w:rsid w:val="00CE14D5"/>
    <w:rsid w:val="00CE1E28"/>
    <w:rsid w:val="00CE22B1"/>
    <w:rsid w:val="00CE2FC8"/>
    <w:rsid w:val="00CE4417"/>
    <w:rsid w:val="00CE576B"/>
    <w:rsid w:val="00CE58D8"/>
    <w:rsid w:val="00CE5B6D"/>
    <w:rsid w:val="00CE6CAE"/>
    <w:rsid w:val="00CE76D2"/>
    <w:rsid w:val="00CE7B70"/>
    <w:rsid w:val="00CE7B9F"/>
    <w:rsid w:val="00CE7BFA"/>
    <w:rsid w:val="00CF0912"/>
    <w:rsid w:val="00CF20DC"/>
    <w:rsid w:val="00CF23BA"/>
    <w:rsid w:val="00CF2444"/>
    <w:rsid w:val="00CF3C88"/>
    <w:rsid w:val="00CF403F"/>
    <w:rsid w:val="00CF44FA"/>
    <w:rsid w:val="00CF461D"/>
    <w:rsid w:val="00CF5387"/>
    <w:rsid w:val="00CF6190"/>
    <w:rsid w:val="00CF6C91"/>
    <w:rsid w:val="00CF7A1E"/>
    <w:rsid w:val="00CF7C31"/>
    <w:rsid w:val="00CF7E4F"/>
    <w:rsid w:val="00D003F5"/>
    <w:rsid w:val="00D00783"/>
    <w:rsid w:val="00D01D8F"/>
    <w:rsid w:val="00D02136"/>
    <w:rsid w:val="00D02859"/>
    <w:rsid w:val="00D031A9"/>
    <w:rsid w:val="00D03D95"/>
    <w:rsid w:val="00D0478A"/>
    <w:rsid w:val="00D04792"/>
    <w:rsid w:val="00D051BB"/>
    <w:rsid w:val="00D065E2"/>
    <w:rsid w:val="00D06BED"/>
    <w:rsid w:val="00D06F09"/>
    <w:rsid w:val="00D0739B"/>
    <w:rsid w:val="00D0797B"/>
    <w:rsid w:val="00D1014F"/>
    <w:rsid w:val="00D10233"/>
    <w:rsid w:val="00D108BA"/>
    <w:rsid w:val="00D1117B"/>
    <w:rsid w:val="00D11674"/>
    <w:rsid w:val="00D11A65"/>
    <w:rsid w:val="00D12EBA"/>
    <w:rsid w:val="00D1333B"/>
    <w:rsid w:val="00D1349C"/>
    <w:rsid w:val="00D1353F"/>
    <w:rsid w:val="00D13974"/>
    <w:rsid w:val="00D1446F"/>
    <w:rsid w:val="00D152AA"/>
    <w:rsid w:val="00D152C5"/>
    <w:rsid w:val="00D153DE"/>
    <w:rsid w:val="00D15564"/>
    <w:rsid w:val="00D16166"/>
    <w:rsid w:val="00D1621B"/>
    <w:rsid w:val="00D1663D"/>
    <w:rsid w:val="00D178E9"/>
    <w:rsid w:val="00D20372"/>
    <w:rsid w:val="00D20848"/>
    <w:rsid w:val="00D20945"/>
    <w:rsid w:val="00D20FFF"/>
    <w:rsid w:val="00D21548"/>
    <w:rsid w:val="00D21631"/>
    <w:rsid w:val="00D216D2"/>
    <w:rsid w:val="00D21898"/>
    <w:rsid w:val="00D21F5D"/>
    <w:rsid w:val="00D228FE"/>
    <w:rsid w:val="00D22D99"/>
    <w:rsid w:val="00D23494"/>
    <w:rsid w:val="00D23507"/>
    <w:rsid w:val="00D23CA2"/>
    <w:rsid w:val="00D24058"/>
    <w:rsid w:val="00D254B2"/>
    <w:rsid w:val="00D254FF"/>
    <w:rsid w:val="00D257C6"/>
    <w:rsid w:val="00D25CEC"/>
    <w:rsid w:val="00D26E54"/>
    <w:rsid w:val="00D26FD8"/>
    <w:rsid w:val="00D277B5"/>
    <w:rsid w:val="00D27B6B"/>
    <w:rsid w:val="00D27EE6"/>
    <w:rsid w:val="00D30537"/>
    <w:rsid w:val="00D30833"/>
    <w:rsid w:val="00D315FE"/>
    <w:rsid w:val="00D326CD"/>
    <w:rsid w:val="00D32753"/>
    <w:rsid w:val="00D327A7"/>
    <w:rsid w:val="00D32F16"/>
    <w:rsid w:val="00D337B3"/>
    <w:rsid w:val="00D33B73"/>
    <w:rsid w:val="00D34214"/>
    <w:rsid w:val="00D34472"/>
    <w:rsid w:val="00D34C78"/>
    <w:rsid w:val="00D36630"/>
    <w:rsid w:val="00D369DB"/>
    <w:rsid w:val="00D3704A"/>
    <w:rsid w:val="00D370E7"/>
    <w:rsid w:val="00D37B8D"/>
    <w:rsid w:val="00D4003D"/>
    <w:rsid w:val="00D409F7"/>
    <w:rsid w:val="00D40BD6"/>
    <w:rsid w:val="00D41C5C"/>
    <w:rsid w:val="00D4211F"/>
    <w:rsid w:val="00D42500"/>
    <w:rsid w:val="00D42B22"/>
    <w:rsid w:val="00D42C4A"/>
    <w:rsid w:val="00D42DC5"/>
    <w:rsid w:val="00D42F8C"/>
    <w:rsid w:val="00D430DC"/>
    <w:rsid w:val="00D43627"/>
    <w:rsid w:val="00D438F0"/>
    <w:rsid w:val="00D43DB1"/>
    <w:rsid w:val="00D44BB9"/>
    <w:rsid w:val="00D44D46"/>
    <w:rsid w:val="00D44E8A"/>
    <w:rsid w:val="00D46401"/>
    <w:rsid w:val="00D469B6"/>
    <w:rsid w:val="00D47448"/>
    <w:rsid w:val="00D479BD"/>
    <w:rsid w:val="00D47E3F"/>
    <w:rsid w:val="00D5040B"/>
    <w:rsid w:val="00D50801"/>
    <w:rsid w:val="00D50B05"/>
    <w:rsid w:val="00D50D7F"/>
    <w:rsid w:val="00D5140B"/>
    <w:rsid w:val="00D51CC6"/>
    <w:rsid w:val="00D51DBD"/>
    <w:rsid w:val="00D51EF6"/>
    <w:rsid w:val="00D51F82"/>
    <w:rsid w:val="00D52143"/>
    <w:rsid w:val="00D53E76"/>
    <w:rsid w:val="00D540EA"/>
    <w:rsid w:val="00D5460B"/>
    <w:rsid w:val="00D54E8F"/>
    <w:rsid w:val="00D550C5"/>
    <w:rsid w:val="00D55281"/>
    <w:rsid w:val="00D556C1"/>
    <w:rsid w:val="00D56086"/>
    <w:rsid w:val="00D56099"/>
    <w:rsid w:val="00D56224"/>
    <w:rsid w:val="00D57405"/>
    <w:rsid w:val="00D57456"/>
    <w:rsid w:val="00D5749C"/>
    <w:rsid w:val="00D57662"/>
    <w:rsid w:val="00D57718"/>
    <w:rsid w:val="00D57F47"/>
    <w:rsid w:val="00D6032C"/>
    <w:rsid w:val="00D61039"/>
    <w:rsid w:val="00D611B3"/>
    <w:rsid w:val="00D6131D"/>
    <w:rsid w:val="00D63B4E"/>
    <w:rsid w:val="00D64854"/>
    <w:rsid w:val="00D64DDB"/>
    <w:rsid w:val="00D65076"/>
    <w:rsid w:val="00D65077"/>
    <w:rsid w:val="00D650B8"/>
    <w:rsid w:val="00D65A34"/>
    <w:rsid w:val="00D65DF7"/>
    <w:rsid w:val="00D66727"/>
    <w:rsid w:val="00D669F3"/>
    <w:rsid w:val="00D67B38"/>
    <w:rsid w:val="00D67BE1"/>
    <w:rsid w:val="00D67BE2"/>
    <w:rsid w:val="00D67D75"/>
    <w:rsid w:val="00D705F7"/>
    <w:rsid w:val="00D7082F"/>
    <w:rsid w:val="00D719D9"/>
    <w:rsid w:val="00D727DE"/>
    <w:rsid w:val="00D72EBA"/>
    <w:rsid w:val="00D74951"/>
    <w:rsid w:val="00D74EEF"/>
    <w:rsid w:val="00D750B4"/>
    <w:rsid w:val="00D7546A"/>
    <w:rsid w:val="00D75586"/>
    <w:rsid w:val="00D75D87"/>
    <w:rsid w:val="00D76FD5"/>
    <w:rsid w:val="00D7719D"/>
    <w:rsid w:val="00D779DB"/>
    <w:rsid w:val="00D77F5E"/>
    <w:rsid w:val="00D80035"/>
    <w:rsid w:val="00D800E3"/>
    <w:rsid w:val="00D80240"/>
    <w:rsid w:val="00D808B4"/>
    <w:rsid w:val="00D80AA4"/>
    <w:rsid w:val="00D8170E"/>
    <w:rsid w:val="00D81B8A"/>
    <w:rsid w:val="00D81D55"/>
    <w:rsid w:val="00D83D55"/>
    <w:rsid w:val="00D8453C"/>
    <w:rsid w:val="00D85AC5"/>
    <w:rsid w:val="00D85E53"/>
    <w:rsid w:val="00D864CE"/>
    <w:rsid w:val="00D869A7"/>
    <w:rsid w:val="00D87522"/>
    <w:rsid w:val="00D909DC"/>
    <w:rsid w:val="00D90A00"/>
    <w:rsid w:val="00D90D6A"/>
    <w:rsid w:val="00D9121D"/>
    <w:rsid w:val="00D91857"/>
    <w:rsid w:val="00D91C8F"/>
    <w:rsid w:val="00D91F73"/>
    <w:rsid w:val="00D92933"/>
    <w:rsid w:val="00D92D5E"/>
    <w:rsid w:val="00D9350E"/>
    <w:rsid w:val="00D93C4E"/>
    <w:rsid w:val="00D93FC1"/>
    <w:rsid w:val="00D941BE"/>
    <w:rsid w:val="00D9460D"/>
    <w:rsid w:val="00D9484E"/>
    <w:rsid w:val="00D948B0"/>
    <w:rsid w:val="00D955C7"/>
    <w:rsid w:val="00D95ADB"/>
    <w:rsid w:val="00D95BB3"/>
    <w:rsid w:val="00D95E2B"/>
    <w:rsid w:val="00D96470"/>
    <w:rsid w:val="00D96930"/>
    <w:rsid w:val="00D96978"/>
    <w:rsid w:val="00D96F16"/>
    <w:rsid w:val="00D97181"/>
    <w:rsid w:val="00D9720C"/>
    <w:rsid w:val="00DA0A19"/>
    <w:rsid w:val="00DA1C4C"/>
    <w:rsid w:val="00DA1D8F"/>
    <w:rsid w:val="00DA1EE3"/>
    <w:rsid w:val="00DA1EE7"/>
    <w:rsid w:val="00DA2428"/>
    <w:rsid w:val="00DA2656"/>
    <w:rsid w:val="00DA2A3A"/>
    <w:rsid w:val="00DA2B11"/>
    <w:rsid w:val="00DA39E6"/>
    <w:rsid w:val="00DA3AED"/>
    <w:rsid w:val="00DA4115"/>
    <w:rsid w:val="00DA44E1"/>
    <w:rsid w:val="00DA4953"/>
    <w:rsid w:val="00DA4A02"/>
    <w:rsid w:val="00DA4BF6"/>
    <w:rsid w:val="00DA4FAE"/>
    <w:rsid w:val="00DA5C90"/>
    <w:rsid w:val="00DA6107"/>
    <w:rsid w:val="00DA6390"/>
    <w:rsid w:val="00DA68B9"/>
    <w:rsid w:val="00DA7133"/>
    <w:rsid w:val="00DB051B"/>
    <w:rsid w:val="00DB05A0"/>
    <w:rsid w:val="00DB0D9A"/>
    <w:rsid w:val="00DB2006"/>
    <w:rsid w:val="00DB20C4"/>
    <w:rsid w:val="00DB2536"/>
    <w:rsid w:val="00DB25E5"/>
    <w:rsid w:val="00DB2E66"/>
    <w:rsid w:val="00DB2E87"/>
    <w:rsid w:val="00DB30D7"/>
    <w:rsid w:val="00DB3ABD"/>
    <w:rsid w:val="00DB3DF1"/>
    <w:rsid w:val="00DB3F58"/>
    <w:rsid w:val="00DB3F93"/>
    <w:rsid w:val="00DB41FA"/>
    <w:rsid w:val="00DB45FF"/>
    <w:rsid w:val="00DB474F"/>
    <w:rsid w:val="00DB4C27"/>
    <w:rsid w:val="00DB519E"/>
    <w:rsid w:val="00DB52B8"/>
    <w:rsid w:val="00DB5A01"/>
    <w:rsid w:val="00DB6B2D"/>
    <w:rsid w:val="00DB71A4"/>
    <w:rsid w:val="00DB75B8"/>
    <w:rsid w:val="00DB787B"/>
    <w:rsid w:val="00DB7C28"/>
    <w:rsid w:val="00DB7D5F"/>
    <w:rsid w:val="00DB7F14"/>
    <w:rsid w:val="00DB7FC0"/>
    <w:rsid w:val="00DC00AE"/>
    <w:rsid w:val="00DC0996"/>
    <w:rsid w:val="00DC0ED0"/>
    <w:rsid w:val="00DC2129"/>
    <w:rsid w:val="00DC22A9"/>
    <w:rsid w:val="00DC3332"/>
    <w:rsid w:val="00DC33F7"/>
    <w:rsid w:val="00DC3743"/>
    <w:rsid w:val="00DC3ED5"/>
    <w:rsid w:val="00DC456E"/>
    <w:rsid w:val="00DC4787"/>
    <w:rsid w:val="00DC4D34"/>
    <w:rsid w:val="00DC50CA"/>
    <w:rsid w:val="00DC6984"/>
    <w:rsid w:val="00DD04DA"/>
    <w:rsid w:val="00DD0A43"/>
    <w:rsid w:val="00DD0E1C"/>
    <w:rsid w:val="00DD1095"/>
    <w:rsid w:val="00DD11E6"/>
    <w:rsid w:val="00DD15C3"/>
    <w:rsid w:val="00DD1667"/>
    <w:rsid w:val="00DD243C"/>
    <w:rsid w:val="00DD2AA8"/>
    <w:rsid w:val="00DD2D74"/>
    <w:rsid w:val="00DD2F96"/>
    <w:rsid w:val="00DD4464"/>
    <w:rsid w:val="00DD4794"/>
    <w:rsid w:val="00DD4CDA"/>
    <w:rsid w:val="00DD5364"/>
    <w:rsid w:val="00DD55BB"/>
    <w:rsid w:val="00DD5DD4"/>
    <w:rsid w:val="00DD615E"/>
    <w:rsid w:val="00DD7CA3"/>
    <w:rsid w:val="00DE00A5"/>
    <w:rsid w:val="00DE08DE"/>
    <w:rsid w:val="00DE0A5B"/>
    <w:rsid w:val="00DE2380"/>
    <w:rsid w:val="00DE2579"/>
    <w:rsid w:val="00DE2F3E"/>
    <w:rsid w:val="00DE3214"/>
    <w:rsid w:val="00DE38C5"/>
    <w:rsid w:val="00DE3A5C"/>
    <w:rsid w:val="00DE43A9"/>
    <w:rsid w:val="00DE476F"/>
    <w:rsid w:val="00DE4A2F"/>
    <w:rsid w:val="00DE4B0E"/>
    <w:rsid w:val="00DE502D"/>
    <w:rsid w:val="00DE5666"/>
    <w:rsid w:val="00DE57CB"/>
    <w:rsid w:val="00DE68B2"/>
    <w:rsid w:val="00DE6A78"/>
    <w:rsid w:val="00DE6AD3"/>
    <w:rsid w:val="00DE72E1"/>
    <w:rsid w:val="00DE7539"/>
    <w:rsid w:val="00DE780A"/>
    <w:rsid w:val="00DE7ED7"/>
    <w:rsid w:val="00DF0510"/>
    <w:rsid w:val="00DF0863"/>
    <w:rsid w:val="00DF10CF"/>
    <w:rsid w:val="00DF111F"/>
    <w:rsid w:val="00DF17DC"/>
    <w:rsid w:val="00DF1E5F"/>
    <w:rsid w:val="00DF2526"/>
    <w:rsid w:val="00DF2CC1"/>
    <w:rsid w:val="00DF3612"/>
    <w:rsid w:val="00DF388D"/>
    <w:rsid w:val="00DF394F"/>
    <w:rsid w:val="00DF3CE5"/>
    <w:rsid w:val="00DF4823"/>
    <w:rsid w:val="00DF5458"/>
    <w:rsid w:val="00DF5FF2"/>
    <w:rsid w:val="00DF649C"/>
    <w:rsid w:val="00DF6DD4"/>
    <w:rsid w:val="00DF7A0F"/>
    <w:rsid w:val="00DF7A47"/>
    <w:rsid w:val="00E00330"/>
    <w:rsid w:val="00E007AC"/>
    <w:rsid w:val="00E010E3"/>
    <w:rsid w:val="00E01CB5"/>
    <w:rsid w:val="00E02094"/>
    <w:rsid w:val="00E02787"/>
    <w:rsid w:val="00E02C55"/>
    <w:rsid w:val="00E03C32"/>
    <w:rsid w:val="00E03DAB"/>
    <w:rsid w:val="00E04A15"/>
    <w:rsid w:val="00E04A93"/>
    <w:rsid w:val="00E04D13"/>
    <w:rsid w:val="00E04D1C"/>
    <w:rsid w:val="00E050BE"/>
    <w:rsid w:val="00E056A2"/>
    <w:rsid w:val="00E05A39"/>
    <w:rsid w:val="00E05BB1"/>
    <w:rsid w:val="00E068AF"/>
    <w:rsid w:val="00E068B3"/>
    <w:rsid w:val="00E06C22"/>
    <w:rsid w:val="00E06E7F"/>
    <w:rsid w:val="00E107A7"/>
    <w:rsid w:val="00E10A44"/>
    <w:rsid w:val="00E10F7E"/>
    <w:rsid w:val="00E1106A"/>
    <w:rsid w:val="00E116B6"/>
    <w:rsid w:val="00E11C25"/>
    <w:rsid w:val="00E11C32"/>
    <w:rsid w:val="00E12F5E"/>
    <w:rsid w:val="00E1312D"/>
    <w:rsid w:val="00E134EA"/>
    <w:rsid w:val="00E13667"/>
    <w:rsid w:val="00E15749"/>
    <w:rsid w:val="00E1680B"/>
    <w:rsid w:val="00E16BC2"/>
    <w:rsid w:val="00E173C8"/>
    <w:rsid w:val="00E17626"/>
    <w:rsid w:val="00E17924"/>
    <w:rsid w:val="00E17B8F"/>
    <w:rsid w:val="00E20080"/>
    <w:rsid w:val="00E20A29"/>
    <w:rsid w:val="00E21395"/>
    <w:rsid w:val="00E219C1"/>
    <w:rsid w:val="00E21D97"/>
    <w:rsid w:val="00E22093"/>
    <w:rsid w:val="00E2256A"/>
    <w:rsid w:val="00E2269E"/>
    <w:rsid w:val="00E22F53"/>
    <w:rsid w:val="00E233A1"/>
    <w:rsid w:val="00E239CC"/>
    <w:rsid w:val="00E23A82"/>
    <w:rsid w:val="00E23B6E"/>
    <w:rsid w:val="00E23CAC"/>
    <w:rsid w:val="00E23D74"/>
    <w:rsid w:val="00E23E6B"/>
    <w:rsid w:val="00E24C9A"/>
    <w:rsid w:val="00E24D53"/>
    <w:rsid w:val="00E26ACB"/>
    <w:rsid w:val="00E276C8"/>
    <w:rsid w:val="00E27E1C"/>
    <w:rsid w:val="00E30691"/>
    <w:rsid w:val="00E3148A"/>
    <w:rsid w:val="00E31A5E"/>
    <w:rsid w:val="00E31E07"/>
    <w:rsid w:val="00E32BFE"/>
    <w:rsid w:val="00E32DDD"/>
    <w:rsid w:val="00E3318A"/>
    <w:rsid w:val="00E3342A"/>
    <w:rsid w:val="00E334FA"/>
    <w:rsid w:val="00E33D42"/>
    <w:rsid w:val="00E3467E"/>
    <w:rsid w:val="00E349AD"/>
    <w:rsid w:val="00E3517E"/>
    <w:rsid w:val="00E35971"/>
    <w:rsid w:val="00E35DFD"/>
    <w:rsid w:val="00E35DFE"/>
    <w:rsid w:val="00E3696A"/>
    <w:rsid w:val="00E36E16"/>
    <w:rsid w:val="00E37035"/>
    <w:rsid w:val="00E37651"/>
    <w:rsid w:val="00E403EB"/>
    <w:rsid w:val="00E4095E"/>
    <w:rsid w:val="00E40D36"/>
    <w:rsid w:val="00E40F15"/>
    <w:rsid w:val="00E411A6"/>
    <w:rsid w:val="00E411F9"/>
    <w:rsid w:val="00E413D6"/>
    <w:rsid w:val="00E416AF"/>
    <w:rsid w:val="00E41E5B"/>
    <w:rsid w:val="00E43A3A"/>
    <w:rsid w:val="00E43A88"/>
    <w:rsid w:val="00E43C7E"/>
    <w:rsid w:val="00E443DA"/>
    <w:rsid w:val="00E44B8D"/>
    <w:rsid w:val="00E44C71"/>
    <w:rsid w:val="00E44C87"/>
    <w:rsid w:val="00E44DDA"/>
    <w:rsid w:val="00E450F4"/>
    <w:rsid w:val="00E45768"/>
    <w:rsid w:val="00E46AAE"/>
    <w:rsid w:val="00E46ADC"/>
    <w:rsid w:val="00E4730A"/>
    <w:rsid w:val="00E47843"/>
    <w:rsid w:val="00E47CDC"/>
    <w:rsid w:val="00E500F2"/>
    <w:rsid w:val="00E50B6C"/>
    <w:rsid w:val="00E50D32"/>
    <w:rsid w:val="00E5125B"/>
    <w:rsid w:val="00E51A31"/>
    <w:rsid w:val="00E5245C"/>
    <w:rsid w:val="00E5292B"/>
    <w:rsid w:val="00E529ED"/>
    <w:rsid w:val="00E52F79"/>
    <w:rsid w:val="00E530C7"/>
    <w:rsid w:val="00E53467"/>
    <w:rsid w:val="00E535C8"/>
    <w:rsid w:val="00E535E4"/>
    <w:rsid w:val="00E53617"/>
    <w:rsid w:val="00E539ED"/>
    <w:rsid w:val="00E53AA2"/>
    <w:rsid w:val="00E53C79"/>
    <w:rsid w:val="00E5434B"/>
    <w:rsid w:val="00E548B0"/>
    <w:rsid w:val="00E55384"/>
    <w:rsid w:val="00E5611F"/>
    <w:rsid w:val="00E56E1E"/>
    <w:rsid w:val="00E57E43"/>
    <w:rsid w:val="00E6000F"/>
    <w:rsid w:val="00E60096"/>
    <w:rsid w:val="00E6043E"/>
    <w:rsid w:val="00E60894"/>
    <w:rsid w:val="00E60E31"/>
    <w:rsid w:val="00E61266"/>
    <w:rsid w:val="00E61587"/>
    <w:rsid w:val="00E621BD"/>
    <w:rsid w:val="00E62634"/>
    <w:rsid w:val="00E632C9"/>
    <w:rsid w:val="00E63497"/>
    <w:rsid w:val="00E634A0"/>
    <w:rsid w:val="00E6441A"/>
    <w:rsid w:val="00E64492"/>
    <w:rsid w:val="00E6538B"/>
    <w:rsid w:val="00E65471"/>
    <w:rsid w:val="00E65BFE"/>
    <w:rsid w:val="00E65D85"/>
    <w:rsid w:val="00E65F65"/>
    <w:rsid w:val="00E66106"/>
    <w:rsid w:val="00E669AD"/>
    <w:rsid w:val="00E66D61"/>
    <w:rsid w:val="00E67581"/>
    <w:rsid w:val="00E675D1"/>
    <w:rsid w:val="00E67834"/>
    <w:rsid w:val="00E67CFE"/>
    <w:rsid w:val="00E709A9"/>
    <w:rsid w:val="00E70B83"/>
    <w:rsid w:val="00E70FD3"/>
    <w:rsid w:val="00E710DD"/>
    <w:rsid w:val="00E71C34"/>
    <w:rsid w:val="00E733E4"/>
    <w:rsid w:val="00E742B9"/>
    <w:rsid w:val="00E7442B"/>
    <w:rsid w:val="00E75423"/>
    <w:rsid w:val="00E75B55"/>
    <w:rsid w:val="00E76437"/>
    <w:rsid w:val="00E7669A"/>
    <w:rsid w:val="00E76787"/>
    <w:rsid w:val="00E77304"/>
    <w:rsid w:val="00E77BA1"/>
    <w:rsid w:val="00E8026F"/>
    <w:rsid w:val="00E8100D"/>
    <w:rsid w:val="00E8104F"/>
    <w:rsid w:val="00E8120C"/>
    <w:rsid w:val="00E81574"/>
    <w:rsid w:val="00E81622"/>
    <w:rsid w:val="00E816F7"/>
    <w:rsid w:val="00E81833"/>
    <w:rsid w:val="00E81FCA"/>
    <w:rsid w:val="00E82DBA"/>
    <w:rsid w:val="00E82F13"/>
    <w:rsid w:val="00E83160"/>
    <w:rsid w:val="00E83D3E"/>
    <w:rsid w:val="00E83F19"/>
    <w:rsid w:val="00E84FB6"/>
    <w:rsid w:val="00E85310"/>
    <w:rsid w:val="00E85641"/>
    <w:rsid w:val="00E8569A"/>
    <w:rsid w:val="00E85C7C"/>
    <w:rsid w:val="00E85F72"/>
    <w:rsid w:val="00E86448"/>
    <w:rsid w:val="00E86B67"/>
    <w:rsid w:val="00E86E6C"/>
    <w:rsid w:val="00E9024A"/>
    <w:rsid w:val="00E9050C"/>
    <w:rsid w:val="00E9083E"/>
    <w:rsid w:val="00E90C87"/>
    <w:rsid w:val="00E91231"/>
    <w:rsid w:val="00E91305"/>
    <w:rsid w:val="00E92173"/>
    <w:rsid w:val="00E9264F"/>
    <w:rsid w:val="00E92777"/>
    <w:rsid w:val="00E934F2"/>
    <w:rsid w:val="00E938F9"/>
    <w:rsid w:val="00E93C0D"/>
    <w:rsid w:val="00E9444A"/>
    <w:rsid w:val="00E944D9"/>
    <w:rsid w:val="00E94672"/>
    <w:rsid w:val="00E94769"/>
    <w:rsid w:val="00E9487E"/>
    <w:rsid w:val="00E95020"/>
    <w:rsid w:val="00E96685"/>
    <w:rsid w:val="00E96951"/>
    <w:rsid w:val="00E96ADD"/>
    <w:rsid w:val="00E9750C"/>
    <w:rsid w:val="00EA0D13"/>
    <w:rsid w:val="00EA1D2D"/>
    <w:rsid w:val="00EA1F84"/>
    <w:rsid w:val="00EA3291"/>
    <w:rsid w:val="00EA3FA7"/>
    <w:rsid w:val="00EA41BD"/>
    <w:rsid w:val="00EA46EC"/>
    <w:rsid w:val="00EA4F24"/>
    <w:rsid w:val="00EA51AD"/>
    <w:rsid w:val="00EA5E3B"/>
    <w:rsid w:val="00EA6718"/>
    <w:rsid w:val="00EA6B1E"/>
    <w:rsid w:val="00EA717F"/>
    <w:rsid w:val="00EA7332"/>
    <w:rsid w:val="00EA772B"/>
    <w:rsid w:val="00EA7A81"/>
    <w:rsid w:val="00EB0632"/>
    <w:rsid w:val="00EB0706"/>
    <w:rsid w:val="00EB0765"/>
    <w:rsid w:val="00EB0A74"/>
    <w:rsid w:val="00EB0C85"/>
    <w:rsid w:val="00EB15C3"/>
    <w:rsid w:val="00EB160A"/>
    <w:rsid w:val="00EB1B0A"/>
    <w:rsid w:val="00EB2DD5"/>
    <w:rsid w:val="00EB2E3A"/>
    <w:rsid w:val="00EB339C"/>
    <w:rsid w:val="00EB3AEC"/>
    <w:rsid w:val="00EB3F76"/>
    <w:rsid w:val="00EB46DA"/>
    <w:rsid w:val="00EB4A83"/>
    <w:rsid w:val="00EB5422"/>
    <w:rsid w:val="00EC0F80"/>
    <w:rsid w:val="00EC18C8"/>
    <w:rsid w:val="00EC1CBD"/>
    <w:rsid w:val="00EC2CC4"/>
    <w:rsid w:val="00EC2F04"/>
    <w:rsid w:val="00EC3178"/>
    <w:rsid w:val="00EC3AEC"/>
    <w:rsid w:val="00EC3B6E"/>
    <w:rsid w:val="00EC4833"/>
    <w:rsid w:val="00EC48C2"/>
    <w:rsid w:val="00EC4B0C"/>
    <w:rsid w:val="00EC4D6B"/>
    <w:rsid w:val="00EC4D7F"/>
    <w:rsid w:val="00EC5042"/>
    <w:rsid w:val="00EC5185"/>
    <w:rsid w:val="00EC5A32"/>
    <w:rsid w:val="00EC5A98"/>
    <w:rsid w:val="00EC5ACE"/>
    <w:rsid w:val="00EC5FAF"/>
    <w:rsid w:val="00EC6019"/>
    <w:rsid w:val="00EC6928"/>
    <w:rsid w:val="00EC6A80"/>
    <w:rsid w:val="00EC7359"/>
    <w:rsid w:val="00EC7487"/>
    <w:rsid w:val="00EC7C4A"/>
    <w:rsid w:val="00ED06B2"/>
    <w:rsid w:val="00ED1594"/>
    <w:rsid w:val="00ED1BB8"/>
    <w:rsid w:val="00ED1EF2"/>
    <w:rsid w:val="00ED2541"/>
    <w:rsid w:val="00ED259E"/>
    <w:rsid w:val="00ED33F4"/>
    <w:rsid w:val="00ED36D0"/>
    <w:rsid w:val="00ED3AD7"/>
    <w:rsid w:val="00ED4B0D"/>
    <w:rsid w:val="00ED5377"/>
    <w:rsid w:val="00ED561E"/>
    <w:rsid w:val="00ED5805"/>
    <w:rsid w:val="00ED5AA8"/>
    <w:rsid w:val="00ED5E5F"/>
    <w:rsid w:val="00ED6060"/>
    <w:rsid w:val="00ED6410"/>
    <w:rsid w:val="00ED6DEC"/>
    <w:rsid w:val="00ED7D13"/>
    <w:rsid w:val="00EE027E"/>
    <w:rsid w:val="00EE06FC"/>
    <w:rsid w:val="00EE0EB7"/>
    <w:rsid w:val="00EE1289"/>
    <w:rsid w:val="00EE13A2"/>
    <w:rsid w:val="00EE180C"/>
    <w:rsid w:val="00EE21EC"/>
    <w:rsid w:val="00EE2476"/>
    <w:rsid w:val="00EE3C0C"/>
    <w:rsid w:val="00EE3E32"/>
    <w:rsid w:val="00EE3FAB"/>
    <w:rsid w:val="00EE404F"/>
    <w:rsid w:val="00EE44E4"/>
    <w:rsid w:val="00EE4551"/>
    <w:rsid w:val="00EE5232"/>
    <w:rsid w:val="00EE52B8"/>
    <w:rsid w:val="00EE53B3"/>
    <w:rsid w:val="00EE5441"/>
    <w:rsid w:val="00EE5DE3"/>
    <w:rsid w:val="00EE63AD"/>
    <w:rsid w:val="00EE69A4"/>
    <w:rsid w:val="00EE72DD"/>
    <w:rsid w:val="00EE7D18"/>
    <w:rsid w:val="00EF0539"/>
    <w:rsid w:val="00EF0671"/>
    <w:rsid w:val="00EF0BB9"/>
    <w:rsid w:val="00EF0C13"/>
    <w:rsid w:val="00EF1415"/>
    <w:rsid w:val="00EF17CB"/>
    <w:rsid w:val="00EF1F28"/>
    <w:rsid w:val="00EF227E"/>
    <w:rsid w:val="00EF274E"/>
    <w:rsid w:val="00EF2C44"/>
    <w:rsid w:val="00EF2E7F"/>
    <w:rsid w:val="00EF2FD8"/>
    <w:rsid w:val="00EF3277"/>
    <w:rsid w:val="00EF3819"/>
    <w:rsid w:val="00EF3C05"/>
    <w:rsid w:val="00EF3DB7"/>
    <w:rsid w:val="00EF4A31"/>
    <w:rsid w:val="00EF4E5C"/>
    <w:rsid w:val="00EF4FAB"/>
    <w:rsid w:val="00EF576F"/>
    <w:rsid w:val="00EF6278"/>
    <w:rsid w:val="00EF6A53"/>
    <w:rsid w:val="00EF6FAE"/>
    <w:rsid w:val="00EF7E27"/>
    <w:rsid w:val="00F0029B"/>
    <w:rsid w:val="00F009C7"/>
    <w:rsid w:val="00F00A0C"/>
    <w:rsid w:val="00F01773"/>
    <w:rsid w:val="00F02688"/>
    <w:rsid w:val="00F026D7"/>
    <w:rsid w:val="00F02D95"/>
    <w:rsid w:val="00F03093"/>
    <w:rsid w:val="00F03EB7"/>
    <w:rsid w:val="00F03FD5"/>
    <w:rsid w:val="00F03FDB"/>
    <w:rsid w:val="00F040E1"/>
    <w:rsid w:val="00F04124"/>
    <w:rsid w:val="00F04368"/>
    <w:rsid w:val="00F048D1"/>
    <w:rsid w:val="00F05200"/>
    <w:rsid w:val="00F05216"/>
    <w:rsid w:val="00F053BD"/>
    <w:rsid w:val="00F05835"/>
    <w:rsid w:val="00F05F28"/>
    <w:rsid w:val="00F061DD"/>
    <w:rsid w:val="00F06539"/>
    <w:rsid w:val="00F06ACB"/>
    <w:rsid w:val="00F0789A"/>
    <w:rsid w:val="00F07913"/>
    <w:rsid w:val="00F105ED"/>
    <w:rsid w:val="00F1063C"/>
    <w:rsid w:val="00F1071E"/>
    <w:rsid w:val="00F10EF2"/>
    <w:rsid w:val="00F110BC"/>
    <w:rsid w:val="00F11995"/>
    <w:rsid w:val="00F122AA"/>
    <w:rsid w:val="00F1298A"/>
    <w:rsid w:val="00F13BDD"/>
    <w:rsid w:val="00F13CD5"/>
    <w:rsid w:val="00F13FB9"/>
    <w:rsid w:val="00F155B5"/>
    <w:rsid w:val="00F15B9B"/>
    <w:rsid w:val="00F16072"/>
    <w:rsid w:val="00F16174"/>
    <w:rsid w:val="00F161C0"/>
    <w:rsid w:val="00F162A0"/>
    <w:rsid w:val="00F169E3"/>
    <w:rsid w:val="00F17F38"/>
    <w:rsid w:val="00F20278"/>
    <w:rsid w:val="00F2076A"/>
    <w:rsid w:val="00F20989"/>
    <w:rsid w:val="00F210CE"/>
    <w:rsid w:val="00F21552"/>
    <w:rsid w:val="00F21FFE"/>
    <w:rsid w:val="00F229EF"/>
    <w:rsid w:val="00F22B57"/>
    <w:rsid w:val="00F22C97"/>
    <w:rsid w:val="00F22CFB"/>
    <w:rsid w:val="00F23297"/>
    <w:rsid w:val="00F2464D"/>
    <w:rsid w:val="00F2488B"/>
    <w:rsid w:val="00F252C9"/>
    <w:rsid w:val="00F252CD"/>
    <w:rsid w:val="00F2537F"/>
    <w:rsid w:val="00F258E6"/>
    <w:rsid w:val="00F267DB"/>
    <w:rsid w:val="00F27791"/>
    <w:rsid w:val="00F277F1"/>
    <w:rsid w:val="00F27896"/>
    <w:rsid w:val="00F27EAD"/>
    <w:rsid w:val="00F301FA"/>
    <w:rsid w:val="00F30C56"/>
    <w:rsid w:val="00F31126"/>
    <w:rsid w:val="00F31260"/>
    <w:rsid w:val="00F3136F"/>
    <w:rsid w:val="00F313AF"/>
    <w:rsid w:val="00F31CB9"/>
    <w:rsid w:val="00F3301E"/>
    <w:rsid w:val="00F33145"/>
    <w:rsid w:val="00F34512"/>
    <w:rsid w:val="00F3486C"/>
    <w:rsid w:val="00F349B9"/>
    <w:rsid w:val="00F3513D"/>
    <w:rsid w:val="00F35F5A"/>
    <w:rsid w:val="00F366B9"/>
    <w:rsid w:val="00F36EF9"/>
    <w:rsid w:val="00F37548"/>
    <w:rsid w:val="00F37571"/>
    <w:rsid w:val="00F37756"/>
    <w:rsid w:val="00F37967"/>
    <w:rsid w:val="00F401D3"/>
    <w:rsid w:val="00F404D5"/>
    <w:rsid w:val="00F40B20"/>
    <w:rsid w:val="00F413A8"/>
    <w:rsid w:val="00F417C0"/>
    <w:rsid w:val="00F41A99"/>
    <w:rsid w:val="00F41E3A"/>
    <w:rsid w:val="00F421FE"/>
    <w:rsid w:val="00F423E0"/>
    <w:rsid w:val="00F43364"/>
    <w:rsid w:val="00F45440"/>
    <w:rsid w:val="00F45599"/>
    <w:rsid w:val="00F458E4"/>
    <w:rsid w:val="00F45CFE"/>
    <w:rsid w:val="00F4784F"/>
    <w:rsid w:val="00F47AC2"/>
    <w:rsid w:val="00F47C84"/>
    <w:rsid w:val="00F5048D"/>
    <w:rsid w:val="00F50A3A"/>
    <w:rsid w:val="00F50FA3"/>
    <w:rsid w:val="00F51642"/>
    <w:rsid w:val="00F5180D"/>
    <w:rsid w:val="00F518AD"/>
    <w:rsid w:val="00F525CF"/>
    <w:rsid w:val="00F52779"/>
    <w:rsid w:val="00F52B1F"/>
    <w:rsid w:val="00F531BE"/>
    <w:rsid w:val="00F53325"/>
    <w:rsid w:val="00F5347C"/>
    <w:rsid w:val="00F54783"/>
    <w:rsid w:val="00F548B1"/>
    <w:rsid w:val="00F548FE"/>
    <w:rsid w:val="00F54E0C"/>
    <w:rsid w:val="00F5507E"/>
    <w:rsid w:val="00F55135"/>
    <w:rsid w:val="00F5556B"/>
    <w:rsid w:val="00F55877"/>
    <w:rsid w:val="00F56C59"/>
    <w:rsid w:val="00F56D24"/>
    <w:rsid w:val="00F57886"/>
    <w:rsid w:val="00F60298"/>
    <w:rsid w:val="00F604B5"/>
    <w:rsid w:val="00F60BDE"/>
    <w:rsid w:val="00F615E2"/>
    <w:rsid w:val="00F61609"/>
    <w:rsid w:val="00F6186A"/>
    <w:rsid w:val="00F61A64"/>
    <w:rsid w:val="00F61D9A"/>
    <w:rsid w:val="00F62639"/>
    <w:rsid w:val="00F62E88"/>
    <w:rsid w:val="00F642FD"/>
    <w:rsid w:val="00F647D1"/>
    <w:rsid w:val="00F64BB9"/>
    <w:rsid w:val="00F6590E"/>
    <w:rsid w:val="00F66061"/>
    <w:rsid w:val="00F665BD"/>
    <w:rsid w:val="00F66749"/>
    <w:rsid w:val="00F66A55"/>
    <w:rsid w:val="00F66B71"/>
    <w:rsid w:val="00F66EC6"/>
    <w:rsid w:val="00F66FF8"/>
    <w:rsid w:val="00F676DE"/>
    <w:rsid w:val="00F70CC1"/>
    <w:rsid w:val="00F70F43"/>
    <w:rsid w:val="00F711B7"/>
    <w:rsid w:val="00F71425"/>
    <w:rsid w:val="00F71D22"/>
    <w:rsid w:val="00F71F23"/>
    <w:rsid w:val="00F726DE"/>
    <w:rsid w:val="00F73290"/>
    <w:rsid w:val="00F734F0"/>
    <w:rsid w:val="00F74193"/>
    <w:rsid w:val="00F74466"/>
    <w:rsid w:val="00F74EA2"/>
    <w:rsid w:val="00F778E0"/>
    <w:rsid w:val="00F77FD0"/>
    <w:rsid w:val="00F80291"/>
    <w:rsid w:val="00F80336"/>
    <w:rsid w:val="00F8042B"/>
    <w:rsid w:val="00F811CF"/>
    <w:rsid w:val="00F81472"/>
    <w:rsid w:val="00F814EF"/>
    <w:rsid w:val="00F82272"/>
    <w:rsid w:val="00F8230E"/>
    <w:rsid w:val="00F823AD"/>
    <w:rsid w:val="00F823CD"/>
    <w:rsid w:val="00F82E8F"/>
    <w:rsid w:val="00F830FA"/>
    <w:rsid w:val="00F838BE"/>
    <w:rsid w:val="00F83D80"/>
    <w:rsid w:val="00F84CEC"/>
    <w:rsid w:val="00F84FCC"/>
    <w:rsid w:val="00F85992"/>
    <w:rsid w:val="00F867F8"/>
    <w:rsid w:val="00F86BAD"/>
    <w:rsid w:val="00F876EF"/>
    <w:rsid w:val="00F9084E"/>
    <w:rsid w:val="00F90B08"/>
    <w:rsid w:val="00F90BEC"/>
    <w:rsid w:val="00F90D80"/>
    <w:rsid w:val="00F9117A"/>
    <w:rsid w:val="00F9139C"/>
    <w:rsid w:val="00F92117"/>
    <w:rsid w:val="00F92331"/>
    <w:rsid w:val="00F9235F"/>
    <w:rsid w:val="00F92799"/>
    <w:rsid w:val="00F92873"/>
    <w:rsid w:val="00F92EF3"/>
    <w:rsid w:val="00F92FC4"/>
    <w:rsid w:val="00F93E5A"/>
    <w:rsid w:val="00F94211"/>
    <w:rsid w:val="00F957F3"/>
    <w:rsid w:val="00F95D4B"/>
    <w:rsid w:val="00F95ECF"/>
    <w:rsid w:val="00F95FC5"/>
    <w:rsid w:val="00F96106"/>
    <w:rsid w:val="00F964E4"/>
    <w:rsid w:val="00F968DB"/>
    <w:rsid w:val="00F96C1A"/>
    <w:rsid w:val="00F97161"/>
    <w:rsid w:val="00FA0450"/>
    <w:rsid w:val="00FA09D4"/>
    <w:rsid w:val="00FA0F67"/>
    <w:rsid w:val="00FA1149"/>
    <w:rsid w:val="00FA1151"/>
    <w:rsid w:val="00FA2746"/>
    <w:rsid w:val="00FA2DF4"/>
    <w:rsid w:val="00FA356C"/>
    <w:rsid w:val="00FA363C"/>
    <w:rsid w:val="00FA3702"/>
    <w:rsid w:val="00FA3AC6"/>
    <w:rsid w:val="00FA3DE7"/>
    <w:rsid w:val="00FA4577"/>
    <w:rsid w:val="00FA4FAD"/>
    <w:rsid w:val="00FA517D"/>
    <w:rsid w:val="00FA541F"/>
    <w:rsid w:val="00FA573C"/>
    <w:rsid w:val="00FA5E24"/>
    <w:rsid w:val="00FA66A1"/>
    <w:rsid w:val="00FA6DF3"/>
    <w:rsid w:val="00FA7B2B"/>
    <w:rsid w:val="00FB061D"/>
    <w:rsid w:val="00FB0A79"/>
    <w:rsid w:val="00FB0C38"/>
    <w:rsid w:val="00FB2173"/>
    <w:rsid w:val="00FB2566"/>
    <w:rsid w:val="00FB3660"/>
    <w:rsid w:val="00FB36E0"/>
    <w:rsid w:val="00FB3802"/>
    <w:rsid w:val="00FB3CBF"/>
    <w:rsid w:val="00FB4339"/>
    <w:rsid w:val="00FB48D1"/>
    <w:rsid w:val="00FB48F4"/>
    <w:rsid w:val="00FB4B26"/>
    <w:rsid w:val="00FB4B84"/>
    <w:rsid w:val="00FB4DBF"/>
    <w:rsid w:val="00FB4F4F"/>
    <w:rsid w:val="00FB5C43"/>
    <w:rsid w:val="00FB5D76"/>
    <w:rsid w:val="00FB686A"/>
    <w:rsid w:val="00FB6CFD"/>
    <w:rsid w:val="00FB73AF"/>
    <w:rsid w:val="00FB7513"/>
    <w:rsid w:val="00FB752E"/>
    <w:rsid w:val="00FC0368"/>
    <w:rsid w:val="00FC0864"/>
    <w:rsid w:val="00FC099B"/>
    <w:rsid w:val="00FC0F6E"/>
    <w:rsid w:val="00FC0FEA"/>
    <w:rsid w:val="00FC1482"/>
    <w:rsid w:val="00FC1C18"/>
    <w:rsid w:val="00FC1F70"/>
    <w:rsid w:val="00FC329E"/>
    <w:rsid w:val="00FC32C7"/>
    <w:rsid w:val="00FC332B"/>
    <w:rsid w:val="00FC3684"/>
    <w:rsid w:val="00FC3D61"/>
    <w:rsid w:val="00FC4EDB"/>
    <w:rsid w:val="00FC4FF9"/>
    <w:rsid w:val="00FC52F2"/>
    <w:rsid w:val="00FC5552"/>
    <w:rsid w:val="00FC56B2"/>
    <w:rsid w:val="00FC5827"/>
    <w:rsid w:val="00FC650B"/>
    <w:rsid w:val="00FC6C01"/>
    <w:rsid w:val="00FC6C12"/>
    <w:rsid w:val="00FC7452"/>
    <w:rsid w:val="00FC7C64"/>
    <w:rsid w:val="00FD0755"/>
    <w:rsid w:val="00FD08AC"/>
    <w:rsid w:val="00FD0B5F"/>
    <w:rsid w:val="00FD2090"/>
    <w:rsid w:val="00FD2AEB"/>
    <w:rsid w:val="00FD2B5D"/>
    <w:rsid w:val="00FD33A3"/>
    <w:rsid w:val="00FD40A8"/>
    <w:rsid w:val="00FD40AC"/>
    <w:rsid w:val="00FD44FB"/>
    <w:rsid w:val="00FD47E6"/>
    <w:rsid w:val="00FD4E5E"/>
    <w:rsid w:val="00FD64B8"/>
    <w:rsid w:val="00FD6839"/>
    <w:rsid w:val="00FD6B82"/>
    <w:rsid w:val="00FD6BD0"/>
    <w:rsid w:val="00FD70A5"/>
    <w:rsid w:val="00FD77DA"/>
    <w:rsid w:val="00FD7E85"/>
    <w:rsid w:val="00FE043E"/>
    <w:rsid w:val="00FE0A19"/>
    <w:rsid w:val="00FE0DEC"/>
    <w:rsid w:val="00FE0E5F"/>
    <w:rsid w:val="00FE0FE7"/>
    <w:rsid w:val="00FE131F"/>
    <w:rsid w:val="00FE1977"/>
    <w:rsid w:val="00FE1B0F"/>
    <w:rsid w:val="00FE1C72"/>
    <w:rsid w:val="00FE224F"/>
    <w:rsid w:val="00FE28FE"/>
    <w:rsid w:val="00FE31FC"/>
    <w:rsid w:val="00FE3B0A"/>
    <w:rsid w:val="00FE3F9F"/>
    <w:rsid w:val="00FE4009"/>
    <w:rsid w:val="00FE4BC2"/>
    <w:rsid w:val="00FE5196"/>
    <w:rsid w:val="00FE54EC"/>
    <w:rsid w:val="00FE560B"/>
    <w:rsid w:val="00FE57DF"/>
    <w:rsid w:val="00FE5C68"/>
    <w:rsid w:val="00FE5D5A"/>
    <w:rsid w:val="00FE62DF"/>
    <w:rsid w:val="00FE6807"/>
    <w:rsid w:val="00FE7488"/>
    <w:rsid w:val="00FE79E7"/>
    <w:rsid w:val="00FE7BFC"/>
    <w:rsid w:val="00FF0B53"/>
    <w:rsid w:val="00FF0E09"/>
    <w:rsid w:val="00FF0E7D"/>
    <w:rsid w:val="00FF100E"/>
    <w:rsid w:val="00FF151F"/>
    <w:rsid w:val="00FF1DED"/>
    <w:rsid w:val="00FF2086"/>
    <w:rsid w:val="00FF20A1"/>
    <w:rsid w:val="00FF216F"/>
    <w:rsid w:val="00FF3230"/>
    <w:rsid w:val="00FF357A"/>
    <w:rsid w:val="00FF41A1"/>
    <w:rsid w:val="00FF4568"/>
    <w:rsid w:val="00FF4648"/>
    <w:rsid w:val="00FF4C2B"/>
    <w:rsid w:val="00FF4C37"/>
    <w:rsid w:val="00FF4E61"/>
    <w:rsid w:val="00FF5310"/>
    <w:rsid w:val="00FF5362"/>
    <w:rsid w:val="00FF563B"/>
    <w:rsid w:val="00FF60F7"/>
    <w:rsid w:val="00FF62EE"/>
    <w:rsid w:val="00FF64FF"/>
    <w:rsid w:val="00FF7F69"/>
    <w:rsid w:val="0841CFEA"/>
    <w:rsid w:val="1345BA90"/>
    <w:rsid w:val="26DC3F49"/>
    <w:rsid w:val="3CD19096"/>
    <w:rsid w:val="4D125402"/>
    <w:rsid w:val="4DCD7EE5"/>
    <w:rsid w:val="5178C8E2"/>
    <w:rsid w:val="6DF45901"/>
    <w:rsid w:val="7F17C2FC"/>
    <w:rsid w:val="7F1BC7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478841"/>
  <w15:chartTrackingRefBased/>
  <w15:docId w15:val="{65209AC3-2676-4F3C-9D59-48B65592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5C24"/>
    <w:rPr>
      <w:rFonts w:asciiTheme="minorHAnsi" w:hAnsiTheme="minorHAnsi"/>
      <w:sz w:val="22"/>
      <w:szCs w:val="24"/>
    </w:rPr>
  </w:style>
  <w:style w:type="paragraph" w:styleId="Heading1">
    <w:name w:val="heading 1"/>
    <w:basedOn w:val="Normal"/>
    <w:next w:val="Normal"/>
    <w:link w:val="Heading1Char"/>
    <w:qFormat/>
    <w:rsid w:val="0027565D"/>
    <w:pPr>
      <w:keepNext/>
      <w:keepLines/>
      <w:numPr>
        <w:numId w:val="2"/>
      </w:numPr>
      <w:spacing w:before="240" w:after="120"/>
      <w:ind w:left="567" w:hanging="567"/>
      <w:outlineLvl w:val="0"/>
    </w:pPr>
    <w:rPr>
      <w:rFonts w:ascii="Calibri" w:eastAsiaTheme="majorEastAsia" w:hAnsi="Calibri" w:cstheme="majorBidi"/>
      <w:b/>
      <w:bCs/>
      <w:color w:val="0398D7"/>
      <w:sz w:val="28"/>
      <w:szCs w:val="28"/>
    </w:rPr>
  </w:style>
  <w:style w:type="paragraph" w:styleId="Heading2">
    <w:name w:val="heading 2"/>
    <w:basedOn w:val="Normal"/>
    <w:next w:val="Normal"/>
    <w:link w:val="Heading2Char"/>
    <w:unhideWhenUsed/>
    <w:qFormat/>
    <w:rsid w:val="0027565D"/>
    <w:pPr>
      <w:keepNext/>
      <w:keepLines/>
      <w:numPr>
        <w:ilvl w:val="1"/>
        <w:numId w:val="2"/>
      </w:numPr>
      <w:spacing w:before="200" w:after="120"/>
      <w:outlineLvl w:val="1"/>
    </w:pPr>
    <w:rPr>
      <w:rFonts w:ascii="Calibri" w:eastAsiaTheme="majorEastAsia" w:hAnsi="Calibri" w:cstheme="majorBidi"/>
      <w:b/>
      <w:bCs/>
      <w:color w:val="0398D7"/>
      <w:sz w:val="26"/>
      <w:szCs w:val="26"/>
    </w:rPr>
  </w:style>
  <w:style w:type="paragraph" w:styleId="Heading3">
    <w:name w:val="heading 3"/>
    <w:basedOn w:val="Normal"/>
    <w:next w:val="Normal"/>
    <w:link w:val="Heading3Char"/>
    <w:unhideWhenUsed/>
    <w:qFormat/>
    <w:rsid w:val="0027565D"/>
    <w:pPr>
      <w:keepNext/>
      <w:keepLines/>
      <w:numPr>
        <w:ilvl w:val="2"/>
        <w:numId w:val="2"/>
      </w:numPr>
      <w:spacing w:before="200" w:after="120"/>
      <w:ind w:left="720"/>
      <w:outlineLvl w:val="2"/>
    </w:pPr>
    <w:rPr>
      <w:rFonts w:ascii="Calibri" w:eastAsiaTheme="majorEastAsia" w:hAnsi="Calibri" w:cstheme="majorBidi"/>
      <w:b/>
      <w:bCs/>
      <w:color w:val="0398D7"/>
    </w:rPr>
  </w:style>
  <w:style w:type="paragraph" w:styleId="Heading4">
    <w:name w:val="heading 4"/>
    <w:basedOn w:val="Normal"/>
    <w:next w:val="Normal"/>
    <w:link w:val="Heading4Char"/>
    <w:unhideWhenUsed/>
    <w:qFormat/>
    <w:rsid w:val="0027565D"/>
    <w:pPr>
      <w:keepNext/>
      <w:keepLines/>
      <w:numPr>
        <w:ilvl w:val="3"/>
        <w:numId w:val="2"/>
      </w:numPr>
      <w:spacing w:before="200" w:after="120"/>
      <w:outlineLvl w:val="3"/>
    </w:pPr>
    <w:rPr>
      <w:rFonts w:ascii="Calibri" w:eastAsiaTheme="majorEastAsia" w:hAnsi="Calibri" w:cstheme="majorBidi"/>
      <w:b/>
      <w:bCs/>
      <w:i/>
      <w:iCs/>
      <w:color w:val="0398D7"/>
    </w:rPr>
  </w:style>
  <w:style w:type="paragraph" w:styleId="Heading5">
    <w:name w:val="heading 5"/>
    <w:basedOn w:val="Normal"/>
    <w:next w:val="Normal"/>
    <w:link w:val="Heading5Char"/>
    <w:semiHidden/>
    <w:unhideWhenUsed/>
    <w:qFormat/>
    <w:rsid w:val="00875F0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75F0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75F0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75F0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875F0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565D"/>
    <w:rPr>
      <w:rFonts w:ascii="Calibri" w:eastAsiaTheme="majorEastAsia" w:hAnsi="Calibri" w:cstheme="majorBidi"/>
      <w:b/>
      <w:bCs/>
      <w:color w:val="0398D7"/>
      <w:sz w:val="28"/>
      <w:szCs w:val="28"/>
    </w:rPr>
  </w:style>
  <w:style w:type="character" w:customStyle="1" w:styleId="Heading2Char">
    <w:name w:val="Heading 2 Char"/>
    <w:basedOn w:val="DefaultParagraphFont"/>
    <w:link w:val="Heading2"/>
    <w:rsid w:val="0027565D"/>
    <w:rPr>
      <w:rFonts w:ascii="Calibri" w:eastAsiaTheme="majorEastAsia" w:hAnsi="Calibri" w:cstheme="majorBidi"/>
      <w:b/>
      <w:bCs/>
      <w:color w:val="0398D7"/>
      <w:sz w:val="26"/>
      <w:szCs w:val="26"/>
    </w:rPr>
  </w:style>
  <w:style w:type="character" w:customStyle="1" w:styleId="Heading3Char">
    <w:name w:val="Heading 3 Char"/>
    <w:basedOn w:val="DefaultParagraphFont"/>
    <w:link w:val="Heading3"/>
    <w:rsid w:val="0027565D"/>
    <w:rPr>
      <w:rFonts w:ascii="Calibri" w:eastAsiaTheme="majorEastAsia" w:hAnsi="Calibri" w:cstheme="majorBidi"/>
      <w:b/>
      <w:bCs/>
      <w:color w:val="0398D7"/>
      <w:sz w:val="22"/>
      <w:szCs w:val="24"/>
    </w:rPr>
  </w:style>
  <w:style w:type="character" w:customStyle="1" w:styleId="Heading4Char">
    <w:name w:val="Heading 4 Char"/>
    <w:basedOn w:val="DefaultParagraphFont"/>
    <w:link w:val="Heading4"/>
    <w:rsid w:val="0027565D"/>
    <w:rPr>
      <w:rFonts w:ascii="Calibri" w:eastAsiaTheme="majorEastAsia" w:hAnsi="Calibri" w:cstheme="majorBidi"/>
      <w:b/>
      <w:bCs/>
      <w:i/>
      <w:iCs/>
      <w:color w:val="0398D7"/>
      <w:sz w:val="22"/>
      <w:szCs w:val="24"/>
    </w:rPr>
  </w:style>
  <w:style w:type="character" w:customStyle="1" w:styleId="Heading5Char">
    <w:name w:val="Heading 5 Char"/>
    <w:basedOn w:val="DefaultParagraphFont"/>
    <w:link w:val="Heading5"/>
    <w:semiHidden/>
    <w:rsid w:val="00875F09"/>
    <w:rPr>
      <w:rFonts w:asciiTheme="majorHAnsi" w:eastAsiaTheme="majorEastAsia" w:hAnsiTheme="majorHAnsi" w:cstheme="majorBidi"/>
      <w:color w:val="243F60" w:themeColor="accent1" w:themeShade="7F"/>
      <w:sz w:val="22"/>
      <w:szCs w:val="24"/>
    </w:rPr>
  </w:style>
  <w:style w:type="character" w:customStyle="1" w:styleId="Heading6Char">
    <w:name w:val="Heading 6 Char"/>
    <w:basedOn w:val="DefaultParagraphFont"/>
    <w:link w:val="Heading6"/>
    <w:semiHidden/>
    <w:rsid w:val="00875F09"/>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875F09"/>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875F0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75F09"/>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2C45FB"/>
    <w:pPr>
      <w:numPr>
        <w:numId w:val="0"/>
      </w:numPr>
      <w:spacing w:line="276" w:lineRule="auto"/>
      <w:ind w:left="567" w:hanging="567"/>
      <w:outlineLvl w:val="9"/>
    </w:pPr>
    <w:rPr>
      <w:lang w:val="en-US" w:eastAsia="ja-JP"/>
    </w:rPr>
  </w:style>
  <w:style w:type="paragraph" w:styleId="TOC1">
    <w:name w:val="toc 1"/>
    <w:basedOn w:val="Normal"/>
    <w:next w:val="Normal"/>
    <w:autoRedefine/>
    <w:uiPriority w:val="39"/>
    <w:rsid w:val="00C56D7A"/>
    <w:pPr>
      <w:tabs>
        <w:tab w:val="right" w:leader="dot" w:pos="9855"/>
      </w:tabs>
      <w:spacing w:after="100"/>
    </w:pPr>
  </w:style>
  <w:style w:type="paragraph" w:styleId="TOC2">
    <w:name w:val="toc 2"/>
    <w:basedOn w:val="Normal"/>
    <w:next w:val="Normal"/>
    <w:autoRedefine/>
    <w:uiPriority w:val="39"/>
    <w:rsid w:val="00EA5E3B"/>
    <w:pPr>
      <w:spacing w:after="100"/>
      <w:ind w:left="993" w:hanging="720"/>
    </w:pPr>
  </w:style>
  <w:style w:type="paragraph" w:styleId="TOC3">
    <w:name w:val="toc 3"/>
    <w:basedOn w:val="Normal"/>
    <w:next w:val="Normal"/>
    <w:autoRedefine/>
    <w:uiPriority w:val="39"/>
    <w:rsid w:val="00892ADC"/>
    <w:pPr>
      <w:spacing w:after="100"/>
      <w:ind w:left="480"/>
    </w:pPr>
  </w:style>
  <w:style w:type="character" w:styleId="Hyperlink">
    <w:name w:val="Hyperlink"/>
    <w:basedOn w:val="DefaultParagraphFont"/>
    <w:uiPriority w:val="99"/>
    <w:unhideWhenUsed/>
    <w:rsid w:val="00892ADC"/>
    <w:rPr>
      <w:color w:val="0000FF" w:themeColor="hyperlink"/>
      <w:u w:val="single"/>
    </w:rPr>
  </w:style>
  <w:style w:type="paragraph" w:styleId="BalloonText">
    <w:name w:val="Balloon Text"/>
    <w:basedOn w:val="Normal"/>
    <w:link w:val="BalloonTextChar"/>
    <w:rsid w:val="00892ADC"/>
    <w:rPr>
      <w:rFonts w:ascii="Tahoma" w:hAnsi="Tahoma" w:cs="Tahoma"/>
      <w:sz w:val="16"/>
      <w:szCs w:val="16"/>
    </w:rPr>
  </w:style>
  <w:style w:type="character" w:customStyle="1" w:styleId="BalloonTextChar">
    <w:name w:val="Balloon Text Char"/>
    <w:basedOn w:val="DefaultParagraphFont"/>
    <w:link w:val="BalloonText"/>
    <w:rsid w:val="00892ADC"/>
    <w:rPr>
      <w:rFonts w:ascii="Tahoma" w:hAnsi="Tahoma" w:cs="Tahoma"/>
      <w:sz w:val="16"/>
      <w:szCs w:val="16"/>
    </w:rPr>
  </w:style>
  <w:style w:type="paragraph" w:styleId="Header">
    <w:name w:val="header"/>
    <w:basedOn w:val="Normal"/>
    <w:link w:val="HeaderChar"/>
    <w:uiPriority w:val="99"/>
    <w:rsid w:val="00625E8D"/>
    <w:pPr>
      <w:tabs>
        <w:tab w:val="center" w:pos="4513"/>
        <w:tab w:val="right" w:pos="9026"/>
      </w:tabs>
    </w:pPr>
  </w:style>
  <w:style w:type="character" w:customStyle="1" w:styleId="HeaderChar">
    <w:name w:val="Header Char"/>
    <w:basedOn w:val="DefaultParagraphFont"/>
    <w:link w:val="Header"/>
    <w:uiPriority w:val="99"/>
    <w:rsid w:val="00625E8D"/>
    <w:rPr>
      <w:sz w:val="24"/>
      <w:szCs w:val="24"/>
    </w:rPr>
  </w:style>
  <w:style w:type="paragraph" w:styleId="Footer">
    <w:name w:val="footer"/>
    <w:basedOn w:val="Normal"/>
    <w:link w:val="FooterChar"/>
    <w:uiPriority w:val="99"/>
    <w:rsid w:val="00253A5A"/>
    <w:pPr>
      <w:tabs>
        <w:tab w:val="center" w:pos="4513"/>
        <w:tab w:val="right" w:pos="9026"/>
      </w:tabs>
    </w:pPr>
    <w:rPr>
      <w:b/>
      <w:i/>
      <w:sz w:val="16"/>
    </w:rPr>
  </w:style>
  <w:style w:type="character" w:customStyle="1" w:styleId="FooterChar">
    <w:name w:val="Footer Char"/>
    <w:basedOn w:val="DefaultParagraphFont"/>
    <w:link w:val="Footer"/>
    <w:uiPriority w:val="99"/>
    <w:rsid w:val="00253A5A"/>
    <w:rPr>
      <w:rFonts w:asciiTheme="minorHAnsi" w:hAnsiTheme="minorHAnsi"/>
      <w:b/>
      <w:i/>
      <w:sz w:val="16"/>
      <w:szCs w:val="24"/>
    </w:rPr>
  </w:style>
  <w:style w:type="paragraph" w:styleId="NoSpacing">
    <w:name w:val="No Spacing"/>
    <w:link w:val="NoSpacingChar"/>
    <w:uiPriority w:val="1"/>
    <w:qFormat/>
    <w:rsid w:val="00625E8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25E8D"/>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27565D"/>
    <w:pPr>
      <w:pBdr>
        <w:bottom w:val="single" w:sz="8" w:space="4" w:color="4F81BD" w:themeColor="accent1"/>
      </w:pBdr>
      <w:spacing w:after="300"/>
      <w:contextualSpacing/>
    </w:pPr>
    <w:rPr>
      <w:rFonts w:ascii="Calibri" w:eastAsiaTheme="majorEastAsia" w:hAnsi="Calibri" w:cstheme="majorBidi"/>
      <w:b/>
      <w:color w:val="0398D7"/>
      <w:spacing w:val="5"/>
      <w:kern w:val="28"/>
      <w:sz w:val="52"/>
      <w:szCs w:val="52"/>
    </w:rPr>
  </w:style>
  <w:style w:type="character" w:customStyle="1" w:styleId="TitleChar">
    <w:name w:val="Title Char"/>
    <w:basedOn w:val="DefaultParagraphFont"/>
    <w:link w:val="Title"/>
    <w:rsid w:val="0027565D"/>
    <w:rPr>
      <w:rFonts w:ascii="Calibri" w:eastAsiaTheme="majorEastAsia" w:hAnsi="Calibri" w:cstheme="majorBidi"/>
      <w:b/>
      <w:color w:val="0398D7"/>
      <w:spacing w:val="5"/>
      <w:kern w:val="28"/>
      <w:sz w:val="52"/>
      <w:szCs w:val="52"/>
    </w:rPr>
  </w:style>
  <w:style w:type="paragraph" w:customStyle="1" w:styleId="Bullets">
    <w:name w:val="Bullets"/>
    <w:basedOn w:val="Normal"/>
    <w:link w:val="BulletsChar"/>
    <w:qFormat/>
    <w:rsid w:val="001E1E0A"/>
    <w:pPr>
      <w:numPr>
        <w:numId w:val="1"/>
      </w:numPr>
      <w:spacing w:before="120" w:after="120"/>
    </w:pPr>
  </w:style>
  <w:style w:type="character" w:customStyle="1" w:styleId="BulletsChar">
    <w:name w:val="Bullets Char"/>
    <w:basedOn w:val="DefaultParagraphFont"/>
    <w:link w:val="Bullets"/>
    <w:rsid w:val="001E1E0A"/>
    <w:rPr>
      <w:rFonts w:asciiTheme="minorHAnsi" w:hAnsiTheme="minorHAnsi"/>
      <w:sz w:val="22"/>
      <w:szCs w:val="24"/>
    </w:rPr>
  </w:style>
  <w:style w:type="paragraph" w:styleId="Quote">
    <w:name w:val="Quote"/>
    <w:basedOn w:val="Normal"/>
    <w:next w:val="Normal"/>
    <w:link w:val="QuoteChar"/>
    <w:uiPriority w:val="29"/>
    <w:qFormat/>
    <w:rsid w:val="00051905"/>
    <w:pPr>
      <w:ind w:left="567" w:right="567"/>
    </w:pPr>
    <w:rPr>
      <w:iCs/>
      <w:color w:val="000000" w:themeColor="text1"/>
    </w:rPr>
  </w:style>
  <w:style w:type="character" w:customStyle="1" w:styleId="QuoteChar">
    <w:name w:val="Quote Char"/>
    <w:basedOn w:val="DefaultParagraphFont"/>
    <w:link w:val="Quote"/>
    <w:uiPriority w:val="29"/>
    <w:rsid w:val="00051905"/>
    <w:rPr>
      <w:rFonts w:asciiTheme="minorHAnsi" w:hAnsiTheme="minorHAnsi"/>
      <w:iCs/>
      <w:color w:val="000000" w:themeColor="text1"/>
      <w:sz w:val="24"/>
      <w:szCs w:val="24"/>
    </w:rPr>
  </w:style>
  <w:style w:type="paragraph" w:customStyle="1" w:styleId="Quotebyparticipants">
    <w:name w:val="Quote by participants"/>
    <w:basedOn w:val="Normal"/>
    <w:qFormat/>
    <w:rsid w:val="0027565D"/>
    <w:pPr>
      <w:spacing w:before="240" w:after="240"/>
      <w:ind w:left="567" w:right="567"/>
    </w:pPr>
    <w:rPr>
      <w:i/>
      <w:color w:val="0398D7"/>
    </w:rPr>
  </w:style>
  <w:style w:type="character" w:styleId="Emphasis">
    <w:name w:val="Emphasis"/>
    <w:basedOn w:val="DefaultParagraphFont"/>
    <w:rsid w:val="008A6E0A"/>
    <w:rPr>
      <w:i/>
      <w:iCs/>
    </w:rPr>
  </w:style>
  <w:style w:type="character" w:styleId="Strong">
    <w:name w:val="Strong"/>
    <w:basedOn w:val="DefaultParagraphFont"/>
    <w:qFormat/>
    <w:rsid w:val="008A6E0A"/>
    <w:rPr>
      <w:b/>
      <w:bCs/>
    </w:rPr>
  </w:style>
  <w:style w:type="paragraph" w:styleId="Subtitle">
    <w:name w:val="Subtitle"/>
    <w:basedOn w:val="Normal"/>
    <w:next w:val="Normal"/>
    <w:link w:val="SubtitleChar"/>
    <w:rsid w:val="008A6E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A6E0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A6E0A"/>
    <w:rPr>
      <w:i/>
      <w:iCs/>
      <w:color w:val="808080" w:themeColor="text1" w:themeTint="7F"/>
    </w:rPr>
  </w:style>
  <w:style w:type="character" w:styleId="IntenseEmphasis">
    <w:name w:val="Intense Emphasis"/>
    <w:basedOn w:val="DefaultParagraphFont"/>
    <w:uiPriority w:val="21"/>
    <w:rsid w:val="008A6E0A"/>
    <w:rPr>
      <w:b/>
      <w:bCs/>
      <w:i/>
      <w:iCs/>
      <w:color w:val="4F81BD" w:themeColor="accent1"/>
    </w:rPr>
  </w:style>
  <w:style w:type="paragraph" w:styleId="IntenseQuote">
    <w:name w:val="Intense Quote"/>
    <w:basedOn w:val="Normal"/>
    <w:next w:val="Normal"/>
    <w:link w:val="IntenseQuoteChar"/>
    <w:uiPriority w:val="30"/>
    <w:rsid w:val="008A6E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6E0A"/>
    <w:rPr>
      <w:rFonts w:asciiTheme="minorHAnsi" w:hAnsiTheme="minorHAnsi"/>
      <w:b/>
      <w:bCs/>
      <w:i/>
      <w:iCs/>
      <w:color w:val="4F81BD" w:themeColor="accent1"/>
      <w:sz w:val="24"/>
      <w:szCs w:val="24"/>
    </w:rPr>
  </w:style>
  <w:style w:type="character" w:styleId="SubtleReference">
    <w:name w:val="Subtle Reference"/>
    <w:basedOn w:val="DefaultParagraphFont"/>
    <w:uiPriority w:val="31"/>
    <w:rsid w:val="008A6E0A"/>
    <w:rPr>
      <w:smallCaps/>
      <w:color w:val="C0504D" w:themeColor="accent2"/>
      <w:u w:val="single"/>
    </w:rPr>
  </w:style>
  <w:style w:type="character" w:styleId="IntenseReference">
    <w:name w:val="Intense Reference"/>
    <w:basedOn w:val="DefaultParagraphFont"/>
    <w:uiPriority w:val="32"/>
    <w:rsid w:val="008A6E0A"/>
    <w:rPr>
      <w:b/>
      <w:bCs/>
      <w:smallCaps/>
      <w:color w:val="C0504D" w:themeColor="accent2"/>
      <w:spacing w:val="5"/>
      <w:u w:val="single"/>
    </w:rPr>
  </w:style>
  <w:style w:type="character" w:styleId="BookTitle">
    <w:name w:val="Book Title"/>
    <w:basedOn w:val="DefaultParagraphFont"/>
    <w:uiPriority w:val="33"/>
    <w:rsid w:val="008A6E0A"/>
    <w:rPr>
      <w:b/>
      <w:bCs/>
      <w:smallCaps/>
      <w:spacing w:val="5"/>
    </w:rPr>
  </w:style>
  <w:style w:type="table" w:styleId="TableGrid">
    <w:name w:val="Table Grid"/>
    <w:aliases w:val="ACI Grid,ACI Table Grid"/>
    <w:basedOn w:val="TableNormal"/>
    <w:uiPriority w:val="39"/>
    <w:rsid w:val="002A6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565D"/>
    <w:pPr>
      <w:keepNext/>
      <w:spacing w:before="120" w:after="200"/>
      <w:ind w:left="1134" w:hanging="1134"/>
    </w:pPr>
    <w:rPr>
      <w:b/>
      <w:bCs/>
      <w:color w:val="0398D7"/>
      <w:szCs w:val="18"/>
    </w:rPr>
  </w:style>
  <w:style w:type="paragraph" w:styleId="FootnoteText">
    <w:name w:val="footnote text"/>
    <w:basedOn w:val="Normal"/>
    <w:link w:val="FootnoteTextChar"/>
    <w:uiPriority w:val="99"/>
    <w:rsid w:val="00950D8E"/>
    <w:rPr>
      <w:sz w:val="20"/>
      <w:szCs w:val="20"/>
    </w:rPr>
  </w:style>
  <w:style w:type="character" w:customStyle="1" w:styleId="FootnoteTextChar">
    <w:name w:val="Footnote Text Char"/>
    <w:basedOn w:val="DefaultParagraphFont"/>
    <w:link w:val="FootnoteText"/>
    <w:uiPriority w:val="99"/>
    <w:rsid w:val="00950D8E"/>
    <w:rPr>
      <w:rFonts w:asciiTheme="minorHAnsi" w:hAnsiTheme="minorHAnsi"/>
    </w:rPr>
  </w:style>
  <w:style w:type="character" w:styleId="FootnoteReference">
    <w:name w:val="footnote reference"/>
    <w:basedOn w:val="DefaultParagraphFont"/>
    <w:uiPriority w:val="99"/>
    <w:rsid w:val="00950D8E"/>
    <w:rPr>
      <w:vertAlign w:val="superscript"/>
    </w:rPr>
  </w:style>
  <w:style w:type="paragraph" w:styleId="TableofFigures">
    <w:name w:val="table of figures"/>
    <w:basedOn w:val="Normal"/>
    <w:next w:val="Normal"/>
    <w:uiPriority w:val="99"/>
    <w:rsid w:val="0072646E"/>
    <w:pPr>
      <w:spacing w:after="80"/>
    </w:pPr>
  </w:style>
  <w:style w:type="table" w:styleId="TableContemporary">
    <w:name w:val="Table Contemporary"/>
    <w:basedOn w:val="TableNormal"/>
    <w:rsid w:val="00031CF3"/>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erChar1">
    <w:name w:val="Header Char1"/>
    <w:uiPriority w:val="99"/>
    <w:semiHidden/>
    <w:rsid w:val="004A4C50"/>
    <w:rPr>
      <w:sz w:val="22"/>
      <w:szCs w:val="22"/>
      <w:lang w:eastAsia="en-US"/>
    </w:rPr>
  </w:style>
  <w:style w:type="character" w:customStyle="1" w:styleId="FooterChar1">
    <w:name w:val="Footer Char1"/>
    <w:uiPriority w:val="99"/>
    <w:rsid w:val="004A4C50"/>
    <w:rPr>
      <w:sz w:val="22"/>
      <w:szCs w:val="22"/>
      <w:lang w:eastAsia="en-US"/>
    </w:rPr>
  </w:style>
  <w:style w:type="paragraph" w:styleId="ListParagraph">
    <w:name w:val="List Paragraph"/>
    <w:aliases w:val="List Paragraph1,Recommendation,Body text,Bullet Point,Bullet point,Bullet- First level,Figure_name,L,List NUmber,List Paragraph Number,List Paragraph11,List Paragraph111,Listenabsatz1,NAST Quote,Numbered Indented Text,lp1,standard lewis,列"/>
    <w:basedOn w:val="Normal"/>
    <w:link w:val="ListParagraphChar"/>
    <w:uiPriority w:val="34"/>
    <w:qFormat/>
    <w:rsid w:val="003A7BF5"/>
    <w:pPr>
      <w:ind w:left="720"/>
      <w:contextualSpacing/>
    </w:pPr>
  </w:style>
  <w:style w:type="character" w:customStyle="1" w:styleId="name">
    <w:name w:val="name"/>
    <w:basedOn w:val="DefaultParagraphFont"/>
    <w:rsid w:val="00523E3B"/>
  </w:style>
  <w:style w:type="character" w:customStyle="1" w:styleId="apple-converted-space">
    <w:name w:val="apple-converted-space"/>
    <w:basedOn w:val="DefaultParagraphFont"/>
    <w:rsid w:val="00523E3B"/>
  </w:style>
  <w:style w:type="paragraph" w:styleId="NormalWeb">
    <w:name w:val="Normal (Web)"/>
    <w:basedOn w:val="Normal"/>
    <w:uiPriority w:val="99"/>
    <w:unhideWhenUsed/>
    <w:rsid w:val="00523E3B"/>
    <w:pPr>
      <w:spacing w:before="100" w:beforeAutospacing="1" w:after="100" w:afterAutospacing="1"/>
    </w:pPr>
    <w:rPr>
      <w:rFonts w:ascii="Times New Roman" w:hAnsi="Times New Roman"/>
    </w:rPr>
  </w:style>
  <w:style w:type="paragraph" w:customStyle="1" w:styleId="Bullet">
    <w:name w:val="Bullet"/>
    <w:basedOn w:val="Bullets"/>
    <w:link w:val="BulletChar"/>
    <w:rsid w:val="00A11257"/>
    <w:pPr>
      <w:tabs>
        <w:tab w:val="num" w:pos="360"/>
      </w:tabs>
      <w:autoSpaceDE w:val="0"/>
      <w:autoSpaceDN w:val="0"/>
      <w:spacing w:before="60" w:after="60"/>
    </w:pPr>
    <w:rPr>
      <w:rFonts w:ascii="Calibri" w:hAnsi="Calibri" w:cs="Calibri"/>
    </w:rPr>
  </w:style>
  <w:style w:type="character" w:customStyle="1" w:styleId="BulletChar">
    <w:name w:val="Bullet Char"/>
    <w:basedOn w:val="BulletsChar"/>
    <w:link w:val="Bullet"/>
    <w:rsid w:val="00A11257"/>
    <w:rPr>
      <w:rFonts w:ascii="Calibri" w:hAnsi="Calibri" w:cs="Calibri"/>
      <w:sz w:val="22"/>
      <w:szCs w:val="24"/>
    </w:rPr>
  </w:style>
  <w:style w:type="character" w:styleId="CommentReference">
    <w:name w:val="annotation reference"/>
    <w:basedOn w:val="DefaultParagraphFont"/>
    <w:uiPriority w:val="99"/>
    <w:rsid w:val="00293CBD"/>
    <w:rPr>
      <w:sz w:val="16"/>
      <w:szCs w:val="16"/>
    </w:rPr>
  </w:style>
  <w:style w:type="paragraph" w:styleId="CommentText">
    <w:name w:val="annotation text"/>
    <w:basedOn w:val="Normal"/>
    <w:link w:val="CommentTextChar"/>
    <w:uiPriority w:val="99"/>
    <w:rsid w:val="00293CBD"/>
    <w:rPr>
      <w:sz w:val="20"/>
      <w:szCs w:val="20"/>
    </w:rPr>
  </w:style>
  <w:style w:type="character" w:customStyle="1" w:styleId="CommentTextChar">
    <w:name w:val="Comment Text Char"/>
    <w:basedOn w:val="DefaultParagraphFont"/>
    <w:link w:val="CommentText"/>
    <w:uiPriority w:val="99"/>
    <w:rsid w:val="00293CBD"/>
    <w:rPr>
      <w:rFonts w:asciiTheme="minorHAnsi" w:hAnsiTheme="minorHAnsi"/>
    </w:rPr>
  </w:style>
  <w:style w:type="paragraph" w:styleId="CommentSubject">
    <w:name w:val="annotation subject"/>
    <w:basedOn w:val="CommentText"/>
    <w:next w:val="CommentText"/>
    <w:link w:val="CommentSubjectChar"/>
    <w:rsid w:val="00293CBD"/>
    <w:rPr>
      <w:b/>
      <w:bCs/>
    </w:rPr>
  </w:style>
  <w:style w:type="character" w:customStyle="1" w:styleId="CommentSubjectChar">
    <w:name w:val="Comment Subject Char"/>
    <w:basedOn w:val="CommentTextChar"/>
    <w:link w:val="CommentSubject"/>
    <w:rsid w:val="00293CBD"/>
    <w:rPr>
      <w:rFonts w:asciiTheme="minorHAnsi" w:hAnsiTheme="minorHAnsi"/>
      <w:b/>
      <w:bCs/>
    </w:rPr>
  </w:style>
  <w:style w:type="paragraph" w:styleId="DocumentMap">
    <w:name w:val="Document Map"/>
    <w:basedOn w:val="Normal"/>
    <w:link w:val="DocumentMapChar"/>
    <w:rsid w:val="00145CEA"/>
    <w:rPr>
      <w:rFonts w:ascii="Lucida Grande" w:hAnsi="Lucida Grande"/>
    </w:rPr>
  </w:style>
  <w:style w:type="character" w:customStyle="1" w:styleId="DocumentMapChar">
    <w:name w:val="Document Map Char"/>
    <w:basedOn w:val="DefaultParagraphFont"/>
    <w:link w:val="DocumentMap"/>
    <w:rsid w:val="00145CEA"/>
    <w:rPr>
      <w:rFonts w:ascii="Lucida Grande" w:hAnsi="Lucida Grande"/>
      <w:sz w:val="24"/>
      <w:szCs w:val="24"/>
    </w:rPr>
  </w:style>
  <w:style w:type="character" w:styleId="FollowedHyperlink">
    <w:name w:val="FollowedHyperlink"/>
    <w:basedOn w:val="DefaultParagraphFont"/>
    <w:uiPriority w:val="99"/>
    <w:rsid w:val="00500412"/>
    <w:rPr>
      <w:color w:val="800080" w:themeColor="followedHyperlink"/>
      <w:u w:val="single"/>
    </w:rPr>
  </w:style>
  <w:style w:type="paragraph" w:customStyle="1" w:styleId="PFNumLevel2">
    <w:name w:val="PF (Num) Level 2"/>
    <w:basedOn w:val="Normal"/>
    <w:rsid w:val="00395A13"/>
    <w:pPr>
      <w:numPr>
        <w:ilvl w:val="1"/>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3">
    <w:name w:val="PF (Num) Level 3"/>
    <w:basedOn w:val="Normal"/>
    <w:rsid w:val="00395A13"/>
    <w:pPr>
      <w:numPr>
        <w:ilvl w:val="2"/>
        <w:numId w:val="3"/>
      </w:numPr>
      <w:tabs>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4">
    <w:name w:val="PF (Num) Level 4"/>
    <w:basedOn w:val="Normal"/>
    <w:rsid w:val="00395A13"/>
    <w:pPr>
      <w:numPr>
        <w:ilvl w:val="3"/>
        <w:numId w:val="3"/>
      </w:numPr>
      <w:tabs>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5">
    <w:name w:val="PF (Num) Level 5"/>
    <w:basedOn w:val="Normal"/>
    <w:rsid w:val="00395A13"/>
    <w:pPr>
      <w:numPr>
        <w:ilvl w:val="4"/>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Heading1A">
    <w:name w:val="Heading 1A"/>
    <w:basedOn w:val="Heading1"/>
    <w:next w:val="Normal"/>
    <w:rsid w:val="00395A13"/>
    <w:pPr>
      <w:keepLines w:val="0"/>
      <w:numPr>
        <w:numId w:val="3"/>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Arial" w:eastAsia="Times New Roman" w:hAnsi="Arial" w:cs="Times New Roman"/>
      <w:bCs w:val="0"/>
      <w:color w:val="000000"/>
      <w:kern w:val="28"/>
      <w:lang w:eastAsia="en-US"/>
    </w:rPr>
  </w:style>
  <w:style w:type="paragraph" w:customStyle="1" w:styleId="PFNumLevel6">
    <w:name w:val="PF (Num) Level 6"/>
    <w:basedOn w:val="PFNumLevel4"/>
    <w:rsid w:val="00395A13"/>
    <w:pPr>
      <w:numPr>
        <w:ilvl w:val="5"/>
      </w:numPr>
    </w:pPr>
  </w:style>
  <w:style w:type="paragraph" w:customStyle="1" w:styleId="Table">
    <w:name w:val="Table"/>
    <w:basedOn w:val="Normal"/>
    <w:rsid w:val="00F62639"/>
    <w:pPr>
      <w:spacing w:before="60" w:after="60"/>
    </w:pPr>
    <w:rPr>
      <w:rFonts w:ascii="Arial" w:hAnsi="Arial"/>
      <w:snapToGrid w:val="0"/>
      <w:sz w:val="18"/>
      <w:szCs w:val="20"/>
    </w:rPr>
  </w:style>
  <w:style w:type="table" w:customStyle="1" w:styleId="AABlackTable1">
    <w:name w:val="AABlackTable1"/>
    <w:basedOn w:val="TableNormal"/>
    <w:uiPriority w:val="99"/>
    <w:rsid w:val="00F62639"/>
    <w:pPr>
      <w:spacing w:before="110" w:after="110" w:line="264" w:lineRule="auto"/>
    </w:pPr>
    <w:rPr>
      <w:rFonts w:ascii="Verdana" w:eastAsiaTheme="minorHAnsi" w:hAnsi="Verdana" w:cstheme="minorBidi"/>
      <w:sz w:val="18"/>
      <w:lang w:eastAsia="en-US"/>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TOC4">
    <w:name w:val="toc 4"/>
    <w:basedOn w:val="Normal"/>
    <w:next w:val="Normal"/>
    <w:autoRedefine/>
    <w:uiPriority w:val="39"/>
    <w:rsid w:val="000B0A40"/>
    <w:pPr>
      <w:ind w:left="720"/>
    </w:pPr>
  </w:style>
  <w:style w:type="paragraph" w:styleId="TOC5">
    <w:name w:val="toc 5"/>
    <w:basedOn w:val="Normal"/>
    <w:next w:val="Normal"/>
    <w:autoRedefine/>
    <w:uiPriority w:val="39"/>
    <w:rsid w:val="000B0A40"/>
    <w:pPr>
      <w:ind w:left="960"/>
    </w:pPr>
  </w:style>
  <w:style w:type="paragraph" w:styleId="TOC6">
    <w:name w:val="toc 6"/>
    <w:basedOn w:val="Normal"/>
    <w:next w:val="Normal"/>
    <w:autoRedefine/>
    <w:uiPriority w:val="39"/>
    <w:rsid w:val="000B0A40"/>
    <w:pPr>
      <w:ind w:left="1200"/>
    </w:pPr>
  </w:style>
  <w:style w:type="paragraph" w:styleId="TOC7">
    <w:name w:val="toc 7"/>
    <w:basedOn w:val="Normal"/>
    <w:next w:val="Normal"/>
    <w:autoRedefine/>
    <w:uiPriority w:val="39"/>
    <w:rsid w:val="000B0A40"/>
    <w:pPr>
      <w:ind w:left="1440"/>
    </w:pPr>
  </w:style>
  <w:style w:type="paragraph" w:styleId="TOC8">
    <w:name w:val="toc 8"/>
    <w:basedOn w:val="Normal"/>
    <w:next w:val="Normal"/>
    <w:autoRedefine/>
    <w:uiPriority w:val="39"/>
    <w:rsid w:val="000B0A40"/>
    <w:pPr>
      <w:ind w:left="1680"/>
    </w:pPr>
  </w:style>
  <w:style w:type="paragraph" w:styleId="TOC9">
    <w:name w:val="toc 9"/>
    <w:basedOn w:val="Normal"/>
    <w:next w:val="Normal"/>
    <w:autoRedefine/>
    <w:uiPriority w:val="39"/>
    <w:rsid w:val="000B0A40"/>
    <w:pPr>
      <w:ind w:left="1920"/>
    </w:pPr>
  </w:style>
  <w:style w:type="paragraph" w:styleId="ListBullet">
    <w:name w:val="List Bullet"/>
    <w:aliases w:val="List spaced"/>
    <w:basedOn w:val="Normal"/>
    <w:rsid w:val="006A4E29"/>
    <w:pPr>
      <w:numPr>
        <w:numId w:val="4"/>
      </w:numPr>
      <w:spacing w:before="60" w:after="60"/>
    </w:pPr>
    <w:rPr>
      <w:rFonts w:ascii="Arial" w:hAnsi="Arial"/>
      <w:szCs w:val="20"/>
    </w:rPr>
  </w:style>
  <w:style w:type="paragraph" w:styleId="Revision">
    <w:name w:val="Revision"/>
    <w:hidden/>
    <w:uiPriority w:val="99"/>
    <w:semiHidden/>
    <w:rsid w:val="00803ABC"/>
    <w:rPr>
      <w:rFonts w:asciiTheme="minorHAnsi" w:hAnsiTheme="minorHAnsi"/>
      <w:sz w:val="24"/>
      <w:szCs w:val="24"/>
    </w:rPr>
  </w:style>
  <w:style w:type="paragraph" w:styleId="BodyText">
    <w:name w:val="Body Text"/>
    <w:basedOn w:val="Normal"/>
    <w:link w:val="BodyTextChar"/>
    <w:semiHidden/>
    <w:rsid w:val="008C24FA"/>
    <w:rPr>
      <w:rFonts w:ascii="Arial" w:hAnsi="Arial"/>
      <w:b/>
      <w:sz w:val="20"/>
      <w:szCs w:val="20"/>
      <w:lang w:eastAsia="en-US"/>
    </w:rPr>
  </w:style>
  <w:style w:type="character" w:customStyle="1" w:styleId="BodyTextChar">
    <w:name w:val="Body Text Char"/>
    <w:basedOn w:val="DefaultParagraphFont"/>
    <w:link w:val="BodyText"/>
    <w:semiHidden/>
    <w:rsid w:val="008C24FA"/>
    <w:rPr>
      <w:rFonts w:ascii="Arial" w:hAnsi="Arial"/>
      <w:b/>
      <w:lang w:eastAsia="en-US"/>
    </w:rPr>
  </w:style>
  <w:style w:type="character" w:customStyle="1" w:styleId="ListParagraphChar">
    <w:name w:val="List Paragraph Char"/>
    <w:aliases w:val="List Paragraph1 Char,Recommendation Char,Body text Char,Bullet Point Char,Bullet point Char,Bullet- First level Char,Figure_name Char,L Char,List NUmber Char,List Paragraph Number Char,List Paragraph11 Char,List Paragraph111 Char"/>
    <w:link w:val="ListParagraph"/>
    <w:uiPriority w:val="34"/>
    <w:qFormat/>
    <w:locked/>
    <w:rsid w:val="00816F0F"/>
    <w:rPr>
      <w:rFonts w:asciiTheme="minorHAnsi" w:hAnsiTheme="minorHAnsi"/>
      <w:sz w:val="24"/>
      <w:szCs w:val="24"/>
    </w:rPr>
  </w:style>
  <w:style w:type="paragraph" w:customStyle="1" w:styleId="Plainbullets">
    <w:name w:val="Plain bullets"/>
    <w:basedOn w:val="Normal"/>
    <w:rsid w:val="007A2330"/>
    <w:pPr>
      <w:numPr>
        <w:numId w:val="5"/>
      </w:numPr>
      <w:autoSpaceDE w:val="0"/>
      <w:autoSpaceDN w:val="0"/>
      <w:spacing w:before="60" w:after="60"/>
    </w:pPr>
    <w:rPr>
      <w:rFonts w:ascii="Calibri" w:hAnsi="Calibri" w:cs="Calibri"/>
    </w:rPr>
  </w:style>
  <w:style w:type="paragraph" w:customStyle="1" w:styleId="DHHSbody">
    <w:name w:val="DHHS body"/>
    <w:link w:val="DHHSbodyChar"/>
    <w:rsid w:val="004772E9"/>
    <w:pPr>
      <w:spacing w:after="120" w:line="270" w:lineRule="atLeast"/>
    </w:pPr>
    <w:rPr>
      <w:rFonts w:ascii="Arial" w:eastAsia="Times" w:hAnsi="Arial"/>
      <w:lang w:eastAsia="en-US"/>
    </w:rPr>
  </w:style>
  <w:style w:type="paragraph" w:customStyle="1" w:styleId="DHHSbullet1">
    <w:name w:val="DHHS bullet 1"/>
    <w:basedOn w:val="DHHSbody"/>
    <w:rsid w:val="004772E9"/>
    <w:pPr>
      <w:spacing w:after="40"/>
    </w:pPr>
  </w:style>
  <w:style w:type="paragraph" w:customStyle="1" w:styleId="DHHStablecaption">
    <w:name w:val="DHHS table caption"/>
    <w:next w:val="DHHSbody"/>
    <w:uiPriority w:val="3"/>
    <w:rsid w:val="004772E9"/>
    <w:pPr>
      <w:keepNext/>
      <w:keepLines/>
      <w:spacing w:before="240" w:after="120" w:line="240" w:lineRule="atLeast"/>
    </w:pPr>
    <w:rPr>
      <w:rFonts w:ascii="Arial" w:hAnsi="Arial"/>
      <w:b/>
      <w:lang w:eastAsia="en-US"/>
    </w:rPr>
  </w:style>
  <w:style w:type="paragraph" w:customStyle="1" w:styleId="DHHSbullet2">
    <w:name w:val="DHHS bullet 2"/>
    <w:basedOn w:val="DHHSbody"/>
    <w:uiPriority w:val="2"/>
    <w:rsid w:val="004772E9"/>
    <w:pPr>
      <w:numPr>
        <w:ilvl w:val="2"/>
        <w:numId w:val="9"/>
      </w:numPr>
      <w:spacing w:after="40"/>
    </w:pPr>
  </w:style>
  <w:style w:type="paragraph" w:customStyle="1" w:styleId="DHHStablebullet">
    <w:name w:val="DHHS table bullet"/>
    <w:basedOn w:val="Normal"/>
    <w:uiPriority w:val="3"/>
    <w:rsid w:val="004772E9"/>
    <w:pPr>
      <w:numPr>
        <w:ilvl w:val="6"/>
        <w:numId w:val="9"/>
      </w:numPr>
      <w:spacing w:before="80" w:after="60"/>
    </w:pPr>
    <w:rPr>
      <w:rFonts w:ascii="Arial" w:hAnsi="Arial"/>
      <w:sz w:val="20"/>
      <w:szCs w:val="20"/>
      <w:lang w:eastAsia="en-US"/>
    </w:rPr>
  </w:style>
  <w:style w:type="paragraph" w:customStyle="1" w:styleId="DHHStablecolhead">
    <w:name w:val="DHHS table col head"/>
    <w:uiPriority w:val="3"/>
    <w:rsid w:val="004772E9"/>
    <w:pPr>
      <w:spacing w:before="80" w:after="60"/>
    </w:pPr>
    <w:rPr>
      <w:rFonts w:ascii="Arial" w:hAnsi="Arial"/>
      <w:b/>
      <w:color w:val="500778"/>
      <w:lang w:eastAsia="en-US"/>
    </w:rPr>
  </w:style>
  <w:style w:type="paragraph" w:customStyle="1" w:styleId="DHHSbulletindent">
    <w:name w:val="DHHS bullet indent"/>
    <w:basedOn w:val="DHHSbody"/>
    <w:uiPriority w:val="4"/>
    <w:rsid w:val="004772E9"/>
    <w:pPr>
      <w:numPr>
        <w:ilvl w:val="4"/>
        <w:numId w:val="9"/>
      </w:numPr>
      <w:spacing w:after="40"/>
    </w:pPr>
  </w:style>
  <w:style w:type="paragraph" w:customStyle="1" w:styleId="DHHSbullet1lastline">
    <w:name w:val="DHHS bullet 1 last line"/>
    <w:basedOn w:val="DHHSbullet1"/>
    <w:rsid w:val="004772E9"/>
    <w:pPr>
      <w:numPr>
        <w:ilvl w:val="1"/>
        <w:numId w:val="9"/>
      </w:numPr>
      <w:spacing w:after="120"/>
    </w:pPr>
  </w:style>
  <w:style w:type="paragraph" w:customStyle="1" w:styleId="DHHSbullet2lastline">
    <w:name w:val="DHHS bullet 2 last line"/>
    <w:basedOn w:val="DHHSbullet2"/>
    <w:uiPriority w:val="2"/>
    <w:rsid w:val="004772E9"/>
    <w:pPr>
      <w:numPr>
        <w:ilvl w:val="3"/>
      </w:numPr>
      <w:spacing w:after="120"/>
    </w:pPr>
  </w:style>
  <w:style w:type="numbering" w:customStyle="1" w:styleId="ZZBullets">
    <w:name w:val="ZZ Bullets"/>
    <w:rsid w:val="004772E9"/>
    <w:pPr>
      <w:numPr>
        <w:numId w:val="6"/>
      </w:numPr>
    </w:pPr>
  </w:style>
  <w:style w:type="paragraph" w:customStyle="1" w:styleId="DHHSbulletindentlastline">
    <w:name w:val="DHHS bullet indent last line"/>
    <w:basedOn w:val="DHHSbody"/>
    <w:uiPriority w:val="4"/>
    <w:rsid w:val="004772E9"/>
    <w:pPr>
      <w:numPr>
        <w:ilvl w:val="5"/>
        <w:numId w:val="9"/>
      </w:numPr>
    </w:pPr>
  </w:style>
  <w:style w:type="character" w:customStyle="1" w:styleId="DHHSbodyChar">
    <w:name w:val="DHHS body Char"/>
    <w:basedOn w:val="DefaultParagraphFont"/>
    <w:link w:val="DHHSbody"/>
    <w:rsid w:val="004772E9"/>
    <w:rPr>
      <w:rFonts w:ascii="Arial" w:eastAsia="Times" w:hAnsi="Arial"/>
      <w:lang w:eastAsia="en-US"/>
    </w:rPr>
  </w:style>
  <w:style w:type="paragraph" w:customStyle="1" w:styleId="DHHSmainheading">
    <w:name w:val="DHHS main heading"/>
    <w:uiPriority w:val="8"/>
    <w:rsid w:val="00E66D61"/>
    <w:pPr>
      <w:spacing w:line="560" w:lineRule="atLeast"/>
    </w:pPr>
    <w:rPr>
      <w:rFonts w:ascii="Arial" w:hAnsi="Arial"/>
      <w:color w:val="FFFFFF"/>
      <w:sz w:val="50"/>
      <w:szCs w:val="50"/>
      <w:lang w:eastAsia="en-US"/>
    </w:rPr>
  </w:style>
  <w:style w:type="paragraph" w:customStyle="1" w:styleId="DHHSmainsubheading">
    <w:name w:val="DHHS main subheading"/>
    <w:uiPriority w:val="8"/>
    <w:rsid w:val="00E66D61"/>
    <w:rPr>
      <w:rFonts w:ascii="Arial" w:hAnsi="Arial"/>
      <w:color w:val="FFFFFF"/>
      <w:sz w:val="28"/>
      <w:szCs w:val="28"/>
      <w:lang w:eastAsia="en-US"/>
    </w:rPr>
  </w:style>
  <w:style w:type="paragraph" w:customStyle="1" w:styleId="DHHStabletext">
    <w:name w:val="DHHS table text"/>
    <w:uiPriority w:val="3"/>
    <w:rsid w:val="00E66D61"/>
    <w:pPr>
      <w:spacing w:before="80" w:after="60"/>
    </w:pPr>
    <w:rPr>
      <w:rFonts w:ascii="Arial" w:hAnsi="Arial"/>
      <w:lang w:eastAsia="en-US"/>
    </w:rPr>
  </w:style>
  <w:style w:type="numbering" w:customStyle="1" w:styleId="ZZNumbers">
    <w:name w:val="ZZ Numbers"/>
    <w:rsid w:val="00E66D61"/>
    <w:pPr>
      <w:numPr>
        <w:numId w:val="7"/>
      </w:numPr>
    </w:pPr>
  </w:style>
  <w:style w:type="paragraph" w:customStyle="1" w:styleId="DHHSnumberdigit">
    <w:name w:val="DHHS number digit"/>
    <w:basedOn w:val="DHHSbody"/>
    <w:uiPriority w:val="2"/>
    <w:rsid w:val="00E66D61"/>
    <w:pPr>
      <w:numPr>
        <w:numId w:val="7"/>
      </w:numPr>
    </w:pPr>
  </w:style>
  <w:style w:type="paragraph" w:customStyle="1" w:styleId="DHHSnumberloweralphaindent">
    <w:name w:val="DHHS number lower alpha indent"/>
    <w:basedOn w:val="DHHSbody"/>
    <w:uiPriority w:val="3"/>
    <w:rsid w:val="00E66D61"/>
    <w:pPr>
      <w:numPr>
        <w:ilvl w:val="3"/>
        <w:numId w:val="7"/>
      </w:numPr>
    </w:pPr>
  </w:style>
  <w:style w:type="paragraph" w:customStyle="1" w:styleId="DHHSnumberdigitindent">
    <w:name w:val="DHHS number digit indent"/>
    <w:basedOn w:val="DHHSnumberloweralphaindent"/>
    <w:uiPriority w:val="3"/>
    <w:rsid w:val="00E66D61"/>
    <w:pPr>
      <w:numPr>
        <w:ilvl w:val="1"/>
      </w:numPr>
    </w:pPr>
  </w:style>
  <w:style w:type="paragraph" w:customStyle="1" w:styleId="DHHSnumberloweralpha">
    <w:name w:val="DHHS number lower alpha"/>
    <w:basedOn w:val="DHHSbody"/>
    <w:uiPriority w:val="3"/>
    <w:rsid w:val="00E66D61"/>
    <w:pPr>
      <w:numPr>
        <w:ilvl w:val="2"/>
        <w:numId w:val="7"/>
      </w:numPr>
    </w:pPr>
  </w:style>
  <w:style w:type="paragraph" w:customStyle="1" w:styleId="DHHSnumberlowerroman">
    <w:name w:val="DHHS number lower roman"/>
    <w:basedOn w:val="DHHSbody"/>
    <w:uiPriority w:val="3"/>
    <w:rsid w:val="00E66D61"/>
    <w:pPr>
      <w:numPr>
        <w:ilvl w:val="4"/>
        <w:numId w:val="7"/>
      </w:numPr>
    </w:pPr>
  </w:style>
  <w:style w:type="paragraph" w:customStyle="1" w:styleId="DHHSnumberlowerromanindent">
    <w:name w:val="DHHS number lower roman indent"/>
    <w:basedOn w:val="DHHSbody"/>
    <w:uiPriority w:val="3"/>
    <w:rsid w:val="00E66D61"/>
    <w:pPr>
      <w:numPr>
        <w:ilvl w:val="5"/>
        <w:numId w:val="7"/>
      </w:numPr>
    </w:pPr>
  </w:style>
  <w:style w:type="paragraph" w:customStyle="1" w:styleId="DHHStablefigurenote">
    <w:name w:val="DHHS table/figure note"/>
    <w:uiPriority w:val="4"/>
    <w:rsid w:val="00E66D61"/>
    <w:pPr>
      <w:spacing w:before="60" w:after="60" w:line="240" w:lineRule="exact"/>
    </w:pPr>
    <w:rPr>
      <w:rFonts w:ascii="Arial" w:hAnsi="Arial"/>
      <w:i/>
      <w:sz w:val="18"/>
      <w:lang w:eastAsia="en-US"/>
    </w:rPr>
  </w:style>
  <w:style w:type="paragraph" w:customStyle="1" w:styleId="DHHSheader">
    <w:name w:val="DHHS header"/>
    <w:basedOn w:val="Normal"/>
    <w:uiPriority w:val="11"/>
    <w:rsid w:val="00E66D61"/>
    <w:pPr>
      <w:tabs>
        <w:tab w:val="right" w:pos="10206"/>
      </w:tabs>
    </w:pPr>
    <w:rPr>
      <w:rFonts w:ascii="Arial" w:hAnsi="Arial" w:cs="Arial"/>
      <w:sz w:val="18"/>
      <w:szCs w:val="18"/>
      <w:lang w:eastAsia="en-US"/>
    </w:rPr>
  </w:style>
  <w:style w:type="paragraph" w:customStyle="1" w:styleId="bullets0">
    <w:name w:val="bullets"/>
    <w:basedOn w:val="Normal"/>
    <w:rsid w:val="007A3656"/>
    <w:pPr>
      <w:numPr>
        <w:numId w:val="8"/>
      </w:numPr>
      <w:spacing w:before="60" w:after="60"/>
    </w:pPr>
    <w:rPr>
      <w:rFonts w:ascii="Arial" w:hAnsi="Arial"/>
      <w:szCs w:val="20"/>
    </w:rPr>
  </w:style>
  <w:style w:type="paragraph" w:customStyle="1" w:styleId="table0">
    <w:name w:val="table"/>
    <w:basedOn w:val="Normal"/>
    <w:rsid w:val="007A3656"/>
    <w:pPr>
      <w:spacing w:before="60" w:after="60"/>
    </w:pPr>
    <w:rPr>
      <w:rFonts w:ascii="Arial" w:hAnsi="Arial"/>
      <w:sz w:val="18"/>
      <w:szCs w:val="20"/>
    </w:rPr>
  </w:style>
  <w:style w:type="character" w:customStyle="1" w:styleId="A3">
    <w:name w:val="A3"/>
    <w:uiPriority w:val="99"/>
    <w:rsid w:val="000B473E"/>
    <w:rPr>
      <w:rFonts w:cs="Helvetica Light"/>
      <w:color w:val="221E1F"/>
      <w:sz w:val="21"/>
      <w:szCs w:val="21"/>
    </w:rPr>
  </w:style>
  <w:style w:type="table" w:styleId="ListTable3">
    <w:name w:val="List Table 3"/>
    <w:basedOn w:val="TableNormal"/>
    <w:uiPriority w:val="48"/>
    <w:rsid w:val="0088794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8794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D92933"/>
    <w:pPr>
      <w:autoSpaceDE w:val="0"/>
      <w:autoSpaceDN w:val="0"/>
      <w:adjustRightInd w:val="0"/>
    </w:pPr>
    <w:rPr>
      <w:rFonts w:ascii="Calibri" w:hAnsi="Calibri" w:cs="Calibri"/>
      <w:color w:val="000000"/>
      <w:sz w:val="24"/>
      <w:szCs w:val="24"/>
    </w:rPr>
  </w:style>
  <w:style w:type="paragraph" w:customStyle="1" w:styleId="Normal0">
    <w:name w:val="[Normal]"/>
    <w:uiPriority w:val="99"/>
    <w:rsid w:val="00163A7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customStyle="1" w:styleId="EndNoteBibliographyChar">
    <w:name w:val="EndNote Bibliography Char"/>
    <w:basedOn w:val="DefaultParagraphFont"/>
    <w:link w:val="EndNoteBibliography"/>
    <w:locked/>
    <w:rsid w:val="001002A3"/>
    <w:rPr>
      <w:rFonts w:ascii="Calibri" w:hAnsi="Calibri" w:cs="Calibri"/>
    </w:rPr>
  </w:style>
  <w:style w:type="paragraph" w:customStyle="1" w:styleId="EndNoteBibliography">
    <w:name w:val="EndNote Bibliography"/>
    <w:basedOn w:val="Normal"/>
    <w:link w:val="EndNoteBibliographyChar"/>
    <w:rsid w:val="001002A3"/>
    <w:rPr>
      <w:rFonts w:ascii="Calibri" w:hAnsi="Calibri" w:cs="Calibri"/>
      <w:sz w:val="20"/>
      <w:szCs w:val="20"/>
    </w:rPr>
  </w:style>
  <w:style w:type="paragraph" w:customStyle="1" w:styleId="EndNoteBibliographyTitle">
    <w:name w:val="EndNote Bibliography Title"/>
    <w:basedOn w:val="Normal"/>
    <w:link w:val="EndNoteBibliographyTitleChar"/>
    <w:rsid w:val="00080E63"/>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080E63"/>
    <w:rPr>
      <w:rFonts w:ascii="Calibri" w:hAnsi="Calibri" w:cs="Calibri"/>
      <w:noProof/>
      <w:szCs w:val="24"/>
    </w:rPr>
  </w:style>
  <w:style w:type="paragraph" w:styleId="EndnoteText">
    <w:name w:val="endnote text"/>
    <w:basedOn w:val="Normal"/>
    <w:link w:val="EndnoteTextChar"/>
    <w:semiHidden/>
    <w:unhideWhenUsed/>
    <w:rsid w:val="00DB75B8"/>
    <w:rPr>
      <w:sz w:val="20"/>
      <w:szCs w:val="20"/>
    </w:rPr>
  </w:style>
  <w:style w:type="character" w:customStyle="1" w:styleId="EndnoteTextChar">
    <w:name w:val="Endnote Text Char"/>
    <w:basedOn w:val="DefaultParagraphFont"/>
    <w:link w:val="EndnoteText"/>
    <w:semiHidden/>
    <w:rsid w:val="00DB75B8"/>
    <w:rPr>
      <w:rFonts w:asciiTheme="minorHAnsi" w:hAnsiTheme="minorHAnsi"/>
    </w:rPr>
  </w:style>
  <w:style w:type="character" w:styleId="EndnoteReference">
    <w:name w:val="endnote reference"/>
    <w:basedOn w:val="DefaultParagraphFont"/>
    <w:semiHidden/>
    <w:unhideWhenUsed/>
    <w:rsid w:val="00DB75B8"/>
    <w:rPr>
      <w:vertAlign w:val="superscript"/>
    </w:rPr>
  </w:style>
  <w:style w:type="table" w:customStyle="1" w:styleId="TableGrid1">
    <w:name w:val="Table Grid1"/>
    <w:basedOn w:val="TableNormal"/>
    <w:next w:val="TableGrid"/>
    <w:uiPriority w:val="39"/>
    <w:rsid w:val="00F6606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F66061"/>
    <w:rPr>
      <w:rFonts w:cs="Myriad Pro Cond"/>
      <w:color w:val="211D1E"/>
      <w:sz w:val="20"/>
      <w:szCs w:val="20"/>
    </w:rPr>
  </w:style>
  <w:style w:type="character" w:customStyle="1" w:styleId="A2">
    <w:name w:val="A2"/>
    <w:uiPriority w:val="99"/>
    <w:rsid w:val="00F66061"/>
    <w:rPr>
      <w:rFonts w:cs="HelveticaNeueLT Std"/>
      <w:b/>
      <w:bCs/>
      <w:color w:val="FFFFFF"/>
      <w:sz w:val="20"/>
      <w:szCs w:val="20"/>
    </w:rPr>
  </w:style>
  <w:style w:type="character" w:customStyle="1" w:styleId="UnresolvedMention1">
    <w:name w:val="Unresolved Mention1"/>
    <w:basedOn w:val="DefaultParagraphFont"/>
    <w:uiPriority w:val="99"/>
    <w:semiHidden/>
    <w:unhideWhenUsed/>
    <w:rsid w:val="00F66061"/>
    <w:rPr>
      <w:color w:val="605E5C"/>
      <w:shd w:val="clear" w:color="auto" w:fill="E1DFDD"/>
    </w:rPr>
  </w:style>
  <w:style w:type="character" w:customStyle="1" w:styleId="AIHWbodytextChar">
    <w:name w:val="AIHW body text Char"/>
    <w:basedOn w:val="DefaultParagraphFont"/>
    <w:link w:val="AIHWbodytext"/>
    <w:locked/>
    <w:rsid w:val="00F66061"/>
    <w:rPr>
      <w:rFonts w:ascii="Arial" w:hAnsi="Arial" w:cs="Arial"/>
    </w:rPr>
  </w:style>
  <w:style w:type="paragraph" w:customStyle="1" w:styleId="AIHWbodytext">
    <w:name w:val="AIHW body text"/>
    <w:basedOn w:val="Normal"/>
    <w:link w:val="AIHWbodytextChar"/>
    <w:rsid w:val="00F66061"/>
    <w:pPr>
      <w:spacing w:before="120"/>
    </w:pPr>
    <w:rPr>
      <w:rFonts w:ascii="Arial" w:hAnsi="Arial" w:cs="Arial"/>
      <w:sz w:val="20"/>
      <w:szCs w:val="20"/>
    </w:rPr>
  </w:style>
  <w:style w:type="character" w:customStyle="1" w:styleId="UnresolvedMention2">
    <w:name w:val="Unresolved Mention2"/>
    <w:basedOn w:val="DefaultParagraphFont"/>
    <w:uiPriority w:val="99"/>
    <w:semiHidden/>
    <w:unhideWhenUsed/>
    <w:rsid w:val="00F66061"/>
    <w:rPr>
      <w:color w:val="605E5C"/>
      <w:shd w:val="clear" w:color="auto" w:fill="E1DFDD"/>
    </w:rPr>
  </w:style>
  <w:style w:type="character" w:customStyle="1" w:styleId="UnresolvedMention3">
    <w:name w:val="Unresolved Mention3"/>
    <w:basedOn w:val="DefaultParagraphFont"/>
    <w:uiPriority w:val="99"/>
    <w:semiHidden/>
    <w:unhideWhenUsed/>
    <w:rsid w:val="00F66061"/>
    <w:rPr>
      <w:color w:val="605E5C"/>
      <w:shd w:val="clear" w:color="auto" w:fill="E1DFDD"/>
    </w:rPr>
  </w:style>
  <w:style w:type="character" w:customStyle="1" w:styleId="UnresolvedMention4">
    <w:name w:val="Unresolved Mention4"/>
    <w:basedOn w:val="DefaultParagraphFont"/>
    <w:uiPriority w:val="99"/>
    <w:semiHidden/>
    <w:unhideWhenUsed/>
    <w:rsid w:val="00443C64"/>
    <w:rPr>
      <w:color w:val="605E5C"/>
      <w:shd w:val="clear" w:color="auto" w:fill="E1DFDD"/>
    </w:rPr>
  </w:style>
  <w:style w:type="character" w:customStyle="1" w:styleId="DocSubTitle">
    <w:name w:val="DocSubTitle"/>
    <w:basedOn w:val="DefaultParagraphFont"/>
    <w:semiHidden/>
    <w:rsid w:val="00002C0C"/>
  </w:style>
  <w:style w:type="table" w:styleId="TableClassic2">
    <w:name w:val="Table Classic 2"/>
    <w:basedOn w:val="TableNormal"/>
    <w:semiHidden/>
    <w:rsid w:val="00002C0C"/>
    <w:pPr>
      <w:numPr>
        <w:ilvl w:val="1"/>
        <w:numId w:val="2"/>
      </w:numPr>
      <w:spacing w:after="160" w:line="259" w:lineRule="auto"/>
    </w:pPr>
    <w:rPr>
      <w:rFonts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vertitle">
    <w:name w:val="Cover title"/>
    <w:basedOn w:val="Title"/>
    <w:link w:val="CovertitleChar"/>
    <w:qFormat/>
    <w:rsid w:val="00002C0C"/>
    <w:pPr>
      <w:pBdr>
        <w:bottom w:val="none" w:sz="0" w:space="0" w:color="auto"/>
      </w:pBdr>
      <w:spacing w:after="0"/>
    </w:pPr>
    <w:rPr>
      <w:rFonts w:ascii="Arial" w:hAnsi="Arial"/>
      <w:color w:val="FFFFFF" w:themeColor="background1"/>
      <w:spacing w:val="-10"/>
      <w:sz w:val="56"/>
      <w:szCs w:val="56"/>
    </w:rPr>
  </w:style>
  <w:style w:type="character" w:customStyle="1" w:styleId="CovertitleChar">
    <w:name w:val="Cover title Char"/>
    <w:basedOn w:val="TitleChar"/>
    <w:link w:val="Covertitle"/>
    <w:rsid w:val="00002C0C"/>
    <w:rPr>
      <w:rFonts w:ascii="Arial" w:eastAsiaTheme="majorEastAsia" w:hAnsi="Arial" w:cstheme="majorBidi"/>
      <w:b/>
      <w:color w:val="FFFFFF" w:themeColor="background1"/>
      <w:spacing w:val="-10"/>
      <w:kern w:val="28"/>
      <w:sz w:val="56"/>
      <w:szCs w:val="56"/>
    </w:rPr>
  </w:style>
  <w:style w:type="paragraph" w:customStyle="1" w:styleId="pf0">
    <w:name w:val="pf0"/>
    <w:basedOn w:val="Normal"/>
    <w:rsid w:val="00AF0ADF"/>
    <w:pPr>
      <w:spacing w:before="100" w:beforeAutospacing="1" w:after="100" w:afterAutospacing="1"/>
    </w:pPr>
    <w:rPr>
      <w:rFonts w:ascii="Times New Roman" w:hAnsi="Times New Roman"/>
      <w:sz w:val="24"/>
    </w:rPr>
  </w:style>
  <w:style w:type="character" w:customStyle="1" w:styleId="cf01">
    <w:name w:val="cf01"/>
    <w:basedOn w:val="DefaultParagraphFont"/>
    <w:rsid w:val="00AF0ADF"/>
    <w:rPr>
      <w:rFonts w:ascii="Segoe UI" w:hAnsi="Segoe UI" w:cs="Segoe UI" w:hint="default"/>
      <w:sz w:val="18"/>
      <w:szCs w:val="18"/>
    </w:rPr>
  </w:style>
  <w:style w:type="numbering" w:customStyle="1" w:styleId="CurrentList1">
    <w:name w:val="Current List1"/>
    <w:uiPriority w:val="99"/>
    <w:rsid w:val="00AF0ADF"/>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564">
      <w:bodyDiv w:val="1"/>
      <w:marLeft w:val="0"/>
      <w:marRight w:val="0"/>
      <w:marTop w:val="0"/>
      <w:marBottom w:val="0"/>
      <w:divBdr>
        <w:top w:val="none" w:sz="0" w:space="0" w:color="auto"/>
        <w:left w:val="none" w:sz="0" w:space="0" w:color="auto"/>
        <w:bottom w:val="none" w:sz="0" w:space="0" w:color="auto"/>
        <w:right w:val="none" w:sz="0" w:space="0" w:color="auto"/>
      </w:divBdr>
    </w:div>
    <w:div w:id="97877184">
      <w:bodyDiv w:val="1"/>
      <w:marLeft w:val="0"/>
      <w:marRight w:val="0"/>
      <w:marTop w:val="0"/>
      <w:marBottom w:val="0"/>
      <w:divBdr>
        <w:top w:val="none" w:sz="0" w:space="0" w:color="auto"/>
        <w:left w:val="none" w:sz="0" w:space="0" w:color="auto"/>
        <w:bottom w:val="none" w:sz="0" w:space="0" w:color="auto"/>
        <w:right w:val="none" w:sz="0" w:space="0" w:color="auto"/>
      </w:divBdr>
      <w:divsChild>
        <w:div w:id="1083911421">
          <w:marLeft w:val="547"/>
          <w:marRight w:val="0"/>
          <w:marTop w:val="346"/>
          <w:marBottom w:val="0"/>
          <w:divBdr>
            <w:top w:val="none" w:sz="0" w:space="0" w:color="auto"/>
            <w:left w:val="none" w:sz="0" w:space="0" w:color="auto"/>
            <w:bottom w:val="none" w:sz="0" w:space="0" w:color="auto"/>
            <w:right w:val="none" w:sz="0" w:space="0" w:color="auto"/>
          </w:divBdr>
        </w:div>
      </w:divsChild>
    </w:div>
    <w:div w:id="114570272">
      <w:bodyDiv w:val="1"/>
      <w:marLeft w:val="0"/>
      <w:marRight w:val="0"/>
      <w:marTop w:val="0"/>
      <w:marBottom w:val="0"/>
      <w:divBdr>
        <w:top w:val="none" w:sz="0" w:space="0" w:color="auto"/>
        <w:left w:val="none" w:sz="0" w:space="0" w:color="auto"/>
        <w:bottom w:val="none" w:sz="0" w:space="0" w:color="auto"/>
        <w:right w:val="none" w:sz="0" w:space="0" w:color="auto"/>
      </w:divBdr>
    </w:div>
    <w:div w:id="120345150">
      <w:bodyDiv w:val="1"/>
      <w:marLeft w:val="0"/>
      <w:marRight w:val="0"/>
      <w:marTop w:val="0"/>
      <w:marBottom w:val="0"/>
      <w:divBdr>
        <w:top w:val="none" w:sz="0" w:space="0" w:color="auto"/>
        <w:left w:val="none" w:sz="0" w:space="0" w:color="auto"/>
        <w:bottom w:val="none" w:sz="0" w:space="0" w:color="auto"/>
        <w:right w:val="none" w:sz="0" w:space="0" w:color="auto"/>
      </w:divBdr>
    </w:div>
    <w:div w:id="170727292">
      <w:bodyDiv w:val="1"/>
      <w:marLeft w:val="0"/>
      <w:marRight w:val="0"/>
      <w:marTop w:val="0"/>
      <w:marBottom w:val="0"/>
      <w:divBdr>
        <w:top w:val="none" w:sz="0" w:space="0" w:color="auto"/>
        <w:left w:val="none" w:sz="0" w:space="0" w:color="auto"/>
        <w:bottom w:val="none" w:sz="0" w:space="0" w:color="auto"/>
        <w:right w:val="none" w:sz="0" w:space="0" w:color="auto"/>
      </w:divBdr>
    </w:div>
    <w:div w:id="208614211">
      <w:bodyDiv w:val="1"/>
      <w:marLeft w:val="0"/>
      <w:marRight w:val="0"/>
      <w:marTop w:val="0"/>
      <w:marBottom w:val="0"/>
      <w:divBdr>
        <w:top w:val="none" w:sz="0" w:space="0" w:color="auto"/>
        <w:left w:val="none" w:sz="0" w:space="0" w:color="auto"/>
        <w:bottom w:val="none" w:sz="0" w:space="0" w:color="auto"/>
        <w:right w:val="none" w:sz="0" w:space="0" w:color="auto"/>
      </w:divBdr>
    </w:div>
    <w:div w:id="247421144">
      <w:bodyDiv w:val="1"/>
      <w:marLeft w:val="0"/>
      <w:marRight w:val="0"/>
      <w:marTop w:val="0"/>
      <w:marBottom w:val="0"/>
      <w:divBdr>
        <w:top w:val="none" w:sz="0" w:space="0" w:color="auto"/>
        <w:left w:val="none" w:sz="0" w:space="0" w:color="auto"/>
        <w:bottom w:val="none" w:sz="0" w:space="0" w:color="auto"/>
        <w:right w:val="none" w:sz="0" w:space="0" w:color="auto"/>
      </w:divBdr>
    </w:div>
    <w:div w:id="266084467">
      <w:bodyDiv w:val="1"/>
      <w:marLeft w:val="0"/>
      <w:marRight w:val="0"/>
      <w:marTop w:val="0"/>
      <w:marBottom w:val="0"/>
      <w:divBdr>
        <w:top w:val="none" w:sz="0" w:space="0" w:color="auto"/>
        <w:left w:val="none" w:sz="0" w:space="0" w:color="auto"/>
        <w:bottom w:val="none" w:sz="0" w:space="0" w:color="auto"/>
        <w:right w:val="none" w:sz="0" w:space="0" w:color="auto"/>
      </w:divBdr>
    </w:div>
    <w:div w:id="292954673">
      <w:bodyDiv w:val="1"/>
      <w:marLeft w:val="0"/>
      <w:marRight w:val="0"/>
      <w:marTop w:val="0"/>
      <w:marBottom w:val="0"/>
      <w:divBdr>
        <w:top w:val="none" w:sz="0" w:space="0" w:color="auto"/>
        <w:left w:val="none" w:sz="0" w:space="0" w:color="auto"/>
        <w:bottom w:val="none" w:sz="0" w:space="0" w:color="auto"/>
        <w:right w:val="none" w:sz="0" w:space="0" w:color="auto"/>
      </w:divBdr>
    </w:div>
    <w:div w:id="318732558">
      <w:bodyDiv w:val="1"/>
      <w:marLeft w:val="0"/>
      <w:marRight w:val="0"/>
      <w:marTop w:val="0"/>
      <w:marBottom w:val="0"/>
      <w:divBdr>
        <w:top w:val="none" w:sz="0" w:space="0" w:color="auto"/>
        <w:left w:val="none" w:sz="0" w:space="0" w:color="auto"/>
        <w:bottom w:val="none" w:sz="0" w:space="0" w:color="auto"/>
        <w:right w:val="none" w:sz="0" w:space="0" w:color="auto"/>
      </w:divBdr>
    </w:div>
    <w:div w:id="336269564">
      <w:bodyDiv w:val="1"/>
      <w:marLeft w:val="0"/>
      <w:marRight w:val="0"/>
      <w:marTop w:val="0"/>
      <w:marBottom w:val="0"/>
      <w:divBdr>
        <w:top w:val="none" w:sz="0" w:space="0" w:color="auto"/>
        <w:left w:val="none" w:sz="0" w:space="0" w:color="auto"/>
        <w:bottom w:val="none" w:sz="0" w:space="0" w:color="auto"/>
        <w:right w:val="none" w:sz="0" w:space="0" w:color="auto"/>
      </w:divBdr>
    </w:div>
    <w:div w:id="345063504">
      <w:bodyDiv w:val="1"/>
      <w:marLeft w:val="0"/>
      <w:marRight w:val="0"/>
      <w:marTop w:val="0"/>
      <w:marBottom w:val="0"/>
      <w:divBdr>
        <w:top w:val="none" w:sz="0" w:space="0" w:color="auto"/>
        <w:left w:val="none" w:sz="0" w:space="0" w:color="auto"/>
        <w:bottom w:val="none" w:sz="0" w:space="0" w:color="auto"/>
        <w:right w:val="none" w:sz="0" w:space="0" w:color="auto"/>
      </w:divBdr>
    </w:div>
    <w:div w:id="351537452">
      <w:bodyDiv w:val="1"/>
      <w:marLeft w:val="0"/>
      <w:marRight w:val="0"/>
      <w:marTop w:val="0"/>
      <w:marBottom w:val="0"/>
      <w:divBdr>
        <w:top w:val="none" w:sz="0" w:space="0" w:color="auto"/>
        <w:left w:val="none" w:sz="0" w:space="0" w:color="auto"/>
        <w:bottom w:val="none" w:sz="0" w:space="0" w:color="auto"/>
        <w:right w:val="none" w:sz="0" w:space="0" w:color="auto"/>
      </w:divBdr>
    </w:div>
    <w:div w:id="356080783">
      <w:bodyDiv w:val="1"/>
      <w:marLeft w:val="0"/>
      <w:marRight w:val="0"/>
      <w:marTop w:val="0"/>
      <w:marBottom w:val="0"/>
      <w:divBdr>
        <w:top w:val="none" w:sz="0" w:space="0" w:color="auto"/>
        <w:left w:val="none" w:sz="0" w:space="0" w:color="auto"/>
        <w:bottom w:val="none" w:sz="0" w:space="0" w:color="auto"/>
        <w:right w:val="none" w:sz="0" w:space="0" w:color="auto"/>
      </w:divBdr>
    </w:div>
    <w:div w:id="386684380">
      <w:bodyDiv w:val="1"/>
      <w:marLeft w:val="0"/>
      <w:marRight w:val="0"/>
      <w:marTop w:val="0"/>
      <w:marBottom w:val="0"/>
      <w:divBdr>
        <w:top w:val="none" w:sz="0" w:space="0" w:color="auto"/>
        <w:left w:val="none" w:sz="0" w:space="0" w:color="auto"/>
        <w:bottom w:val="none" w:sz="0" w:space="0" w:color="auto"/>
        <w:right w:val="none" w:sz="0" w:space="0" w:color="auto"/>
      </w:divBdr>
    </w:div>
    <w:div w:id="409620376">
      <w:bodyDiv w:val="1"/>
      <w:marLeft w:val="0"/>
      <w:marRight w:val="0"/>
      <w:marTop w:val="0"/>
      <w:marBottom w:val="0"/>
      <w:divBdr>
        <w:top w:val="none" w:sz="0" w:space="0" w:color="auto"/>
        <w:left w:val="none" w:sz="0" w:space="0" w:color="auto"/>
        <w:bottom w:val="none" w:sz="0" w:space="0" w:color="auto"/>
        <w:right w:val="none" w:sz="0" w:space="0" w:color="auto"/>
      </w:divBdr>
    </w:div>
    <w:div w:id="416483158">
      <w:bodyDiv w:val="1"/>
      <w:marLeft w:val="0"/>
      <w:marRight w:val="0"/>
      <w:marTop w:val="0"/>
      <w:marBottom w:val="0"/>
      <w:divBdr>
        <w:top w:val="none" w:sz="0" w:space="0" w:color="auto"/>
        <w:left w:val="none" w:sz="0" w:space="0" w:color="auto"/>
        <w:bottom w:val="none" w:sz="0" w:space="0" w:color="auto"/>
        <w:right w:val="none" w:sz="0" w:space="0" w:color="auto"/>
      </w:divBdr>
    </w:div>
    <w:div w:id="450511897">
      <w:bodyDiv w:val="1"/>
      <w:marLeft w:val="0"/>
      <w:marRight w:val="0"/>
      <w:marTop w:val="0"/>
      <w:marBottom w:val="0"/>
      <w:divBdr>
        <w:top w:val="none" w:sz="0" w:space="0" w:color="auto"/>
        <w:left w:val="none" w:sz="0" w:space="0" w:color="auto"/>
        <w:bottom w:val="none" w:sz="0" w:space="0" w:color="auto"/>
        <w:right w:val="none" w:sz="0" w:space="0" w:color="auto"/>
      </w:divBdr>
    </w:div>
    <w:div w:id="472333716">
      <w:bodyDiv w:val="1"/>
      <w:marLeft w:val="0"/>
      <w:marRight w:val="0"/>
      <w:marTop w:val="0"/>
      <w:marBottom w:val="0"/>
      <w:divBdr>
        <w:top w:val="none" w:sz="0" w:space="0" w:color="auto"/>
        <w:left w:val="none" w:sz="0" w:space="0" w:color="auto"/>
        <w:bottom w:val="none" w:sz="0" w:space="0" w:color="auto"/>
        <w:right w:val="none" w:sz="0" w:space="0" w:color="auto"/>
      </w:divBdr>
    </w:div>
    <w:div w:id="488061354">
      <w:bodyDiv w:val="1"/>
      <w:marLeft w:val="0"/>
      <w:marRight w:val="0"/>
      <w:marTop w:val="0"/>
      <w:marBottom w:val="0"/>
      <w:divBdr>
        <w:top w:val="none" w:sz="0" w:space="0" w:color="auto"/>
        <w:left w:val="none" w:sz="0" w:space="0" w:color="auto"/>
        <w:bottom w:val="none" w:sz="0" w:space="0" w:color="auto"/>
        <w:right w:val="none" w:sz="0" w:space="0" w:color="auto"/>
      </w:divBdr>
    </w:div>
    <w:div w:id="489103195">
      <w:bodyDiv w:val="1"/>
      <w:marLeft w:val="0"/>
      <w:marRight w:val="0"/>
      <w:marTop w:val="0"/>
      <w:marBottom w:val="0"/>
      <w:divBdr>
        <w:top w:val="none" w:sz="0" w:space="0" w:color="auto"/>
        <w:left w:val="none" w:sz="0" w:space="0" w:color="auto"/>
        <w:bottom w:val="none" w:sz="0" w:space="0" w:color="auto"/>
        <w:right w:val="none" w:sz="0" w:space="0" w:color="auto"/>
      </w:divBdr>
    </w:div>
    <w:div w:id="498347009">
      <w:bodyDiv w:val="1"/>
      <w:marLeft w:val="0"/>
      <w:marRight w:val="0"/>
      <w:marTop w:val="0"/>
      <w:marBottom w:val="0"/>
      <w:divBdr>
        <w:top w:val="none" w:sz="0" w:space="0" w:color="auto"/>
        <w:left w:val="none" w:sz="0" w:space="0" w:color="auto"/>
        <w:bottom w:val="none" w:sz="0" w:space="0" w:color="auto"/>
        <w:right w:val="none" w:sz="0" w:space="0" w:color="auto"/>
      </w:divBdr>
    </w:div>
    <w:div w:id="530074181">
      <w:bodyDiv w:val="1"/>
      <w:marLeft w:val="0"/>
      <w:marRight w:val="0"/>
      <w:marTop w:val="0"/>
      <w:marBottom w:val="0"/>
      <w:divBdr>
        <w:top w:val="none" w:sz="0" w:space="0" w:color="auto"/>
        <w:left w:val="none" w:sz="0" w:space="0" w:color="auto"/>
        <w:bottom w:val="none" w:sz="0" w:space="0" w:color="auto"/>
        <w:right w:val="none" w:sz="0" w:space="0" w:color="auto"/>
      </w:divBdr>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69076328">
      <w:bodyDiv w:val="1"/>
      <w:marLeft w:val="0"/>
      <w:marRight w:val="0"/>
      <w:marTop w:val="0"/>
      <w:marBottom w:val="0"/>
      <w:divBdr>
        <w:top w:val="none" w:sz="0" w:space="0" w:color="auto"/>
        <w:left w:val="none" w:sz="0" w:space="0" w:color="auto"/>
        <w:bottom w:val="none" w:sz="0" w:space="0" w:color="auto"/>
        <w:right w:val="none" w:sz="0" w:space="0" w:color="auto"/>
      </w:divBdr>
    </w:div>
    <w:div w:id="574820262">
      <w:bodyDiv w:val="1"/>
      <w:marLeft w:val="0"/>
      <w:marRight w:val="0"/>
      <w:marTop w:val="0"/>
      <w:marBottom w:val="0"/>
      <w:divBdr>
        <w:top w:val="none" w:sz="0" w:space="0" w:color="auto"/>
        <w:left w:val="none" w:sz="0" w:space="0" w:color="auto"/>
        <w:bottom w:val="none" w:sz="0" w:space="0" w:color="auto"/>
        <w:right w:val="none" w:sz="0" w:space="0" w:color="auto"/>
      </w:divBdr>
    </w:div>
    <w:div w:id="605500989">
      <w:bodyDiv w:val="1"/>
      <w:marLeft w:val="0"/>
      <w:marRight w:val="0"/>
      <w:marTop w:val="0"/>
      <w:marBottom w:val="0"/>
      <w:divBdr>
        <w:top w:val="none" w:sz="0" w:space="0" w:color="auto"/>
        <w:left w:val="none" w:sz="0" w:space="0" w:color="auto"/>
        <w:bottom w:val="none" w:sz="0" w:space="0" w:color="auto"/>
        <w:right w:val="none" w:sz="0" w:space="0" w:color="auto"/>
      </w:divBdr>
    </w:div>
    <w:div w:id="620645212">
      <w:bodyDiv w:val="1"/>
      <w:marLeft w:val="0"/>
      <w:marRight w:val="0"/>
      <w:marTop w:val="0"/>
      <w:marBottom w:val="0"/>
      <w:divBdr>
        <w:top w:val="none" w:sz="0" w:space="0" w:color="auto"/>
        <w:left w:val="none" w:sz="0" w:space="0" w:color="auto"/>
        <w:bottom w:val="none" w:sz="0" w:space="0" w:color="auto"/>
        <w:right w:val="none" w:sz="0" w:space="0" w:color="auto"/>
      </w:divBdr>
    </w:div>
    <w:div w:id="622660256">
      <w:bodyDiv w:val="1"/>
      <w:marLeft w:val="0"/>
      <w:marRight w:val="0"/>
      <w:marTop w:val="0"/>
      <w:marBottom w:val="0"/>
      <w:divBdr>
        <w:top w:val="none" w:sz="0" w:space="0" w:color="auto"/>
        <w:left w:val="none" w:sz="0" w:space="0" w:color="auto"/>
        <w:bottom w:val="none" w:sz="0" w:space="0" w:color="auto"/>
        <w:right w:val="none" w:sz="0" w:space="0" w:color="auto"/>
      </w:divBdr>
    </w:div>
    <w:div w:id="644164273">
      <w:bodyDiv w:val="1"/>
      <w:marLeft w:val="0"/>
      <w:marRight w:val="0"/>
      <w:marTop w:val="0"/>
      <w:marBottom w:val="0"/>
      <w:divBdr>
        <w:top w:val="none" w:sz="0" w:space="0" w:color="auto"/>
        <w:left w:val="none" w:sz="0" w:space="0" w:color="auto"/>
        <w:bottom w:val="none" w:sz="0" w:space="0" w:color="auto"/>
        <w:right w:val="none" w:sz="0" w:space="0" w:color="auto"/>
      </w:divBdr>
    </w:div>
    <w:div w:id="654064628">
      <w:bodyDiv w:val="1"/>
      <w:marLeft w:val="0"/>
      <w:marRight w:val="0"/>
      <w:marTop w:val="0"/>
      <w:marBottom w:val="0"/>
      <w:divBdr>
        <w:top w:val="none" w:sz="0" w:space="0" w:color="auto"/>
        <w:left w:val="none" w:sz="0" w:space="0" w:color="auto"/>
        <w:bottom w:val="none" w:sz="0" w:space="0" w:color="auto"/>
        <w:right w:val="none" w:sz="0" w:space="0" w:color="auto"/>
      </w:divBdr>
    </w:div>
    <w:div w:id="657806067">
      <w:bodyDiv w:val="1"/>
      <w:marLeft w:val="0"/>
      <w:marRight w:val="0"/>
      <w:marTop w:val="0"/>
      <w:marBottom w:val="0"/>
      <w:divBdr>
        <w:top w:val="none" w:sz="0" w:space="0" w:color="auto"/>
        <w:left w:val="none" w:sz="0" w:space="0" w:color="auto"/>
        <w:bottom w:val="none" w:sz="0" w:space="0" w:color="auto"/>
        <w:right w:val="none" w:sz="0" w:space="0" w:color="auto"/>
      </w:divBdr>
    </w:div>
    <w:div w:id="695739560">
      <w:bodyDiv w:val="1"/>
      <w:marLeft w:val="0"/>
      <w:marRight w:val="0"/>
      <w:marTop w:val="0"/>
      <w:marBottom w:val="0"/>
      <w:divBdr>
        <w:top w:val="none" w:sz="0" w:space="0" w:color="auto"/>
        <w:left w:val="none" w:sz="0" w:space="0" w:color="auto"/>
        <w:bottom w:val="none" w:sz="0" w:space="0" w:color="auto"/>
        <w:right w:val="none" w:sz="0" w:space="0" w:color="auto"/>
      </w:divBdr>
    </w:div>
    <w:div w:id="735052285">
      <w:bodyDiv w:val="1"/>
      <w:marLeft w:val="0"/>
      <w:marRight w:val="0"/>
      <w:marTop w:val="0"/>
      <w:marBottom w:val="0"/>
      <w:divBdr>
        <w:top w:val="none" w:sz="0" w:space="0" w:color="auto"/>
        <w:left w:val="none" w:sz="0" w:space="0" w:color="auto"/>
        <w:bottom w:val="none" w:sz="0" w:space="0" w:color="auto"/>
        <w:right w:val="none" w:sz="0" w:space="0" w:color="auto"/>
      </w:divBdr>
    </w:div>
    <w:div w:id="750195946">
      <w:bodyDiv w:val="1"/>
      <w:marLeft w:val="0"/>
      <w:marRight w:val="0"/>
      <w:marTop w:val="0"/>
      <w:marBottom w:val="0"/>
      <w:divBdr>
        <w:top w:val="none" w:sz="0" w:space="0" w:color="auto"/>
        <w:left w:val="none" w:sz="0" w:space="0" w:color="auto"/>
        <w:bottom w:val="none" w:sz="0" w:space="0" w:color="auto"/>
        <w:right w:val="none" w:sz="0" w:space="0" w:color="auto"/>
      </w:divBdr>
    </w:div>
    <w:div w:id="770517217">
      <w:bodyDiv w:val="1"/>
      <w:marLeft w:val="0"/>
      <w:marRight w:val="0"/>
      <w:marTop w:val="0"/>
      <w:marBottom w:val="0"/>
      <w:divBdr>
        <w:top w:val="none" w:sz="0" w:space="0" w:color="auto"/>
        <w:left w:val="none" w:sz="0" w:space="0" w:color="auto"/>
        <w:bottom w:val="none" w:sz="0" w:space="0" w:color="auto"/>
        <w:right w:val="none" w:sz="0" w:space="0" w:color="auto"/>
      </w:divBdr>
    </w:div>
    <w:div w:id="773018488">
      <w:bodyDiv w:val="1"/>
      <w:marLeft w:val="0"/>
      <w:marRight w:val="0"/>
      <w:marTop w:val="0"/>
      <w:marBottom w:val="0"/>
      <w:divBdr>
        <w:top w:val="none" w:sz="0" w:space="0" w:color="auto"/>
        <w:left w:val="none" w:sz="0" w:space="0" w:color="auto"/>
        <w:bottom w:val="none" w:sz="0" w:space="0" w:color="auto"/>
        <w:right w:val="none" w:sz="0" w:space="0" w:color="auto"/>
      </w:divBdr>
    </w:div>
    <w:div w:id="777219066">
      <w:bodyDiv w:val="1"/>
      <w:marLeft w:val="0"/>
      <w:marRight w:val="0"/>
      <w:marTop w:val="0"/>
      <w:marBottom w:val="0"/>
      <w:divBdr>
        <w:top w:val="none" w:sz="0" w:space="0" w:color="auto"/>
        <w:left w:val="none" w:sz="0" w:space="0" w:color="auto"/>
        <w:bottom w:val="none" w:sz="0" w:space="0" w:color="auto"/>
        <w:right w:val="none" w:sz="0" w:space="0" w:color="auto"/>
      </w:divBdr>
    </w:div>
    <w:div w:id="814570879">
      <w:bodyDiv w:val="1"/>
      <w:marLeft w:val="0"/>
      <w:marRight w:val="0"/>
      <w:marTop w:val="0"/>
      <w:marBottom w:val="0"/>
      <w:divBdr>
        <w:top w:val="none" w:sz="0" w:space="0" w:color="auto"/>
        <w:left w:val="none" w:sz="0" w:space="0" w:color="auto"/>
        <w:bottom w:val="none" w:sz="0" w:space="0" w:color="auto"/>
        <w:right w:val="none" w:sz="0" w:space="0" w:color="auto"/>
      </w:divBdr>
      <w:divsChild>
        <w:div w:id="1386754803">
          <w:marLeft w:val="547"/>
          <w:marRight w:val="0"/>
          <w:marTop w:val="360"/>
          <w:marBottom w:val="360"/>
          <w:divBdr>
            <w:top w:val="none" w:sz="0" w:space="0" w:color="auto"/>
            <w:left w:val="none" w:sz="0" w:space="0" w:color="auto"/>
            <w:bottom w:val="none" w:sz="0" w:space="0" w:color="auto"/>
            <w:right w:val="none" w:sz="0" w:space="0" w:color="auto"/>
          </w:divBdr>
        </w:div>
      </w:divsChild>
    </w:div>
    <w:div w:id="903024667">
      <w:bodyDiv w:val="1"/>
      <w:marLeft w:val="0"/>
      <w:marRight w:val="0"/>
      <w:marTop w:val="0"/>
      <w:marBottom w:val="0"/>
      <w:divBdr>
        <w:top w:val="none" w:sz="0" w:space="0" w:color="auto"/>
        <w:left w:val="none" w:sz="0" w:space="0" w:color="auto"/>
        <w:bottom w:val="none" w:sz="0" w:space="0" w:color="auto"/>
        <w:right w:val="none" w:sz="0" w:space="0" w:color="auto"/>
      </w:divBdr>
      <w:divsChild>
        <w:div w:id="2006324794">
          <w:marLeft w:val="45"/>
          <w:marRight w:val="45"/>
          <w:marTop w:val="0"/>
          <w:marBottom w:val="0"/>
          <w:divBdr>
            <w:top w:val="none" w:sz="0" w:space="0" w:color="auto"/>
            <w:left w:val="none" w:sz="0" w:space="0" w:color="auto"/>
            <w:bottom w:val="none" w:sz="0" w:space="0" w:color="auto"/>
            <w:right w:val="none" w:sz="0" w:space="0" w:color="auto"/>
          </w:divBdr>
          <w:divsChild>
            <w:div w:id="801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669">
      <w:bodyDiv w:val="1"/>
      <w:marLeft w:val="0"/>
      <w:marRight w:val="0"/>
      <w:marTop w:val="0"/>
      <w:marBottom w:val="0"/>
      <w:divBdr>
        <w:top w:val="none" w:sz="0" w:space="0" w:color="auto"/>
        <w:left w:val="none" w:sz="0" w:space="0" w:color="auto"/>
        <w:bottom w:val="none" w:sz="0" w:space="0" w:color="auto"/>
        <w:right w:val="none" w:sz="0" w:space="0" w:color="auto"/>
      </w:divBdr>
    </w:div>
    <w:div w:id="957949131">
      <w:bodyDiv w:val="1"/>
      <w:marLeft w:val="0"/>
      <w:marRight w:val="0"/>
      <w:marTop w:val="0"/>
      <w:marBottom w:val="0"/>
      <w:divBdr>
        <w:top w:val="none" w:sz="0" w:space="0" w:color="auto"/>
        <w:left w:val="none" w:sz="0" w:space="0" w:color="auto"/>
        <w:bottom w:val="none" w:sz="0" w:space="0" w:color="auto"/>
        <w:right w:val="none" w:sz="0" w:space="0" w:color="auto"/>
      </w:divBdr>
    </w:div>
    <w:div w:id="963001384">
      <w:bodyDiv w:val="1"/>
      <w:marLeft w:val="0"/>
      <w:marRight w:val="0"/>
      <w:marTop w:val="0"/>
      <w:marBottom w:val="0"/>
      <w:divBdr>
        <w:top w:val="none" w:sz="0" w:space="0" w:color="auto"/>
        <w:left w:val="none" w:sz="0" w:space="0" w:color="auto"/>
        <w:bottom w:val="none" w:sz="0" w:space="0" w:color="auto"/>
        <w:right w:val="none" w:sz="0" w:space="0" w:color="auto"/>
      </w:divBdr>
    </w:div>
    <w:div w:id="971404136">
      <w:bodyDiv w:val="1"/>
      <w:marLeft w:val="0"/>
      <w:marRight w:val="0"/>
      <w:marTop w:val="0"/>
      <w:marBottom w:val="0"/>
      <w:divBdr>
        <w:top w:val="none" w:sz="0" w:space="0" w:color="auto"/>
        <w:left w:val="none" w:sz="0" w:space="0" w:color="auto"/>
        <w:bottom w:val="none" w:sz="0" w:space="0" w:color="auto"/>
        <w:right w:val="none" w:sz="0" w:space="0" w:color="auto"/>
      </w:divBdr>
    </w:div>
    <w:div w:id="1060177933">
      <w:bodyDiv w:val="1"/>
      <w:marLeft w:val="0"/>
      <w:marRight w:val="0"/>
      <w:marTop w:val="0"/>
      <w:marBottom w:val="0"/>
      <w:divBdr>
        <w:top w:val="none" w:sz="0" w:space="0" w:color="auto"/>
        <w:left w:val="none" w:sz="0" w:space="0" w:color="auto"/>
        <w:bottom w:val="none" w:sz="0" w:space="0" w:color="auto"/>
        <w:right w:val="none" w:sz="0" w:space="0" w:color="auto"/>
      </w:divBdr>
      <w:divsChild>
        <w:div w:id="955141070">
          <w:marLeft w:val="45"/>
          <w:marRight w:val="45"/>
          <w:marTop w:val="0"/>
          <w:marBottom w:val="0"/>
          <w:divBdr>
            <w:top w:val="none" w:sz="0" w:space="0" w:color="auto"/>
            <w:left w:val="none" w:sz="0" w:space="0" w:color="auto"/>
            <w:bottom w:val="none" w:sz="0" w:space="0" w:color="auto"/>
            <w:right w:val="none" w:sz="0" w:space="0" w:color="auto"/>
          </w:divBdr>
          <w:divsChild>
            <w:div w:id="2592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9998">
      <w:bodyDiv w:val="1"/>
      <w:marLeft w:val="0"/>
      <w:marRight w:val="0"/>
      <w:marTop w:val="0"/>
      <w:marBottom w:val="0"/>
      <w:divBdr>
        <w:top w:val="none" w:sz="0" w:space="0" w:color="auto"/>
        <w:left w:val="none" w:sz="0" w:space="0" w:color="auto"/>
        <w:bottom w:val="none" w:sz="0" w:space="0" w:color="auto"/>
        <w:right w:val="none" w:sz="0" w:space="0" w:color="auto"/>
      </w:divBdr>
    </w:div>
    <w:div w:id="1096749648">
      <w:bodyDiv w:val="1"/>
      <w:marLeft w:val="0"/>
      <w:marRight w:val="0"/>
      <w:marTop w:val="0"/>
      <w:marBottom w:val="0"/>
      <w:divBdr>
        <w:top w:val="none" w:sz="0" w:space="0" w:color="auto"/>
        <w:left w:val="none" w:sz="0" w:space="0" w:color="auto"/>
        <w:bottom w:val="none" w:sz="0" w:space="0" w:color="auto"/>
        <w:right w:val="none" w:sz="0" w:space="0" w:color="auto"/>
      </w:divBdr>
    </w:div>
    <w:div w:id="1108550142">
      <w:bodyDiv w:val="1"/>
      <w:marLeft w:val="0"/>
      <w:marRight w:val="0"/>
      <w:marTop w:val="0"/>
      <w:marBottom w:val="0"/>
      <w:divBdr>
        <w:top w:val="none" w:sz="0" w:space="0" w:color="auto"/>
        <w:left w:val="none" w:sz="0" w:space="0" w:color="auto"/>
        <w:bottom w:val="none" w:sz="0" w:space="0" w:color="auto"/>
        <w:right w:val="none" w:sz="0" w:space="0" w:color="auto"/>
      </w:divBdr>
    </w:div>
    <w:div w:id="1138692372">
      <w:bodyDiv w:val="1"/>
      <w:marLeft w:val="0"/>
      <w:marRight w:val="0"/>
      <w:marTop w:val="0"/>
      <w:marBottom w:val="0"/>
      <w:divBdr>
        <w:top w:val="none" w:sz="0" w:space="0" w:color="auto"/>
        <w:left w:val="none" w:sz="0" w:space="0" w:color="auto"/>
        <w:bottom w:val="none" w:sz="0" w:space="0" w:color="auto"/>
        <w:right w:val="none" w:sz="0" w:space="0" w:color="auto"/>
      </w:divBdr>
    </w:div>
    <w:div w:id="1150901919">
      <w:bodyDiv w:val="1"/>
      <w:marLeft w:val="0"/>
      <w:marRight w:val="0"/>
      <w:marTop w:val="0"/>
      <w:marBottom w:val="0"/>
      <w:divBdr>
        <w:top w:val="none" w:sz="0" w:space="0" w:color="auto"/>
        <w:left w:val="none" w:sz="0" w:space="0" w:color="auto"/>
        <w:bottom w:val="none" w:sz="0" w:space="0" w:color="auto"/>
        <w:right w:val="none" w:sz="0" w:space="0" w:color="auto"/>
      </w:divBdr>
    </w:div>
    <w:div w:id="1164738181">
      <w:bodyDiv w:val="1"/>
      <w:marLeft w:val="0"/>
      <w:marRight w:val="0"/>
      <w:marTop w:val="0"/>
      <w:marBottom w:val="0"/>
      <w:divBdr>
        <w:top w:val="none" w:sz="0" w:space="0" w:color="auto"/>
        <w:left w:val="none" w:sz="0" w:space="0" w:color="auto"/>
        <w:bottom w:val="none" w:sz="0" w:space="0" w:color="auto"/>
        <w:right w:val="none" w:sz="0" w:space="0" w:color="auto"/>
      </w:divBdr>
    </w:div>
    <w:div w:id="1175613366">
      <w:bodyDiv w:val="1"/>
      <w:marLeft w:val="0"/>
      <w:marRight w:val="0"/>
      <w:marTop w:val="0"/>
      <w:marBottom w:val="0"/>
      <w:divBdr>
        <w:top w:val="none" w:sz="0" w:space="0" w:color="auto"/>
        <w:left w:val="none" w:sz="0" w:space="0" w:color="auto"/>
        <w:bottom w:val="none" w:sz="0" w:space="0" w:color="auto"/>
        <w:right w:val="none" w:sz="0" w:space="0" w:color="auto"/>
      </w:divBdr>
    </w:div>
    <w:div w:id="1175727196">
      <w:bodyDiv w:val="1"/>
      <w:marLeft w:val="0"/>
      <w:marRight w:val="0"/>
      <w:marTop w:val="0"/>
      <w:marBottom w:val="0"/>
      <w:divBdr>
        <w:top w:val="none" w:sz="0" w:space="0" w:color="auto"/>
        <w:left w:val="none" w:sz="0" w:space="0" w:color="auto"/>
        <w:bottom w:val="none" w:sz="0" w:space="0" w:color="auto"/>
        <w:right w:val="none" w:sz="0" w:space="0" w:color="auto"/>
      </w:divBdr>
    </w:div>
    <w:div w:id="1180897530">
      <w:bodyDiv w:val="1"/>
      <w:marLeft w:val="0"/>
      <w:marRight w:val="0"/>
      <w:marTop w:val="0"/>
      <w:marBottom w:val="0"/>
      <w:divBdr>
        <w:top w:val="none" w:sz="0" w:space="0" w:color="auto"/>
        <w:left w:val="none" w:sz="0" w:space="0" w:color="auto"/>
        <w:bottom w:val="none" w:sz="0" w:space="0" w:color="auto"/>
        <w:right w:val="none" w:sz="0" w:space="0" w:color="auto"/>
      </w:divBdr>
    </w:div>
    <w:div w:id="1194612516">
      <w:bodyDiv w:val="1"/>
      <w:marLeft w:val="0"/>
      <w:marRight w:val="0"/>
      <w:marTop w:val="0"/>
      <w:marBottom w:val="0"/>
      <w:divBdr>
        <w:top w:val="none" w:sz="0" w:space="0" w:color="auto"/>
        <w:left w:val="none" w:sz="0" w:space="0" w:color="auto"/>
        <w:bottom w:val="none" w:sz="0" w:space="0" w:color="auto"/>
        <w:right w:val="none" w:sz="0" w:space="0" w:color="auto"/>
      </w:divBdr>
    </w:div>
    <w:div w:id="1201552976">
      <w:bodyDiv w:val="1"/>
      <w:marLeft w:val="0"/>
      <w:marRight w:val="0"/>
      <w:marTop w:val="0"/>
      <w:marBottom w:val="0"/>
      <w:divBdr>
        <w:top w:val="none" w:sz="0" w:space="0" w:color="auto"/>
        <w:left w:val="none" w:sz="0" w:space="0" w:color="auto"/>
        <w:bottom w:val="none" w:sz="0" w:space="0" w:color="auto"/>
        <w:right w:val="none" w:sz="0" w:space="0" w:color="auto"/>
      </w:divBdr>
    </w:div>
    <w:div w:id="1203516151">
      <w:bodyDiv w:val="1"/>
      <w:marLeft w:val="0"/>
      <w:marRight w:val="0"/>
      <w:marTop w:val="0"/>
      <w:marBottom w:val="0"/>
      <w:divBdr>
        <w:top w:val="none" w:sz="0" w:space="0" w:color="auto"/>
        <w:left w:val="none" w:sz="0" w:space="0" w:color="auto"/>
        <w:bottom w:val="none" w:sz="0" w:space="0" w:color="auto"/>
        <w:right w:val="none" w:sz="0" w:space="0" w:color="auto"/>
      </w:divBdr>
      <w:divsChild>
        <w:div w:id="1207647848">
          <w:marLeft w:val="547"/>
          <w:marRight w:val="0"/>
          <w:marTop w:val="0"/>
          <w:marBottom w:val="0"/>
          <w:divBdr>
            <w:top w:val="none" w:sz="0" w:space="0" w:color="auto"/>
            <w:left w:val="none" w:sz="0" w:space="0" w:color="auto"/>
            <w:bottom w:val="none" w:sz="0" w:space="0" w:color="auto"/>
            <w:right w:val="none" w:sz="0" w:space="0" w:color="auto"/>
          </w:divBdr>
        </w:div>
      </w:divsChild>
    </w:div>
    <w:div w:id="1206911703">
      <w:bodyDiv w:val="1"/>
      <w:marLeft w:val="0"/>
      <w:marRight w:val="0"/>
      <w:marTop w:val="0"/>
      <w:marBottom w:val="0"/>
      <w:divBdr>
        <w:top w:val="none" w:sz="0" w:space="0" w:color="auto"/>
        <w:left w:val="none" w:sz="0" w:space="0" w:color="auto"/>
        <w:bottom w:val="none" w:sz="0" w:space="0" w:color="auto"/>
        <w:right w:val="none" w:sz="0" w:space="0" w:color="auto"/>
      </w:divBdr>
    </w:div>
    <w:div w:id="1218977821">
      <w:bodyDiv w:val="1"/>
      <w:marLeft w:val="0"/>
      <w:marRight w:val="0"/>
      <w:marTop w:val="0"/>
      <w:marBottom w:val="0"/>
      <w:divBdr>
        <w:top w:val="none" w:sz="0" w:space="0" w:color="auto"/>
        <w:left w:val="none" w:sz="0" w:space="0" w:color="auto"/>
        <w:bottom w:val="none" w:sz="0" w:space="0" w:color="auto"/>
        <w:right w:val="none" w:sz="0" w:space="0" w:color="auto"/>
      </w:divBdr>
    </w:div>
    <w:div w:id="1228346416">
      <w:bodyDiv w:val="1"/>
      <w:marLeft w:val="0"/>
      <w:marRight w:val="0"/>
      <w:marTop w:val="0"/>
      <w:marBottom w:val="0"/>
      <w:divBdr>
        <w:top w:val="none" w:sz="0" w:space="0" w:color="auto"/>
        <w:left w:val="none" w:sz="0" w:space="0" w:color="auto"/>
        <w:bottom w:val="none" w:sz="0" w:space="0" w:color="auto"/>
        <w:right w:val="none" w:sz="0" w:space="0" w:color="auto"/>
      </w:divBdr>
      <w:divsChild>
        <w:div w:id="92870424">
          <w:marLeft w:val="965"/>
          <w:marRight w:val="0"/>
          <w:marTop w:val="192"/>
          <w:marBottom w:val="0"/>
          <w:divBdr>
            <w:top w:val="none" w:sz="0" w:space="0" w:color="auto"/>
            <w:left w:val="none" w:sz="0" w:space="0" w:color="auto"/>
            <w:bottom w:val="none" w:sz="0" w:space="0" w:color="auto"/>
            <w:right w:val="none" w:sz="0" w:space="0" w:color="auto"/>
          </w:divBdr>
        </w:div>
        <w:div w:id="406853291">
          <w:marLeft w:val="965"/>
          <w:marRight w:val="0"/>
          <w:marTop w:val="192"/>
          <w:marBottom w:val="0"/>
          <w:divBdr>
            <w:top w:val="none" w:sz="0" w:space="0" w:color="auto"/>
            <w:left w:val="none" w:sz="0" w:space="0" w:color="auto"/>
            <w:bottom w:val="none" w:sz="0" w:space="0" w:color="auto"/>
            <w:right w:val="none" w:sz="0" w:space="0" w:color="auto"/>
          </w:divBdr>
        </w:div>
        <w:div w:id="749615113">
          <w:marLeft w:val="965"/>
          <w:marRight w:val="0"/>
          <w:marTop w:val="192"/>
          <w:marBottom w:val="0"/>
          <w:divBdr>
            <w:top w:val="none" w:sz="0" w:space="0" w:color="auto"/>
            <w:left w:val="none" w:sz="0" w:space="0" w:color="auto"/>
            <w:bottom w:val="none" w:sz="0" w:space="0" w:color="auto"/>
            <w:right w:val="none" w:sz="0" w:space="0" w:color="auto"/>
          </w:divBdr>
        </w:div>
        <w:div w:id="1568689406">
          <w:marLeft w:val="965"/>
          <w:marRight w:val="0"/>
          <w:marTop w:val="192"/>
          <w:marBottom w:val="0"/>
          <w:divBdr>
            <w:top w:val="none" w:sz="0" w:space="0" w:color="auto"/>
            <w:left w:val="none" w:sz="0" w:space="0" w:color="auto"/>
            <w:bottom w:val="none" w:sz="0" w:space="0" w:color="auto"/>
            <w:right w:val="none" w:sz="0" w:space="0" w:color="auto"/>
          </w:divBdr>
        </w:div>
      </w:divsChild>
    </w:div>
    <w:div w:id="1273518766">
      <w:bodyDiv w:val="1"/>
      <w:marLeft w:val="0"/>
      <w:marRight w:val="0"/>
      <w:marTop w:val="0"/>
      <w:marBottom w:val="0"/>
      <w:divBdr>
        <w:top w:val="none" w:sz="0" w:space="0" w:color="auto"/>
        <w:left w:val="none" w:sz="0" w:space="0" w:color="auto"/>
        <w:bottom w:val="none" w:sz="0" w:space="0" w:color="auto"/>
        <w:right w:val="none" w:sz="0" w:space="0" w:color="auto"/>
      </w:divBdr>
    </w:div>
    <w:div w:id="1305936795">
      <w:bodyDiv w:val="1"/>
      <w:marLeft w:val="0"/>
      <w:marRight w:val="0"/>
      <w:marTop w:val="0"/>
      <w:marBottom w:val="0"/>
      <w:divBdr>
        <w:top w:val="none" w:sz="0" w:space="0" w:color="auto"/>
        <w:left w:val="none" w:sz="0" w:space="0" w:color="auto"/>
        <w:bottom w:val="none" w:sz="0" w:space="0" w:color="auto"/>
        <w:right w:val="none" w:sz="0" w:space="0" w:color="auto"/>
      </w:divBdr>
      <w:divsChild>
        <w:div w:id="1036004727">
          <w:marLeft w:val="547"/>
          <w:marRight w:val="0"/>
          <w:marTop w:val="86"/>
          <w:marBottom w:val="0"/>
          <w:divBdr>
            <w:top w:val="none" w:sz="0" w:space="0" w:color="auto"/>
            <w:left w:val="none" w:sz="0" w:space="0" w:color="auto"/>
            <w:bottom w:val="none" w:sz="0" w:space="0" w:color="auto"/>
            <w:right w:val="none" w:sz="0" w:space="0" w:color="auto"/>
          </w:divBdr>
        </w:div>
      </w:divsChild>
    </w:div>
    <w:div w:id="1326470983">
      <w:bodyDiv w:val="1"/>
      <w:marLeft w:val="0"/>
      <w:marRight w:val="0"/>
      <w:marTop w:val="0"/>
      <w:marBottom w:val="0"/>
      <w:divBdr>
        <w:top w:val="none" w:sz="0" w:space="0" w:color="auto"/>
        <w:left w:val="none" w:sz="0" w:space="0" w:color="auto"/>
        <w:bottom w:val="none" w:sz="0" w:space="0" w:color="auto"/>
        <w:right w:val="none" w:sz="0" w:space="0" w:color="auto"/>
      </w:divBdr>
    </w:div>
    <w:div w:id="1348217051">
      <w:bodyDiv w:val="1"/>
      <w:marLeft w:val="0"/>
      <w:marRight w:val="0"/>
      <w:marTop w:val="0"/>
      <w:marBottom w:val="0"/>
      <w:divBdr>
        <w:top w:val="none" w:sz="0" w:space="0" w:color="auto"/>
        <w:left w:val="none" w:sz="0" w:space="0" w:color="auto"/>
        <w:bottom w:val="none" w:sz="0" w:space="0" w:color="auto"/>
        <w:right w:val="none" w:sz="0" w:space="0" w:color="auto"/>
      </w:divBdr>
    </w:div>
    <w:div w:id="1353216826">
      <w:bodyDiv w:val="1"/>
      <w:marLeft w:val="0"/>
      <w:marRight w:val="0"/>
      <w:marTop w:val="0"/>
      <w:marBottom w:val="0"/>
      <w:divBdr>
        <w:top w:val="none" w:sz="0" w:space="0" w:color="auto"/>
        <w:left w:val="none" w:sz="0" w:space="0" w:color="auto"/>
        <w:bottom w:val="none" w:sz="0" w:space="0" w:color="auto"/>
        <w:right w:val="none" w:sz="0" w:space="0" w:color="auto"/>
      </w:divBdr>
    </w:div>
    <w:div w:id="1391877698">
      <w:bodyDiv w:val="1"/>
      <w:marLeft w:val="0"/>
      <w:marRight w:val="0"/>
      <w:marTop w:val="0"/>
      <w:marBottom w:val="0"/>
      <w:divBdr>
        <w:top w:val="none" w:sz="0" w:space="0" w:color="auto"/>
        <w:left w:val="none" w:sz="0" w:space="0" w:color="auto"/>
        <w:bottom w:val="none" w:sz="0" w:space="0" w:color="auto"/>
        <w:right w:val="none" w:sz="0" w:space="0" w:color="auto"/>
      </w:divBdr>
    </w:div>
    <w:div w:id="1401321055">
      <w:bodyDiv w:val="1"/>
      <w:marLeft w:val="0"/>
      <w:marRight w:val="0"/>
      <w:marTop w:val="0"/>
      <w:marBottom w:val="0"/>
      <w:divBdr>
        <w:top w:val="none" w:sz="0" w:space="0" w:color="auto"/>
        <w:left w:val="none" w:sz="0" w:space="0" w:color="auto"/>
        <w:bottom w:val="none" w:sz="0" w:space="0" w:color="auto"/>
        <w:right w:val="none" w:sz="0" w:space="0" w:color="auto"/>
      </w:divBdr>
    </w:div>
    <w:div w:id="1414275703">
      <w:bodyDiv w:val="1"/>
      <w:marLeft w:val="0"/>
      <w:marRight w:val="0"/>
      <w:marTop w:val="0"/>
      <w:marBottom w:val="0"/>
      <w:divBdr>
        <w:top w:val="none" w:sz="0" w:space="0" w:color="auto"/>
        <w:left w:val="none" w:sz="0" w:space="0" w:color="auto"/>
        <w:bottom w:val="none" w:sz="0" w:space="0" w:color="auto"/>
        <w:right w:val="none" w:sz="0" w:space="0" w:color="auto"/>
      </w:divBdr>
    </w:div>
    <w:div w:id="1420561988">
      <w:bodyDiv w:val="1"/>
      <w:marLeft w:val="0"/>
      <w:marRight w:val="0"/>
      <w:marTop w:val="0"/>
      <w:marBottom w:val="0"/>
      <w:divBdr>
        <w:top w:val="none" w:sz="0" w:space="0" w:color="auto"/>
        <w:left w:val="none" w:sz="0" w:space="0" w:color="auto"/>
        <w:bottom w:val="none" w:sz="0" w:space="0" w:color="auto"/>
        <w:right w:val="none" w:sz="0" w:space="0" w:color="auto"/>
      </w:divBdr>
    </w:div>
    <w:div w:id="1426150018">
      <w:bodyDiv w:val="1"/>
      <w:marLeft w:val="0"/>
      <w:marRight w:val="0"/>
      <w:marTop w:val="0"/>
      <w:marBottom w:val="0"/>
      <w:divBdr>
        <w:top w:val="none" w:sz="0" w:space="0" w:color="auto"/>
        <w:left w:val="none" w:sz="0" w:space="0" w:color="auto"/>
        <w:bottom w:val="none" w:sz="0" w:space="0" w:color="auto"/>
        <w:right w:val="none" w:sz="0" w:space="0" w:color="auto"/>
      </w:divBdr>
    </w:div>
    <w:div w:id="1453867773">
      <w:bodyDiv w:val="1"/>
      <w:marLeft w:val="0"/>
      <w:marRight w:val="0"/>
      <w:marTop w:val="0"/>
      <w:marBottom w:val="0"/>
      <w:divBdr>
        <w:top w:val="none" w:sz="0" w:space="0" w:color="auto"/>
        <w:left w:val="none" w:sz="0" w:space="0" w:color="auto"/>
        <w:bottom w:val="none" w:sz="0" w:space="0" w:color="auto"/>
        <w:right w:val="none" w:sz="0" w:space="0" w:color="auto"/>
      </w:divBdr>
    </w:div>
    <w:div w:id="1470711142">
      <w:bodyDiv w:val="1"/>
      <w:marLeft w:val="0"/>
      <w:marRight w:val="0"/>
      <w:marTop w:val="0"/>
      <w:marBottom w:val="0"/>
      <w:divBdr>
        <w:top w:val="none" w:sz="0" w:space="0" w:color="auto"/>
        <w:left w:val="none" w:sz="0" w:space="0" w:color="auto"/>
        <w:bottom w:val="none" w:sz="0" w:space="0" w:color="auto"/>
        <w:right w:val="none" w:sz="0" w:space="0" w:color="auto"/>
      </w:divBdr>
    </w:div>
    <w:div w:id="1485389275">
      <w:bodyDiv w:val="1"/>
      <w:marLeft w:val="0"/>
      <w:marRight w:val="0"/>
      <w:marTop w:val="0"/>
      <w:marBottom w:val="0"/>
      <w:divBdr>
        <w:top w:val="none" w:sz="0" w:space="0" w:color="auto"/>
        <w:left w:val="none" w:sz="0" w:space="0" w:color="auto"/>
        <w:bottom w:val="none" w:sz="0" w:space="0" w:color="auto"/>
        <w:right w:val="none" w:sz="0" w:space="0" w:color="auto"/>
      </w:divBdr>
    </w:div>
    <w:div w:id="1505048594">
      <w:bodyDiv w:val="1"/>
      <w:marLeft w:val="0"/>
      <w:marRight w:val="0"/>
      <w:marTop w:val="0"/>
      <w:marBottom w:val="0"/>
      <w:divBdr>
        <w:top w:val="none" w:sz="0" w:space="0" w:color="auto"/>
        <w:left w:val="none" w:sz="0" w:space="0" w:color="auto"/>
        <w:bottom w:val="none" w:sz="0" w:space="0" w:color="auto"/>
        <w:right w:val="none" w:sz="0" w:space="0" w:color="auto"/>
      </w:divBdr>
    </w:div>
    <w:div w:id="1505632282">
      <w:bodyDiv w:val="1"/>
      <w:marLeft w:val="0"/>
      <w:marRight w:val="0"/>
      <w:marTop w:val="0"/>
      <w:marBottom w:val="0"/>
      <w:divBdr>
        <w:top w:val="none" w:sz="0" w:space="0" w:color="auto"/>
        <w:left w:val="none" w:sz="0" w:space="0" w:color="auto"/>
        <w:bottom w:val="none" w:sz="0" w:space="0" w:color="auto"/>
        <w:right w:val="none" w:sz="0" w:space="0" w:color="auto"/>
      </w:divBdr>
    </w:div>
    <w:div w:id="1581329585">
      <w:bodyDiv w:val="1"/>
      <w:marLeft w:val="0"/>
      <w:marRight w:val="0"/>
      <w:marTop w:val="0"/>
      <w:marBottom w:val="0"/>
      <w:divBdr>
        <w:top w:val="none" w:sz="0" w:space="0" w:color="auto"/>
        <w:left w:val="none" w:sz="0" w:space="0" w:color="auto"/>
        <w:bottom w:val="none" w:sz="0" w:space="0" w:color="auto"/>
        <w:right w:val="none" w:sz="0" w:space="0" w:color="auto"/>
      </w:divBdr>
    </w:div>
    <w:div w:id="1612862120">
      <w:bodyDiv w:val="1"/>
      <w:marLeft w:val="0"/>
      <w:marRight w:val="0"/>
      <w:marTop w:val="0"/>
      <w:marBottom w:val="0"/>
      <w:divBdr>
        <w:top w:val="none" w:sz="0" w:space="0" w:color="auto"/>
        <w:left w:val="none" w:sz="0" w:space="0" w:color="auto"/>
        <w:bottom w:val="none" w:sz="0" w:space="0" w:color="auto"/>
        <w:right w:val="none" w:sz="0" w:space="0" w:color="auto"/>
      </w:divBdr>
    </w:div>
    <w:div w:id="1613004574">
      <w:bodyDiv w:val="1"/>
      <w:marLeft w:val="0"/>
      <w:marRight w:val="0"/>
      <w:marTop w:val="0"/>
      <w:marBottom w:val="0"/>
      <w:divBdr>
        <w:top w:val="none" w:sz="0" w:space="0" w:color="auto"/>
        <w:left w:val="none" w:sz="0" w:space="0" w:color="auto"/>
        <w:bottom w:val="none" w:sz="0" w:space="0" w:color="auto"/>
        <w:right w:val="none" w:sz="0" w:space="0" w:color="auto"/>
      </w:divBdr>
    </w:div>
    <w:div w:id="1628505720">
      <w:bodyDiv w:val="1"/>
      <w:marLeft w:val="0"/>
      <w:marRight w:val="0"/>
      <w:marTop w:val="0"/>
      <w:marBottom w:val="0"/>
      <w:divBdr>
        <w:top w:val="none" w:sz="0" w:space="0" w:color="auto"/>
        <w:left w:val="none" w:sz="0" w:space="0" w:color="auto"/>
        <w:bottom w:val="none" w:sz="0" w:space="0" w:color="auto"/>
        <w:right w:val="none" w:sz="0" w:space="0" w:color="auto"/>
      </w:divBdr>
    </w:div>
    <w:div w:id="1694572713">
      <w:bodyDiv w:val="1"/>
      <w:marLeft w:val="0"/>
      <w:marRight w:val="0"/>
      <w:marTop w:val="0"/>
      <w:marBottom w:val="0"/>
      <w:divBdr>
        <w:top w:val="none" w:sz="0" w:space="0" w:color="auto"/>
        <w:left w:val="none" w:sz="0" w:space="0" w:color="auto"/>
        <w:bottom w:val="none" w:sz="0" w:space="0" w:color="auto"/>
        <w:right w:val="none" w:sz="0" w:space="0" w:color="auto"/>
      </w:divBdr>
    </w:div>
    <w:div w:id="1725636903">
      <w:bodyDiv w:val="1"/>
      <w:marLeft w:val="0"/>
      <w:marRight w:val="0"/>
      <w:marTop w:val="0"/>
      <w:marBottom w:val="0"/>
      <w:divBdr>
        <w:top w:val="none" w:sz="0" w:space="0" w:color="auto"/>
        <w:left w:val="none" w:sz="0" w:space="0" w:color="auto"/>
        <w:bottom w:val="none" w:sz="0" w:space="0" w:color="auto"/>
        <w:right w:val="none" w:sz="0" w:space="0" w:color="auto"/>
      </w:divBdr>
    </w:div>
    <w:div w:id="1740520475">
      <w:bodyDiv w:val="1"/>
      <w:marLeft w:val="0"/>
      <w:marRight w:val="0"/>
      <w:marTop w:val="0"/>
      <w:marBottom w:val="0"/>
      <w:divBdr>
        <w:top w:val="none" w:sz="0" w:space="0" w:color="auto"/>
        <w:left w:val="none" w:sz="0" w:space="0" w:color="auto"/>
        <w:bottom w:val="none" w:sz="0" w:space="0" w:color="auto"/>
        <w:right w:val="none" w:sz="0" w:space="0" w:color="auto"/>
      </w:divBdr>
    </w:div>
    <w:div w:id="1809518921">
      <w:bodyDiv w:val="1"/>
      <w:marLeft w:val="0"/>
      <w:marRight w:val="0"/>
      <w:marTop w:val="0"/>
      <w:marBottom w:val="0"/>
      <w:divBdr>
        <w:top w:val="none" w:sz="0" w:space="0" w:color="auto"/>
        <w:left w:val="none" w:sz="0" w:space="0" w:color="auto"/>
        <w:bottom w:val="none" w:sz="0" w:space="0" w:color="auto"/>
        <w:right w:val="none" w:sz="0" w:space="0" w:color="auto"/>
      </w:divBdr>
    </w:div>
    <w:div w:id="1820998674">
      <w:bodyDiv w:val="1"/>
      <w:marLeft w:val="0"/>
      <w:marRight w:val="0"/>
      <w:marTop w:val="0"/>
      <w:marBottom w:val="0"/>
      <w:divBdr>
        <w:top w:val="none" w:sz="0" w:space="0" w:color="auto"/>
        <w:left w:val="none" w:sz="0" w:space="0" w:color="auto"/>
        <w:bottom w:val="none" w:sz="0" w:space="0" w:color="auto"/>
        <w:right w:val="none" w:sz="0" w:space="0" w:color="auto"/>
      </w:divBdr>
    </w:div>
    <w:div w:id="1831602272">
      <w:bodyDiv w:val="1"/>
      <w:marLeft w:val="0"/>
      <w:marRight w:val="0"/>
      <w:marTop w:val="0"/>
      <w:marBottom w:val="0"/>
      <w:divBdr>
        <w:top w:val="none" w:sz="0" w:space="0" w:color="auto"/>
        <w:left w:val="none" w:sz="0" w:space="0" w:color="auto"/>
        <w:bottom w:val="none" w:sz="0" w:space="0" w:color="auto"/>
        <w:right w:val="none" w:sz="0" w:space="0" w:color="auto"/>
      </w:divBdr>
    </w:div>
    <w:div w:id="1871990046">
      <w:bodyDiv w:val="1"/>
      <w:marLeft w:val="0"/>
      <w:marRight w:val="0"/>
      <w:marTop w:val="0"/>
      <w:marBottom w:val="0"/>
      <w:divBdr>
        <w:top w:val="none" w:sz="0" w:space="0" w:color="auto"/>
        <w:left w:val="none" w:sz="0" w:space="0" w:color="auto"/>
        <w:bottom w:val="none" w:sz="0" w:space="0" w:color="auto"/>
        <w:right w:val="none" w:sz="0" w:space="0" w:color="auto"/>
      </w:divBdr>
    </w:div>
    <w:div w:id="1872255557">
      <w:bodyDiv w:val="1"/>
      <w:marLeft w:val="0"/>
      <w:marRight w:val="0"/>
      <w:marTop w:val="0"/>
      <w:marBottom w:val="0"/>
      <w:divBdr>
        <w:top w:val="none" w:sz="0" w:space="0" w:color="auto"/>
        <w:left w:val="none" w:sz="0" w:space="0" w:color="auto"/>
        <w:bottom w:val="none" w:sz="0" w:space="0" w:color="auto"/>
        <w:right w:val="none" w:sz="0" w:space="0" w:color="auto"/>
      </w:divBdr>
    </w:div>
    <w:div w:id="1912496818">
      <w:bodyDiv w:val="1"/>
      <w:marLeft w:val="0"/>
      <w:marRight w:val="0"/>
      <w:marTop w:val="0"/>
      <w:marBottom w:val="0"/>
      <w:divBdr>
        <w:top w:val="none" w:sz="0" w:space="0" w:color="auto"/>
        <w:left w:val="none" w:sz="0" w:space="0" w:color="auto"/>
        <w:bottom w:val="none" w:sz="0" w:space="0" w:color="auto"/>
        <w:right w:val="none" w:sz="0" w:space="0" w:color="auto"/>
      </w:divBdr>
    </w:div>
    <w:div w:id="1955287186">
      <w:bodyDiv w:val="1"/>
      <w:marLeft w:val="0"/>
      <w:marRight w:val="0"/>
      <w:marTop w:val="0"/>
      <w:marBottom w:val="0"/>
      <w:divBdr>
        <w:top w:val="none" w:sz="0" w:space="0" w:color="auto"/>
        <w:left w:val="none" w:sz="0" w:space="0" w:color="auto"/>
        <w:bottom w:val="none" w:sz="0" w:space="0" w:color="auto"/>
        <w:right w:val="none" w:sz="0" w:space="0" w:color="auto"/>
      </w:divBdr>
    </w:div>
    <w:div w:id="1973752449">
      <w:bodyDiv w:val="1"/>
      <w:marLeft w:val="0"/>
      <w:marRight w:val="0"/>
      <w:marTop w:val="0"/>
      <w:marBottom w:val="0"/>
      <w:divBdr>
        <w:top w:val="none" w:sz="0" w:space="0" w:color="auto"/>
        <w:left w:val="none" w:sz="0" w:space="0" w:color="auto"/>
        <w:bottom w:val="none" w:sz="0" w:space="0" w:color="auto"/>
        <w:right w:val="none" w:sz="0" w:space="0" w:color="auto"/>
      </w:divBdr>
    </w:div>
    <w:div w:id="1975597231">
      <w:bodyDiv w:val="1"/>
      <w:marLeft w:val="0"/>
      <w:marRight w:val="0"/>
      <w:marTop w:val="0"/>
      <w:marBottom w:val="0"/>
      <w:divBdr>
        <w:top w:val="none" w:sz="0" w:space="0" w:color="auto"/>
        <w:left w:val="none" w:sz="0" w:space="0" w:color="auto"/>
        <w:bottom w:val="none" w:sz="0" w:space="0" w:color="auto"/>
        <w:right w:val="none" w:sz="0" w:space="0" w:color="auto"/>
      </w:divBdr>
    </w:div>
    <w:div w:id="1997415812">
      <w:bodyDiv w:val="1"/>
      <w:marLeft w:val="0"/>
      <w:marRight w:val="0"/>
      <w:marTop w:val="0"/>
      <w:marBottom w:val="0"/>
      <w:divBdr>
        <w:top w:val="none" w:sz="0" w:space="0" w:color="auto"/>
        <w:left w:val="none" w:sz="0" w:space="0" w:color="auto"/>
        <w:bottom w:val="none" w:sz="0" w:space="0" w:color="auto"/>
        <w:right w:val="none" w:sz="0" w:space="0" w:color="auto"/>
      </w:divBdr>
    </w:div>
    <w:div w:id="2023509346">
      <w:bodyDiv w:val="1"/>
      <w:marLeft w:val="0"/>
      <w:marRight w:val="0"/>
      <w:marTop w:val="0"/>
      <w:marBottom w:val="0"/>
      <w:divBdr>
        <w:top w:val="none" w:sz="0" w:space="0" w:color="auto"/>
        <w:left w:val="none" w:sz="0" w:space="0" w:color="auto"/>
        <w:bottom w:val="none" w:sz="0" w:space="0" w:color="auto"/>
        <w:right w:val="none" w:sz="0" w:space="0" w:color="auto"/>
      </w:divBdr>
    </w:div>
    <w:div w:id="2045396554">
      <w:bodyDiv w:val="1"/>
      <w:marLeft w:val="0"/>
      <w:marRight w:val="0"/>
      <w:marTop w:val="0"/>
      <w:marBottom w:val="0"/>
      <w:divBdr>
        <w:top w:val="none" w:sz="0" w:space="0" w:color="auto"/>
        <w:left w:val="none" w:sz="0" w:space="0" w:color="auto"/>
        <w:bottom w:val="none" w:sz="0" w:space="0" w:color="auto"/>
        <w:right w:val="none" w:sz="0" w:space="0" w:color="auto"/>
      </w:divBdr>
    </w:div>
    <w:div w:id="2059812518">
      <w:bodyDiv w:val="1"/>
      <w:marLeft w:val="0"/>
      <w:marRight w:val="0"/>
      <w:marTop w:val="0"/>
      <w:marBottom w:val="0"/>
      <w:divBdr>
        <w:top w:val="none" w:sz="0" w:space="0" w:color="auto"/>
        <w:left w:val="none" w:sz="0" w:space="0" w:color="auto"/>
        <w:bottom w:val="none" w:sz="0" w:space="0" w:color="auto"/>
        <w:right w:val="none" w:sz="0" w:space="0" w:color="auto"/>
      </w:divBdr>
    </w:div>
    <w:div w:id="2059939094">
      <w:bodyDiv w:val="1"/>
      <w:marLeft w:val="0"/>
      <w:marRight w:val="0"/>
      <w:marTop w:val="0"/>
      <w:marBottom w:val="0"/>
      <w:divBdr>
        <w:top w:val="none" w:sz="0" w:space="0" w:color="auto"/>
        <w:left w:val="none" w:sz="0" w:space="0" w:color="auto"/>
        <w:bottom w:val="none" w:sz="0" w:space="0" w:color="auto"/>
        <w:right w:val="none" w:sz="0" w:space="0" w:color="auto"/>
      </w:divBdr>
    </w:div>
    <w:div w:id="214716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yperlink" Target="https://www.health.gov.au/resources/collections/pregnancy-care-guidelines-and-related-documents" TargetMode="External"/><Relationship Id="rId42" Type="http://schemas.openxmlformats.org/officeDocument/2006/relationships/hyperlink" Target="https://www.wacountry.health.wa.gov.au/-/media/WACHS/Documents/About-us/Publications/Strategic-plans/ED-CO-18-83815__eDoc_-_CO_-_2019-03-07_WACHS_Maternal_and_Newborn_Strategy_FINAL_VERSION.pdf" TargetMode="External"/><Relationship Id="rId47" Type="http://schemas.openxmlformats.org/officeDocument/2006/relationships/hyperlink" Target="https://www.health.nsw.gov.au/kidsfamilies/MCFhealth/maternity/Documents/Connecting_Listening_and_Responding_Consultation_draft_30_Oct_2020.pdf" TargetMode="External"/><Relationship Id="rId50" Type="http://schemas.openxmlformats.org/officeDocument/2006/relationships/hyperlink" Target="https://www.cec.health.nsw.gov.au/__data/assets/pdf_file/0007/708334/resilience-assessment-facilitation-guide.pdf" TargetMode="External"/><Relationship Id="rId55" Type="http://schemas.openxmlformats.org/officeDocument/2006/relationships/hyperlink" Target="https://www.health.qld.gov.au/public-health/groups/atsihealth/health-priorities/maternity-services" TargetMode="External"/><Relationship Id="rId63" Type="http://schemas.openxmlformats.org/officeDocument/2006/relationships/image" Target="media/image7.jpeg"/><Relationship Id="rId68" Type="http://schemas.openxmlformats.org/officeDocument/2006/relationships/chart" Target="charts/chart1.xml"/><Relationship Id="rId76" Type="http://schemas.openxmlformats.org/officeDocument/2006/relationships/chart" Target="charts/chart9.xml"/><Relationship Id="rId84" Type="http://schemas.openxmlformats.org/officeDocument/2006/relationships/chart" Target="charts/chart17.xml"/><Relationship Id="rId89" Type="http://schemas.openxmlformats.org/officeDocument/2006/relationships/hyperlink" Target="https://women.wcha.asn.au/collaborate/breakthrough-collaboratives/the-national-preterm-birth-prevention-collaborative/"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4.xml"/><Relationship Id="rId92"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health.gov.au/sites/default/files/documents/2021/03/national-stillbirth-action-and-implementation-plan.pdf"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yperlink" Target="https://www.health.gov.au/sites/default/files/pregnancy-care-guidelines_0.pdf" TargetMode="External"/><Relationship Id="rId37" Type="http://schemas.openxmlformats.org/officeDocument/2006/relationships/hyperlink" Target="https://www.cope.org.au/health-professionals/health-professionals-3/review-of-new-perinatal-mental-health-guidelines/" TargetMode="External"/><Relationship Id="rId40" Type="http://schemas.openxmlformats.org/officeDocument/2006/relationships/hyperlink" Target="https://iaha.com.au/wp-content/uploads/2016/12/National-Framework-for-Health-Services-for-Aboriginal-and-Torres-Strait-Islander-Children-and-Families.pdf" TargetMode="External"/><Relationship Id="rId45" Type="http://schemas.openxmlformats.org/officeDocument/2006/relationships/hyperlink" Target="https://ww2.health.wa.gov.au/~/media/Files/Corporate/Reports%20and%20publications/Clinical%20Services%20Framework/Clinical_Framework_2014-2024.pdf" TargetMode="External"/><Relationship Id="rId53" Type="http://schemas.openxmlformats.org/officeDocument/2006/relationships/hyperlink" Target="https://clinicalexcellence.qld.gov.au/sites/default/files/docs/maternity/rural-maternity-service-planning.pdf" TargetMode="External"/><Relationship Id="rId58" Type="http://schemas.openxmlformats.org/officeDocument/2006/relationships/hyperlink" Target="https://www.cope.org.au/wp-content/uploads/2018/05/COPE-Perinatal-MH-Guideline_Final-2018.pdf" TargetMode="External"/><Relationship Id="rId66" Type="http://schemas.openxmlformats.org/officeDocument/2006/relationships/hyperlink" Target="https://protect-au.mimecast.com/s/RZJWCGv066UEwyN4I7nh0Z?domain=birthingoncountry.com" TargetMode="External"/><Relationship Id="rId74" Type="http://schemas.openxmlformats.org/officeDocument/2006/relationships/chart" Target="charts/chart7.xml"/><Relationship Id="rId79" Type="http://schemas.openxmlformats.org/officeDocument/2006/relationships/chart" Target="charts/chart12.xml"/><Relationship Id="rId87" Type="http://schemas.openxmlformats.org/officeDocument/2006/relationships/chart" Target="charts/chart20.xml"/><Relationship Id="rId5" Type="http://schemas.openxmlformats.org/officeDocument/2006/relationships/numbering" Target="numbering.xml"/><Relationship Id="rId61" Type="http://schemas.openxmlformats.org/officeDocument/2006/relationships/hyperlink" Target="https://www.health.vic.gov.au/sites/default/files/2022-01/capability-framework-for-victorian-maternity-and-newborn-services.pdf" TargetMode="External"/><Relationship Id="rId82" Type="http://schemas.openxmlformats.org/officeDocument/2006/relationships/chart" Target="charts/chart15.xml"/><Relationship Id="rId90" Type="http://schemas.openxmlformats.org/officeDocument/2006/relationships/hyperlink" Target="https://www.health.nsw.gov.au/kidsfamilies/MCFhealth/Pages/snf-program.aspx" TargetMode="External"/><Relationship Id="rId95" Type="http://schemas.openxmlformats.org/officeDocument/2006/relationships/header" Target="header11.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s://www.health.act.gov.au/about-our-health-system/maternity-focus" TargetMode="External"/><Relationship Id="rId30" Type="http://schemas.openxmlformats.org/officeDocument/2006/relationships/hyperlink" Target="https://www.aph.gov.au/Parliamentary_Business/Committees/Senate/Stillbirth_Research_and_Education/Stillbirth/Report" TargetMode="External"/><Relationship Id="rId35" Type="http://schemas.openxmlformats.org/officeDocument/2006/relationships/hyperlink" Target="https://www.health.gov.au/sites/default/files/documents/2022/03/national-aboriginal-and-torres-strait-islander-health-workforce-strategic-framework-and-implementation-plan-2021-2031.pdf" TargetMode="External"/><Relationship Id="rId43" Type="http://schemas.openxmlformats.org/officeDocument/2006/relationships/hyperlink" Target="chrome-extension://efaidnbmnnnibpcajpcglclefindmkaj/https:/ww2.health.wa.gov.au/~/media/Corp/Documents/Health-for/Infectious-disease/COVID19/COVID-19-Guidelines-for-maternity-services.pdf" TargetMode="External"/><Relationship Id="rId48" Type="http://schemas.openxmlformats.org/officeDocument/2006/relationships/hyperlink" Target="https://www1.health.nsw.gov.au/pds/ActivePDSDocuments/PD2019_008.pdf" TargetMode="External"/><Relationship Id="rId56" Type="http://schemas.openxmlformats.org/officeDocument/2006/relationships/hyperlink" Target="https://www.sahealth.sa.gov.au/wps/wcm/connect/4024bcbf-6acd-48af-bf8e-72caec419cd1/Postnatal+Care.+Routine+care+of+the+well+woman+and+neonate_PPG_v1_0.pdf?MOD=AJPERES&amp;amp;CACHEID=ROOTWORKSPACE-4024bcbf-6acd-48af-bf8e-72caec419cd1-nNo9HgH" TargetMode="External"/><Relationship Id="rId64" Type="http://schemas.openxmlformats.org/officeDocument/2006/relationships/hyperlink" Target="https://www.mhcs.health.nsw.gov.au/publications/epds?collectionfilter=1&amp;fc_check=4a7035d4bc2e8eeaeac8db127efcf4bf&amp;fc_ends=114&amp;SearchableText=edinburgh+postnatal" TargetMode="External"/><Relationship Id="rId69" Type="http://schemas.openxmlformats.org/officeDocument/2006/relationships/chart" Target="charts/chart2.xml"/><Relationship Id="rId77" Type="http://schemas.openxmlformats.org/officeDocument/2006/relationships/chart" Target="charts/chart10.xml"/><Relationship Id="rId8" Type="http://schemas.openxmlformats.org/officeDocument/2006/relationships/webSettings" Target="webSettings.xml"/><Relationship Id="rId51" Type="http://schemas.openxmlformats.org/officeDocument/2006/relationships/hyperlink" Target="https://www.health.nsw.gov.au/Infectious/covid-19/communities-of-practice/Pages/guidance-maternity-services.aspx" TargetMode="External"/><Relationship Id="rId72" Type="http://schemas.openxmlformats.org/officeDocument/2006/relationships/chart" Target="charts/chart5.xml"/><Relationship Id="rId80" Type="http://schemas.openxmlformats.org/officeDocument/2006/relationships/chart" Target="charts/chart13.xml"/><Relationship Id="rId85" Type="http://schemas.openxmlformats.org/officeDocument/2006/relationships/chart" Target="charts/chart18.xml"/><Relationship Id="rId93"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hyperlink" Target="https://www.health.gov.au/resources/pregnancy-care-guidelines" TargetMode="External"/><Relationship Id="rId38" Type="http://schemas.openxmlformats.org/officeDocument/2006/relationships/hyperlink" Target="https://www.closingthegap.gov.au/" TargetMode="External"/><Relationship Id="rId46" Type="http://schemas.openxmlformats.org/officeDocument/2006/relationships/hyperlink" Target="https://digitallibrary.health.nt.gov.au/prodjspui/handle/10137/907" TargetMode="External"/><Relationship Id="rId59" Type="http://schemas.openxmlformats.org/officeDocument/2006/relationships/hyperlink" Target="https://www.sahealth.sa.gov.au/wps/wcm/connect/a31b8c0047feec57ad9bff21d1663cdf/Maternal+and+Neonatal+Services+Standards+in+SA+2020_CD_v3_1.pdf?MOD=AJPERES&amp;amp;CACHEID=ROOTWORKSPACE-a31b8c0047feec57ad9bff21d1663cdf-nzfbrd4" TargetMode="External"/><Relationship Id="rId67" Type="http://schemas.openxmlformats.org/officeDocument/2006/relationships/image" Target="media/image9.png"/><Relationship Id="rId20" Type="http://schemas.openxmlformats.org/officeDocument/2006/relationships/header" Target="header5.xml"/><Relationship Id="rId41" Type="http://schemas.openxmlformats.org/officeDocument/2006/relationships/hyperlink" Target="https://www.kemh.health.wa.gov.au/~/media/HSPs/NMHS/Hospitals/WNHS/Documents/Clinical-guidelines/Statewide-Maternity-Shared-Care-Guidelines.pdf" TargetMode="External"/><Relationship Id="rId54" Type="http://schemas.openxmlformats.org/officeDocument/2006/relationships/hyperlink" Target="https://www.ncbi.nlm.nih.gov/pmc/articles/PMC7932297/pdf/10.1177_1744987119887424.pdf" TargetMode="External"/><Relationship Id="rId62" Type="http://schemas.openxmlformats.org/officeDocument/2006/relationships/hyperlink" Target="https://www.health.vic.gov.au/funding-performance-accountability/performance-monitoring-framework" TargetMode="External"/><Relationship Id="rId70" Type="http://schemas.openxmlformats.org/officeDocument/2006/relationships/chart" Target="charts/chart3.xml"/><Relationship Id="rId75" Type="http://schemas.openxmlformats.org/officeDocument/2006/relationships/chart" Target="charts/chart8.xml"/><Relationship Id="rId83" Type="http://schemas.openxmlformats.org/officeDocument/2006/relationships/chart" Target="charts/chart16.xml"/><Relationship Id="rId88" Type="http://schemas.openxmlformats.org/officeDocument/2006/relationships/chart" Target="charts/chart21.xml"/><Relationship Id="rId91" Type="http://schemas.openxmlformats.org/officeDocument/2006/relationships/hyperlink" Target="https://www.anfpp.com.a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parliament.act.gov.au/__data/assets/pdf_file/0005/1555466/9th-HACS-10-Report-on-Inquiry-into-Maternity-Services-in-the-ACT-ver-dated-18-June-2020-revised.pdf" TargetMode="External"/><Relationship Id="rId36" Type="http://schemas.openxmlformats.org/officeDocument/2006/relationships/hyperlink" Target="https://www.cope.org.au/wp-content/uploads/2018/05/COPE-Perinatal-MH-Guideline_Final-2018.pdf" TargetMode="External"/><Relationship Id="rId49" Type="http://schemas.openxmlformats.org/officeDocument/2006/relationships/hyperlink" Target="https://www.health.nsw.gov.au/kidsfamilies/programs/Publications/first-2000-days-implementation.pdf" TargetMode="External"/><Relationship Id="rId57" Type="http://schemas.openxmlformats.org/officeDocument/2006/relationships/hyperlink" Target="https://www.sahealth.sa.gov.au/wps/wcm/connect/c7c0ccf9-b704-4411-9b47-fbf777ac0829/Anxiety%2Band%2BDepression%2Bin%2Bthe%2BPerinatal%2BPeriod_PPG_v1_0.pdf?MOD=AJPERES&amp;CACHE=NONE&amp;CONTENTCACHE=NONE" TargetMode="External"/><Relationship Id="rId10" Type="http://schemas.openxmlformats.org/officeDocument/2006/relationships/endnotes" Target="endnotes.xml"/><Relationship Id="rId31" Type="http://schemas.openxmlformats.org/officeDocument/2006/relationships/hyperlink" Target="https://www.health.gov.au/resources/pregnancy-care-guidelines" TargetMode="External"/><Relationship Id="rId44" Type="http://schemas.openxmlformats.org/officeDocument/2006/relationships/hyperlink" Target="https://www.wacountry.health.wa.gov.au/~/media/WACHS/Documents/About-us/Policies/Maternal-and-Newborn-Care-Capability-Framework-Policy.pdf?thn=0" TargetMode="External"/><Relationship Id="rId52" Type="http://schemas.openxmlformats.org/officeDocument/2006/relationships/hyperlink" Target="https://www.health.qld.gov.au/__data/assets/pdf_file/0030/932880/Growing-Deadly-Families-Strategy.pdf" TargetMode="External"/><Relationship Id="rId60" Type="http://schemas.openxmlformats.org/officeDocument/2006/relationships/hyperlink" Target="https://www.safercare.vic.gov.au/sites/default/files/2019-09/Maternity%20and%20newborn%20services%20user%20guide%20WEB%20final_0.pdf" TargetMode="External"/><Relationship Id="rId65" Type="http://schemas.openxmlformats.org/officeDocument/2006/relationships/image" Target="media/image8.848EF190"/><Relationship Id="rId73" Type="http://schemas.openxmlformats.org/officeDocument/2006/relationships/chart" Target="charts/chart6.xml"/><Relationship Id="rId78" Type="http://schemas.openxmlformats.org/officeDocument/2006/relationships/chart" Target="charts/chart11.xml"/><Relationship Id="rId81" Type="http://schemas.openxmlformats.org/officeDocument/2006/relationships/chart" Target="charts/chart14.xml"/><Relationship Id="rId86" Type="http://schemas.openxmlformats.org/officeDocument/2006/relationships/chart" Target="charts/chart19.xml"/><Relationship Id="rId9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www.health.gov.au/sites/default/files/documents/2022/03/australian-national-breastfeeding-strategy-2019-and-beyo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update_DS\NCMI_aihw-per-95-data-tabl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update_DS\NCMI_aihw-per-95-data-tabl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update_DS\NCMI_aihw-per-95-data-tabl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PDC%20(incl.%20perinatal%20mortality)\npdc%20tabl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PDC%20(incl.%20perinatal%20mortality)\npdc%20tabl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00_conrad\formatted%20figures%20and%20tables.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PDC%20(incl.%20perinatal%20mortality)\npdc%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PDC%20(incl.%20perinatal%20mortality)\npdc%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update_DS\NCMI_aihw-per-95-data-tab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PDC%20(incl.%20perinatal%20mortality)\npdc%20tab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uow.edu.au\Shares\CHSD%20Shared\Current%20Projects\Dept%20of%20Health_Maternity%20Services%20Strategy%20-%20Monitoring%20&amp;%20Evaluation\Existing%20data%20collections%20-%20review%20and%20gaps%20analysis\AIHW\NCMI\NCMI_aihw-per-95-data-tables%202022-09-07%20S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PI01a!$Y$4</c:f>
              <c:strCache>
                <c:ptCount val="1"/>
                <c:pt idx="0">
                  <c:v>Younger than 20</c:v>
                </c:pt>
              </c:strCache>
            </c:strRef>
          </c:tx>
          <c:spPr>
            <a:ln w="28575" cap="rnd">
              <a:solidFill>
                <a:schemeClr val="accent1"/>
              </a:solidFill>
              <a:round/>
            </a:ln>
            <a:effectLst/>
          </c:spPr>
          <c:marker>
            <c:symbol val="none"/>
          </c:marker>
          <c:cat>
            <c:strRef>
              <c:f>PI01a!$U$5:$U$13</c:f>
              <c:strCache>
                <c:ptCount val="9"/>
                <c:pt idx="0">
                  <c:v>2011</c:v>
                </c:pt>
                <c:pt idx="1">
                  <c:v>2012</c:v>
                </c:pt>
                <c:pt idx="2">
                  <c:v>2013</c:v>
                </c:pt>
                <c:pt idx="3">
                  <c:v>2014</c:v>
                </c:pt>
                <c:pt idx="4">
                  <c:v>2015</c:v>
                </c:pt>
                <c:pt idx="5">
                  <c:v>2016</c:v>
                </c:pt>
                <c:pt idx="6">
                  <c:v>2017</c:v>
                </c:pt>
                <c:pt idx="7">
                  <c:v>2018</c:v>
                </c:pt>
                <c:pt idx="8">
                  <c:v>2019</c:v>
                </c:pt>
              </c:strCache>
            </c:strRef>
          </c:cat>
          <c:val>
            <c:numRef>
              <c:f>PI01a!$Y$5:$Y$13</c:f>
              <c:numCache>
                <c:formatCode>0.0%</c:formatCode>
                <c:ptCount val="9"/>
                <c:pt idx="0">
                  <c:v>0.35699999999999998</c:v>
                </c:pt>
                <c:pt idx="1">
                  <c:v>0.34599999999999997</c:v>
                </c:pt>
                <c:pt idx="2">
                  <c:v>0.33600000000000002</c:v>
                </c:pt>
                <c:pt idx="3">
                  <c:v>0.32</c:v>
                </c:pt>
                <c:pt idx="4">
                  <c:v>0.32300000000000001</c:v>
                </c:pt>
                <c:pt idx="5">
                  <c:v>0.30499999999999999</c:v>
                </c:pt>
                <c:pt idx="6">
                  <c:v>0.32400000000000001</c:v>
                </c:pt>
                <c:pt idx="7">
                  <c:v>0.311</c:v>
                </c:pt>
                <c:pt idx="8">
                  <c:v>0.316</c:v>
                </c:pt>
              </c:numCache>
            </c:numRef>
          </c:val>
          <c:smooth val="0"/>
          <c:extLst>
            <c:ext xmlns:c16="http://schemas.microsoft.com/office/drawing/2014/chart" uri="{C3380CC4-5D6E-409C-BE32-E72D297353CC}">
              <c16:uniqueId val="{00000000-C02F-4966-BA49-90657361467F}"/>
            </c:ext>
          </c:extLst>
        </c:ser>
        <c:ser>
          <c:idx val="1"/>
          <c:order val="1"/>
          <c:tx>
            <c:strRef>
              <c:f>PI01a!$Z$4</c:f>
              <c:strCache>
                <c:ptCount val="1"/>
                <c:pt idx="0">
                  <c:v>20-24</c:v>
                </c:pt>
              </c:strCache>
            </c:strRef>
          </c:tx>
          <c:spPr>
            <a:ln w="28575" cap="rnd">
              <a:solidFill>
                <a:schemeClr val="accent2"/>
              </a:solidFill>
              <a:round/>
            </a:ln>
            <a:effectLst/>
          </c:spPr>
          <c:marker>
            <c:symbol val="none"/>
          </c:marker>
          <c:cat>
            <c:strRef>
              <c:f>PI01a!$U$5:$U$13</c:f>
              <c:strCache>
                <c:ptCount val="9"/>
                <c:pt idx="0">
                  <c:v>2011</c:v>
                </c:pt>
                <c:pt idx="1">
                  <c:v>2012</c:v>
                </c:pt>
                <c:pt idx="2">
                  <c:v>2013</c:v>
                </c:pt>
                <c:pt idx="3">
                  <c:v>2014</c:v>
                </c:pt>
                <c:pt idx="4">
                  <c:v>2015</c:v>
                </c:pt>
                <c:pt idx="5">
                  <c:v>2016</c:v>
                </c:pt>
                <c:pt idx="6">
                  <c:v>2017</c:v>
                </c:pt>
                <c:pt idx="7">
                  <c:v>2018</c:v>
                </c:pt>
                <c:pt idx="8">
                  <c:v>2019</c:v>
                </c:pt>
              </c:strCache>
            </c:strRef>
          </c:cat>
          <c:val>
            <c:numRef>
              <c:f>PI01a!$Z$5:$Z$13</c:f>
              <c:numCache>
                <c:formatCode>0.0%</c:formatCode>
                <c:ptCount val="9"/>
                <c:pt idx="0">
                  <c:v>0.248</c:v>
                </c:pt>
                <c:pt idx="1">
                  <c:v>0.24299999999999999</c:v>
                </c:pt>
                <c:pt idx="2">
                  <c:v>0.22600000000000001</c:v>
                </c:pt>
                <c:pt idx="3">
                  <c:v>0.219</c:v>
                </c:pt>
                <c:pt idx="4">
                  <c:v>0.21199999999999999</c:v>
                </c:pt>
                <c:pt idx="5">
                  <c:v>0.20799999999999999</c:v>
                </c:pt>
                <c:pt idx="6">
                  <c:v>0.20699999999999999</c:v>
                </c:pt>
                <c:pt idx="7">
                  <c:v>0.20699999999999999</c:v>
                </c:pt>
                <c:pt idx="8">
                  <c:v>0.20599999999999999</c:v>
                </c:pt>
              </c:numCache>
            </c:numRef>
          </c:val>
          <c:smooth val="0"/>
          <c:extLst>
            <c:ext xmlns:c16="http://schemas.microsoft.com/office/drawing/2014/chart" uri="{C3380CC4-5D6E-409C-BE32-E72D297353CC}">
              <c16:uniqueId val="{00000001-C02F-4966-BA49-90657361467F}"/>
            </c:ext>
          </c:extLst>
        </c:ser>
        <c:ser>
          <c:idx val="2"/>
          <c:order val="2"/>
          <c:tx>
            <c:strRef>
              <c:f>PI01a!$AA$4</c:f>
              <c:strCache>
                <c:ptCount val="1"/>
                <c:pt idx="0">
                  <c:v>25-29</c:v>
                </c:pt>
              </c:strCache>
            </c:strRef>
          </c:tx>
          <c:spPr>
            <a:ln w="28575" cap="rnd">
              <a:solidFill>
                <a:schemeClr val="accent3"/>
              </a:solidFill>
              <a:round/>
            </a:ln>
            <a:effectLst/>
          </c:spPr>
          <c:marker>
            <c:symbol val="none"/>
          </c:marker>
          <c:cat>
            <c:strRef>
              <c:f>PI01a!$U$5:$U$13</c:f>
              <c:strCache>
                <c:ptCount val="9"/>
                <c:pt idx="0">
                  <c:v>2011</c:v>
                </c:pt>
                <c:pt idx="1">
                  <c:v>2012</c:v>
                </c:pt>
                <c:pt idx="2">
                  <c:v>2013</c:v>
                </c:pt>
                <c:pt idx="3">
                  <c:v>2014</c:v>
                </c:pt>
                <c:pt idx="4">
                  <c:v>2015</c:v>
                </c:pt>
                <c:pt idx="5">
                  <c:v>2016</c:v>
                </c:pt>
                <c:pt idx="6">
                  <c:v>2017</c:v>
                </c:pt>
                <c:pt idx="7">
                  <c:v>2018</c:v>
                </c:pt>
                <c:pt idx="8">
                  <c:v>2019</c:v>
                </c:pt>
              </c:strCache>
            </c:strRef>
          </c:cat>
          <c:val>
            <c:numRef>
              <c:f>PI01a!$AA$5:$AA$13</c:f>
              <c:numCache>
                <c:formatCode>0.0%</c:formatCode>
                <c:ptCount val="9"/>
                <c:pt idx="0">
                  <c:v>0.129</c:v>
                </c:pt>
                <c:pt idx="1">
                  <c:v>0.12</c:v>
                </c:pt>
                <c:pt idx="2">
                  <c:v>0.112</c:v>
                </c:pt>
                <c:pt idx="3">
                  <c:v>0.109</c:v>
                </c:pt>
                <c:pt idx="4">
                  <c:v>0.106</c:v>
                </c:pt>
                <c:pt idx="5">
                  <c:v>0.10100000000000001</c:v>
                </c:pt>
                <c:pt idx="6">
                  <c:v>0.10299999999999999</c:v>
                </c:pt>
                <c:pt idx="7">
                  <c:v>0.1</c:v>
                </c:pt>
                <c:pt idx="8">
                  <c:v>0.10100000000000001</c:v>
                </c:pt>
              </c:numCache>
            </c:numRef>
          </c:val>
          <c:smooth val="0"/>
          <c:extLst>
            <c:ext xmlns:c16="http://schemas.microsoft.com/office/drawing/2014/chart" uri="{C3380CC4-5D6E-409C-BE32-E72D297353CC}">
              <c16:uniqueId val="{00000002-C02F-4966-BA49-90657361467F}"/>
            </c:ext>
          </c:extLst>
        </c:ser>
        <c:ser>
          <c:idx val="3"/>
          <c:order val="3"/>
          <c:tx>
            <c:strRef>
              <c:f>PI01a!$AB$4</c:f>
              <c:strCache>
                <c:ptCount val="1"/>
                <c:pt idx="0">
                  <c:v>30-34</c:v>
                </c:pt>
              </c:strCache>
            </c:strRef>
          </c:tx>
          <c:spPr>
            <a:ln w="28575" cap="rnd">
              <a:solidFill>
                <a:schemeClr val="accent4"/>
              </a:solidFill>
              <a:round/>
            </a:ln>
            <a:effectLst/>
          </c:spPr>
          <c:marker>
            <c:symbol val="none"/>
          </c:marker>
          <c:cat>
            <c:strRef>
              <c:f>PI01a!$U$5:$U$13</c:f>
              <c:strCache>
                <c:ptCount val="9"/>
                <c:pt idx="0">
                  <c:v>2011</c:v>
                </c:pt>
                <c:pt idx="1">
                  <c:v>2012</c:v>
                </c:pt>
                <c:pt idx="2">
                  <c:v>2013</c:v>
                </c:pt>
                <c:pt idx="3">
                  <c:v>2014</c:v>
                </c:pt>
                <c:pt idx="4">
                  <c:v>2015</c:v>
                </c:pt>
                <c:pt idx="5">
                  <c:v>2016</c:v>
                </c:pt>
                <c:pt idx="6">
                  <c:v>2017</c:v>
                </c:pt>
                <c:pt idx="7">
                  <c:v>2018</c:v>
                </c:pt>
                <c:pt idx="8">
                  <c:v>2019</c:v>
                </c:pt>
              </c:strCache>
            </c:strRef>
          </c:cat>
          <c:val>
            <c:numRef>
              <c:f>PI01a!$AB$5:$AB$13</c:f>
              <c:numCache>
                <c:formatCode>0.0%</c:formatCode>
                <c:ptCount val="9"/>
                <c:pt idx="0">
                  <c:v>8.3000000000000004E-2</c:v>
                </c:pt>
                <c:pt idx="1">
                  <c:v>7.8E-2</c:v>
                </c:pt>
                <c:pt idx="2">
                  <c:v>7.1999999999999995E-2</c:v>
                </c:pt>
                <c:pt idx="3">
                  <c:v>6.8000000000000005E-2</c:v>
                </c:pt>
                <c:pt idx="4">
                  <c:v>6.4000000000000001E-2</c:v>
                </c:pt>
                <c:pt idx="5">
                  <c:v>6.0999999999999999E-2</c:v>
                </c:pt>
                <c:pt idx="6">
                  <c:v>6.3E-2</c:v>
                </c:pt>
                <c:pt idx="7">
                  <c:v>0.06</c:v>
                </c:pt>
                <c:pt idx="8">
                  <c:v>5.7000000000000002E-2</c:v>
                </c:pt>
              </c:numCache>
            </c:numRef>
          </c:val>
          <c:smooth val="0"/>
          <c:extLst>
            <c:ext xmlns:c16="http://schemas.microsoft.com/office/drawing/2014/chart" uri="{C3380CC4-5D6E-409C-BE32-E72D297353CC}">
              <c16:uniqueId val="{00000003-C02F-4966-BA49-90657361467F}"/>
            </c:ext>
          </c:extLst>
        </c:ser>
        <c:ser>
          <c:idx val="4"/>
          <c:order val="4"/>
          <c:tx>
            <c:strRef>
              <c:f>PI01a!$AC$4</c:f>
              <c:strCache>
                <c:ptCount val="1"/>
                <c:pt idx="0">
                  <c:v>35-39</c:v>
                </c:pt>
              </c:strCache>
            </c:strRef>
          </c:tx>
          <c:spPr>
            <a:ln w="28575" cap="rnd">
              <a:solidFill>
                <a:schemeClr val="accent5"/>
              </a:solidFill>
              <a:round/>
            </a:ln>
            <a:effectLst/>
          </c:spPr>
          <c:marker>
            <c:symbol val="none"/>
          </c:marker>
          <c:cat>
            <c:strRef>
              <c:f>PI01a!$U$5:$U$13</c:f>
              <c:strCache>
                <c:ptCount val="9"/>
                <c:pt idx="0">
                  <c:v>2011</c:v>
                </c:pt>
                <c:pt idx="1">
                  <c:v>2012</c:v>
                </c:pt>
                <c:pt idx="2">
                  <c:v>2013</c:v>
                </c:pt>
                <c:pt idx="3">
                  <c:v>2014</c:v>
                </c:pt>
                <c:pt idx="4">
                  <c:v>2015</c:v>
                </c:pt>
                <c:pt idx="5">
                  <c:v>2016</c:v>
                </c:pt>
                <c:pt idx="6">
                  <c:v>2017</c:v>
                </c:pt>
                <c:pt idx="7">
                  <c:v>2018</c:v>
                </c:pt>
                <c:pt idx="8">
                  <c:v>2019</c:v>
                </c:pt>
              </c:strCache>
            </c:strRef>
          </c:cat>
          <c:val>
            <c:numRef>
              <c:f>PI01a!$AC$5:$AC$13</c:f>
              <c:numCache>
                <c:formatCode>0.0%</c:formatCode>
                <c:ptCount val="9"/>
                <c:pt idx="0">
                  <c:v>8.2000000000000003E-2</c:v>
                </c:pt>
                <c:pt idx="1">
                  <c:v>7.3999999999999996E-2</c:v>
                </c:pt>
                <c:pt idx="2">
                  <c:v>7.0999999999999994E-2</c:v>
                </c:pt>
                <c:pt idx="3">
                  <c:v>6.4000000000000001E-2</c:v>
                </c:pt>
                <c:pt idx="4">
                  <c:v>6.3E-2</c:v>
                </c:pt>
                <c:pt idx="5">
                  <c:v>0.06</c:v>
                </c:pt>
                <c:pt idx="6">
                  <c:v>5.8999999999999997E-2</c:v>
                </c:pt>
                <c:pt idx="7">
                  <c:v>0.06</c:v>
                </c:pt>
                <c:pt idx="8">
                  <c:v>5.7000000000000002E-2</c:v>
                </c:pt>
              </c:numCache>
            </c:numRef>
          </c:val>
          <c:smooth val="0"/>
          <c:extLst>
            <c:ext xmlns:c16="http://schemas.microsoft.com/office/drawing/2014/chart" uri="{C3380CC4-5D6E-409C-BE32-E72D297353CC}">
              <c16:uniqueId val="{00000004-C02F-4966-BA49-90657361467F}"/>
            </c:ext>
          </c:extLst>
        </c:ser>
        <c:ser>
          <c:idx val="5"/>
          <c:order val="5"/>
          <c:tx>
            <c:strRef>
              <c:f>PI01a!$AD$4</c:f>
              <c:strCache>
                <c:ptCount val="1"/>
                <c:pt idx="0">
                  <c:v>40 and over</c:v>
                </c:pt>
              </c:strCache>
            </c:strRef>
          </c:tx>
          <c:spPr>
            <a:ln w="28575" cap="rnd">
              <a:solidFill>
                <a:schemeClr val="accent6"/>
              </a:solidFill>
              <a:round/>
            </a:ln>
            <a:effectLst/>
          </c:spPr>
          <c:marker>
            <c:symbol val="none"/>
          </c:marker>
          <c:cat>
            <c:strRef>
              <c:f>PI01a!$U$5:$U$13</c:f>
              <c:strCache>
                <c:ptCount val="9"/>
                <c:pt idx="0">
                  <c:v>2011</c:v>
                </c:pt>
                <c:pt idx="1">
                  <c:v>2012</c:v>
                </c:pt>
                <c:pt idx="2">
                  <c:v>2013</c:v>
                </c:pt>
                <c:pt idx="3">
                  <c:v>2014</c:v>
                </c:pt>
                <c:pt idx="4">
                  <c:v>2015</c:v>
                </c:pt>
                <c:pt idx="5">
                  <c:v>2016</c:v>
                </c:pt>
                <c:pt idx="6">
                  <c:v>2017</c:v>
                </c:pt>
                <c:pt idx="7">
                  <c:v>2018</c:v>
                </c:pt>
                <c:pt idx="8">
                  <c:v>2019</c:v>
                </c:pt>
              </c:strCache>
            </c:strRef>
          </c:cat>
          <c:val>
            <c:numRef>
              <c:f>PI01a!$AD$5:$AD$13</c:f>
              <c:numCache>
                <c:formatCode>0.0%</c:formatCode>
                <c:ptCount val="9"/>
                <c:pt idx="0">
                  <c:v>8.6999999999999994E-2</c:v>
                </c:pt>
                <c:pt idx="1">
                  <c:v>8.5000000000000006E-2</c:v>
                </c:pt>
                <c:pt idx="2">
                  <c:v>7.8E-2</c:v>
                </c:pt>
                <c:pt idx="3">
                  <c:v>7.4999999999999997E-2</c:v>
                </c:pt>
                <c:pt idx="4">
                  <c:v>6.8000000000000005E-2</c:v>
                </c:pt>
                <c:pt idx="5">
                  <c:v>6.9000000000000006E-2</c:v>
                </c:pt>
                <c:pt idx="6">
                  <c:v>6.7000000000000004E-2</c:v>
                </c:pt>
                <c:pt idx="7">
                  <c:v>6.3E-2</c:v>
                </c:pt>
                <c:pt idx="8">
                  <c:v>6.4000000000000001E-2</c:v>
                </c:pt>
              </c:numCache>
            </c:numRef>
          </c:val>
          <c:smooth val="0"/>
          <c:extLst>
            <c:ext xmlns:c16="http://schemas.microsoft.com/office/drawing/2014/chart" uri="{C3380CC4-5D6E-409C-BE32-E72D297353CC}">
              <c16:uniqueId val="{00000005-C02F-4966-BA49-90657361467F}"/>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'PI07'!$W$21</c:f>
              <c:strCache>
                <c:ptCount val="1"/>
                <c:pt idx="0">
                  <c:v>Total</c:v>
                </c:pt>
              </c:strCache>
            </c:strRef>
          </c:tx>
          <c:spPr>
            <a:ln w="28575" cap="rnd">
              <a:solidFill>
                <a:schemeClr val="accent1"/>
              </a:solidFill>
              <a:round/>
            </a:ln>
            <a:effectLst/>
          </c:spPr>
          <c:marker>
            <c:symbol val="none"/>
          </c:marker>
          <c:cat>
            <c:strRef>
              <c:f>'PI07'!$U$22:$U$30</c:f>
              <c:strCache>
                <c:ptCount val="9"/>
                <c:pt idx="0">
                  <c:v>2011</c:v>
                </c:pt>
                <c:pt idx="1">
                  <c:v>2012</c:v>
                </c:pt>
                <c:pt idx="2">
                  <c:v>2013</c:v>
                </c:pt>
                <c:pt idx="3">
                  <c:v>2014</c:v>
                </c:pt>
                <c:pt idx="4">
                  <c:v>2015</c:v>
                </c:pt>
                <c:pt idx="5">
                  <c:v>2016</c:v>
                </c:pt>
                <c:pt idx="6">
                  <c:v>2017</c:v>
                </c:pt>
                <c:pt idx="7">
                  <c:v>2018</c:v>
                </c:pt>
                <c:pt idx="8">
                  <c:v>2019</c:v>
                </c:pt>
              </c:strCache>
            </c:strRef>
          </c:cat>
          <c:val>
            <c:numRef>
              <c:f>'PI07'!$W$22:$W$30</c:f>
              <c:numCache>
                <c:formatCode>0.0%</c:formatCode>
                <c:ptCount val="9"/>
                <c:pt idx="0">
                  <c:v>0.47899999999999998</c:v>
                </c:pt>
                <c:pt idx="1">
                  <c:v>0.47899999999999998</c:v>
                </c:pt>
                <c:pt idx="2">
                  <c:v>0.47099999999999997</c:v>
                </c:pt>
                <c:pt idx="3">
                  <c:v>0.46600000000000003</c:v>
                </c:pt>
                <c:pt idx="4">
                  <c:v>0.46500000000000002</c:v>
                </c:pt>
                <c:pt idx="5">
                  <c:v>0.45500000000000002</c:v>
                </c:pt>
                <c:pt idx="6">
                  <c:v>0.44600000000000001</c:v>
                </c:pt>
                <c:pt idx="7">
                  <c:v>0.438</c:v>
                </c:pt>
                <c:pt idx="8">
                  <c:v>0.43099999999999999</c:v>
                </c:pt>
              </c:numCache>
            </c:numRef>
          </c:val>
          <c:smooth val="0"/>
          <c:extLst>
            <c:ext xmlns:c16="http://schemas.microsoft.com/office/drawing/2014/chart" uri="{C3380CC4-5D6E-409C-BE32-E72D297353CC}">
              <c16:uniqueId val="{00000000-DC48-4E59-B46D-B4AEE6BEC9B4}"/>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'PI15'!$AO$22</c:f>
              <c:strCache>
                <c:ptCount val="1"/>
                <c:pt idx="0">
                  <c:v>Private</c:v>
                </c:pt>
              </c:strCache>
            </c:strRef>
          </c:tx>
          <c:spPr>
            <a:ln w="28575" cap="rnd">
              <a:solidFill>
                <a:schemeClr val="accent1"/>
              </a:solidFill>
              <a:round/>
            </a:ln>
            <a:effectLst/>
          </c:spPr>
          <c:marker>
            <c:symbol val="none"/>
          </c:marker>
          <c:cat>
            <c:strRef>
              <c:f>'PI15'!$U$23:$U$31</c:f>
              <c:strCache>
                <c:ptCount val="9"/>
                <c:pt idx="0">
                  <c:v>2011</c:v>
                </c:pt>
                <c:pt idx="1">
                  <c:v>2012</c:v>
                </c:pt>
                <c:pt idx="2">
                  <c:v>2013</c:v>
                </c:pt>
                <c:pt idx="3">
                  <c:v>2014</c:v>
                </c:pt>
                <c:pt idx="4">
                  <c:v>2015</c:v>
                </c:pt>
                <c:pt idx="5">
                  <c:v>2016</c:v>
                </c:pt>
                <c:pt idx="6">
                  <c:v>2017</c:v>
                </c:pt>
                <c:pt idx="7">
                  <c:v>2018</c:v>
                </c:pt>
                <c:pt idx="8">
                  <c:v>2019</c:v>
                </c:pt>
              </c:strCache>
            </c:strRef>
          </c:cat>
          <c:val>
            <c:numRef>
              <c:f>'PI15'!$AO$23:$AO$31</c:f>
              <c:numCache>
                <c:formatCode>0.0%</c:formatCode>
                <c:ptCount val="9"/>
                <c:pt idx="0">
                  <c:v>7.5999999999999998E-2</c:v>
                </c:pt>
                <c:pt idx="1">
                  <c:v>7.3999999999999996E-2</c:v>
                </c:pt>
                <c:pt idx="2">
                  <c:v>7.9000000000000001E-2</c:v>
                </c:pt>
                <c:pt idx="3">
                  <c:v>6.8000000000000005E-2</c:v>
                </c:pt>
                <c:pt idx="4">
                  <c:v>6.9000000000000006E-2</c:v>
                </c:pt>
                <c:pt idx="5">
                  <c:v>6.4000000000000001E-2</c:v>
                </c:pt>
                <c:pt idx="6">
                  <c:v>5.7000000000000002E-2</c:v>
                </c:pt>
                <c:pt idx="7">
                  <c:v>5.6000000000000001E-2</c:v>
                </c:pt>
                <c:pt idx="8">
                  <c:v>5.8000000000000003E-2</c:v>
                </c:pt>
              </c:numCache>
            </c:numRef>
          </c:val>
          <c:smooth val="0"/>
          <c:extLst>
            <c:ext xmlns:c16="http://schemas.microsoft.com/office/drawing/2014/chart" uri="{C3380CC4-5D6E-409C-BE32-E72D297353CC}">
              <c16:uniqueId val="{00000000-6302-4862-BB5D-D19AA155B9F7}"/>
            </c:ext>
          </c:extLst>
        </c:ser>
        <c:ser>
          <c:idx val="1"/>
          <c:order val="1"/>
          <c:tx>
            <c:strRef>
              <c:f>'PI15'!$AP$22</c:f>
              <c:strCache>
                <c:ptCount val="1"/>
                <c:pt idx="0">
                  <c:v>Public</c:v>
                </c:pt>
              </c:strCache>
            </c:strRef>
          </c:tx>
          <c:spPr>
            <a:ln w="28575" cap="rnd">
              <a:solidFill>
                <a:schemeClr val="accent2"/>
              </a:solidFill>
              <a:round/>
            </a:ln>
            <a:effectLst/>
          </c:spPr>
          <c:marker>
            <c:symbol val="none"/>
          </c:marker>
          <c:cat>
            <c:strRef>
              <c:f>'PI15'!$U$23:$U$31</c:f>
              <c:strCache>
                <c:ptCount val="9"/>
                <c:pt idx="0">
                  <c:v>2011</c:v>
                </c:pt>
                <c:pt idx="1">
                  <c:v>2012</c:v>
                </c:pt>
                <c:pt idx="2">
                  <c:v>2013</c:v>
                </c:pt>
                <c:pt idx="3">
                  <c:v>2014</c:v>
                </c:pt>
                <c:pt idx="4">
                  <c:v>2015</c:v>
                </c:pt>
                <c:pt idx="5">
                  <c:v>2016</c:v>
                </c:pt>
                <c:pt idx="6">
                  <c:v>2017</c:v>
                </c:pt>
                <c:pt idx="7">
                  <c:v>2018</c:v>
                </c:pt>
                <c:pt idx="8">
                  <c:v>2019</c:v>
                </c:pt>
              </c:strCache>
            </c:strRef>
          </c:cat>
          <c:val>
            <c:numRef>
              <c:f>'PI15'!$AP$23:$AP$31</c:f>
              <c:numCache>
                <c:formatCode>0.0%</c:formatCode>
                <c:ptCount val="9"/>
                <c:pt idx="0">
                  <c:v>0.17</c:v>
                </c:pt>
                <c:pt idx="1">
                  <c:v>0.17</c:v>
                </c:pt>
                <c:pt idx="2">
                  <c:v>0.17100000000000001</c:v>
                </c:pt>
                <c:pt idx="3">
                  <c:v>0.16900000000000001</c:v>
                </c:pt>
                <c:pt idx="4">
                  <c:v>0.17199999999999999</c:v>
                </c:pt>
                <c:pt idx="5">
                  <c:v>0.16800000000000001</c:v>
                </c:pt>
                <c:pt idx="6">
                  <c:v>0.154</c:v>
                </c:pt>
                <c:pt idx="7">
                  <c:v>0.153</c:v>
                </c:pt>
                <c:pt idx="8">
                  <c:v>0.153</c:v>
                </c:pt>
              </c:numCache>
            </c:numRef>
          </c:val>
          <c:smooth val="0"/>
          <c:extLst>
            <c:ext xmlns:c16="http://schemas.microsoft.com/office/drawing/2014/chart" uri="{C3380CC4-5D6E-409C-BE32-E72D297353CC}">
              <c16:uniqueId val="{00000001-6302-4862-BB5D-D19AA155B9F7}"/>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88478882056216E-2"/>
          <c:y val="6.2348458607551088E-2"/>
          <c:w val="0.87735386001574245"/>
          <c:h val="0.75009777743836759"/>
        </c:manualLayout>
      </c:layout>
      <c:lineChart>
        <c:grouping val="standard"/>
        <c:varyColors val="0"/>
        <c:ser>
          <c:idx val="0"/>
          <c:order val="0"/>
          <c:tx>
            <c:strRef>
              <c:f>PI03a!$W$21</c:f>
              <c:strCache>
                <c:ptCount val="1"/>
                <c:pt idx="0">
                  <c:v>Total</c:v>
                </c:pt>
              </c:strCache>
            </c:strRef>
          </c:tx>
          <c:spPr>
            <a:ln w="28575" cap="rnd">
              <a:solidFill>
                <a:schemeClr val="accent1"/>
              </a:solidFill>
              <a:round/>
            </a:ln>
            <a:effectLst/>
          </c:spPr>
          <c:marker>
            <c:symbol val="none"/>
          </c:marker>
          <c:cat>
            <c:strRef>
              <c:f>PI03a!$U$22:$U$30</c:f>
              <c:strCache>
                <c:ptCount val="9"/>
                <c:pt idx="0">
                  <c:v>2011</c:v>
                </c:pt>
                <c:pt idx="1">
                  <c:v>2012</c:v>
                </c:pt>
                <c:pt idx="2">
                  <c:v>2013</c:v>
                </c:pt>
                <c:pt idx="3">
                  <c:v>2014</c:v>
                </c:pt>
                <c:pt idx="4">
                  <c:v>2015</c:v>
                </c:pt>
                <c:pt idx="5">
                  <c:v>2016</c:v>
                </c:pt>
                <c:pt idx="6">
                  <c:v>2017</c:v>
                </c:pt>
                <c:pt idx="7">
                  <c:v>2018</c:v>
                </c:pt>
                <c:pt idx="8">
                  <c:v>2019</c:v>
                </c:pt>
              </c:strCache>
            </c:strRef>
          </c:cat>
          <c:val>
            <c:numRef>
              <c:f>PI03a!$W$22:$W$30</c:f>
              <c:numCache>
                <c:formatCode>0.0%</c:formatCode>
                <c:ptCount val="9"/>
                <c:pt idx="0">
                  <c:v>0.16600000000000001</c:v>
                </c:pt>
                <c:pt idx="1">
                  <c:v>0.17499999999999999</c:v>
                </c:pt>
                <c:pt idx="2">
                  <c:v>0.184</c:v>
                </c:pt>
                <c:pt idx="3">
                  <c:v>0.19700000000000001</c:v>
                </c:pt>
                <c:pt idx="4">
                  <c:v>0.19700000000000001</c:v>
                </c:pt>
                <c:pt idx="5">
                  <c:v>0.20799999999999999</c:v>
                </c:pt>
                <c:pt idx="6">
                  <c:v>0.22</c:v>
                </c:pt>
                <c:pt idx="7">
                  <c:v>0.223</c:v>
                </c:pt>
                <c:pt idx="8">
                  <c:v>0.23200000000000001</c:v>
                </c:pt>
              </c:numCache>
            </c:numRef>
          </c:val>
          <c:smooth val="0"/>
          <c:extLst>
            <c:ext xmlns:c16="http://schemas.microsoft.com/office/drawing/2014/chart" uri="{C3380CC4-5D6E-409C-BE32-E72D297353CC}">
              <c16:uniqueId val="{00000000-F7F6-43BE-A775-72416B742A2C}"/>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PI03b!$W$21</c:f>
              <c:strCache>
                <c:ptCount val="1"/>
                <c:pt idx="0">
                  <c:v>Total</c:v>
                </c:pt>
              </c:strCache>
            </c:strRef>
          </c:tx>
          <c:spPr>
            <a:ln w="28575" cap="rnd">
              <a:solidFill>
                <a:schemeClr val="accent1"/>
              </a:solidFill>
              <a:round/>
            </a:ln>
            <a:effectLst/>
          </c:spPr>
          <c:marker>
            <c:symbol val="none"/>
          </c:marker>
          <c:cat>
            <c:strRef>
              <c:f>PI03b!$U$22:$U$30</c:f>
              <c:strCache>
                <c:ptCount val="9"/>
                <c:pt idx="0">
                  <c:v>2011</c:v>
                </c:pt>
                <c:pt idx="1">
                  <c:v>2012</c:v>
                </c:pt>
                <c:pt idx="2">
                  <c:v>2013</c:v>
                </c:pt>
                <c:pt idx="3">
                  <c:v>2014</c:v>
                </c:pt>
                <c:pt idx="4">
                  <c:v>2015</c:v>
                </c:pt>
                <c:pt idx="5">
                  <c:v>2016</c:v>
                </c:pt>
                <c:pt idx="6">
                  <c:v>2017</c:v>
                </c:pt>
                <c:pt idx="7">
                  <c:v>2018</c:v>
                </c:pt>
                <c:pt idx="8">
                  <c:v>2019</c:v>
                </c:pt>
              </c:strCache>
            </c:strRef>
          </c:cat>
          <c:val>
            <c:numRef>
              <c:f>PI03b!$W$22:$W$30</c:f>
              <c:numCache>
                <c:formatCode>0.0%</c:formatCode>
                <c:ptCount val="9"/>
                <c:pt idx="0">
                  <c:v>0.61899999999999999</c:v>
                </c:pt>
                <c:pt idx="1">
                  <c:v>0.66600000000000004</c:v>
                </c:pt>
                <c:pt idx="2">
                  <c:v>0.69599999999999995</c:v>
                </c:pt>
                <c:pt idx="3">
                  <c:v>0.71599999999999997</c:v>
                </c:pt>
                <c:pt idx="4">
                  <c:v>0.72699999999999998</c:v>
                </c:pt>
                <c:pt idx="5">
                  <c:v>0.73199999999999998</c:v>
                </c:pt>
                <c:pt idx="6">
                  <c:v>0.752</c:v>
                </c:pt>
                <c:pt idx="7">
                  <c:v>0.77600000000000002</c:v>
                </c:pt>
                <c:pt idx="8">
                  <c:v>0.79600000000000004</c:v>
                </c:pt>
              </c:numCache>
            </c:numRef>
          </c:val>
          <c:smooth val="0"/>
          <c:extLst>
            <c:ext xmlns:c16="http://schemas.microsoft.com/office/drawing/2014/chart" uri="{C3380CC4-5D6E-409C-BE32-E72D297353CC}">
              <c16:uniqueId val="{00000000-FA91-4767-B932-53E6AFE91808}"/>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6045160812113E-2"/>
          <c:y val="7.6498106165353089E-2"/>
          <c:w val="0.8839629606299213"/>
          <c:h val="0.65883172936716239"/>
        </c:manualLayout>
      </c:layout>
      <c:lineChart>
        <c:grouping val="standard"/>
        <c:varyColors val="0"/>
        <c:ser>
          <c:idx val="0"/>
          <c:order val="0"/>
          <c:tx>
            <c:strRef>
              <c:f>'PI09'!$Y$20</c:f>
              <c:strCache>
                <c:ptCount val="1"/>
                <c:pt idx="0">
                  <c:v>Younger than 20</c:v>
                </c:pt>
              </c:strCache>
            </c:strRef>
          </c:tx>
          <c:spPr>
            <a:ln w="28575" cap="rnd">
              <a:solidFill>
                <a:schemeClr val="accent1"/>
              </a:solidFill>
              <a:round/>
            </a:ln>
            <a:effectLst/>
          </c:spPr>
          <c:marker>
            <c:symbol val="none"/>
          </c:marker>
          <c:cat>
            <c:strRef>
              <c:f>'PI09'!$U$21:$U$29</c:f>
              <c:strCache>
                <c:ptCount val="9"/>
                <c:pt idx="0">
                  <c:v>2011</c:v>
                </c:pt>
                <c:pt idx="1">
                  <c:v>2012</c:v>
                </c:pt>
                <c:pt idx="2">
                  <c:v>2013</c:v>
                </c:pt>
                <c:pt idx="3">
                  <c:v>2014</c:v>
                </c:pt>
                <c:pt idx="4">
                  <c:v>2015</c:v>
                </c:pt>
                <c:pt idx="5">
                  <c:v>2016</c:v>
                </c:pt>
                <c:pt idx="6">
                  <c:v>2017</c:v>
                </c:pt>
                <c:pt idx="7">
                  <c:v>2018</c:v>
                </c:pt>
                <c:pt idx="8">
                  <c:v>2019</c:v>
                </c:pt>
              </c:strCache>
            </c:strRef>
          </c:cat>
          <c:val>
            <c:numRef>
              <c:f>'PI09'!$Y$21:$Y$29</c:f>
              <c:numCache>
                <c:formatCode>0.0%</c:formatCode>
                <c:ptCount val="9"/>
                <c:pt idx="0">
                  <c:v>0.16800000000000001</c:v>
                </c:pt>
                <c:pt idx="1">
                  <c:v>0.17799999999999999</c:v>
                </c:pt>
                <c:pt idx="2">
                  <c:v>0.16200000000000001</c:v>
                </c:pt>
                <c:pt idx="3">
                  <c:v>0.156</c:v>
                </c:pt>
                <c:pt idx="4">
                  <c:v>0.16200000000000001</c:v>
                </c:pt>
                <c:pt idx="5">
                  <c:v>0.151</c:v>
                </c:pt>
                <c:pt idx="6">
                  <c:v>0.161</c:v>
                </c:pt>
                <c:pt idx="7">
                  <c:v>0.152</c:v>
                </c:pt>
                <c:pt idx="8">
                  <c:v>0.151</c:v>
                </c:pt>
              </c:numCache>
            </c:numRef>
          </c:val>
          <c:smooth val="0"/>
          <c:extLst>
            <c:ext xmlns:c16="http://schemas.microsoft.com/office/drawing/2014/chart" uri="{C3380CC4-5D6E-409C-BE32-E72D297353CC}">
              <c16:uniqueId val="{00000000-4DB1-4E06-A30D-D0BE37CA6F36}"/>
            </c:ext>
          </c:extLst>
        </c:ser>
        <c:ser>
          <c:idx val="1"/>
          <c:order val="1"/>
          <c:tx>
            <c:strRef>
              <c:f>'PI09'!$Z$20</c:f>
              <c:strCache>
                <c:ptCount val="1"/>
                <c:pt idx="0">
                  <c:v>20-24</c:v>
                </c:pt>
              </c:strCache>
            </c:strRef>
          </c:tx>
          <c:spPr>
            <a:ln w="28575" cap="rnd">
              <a:solidFill>
                <a:schemeClr val="accent2"/>
              </a:solidFill>
              <a:round/>
            </a:ln>
            <a:effectLst/>
          </c:spPr>
          <c:marker>
            <c:symbol val="none"/>
          </c:marker>
          <c:cat>
            <c:strRef>
              <c:f>'PI09'!$U$21:$U$29</c:f>
              <c:strCache>
                <c:ptCount val="9"/>
                <c:pt idx="0">
                  <c:v>2011</c:v>
                </c:pt>
                <c:pt idx="1">
                  <c:v>2012</c:v>
                </c:pt>
                <c:pt idx="2">
                  <c:v>2013</c:v>
                </c:pt>
                <c:pt idx="3">
                  <c:v>2014</c:v>
                </c:pt>
                <c:pt idx="4">
                  <c:v>2015</c:v>
                </c:pt>
                <c:pt idx="5">
                  <c:v>2016</c:v>
                </c:pt>
                <c:pt idx="6">
                  <c:v>2017</c:v>
                </c:pt>
                <c:pt idx="7">
                  <c:v>2018</c:v>
                </c:pt>
                <c:pt idx="8">
                  <c:v>2019</c:v>
                </c:pt>
              </c:strCache>
            </c:strRef>
          </c:cat>
          <c:val>
            <c:numRef>
              <c:f>'PI09'!$Z$21:$Z$29</c:f>
              <c:numCache>
                <c:formatCode>0.0%</c:formatCode>
                <c:ptCount val="9"/>
                <c:pt idx="0">
                  <c:v>0.113</c:v>
                </c:pt>
                <c:pt idx="1">
                  <c:v>0.108</c:v>
                </c:pt>
                <c:pt idx="2">
                  <c:v>0.10299999999999999</c:v>
                </c:pt>
                <c:pt idx="3">
                  <c:v>0.105</c:v>
                </c:pt>
                <c:pt idx="4">
                  <c:v>0.10199999999999999</c:v>
                </c:pt>
                <c:pt idx="5">
                  <c:v>0.113</c:v>
                </c:pt>
                <c:pt idx="6">
                  <c:v>0.106</c:v>
                </c:pt>
                <c:pt idx="7">
                  <c:v>0.108</c:v>
                </c:pt>
                <c:pt idx="8">
                  <c:v>0.10299999999999999</c:v>
                </c:pt>
              </c:numCache>
            </c:numRef>
          </c:val>
          <c:smooth val="0"/>
          <c:extLst>
            <c:ext xmlns:c16="http://schemas.microsoft.com/office/drawing/2014/chart" uri="{C3380CC4-5D6E-409C-BE32-E72D297353CC}">
              <c16:uniqueId val="{00000001-4DB1-4E06-A30D-D0BE37CA6F36}"/>
            </c:ext>
          </c:extLst>
        </c:ser>
        <c:ser>
          <c:idx val="2"/>
          <c:order val="2"/>
          <c:tx>
            <c:strRef>
              <c:f>'PI09'!$AA$20</c:f>
              <c:strCache>
                <c:ptCount val="1"/>
                <c:pt idx="0">
                  <c:v>25-29</c:v>
                </c:pt>
              </c:strCache>
            </c:strRef>
          </c:tx>
          <c:spPr>
            <a:ln w="28575" cap="rnd">
              <a:solidFill>
                <a:schemeClr val="accent3"/>
              </a:solidFill>
              <a:round/>
            </a:ln>
            <a:effectLst/>
          </c:spPr>
          <c:marker>
            <c:symbol val="none"/>
          </c:marker>
          <c:cat>
            <c:strRef>
              <c:f>'PI09'!$U$21:$U$29</c:f>
              <c:strCache>
                <c:ptCount val="9"/>
                <c:pt idx="0">
                  <c:v>2011</c:v>
                </c:pt>
                <c:pt idx="1">
                  <c:v>2012</c:v>
                </c:pt>
                <c:pt idx="2">
                  <c:v>2013</c:v>
                </c:pt>
                <c:pt idx="3">
                  <c:v>2014</c:v>
                </c:pt>
                <c:pt idx="4">
                  <c:v>2015</c:v>
                </c:pt>
                <c:pt idx="5">
                  <c:v>2016</c:v>
                </c:pt>
                <c:pt idx="6">
                  <c:v>2017</c:v>
                </c:pt>
                <c:pt idx="7">
                  <c:v>2018</c:v>
                </c:pt>
                <c:pt idx="8">
                  <c:v>2019</c:v>
                </c:pt>
              </c:strCache>
            </c:strRef>
          </c:cat>
          <c:val>
            <c:numRef>
              <c:f>'PI09'!$AA$21:$AA$29</c:f>
              <c:numCache>
                <c:formatCode>0.0%</c:formatCode>
                <c:ptCount val="9"/>
                <c:pt idx="0">
                  <c:v>7.8E-2</c:v>
                </c:pt>
                <c:pt idx="1">
                  <c:v>7.2999999999999995E-2</c:v>
                </c:pt>
                <c:pt idx="2">
                  <c:v>7.0000000000000007E-2</c:v>
                </c:pt>
                <c:pt idx="3">
                  <c:v>7.0000000000000007E-2</c:v>
                </c:pt>
                <c:pt idx="4">
                  <c:v>7.0000000000000007E-2</c:v>
                </c:pt>
                <c:pt idx="5">
                  <c:v>7.1999999999999995E-2</c:v>
                </c:pt>
                <c:pt idx="6">
                  <c:v>7.1999999999999995E-2</c:v>
                </c:pt>
                <c:pt idx="7">
                  <c:v>7.0000000000000007E-2</c:v>
                </c:pt>
                <c:pt idx="8">
                  <c:v>6.4000000000000001E-2</c:v>
                </c:pt>
              </c:numCache>
            </c:numRef>
          </c:val>
          <c:smooth val="0"/>
          <c:extLst>
            <c:ext xmlns:c16="http://schemas.microsoft.com/office/drawing/2014/chart" uri="{C3380CC4-5D6E-409C-BE32-E72D297353CC}">
              <c16:uniqueId val="{00000002-4DB1-4E06-A30D-D0BE37CA6F36}"/>
            </c:ext>
          </c:extLst>
        </c:ser>
        <c:ser>
          <c:idx val="3"/>
          <c:order val="3"/>
          <c:tx>
            <c:strRef>
              <c:f>'PI09'!$AB$20</c:f>
              <c:strCache>
                <c:ptCount val="1"/>
                <c:pt idx="0">
                  <c:v>30-34</c:v>
                </c:pt>
              </c:strCache>
            </c:strRef>
          </c:tx>
          <c:spPr>
            <a:ln w="28575" cap="rnd">
              <a:solidFill>
                <a:schemeClr val="accent4"/>
              </a:solidFill>
              <a:round/>
            </a:ln>
            <a:effectLst/>
          </c:spPr>
          <c:marker>
            <c:symbol val="none"/>
          </c:marker>
          <c:cat>
            <c:strRef>
              <c:f>'PI09'!$U$21:$U$29</c:f>
              <c:strCache>
                <c:ptCount val="9"/>
                <c:pt idx="0">
                  <c:v>2011</c:v>
                </c:pt>
                <c:pt idx="1">
                  <c:v>2012</c:v>
                </c:pt>
                <c:pt idx="2">
                  <c:v>2013</c:v>
                </c:pt>
                <c:pt idx="3">
                  <c:v>2014</c:v>
                </c:pt>
                <c:pt idx="4">
                  <c:v>2015</c:v>
                </c:pt>
                <c:pt idx="5">
                  <c:v>2016</c:v>
                </c:pt>
                <c:pt idx="6">
                  <c:v>2017</c:v>
                </c:pt>
                <c:pt idx="7">
                  <c:v>2018</c:v>
                </c:pt>
                <c:pt idx="8">
                  <c:v>2019</c:v>
                </c:pt>
              </c:strCache>
            </c:strRef>
          </c:cat>
          <c:val>
            <c:numRef>
              <c:f>'PI09'!$AB$21:$AB$29</c:f>
              <c:numCache>
                <c:formatCode>0.0%</c:formatCode>
                <c:ptCount val="9"/>
                <c:pt idx="0">
                  <c:v>5.8999999999999997E-2</c:v>
                </c:pt>
                <c:pt idx="1">
                  <c:v>5.5E-2</c:v>
                </c:pt>
                <c:pt idx="2">
                  <c:v>5.2999999999999999E-2</c:v>
                </c:pt>
                <c:pt idx="3">
                  <c:v>5.3999999999999999E-2</c:v>
                </c:pt>
                <c:pt idx="4">
                  <c:v>5.2999999999999999E-2</c:v>
                </c:pt>
                <c:pt idx="5">
                  <c:v>5.2999999999999999E-2</c:v>
                </c:pt>
                <c:pt idx="6">
                  <c:v>5.0999999999999997E-2</c:v>
                </c:pt>
                <c:pt idx="7">
                  <c:v>0.05</c:v>
                </c:pt>
                <c:pt idx="8">
                  <c:v>4.4999999999999998E-2</c:v>
                </c:pt>
              </c:numCache>
            </c:numRef>
          </c:val>
          <c:smooth val="0"/>
          <c:extLst>
            <c:ext xmlns:c16="http://schemas.microsoft.com/office/drawing/2014/chart" uri="{C3380CC4-5D6E-409C-BE32-E72D297353CC}">
              <c16:uniqueId val="{00000003-4DB1-4E06-A30D-D0BE37CA6F36}"/>
            </c:ext>
          </c:extLst>
        </c:ser>
        <c:ser>
          <c:idx val="4"/>
          <c:order val="4"/>
          <c:tx>
            <c:strRef>
              <c:f>'PI09'!$AC$20</c:f>
              <c:strCache>
                <c:ptCount val="1"/>
                <c:pt idx="0">
                  <c:v>35-39</c:v>
                </c:pt>
              </c:strCache>
            </c:strRef>
          </c:tx>
          <c:spPr>
            <a:ln w="28575" cap="rnd">
              <a:solidFill>
                <a:schemeClr val="accent5"/>
              </a:solidFill>
              <a:round/>
            </a:ln>
            <a:effectLst/>
          </c:spPr>
          <c:marker>
            <c:symbol val="none"/>
          </c:marker>
          <c:cat>
            <c:strRef>
              <c:f>'PI09'!$U$21:$U$29</c:f>
              <c:strCache>
                <c:ptCount val="9"/>
                <c:pt idx="0">
                  <c:v>2011</c:v>
                </c:pt>
                <c:pt idx="1">
                  <c:v>2012</c:v>
                </c:pt>
                <c:pt idx="2">
                  <c:v>2013</c:v>
                </c:pt>
                <c:pt idx="3">
                  <c:v>2014</c:v>
                </c:pt>
                <c:pt idx="4">
                  <c:v>2015</c:v>
                </c:pt>
                <c:pt idx="5">
                  <c:v>2016</c:v>
                </c:pt>
                <c:pt idx="6">
                  <c:v>2017</c:v>
                </c:pt>
                <c:pt idx="7">
                  <c:v>2018</c:v>
                </c:pt>
                <c:pt idx="8">
                  <c:v>2019</c:v>
                </c:pt>
              </c:strCache>
            </c:strRef>
          </c:cat>
          <c:val>
            <c:numRef>
              <c:f>'PI09'!$AC$21:$AC$29</c:f>
              <c:numCache>
                <c:formatCode>0.0%</c:formatCode>
                <c:ptCount val="9"/>
                <c:pt idx="0">
                  <c:v>6.0999999999999999E-2</c:v>
                </c:pt>
                <c:pt idx="1">
                  <c:v>5.2999999999999999E-2</c:v>
                </c:pt>
                <c:pt idx="2">
                  <c:v>0.05</c:v>
                </c:pt>
                <c:pt idx="3">
                  <c:v>5.3999999999999999E-2</c:v>
                </c:pt>
                <c:pt idx="4">
                  <c:v>5.0999999999999997E-2</c:v>
                </c:pt>
                <c:pt idx="5">
                  <c:v>0.05</c:v>
                </c:pt>
                <c:pt idx="6">
                  <c:v>0.05</c:v>
                </c:pt>
                <c:pt idx="7">
                  <c:v>4.7E-2</c:v>
                </c:pt>
                <c:pt idx="8">
                  <c:v>4.4999999999999998E-2</c:v>
                </c:pt>
              </c:numCache>
            </c:numRef>
          </c:val>
          <c:smooth val="0"/>
          <c:extLst>
            <c:ext xmlns:c16="http://schemas.microsoft.com/office/drawing/2014/chart" uri="{C3380CC4-5D6E-409C-BE32-E72D297353CC}">
              <c16:uniqueId val="{00000004-4DB1-4E06-A30D-D0BE37CA6F36}"/>
            </c:ext>
          </c:extLst>
        </c:ser>
        <c:ser>
          <c:idx val="5"/>
          <c:order val="5"/>
          <c:tx>
            <c:strRef>
              <c:f>'PI09'!$AD$20</c:f>
              <c:strCache>
                <c:ptCount val="1"/>
                <c:pt idx="0">
                  <c:v>40 and over</c:v>
                </c:pt>
              </c:strCache>
            </c:strRef>
          </c:tx>
          <c:spPr>
            <a:ln w="28575" cap="rnd">
              <a:solidFill>
                <a:schemeClr val="accent6"/>
              </a:solidFill>
              <a:round/>
            </a:ln>
            <a:effectLst/>
          </c:spPr>
          <c:marker>
            <c:symbol val="none"/>
          </c:marker>
          <c:cat>
            <c:strRef>
              <c:f>'PI09'!$U$21:$U$29</c:f>
              <c:strCache>
                <c:ptCount val="9"/>
                <c:pt idx="0">
                  <c:v>2011</c:v>
                </c:pt>
                <c:pt idx="1">
                  <c:v>2012</c:v>
                </c:pt>
                <c:pt idx="2">
                  <c:v>2013</c:v>
                </c:pt>
                <c:pt idx="3">
                  <c:v>2014</c:v>
                </c:pt>
                <c:pt idx="4">
                  <c:v>2015</c:v>
                </c:pt>
                <c:pt idx="5">
                  <c:v>2016</c:v>
                </c:pt>
                <c:pt idx="6">
                  <c:v>2017</c:v>
                </c:pt>
                <c:pt idx="7">
                  <c:v>2018</c:v>
                </c:pt>
                <c:pt idx="8">
                  <c:v>2019</c:v>
                </c:pt>
              </c:strCache>
            </c:strRef>
          </c:cat>
          <c:val>
            <c:numRef>
              <c:f>'PI09'!$AD$21:$AD$29</c:f>
              <c:numCache>
                <c:formatCode>0.0%</c:formatCode>
                <c:ptCount val="9"/>
                <c:pt idx="0">
                  <c:v>6.3E-2</c:v>
                </c:pt>
                <c:pt idx="1">
                  <c:v>6.6000000000000003E-2</c:v>
                </c:pt>
                <c:pt idx="2">
                  <c:v>5.5E-2</c:v>
                </c:pt>
                <c:pt idx="3">
                  <c:v>6.2E-2</c:v>
                </c:pt>
                <c:pt idx="4">
                  <c:v>5.0999999999999997E-2</c:v>
                </c:pt>
                <c:pt idx="5">
                  <c:v>5.8000000000000003E-2</c:v>
                </c:pt>
                <c:pt idx="6">
                  <c:v>4.5999999999999999E-2</c:v>
                </c:pt>
                <c:pt idx="7">
                  <c:v>4.9000000000000002E-2</c:v>
                </c:pt>
                <c:pt idx="8">
                  <c:v>4.9000000000000002E-2</c:v>
                </c:pt>
              </c:numCache>
            </c:numRef>
          </c:val>
          <c:smooth val="0"/>
          <c:extLst>
            <c:ext xmlns:c16="http://schemas.microsoft.com/office/drawing/2014/chart" uri="{C3380CC4-5D6E-409C-BE32-E72D297353CC}">
              <c16:uniqueId val="{00000005-4DB1-4E06-A30D-D0BE37CA6F36}"/>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'PI04'!$AF$18</c:f>
              <c:strCache>
                <c:ptCount val="1"/>
                <c:pt idx="0">
                  <c:v>Indigenous</c:v>
                </c:pt>
              </c:strCache>
            </c:strRef>
          </c:tx>
          <c:spPr>
            <a:ln w="28575" cap="rnd">
              <a:solidFill>
                <a:schemeClr val="accent1"/>
              </a:solidFill>
              <a:round/>
            </a:ln>
            <a:effectLst/>
          </c:spPr>
          <c:marker>
            <c:symbol val="none"/>
          </c:marker>
          <c:cat>
            <c:strRef>
              <c:f>'PI04'!$U$19:$U$27</c:f>
              <c:strCache>
                <c:ptCount val="9"/>
                <c:pt idx="0">
                  <c:v>2011</c:v>
                </c:pt>
                <c:pt idx="1">
                  <c:v>2012</c:v>
                </c:pt>
                <c:pt idx="2">
                  <c:v>2013</c:v>
                </c:pt>
                <c:pt idx="3">
                  <c:v>2014</c:v>
                </c:pt>
                <c:pt idx="4">
                  <c:v>2015</c:v>
                </c:pt>
                <c:pt idx="5">
                  <c:v>2016</c:v>
                </c:pt>
                <c:pt idx="6">
                  <c:v>2017</c:v>
                </c:pt>
                <c:pt idx="7">
                  <c:v>2018</c:v>
                </c:pt>
                <c:pt idx="8">
                  <c:v>2019</c:v>
                </c:pt>
              </c:strCache>
            </c:strRef>
          </c:cat>
          <c:val>
            <c:numRef>
              <c:f>'PI04'!$AF$19:$AF$27</c:f>
              <c:numCache>
                <c:formatCode>0.0%</c:formatCode>
                <c:ptCount val="9"/>
                <c:pt idx="0">
                  <c:v>1.7000000000000001E-2</c:v>
                </c:pt>
                <c:pt idx="1">
                  <c:v>1.6E-2</c:v>
                </c:pt>
                <c:pt idx="2">
                  <c:v>1.4999999999999999E-2</c:v>
                </c:pt>
                <c:pt idx="3">
                  <c:v>1.9E-2</c:v>
                </c:pt>
                <c:pt idx="4">
                  <c:v>2.1999999999999999E-2</c:v>
                </c:pt>
                <c:pt idx="5">
                  <c:v>2.1000000000000001E-2</c:v>
                </c:pt>
                <c:pt idx="6">
                  <c:v>1.7999999999999999E-2</c:v>
                </c:pt>
                <c:pt idx="7">
                  <c:v>0.02</c:v>
                </c:pt>
                <c:pt idx="8">
                  <c:v>1.9E-2</c:v>
                </c:pt>
              </c:numCache>
            </c:numRef>
          </c:val>
          <c:smooth val="0"/>
          <c:extLst>
            <c:ext xmlns:c16="http://schemas.microsoft.com/office/drawing/2014/chart" uri="{C3380CC4-5D6E-409C-BE32-E72D297353CC}">
              <c16:uniqueId val="{00000000-9063-4732-B409-A111F29CA87A}"/>
            </c:ext>
          </c:extLst>
        </c:ser>
        <c:ser>
          <c:idx val="1"/>
          <c:order val="1"/>
          <c:tx>
            <c:strRef>
              <c:f>'PI04'!$AG$18</c:f>
              <c:strCache>
                <c:ptCount val="1"/>
                <c:pt idx="0">
                  <c:v>Non-Indigenous</c:v>
                </c:pt>
              </c:strCache>
            </c:strRef>
          </c:tx>
          <c:spPr>
            <a:ln w="28575" cap="rnd">
              <a:solidFill>
                <a:schemeClr val="accent2"/>
              </a:solidFill>
              <a:round/>
            </a:ln>
            <a:effectLst/>
          </c:spPr>
          <c:marker>
            <c:symbol val="none"/>
          </c:marker>
          <c:cat>
            <c:strRef>
              <c:f>'PI04'!$U$19:$U$27</c:f>
              <c:strCache>
                <c:ptCount val="9"/>
                <c:pt idx="0">
                  <c:v>2011</c:v>
                </c:pt>
                <c:pt idx="1">
                  <c:v>2012</c:v>
                </c:pt>
                <c:pt idx="2">
                  <c:v>2013</c:v>
                </c:pt>
                <c:pt idx="3">
                  <c:v>2014</c:v>
                </c:pt>
                <c:pt idx="4">
                  <c:v>2015</c:v>
                </c:pt>
                <c:pt idx="5">
                  <c:v>2016</c:v>
                </c:pt>
                <c:pt idx="6">
                  <c:v>2017</c:v>
                </c:pt>
                <c:pt idx="7">
                  <c:v>2018</c:v>
                </c:pt>
                <c:pt idx="8">
                  <c:v>2019</c:v>
                </c:pt>
              </c:strCache>
            </c:strRef>
          </c:cat>
          <c:val>
            <c:numRef>
              <c:f>'PI04'!$AG$19:$AG$27</c:f>
              <c:numCache>
                <c:formatCode>0.0%</c:formatCode>
                <c:ptCount val="9"/>
                <c:pt idx="0">
                  <c:v>1.2E-2</c:v>
                </c:pt>
                <c:pt idx="1">
                  <c:v>1.4E-2</c:v>
                </c:pt>
                <c:pt idx="2">
                  <c:v>1.4E-2</c:v>
                </c:pt>
                <c:pt idx="3">
                  <c:v>1.4999999999999999E-2</c:v>
                </c:pt>
                <c:pt idx="4">
                  <c:v>1.4999999999999999E-2</c:v>
                </c:pt>
                <c:pt idx="5">
                  <c:v>1.4999999999999999E-2</c:v>
                </c:pt>
                <c:pt idx="6">
                  <c:v>1.4E-2</c:v>
                </c:pt>
                <c:pt idx="7">
                  <c:v>1.4E-2</c:v>
                </c:pt>
                <c:pt idx="8">
                  <c:v>1.4999999999999999E-2</c:v>
                </c:pt>
              </c:numCache>
            </c:numRef>
          </c:val>
          <c:smooth val="0"/>
          <c:extLst>
            <c:ext xmlns:c16="http://schemas.microsoft.com/office/drawing/2014/chart" uri="{C3380CC4-5D6E-409C-BE32-E72D297353CC}">
              <c16:uniqueId val="{00000001-9063-4732-B409-A111F29CA87A}"/>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'PI10'!$W$19</c:f>
              <c:strCache>
                <c:ptCount val="1"/>
                <c:pt idx="0">
                  <c:v>Total</c:v>
                </c:pt>
              </c:strCache>
            </c:strRef>
          </c:tx>
          <c:spPr>
            <a:ln w="28575" cap="rnd">
              <a:solidFill>
                <a:schemeClr val="accent1"/>
              </a:solidFill>
              <a:round/>
            </a:ln>
            <a:effectLst/>
          </c:spPr>
          <c:marker>
            <c:symbol val="none"/>
          </c:marker>
          <c:cat>
            <c:strRef>
              <c:f>'PI10'!$U$20:$U$28</c:f>
              <c:strCache>
                <c:ptCount val="9"/>
                <c:pt idx="0">
                  <c:v>2011</c:v>
                </c:pt>
                <c:pt idx="1">
                  <c:v>2012</c:v>
                </c:pt>
                <c:pt idx="2">
                  <c:v>2013</c:v>
                </c:pt>
                <c:pt idx="3">
                  <c:v>2014</c:v>
                </c:pt>
                <c:pt idx="4">
                  <c:v>2015</c:v>
                </c:pt>
                <c:pt idx="5">
                  <c:v>2016</c:v>
                </c:pt>
                <c:pt idx="6">
                  <c:v>2017</c:v>
                </c:pt>
                <c:pt idx="7">
                  <c:v>2018</c:v>
                </c:pt>
                <c:pt idx="8">
                  <c:v>2019</c:v>
                </c:pt>
              </c:strCache>
            </c:strRef>
          </c:cat>
          <c:val>
            <c:numRef>
              <c:f>'PI10'!$W$20:$W$28</c:f>
              <c:numCache>
                <c:formatCode>0.0%</c:formatCode>
                <c:ptCount val="9"/>
                <c:pt idx="0">
                  <c:v>1.7000000000000001E-2</c:v>
                </c:pt>
                <c:pt idx="1">
                  <c:v>1.6E-2</c:v>
                </c:pt>
                <c:pt idx="2">
                  <c:v>1.6E-2</c:v>
                </c:pt>
                <c:pt idx="3">
                  <c:v>1.4999999999999999E-2</c:v>
                </c:pt>
                <c:pt idx="4">
                  <c:v>1.4E-2</c:v>
                </c:pt>
                <c:pt idx="5">
                  <c:v>1.4E-2</c:v>
                </c:pt>
                <c:pt idx="6">
                  <c:v>1.2999999999999999E-2</c:v>
                </c:pt>
                <c:pt idx="7">
                  <c:v>1.2999999999999999E-2</c:v>
                </c:pt>
                <c:pt idx="8">
                  <c:v>1.2E-2</c:v>
                </c:pt>
              </c:numCache>
            </c:numRef>
          </c:val>
          <c:smooth val="0"/>
          <c:extLst>
            <c:ext xmlns:c16="http://schemas.microsoft.com/office/drawing/2014/chart" uri="{C3380CC4-5D6E-409C-BE32-E72D297353CC}">
              <c16:uniqueId val="{00000000-B7BF-4B43-87C9-3BF82B7416B8}"/>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majorUnit val="5.000000000000001E-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PI13a!$AD$19</c:f>
              <c:strCache>
                <c:ptCount val="1"/>
                <c:pt idx="0">
                  <c:v>Indigenous</c:v>
                </c:pt>
              </c:strCache>
            </c:strRef>
          </c:tx>
          <c:spPr>
            <a:ln w="28575" cap="rnd">
              <a:solidFill>
                <a:schemeClr val="accent1"/>
              </a:solidFill>
              <a:round/>
            </a:ln>
            <a:effectLst/>
          </c:spPr>
          <c:marker>
            <c:symbol val="none"/>
          </c:marker>
          <c:cat>
            <c:strRef>
              <c:f>PI13a!$S$20:$S$26</c:f>
              <c:strCache>
                <c:ptCount val="7"/>
                <c:pt idx="0">
                  <c:v>2013</c:v>
                </c:pt>
                <c:pt idx="1">
                  <c:v>2014</c:v>
                </c:pt>
                <c:pt idx="2">
                  <c:v>2015</c:v>
                </c:pt>
                <c:pt idx="3">
                  <c:v>2016</c:v>
                </c:pt>
                <c:pt idx="4">
                  <c:v>2017</c:v>
                </c:pt>
                <c:pt idx="5">
                  <c:v>2018</c:v>
                </c:pt>
                <c:pt idx="6">
                  <c:v>2019</c:v>
                </c:pt>
              </c:strCache>
            </c:strRef>
          </c:cat>
          <c:val>
            <c:numRef>
              <c:f>PI13a!$AD$20:$AD$26</c:f>
              <c:numCache>
                <c:formatCode>0.0%</c:formatCode>
                <c:ptCount val="7"/>
                <c:pt idx="0">
                  <c:v>4.5999999999999999E-2</c:v>
                </c:pt>
                <c:pt idx="1">
                  <c:v>4.9000000000000002E-2</c:v>
                </c:pt>
                <c:pt idx="2">
                  <c:v>3.2000000000000001E-2</c:v>
                </c:pt>
                <c:pt idx="3">
                  <c:v>4.2999999999999997E-2</c:v>
                </c:pt>
                <c:pt idx="4">
                  <c:v>4.3999999999999997E-2</c:v>
                </c:pt>
                <c:pt idx="5">
                  <c:v>4.8000000000000001E-2</c:v>
                </c:pt>
                <c:pt idx="6">
                  <c:v>5.0999999999999997E-2</c:v>
                </c:pt>
              </c:numCache>
            </c:numRef>
          </c:val>
          <c:smooth val="0"/>
          <c:extLst>
            <c:ext xmlns:c16="http://schemas.microsoft.com/office/drawing/2014/chart" uri="{C3380CC4-5D6E-409C-BE32-E72D297353CC}">
              <c16:uniqueId val="{00000000-8D9D-4EE0-B6D2-339E90D9460E}"/>
            </c:ext>
          </c:extLst>
        </c:ser>
        <c:ser>
          <c:idx val="1"/>
          <c:order val="1"/>
          <c:tx>
            <c:strRef>
              <c:f>PI13a!$AE$19</c:f>
              <c:strCache>
                <c:ptCount val="1"/>
                <c:pt idx="0">
                  <c:v>Non-Indigenous</c:v>
                </c:pt>
              </c:strCache>
            </c:strRef>
          </c:tx>
          <c:spPr>
            <a:ln w="28575" cap="rnd">
              <a:solidFill>
                <a:schemeClr val="accent2"/>
              </a:solidFill>
              <a:round/>
            </a:ln>
            <a:effectLst/>
          </c:spPr>
          <c:marker>
            <c:symbol val="none"/>
          </c:marker>
          <c:cat>
            <c:strRef>
              <c:f>PI13a!$S$20:$S$26</c:f>
              <c:strCache>
                <c:ptCount val="7"/>
                <c:pt idx="0">
                  <c:v>2013</c:v>
                </c:pt>
                <c:pt idx="1">
                  <c:v>2014</c:v>
                </c:pt>
                <c:pt idx="2">
                  <c:v>2015</c:v>
                </c:pt>
                <c:pt idx="3">
                  <c:v>2016</c:v>
                </c:pt>
                <c:pt idx="4">
                  <c:v>2017</c:v>
                </c:pt>
                <c:pt idx="5">
                  <c:v>2018</c:v>
                </c:pt>
                <c:pt idx="6">
                  <c:v>2019</c:v>
                </c:pt>
              </c:strCache>
            </c:strRef>
          </c:cat>
          <c:val>
            <c:numRef>
              <c:f>PI13a!$AE$20:$AE$26</c:f>
              <c:numCache>
                <c:formatCode>0.0%</c:formatCode>
                <c:ptCount val="7"/>
                <c:pt idx="0">
                  <c:v>4.4999999999999998E-2</c:v>
                </c:pt>
                <c:pt idx="1">
                  <c:v>4.7E-2</c:v>
                </c:pt>
                <c:pt idx="2">
                  <c:v>4.7E-2</c:v>
                </c:pt>
                <c:pt idx="3">
                  <c:v>4.4999999999999998E-2</c:v>
                </c:pt>
                <c:pt idx="4">
                  <c:v>4.3999999999999997E-2</c:v>
                </c:pt>
                <c:pt idx="5">
                  <c:v>4.2000000000000003E-2</c:v>
                </c:pt>
                <c:pt idx="6">
                  <c:v>4.2000000000000003E-2</c:v>
                </c:pt>
              </c:numCache>
            </c:numRef>
          </c:val>
          <c:smooth val="0"/>
          <c:extLst>
            <c:ext xmlns:c16="http://schemas.microsoft.com/office/drawing/2014/chart" uri="{C3380CC4-5D6E-409C-BE32-E72D297353CC}">
              <c16:uniqueId val="{00000001-8D9D-4EE0-B6D2-339E90D9460E}"/>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'Length of postnatal stay'!$R$4</c:f>
              <c:strCache>
                <c:ptCount val="1"/>
                <c:pt idx="0">
                  <c:v>   Less than 2 days</c:v>
                </c:pt>
              </c:strCache>
            </c:strRef>
          </c:tx>
          <c:spPr>
            <a:ln w="28575" cap="rnd">
              <a:solidFill>
                <a:schemeClr val="accent1"/>
              </a:solidFill>
              <a:round/>
            </a:ln>
            <a:effectLst/>
          </c:spPr>
          <c:marker>
            <c:symbol val="none"/>
          </c:marker>
          <c:cat>
            <c:numRef>
              <c:f>'Length of postnatal stay'!$Q$5:$Q$14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'Length of postnatal stay'!$V$5:$V$14</c:f>
              <c:numCache>
                <c:formatCode>0.00</c:formatCode>
                <c:ptCount val="10"/>
                <c:pt idx="0">
                  <c:v>0.16300000000000001</c:v>
                </c:pt>
                <c:pt idx="1">
                  <c:v>0.17199999999999999</c:v>
                </c:pt>
                <c:pt idx="2">
                  <c:v>0.18</c:v>
                </c:pt>
                <c:pt idx="3">
                  <c:v>0.19600000000000001</c:v>
                </c:pt>
                <c:pt idx="4">
                  <c:v>0.20499999999999999</c:v>
                </c:pt>
                <c:pt idx="5">
                  <c:v>0.20699999999999999</c:v>
                </c:pt>
                <c:pt idx="6">
                  <c:v>0.214</c:v>
                </c:pt>
                <c:pt idx="7">
                  <c:v>0.21100000000000002</c:v>
                </c:pt>
                <c:pt idx="8">
                  <c:v>0.215</c:v>
                </c:pt>
                <c:pt idx="9">
                  <c:v>0.217</c:v>
                </c:pt>
              </c:numCache>
            </c:numRef>
          </c:val>
          <c:smooth val="0"/>
          <c:extLst>
            <c:ext xmlns:c16="http://schemas.microsoft.com/office/drawing/2014/chart" uri="{C3380CC4-5D6E-409C-BE32-E72D297353CC}">
              <c16:uniqueId val="{00000000-6C15-4F8E-AADE-DCE8D58AE289}"/>
            </c:ext>
          </c:extLst>
        </c:ser>
        <c:ser>
          <c:idx val="1"/>
          <c:order val="1"/>
          <c:tx>
            <c:strRef>
              <c:f>'Length of postnatal stay'!$S$4</c:f>
              <c:strCache>
                <c:ptCount val="1"/>
                <c:pt idx="0">
                  <c:v>   2-4 days</c:v>
                </c:pt>
              </c:strCache>
            </c:strRef>
          </c:tx>
          <c:spPr>
            <a:ln w="28575" cap="rnd">
              <a:solidFill>
                <a:schemeClr val="accent2"/>
              </a:solidFill>
              <a:round/>
            </a:ln>
            <a:effectLst/>
          </c:spPr>
          <c:marker>
            <c:symbol val="none"/>
          </c:marker>
          <c:cat>
            <c:numRef>
              <c:f>'Length of postnatal stay'!$Q$5:$Q$14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'Length of postnatal stay'!$W$5:$W$14</c:f>
              <c:numCache>
                <c:formatCode>0.00</c:formatCode>
                <c:ptCount val="10"/>
                <c:pt idx="0">
                  <c:v>0.66299999999999992</c:v>
                </c:pt>
                <c:pt idx="1">
                  <c:v>0.65900000000000003</c:v>
                </c:pt>
                <c:pt idx="2">
                  <c:v>0.65400000000000003</c:v>
                </c:pt>
                <c:pt idx="3">
                  <c:v>0.65</c:v>
                </c:pt>
                <c:pt idx="4">
                  <c:v>0.64900000000000002</c:v>
                </c:pt>
                <c:pt idx="5">
                  <c:v>0.64900000000000002</c:v>
                </c:pt>
                <c:pt idx="6">
                  <c:v>0.64700000000000002</c:v>
                </c:pt>
                <c:pt idx="7">
                  <c:v>0.65099999999999991</c:v>
                </c:pt>
                <c:pt idx="8">
                  <c:v>0.65300000000000002</c:v>
                </c:pt>
                <c:pt idx="9">
                  <c:v>0.65500000000000003</c:v>
                </c:pt>
              </c:numCache>
            </c:numRef>
          </c:val>
          <c:smooth val="0"/>
          <c:extLst>
            <c:ext xmlns:c16="http://schemas.microsoft.com/office/drawing/2014/chart" uri="{C3380CC4-5D6E-409C-BE32-E72D297353CC}">
              <c16:uniqueId val="{00000001-6C15-4F8E-AADE-DCE8D58AE289}"/>
            </c:ext>
          </c:extLst>
        </c:ser>
        <c:ser>
          <c:idx val="2"/>
          <c:order val="2"/>
          <c:tx>
            <c:strRef>
              <c:f>'Length of postnatal stay'!$T$4</c:f>
              <c:strCache>
                <c:ptCount val="1"/>
                <c:pt idx="0">
                  <c:v>   5 or more days</c:v>
                </c:pt>
              </c:strCache>
            </c:strRef>
          </c:tx>
          <c:spPr>
            <a:ln w="28575" cap="rnd">
              <a:solidFill>
                <a:schemeClr val="accent3"/>
              </a:solidFill>
              <a:round/>
            </a:ln>
            <a:effectLst/>
          </c:spPr>
          <c:marker>
            <c:symbol val="none"/>
          </c:marker>
          <c:cat>
            <c:numRef>
              <c:f>'Length of postnatal stay'!$Q$5:$Q$14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'Length of postnatal stay'!$X$5:$X$14</c:f>
              <c:numCache>
                <c:formatCode>0.00</c:formatCode>
                <c:ptCount val="10"/>
                <c:pt idx="0">
                  <c:v>0.17399999999999999</c:v>
                </c:pt>
                <c:pt idx="1">
                  <c:v>0.16899999999999998</c:v>
                </c:pt>
                <c:pt idx="2">
                  <c:v>0.16500000000000001</c:v>
                </c:pt>
                <c:pt idx="3">
                  <c:v>0.154</c:v>
                </c:pt>
                <c:pt idx="4">
                  <c:v>0.14499999999999999</c:v>
                </c:pt>
                <c:pt idx="5">
                  <c:v>0.14300000000000002</c:v>
                </c:pt>
                <c:pt idx="6">
                  <c:v>0.13800000000000001</c:v>
                </c:pt>
                <c:pt idx="7">
                  <c:v>0.13699999999999998</c:v>
                </c:pt>
                <c:pt idx="8">
                  <c:v>0.13200000000000001</c:v>
                </c:pt>
                <c:pt idx="9">
                  <c:v>0.127</c:v>
                </c:pt>
              </c:numCache>
            </c:numRef>
          </c:val>
          <c:smooth val="0"/>
          <c:extLst>
            <c:ext xmlns:c16="http://schemas.microsoft.com/office/drawing/2014/chart" uri="{C3380CC4-5D6E-409C-BE32-E72D297353CC}">
              <c16:uniqueId val="{00000002-6C15-4F8E-AADE-DCE8D58AE289}"/>
            </c:ext>
          </c:extLst>
        </c:ser>
        <c:dLbls>
          <c:showLegendKey val="0"/>
          <c:showVal val="0"/>
          <c:showCatName val="0"/>
          <c:showSerName val="0"/>
          <c:showPercent val="0"/>
          <c:showBubbleSize val="0"/>
        </c:dLbls>
        <c:smooth val="0"/>
        <c:axId val="286086543"/>
        <c:axId val="286089455"/>
      </c:lineChart>
      <c:catAx>
        <c:axId val="28608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089455"/>
        <c:crosses val="autoZero"/>
        <c:auto val="1"/>
        <c:lblAlgn val="ctr"/>
        <c:lblOffset val="100"/>
        <c:noMultiLvlLbl val="0"/>
      </c:catAx>
      <c:valAx>
        <c:axId val="2860894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08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'Deaths trend'!$D$15</c:f>
              <c:strCache>
                <c:ptCount val="1"/>
                <c:pt idx="0">
                  <c:v>Perinatal deaths</c:v>
                </c:pt>
              </c:strCache>
            </c:strRef>
          </c:tx>
          <c:spPr>
            <a:ln w="28575" cap="rnd">
              <a:solidFill>
                <a:schemeClr val="accent1"/>
              </a:solidFill>
              <a:round/>
            </a:ln>
            <a:effectLst/>
          </c:spPr>
          <c:marker>
            <c:symbol val="none"/>
          </c:marker>
          <c:cat>
            <c:numRef>
              <c:f>'Deaths trend'!$C$16:$C$35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'Deaths trend'!$D$16:$D$35</c:f>
              <c:numCache>
                <c:formatCode>0.0</c:formatCode>
                <c:ptCount val="20"/>
                <c:pt idx="0">
                  <c:v>10.1</c:v>
                </c:pt>
                <c:pt idx="1">
                  <c:v>10.199999999999999</c:v>
                </c:pt>
                <c:pt idx="2">
                  <c:v>9.8000000000000007</c:v>
                </c:pt>
                <c:pt idx="3">
                  <c:v>10.199999999999999</c:v>
                </c:pt>
                <c:pt idx="4">
                  <c:v>10.5</c:v>
                </c:pt>
                <c:pt idx="5">
                  <c:v>10.5</c:v>
                </c:pt>
                <c:pt idx="6">
                  <c:v>10.4</c:v>
                </c:pt>
                <c:pt idx="7">
                  <c:v>10.3</c:v>
                </c:pt>
                <c:pt idx="8">
                  <c:v>10.199999999999999</c:v>
                </c:pt>
                <c:pt idx="9">
                  <c:v>9.8000000000000007</c:v>
                </c:pt>
                <c:pt idx="10">
                  <c:v>10.199999999999999</c:v>
                </c:pt>
                <c:pt idx="11">
                  <c:v>10.199999999999999</c:v>
                </c:pt>
                <c:pt idx="12">
                  <c:v>9.6</c:v>
                </c:pt>
                <c:pt idx="13">
                  <c:v>9.6999999999999993</c:v>
                </c:pt>
                <c:pt idx="14">
                  <c:v>9.6999999999999993</c:v>
                </c:pt>
                <c:pt idx="15">
                  <c:v>9.1999999999999993</c:v>
                </c:pt>
                <c:pt idx="16">
                  <c:v>9.1</c:v>
                </c:pt>
                <c:pt idx="17">
                  <c:v>9.6999999999999993</c:v>
                </c:pt>
                <c:pt idx="18">
                  <c:v>9.4</c:v>
                </c:pt>
                <c:pt idx="19">
                  <c:v>9.6</c:v>
                </c:pt>
              </c:numCache>
            </c:numRef>
          </c:val>
          <c:smooth val="0"/>
          <c:extLst>
            <c:ext xmlns:c16="http://schemas.microsoft.com/office/drawing/2014/chart" uri="{C3380CC4-5D6E-409C-BE32-E72D297353CC}">
              <c16:uniqueId val="{00000000-382E-4C37-A039-A0107EC867D6}"/>
            </c:ext>
          </c:extLst>
        </c:ser>
        <c:ser>
          <c:idx val="1"/>
          <c:order val="1"/>
          <c:tx>
            <c:strRef>
              <c:f>'Deaths trend'!$E$15</c:f>
              <c:strCache>
                <c:ptCount val="1"/>
                <c:pt idx="0">
                  <c:v>Stillbirths</c:v>
                </c:pt>
              </c:strCache>
            </c:strRef>
          </c:tx>
          <c:spPr>
            <a:ln w="28575" cap="rnd">
              <a:solidFill>
                <a:schemeClr val="accent2"/>
              </a:solidFill>
              <a:round/>
            </a:ln>
            <a:effectLst/>
          </c:spPr>
          <c:marker>
            <c:symbol val="none"/>
          </c:marker>
          <c:cat>
            <c:numRef>
              <c:f>'Deaths trend'!$C$16:$C$35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'Deaths trend'!$E$16:$E$35</c:f>
              <c:numCache>
                <c:formatCode>0.0</c:formatCode>
                <c:ptCount val="20"/>
                <c:pt idx="0">
                  <c:v>7.2</c:v>
                </c:pt>
                <c:pt idx="1">
                  <c:v>6.9</c:v>
                </c:pt>
                <c:pt idx="2">
                  <c:v>6.7</c:v>
                </c:pt>
                <c:pt idx="3">
                  <c:v>7.1</c:v>
                </c:pt>
                <c:pt idx="4">
                  <c:v>7.5</c:v>
                </c:pt>
                <c:pt idx="5">
                  <c:v>7.3</c:v>
                </c:pt>
                <c:pt idx="6">
                  <c:v>7.4</c:v>
                </c:pt>
                <c:pt idx="7">
                  <c:v>7.4</c:v>
                </c:pt>
                <c:pt idx="8">
                  <c:v>7.4</c:v>
                </c:pt>
                <c:pt idx="9">
                  <c:v>6.9</c:v>
                </c:pt>
                <c:pt idx="10">
                  <c:v>7.3</c:v>
                </c:pt>
                <c:pt idx="11">
                  <c:v>7.4</c:v>
                </c:pt>
                <c:pt idx="12">
                  <c:v>7.2</c:v>
                </c:pt>
                <c:pt idx="13">
                  <c:v>7.1</c:v>
                </c:pt>
                <c:pt idx="14">
                  <c:v>7.1</c:v>
                </c:pt>
                <c:pt idx="15">
                  <c:v>7</c:v>
                </c:pt>
                <c:pt idx="16">
                  <c:v>6.7</c:v>
                </c:pt>
                <c:pt idx="17">
                  <c:v>7.1</c:v>
                </c:pt>
                <c:pt idx="18">
                  <c:v>7</c:v>
                </c:pt>
                <c:pt idx="19">
                  <c:v>7.2</c:v>
                </c:pt>
              </c:numCache>
            </c:numRef>
          </c:val>
          <c:smooth val="0"/>
          <c:extLst>
            <c:ext xmlns:c16="http://schemas.microsoft.com/office/drawing/2014/chart" uri="{C3380CC4-5D6E-409C-BE32-E72D297353CC}">
              <c16:uniqueId val="{00000001-382E-4C37-A039-A0107EC867D6}"/>
            </c:ext>
          </c:extLst>
        </c:ser>
        <c:ser>
          <c:idx val="2"/>
          <c:order val="2"/>
          <c:tx>
            <c:strRef>
              <c:f>'Deaths trend'!$F$15</c:f>
              <c:strCache>
                <c:ptCount val="1"/>
                <c:pt idx="0">
                  <c:v>Neonatal deaths</c:v>
                </c:pt>
              </c:strCache>
            </c:strRef>
          </c:tx>
          <c:spPr>
            <a:ln w="28575" cap="rnd">
              <a:solidFill>
                <a:schemeClr val="accent3"/>
              </a:solidFill>
              <a:round/>
            </a:ln>
            <a:effectLst/>
          </c:spPr>
          <c:marker>
            <c:symbol val="none"/>
          </c:marker>
          <c:cat>
            <c:numRef>
              <c:f>'Deaths trend'!$C$16:$C$35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'Deaths trend'!$F$16:$F$35</c:f>
              <c:numCache>
                <c:formatCode>0.0</c:formatCode>
                <c:ptCount val="20"/>
                <c:pt idx="0">
                  <c:v>2.9</c:v>
                </c:pt>
                <c:pt idx="1">
                  <c:v>3.3</c:v>
                </c:pt>
                <c:pt idx="2">
                  <c:v>3.1</c:v>
                </c:pt>
                <c:pt idx="3">
                  <c:v>3.1</c:v>
                </c:pt>
                <c:pt idx="4">
                  <c:v>3.1</c:v>
                </c:pt>
                <c:pt idx="5">
                  <c:v>3.2</c:v>
                </c:pt>
                <c:pt idx="6">
                  <c:v>3</c:v>
                </c:pt>
                <c:pt idx="7">
                  <c:v>2.9</c:v>
                </c:pt>
                <c:pt idx="8">
                  <c:v>2.8</c:v>
                </c:pt>
                <c:pt idx="9">
                  <c:v>2.9</c:v>
                </c:pt>
                <c:pt idx="10">
                  <c:v>2.9</c:v>
                </c:pt>
                <c:pt idx="11">
                  <c:v>2.8</c:v>
                </c:pt>
                <c:pt idx="12">
                  <c:v>2.4</c:v>
                </c:pt>
                <c:pt idx="13">
                  <c:v>2.7</c:v>
                </c:pt>
                <c:pt idx="14">
                  <c:v>2.6</c:v>
                </c:pt>
                <c:pt idx="15">
                  <c:v>2.2000000000000002</c:v>
                </c:pt>
                <c:pt idx="16">
                  <c:v>2.4</c:v>
                </c:pt>
                <c:pt idx="17">
                  <c:v>2.6</c:v>
                </c:pt>
                <c:pt idx="18">
                  <c:v>2.4</c:v>
                </c:pt>
                <c:pt idx="19">
                  <c:v>2.4</c:v>
                </c:pt>
              </c:numCache>
            </c:numRef>
          </c:val>
          <c:smooth val="0"/>
          <c:extLst>
            <c:ext xmlns:c16="http://schemas.microsoft.com/office/drawing/2014/chart" uri="{C3380CC4-5D6E-409C-BE32-E72D297353CC}">
              <c16:uniqueId val="{00000002-382E-4C37-A039-A0107EC867D6}"/>
            </c:ext>
          </c:extLst>
        </c:ser>
        <c:dLbls>
          <c:showLegendKey val="0"/>
          <c:showVal val="0"/>
          <c:showCatName val="0"/>
          <c:showSerName val="0"/>
          <c:showPercent val="0"/>
          <c:showBubbleSize val="0"/>
        </c:dLbls>
        <c:smooth val="0"/>
        <c:axId val="31048879"/>
        <c:axId val="31049295"/>
      </c:lineChart>
      <c:catAx>
        <c:axId val="3104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49295"/>
        <c:crosses val="autoZero"/>
        <c:auto val="1"/>
        <c:lblAlgn val="ctr"/>
        <c:lblOffset val="100"/>
        <c:noMultiLvlLbl val="0"/>
      </c:catAx>
      <c:valAx>
        <c:axId val="31049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48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PI01b!$AF$20</c:f>
              <c:strCache>
                <c:ptCount val="1"/>
                <c:pt idx="0">
                  <c:v>Indigenous</c:v>
                </c:pt>
              </c:strCache>
            </c:strRef>
          </c:tx>
          <c:spPr>
            <a:ln w="28575" cap="rnd">
              <a:solidFill>
                <a:schemeClr val="accent1"/>
              </a:solidFill>
              <a:round/>
            </a:ln>
            <a:effectLst/>
          </c:spPr>
          <c:marker>
            <c:symbol val="none"/>
          </c:marker>
          <c:cat>
            <c:strRef>
              <c:f>PI01b!$U$21:$U$30</c:f>
              <c:strCache>
                <c:ptCount val="9"/>
                <c:pt idx="0">
                  <c:v>2011</c:v>
                </c:pt>
                <c:pt idx="1">
                  <c:v>2012</c:v>
                </c:pt>
                <c:pt idx="2">
                  <c:v>2013</c:v>
                </c:pt>
                <c:pt idx="3">
                  <c:v>2014</c:v>
                </c:pt>
                <c:pt idx="4">
                  <c:v>2015</c:v>
                </c:pt>
                <c:pt idx="5">
                  <c:v>2016</c:v>
                </c:pt>
                <c:pt idx="6">
                  <c:v>2017</c:v>
                </c:pt>
                <c:pt idx="7">
                  <c:v>2018</c:v>
                </c:pt>
                <c:pt idx="8">
                  <c:v>2019</c:v>
                </c:pt>
              </c:strCache>
            </c:strRef>
          </c:cat>
          <c:val>
            <c:numRef>
              <c:f>PI01b!$AF$21:$AF$29</c:f>
              <c:numCache>
                <c:formatCode>0.0%</c:formatCode>
                <c:ptCount val="9"/>
                <c:pt idx="0">
                  <c:v>0.86099999999999999</c:v>
                </c:pt>
                <c:pt idx="1">
                  <c:v>0.872</c:v>
                </c:pt>
                <c:pt idx="2">
                  <c:v>0.86699999999999999</c:v>
                </c:pt>
                <c:pt idx="3">
                  <c:v>0.85799999999999998</c:v>
                </c:pt>
                <c:pt idx="4">
                  <c:v>0.84</c:v>
                </c:pt>
                <c:pt idx="5">
                  <c:v>0.85899999999999999</c:v>
                </c:pt>
                <c:pt idx="6">
                  <c:v>0.86199999999999999</c:v>
                </c:pt>
                <c:pt idx="7">
                  <c:v>0.872</c:v>
                </c:pt>
                <c:pt idx="8">
                  <c:v>0.86199999999999999</c:v>
                </c:pt>
              </c:numCache>
            </c:numRef>
          </c:val>
          <c:smooth val="0"/>
          <c:extLst>
            <c:ext xmlns:c16="http://schemas.microsoft.com/office/drawing/2014/chart" uri="{C3380CC4-5D6E-409C-BE32-E72D297353CC}">
              <c16:uniqueId val="{00000000-1CD7-45A7-A19A-630530C89909}"/>
            </c:ext>
          </c:extLst>
        </c:ser>
        <c:ser>
          <c:idx val="1"/>
          <c:order val="1"/>
          <c:tx>
            <c:strRef>
              <c:f>PI01b!$AG$20</c:f>
              <c:strCache>
                <c:ptCount val="1"/>
                <c:pt idx="0">
                  <c:v>Non-Indigenous</c:v>
                </c:pt>
              </c:strCache>
            </c:strRef>
          </c:tx>
          <c:spPr>
            <a:ln w="28575" cap="rnd">
              <a:solidFill>
                <a:schemeClr val="accent2"/>
              </a:solidFill>
              <a:round/>
            </a:ln>
            <a:effectLst/>
          </c:spPr>
          <c:marker>
            <c:symbol val="none"/>
          </c:marker>
          <c:cat>
            <c:strRef>
              <c:f>PI01b!$U$21:$U$30</c:f>
              <c:strCache>
                <c:ptCount val="9"/>
                <c:pt idx="0">
                  <c:v>2011</c:v>
                </c:pt>
                <c:pt idx="1">
                  <c:v>2012</c:v>
                </c:pt>
                <c:pt idx="2">
                  <c:v>2013</c:v>
                </c:pt>
                <c:pt idx="3">
                  <c:v>2014</c:v>
                </c:pt>
                <c:pt idx="4">
                  <c:v>2015</c:v>
                </c:pt>
                <c:pt idx="5">
                  <c:v>2016</c:v>
                </c:pt>
                <c:pt idx="6">
                  <c:v>2017</c:v>
                </c:pt>
                <c:pt idx="7">
                  <c:v>2018</c:v>
                </c:pt>
                <c:pt idx="8">
                  <c:v>2019</c:v>
                </c:pt>
              </c:strCache>
            </c:strRef>
          </c:cat>
          <c:val>
            <c:numRef>
              <c:f>PI01b!$AG$21:$AG$29</c:f>
              <c:numCache>
                <c:formatCode>0.0%</c:formatCode>
                <c:ptCount val="9"/>
                <c:pt idx="0">
                  <c:v>0.68</c:v>
                </c:pt>
                <c:pt idx="1">
                  <c:v>0.69399999999999995</c:v>
                </c:pt>
                <c:pt idx="2">
                  <c:v>0.70499999999999996</c:v>
                </c:pt>
                <c:pt idx="3">
                  <c:v>0.70799999999999996</c:v>
                </c:pt>
                <c:pt idx="4">
                  <c:v>0.69599999999999995</c:v>
                </c:pt>
                <c:pt idx="5">
                  <c:v>0.69599999999999995</c:v>
                </c:pt>
                <c:pt idx="6">
                  <c:v>0.70499999999999996</c:v>
                </c:pt>
                <c:pt idx="7">
                  <c:v>0.73</c:v>
                </c:pt>
                <c:pt idx="8">
                  <c:v>0.72699999999999998</c:v>
                </c:pt>
              </c:numCache>
            </c:numRef>
          </c:val>
          <c:smooth val="0"/>
          <c:extLst>
            <c:ext xmlns:c16="http://schemas.microsoft.com/office/drawing/2014/chart" uri="{C3380CC4-5D6E-409C-BE32-E72D297353CC}">
              <c16:uniqueId val="{00000001-1CD7-45A7-A19A-630530C89909}"/>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54617951517119E-2"/>
          <c:y val="6.3768115942028983E-2"/>
          <c:w val="0.88613863532545156"/>
          <c:h val="0.56074403743010381"/>
        </c:manualLayout>
      </c:layout>
      <c:lineChart>
        <c:grouping val="standard"/>
        <c:varyColors val="0"/>
        <c:ser>
          <c:idx val="0"/>
          <c:order val="0"/>
          <c:tx>
            <c:strRef>
              <c:f>Sheet1!$E$29</c:f>
              <c:strCache>
                <c:ptCount val="1"/>
                <c:pt idx="0">
                  <c:v>Antenatal</c:v>
                </c:pt>
              </c:strCache>
            </c:strRef>
          </c:tx>
          <c:spPr>
            <a:ln w="28575" cap="rnd">
              <a:solidFill>
                <a:schemeClr val="accent1"/>
              </a:solidFill>
              <a:round/>
            </a:ln>
            <a:effectLst/>
          </c:spPr>
          <c:marker>
            <c:symbol val="none"/>
          </c:marker>
          <c:cat>
            <c:multiLvlStrRef>
              <c:f>Sheet1!$C$30:$D$76</c:f>
              <c:multiLvlStrCache>
                <c:ptCount val="47"/>
                <c:lvl>
                  <c:pt idx="0">
                    <c:v>Q4</c:v>
                  </c:pt>
                  <c:pt idx="1">
                    <c:v>Q1</c:v>
                  </c:pt>
                  <c:pt idx="2">
                    <c:v>Q2</c:v>
                  </c:pt>
                  <c:pt idx="3">
                    <c:v>Q3</c:v>
                  </c:pt>
                  <c:pt idx="4">
                    <c:v>Q4</c:v>
                  </c:pt>
                  <c:pt idx="5">
                    <c:v>Q1</c:v>
                  </c:pt>
                  <c:pt idx="6">
                    <c:v>Q2</c:v>
                  </c:pt>
                  <c:pt idx="7">
                    <c:v>Q3</c:v>
                  </c:pt>
                  <c:pt idx="8">
                    <c:v>Q4</c:v>
                  </c:pt>
                  <c:pt idx="9">
                    <c:v>Q1</c:v>
                  </c:pt>
                  <c:pt idx="10">
                    <c:v>Q2</c:v>
                  </c:pt>
                  <c:pt idx="11">
                    <c:v>Q3</c:v>
                  </c:pt>
                  <c:pt idx="12">
                    <c:v>Q4</c:v>
                  </c:pt>
                  <c:pt idx="13">
                    <c:v>Q1</c:v>
                  </c:pt>
                  <c:pt idx="14">
                    <c:v>Q2</c:v>
                  </c:pt>
                  <c:pt idx="15">
                    <c:v>Q3</c:v>
                  </c:pt>
                  <c:pt idx="16">
                    <c:v>Q4</c:v>
                  </c:pt>
                  <c:pt idx="17">
                    <c:v>Q1</c:v>
                  </c:pt>
                  <c:pt idx="18">
                    <c:v>Q2</c:v>
                  </c:pt>
                  <c:pt idx="19">
                    <c:v>Q3</c:v>
                  </c:pt>
                  <c:pt idx="20">
                    <c:v>Q4</c:v>
                  </c:pt>
                  <c:pt idx="21">
                    <c:v>Q1</c:v>
                  </c:pt>
                  <c:pt idx="22">
                    <c:v>Q2</c:v>
                  </c:pt>
                  <c:pt idx="23">
                    <c:v>Q3</c:v>
                  </c:pt>
                  <c:pt idx="24">
                    <c:v>Q4</c:v>
                  </c:pt>
                  <c:pt idx="25">
                    <c:v>Q1</c:v>
                  </c:pt>
                  <c:pt idx="26">
                    <c:v>Q2</c:v>
                  </c:pt>
                  <c:pt idx="27">
                    <c:v>Q3</c:v>
                  </c:pt>
                  <c:pt idx="28">
                    <c:v>Q4</c:v>
                  </c:pt>
                  <c:pt idx="29">
                    <c:v>Q1</c:v>
                  </c:pt>
                  <c:pt idx="30">
                    <c:v>Q2</c:v>
                  </c:pt>
                  <c:pt idx="31">
                    <c:v>Q3</c:v>
                  </c:pt>
                  <c:pt idx="32">
                    <c:v>Q4</c:v>
                  </c:pt>
                  <c:pt idx="33">
                    <c:v>Q1</c:v>
                  </c:pt>
                  <c:pt idx="34">
                    <c:v>Q2</c:v>
                  </c:pt>
                  <c:pt idx="35">
                    <c:v>Q3</c:v>
                  </c:pt>
                  <c:pt idx="36">
                    <c:v>Q4</c:v>
                  </c:pt>
                  <c:pt idx="37">
                    <c:v>Q1</c:v>
                  </c:pt>
                  <c:pt idx="38">
                    <c:v>Q2</c:v>
                  </c:pt>
                  <c:pt idx="39">
                    <c:v>Q3</c:v>
                  </c:pt>
                  <c:pt idx="40">
                    <c:v>Q4</c:v>
                  </c:pt>
                  <c:pt idx="41">
                    <c:v>Q1</c:v>
                  </c:pt>
                  <c:pt idx="42">
                    <c:v>Q2</c:v>
                  </c:pt>
                  <c:pt idx="43">
                    <c:v>Q3</c:v>
                  </c:pt>
                  <c:pt idx="44">
                    <c:v>Q4</c:v>
                  </c:pt>
                  <c:pt idx="45">
                    <c:v>Q1</c:v>
                  </c:pt>
                  <c:pt idx="46">
                    <c:v>Q2</c:v>
                  </c:pt>
                </c:lvl>
                <c:lvl>
                  <c:pt idx="0">
                    <c:v>2010</c:v>
                  </c:pt>
                  <c:pt idx="1">
                    <c:v>2011</c:v>
                  </c:pt>
                  <c:pt idx="5">
                    <c:v>2012</c:v>
                  </c:pt>
                  <c:pt idx="9">
                    <c:v>2013</c:v>
                  </c:pt>
                  <c:pt idx="13">
                    <c:v>2014</c:v>
                  </c:pt>
                  <c:pt idx="17">
                    <c:v>2015</c:v>
                  </c:pt>
                  <c:pt idx="21">
                    <c:v>2016</c:v>
                  </c:pt>
                  <c:pt idx="25">
                    <c:v>2017</c:v>
                  </c:pt>
                  <c:pt idx="29">
                    <c:v>2018</c:v>
                  </c:pt>
                  <c:pt idx="33">
                    <c:v>2019</c:v>
                  </c:pt>
                  <c:pt idx="37">
                    <c:v>2020</c:v>
                  </c:pt>
                  <c:pt idx="41">
                    <c:v>2021</c:v>
                  </c:pt>
                  <c:pt idx="45">
                    <c:v>2022</c:v>
                  </c:pt>
                </c:lvl>
              </c:multiLvlStrCache>
            </c:multiLvlStrRef>
          </c:cat>
          <c:val>
            <c:numRef>
              <c:f>Sheet1!$E$30:$E$76</c:f>
              <c:numCache>
                <c:formatCode>#,##0</c:formatCode>
                <c:ptCount val="47"/>
                <c:pt idx="0">
                  <c:v>33</c:v>
                </c:pt>
                <c:pt idx="1">
                  <c:v>411</c:v>
                </c:pt>
                <c:pt idx="2">
                  <c:v>875</c:v>
                </c:pt>
                <c:pt idx="3">
                  <c:v>1943</c:v>
                </c:pt>
                <c:pt idx="4">
                  <c:v>2052</c:v>
                </c:pt>
                <c:pt idx="5">
                  <c:v>3351</c:v>
                </c:pt>
                <c:pt idx="6">
                  <c:v>4294</c:v>
                </c:pt>
                <c:pt idx="7">
                  <c:v>4712</c:v>
                </c:pt>
                <c:pt idx="8">
                  <c:v>4856</c:v>
                </c:pt>
                <c:pt idx="9">
                  <c:v>5571</c:v>
                </c:pt>
                <c:pt idx="10">
                  <c:v>6409</c:v>
                </c:pt>
                <c:pt idx="11">
                  <c:v>7552</c:v>
                </c:pt>
                <c:pt idx="12">
                  <c:v>7780</c:v>
                </c:pt>
                <c:pt idx="13">
                  <c:v>7531</c:v>
                </c:pt>
                <c:pt idx="14">
                  <c:v>8809</c:v>
                </c:pt>
                <c:pt idx="15">
                  <c:v>9423</c:v>
                </c:pt>
                <c:pt idx="16">
                  <c:v>10089</c:v>
                </c:pt>
                <c:pt idx="17">
                  <c:v>10670</c:v>
                </c:pt>
                <c:pt idx="18">
                  <c:v>10481</c:v>
                </c:pt>
                <c:pt idx="19">
                  <c:v>11140</c:v>
                </c:pt>
                <c:pt idx="20">
                  <c:v>11264</c:v>
                </c:pt>
                <c:pt idx="21">
                  <c:v>12213</c:v>
                </c:pt>
                <c:pt idx="22">
                  <c:v>12654</c:v>
                </c:pt>
                <c:pt idx="23">
                  <c:v>11625</c:v>
                </c:pt>
                <c:pt idx="24">
                  <c:v>10790</c:v>
                </c:pt>
                <c:pt idx="25">
                  <c:v>11756</c:v>
                </c:pt>
                <c:pt idx="26">
                  <c:v>12310</c:v>
                </c:pt>
                <c:pt idx="27">
                  <c:v>12484</c:v>
                </c:pt>
                <c:pt idx="28">
                  <c:v>12397</c:v>
                </c:pt>
                <c:pt idx="29">
                  <c:v>14138</c:v>
                </c:pt>
                <c:pt idx="30">
                  <c:v>14398</c:v>
                </c:pt>
                <c:pt idx="31">
                  <c:v>15453</c:v>
                </c:pt>
                <c:pt idx="32">
                  <c:v>14521</c:v>
                </c:pt>
                <c:pt idx="33">
                  <c:v>15898</c:v>
                </c:pt>
                <c:pt idx="34">
                  <c:v>17343</c:v>
                </c:pt>
                <c:pt idx="35">
                  <c:v>18681</c:v>
                </c:pt>
                <c:pt idx="36">
                  <c:v>19388</c:v>
                </c:pt>
                <c:pt idx="37">
                  <c:v>18664</c:v>
                </c:pt>
                <c:pt idx="38">
                  <c:v>18921</c:v>
                </c:pt>
                <c:pt idx="39">
                  <c:v>22751</c:v>
                </c:pt>
                <c:pt idx="40">
                  <c:v>24364</c:v>
                </c:pt>
                <c:pt idx="41">
                  <c:v>27247</c:v>
                </c:pt>
                <c:pt idx="42">
                  <c:v>27785</c:v>
                </c:pt>
                <c:pt idx="43">
                  <c:v>28600</c:v>
                </c:pt>
                <c:pt idx="44">
                  <c:v>27444</c:v>
                </c:pt>
                <c:pt idx="45">
                  <c:v>29038</c:v>
                </c:pt>
                <c:pt idx="46">
                  <c:v>29623</c:v>
                </c:pt>
              </c:numCache>
            </c:numRef>
          </c:val>
          <c:smooth val="0"/>
          <c:extLst>
            <c:ext xmlns:c16="http://schemas.microsoft.com/office/drawing/2014/chart" uri="{C3380CC4-5D6E-409C-BE32-E72D297353CC}">
              <c16:uniqueId val="{00000000-CB5F-4D3A-8CED-643B771320C1}"/>
            </c:ext>
          </c:extLst>
        </c:ser>
        <c:ser>
          <c:idx val="2"/>
          <c:order val="1"/>
          <c:tx>
            <c:strRef>
              <c:f>Sheet1!$G$29</c:f>
              <c:strCache>
                <c:ptCount val="1"/>
                <c:pt idx="0">
                  <c:v>Postnatal</c:v>
                </c:pt>
              </c:strCache>
            </c:strRef>
          </c:tx>
          <c:spPr>
            <a:ln w="28575" cap="rnd">
              <a:solidFill>
                <a:schemeClr val="accent3"/>
              </a:solidFill>
              <a:round/>
            </a:ln>
            <a:effectLst/>
          </c:spPr>
          <c:marker>
            <c:symbol val="none"/>
          </c:marker>
          <c:cat>
            <c:multiLvlStrRef>
              <c:f>Sheet1!$C$30:$D$76</c:f>
              <c:multiLvlStrCache>
                <c:ptCount val="47"/>
                <c:lvl>
                  <c:pt idx="0">
                    <c:v>Q4</c:v>
                  </c:pt>
                  <c:pt idx="1">
                    <c:v>Q1</c:v>
                  </c:pt>
                  <c:pt idx="2">
                    <c:v>Q2</c:v>
                  </c:pt>
                  <c:pt idx="3">
                    <c:v>Q3</c:v>
                  </c:pt>
                  <c:pt idx="4">
                    <c:v>Q4</c:v>
                  </c:pt>
                  <c:pt idx="5">
                    <c:v>Q1</c:v>
                  </c:pt>
                  <c:pt idx="6">
                    <c:v>Q2</c:v>
                  </c:pt>
                  <c:pt idx="7">
                    <c:v>Q3</c:v>
                  </c:pt>
                  <c:pt idx="8">
                    <c:v>Q4</c:v>
                  </c:pt>
                  <c:pt idx="9">
                    <c:v>Q1</c:v>
                  </c:pt>
                  <c:pt idx="10">
                    <c:v>Q2</c:v>
                  </c:pt>
                  <c:pt idx="11">
                    <c:v>Q3</c:v>
                  </c:pt>
                  <c:pt idx="12">
                    <c:v>Q4</c:v>
                  </c:pt>
                  <c:pt idx="13">
                    <c:v>Q1</c:v>
                  </c:pt>
                  <c:pt idx="14">
                    <c:v>Q2</c:v>
                  </c:pt>
                  <c:pt idx="15">
                    <c:v>Q3</c:v>
                  </c:pt>
                  <c:pt idx="16">
                    <c:v>Q4</c:v>
                  </c:pt>
                  <c:pt idx="17">
                    <c:v>Q1</c:v>
                  </c:pt>
                  <c:pt idx="18">
                    <c:v>Q2</c:v>
                  </c:pt>
                  <c:pt idx="19">
                    <c:v>Q3</c:v>
                  </c:pt>
                  <c:pt idx="20">
                    <c:v>Q4</c:v>
                  </c:pt>
                  <c:pt idx="21">
                    <c:v>Q1</c:v>
                  </c:pt>
                  <c:pt idx="22">
                    <c:v>Q2</c:v>
                  </c:pt>
                  <c:pt idx="23">
                    <c:v>Q3</c:v>
                  </c:pt>
                  <c:pt idx="24">
                    <c:v>Q4</c:v>
                  </c:pt>
                  <c:pt idx="25">
                    <c:v>Q1</c:v>
                  </c:pt>
                  <c:pt idx="26">
                    <c:v>Q2</c:v>
                  </c:pt>
                  <c:pt idx="27">
                    <c:v>Q3</c:v>
                  </c:pt>
                  <c:pt idx="28">
                    <c:v>Q4</c:v>
                  </c:pt>
                  <c:pt idx="29">
                    <c:v>Q1</c:v>
                  </c:pt>
                  <c:pt idx="30">
                    <c:v>Q2</c:v>
                  </c:pt>
                  <c:pt idx="31">
                    <c:v>Q3</c:v>
                  </c:pt>
                  <c:pt idx="32">
                    <c:v>Q4</c:v>
                  </c:pt>
                  <c:pt idx="33">
                    <c:v>Q1</c:v>
                  </c:pt>
                  <c:pt idx="34">
                    <c:v>Q2</c:v>
                  </c:pt>
                  <c:pt idx="35">
                    <c:v>Q3</c:v>
                  </c:pt>
                  <c:pt idx="36">
                    <c:v>Q4</c:v>
                  </c:pt>
                  <c:pt idx="37">
                    <c:v>Q1</c:v>
                  </c:pt>
                  <c:pt idx="38">
                    <c:v>Q2</c:v>
                  </c:pt>
                  <c:pt idx="39">
                    <c:v>Q3</c:v>
                  </c:pt>
                  <c:pt idx="40">
                    <c:v>Q4</c:v>
                  </c:pt>
                  <c:pt idx="41">
                    <c:v>Q1</c:v>
                  </c:pt>
                  <c:pt idx="42">
                    <c:v>Q2</c:v>
                  </c:pt>
                  <c:pt idx="43">
                    <c:v>Q3</c:v>
                  </c:pt>
                  <c:pt idx="44">
                    <c:v>Q4</c:v>
                  </c:pt>
                  <c:pt idx="45">
                    <c:v>Q1</c:v>
                  </c:pt>
                  <c:pt idx="46">
                    <c:v>Q2</c:v>
                  </c:pt>
                </c:lvl>
                <c:lvl>
                  <c:pt idx="0">
                    <c:v>2010</c:v>
                  </c:pt>
                  <c:pt idx="1">
                    <c:v>2011</c:v>
                  </c:pt>
                  <c:pt idx="5">
                    <c:v>2012</c:v>
                  </c:pt>
                  <c:pt idx="9">
                    <c:v>2013</c:v>
                  </c:pt>
                  <c:pt idx="13">
                    <c:v>2014</c:v>
                  </c:pt>
                  <c:pt idx="17">
                    <c:v>2015</c:v>
                  </c:pt>
                  <c:pt idx="21">
                    <c:v>2016</c:v>
                  </c:pt>
                  <c:pt idx="25">
                    <c:v>2017</c:v>
                  </c:pt>
                  <c:pt idx="29">
                    <c:v>2018</c:v>
                  </c:pt>
                  <c:pt idx="33">
                    <c:v>2019</c:v>
                  </c:pt>
                  <c:pt idx="37">
                    <c:v>2020</c:v>
                  </c:pt>
                  <c:pt idx="41">
                    <c:v>2021</c:v>
                  </c:pt>
                  <c:pt idx="45">
                    <c:v>2022</c:v>
                  </c:pt>
                </c:lvl>
              </c:multiLvlStrCache>
            </c:multiLvlStrRef>
          </c:cat>
          <c:val>
            <c:numRef>
              <c:f>Sheet1!$G$30:$G$76</c:f>
              <c:numCache>
                <c:formatCode>#,##0</c:formatCode>
                <c:ptCount val="47"/>
                <c:pt idx="0">
                  <c:v>13</c:v>
                </c:pt>
                <c:pt idx="1">
                  <c:v>291</c:v>
                </c:pt>
                <c:pt idx="2">
                  <c:v>669</c:v>
                </c:pt>
                <c:pt idx="3">
                  <c:v>998</c:v>
                </c:pt>
                <c:pt idx="4">
                  <c:v>995</c:v>
                </c:pt>
                <c:pt idx="5">
                  <c:v>1223</c:v>
                </c:pt>
                <c:pt idx="6">
                  <c:v>1558</c:v>
                </c:pt>
                <c:pt idx="7">
                  <c:v>1835</c:v>
                </c:pt>
                <c:pt idx="8">
                  <c:v>2446</c:v>
                </c:pt>
                <c:pt idx="9">
                  <c:v>2639</c:v>
                </c:pt>
                <c:pt idx="10">
                  <c:v>3398</c:v>
                </c:pt>
                <c:pt idx="11">
                  <c:v>3709</c:v>
                </c:pt>
                <c:pt idx="12">
                  <c:v>4458</c:v>
                </c:pt>
                <c:pt idx="13">
                  <c:v>4709</c:v>
                </c:pt>
                <c:pt idx="14">
                  <c:v>5063</c:v>
                </c:pt>
                <c:pt idx="15">
                  <c:v>5633</c:v>
                </c:pt>
                <c:pt idx="16">
                  <c:v>6066</c:v>
                </c:pt>
                <c:pt idx="17">
                  <c:v>6490</c:v>
                </c:pt>
                <c:pt idx="18">
                  <c:v>6443</c:v>
                </c:pt>
                <c:pt idx="19">
                  <c:v>6550</c:v>
                </c:pt>
                <c:pt idx="20">
                  <c:v>6983</c:v>
                </c:pt>
                <c:pt idx="21">
                  <c:v>7206</c:v>
                </c:pt>
                <c:pt idx="22">
                  <c:v>7986</c:v>
                </c:pt>
                <c:pt idx="23">
                  <c:v>8297</c:v>
                </c:pt>
                <c:pt idx="24">
                  <c:v>7458</c:v>
                </c:pt>
                <c:pt idx="25">
                  <c:v>8281</c:v>
                </c:pt>
                <c:pt idx="26">
                  <c:v>8344</c:v>
                </c:pt>
                <c:pt idx="27">
                  <c:v>8156</c:v>
                </c:pt>
                <c:pt idx="28">
                  <c:v>7561</c:v>
                </c:pt>
                <c:pt idx="29">
                  <c:v>8197</c:v>
                </c:pt>
                <c:pt idx="30">
                  <c:v>8643</c:v>
                </c:pt>
                <c:pt idx="31">
                  <c:v>8922</c:v>
                </c:pt>
                <c:pt idx="32">
                  <c:v>9046</c:v>
                </c:pt>
                <c:pt idx="33">
                  <c:v>8729</c:v>
                </c:pt>
                <c:pt idx="34">
                  <c:v>9202</c:v>
                </c:pt>
                <c:pt idx="35">
                  <c:v>9719</c:v>
                </c:pt>
                <c:pt idx="36">
                  <c:v>9980</c:v>
                </c:pt>
                <c:pt idx="37">
                  <c:v>9883</c:v>
                </c:pt>
                <c:pt idx="38">
                  <c:v>10435</c:v>
                </c:pt>
                <c:pt idx="39">
                  <c:v>12456</c:v>
                </c:pt>
                <c:pt idx="40">
                  <c:v>13081</c:v>
                </c:pt>
                <c:pt idx="41">
                  <c:v>13773</c:v>
                </c:pt>
                <c:pt idx="42">
                  <c:v>15202</c:v>
                </c:pt>
                <c:pt idx="43">
                  <c:v>16295</c:v>
                </c:pt>
                <c:pt idx="44">
                  <c:v>16223</c:v>
                </c:pt>
                <c:pt idx="45">
                  <c:v>15022</c:v>
                </c:pt>
                <c:pt idx="46">
                  <c:v>16705</c:v>
                </c:pt>
              </c:numCache>
            </c:numRef>
          </c:val>
          <c:smooth val="0"/>
          <c:extLst>
            <c:ext xmlns:c16="http://schemas.microsoft.com/office/drawing/2014/chart" uri="{C3380CC4-5D6E-409C-BE32-E72D297353CC}">
              <c16:uniqueId val="{00000001-CB5F-4D3A-8CED-643B771320C1}"/>
            </c:ext>
          </c:extLst>
        </c:ser>
        <c:ser>
          <c:idx val="1"/>
          <c:order val="2"/>
          <c:tx>
            <c:strRef>
              <c:f>Sheet1!$F$29</c:f>
              <c:strCache>
                <c:ptCount val="1"/>
                <c:pt idx="0">
                  <c:v>Mgt of labour</c:v>
                </c:pt>
              </c:strCache>
            </c:strRef>
          </c:tx>
          <c:spPr>
            <a:ln w="28575" cap="rnd">
              <a:solidFill>
                <a:schemeClr val="accent2"/>
              </a:solidFill>
              <a:round/>
            </a:ln>
            <a:effectLst/>
          </c:spPr>
          <c:marker>
            <c:symbol val="none"/>
          </c:marker>
          <c:cat>
            <c:multiLvlStrRef>
              <c:f>Sheet1!$C$30:$D$76</c:f>
              <c:multiLvlStrCache>
                <c:ptCount val="47"/>
                <c:lvl>
                  <c:pt idx="0">
                    <c:v>Q4</c:v>
                  </c:pt>
                  <c:pt idx="1">
                    <c:v>Q1</c:v>
                  </c:pt>
                  <c:pt idx="2">
                    <c:v>Q2</c:v>
                  </c:pt>
                  <c:pt idx="3">
                    <c:v>Q3</c:v>
                  </c:pt>
                  <c:pt idx="4">
                    <c:v>Q4</c:v>
                  </c:pt>
                  <c:pt idx="5">
                    <c:v>Q1</c:v>
                  </c:pt>
                  <c:pt idx="6">
                    <c:v>Q2</c:v>
                  </c:pt>
                  <c:pt idx="7">
                    <c:v>Q3</c:v>
                  </c:pt>
                  <c:pt idx="8">
                    <c:v>Q4</c:v>
                  </c:pt>
                  <c:pt idx="9">
                    <c:v>Q1</c:v>
                  </c:pt>
                  <c:pt idx="10">
                    <c:v>Q2</c:v>
                  </c:pt>
                  <c:pt idx="11">
                    <c:v>Q3</c:v>
                  </c:pt>
                  <c:pt idx="12">
                    <c:v>Q4</c:v>
                  </c:pt>
                  <c:pt idx="13">
                    <c:v>Q1</c:v>
                  </c:pt>
                  <c:pt idx="14">
                    <c:v>Q2</c:v>
                  </c:pt>
                  <c:pt idx="15">
                    <c:v>Q3</c:v>
                  </c:pt>
                  <c:pt idx="16">
                    <c:v>Q4</c:v>
                  </c:pt>
                  <c:pt idx="17">
                    <c:v>Q1</c:v>
                  </c:pt>
                  <c:pt idx="18">
                    <c:v>Q2</c:v>
                  </c:pt>
                  <c:pt idx="19">
                    <c:v>Q3</c:v>
                  </c:pt>
                  <c:pt idx="20">
                    <c:v>Q4</c:v>
                  </c:pt>
                  <c:pt idx="21">
                    <c:v>Q1</c:v>
                  </c:pt>
                  <c:pt idx="22">
                    <c:v>Q2</c:v>
                  </c:pt>
                  <c:pt idx="23">
                    <c:v>Q3</c:v>
                  </c:pt>
                  <c:pt idx="24">
                    <c:v>Q4</c:v>
                  </c:pt>
                  <c:pt idx="25">
                    <c:v>Q1</c:v>
                  </c:pt>
                  <c:pt idx="26">
                    <c:v>Q2</c:v>
                  </c:pt>
                  <c:pt idx="27">
                    <c:v>Q3</c:v>
                  </c:pt>
                  <c:pt idx="28">
                    <c:v>Q4</c:v>
                  </c:pt>
                  <c:pt idx="29">
                    <c:v>Q1</c:v>
                  </c:pt>
                  <c:pt idx="30">
                    <c:v>Q2</c:v>
                  </c:pt>
                  <c:pt idx="31">
                    <c:v>Q3</c:v>
                  </c:pt>
                  <c:pt idx="32">
                    <c:v>Q4</c:v>
                  </c:pt>
                  <c:pt idx="33">
                    <c:v>Q1</c:v>
                  </c:pt>
                  <c:pt idx="34">
                    <c:v>Q2</c:v>
                  </c:pt>
                  <c:pt idx="35">
                    <c:v>Q3</c:v>
                  </c:pt>
                  <c:pt idx="36">
                    <c:v>Q4</c:v>
                  </c:pt>
                  <c:pt idx="37">
                    <c:v>Q1</c:v>
                  </c:pt>
                  <c:pt idx="38">
                    <c:v>Q2</c:v>
                  </c:pt>
                  <c:pt idx="39">
                    <c:v>Q3</c:v>
                  </c:pt>
                  <c:pt idx="40">
                    <c:v>Q4</c:v>
                  </c:pt>
                  <c:pt idx="41">
                    <c:v>Q1</c:v>
                  </c:pt>
                  <c:pt idx="42">
                    <c:v>Q2</c:v>
                  </c:pt>
                  <c:pt idx="43">
                    <c:v>Q3</c:v>
                  </c:pt>
                  <c:pt idx="44">
                    <c:v>Q4</c:v>
                  </c:pt>
                  <c:pt idx="45">
                    <c:v>Q1</c:v>
                  </c:pt>
                  <c:pt idx="46">
                    <c:v>Q2</c:v>
                  </c:pt>
                </c:lvl>
                <c:lvl>
                  <c:pt idx="0">
                    <c:v>2010</c:v>
                  </c:pt>
                  <c:pt idx="1">
                    <c:v>2011</c:v>
                  </c:pt>
                  <c:pt idx="5">
                    <c:v>2012</c:v>
                  </c:pt>
                  <c:pt idx="9">
                    <c:v>2013</c:v>
                  </c:pt>
                  <c:pt idx="13">
                    <c:v>2014</c:v>
                  </c:pt>
                  <c:pt idx="17">
                    <c:v>2015</c:v>
                  </c:pt>
                  <c:pt idx="21">
                    <c:v>2016</c:v>
                  </c:pt>
                  <c:pt idx="25">
                    <c:v>2017</c:v>
                  </c:pt>
                  <c:pt idx="29">
                    <c:v>2018</c:v>
                  </c:pt>
                  <c:pt idx="33">
                    <c:v>2019</c:v>
                  </c:pt>
                  <c:pt idx="37">
                    <c:v>2020</c:v>
                  </c:pt>
                  <c:pt idx="41">
                    <c:v>2021</c:v>
                  </c:pt>
                  <c:pt idx="45">
                    <c:v>2022</c:v>
                  </c:pt>
                </c:lvl>
              </c:multiLvlStrCache>
            </c:multiLvlStrRef>
          </c:cat>
          <c:val>
            <c:numRef>
              <c:f>Sheet1!$F$30:$F$76</c:f>
              <c:numCache>
                <c:formatCode>#,##0</c:formatCode>
                <c:ptCount val="47"/>
                <c:pt idx="1">
                  <c:v>1</c:v>
                </c:pt>
                <c:pt idx="2">
                  <c:v>3</c:v>
                </c:pt>
                <c:pt idx="3">
                  <c:v>6</c:v>
                </c:pt>
                <c:pt idx="4">
                  <c:v>9</c:v>
                </c:pt>
                <c:pt idx="5">
                  <c:v>16</c:v>
                </c:pt>
                <c:pt idx="6">
                  <c:v>20</c:v>
                </c:pt>
                <c:pt idx="7">
                  <c:v>24</c:v>
                </c:pt>
                <c:pt idx="8">
                  <c:v>49</c:v>
                </c:pt>
                <c:pt idx="9">
                  <c:v>102</c:v>
                </c:pt>
                <c:pt idx="10">
                  <c:v>67</c:v>
                </c:pt>
                <c:pt idx="11">
                  <c:v>63</c:v>
                </c:pt>
                <c:pt idx="12">
                  <c:v>88</c:v>
                </c:pt>
                <c:pt idx="13">
                  <c:v>106</c:v>
                </c:pt>
                <c:pt idx="14">
                  <c:v>103</c:v>
                </c:pt>
                <c:pt idx="15">
                  <c:v>125</c:v>
                </c:pt>
                <c:pt idx="16">
                  <c:v>98</c:v>
                </c:pt>
                <c:pt idx="17">
                  <c:v>148</c:v>
                </c:pt>
                <c:pt idx="18">
                  <c:v>123</c:v>
                </c:pt>
                <c:pt idx="19">
                  <c:v>142</c:v>
                </c:pt>
                <c:pt idx="20">
                  <c:v>157</c:v>
                </c:pt>
                <c:pt idx="21">
                  <c:v>171</c:v>
                </c:pt>
                <c:pt idx="22">
                  <c:v>150</c:v>
                </c:pt>
                <c:pt idx="23">
                  <c:v>171</c:v>
                </c:pt>
                <c:pt idx="24">
                  <c:v>174</c:v>
                </c:pt>
                <c:pt idx="25">
                  <c:v>178</c:v>
                </c:pt>
                <c:pt idx="26">
                  <c:v>144</c:v>
                </c:pt>
                <c:pt idx="27">
                  <c:v>131</c:v>
                </c:pt>
                <c:pt idx="28">
                  <c:v>166</c:v>
                </c:pt>
                <c:pt idx="29">
                  <c:v>216</c:v>
                </c:pt>
                <c:pt idx="30">
                  <c:v>223</c:v>
                </c:pt>
                <c:pt idx="31">
                  <c:v>195</c:v>
                </c:pt>
                <c:pt idx="32">
                  <c:v>193</c:v>
                </c:pt>
                <c:pt idx="33">
                  <c:v>187</c:v>
                </c:pt>
                <c:pt idx="34">
                  <c:v>173</c:v>
                </c:pt>
                <c:pt idx="35">
                  <c:v>200</c:v>
                </c:pt>
                <c:pt idx="36">
                  <c:v>177</c:v>
                </c:pt>
                <c:pt idx="37">
                  <c:v>144</c:v>
                </c:pt>
                <c:pt idx="38">
                  <c:v>158</c:v>
                </c:pt>
                <c:pt idx="39">
                  <c:v>192</c:v>
                </c:pt>
                <c:pt idx="40">
                  <c:v>115</c:v>
                </c:pt>
                <c:pt idx="41">
                  <c:v>202</c:v>
                </c:pt>
                <c:pt idx="42">
                  <c:v>205</c:v>
                </c:pt>
                <c:pt idx="43">
                  <c:v>256</c:v>
                </c:pt>
                <c:pt idx="44">
                  <c:v>205</c:v>
                </c:pt>
                <c:pt idx="45">
                  <c:v>186</c:v>
                </c:pt>
                <c:pt idx="46">
                  <c:v>274</c:v>
                </c:pt>
              </c:numCache>
            </c:numRef>
          </c:val>
          <c:smooth val="0"/>
          <c:extLst>
            <c:ext xmlns:c16="http://schemas.microsoft.com/office/drawing/2014/chart" uri="{C3380CC4-5D6E-409C-BE32-E72D297353CC}">
              <c16:uniqueId val="{00000002-CB5F-4D3A-8CED-643B771320C1}"/>
            </c:ext>
          </c:extLst>
        </c:ser>
        <c:ser>
          <c:idx val="3"/>
          <c:order val="3"/>
          <c:tx>
            <c:strRef>
              <c:f>Sheet1!$H$29</c:f>
              <c:strCache>
                <c:ptCount val="1"/>
                <c:pt idx="0">
                  <c:v>Video consultation</c:v>
                </c:pt>
              </c:strCache>
            </c:strRef>
          </c:tx>
          <c:spPr>
            <a:ln w="28575" cap="rnd">
              <a:solidFill>
                <a:schemeClr val="accent4"/>
              </a:solidFill>
              <a:round/>
            </a:ln>
            <a:effectLst/>
          </c:spPr>
          <c:marker>
            <c:symbol val="none"/>
          </c:marker>
          <c:cat>
            <c:multiLvlStrRef>
              <c:f>Sheet1!$C$30:$D$76</c:f>
              <c:multiLvlStrCache>
                <c:ptCount val="47"/>
                <c:lvl>
                  <c:pt idx="0">
                    <c:v>Q4</c:v>
                  </c:pt>
                  <c:pt idx="1">
                    <c:v>Q1</c:v>
                  </c:pt>
                  <c:pt idx="2">
                    <c:v>Q2</c:v>
                  </c:pt>
                  <c:pt idx="3">
                    <c:v>Q3</c:v>
                  </c:pt>
                  <c:pt idx="4">
                    <c:v>Q4</c:v>
                  </c:pt>
                  <c:pt idx="5">
                    <c:v>Q1</c:v>
                  </c:pt>
                  <c:pt idx="6">
                    <c:v>Q2</c:v>
                  </c:pt>
                  <c:pt idx="7">
                    <c:v>Q3</c:v>
                  </c:pt>
                  <c:pt idx="8">
                    <c:v>Q4</c:v>
                  </c:pt>
                  <c:pt idx="9">
                    <c:v>Q1</c:v>
                  </c:pt>
                  <c:pt idx="10">
                    <c:v>Q2</c:v>
                  </c:pt>
                  <c:pt idx="11">
                    <c:v>Q3</c:v>
                  </c:pt>
                  <c:pt idx="12">
                    <c:v>Q4</c:v>
                  </c:pt>
                  <c:pt idx="13">
                    <c:v>Q1</c:v>
                  </c:pt>
                  <c:pt idx="14">
                    <c:v>Q2</c:v>
                  </c:pt>
                  <c:pt idx="15">
                    <c:v>Q3</c:v>
                  </c:pt>
                  <c:pt idx="16">
                    <c:v>Q4</c:v>
                  </c:pt>
                  <c:pt idx="17">
                    <c:v>Q1</c:v>
                  </c:pt>
                  <c:pt idx="18">
                    <c:v>Q2</c:v>
                  </c:pt>
                  <c:pt idx="19">
                    <c:v>Q3</c:v>
                  </c:pt>
                  <c:pt idx="20">
                    <c:v>Q4</c:v>
                  </c:pt>
                  <c:pt idx="21">
                    <c:v>Q1</c:v>
                  </c:pt>
                  <c:pt idx="22">
                    <c:v>Q2</c:v>
                  </c:pt>
                  <c:pt idx="23">
                    <c:v>Q3</c:v>
                  </c:pt>
                  <c:pt idx="24">
                    <c:v>Q4</c:v>
                  </c:pt>
                  <c:pt idx="25">
                    <c:v>Q1</c:v>
                  </c:pt>
                  <c:pt idx="26">
                    <c:v>Q2</c:v>
                  </c:pt>
                  <c:pt idx="27">
                    <c:v>Q3</c:v>
                  </c:pt>
                  <c:pt idx="28">
                    <c:v>Q4</c:v>
                  </c:pt>
                  <c:pt idx="29">
                    <c:v>Q1</c:v>
                  </c:pt>
                  <c:pt idx="30">
                    <c:v>Q2</c:v>
                  </c:pt>
                  <c:pt idx="31">
                    <c:v>Q3</c:v>
                  </c:pt>
                  <c:pt idx="32">
                    <c:v>Q4</c:v>
                  </c:pt>
                  <c:pt idx="33">
                    <c:v>Q1</c:v>
                  </c:pt>
                  <c:pt idx="34">
                    <c:v>Q2</c:v>
                  </c:pt>
                  <c:pt idx="35">
                    <c:v>Q3</c:v>
                  </c:pt>
                  <c:pt idx="36">
                    <c:v>Q4</c:v>
                  </c:pt>
                  <c:pt idx="37">
                    <c:v>Q1</c:v>
                  </c:pt>
                  <c:pt idx="38">
                    <c:v>Q2</c:v>
                  </c:pt>
                  <c:pt idx="39">
                    <c:v>Q3</c:v>
                  </c:pt>
                  <c:pt idx="40">
                    <c:v>Q4</c:v>
                  </c:pt>
                  <c:pt idx="41">
                    <c:v>Q1</c:v>
                  </c:pt>
                  <c:pt idx="42">
                    <c:v>Q2</c:v>
                  </c:pt>
                  <c:pt idx="43">
                    <c:v>Q3</c:v>
                  </c:pt>
                  <c:pt idx="44">
                    <c:v>Q4</c:v>
                  </c:pt>
                  <c:pt idx="45">
                    <c:v>Q1</c:v>
                  </c:pt>
                  <c:pt idx="46">
                    <c:v>Q2</c:v>
                  </c:pt>
                </c:lvl>
                <c:lvl>
                  <c:pt idx="0">
                    <c:v>2010</c:v>
                  </c:pt>
                  <c:pt idx="1">
                    <c:v>2011</c:v>
                  </c:pt>
                  <c:pt idx="5">
                    <c:v>2012</c:v>
                  </c:pt>
                  <c:pt idx="9">
                    <c:v>2013</c:v>
                  </c:pt>
                  <c:pt idx="13">
                    <c:v>2014</c:v>
                  </c:pt>
                  <c:pt idx="17">
                    <c:v>2015</c:v>
                  </c:pt>
                  <c:pt idx="21">
                    <c:v>2016</c:v>
                  </c:pt>
                  <c:pt idx="25">
                    <c:v>2017</c:v>
                  </c:pt>
                  <c:pt idx="29">
                    <c:v>2018</c:v>
                  </c:pt>
                  <c:pt idx="33">
                    <c:v>2019</c:v>
                  </c:pt>
                  <c:pt idx="37">
                    <c:v>2020</c:v>
                  </c:pt>
                  <c:pt idx="41">
                    <c:v>2021</c:v>
                  </c:pt>
                  <c:pt idx="45">
                    <c:v>2022</c:v>
                  </c:pt>
                </c:lvl>
              </c:multiLvlStrCache>
            </c:multiLvlStrRef>
          </c:cat>
          <c:val>
            <c:numRef>
              <c:f>Sheet1!$H$30:$H$76</c:f>
              <c:numCache>
                <c:formatCode>General</c:formatCode>
                <c:ptCount val="47"/>
                <c:pt idx="3" formatCode="#,##0">
                  <c:v>1</c:v>
                </c:pt>
                <c:pt idx="4" formatCode="#,##0">
                  <c:v>0</c:v>
                </c:pt>
                <c:pt idx="5" formatCode="#,##0">
                  <c:v>1</c:v>
                </c:pt>
                <c:pt idx="6" formatCode="#,##0">
                  <c:v>7</c:v>
                </c:pt>
                <c:pt idx="7" formatCode="#,##0">
                  <c:v>3</c:v>
                </c:pt>
                <c:pt idx="8" formatCode="#,##0">
                  <c:v>4</c:v>
                </c:pt>
                <c:pt idx="9" formatCode="#,##0">
                  <c:v>10</c:v>
                </c:pt>
                <c:pt idx="10" formatCode="#,##0">
                  <c:v>7</c:v>
                </c:pt>
                <c:pt idx="11" formatCode="#,##0">
                  <c:v>1</c:v>
                </c:pt>
                <c:pt idx="14" formatCode="#,##0">
                  <c:v>9</c:v>
                </c:pt>
                <c:pt idx="15" formatCode="#,##0">
                  <c:v>7</c:v>
                </c:pt>
                <c:pt idx="16" formatCode="#,##0">
                  <c:v>1</c:v>
                </c:pt>
                <c:pt idx="17" formatCode="#,##0">
                  <c:v>2</c:v>
                </c:pt>
                <c:pt idx="19" formatCode="#,##0">
                  <c:v>3</c:v>
                </c:pt>
                <c:pt idx="23" formatCode="#,##0">
                  <c:v>1</c:v>
                </c:pt>
                <c:pt idx="24" formatCode="#,##0">
                  <c:v>1</c:v>
                </c:pt>
                <c:pt idx="26" formatCode="#,##0">
                  <c:v>16</c:v>
                </c:pt>
                <c:pt idx="27" formatCode="#,##0">
                  <c:v>17</c:v>
                </c:pt>
                <c:pt idx="28" formatCode="#,##0">
                  <c:v>6</c:v>
                </c:pt>
                <c:pt idx="29" formatCode="#,##0">
                  <c:v>26</c:v>
                </c:pt>
                <c:pt idx="30" formatCode="#,##0">
                  <c:v>26</c:v>
                </c:pt>
                <c:pt idx="31" formatCode="#,##0">
                  <c:v>33</c:v>
                </c:pt>
                <c:pt idx="32" formatCode="#,##0">
                  <c:v>27</c:v>
                </c:pt>
                <c:pt idx="33" formatCode="#,##0">
                  <c:v>26</c:v>
                </c:pt>
                <c:pt idx="34" formatCode="#,##0">
                  <c:v>20</c:v>
                </c:pt>
                <c:pt idx="35" formatCode="#,##0">
                  <c:v>23</c:v>
                </c:pt>
                <c:pt idx="36" formatCode="#,##0">
                  <c:v>30</c:v>
                </c:pt>
                <c:pt idx="37" formatCode="#,##0">
                  <c:v>59</c:v>
                </c:pt>
                <c:pt idx="38" formatCode="#,##0">
                  <c:v>164</c:v>
                </c:pt>
                <c:pt idx="39" formatCode="#,##0">
                  <c:v>237</c:v>
                </c:pt>
                <c:pt idx="40" formatCode="#,##0">
                  <c:v>579</c:v>
                </c:pt>
                <c:pt idx="41" formatCode="#,##0">
                  <c:v>387</c:v>
                </c:pt>
                <c:pt idx="42" formatCode="#,##0">
                  <c:v>300</c:v>
                </c:pt>
                <c:pt idx="43" formatCode="#,##0">
                  <c:v>339</c:v>
                </c:pt>
                <c:pt idx="44" formatCode="#,##0">
                  <c:v>390</c:v>
                </c:pt>
                <c:pt idx="45" formatCode="#,##0">
                  <c:v>69</c:v>
                </c:pt>
                <c:pt idx="46" formatCode="#,##0">
                  <c:v>12</c:v>
                </c:pt>
              </c:numCache>
            </c:numRef>
          </c:val>
          <c:smooth val="0"/>
          <c:extLst>
            <c:ext xmlns:c16="http://schemas.microsoft.com/office/drawing/2014/chart" uri="{C3380CC4-5D6E-409C-BE32-E72D297353CC}">
              <c16:uniqueId val="{00000003-CB5F-4D3A-8CED-643B771320C1}"/>
            </c:ext>
          </c:extLst>
        </c:ser>
        <c:dLbls>
          <c:showLegendKey val="0"/>
          <c:showVal val="0"/>
          <c:showCatName val="0"/>
          <c:showSerName val="0"/>
          <c:showPercent val="0"/>
          <c:showBubbleSize val="0"/>
        </c:dLbls>
        <c:smooth val="0"/>
        <c:axId val="2034896528"/>
        <c:axId val="2034896944"/>
      </c:lineChart>
      <c:catAx>
        <c:axId val="203489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896944"/>
        <c:crosses val="autoZero"/>
        <c:auto val="1"/>
        <c:lblAlgn val="ctr"/>
        <c:lblOffset val="100"/>
        <c:noMultiLvlLbl val="0"/>
      </c:catAx>
      <c:valAx>
        <c:axId val="203489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89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Sheet2!$I$16</c:f>
              <c:strCache>
                <c:ptCount val="1"/>
                <c:pt idx="0">
                  <c:v>Short antenatal</c:v>
                </c:pt>
              </c:strCache>
            </c:strRef>
          </c:tx>
          <c:spPr>
            <a:ln w="28575" cap="rnd">
              <a:solidFill>
                <a:schemeClr val="accent1"/>
              </a:solidFill>
              <a:round/>
            </a:ln>
            <a:effectLst/>
          </c:spPr>
          <c:marker>
            <c:symbol val="none"/>
          </c:marker>
          <c:cat>
            <c:multiLvlStrRef>
              <c:f>Sheet2!$C$18:$D$26</c:f>
              <c:multiLvlStrCache>
                <c:ptCount val="9"/>
                <c:lvl>
                  <c:pt idx="0">
                    <c:v>Q2</c:v>
                  </c:pt>
                  <c:pt idx="1">
                    <c:v>Q3</c:v>
                  </c:pt>
                  <c:pt idx="2">
                    <c:v>Q4</c:v>
                  </c:pt>
                  <c:pt idx="3">
                    <c:v>Q1</c:v>
                  </c:pt>
                  <c:pt idx="4">
                    <c:v>Q2</c:v>
                  </c:pt>
                  <c:pt idx="5">
                    <c:v>Q3</c:v>
                  </c:pt>
                  <c:pt idx="6">
                    <c:v>Q4</c:v>
                  </c:pt>
                  <c:pt idx="7">
                    <c:v>Q1</c:v>
                  </c:pt>
                  <c:pt idx="8">
                    <c:v>Q2</c:v>
                  </c:pt>
                </c:lvl>
                <c:lvl>
                  <c:pt idx="0">
                    <c:v>2020</c:v>
                  </c:pt>
                  <c:pt idx="3">
                    <c:v>2021</c:v>
                  </c:pt>
                  <c:pt idx="7">
                    <c:v>2022</c:v>
                  </c:pt>
                </c:lvl>
              </c:multiLvlStrCache>
            </c:multiLvlStrRef>
          </c:cat>
          <c:val>
            <c:numRef>
              <c:f>Sheet2!$I$18:$I$26</c:f>
              <c:numCache>
                <c:formatCode>#,##0</c:formatCode>
                <c:ptCount val="9"/>
                <c:pt idx="0">
                  <c:v>1992</c:v>
                </c:pt>
                <c:pt idx="1">
                  <c:v>1689</c:v>
                </c:pt>
                <c:pt idx="2">
                  <c:v>1776</c:v>
                </c:pt>
                <c:pt idx="3">
                  <c:v>2097</c:v>
                </c:pt>
                <c:pt idx="4">
                  <c:v>2497</c:v>
                </c:pt>
                <c:pt idx="5">
                  <c:v>3638</c:v>
                </c:pt>
                <c:pt idx="6">
                  <c:v>3313</c:v>
                </c:pt>
                <c:pt idx="7">
                  <c:v>4775</c:v>
                </c:pt>
                <c:pt idx="8">
                  <c:v>5823</c:v>
                </c:pt>
              </c:numCache>
            </c:numRef>
          </c:val>
          <c:smooth val="0"/>
          <c:extLst>
            <c:ext xmlns:c16="http://schemas.microsoft.com/office/drawing/2014/chart" uri="{C3380CC4-5D6E-409C-BE32-E72D297353CC}">
              <c16:uniqueId val="{00000000-B99D-4885-8A37-7D984BE61F59}"/>
            </c:ext>
          </c:extLst>
        </c:ser>
        <c:ser>
          <c:idx val="2"/>
          <c:order val="1"/>
          <c:tx>
            <c:strRef>
              <c:f>Sheet2!$K$16</c:f>
              <c:strCache>
                <c:ptCount val="1"/>
                <c:pt idx="0">
                  <c:v>Long antenatal</c:v>
                </c:pt>
              </c:strCache>
            </c:strRef>
          </c:tx>
          <c:spPr>
            <a:ln w="28575" cap="rnd">
              <a:solidFill>
                <a:schemeClr val="accent3"/>
              </a:solidFill>
              <a:round/>
            </a:ln>
            <a:effectLst/>
          </c:spPr>
          <c:marker>
            <c:symbol val="none"/>
          </c:marker>
          <c:cat>
            <c:multiLvlStrRef>
              <c:f>Sheet2!$C$18:$D$26</c:f>
              <c:multiLvlStrCache>
                <c:ptCount val="9"/>
                <c:lvl>
                  <c:pt idx="0">
                    <c:v>Q2</c:v>
                  </c:pt>
                  <c:pt idx="1">
                    <c:v>Q3</c:v>
                  </c:pt>
                  <c:pt idx="2">
                    <c:v>Q4</c:v>
                  </c:pt>
                  <c:pt idx="3">
                    <c:v>Q1</c:v>
                  </c:pt>
                  <c:pt idx="4">
                    <c:v>Q2</c:v>
                  </c:pt>
                  <c:pt idx="5">
                    <c:v>Q3</c:v>
                  </c:pt>
                  <c:pt idx="6">
                    <c:v>Q4</c:v>
                  </c:pt>
                  <c:pt idx="7">
                    <c:v>Q1</c:v>
                  </c:pt>
                  <c:pt idx="8">
                    <c:v>Q2</c:v>
                  </c:pt>
                </c:lvl>
                <c:lvl>
                  <c:pt idx="0">
                    <c:v>2020</c:v>
                  </c:pt>
                  <c:pt idx="3">
                    <c:v>2021</c:v>
                  </c:pt>
                  <c:pt idx="7">
                    <c:v>2022</c:v>
                  </c:pt>
                </c:lvl>
              </c:multiLvlStrCache>
            </c:multiLvlStrRef>
          </c:cat>
          <c:val>
            <c:numRef>
              <c:f>Sheet2!$K$18:$K$26</c:f>
              <c:numCache>
                <c:formatCode>#,##0</c:formatCode>
                <c:ptCount val="9"/>
                <c:pt idx="0">
                  <c:v>1351</c:v>
                </c:pt>
                <c:pt idx="1">
                  <c:v>1148</c:v>
                </c:pt>
                <c:pt idx="2">
                  <c:v>948</c:v>
                </c:pt>
                <c:pt idx="3">
                  <c:v>805</c:v>
                </c:pt>
                <c:pt idx="4">
                  <c:v>763</c:v>
                </c:pt>
                <c:pt idx="5">
                  <c:v>1289</c:v>
                </c:pt>
                <c:pt idx="6">
                  <c:v>1448</c:v>
                </c:pt>
                <c:pt idx="7">
                  <c:v>2263</c:v>
                </c:pt>
                <c:pt idx="8">
                  <c:v>1961</c:v>
                </c:pt>
              </c:numCache>
            </c:numRef>
          </c:val>
          <c:smooth val="0"/>
          <c:extLst>
            <c:ext xmlns:c16="http://schemas.microsoft.com/office/drawing/2014/chart" uri="{C3380CC4-5D6E-409C-BE32-E72D297353CC}">
              <c16:uniqueId val="{00000001-B99D-4885-8A37-7D984BE61F59}"/>
            </c:ext>
          </c:extLst>
        </c:ser>
        <c:ser>
          <c:idx val="1"/>
          <c:order val="2"/>
          <c:tx>
            <c:strRef>
              <c:f>Sheet2!$J$16</c:f>
              <c:strCache>
                <c:ptCount val="1"/>
                <c:pt idx="0">
                  <c:v>Short postnatal</c:v>
                </c:pt>
              </c:strCache>
            </c:strRef>
          </c:tx>
          <c:spPr>
            <a:ln w="28575" cap="rnd">
              <a:solidFill>
                <a:schemeClr val="accent2"/>
              </a:solidFill>
              <a:round/>
            </a:ln>
            <a:effectLst/>
          </c:spPr>
          <c:marker>
            <c:symbol val="none"/>
          </c:marker>
          <c:cat>
            <c:multiLvlStrRef>
              <c:f>Sheet2!$C$18:$D$26</c:f>
              <c:multiLvlStrCache>
                <c:ptCount val="9"/>
                <c:lvl>
                  <c:pt idx="0">
                    <c:v>Q2</c:v>
                  </c:pt>
                  <c:pt idx="1">
                    <c:v>Q3</c:v>
                  </c:pt>
                  <c:pt idx="2">
                    <c:v>Q4</c:v>
                  </c:pt>
                  <c:pt idx="3">
                    <c:v>Q1</c:v>
                  </c:pt>
                  <c:pt idx="4">
                    <c:v>Q2</c:v>
                  </c:pt>
                  <c:pt idx="5">
                    <c:v>Q3</c:v>
                  </c:pt>
                  <c:pt idx="6">
                    <c:v>Q4</c:v>
                  </c:pt>
                  <c:pt idx="7">
                    <c:v>Q1</c:v>
                  </c:pt>
                  <c:pt idx="8">
                    <c:v>Q2</c:v>
                  </c:pt>
                </c:lvl>
                <c:lvl>
                  <c:pt idx="0">
                    <c:v>2020</c:v>
                  </c:pt>
                  <c:pt idx="3">
                    <c:v>2021</c:v>
                  </c:pt>
                  <c:pt idx="7">
                    <c:v>2022</c:v>
                  </c:pt>
                </c:lvl>
              </c:multiLvlStrCache>
            </c:multiLvlStrRef>
          </c:cat>
          <c:val>
            <c:numRef>
              <c:f>Sheet2!$J$18:$J$26</c:f>
              <c:numCache>
                <c:formatCode>#,##0</c:formatCode>
                <c:ptCount val="9"/>
                <c:pt idx="0">
                  <c:v>1104</c:v>
                </c:pt>
                <c:pt idx="1">
                  <c:v>1054</c:v>
                </c:pt>
                <c:pt idx="2">
                  <c:v>1031</c:v>
                </c:pt>
                <c:pt idx="3">
                  <c:v>1231</c:v>
                </c:pt>
                <c:pt idx="4">
                  <c:v>1367</c:v>
                </c:pt>
                <c:pt idx="5">
                  <c:v>1830</c:v>
                </c:pt>
                <c:pt idx="6">
                  <c:v>1978</c:v>
                </c:pt>
                <c:pt idx="7">
                  <c:v>2304</c:v>
                </c:pt>
                <c:pt idx="8">
                  <c:v>2212</c:v>
                </c:pt>
              </c:numCache>
            </c:numRef>
          </c:val>
          <c:smooth val="0"/>
          <c:extLst>
            <c:ext xmlns:c16="http://schemas.microsoft.com/office/drawing/2014/chart" uri="{C3380CC4-5D6E-409C-BE32-E72D297353CC}">
              <c16:uniqueId val="{00000002-B99D-4885-8A37-7D984BE61F59}"/>
            </c:ext>
          </c:extLst>
        </c:ser>
        <c:ser>
          <c:idx val="3"/>
          <c:order val="3"/>
          <c:tx>
            <c:strRef>
              <c:f>Sheet2!$L$16</c:f>
              <c:strCache>
                <c:ptCount val="1"/>
                <c:pt idx="0">
                  <c:v>Long postnatal</c:v>
                </c:pt>
              </c:strCache>
            </c:strRef>
          </c:tx>
          <c:spPr>
            <a:ln w="28575" cap="rnd">
              <a:solidFill>
                <a:schemeClr val="accent4"/>
              </a:solidFill>
              <a:round/>
            </a:ln>
            <a:effectLst/>
          </c:spPr>
          <c:marker>
            <c:symbol val="none"/>
          </c:marker>
          <c:cat>
            <c:multiLvlStrRef>
              <c:f>Sheet2!$C$18:$D$26</c:f>
              <c:multiLvlStrCache>
                <c:ptCount val="9"/>
                <c:lvl>
                  <c:pt idx="0">
                    <c:v>Q2</c:v>
                  </c:pt>
                  <c:pt idx="1">
                    <c:v>Q3</c:v>
                  </c:pt>
                  <c:pt idx="2">
                    <c:v>Q4</c:v>
                  </c:pt>
                  <c:pt idx="3">
                    <c:v>Q1</c:v>
                  </c:pt>
                  <c:pt idx="4">
                    <c:v>Q2</c:v>
                  </c:pt>
                  <c:pt idx="5">
                    <c:v>Q3</c:v>
                  </c:pt>
                  <c:pt idx="6">
                    <c:v>Q4</c:v>
                  </c:pt>
                  <c:pt idx="7">
                    <c:v>Q1</c:v>
                  </c:pt>
                  <c:pt idx="8">
                    <c:v>Q2</c:v>
                  </c:pt>
                </c:lvl>
                <c:lvl>
                  <c:pt idx="0">
                    <c:v>2020</c:v>
                  </c:pt>
                  <c:pt idx="3">
                    <c:v>2021</c:v>
                  </c:pt>
                  <c:pt idx="7">
                    <c:v>2022</c:v>
                  </c:pt>
                </c:lvl>
              </c:multiLvlStrCache>
            </c:multiLvlStrRef>
          </c:cat>
          <c:val>
            <c:numRef>
              <c:f>Sheet2!$L$18:$L$26</c:f>
              <c:numCache>
                <c:formatCode>#,##0</c:formatCode>
                <c:ptCount val="9"/>
                <c:pt idx="0">
                  <c:v>1226</c:v>
                </c:pt>
                <c:pt idx="1">
                  <c:v>752</c:v>
                </c:pt>
                <c:pt idx="2">
                  <c:v>647</c:v>
                </c:pt>
                <c:pt idx="3">
                  <c:v>631</c:v>
                </c:pt>
                <c:pt idx="4">
                  <c:v>781</c:v>
                </c:pt>
                <c:pt idx="5">
                  <c:v>956</c:v>
                </c:pt>
                <c:pt idx="6">
                  <c:v>1030</c:v>
                </c:pt>
                <c:pt idx="7">
                  <c:v>1360</c:v>
                </c:pt>
                <c:pt idx="8">
                  <c:v>1482</c:v>
                </c:pt>
              </c:numCache>
            </c:numRef>
          </c:val>
          <c:smooth val="0"/>
          <c:extLst>
            <c:ext xmlns:c16="http://schemas.microsoft.com/office/drawing/2014/chart" uri="{C3380CC4-5D6E-409C-BE32-E72D297353CC}">
              <c16:uniqueId val="{00000003-B99D-4885-8A37-7D984BE61F59}"/>
            </c:ext>
          </c:extLst>
        </c:ser>
        <c:dLbls>
          <c:showLegendKey val="0"/>
          <c:showVal val="0"/>
          <c:showCatName val="0"/>
          <c:showSerName val="0"/>
          <c:showPercent val="0"/>
          <c:showBubbleSize val="0"/>
        </c:dLbls>
        <c:smooth val="0"/>
        <c:axId val="2034896528"/>
        <c:axId val="2034896944"/>
      </c:lineChart>
      <c:catAx>
        <c:axId val="203489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896944"/>
        <c:crosses val="autoZero"/>
        <c:auto val="1"/>
        <c:lblAlgn val="ctr"/>
        <c:lblOffset val="100"/>
        <c:noMultiLvlLbl val="0"/>
      </c:catAx>
      <c:valAx>
        <c:axId val="203489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89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PI02a!$AV$20</c:f>
              <c:strCache>
                <c:ptCount val="1"/>
                <c:pt idx="0">
                  <c:v>Private</c:v>
                </c:pt>
              </c:strCache>
            </c:strRef>
          </c:tx>
          <c:spPr>
            <a:ln w="28575" cap="rnd">
              <a:solidFill>
                <a:schemeClr val="accent1"/>
              </a:solidFill>
              <a:round/>
            </a:ln>
            <a:effectLst/>
          </c:spPr>
          <c:marker>
            <c:symbol val="none"/>
          </c:marker>
          <c:cat>
            <c:strRef>
              <c:f>PI02a!$V$21:$V$29</c:f>
              <c:strCache>
                <c:ptCount val="9"/>
                <c:pt idx="0">
                  <c:v>2011</c:v>
                </c:pt>
                <c:pt idx="1">
                  <c:v>2012</c:v>
                </c:pt>
                <c:pt idx="2">
                  <c:v>2013</c:v>
                </c:pt>
                <c:pt idx="3">
                  <c:v>2014</c:v>
                </c:pt>
                <c:pt idx="4">
                  <c:v>2015</c:v>
                </c:pt>
                <c:pt idx="5">
                  <c:v>2016</c:v>
                </c:pt>
                <c:pt idx="6">
                  <c:v>2017</c:v>
                </c:pt>
                <c:pt idx="7">
                  <c:v>2018</c:v>
                </c:pt>
                <c:pt idx="8">
                  <c:v>2019</c:v>
                </c:pt>
              </c:strCache>
            </c:strRef>
          </c:cat>
          <c:val>
            <c:numRef>
              <c:f>PI02a!$AV$21:$AV$29</c:f>
              <c:numCache>
                <c:formatCode>0.0%</c:formatCode>
                <c:ptCount val="9"/>
                <c:pt idx="0">
                  <c:v>0.874</c:v>
                </c:pt>
                <c:pt idx="1">
                  <c:v>0.878</c:v>
                </c:pt>
                <c:pt idx="2">
                  <c:v>0.877</c:v>
                </c:pt>
                <c:pt idx="3">
                  <c:v>0.877</c:v>
                </c:pt>
                <c:pt idx="4">
                  <c:v>0.86699999999999999</c:v>
                </c:pt>
                <c:pt idx="5">
                  <c:v>0.86699999999999999</c:v>
                </c:pt>
                <c:pt idx="6">
                  <c:v>0.85199999999999998</c:v>
                </c:pt>
                <c:pt idx="7">
                  <c:v>0.84899999999999998</c:v>
                </c:pt>
                <c:pt idx="8">
                  <c:v>0.84599999999999997</c:v>
                </c:pt>
              </c:numCache>
            </c:numRef>
          </c:val>
          <c:smooth val="0"/>
          <c:extLst>
            <c:ext xmlns:c16="http://schemas.microsoft.com/office/drawing/2014/chart" uri="{C3380CC4-5D6E-409C-BE32-E72D297353CC}">
              <c16:uniqueId val="{00000000-C088-44DC-AB4E-F2EC080A11E9}"/>
            </c:ext>
          </c:extLst>
        </c:ser>
        <c:ser>
          <c:idx val="1"/>
          <c:order val="1"/>
          <c:tx>
            <c:strRef>
              <c:f>PI02a!$AW$20</c:f>
              <c:strCache>
                <c:ptCount val="1"/>
                <c:pt idx="0">
                  <c:v>Public</c:v>
                </c:pt>
              </c:strCache>
            </c:strRef>
          </c:tx>
          <c:spPr>
            <a:ln w="28575" cap="rnd">
              <a:solidFill>
                <a:schemeClr val="accent2"/>
              </a:solidFill>
              <a:round/>
            </a:ln>
            <a:effectLst/>
          </c:spPr>
          <c:marker>
            <c:symbol val="none"/>
          </c:marker>
          <c:cat>
            <c:strRef>
              <c:f>PI02a!$V$21:$V$29</c:f>
              <c:strCache>
                <c:ptCount val="9"/>
                <c:pt idx="0">
                  <c:v>2011</c:v>
                </c:pt>
                <c:pt idx="1">
                  <c:v>2012</c:v>
                </c:pt>
                <c:pt idx="2">
                  <c:v>2013</c:v>
                </c:pt>
                <c:pt idx="3">
                  <c:v>2014</c:v>
                </c:pt>
                <c:pt idx="4">
                  <c:v>2015</c:v>
                </c:pt>
                <c:pt idx="5">
                  <c:v>2016</c:v>
                </c:pt>
                <c:pt idx="6">
                  <c:v>2017</c:v>
                </c:pt>
                <c:pt idx="7">
                  <c:v>2018</c:v>
                </c:pt>
                <c:pt idx="8">
                  <c:v>2019</c:v>
                </c:pt>
              </c:strCache>
            </c:strRef>
          </c:cat>
          <c:val>
            <c:numRef>
              <c:f>PI02a!$AW$21:$AW$29</c:f>
              <c:numCache>
                <c:formatCode>0.0%</c:formatCode>
                <c:ptCount val="9"/>
                <c:pt idx="0">
                  <c:v>0.57299999999999995</c:v>
                </c:pt>
                <c:pt idx="1">
                  <c:v>0.53100000000000003</c:v>
                </c:pt>
                <c:pt idx="2">
                  <c:v>0.51900000000000002</c:v>
                </c:pt>
                <c:pt idx="3">
                  <c:v>0.51900000000000002</c:v>
                </c:pt>
                <c:pt idx="4">
                  <c:v>0.56599999999999995</c:v>
                </c:pt>
                <c:pt idx="5">
                  <c:v>0.622</c:v>
                </c:pt>
                <c:pt idx="6">
                  <c:v>0.67500000000000004</c:v>
                </c:pt>
                <c:pt idx="7">
                  <c:v>0.70699999999999996</c:v>
                </c:pt>
                <c:pt idx="8">
                  <c:v>0.74099999999999999</c:v>
                </c:pt>
              </c:numCache>
            </c:numRef>
          </c:val>
          <c:smooth val="0"/>
          <c:extLst>
            <c:ext xmlns:c16="http://schemas.microsoft.com/office/drawing/2014/chart" uri="{C3380CC4-5D6E-409C-BE32-E72D297353CC}">
              <c16:uniqueId val="{00000001-C088-44DC-AB4E-F2EC080A11E9}"/>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PI02b!$AU$20</c:f>
              <c:strCache>
                <c:ptCount val="1"/>
                <c:pt idx="0">
                  <c:v>Private</c:v>
                </c:pt>
              </c:strCache>
            </c:strRef>
          </c:tx>
          <c:spPr>
            <a:ln w="28575" cap="rnd">
              <a:solidFill>
                <a:schemeClr val="accent1"/>
              </a:solidFill>
              <a:round/>
            </a:ln>
            <a:effectLst/>
          </c:spPr>
          <c:marker>
            <c:symbol val="none"/>
          </c:marker>
          <c:cat>
            <c:strRef>
              <c:f>PI02b!$U$21:$U$29</c:f>
              <c:strCache>
                <c:ptCount val="9"/>
                <c:pt idx="0">
                  <c:v>2011</c:v>
                </c:pt>
                <c:pt idx="1">
                  <c:v>2012</c:v>
                </c:pt>
                <c:pt idx="2">
                  <c:v>2013</c:v>
                </c:pt>
                <c:pt idx="3">
                  <c:v>2014</c:v>
                </c:pt>
                <c:pt idx="4">
                  <c:v>2015</c:v>
                </c:pt>
                <c:pt idx="5">
                  <c:v>2016</c:v>
                </c:pt>
                <c:pt idx="6">
                  <c:v>2017</c:v>
                </c:pt>
                <c:pt idx="7">
                  <c:v>2018</c:v>
                </c:pt>
                <c:pt idx="8">
                  <c:v>2019</c:v>
                </c:pt>
              </c:strCache>
            </c:strRef>
          </c:cat>
          <c:val>
            <c:numRef>
              <c:f>PI02b!$AU$21:$AU$29</c:f>
              <c:numCache>
                <c:formatCode>0.0%</c:formatCode>
                <c:ptCount val="9"/>
                <c:pt idx="0">
                  <c:v>0.47799999999999998</c:v>
                </c:pt>
                <c:pt idx="1">
                  <c:v>0.48299999999999998</c:v>
                </c:pt>
                <c:pt idx="2">
                  <c:v>0.48699999999999999</c:v>
                </c:pt>
                <c:pt idx="3">
                  <c:v>0.51</c:v>
                </c:pt>
                <c:pt idx="4">
                  <c:v>0.52</c:v>
                </c:pt>
                <c:pt idx="5">
                  <c:v>0.52</c:v>
                </c:pt>
                <c:pt idx="6">
                  <c:v>0.51</c:v>
                </c:pt>
                <c:pt idx="7">
                  <c:v>0.51300000000000001</c:v>
                </c:pt>
                <c:pt idx="8">
                  <c:v>0.51800000000000002</c:v>
                </c:pt>
              </c:numCache>
            </c:numRef>
          </c:val>
          <c:smooth val="0"/>
          <c:extLst>
            <c:ext xmlns:c16="http://schemas.microsoft.com/office/drawing/2014/chart" uri="{C3380CC4-5D6E-409C-BE32-E72D297353CC}">
              <c16:uniqueId val="{00000000-3F89-4C35-904C-CE2A3EE1E543}"/>
            </c:ext>
          </c:extLst>
        </c:ser>
        <c:ser>
          <c:idx val="1"/>
          <c:order val="1"/>
          <c:tx>
            <c:strRef>
              <c:f>PI02b!$AV$20</c:f>
              <c:strCache>
                <c:ptCount val="1"/>
                <c:pt idx="0">
                  <c:v>Public</c:v>
                </c:pt>
              </c:strCache>
            </c:strRef>
          </c:tx>
          <c:spPr>
            <a:ln w="28575" cap="rnd">
              <a:solidFill>
                <a:schemeClr val="accent2"/>
              </a:solidFill>
              <a:round/>
            </a:ln>
            <a:effectLst/>
          </c:spPr>
          <c:marker>
            <c:symbol val="none"/>
          </c:marker>
          <c:cat>
            <c:strRef>
              <c:f>PI02b!$U$21:$U$29</c:f>
              <c:strCache>
                <c:ptCount val="9"/>
                <c:pt idx="0">
                  <c:v>2011</c:v>
                </c:pt>
                <c:pt idx="1">
                  <c:v>2012</c:v>
                </c:pt>
                <c:pt idx="2">
                  <c:v>2013</c:v>
                </c:pt>
                <c:pt idx="3">
                  <c:v>2014</c:v>
                </c:pt>
                <c:pt idx="4">
                  <c:v>2015</c:v>
                </c:pt>
                <c:pt idx="5">
                  <c:v>2016</c:v>
                </c:pt>
                <c:pt idx="6">
                  <c:v>2017</c:v>
                </c:pt>
                <c:pt idx="7">
                  <c:v>2018</c:v>
                </c:pt>
                <c:pt idx="8">
                  <c:v>2019</c:v>
                </c:pt>
              </c:strCache>
            </c:strRef>
          </c:cat>
          <c:val>
            <c:numRef>
              <c:f>PI02b!$AV$21:$AV$29</c:f>
              <c:numCache>
                <c:formatCode>0.0%</c:formatCode>
                <c:ptCount val="9"/>
                <c:pt idx="0">
                  <c:v>0.33700000000000002</c:v>
                </c:pt>
                <c:pt idx="1">
                  <c:v>0.29699999999999999</c:v>
                </c:pt>
                <c:pt idx="2">
                  <c:v>0.28199999999999997</c:v>
                </c:pt>
                <c:pt idx="3">
                  <c:v>0.28599999999999998</c:v>
                </c:pt>
                <c:pt idx="4">
                  <c:v>0.32900000000000001</c:v>
                </c:pt>
                <c:pt idx="5">
                  <c:v>0.40300000000000002</c:v>
                </c:pt>
                <c:pt idx="6">
                  <c:v>0.46899999999999997</c:v>
                </c:pt>
                <c:pt idx="7">
                  <c:v>0.52700000000000002</c:v>
                </c:pt>
                <c:pt idx="8">
                  <c:v>0.56999999999999995</c:v>
                </c:pt>
              </c:numCache>
            </c:numRef>
          </c:val>
          <c:smooth val="0"/>
          <c:extLst>
            <c:ext xmlns:c16="http://schemas.microsoft.com/office/drawing/2014/chart" uri="{C3380CC4-5D6E-409C-BE32-E72D297353CC}">
              <c16:uniqueId val="{00000001-3F89-4C35-904C-CE2A3EE1E543}"/>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6"/>
          <c:order val="0"/>
          <c:tx>
            <c:strRef>
              <c:f>'5 or more antenatal visits'!$Q$10</c:f>
              <c:strCache>
                <c:ptCount val="1"/>
                <c:pt idx="0">
                  <c:v>Total</c:v>
                </c:pt>
              </c:strCache>
            </c:strRef>
          </c:tx>
          <c:spPr>
            <a:ln w="28575" cap="rnd">
              <a:solidFill>
                <a:schemeClr val="accent1">
                  <a:lumMod val="60000"/>
                </a:schemeClr>
              </a:solidFill>
              <a:round/>
            </a:ln>
            <a:effectLst/>
          </c:spPr>
          <c:marker>
            <c:symbol val="none"/>
          </c:marker>
          <c:cat>
            <c:strLit>
              <c:ptCount val="8"/>
              <c:pt idx="0">
                <c:v>2012</c:v>
              </c:pt>
              <c:pt idx="1">
                <c:v>2013</c:v>
              </c:pt>
              <c:pt idx="2">
                <c:v>2014</c:v>
              </c:pt>
              <c:pt idx="3">
                <c:v>2015</c:v>
              </c:pt>
              <c:pt idx="4">
                <c:v>2016</c:v>
              </c:pt>
              <c:pt idx="5">
                <c:v>2017</c:v>
              </c:pt>
              <c:pt idx="6">
                <c:v>2018</c:v>
              </c:pt>
              <c:pt idx="7">
                <c:v>2019</c:v>
              </c:pt>
              <c:extLst>
                <c:ext xmlns:c15="http://schemas.microsoft.com/office/drawing/2012/chart" uri="{02D57815-91ED-43cb-92C2-25804820EDAC}">
                  <c15:autoCat val="1"/>
                </c:ext>
              </c:extLst>
            </c:strLit>
          </c:cat>
          <c:val>
            <c:numRef>
              <c:f>'5 or more antenatal visits'!$Q$11:$Q$18</c:f>
              <c:numCache>
                <c:formatCode>0%</c:formatCode>
                <c:ptCount val="8"/>
                <c:pt idx="0">
                  <c:v>0.95200000000000007</c:v>
                </c:pt>
                <c:pt idx="1">
                  <c:v>0.95400000000000007</c:v>
                </c:pt>
                <c:pt idx="2">
                  <c:v>0.95200000000000007</c:v>
                </c:pt>
                <c:pt idx="3">
                  <c:v>0.95499999999999996</c:v>
                </c:pt>
                <c:pt idx="4">
                  <c:v>0.95700000000000007</c:v>
                </c:pt>
                <c:pt idx="5">
                  <c:v>0.95700000000000007</c:v>
                </c:pt>
                <c:pt idx="6">
                  <c:v>0.95400000000000007</c:v>
                </c:pt>
                <c:pt idx="7">
                  <c:v>0.95499999999999996</c:v>
                </c:pt>
              </c:numCache>
              <c:extLst/>
            </c:numRef>
          </c:val>
          <c:smooth val="0"/>
          <c:extLst>
            <c:ext xmlns:c16="http://schemas.microsoft.com/office/drawing/2014/chart" uri="{C3380CC4-5D6E-409C-BE32-E72D297353CC}">
              <c16:uniqueId val="{00000000-1205-46C8-AB57-C97BCAFFF5C9}"/>
            </c:ext>
          </c:extLst>
        </c:ser>
        <c:ser>
          <c:idx val="0"/>
          <c:order val="1"/>
          <c:tx>
            <c:strRef>
              <c:f>'5 or more antenatal visits'!$S$10</c:f>
              <c:strCache>
                <c:ptCount val="1"/>
                <c:pt idx="0">
                  <c:v>Younger than 20</c:v>
                </c:pt>
              </c:strCache>
            </c:strRef>
          </c:tx>
          <c:spPr>
            <a:ln w="28575" cap="rnd">
              <a:solidFill>
                <a:schemeClr val="accent1"/>
              </a:solidFill>
              <a:round/>
            </a:ln>
            <a:effectLst/>
          </c:spPr>
          <c:marker>
            <c:symbol val="none"/>
          </c:marker>
          <c:cat>
            <c:numRef>
              <c:f>'5 or more antenatal visits'!$N$11:$N$18</c:f>
              <c:numCache>
                <c:formatCode>General</c:formatCode>
                <c:ptCount val="8"/>
                <c:pt idx="0">
                  <c:v>2012</c:v>
                </c:pt>
                <c:pt idx="1">
                  <c:v>2013</c:v>
                </c:pt>
                <c:pt idx="2">
                  <c:v>2014</c:v>
                </c:pt>
                <c:pt idx="3">
                  <c:v>2015</c:v>
                </c:pt>
                <c:pt idx="4">
                  <c:v>2016</c:v>
                </c:pt>
                <c:pt idx="5">
                  <c:v>2017</c:v>
                </c:pt>
                <c:pt idx="6">
                  <c:v>2018</c:v>
                </c:pt>
                <c:pt idx="7">
                  <c:v>2019</c:v>
                </c:pt>
              </c:numCache>
              <c:extLst/>
            </c:numRef>
          </c:cat>
          <c:val>
            <c:numRef>
              <c:f>'5 or more antenatal visits'!$S$11:$S$18</c:f>
              <c:numCache>
                <c:formatCode>0%</c:formatCode>
                <c:ptCount val="8"/>
                <c:pt idx="0">
                  <c:v>0.90400000000000003</c:v>
                </c:pt>
                <c:pt idx="1">
                  <c:v>0.90900000000000003</c:v>
                </c:pt>
                <c:pt idx="2">
                  <c:v>0.90700000000000003</c:v>
                </c:pt>
                <c:pt idx="3">
                  <c:v>0.91299999999999992</c:v>
                </c:pt>
                <c:pt idx="4">
                  <c:v>0.90700000000000003</c:v>
                </c:pt>
                <c:pt idx="5">
                  <c:v>0.91500000000000004</c:v>
                </c:pt>
                <c:pt idx="6">
                  <c:v>0.91200000000000003</c:v>
                </c:pt>
                <c:pt idx="7">
                  <c:v>0.91400000000000003</c:v>
                </c:pt>
              </c:numCache>
              <c:extLst/>
            </c:numRef>
          </c:val>
          <c:smooth val="0"/>
          <c:extLst>
            <c:ext xmlns:c16="http://schemas.microsoft.com/office/drawing/2014/chart" uri="{C3380CC4-5D6E-409C-BE32-E72D297353CC}">
              <c16:uniqueId val="{00000001-1205-46C8-AB57-C97BCAFFF5C9}"/>
            </c:ext>
          </c:extLst>
        </c:ser>
        <c:ser>
          <c:idx val="1"/>
          <c:order val="2"/>
          <c:tx>
            <c:strRef>
              <c:f>'5 or more antenatal visits'!$T$10</c:f>
              <c:strCache>
                <c:ptCount val="1"/>
                <c:pt idx="0">
                  <c:v>20-24</c:v>
                </c:pt>
              </c:strCache>
            </c:strRef>
          </c:tx>
          <c:spPr>
            <a:ln w="28575" cap="rnd">
              <a:solidFill>
                <a:schemeClr val="accent2"/>
              </a:solidFill>
              <a:round/>
            </a:ln>
            <a:effectLst/>
          </c:spPr>
          <c:marker>
            <c:symbol val="none"/>
          </c:marker>
          <c:cat>
            <c:numRef>
              <c:f>'5 or more antenatal visits'!$N$11:$N$18</c:f>
              <c:numCache>
                <c:formatCode>General</c:formatCode>
                <c:ptCount val="8"/>
                <c:pt idx="0">
                  <c:v>2012</c:v>
                </c:pt>
                <c:pt idx="1">
                  <c:v>2013</c:v>
                </c:pt>
                <c:pt idx="2">
                  <c:v>2014</c:v>
                </c:pt>
                <c:pt idx="3">
                  <c:v>2015</c:v>
                </c:pt>
                <c:pt idx="4">
                  <c:v>2016</c:v>
                </c:pt>
                <c:pt idx="5">
                  <c:v>2017</c:v>
                </c:pt>
                <c:pt idx="6">
                  <c:v>2018</c:v>
                </c:pt>
                <c:pt idx="7">
                  <c:v>2019</c:v>
                </c:pt>
              </c:numCache>
              <c:extLst/>
            </c:numRef>
          </c:cat>
          <c:val>
            <c:numRef>
              <c:f>'5 or more antenatal visits'!$T$11:$T$18</c:f>
              <c:numCache>
                <c:formatCode>0%</c:formatCode>
                <c:ptCount val="8"/>
                <c:pt idx="0">
                  <c:v>0.92500000000000004</c:v>
                </c:pt>
                <c:pt idx="1">
                  <c:v>0.92799999999999994</c:v>
                </c:pt>
                <c:pt idx="2">
                  <c:v>0.93</c:v>
                </c:pt>
                <c:pt idx="3">
                  <c:v>0.93299999999999994</c:v>
                </c:pt>
                <c:pt idx="4">
                  <c:v>0.93500000000000005</c:v>
                </c:pt>
                <c:pt idx="5">
                  <c:v>0.93799999999999994</c:v>
                </c:pt>
                <c:pt idx="6">
                  <c:v>0.93400000000000005</c:v>
                </c:pt>
                <c:pt idx="7">
                  <c:v>0.93599999999999994</c:v>
                </c:pt>
              </c:numCache>
              <c:extLst/>
            </c:numRef>
          </c:val>
          <c:smooth val="0"/>
          <c:extLst>
            <c:ext xmlns:c16="http://schemas.microsoft.com/office/drawing/2014/chart" uri="{C3380CC4-5D6E-409C-BE32-E72D297353CC}">
              <c16:uniqueId val="{00000002-1205-46C8-AB57-C97BCAFFF5C9}"/>
            </c:ext>
          </c:extLst>
        </c:ser>
        <c:ser>
          <c:idx val="2"/>
          <c:order val="3"/>
          <c:tx>
            <c:strRef>
              <c:f>'5 or more antenatal visits'!$U$10</c:f>
              <c:strCache>
                <c:ptCount val="1"/>
                <c:pt idx="0">
                  <c:v>25-29</c:v>
                </c:pt>
              </c:strCache>
            </c:strRef>
          </c:tx>
          <c:spPr>
            <a:ln w="28575" cap="rnd">
              <a:solidFill>
                <a:schemeClr val="accent3"/>
              </a:solidFill>
              <a:round/>
            </a:ln>
            <a:effectLst/>
          </c:spPr>
          <c:marker>
            <c:symbol val="none"/>
          </c:marker>
          <c:cat>
            <c:numRef>
              <c:f>'5 or more antenatal visits'!$N$11:$N$18</c:f>
              <c:numCache>
                <c:formatCode>General</c:formatCode>
                <c:ptCount val="8"/>
                <c:pt idx="0">
                  <c:v>2012</c:v>
                </c:pt>
                <c:pt idx="1">
                  <c:v>2013</c:v>
                </c:pt>
                <c:pt idx="2">
                  <c:v>2014</c:v>
                </c:pt>
                <c:pt idx="3">
                  <c:v>2015</c:v>
                </c:pt>
                <c:pt idx="4">
                  <c:v>2016</c:v>
                </c:pt>
                <c:pt idx="5">
                  <c:v>2017</c:v>
                </c:pt>
                <c:pt idx="6">
                  <c:v>2018</c:v>
                </c:pt>
                <c:pt idx="7">
                  <c:v>2019</c:v>
                </c:pt>
              </c:numCache>
              <c:extLst/>
            </c:numRef>
          </c:cat>
          <c:val>
            <c:numRef>
              <c:f>'5 or more antenatal visits'!$U$11:$U$18</c:f>
              <c:numCache>
                <c:formatCode>0%</c:formatCode>
                <c:ptCount val="8"/>
                <c:pt idx="0">
                  <c:v>0.95099999999999996</c:v>
                </c:pt>
                <c:pt idx="1">
                  <c:v>0.95400000000000007</c:v>
                </c:pt>
                <c:pt idx="2">
                  <c:v>0.95099999999999996</c:v>
                </c:pt>
                <c:pt idx="3">
                  <c:v>0.95299999999999996</c:v>
                </c:pt>
                <c:pt idx="4">
                  <c:v>0.95599999999999996</c:v>
                </c:pt>
                <c:pt idx="5">
                  <c:v>0.95499999999999996</c:v>
                </c:pt>
                <c:pt idx="6">
                  <c:v>0.95200000000000007</c:v>
                </c:pt>
                <c:pt idx="7">
                  <c:v>0.95400000000000007</c:v>
                </c:pt>
              </c:numCache>
              <c:extLst/>
            </c:numRef>
          </c:val>
          <c:smooth val="0"/>
          <c:extLst>
            <c:ext xmlns:c16="http://schemas.microsoft.com/office/drawing/2014/chart" uri="{C3380CC4-5D6E-409C-BE32-E72D297353CC}">
              <c16:uniqueId val="{00000003-1205-46C8-AB57-C97BCAFFF5C9}"/>
            </c:ext>
          </c:extLst>
        </c:ser>
        <c:ser>
          <c:idx val="3"/>
          <c:order val="4"/>
          <c:tx>
            <c:strRef>
              <c:f>'5 or more antenatal visits'!$V$10</c:f>
              <c:strCache>
                <c:ptCount val="1"/>
                <c:pt idx="0">
                  <c:v>30-34</c:v>
                </c:pt>
              </c:strCache>
            </c:strRef>
          </c:tx>
          <c:spPr>
            <a:ln w="28575" cap="rnd">
              <a:solidFill>
                <a:schemeClr val="accent4"/>
              </a:solidFill>
              <a:round/>
            </a:ln>
            <a:effectLst/>
          </c:spPr>
          <c:marker>
            <c:symbol val="none"/>
          </c:marker>
          <c:cat>
            <c:numRef>
              <c:f>'5 or more antenatal visits'!$N$11:$N$18</c:f>
              <c:numCache>
                <c:formatCode>General</c:formatCode>
                <c:ptCount val="8"/>
                <c:pt idx="0">
                  <c:v>2012</c:v>
                </c:pt>
                <c:pt idx="1">
                  <c:v>2013</c:v>
                </c:pt>
                <c:pt idx="2">
                  <c:v>2014</c:v>
                </c:pt>
                <c:pt idx="3">
                  <c:v>2015</c:v>
                </c:pt>
                <c:pt idx="4">
                  <c:v>2016</c:v>
                </c:pt>
                <c:pt idx="5">
                  <c:v>2017</c:v>
                </c:pt>
                <c:pt idx="6">
                  <c:v>2018</c:v>
                </c:pt>
                <c:pt idx="7">
                  <c:v>2019</c:v>
                </c:pt>
              </c:numCache>
              <c:extLst/>
            </c:numRef>
          </c:cat>
          <c:val>
            <c:numRef>
              <c:f>'5 or more antenatal visits'!$V$11:$V$18</c:f>
              <c:numCache>
                <c:formatCode>0%</c:formatCode>
                <c:ptCount val="8"/>
                <c:pt idx="0">
                  <c:v>0.96299999999999997</c:v>
                </c:pt>
                <c:pt idx="1">
                  <c:v>0.96400000000000008</c:v>
                </c:pt>
                <c:pt idx="2">
                  <c:v>0.96099999999999997</c:v>
                </c:pt>
                <c:pt idx="3">
                  <c:v>0.96400000000000008</c:v>
                </c:pt>
                <c:pt idx="4">
                  <c:v>0.96400000000000008</c:v>
                </c:pt>
                <c:pt idx="5">
                  <c:v>0.96400000000000008</c:v>
                </c:pt>
                <c:pt idx="6">
                  <c:v>0.96099999999999997</c:v>
                </c:pt>
                <c:pt idx="7">
                  <c:v>0.96099999999999997</c:v>
                </c:pt>
              </c:numCache>
              <c:extLst/>
            </c:numRef>
          </c:val>
          <c:smooth val="0"/>
          <c:extLst>
            <c:ext xmlns:c16="http://schemas.microsoft.com/office/drawing/2014/chart" uri="{C3380CC4-5D6E-409C-BE32-E72D297353CC}">
              <c16:uniqueId val="{00000004-1205-46C8-AB57-C97BCAFFF5C9}"/>
            </c:ext>
          </c:extLst>
        </c:ser>
        <c:ser>
          <c:idx val="4"/>
          <c:order val="5"/>
          <c:tx>
            <c:strRef>
              <c:f>'5 or more antenatal visits'!$W$10</c:f>
              <c:strCache>
                <c:ptCount val="1"/>
                <c:pt idx="0">
                  <c:v>35-39</c:v>
                </c:pt>
              </c:strCache>
            </c:strRef>
          </c:tx>
          <c:spPr>
            <a:ln w="28575" cap="rnd">
              <a:solidFill>
                <a:schemeClr val="accent5"/>
              </a:solidFill>
              <a:round/>
            </a:ln>
            <a:effectLst/>
          </c:spPr>
          <c:marker>
            <c:symbol val="none"/>
          </c:marker>
          <c:cat>
            <c:numRef>
              <c:f>'5 or more antenatal visits'!$N$11:$N$18</c:f>
              <c:numCache>
                <c:formatCode>General</c:formatCode>
                <c:ptCount val="8"/>
                <c:pt idx="0">
                  <c:v>2012</c:v>
                </c:pt>
                <c:pt idx="1">
                  <c:v>2013</c:v>
                </c:pt>
                <c:pt idx="2">
                  <c:v>2014</c:v>
                </c:pt>
                <c:pt idx="3">
                  <c:v>2015</c:v>
                </c:pt>
                <c:pt idx="4">
                  <c:v>2016</c:v>
                </c:pt>
                <c:pt idx="5">
                  <c:v>2017</c:v>
                </c:pt>
                <c:pt idx="6">
                  <c:v>2018</c:v>
                </c:pt>
                <c:pt idx="7">
                  <c:v>2019</c:v>
                </c:pt>
              </c:numCache>
              <c:extLst/>
            </c:numRef>
          </c:cat>
          <c:val>
            <c:numRef>
              <c:f>'5 or more antenatal visits'!$W$11:$W$18</c:f>
              <c:numCache>
                <c:formatCode>0%</c:formatCode>
                <c:ptCount val="8"/>
                <c:pt idx="0">
                  <c:v>0.96299999999999997</c:v>
                </c:pt>
                <c:pt idx="1">
                  <c:v>0.96400000000000008</c:v>
                </c:pt>
                <c:pt idx="2">
                  <c:v>0.96200000000000008</c:v>
                </c:pt>
                <c:pt idx="3">
                  <c:v>0.96299999999999997</c:v>
                </c:pt>
                <c:pt idx="4">
                  <c:v>0.96599999999999997</c:v>
                </c:pt>
                <c:pt idx="5">
                  <c:v>0.96400000000000008</c:v>
                </c:pt>
                <c:pt idx="6">
                  <c:v>0.96099999999999997</c:v>
                </c:pt>
                <c:pt idx="7">
                  <c:v>0.96099999999999997</c:v>
                </c:pt>
              </c:numCache>
              <c:extLst/>
            </c:numRef>
          </c:val>
          <c:smooth val="0"/>
          <c:extLst>
            <c:ext xmlns:c16="http://schemas.microsoft.com/office/drawing/2014/chart" uri="{C3380CC4-5D6E-409C-BE32-E72D297353CC}">
              <c16:uniqueId val="{00000005-1205-46C8-AB57-C97BCAFFF5C9}"/>
            </c:ext>
          </c:extLst>
        </c:ser>
        <c:ser>
          <c:idx val="5"/>
          <c:order val="6"/>
          <c:tx>
            <c:strRef>
              <c:f>'5 or more antenatal visits'!$X$10</c:f>
              <c:strCache>
                <c:ptCount val="1"/>
                <c:pt idx="0">
                  <c:v>40 and over</c:v>
                </c:pt>
              </c:strCache>
            </c:strRef>
          </c:tx>
          <c:spPr>
            <a:ln w="28575" cap="rnd">
              <a:solidFill>
                <a:schemeClr val="accent6"/>
              </a:solidFill>
              <a:round/>
            </a:ln>
            <a:effectLst/>
          </c:spPr>
          <c:marker>
            <c:symbol val="none"/>
          </c:marker>
          <c:cat>
            <c:numRef>
              <c:f>'5 or more antenatal visits'!$N$11:$N$18</c:f>
              <c:numCache>
                <c:formatCode>General</c:formatCode>
                <c:ptCount val="8"/>
                <c:pt idx="0">
                  <c:v>2012</c:v>
                </c:pt>
                <c:pt idx="1">
                  <c:v>2013</c:v>
                </c:pt>
                <c:pt idx="2">
                  <c:v>2014</c:v>
                </c:pt>
                <c:pt idx="3">
                  <c:v>2015</c:v>
                </c:pt>
                <c:pt idx="4">
                  <c:v>2016</c:v>
                </c:pt>
                <c:pt idx="5">
                  <c:v>2017</c:v>
                </c:pt>
                <c:pt idx="6">
                  <c:v>2018</c:v>
                </c:pt>
                <c:pt idx="7">
                  <c:v>2019</c:v>
                </c:pt>
              </c:numCache>
              <c:extLst/>
            </c:numRef>
          </c:cat>
          <c:val>
            <c:numRef>
              <c:f>'5 or more antenatal visits'!$X$11:$X$18</c:f>
              <c:numCache>
                <c:formatCode>0%</c:formatCode>
                <c:ptCount val="8"/>
                <c:pt idx="0">
                  <c:v>0.96099999999999997</c:v>
                </c:pt>
                <c:pt idx="1">
                  <c:v>0.96299999999999997</c:v>
                </c:pt>
                <c:pt idx="2">
                  <c:v>0.96299999999999997</c:v>
                </c:pt>
                <c:pt idx="3">
                  <c:v>0.96400000000000008</c:v>
                </c:pt>
                <c:pt idx="4">
                  <c:v>0.96499999999999997</c:v>
                </c:pt>
                <c:pt idx="5">
                  <c:v>0.95900000000000007</c:v>
                </c:pt>
                <c:pt idx="6">
                  <c:v>0.95700000000000007</c:v>
                </c:pt>
                <c:pt idx="7">
                  <c:v>0.95700000000000007</c:v>
                </c:pt>
              </c:numCache>
              <c:extLst/>
            </c:numRef>
          </c:val>
          <c:smooth val="0"/>
          <c:extLst>
            <c:ext xmlns:c16="http://schemas.microsoft.com/office/drawing/2014/chart" uri="{C3380CC4-5D6E-409C-BE32-E72D297353CC}">
              <c16:uniqueId val="{00000006-1205-46C8-AB57-C97BCAFFF5C9}"/>
            </c:ext>
          </c:extLst>
        </c:ser>
        <c:dLbls>
          <c:showLegendKey val="0"/>
          <c:showVal val="0"/>
          <c:showCatName val="0"/>
          <c:showSerName val="0"/>
          <c:showPercent val="0"/>
          <c:showBubbleSize val="0"/>
        </c:dLbls>
        <c:smooth val="0"/>
        <c:axId val="1785326623"/>
        <c:axId val="1785328287"/>
      </c:lineChart>
      <c:catAx>
        <c:axId val="1785326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328287"/>
        <c:crosses val="autoZero"/>
        <c:auto val="1"/>
        <c:lblAlgn val="ctr"/>
        <c:lblOffset val="100"/>
        <c:noMultiLvlLbl val="0"/>
      </c:catAx>
      <c:valAx>
        <c:axId val="1785328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326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'Onset of labour'!$S$35</c:f>
              <c:strCache>
                <c:ptCount val="1"/>
                <c:pt idx="0">
                  <c:v>Spontaneous</c:v>
                </c:pt>
              </c:strCache>
            </c:strRef>
          </c:tx>
          <c:spPr>
            <a:ln w="28575" cap="rnd">
              <a:solidFill>
                <a:schemeClr val="accent3"/>
              </a:solidFill>
              <a:round/>
            </a:ln>
            <a:effectLst/>
          </c:spPr>
          <c:marker>
            <c:symbol val="none"/>
          </c:marker>
          <c:cat>
            <c:numRef>
              <c:f>'Onset of labour'!$P$36:$P$45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'Onset of labour'!$V$36:$V$45</c:f>
              <c:numCache>
                <c:formatCode>General</c:formatCode>
                <c:ptCount val="10"/>
                <c:pt idx="0">
                  <c:v>0.56000000000000005</c:v>
                </c:pt>
                <c:pt idx="1">
                  <c:v>0.54799999999999993</c:v>
                </c:pt>
                <c:pt idx="2">
                  <c:v>0.54200000000000004</c:v>
                </c:pt>
                <c:pt idx="3">
                  <c:v>0.52700000000000002</c:v>
                </c:pt>
                <c:pt idx="4">
                  <c:v>0.51300000000000001</c:v>
                </c:pt>
                <c:pt idx="5">
                  <c:v>0.501</c:v>
                </c:pt>
                <c:pt idx="6">
                  <c:v>0.48399999999999999</c:v>
                </c:pt>
                <c:pt idx="7">
                  <c:v>0.45600000000000002</c:v>
                </c:pt>
                <c:pt idx="8">
                  <c:v>0.43200000000000005</c:v>
                </c:pt>
                <c:pt idx="9">
                  <c:v>0.42499999999999999</c:v>
                </c:pt>
              </c:numCache>
            </c:numRef>
          </c:val>
          <c:smooth val="0"/>
          <c:extLst>
            <c:ext xmlns:c16="http://schemas.microsoft.com/office/drawing/2014/chart" uri="{C3380CC4-5D6E-409C-BE32-E72D297353CC}">
              <c16:uniqueId val="{00000000-7360-412B-9D14-0895F80891E3}"/>
            </c:ext>
          </c:extLst>
        </c:ser>
        <c:ser>
          <c:idx val="0"/>
          <c:order val="1"/>
          <c:tx>
            <c:strRef>
              <c:f>'Onset of labour'!$Q$35</c:f>
              <c:strCache>
                <c:ptCount val="1"/>
                <c:pt idx="0">
                  <c:v>Induced</c:v>
                </c:pt>
              </c:strCache>
            </c:strRef>
          </c:tx>
          <c:spPr>
            <a:ln w="28575" cap="rnd">
              <a:solidFill>
                <a:schemeClr val="accent1"/>
              </a:solidFill>
              <a:round/>
            </a:ln>
            <a:effectLst/>
          </c:spPr>
          <c:marker>
            <c:symbol val="none"/>
          </c:marker>
          <c:cat>
            <c:numRef>
              <c:f>'Onset of labour'!$P$36:$P$45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'Onset of labour'!$T$36:$T$45</c:f>
              <c:numCache>
                <c:formatCode>General</c:formatCode>
                <c:ptCount val="10"/>
                <c:pt idx="0">
                  <c:v>0.252</c:v>
                </c:pt>
                <c:pt idx="1">
                  <c:v>0.26</c:v>
                </c:pt>
                <c:pt idx="2">
                  <c:v>0.26300000000000001</c:v>
                </c:pt>
                <c:pt idx="3">
                  <c:v>0.27600000000000002</c:v>
                </c:pt>
                <c:pt idx="4">
                  <c:v>0.28399999999999997</c:v>
                </c:pt>
                <c:pt idx="5">
                  <c:v>0.29299999999999998</c:v>
                </c:pt>
                <c:pt idx="6">
                  <c:v>0.30499999999999999</c:v>
                </c:pt>
                <c:pt idx="7">
                  <c:v>0.32500000000000001</c:v>
                </c:pt>
                <c:pt idx="8">
                  <c:v>0.34200000000000003</c:v>
                </c:pt>
                <c:pt idx="9">
                  <c:v>0.34700000000000003</c:v>
                </c:pt>
              </c:numCache>
            </c:numRef>
          </c:val>
          <c:smooth val="0"/>
          <c:extLst>
            <c:ext xmlns:c16="http://schemas.microsoft.com/office/drawing/2014/chart" uri="{C3380CC4-5D6E-409C-BE32-E72D297353CC}">
              <c16:uniqueId val="{00000001-7360-412B-9D14-0895F80891E3}"/>
            </c:ext>
          </c:extLst>
        </c:ser>
        <c:ser>
          <c:idx val="1"/>
          <c:order val="2"/>
          <c:tx>
            <c:strRef>
              <c:f>'Onset of labour'!$R$35</c:f>
              <c:strCache>
                <c:ptCount val="1"/>
                <c:pt idx="0">
                  <c:v>No labour</c:v>
                </c:pt>
              </c:strCache>
            </c:strRef>
          </c:tx>
          <c:spPr>
            <a:ln w="28575" cap="rnd">
              <a:solidFill>
                <a:schemeClr val="accent2"/>
              </a:solidFill>
              <a:round/>
            </a:ln>
            <a:effectLst/>
          </c:spPr>
          <c:marker>
            <c:symbol val="none"/>
          </c:marker>
          <c:cat>
            <c:numRef>
              <c:f>'Onset of labour'!$P$36:$P$45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'Onset of labour'!$U$36:$U$45</c:f>
              <c:numCache>
                <c:formatCode>General</c:formatCode>
                <c:ptCount val="10"/>
                <c:pt idx="0">
                  <c:v>0.188</c:v>
                </c:pt>
                <c:pt idx="1">
                  <c:v>0.191</c:v>
                </c:pt>
                <c:pt idx="2">
                  <c:v>0.19399999999999998</c:v>
                </c:pt>
                <c:pt idx="3">
                  <c:v>0.19699999999999998</c:v>
                </c:pt>
                <c:pt idx="4">
                  <c:v>0.20300000000000001</c:v>
                </c:pt>
                <c:pt idx="5">
                  <c:v>0.20499999999999999</c:v>
                </c:pt>
                <c:pt idx="6">
                  <c:v>0.21</c:v>
                </c:pt>
                <c:pt idx="7">
                  <c:v>0.21899999999999997</c:v>
                </c:pt>
                <c:pt idx="8">
                  <c:v>0.22500000000000001</c:v>
                </c:pt>
                <c:pt idx="9">
                  <c:v>0.22699999999999998</c:v>
                </c:pt>
              </c:numCache>
            </c:numRef>
          </c:val>
          <c:smooth val="0"/>
          <c:extLst>
            <c:ext xmlns:c16="http://schemas.microsoft.com/office/drawing/2014/chart" uri="{C3380CC4-5D6E-409C-BE32-E72D297353CC}">
              <c16:uniqueId val="{00000002-7360-412B-9D14-0895F80891E3}"/>
            </c:ext>
          </c:extLst>
        </c:ser>
        <c:dLbls>
          <c:showLegendKey val="0"/>
          <c:showVal val="0"/>
          <c:showCatName val="0"/>
          <c:showSerName val="0"/>
          <c:showPercent val="0"/>
          <c:showBubbleSize val="0"/>
        </c:dLbls>
        <c:smooth val="0"/>
        <c:axId val="1789627247"/>
        <c:axId val="1789623919"/>
      </c:lineChart>
      <c:catAx>
        <c:axId val="178962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9623919"/>
        <c:crosses val="autoZero"/>
        <c:auto val="1"/>
        <c:lblAlgn val="ctr"/>
        <c:lblOffset val="100"/>
        <c:noMultiLvlLbl val="0"/>
      </c:catAx>
      <c:valAx>
        <c:axId val="1789623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9627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'PI05'!$W$20</c:f>
              <c:strCache>
                <c:ptCount val="1"/>
                <c:pt idx="0">
                  <c:v>Total</c:v>
                </c:pt>
              </c:strCache>
            </c:strRef>
          </c:tx>
          <c:spPr>
            <a:ln w="28575" cap="rnd">
              <a:solidFill>
                <a:schemeClr val="accent1"/>
              </a:solidFill>
              <a:round/>
            </a:ln>
            <a:effectLst/>
          </c:spPr>
          <c:marker>
            <c:symbol val="none"/>
          </c:marker>
          <c:cat>
            <c:strRef>
              <c:f>'PI05'!$U$21:$U$29</c:f>
              <c:strCache>
                <c:ptCount val="9"/>
                <c:pt idx="0">
                  <c:v>2011</c:v>
                </c:pt>
                <c:pt idx="1">
                  <c:v>2012</c:v>
                </c:pt>
                <c:pt idx="2">
                  <c:v>2013</c:v>
                </c:pt>
                <c:pt idx="3">
                  <c:v>2014</c:v>
                </c:pt>
                <c:pt idx="4">
                  <c:v>2015</c:v>
                </c:pt>
                <c:pt idx="5">
                  <c:v>2016</c:v>
                </c:pt>
                <c:pt idx="6">
                  <c:v>2017</c:v>
                </c:pt>
                <c:pt idx="7">
                  <c:v>2018</c:v>
                </c:pt>
                <c:pt idx="8">
                  <c:v>2019</c:v>
                </c:pt>
              </c:strCache>
            </c:strRef>
          </c:cat>
          <c:val>
            <c:numRef>
              <c:f>'PI05'!$W$21:$W$29</c:f>
              <c:numCache>
                <c:formatCode>0.0%</c:formatCode>
                <c:ptCount val="9"/>
                <c:pt idx="0">
                  <c:v>0.33600000000000002</c:v>
                </c:pt>
                <c:pt idx="1">
                  <c:v>0.34</c:v>
                </c:pt>
                <c:pt idx="2">
                  <c:v>0.36099999999999999</c:v>
                </c:pt>
                <c:pt idx="3">
                  <c:v>0.373</c:v>
                </c:pt>
                <c:pt idx="4">
                  <c:v>0.38900000000000001</c:v>
                </c:pt>
                <c:pt idx="5">
                  <c:v>0.40500000000000003</c:v>
                </c:pt>
                <c:pt idx="6">
                  <c:v>0.43099999999999999</c:v>
                </c:pt>
                <c:pt idx="7">
                  <c:v>0.45300000000000001</c:v>
                </c:pt>
                <c:pt idx="8">
                  <c:v>0.46800000000000003</c:v>
                </c:pt>
              </c:numCache>
            </c:numRef>
          </c:val>
          <c:smooth val="0"/>
          <c:extLst>
            <c:ext xmlns:c16="http://schemas.microsoft.com/office/drawing/2014/chart" uri="{C3380CC4-5D6E-409C-BE32-E72D297353CC}">
              <c16:uniqueId val="{00000000-930E-4E8F-BE18-CCC950F375D8}"/>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'Method of birth'!$M$44</c:f>
              <c:strCache>
                <c:ptCount val="1"/>
                <c:pt idx="0">
                  <c:v>Non-instrumental vaginal birth</c:v>
                </c:pt>
              </c:strCache>
            </c:strRef>
          </c:tx>
          <c:spPr>
            <a:ln w="28575" cap="rnd">
              <a:solidFill>
                <a:schemeClr val="accent1"/>
              </a:solidFill>
              <a:round/>
            </a:ln>
            <a:effectLst/>
          </c:spPr>
          <c:marker>
            <c:symbol val="none"/>
          </c:marker>
          <c:cat>
            <c:numRef>
              <c:f>'Method of birth'!$L$45:$L$54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'Method of birth'!$P$45:$P$54</c:f>
              <c:numCache>
                <c:formatCode>General</c:formatCode>
                <c:ptCount val="10"/>
                <c:pt idx="0">
                  <c:v>0.56299999999999994</c:v>
                </c:pt>
                <c:pt idx="1">
                  <c:v>0.55600000000000005</c:v>
                </c:pt>
                <c:pt idx="2">
                  <c:v>0.55200000000000005</c:v>
                </c:pt>
                <c:pt idx="3">
                  <c:v>0.54799999999999993</c:v>
                </c:pt>
                <c:pt idx="4">
                  <c:v>0.54400000000000004</c:v>
                </c:pt>
                <c:pt idx="5">
                  <c:v>0.54200000000000004</c:v>
                </c:pt>
                <c:pt idx="6">
                  <c:v>0.53400000000000003</c:v>
                </c:pt>
                <c:pt idx="7">
                  <c:v>0.52800000000000002</c:v>
                </c:pt>
                <c:pt idx="8">
                  <c:v>0.52</c:v>
                </c:pt>
                <c:pt idx="9">
                  <c:v>0.51300000000000001</c:v>
                </c:pt>
              </c:numCache>
            </c:numRef>
          </c:val>
          <c:smooth val="0"/>
          <c:extLst>
            <c:ext xmlns:c16="http://schemas.microsoft.com/office/drawing/2014/chart" uri="{C3380CC4-5D6E-409C-BE32-E72D297353CC}">
              <c16:uniqueId val="{00000000-9507-4695-BDE7-E76E03A83073}"/>
            </c:ext>
          </c:extLst>
        </c:ser>
        <c:ser>
          <c:idx val="2"/>
          <c:order val="1"/>
          <c:tx>
            <c:strRef>
              <c:f>'Method of birth'!$O$44</c:f>
              <c:strCache>
                <c:ptCount val="1"/>
                <c:pt idx="0">
                  <c:v>Caesarean section</c:v>
                </c:pt>
              </c:strCache>
            </c:strRef>
          </c:tx>
          <c:spPr>
            <a:ln w="28575" cap="rnd">
              <a:solidFill>
                <a:schemeClr val="accent3"/>
              </a:solidFill>
              <a:round/>
            </a:ln>
            <a:effectLst/>
          </c:spPr>
          <c:marker>
            <c:symbol val="none"/>
          </c:marker>
          <c:cat>
            <c:numRef>
              <c:f>'Method of birth'!$L$45:$L$54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'Method of birth'!$R$45:$R$54</c:f>
              <c:numCache>
                <c:formatCode>General</c:formatCode>
                <c:ptCount val="10"/>
                <c:pt idx="0">
                  <c:v>0.316</c:v>
                </c:pt>
                <c:pt idx="1">
                  <c:v>0.32299999999999995</c:v>
                </c:pt>
                <c:pt idx="2">
                  <c:v>0.32400000000000001</c:v>
                </c:pt>
                <c:pt idx="3">
                  <c:v>0.32799999999999996</c:v>
                </c:pt>
                <c:pt idx="4">
                  <c:v>0.33100000000000002</c:v>
                </c:pt>
                <c:pt idx="5">
                  <c:v>0.33299999999999996</c:v>
                </c:pt>
                <c:pt idx="6">
                  <c:v>0.33799999999999997</c:v>
                </c:pt>
                <c:pt idx="7">
                  <c:v>0.34600000000000003</c:v>
                </c:pt>
                <c:pt idx="8">
                  <c:v>0.35299999999999998</c:v>
                </c:pt>
                <c:pt idx="9">
                  <c:v>0.36</c:v>
                </c:pt>
              </c:numCache>
            </c:numRef>
          </c:val>
          <c:smooth val="0"/>
          <c:extLst>
            <c:ext xmlns:c16="http://schemas.microsoft.com/office/drawing/2014/chart" uri="{C3380CC4-5D6E-409C-BE32-E72D297353CC}">
              <c16:uniqueId val="{00000001-9507-4695-BDE7-E76E03A83073}"/>
            </c:ext>
          </c:extLst>
        </c:ser>
        <c:ser>
          <c:idx val="1"/>
          <c:order val="2"/>
          <c:tx>
            <c:strRef>
              <c:f>'Method of birth'!$N$44</c:f>
              <c:strCache>
                <c:ptCount val="1"/>
                <c:pt idx="0">
                  <c:v>Instrumental vaginal birth</c:v>
                </c:pt>
              </c:strCache>
            </c:strRef>
          </c:tx>
          <c:spPr>
            <a:ln w="28575" cap="rnd">
              <a:solidFill>
                <a:schemeClr val="accent2"/>
              </a:solidFill>
              <a:round/>
            </a:ln>
            <a:effectLst/>
          </c:spPr>
          <c:marker>
            <c:symbol val="none"/>
          </c:marker>
          <c:cat>
            <c:numRef>
              <c:f>'Method of birth'!$L$45:$L$54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'Method of birth'!$Q$45:$Q$54</c:f>
              <c:numCache>
                <c:formatCode>General</c:formatCode>
                <c:ptCount val="10"/>
                <c:pt idx="0">
                  <c:v>0.12</c:v>
                </c:pt>
                <c:pt idx="1">
                  <c:v>0.121</c:v>
                </c:pt>
                <c:pt idx="2">
                  <c:v>0.124</c:v>
                </c:pt>
                <c:pt idx="3">
                  <c:v>0.124</c:v>
                </c:pt>
                <c:pt idx="4">
                  <c:v>0.125</c:v>
                </c:pt>
                <c:pt idx="5">
                  <c:v>0.125</c:v>
                </c:pt>
                <c:pt idx="6">
                  <c:v>0.128</c:v>
                </c:pt>
                <c:pt idx="7">
                  <c:v>0.126</c:v>
                </c:pt>
                <c:pt idx="8">
                  <c:v>0.127</c:v>
                </c:pt>
                <c:pt idx="9">
                  <c:v>0.126</c:v>
                </c:pt>
              </c:numCache>
            </c:numRef>
          </c:val>
          <c:smooth val="0"/>
          <c:extLst>
            <c:ext xmlns:c16="http://schemas.microsoft.com/office/drawing/2014/chart" uri="{C3380CC4-5D6E-409C-BE32-E72D297353CC}">
              <c16:uniqueId val="{00000002-9507-4695-BDE7-E76E03A83073}"/>
            </c:ext>
          </c:extLst>
        </c:ser>
        <c:dLbls>
          <c:showLegendKey val="0"/>
          <c:showVal val="0"/>
          <c:showCatName val="0"/>
          <c:showSerName val="0"/>
          <c:showPercent val="0"/>
          <c:showBubbleSize val="0"/>
        </c:dLbls>
        <c:smooth val="0"/>
        <c:axId val="31048463"/>
        <c:axId val="31042223"/>
      </c:lineChart>
      <c:catAx>
        <c:axId val="3104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42223"/>
        <c:crosses val="autoZero"/>
        <c:auto val="1"/>
        <c:lblAlgn val="ctr"/>
        <c:lblOffset val="100"/>
        <c:noMultiLvlLbl val="0"/>
      </c:catAx>
      <c:valAx>
        <c:axId val="31042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4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'PI06'!$AN$19</c:f>
              <c:strCache>
                <c:ptCount val="1"/>
                <c:pt idx="0">
                  <c:v>Private</c:v>
                </c:pt>
              </c:strCache>
            </c:strRef>
          </c:tx>
          <c:spPr>
            <a:ln w="28575" cap="rnd">
              <a:solidFill>
                <a:schemeClr val="accent1"/>
              </a:solidFill>
              <a:round/>
            </a:ln>
            <a:effectLst/>
          </c:spPr>
          <c:marker>
            <c:symbol val="none"/>
          </c:marker>
          <c:cat>
            <c:strRef>
              <c:f>'PI06'!$U$20:$U$28</c:f>
              <c:strCache>
                <c:ptCount val="9"/>
                <c:pt idx="0">
                  <c:v>2011</c:v>
                </c:pt>
                <c:pt idx="1">
                  <c:v>2012</c:v>
                </c:pt>
                <c:pt idx="2">
                  <c:v>2013</c:v>
                </c:pt>
                <c:pt idx="3">
                  <c:v>2014</c:v>
                </c:pt>
                <c:pt idx="4">
                  <c:v>2015</c:v>
                </c:pt>
                <c:pt idx="5">
                  <c:v>2016</c:v>
                </c:pt>
                <c:pt idx="6">
                  <c:v>2017</c:v>
                </c:pt>
                <c:pt idx="7">
                  <c:v>2018</c:v>
                </c:pt>
                <c:pt idx="8">
                  <c:v>2019</c:v>
                </c:pt>
              </c:strCache>
            </c:strRef>
          </c:cat>
          <c:val>
            <c:numRef>
              <c:f>'PI06'!$AN$20:$AN$28</c:f>
              <c:numCache>
                <c:formatCode>0.0%</c:formatCode>
                <c:ptCount val="9"/>
                <c:pt idx="0">
                  <c:v>0.35699999999999998</c:v>
                </c:pt>
                <c:pt idx="1">
                  <c:v>0.36499999999999999</c:v>
                </c:pt>
                <c:pt idx="2">
                  <c:v>0.36499999999999999</c:v>
                </c:pt>
                <c:pt idx="3">
                  <c:v>0.371</c:v>
                </c:pt>
                <c:pt idx="4">
                  <c:v>0.373</c:v>
                </c:pt>
                <c:pt idx="5">
                  <c:v>0.38200000000000001</c:v>
                </c:pt>
                <c:pt idx="6">
                  <c:v>0.39900000000000002</c:v>
                </c:pt>
                <c:pt idx="7">
                  <c:v>0.40600000000000003</c:v>
                </c:pt>
                <c:pt idx="8">
                  <c:v>0.41299999999999998</c:v>
                </c:pt>
              </c:numCache>
            </c:numRef>
          </c:val>
          <c:smooth val="0"/>
          <c:extLst>
            <c:ext xmlns:c16="http://schemas.microsoft.com/office/drawing/2014/chart" uri="{C3380CC4-5D6E-409C-BE32-E72D297353CC}">
              <c16:uniqueId val="{00000000-7384-473A-8F13-D7FA0A5C85DD}"/>
            </c:ext>
          </c:extLst>
        </c:ser>
        <c:ser>
          <c:idx val="1"/>
          <c:order val="1"/>
          <c:tx>
            <c:strRef>
              <c:f>'PI06'!$AO$19</c:f>
              <c:strCache>
                <c:ptCount val="1"/>
                <c:pt idx="0">
                  <c:v>Public</c:v>
                </c:pt>
              </c:strCache>
            </c:strRef>
          </c:tx>
          <c:spPr>
            <a:ln w="28575" cap="rnd">
              <a:solidFill>
                <a:schemeClr val="accent2"/>
              </a:solidFill>
              <a:round/>
            </a:ln>
            <a:effectLst/>
          </c:spPr>
          <c:marker>
            <c:symbol val="none"/>
          </c:marker>
          <c:cat>
            <c:strRef>
              <c:f>'PI06'!$U$20:$U$28</c:f>
              <c:strCache>
                <c:ptCount val="9"/>
                <c:pt idx="0">
                  <c:v>2011</c:v>
                </c:pt>
                <c:pt idx="1">
                  <c:v>2012</c:v>
                </c:pt>
                <c:pt idx="2">
                  <c:v>2013</c:v>
                </c:pt>
                <c:pt idx="3">
                  <c:v>2014</c:v>
                </c:pt>
                <c:pt idx="4">
                  <c:v>2015</c:v>
                </c:pt>
                <c:pt idx="5">
                  <c:v>2016</c:v>
                </c:pt>
                <c:pt idx="6">
                  <c:v>2017</c:v>
                </c:pt>
                <c:pt idx="7">
                  <c:v>2018</c:v>
                </c:pt>
                <c:pt idx="8">
                  <c:v>2019</c:v>
                </c:pt>
              </c:strCache>
            </c:strRef>
          </c:cat>
          <c:val>
            <c:numRef>
              <c:f>'PI06'!$AO$20:$AO$28</c:f>
              <c:numCache>
                <c:formatCode>0.0%</c:formatCode>
                <c:ptCount val="9"/>
                <c:pt idx="0">
                  <c:v>0.249</c:v>
                </c:pt>
                <c:pt idx="1">
                  <c:v>0.24399999999999999</c:v>
                </c:pt>
                <c:pt idx="2">
                  <c:v>0.248</c:v>
                </c:pt>
                <c:pt idx="3">
                  <c:v>0.251</c:v>
                </c:pt>
                <c:pt idx="4">
                  <c:v>0.252</c:v>
                </c:pt>
                <c:pt idx="5">
                  <c:v>0.25800000000000001</c:v>
                </c:pt>
                <c:pt idx="6">
                  <c:v>0.26600000000000001</c:v>
                </c:pt>
                <c:pt idx="7">
                  <c:v>0.27900000000000003</c:v>
                </c:pt>
                <c:pt idx="8">
                  <c:v>0.28299999999999997</c:v>
                </c:pt>
              </c:numCache>
            </c:numRef>
          </c:val>
          <c:smooth val="0"/>
          <c:extLst>
            <c:ext xmlns:c16="http://schemas.microsoft.com/office/drawing/2014/chart" uri="{C3380CC4-5D6E-409C-BE32-E72D297353CC}">
              <c16:uniqueId val="{00000001-7384-473A-8F13-D7FA0A5C85DD}"/>
            </c:ext>
          </c:extLst>
        </c:ser>
        <c:dLbls>
          <c:showLegendKey val="0"/>
          <c:showVal val="0"/>
          <c:showCatName val="0"/>
          <c:showSerName val="0"/>
          <c:showPercent val="0"/>
          <c:showBubbleSize val="0"/>
        </c:dLbls>
        <c:smooth val="0"/>
        <c:axId val="744323087"/>
        <c:axId val="1056542047"/>
      </c:lineChart>
      <c:catAx>
        <c:axId val="7443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42047"/>
        <c:crosses val="autoZero"/>
        <c:auto val="1"/>
        <c:lblAlgn val="ctr"/>
        <c:lblOffset val="100"/>
        <c:noMultiLvlLbl val="0"/>
      </c:catAx>
      <c:valAx>
        <c:axId val="105654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32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8" ma:contentTypeDescription="Create a new document." ma:contentTypeScope="" ma:versionID="275a497eed24445a6224ee0c8735039e">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748da65c5daf9fb82c4cee607e9ed719"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249E-8112-4A5C-A634-E3DC395BF150}">
  <ds:schemaRefs>
    <ds:schemaRef ds:uri="http://schemas.microsoft.com/office/2006/metadata/properties"/>
    <ds:schemaRef ds:uri="http://purl.org/dc/terms/"/>
    <ds:schemaRef ds:uri="http://schemas.microsoft.com/office/2006/documentManagement/types"/>
    <ds:schemaRef ds:uri="35e90531-66c0-4c16-b5ef-47d924f5a338"/>
    <ds:schemaRef ds:uri="http://schemas.openxmlformats.org/package/2006/metadata/core-properties"/>
    <ds:schemaRef ds:uri="45f19e5a-3f6a-44b0-9966-0a3477558b0f"/>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EA73CB0-323E-4A88-972D-745225DB5844}">
  <ds:schemaRefs>
    <ds:schemaRef ds:uri="http://schemas.microsoft.com/sharepoint/v3/contenttype/forms"/>
  </ds:schemaRefs>
</ds:datastoreItem>
</file>

<file path=customXml/itemProps3.xml><?xml version="1.0" encoding="utf-8"?>
<ds:datastoreItem xmlns:ds="http://schemas.openxmlformats.org/officeDocument/2006/customXml" ds:itemID="{430CB4C4-A8BE-4E53-A584-313DC9CA9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C1A317-09E8-42F5-B1BF-618F3B4E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100</Pages>
  <Words>42780</Words>
  <Characters>318006</Characters>
  <Application>Microsoft Office Word</Application>
  <DocSecurity>0</DocSecurity>
  <Lines>2650</Lines>
  <Paragraphs>720</Paragraphs>
  <ScaleCrop>false</ScaleCrop>
  <HeadingPairs>
    <vt:vector size="2" baseType="variant">
      <vt:variant>
        <vt:lpstr>Title</vt:lpstr>
      </vt:variant>
      <vt:variant>
        <vt:i4>1</vt:i4>
      </vt:variant>
    </vt:vector>
  </HeadingPairs>
  <TitlesOfParts>
    <vt:vector size="1" baseType="lpstr">
      <vt:lpstr>Monitoring and evaluation services for Woman-centred care – Strategic directions for Australian maternity services</vt:lpstr>
    </vt:vector>
  </TitlesOfParts>
  <Company/>
  <LinksUpToDate>false</LinksUpToDate>
  <CharactersWithSpaces>360066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and evaluation services for Woman-centred care – Strategic directions for Australian maternity services</dc:title>
  <dc:subject/>
  <dc:creator>Australian Government Department of Health and Aged Care</dc:creator>
  <cp:keywords>pregnancy, birth and baby; nurses and midwives;</cp:keywords>
  <dc:description/>
  <cp:lastModifiedBy>HAMLEY, Erynn</cp:lastModifiedBy>
  <cp:revision>3</cp:revision>
  <cp:lastPrinted>2023-06-01T02:46:00Z</cp:lastPrinted>
  <dcterms:created xsi:type="dcterms:W3CDTF">2023-06-01T02:46:00Z</dcterms:created>
  <dcterms:modified xsi:type="dcterms:W3CDTF">2023-06-01T02:48:00Z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ContentTypeId">
    <vt:lpwstr>0x0101008A4B7EB362182F48AEF77DFA2F6D5B5B</vt:lpwstr>
  </property>
</Properties>
</file>