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D411" w14:textId="77777777" w:rsidR="00302DE4" w:rsidRPr="007625DF" w:rsidRDefault="00405024" w:rsidP="00450FA2">
      <w:pPr>
        <w:spacing w:before="1200" w:line="240" w:lineRule="auto"/>
        <w:jc w:val="center"/>
        <w:rPr>
          <w:rFonts w:cstheme="minorHAnsi"/>
          <w:b/>
          <w:bCs/>
          <w:iCs/>
          <w:sz w:val="52"/>
          <w:szCs w:val="52"/>
        </w:rPr>
      </w:pPr>
      <w:bookmarkStart w:id="0" w:name="_MacBuGuideStaticData_5506H"/>
      <w:bookmarkStart w:id="1" w:name="_MacBuGuideStaticData_2925H"/>
      <w:bookmarkStart w:id="2" w:name="_MacBuGuideStaticData_10168V"/>
      <w:bookmarkStart w:id="3" w:name="_MacBuGuideStaticData_4526H"/>
      <w:r w:rsidRPr="007625DF">
        <w:rPr>
          <w:rFonts w:cstheme="minorHAnsi"/>
          <w:b/>
          <w:bCs/>
          <w:iCs/>
          <w:sz w:val="52"/>
          <w:szCs w:val="52"/>
        </w:rPr>
        <w:t>Integrating Pharmacists within Aboriginal Community Controlled Health Services to improve Chronic Di</w:t>
      </w:r>
      <w:r w:rsidR="007D3906" w:rsidRPr="007625DF">
        <w:rPr>
          <w:rFonts w:cstheme="minorHAnsi"/>
          <w:b/>
          <w:bCs/>
          <w:iCs/>
          <w:sz w:val="52"/>
          <w:szCs w:val="52"/>
        </w:rPr>
        <w:t xml:space="preserve">sease Management </w:t>
      </w:r>
      <w:r w:rsidRPr="007625DF">
        <w:rPr>
          <w:rFonts w:cstheme="minorHAnsi"/>
          <w:b/>
          <w:bCs/>
          <w:iCs/>
          <w:sz w:val="52"/>
          <w:szCs w:val="52"/>
        </w:rPr>
        <w:t xml:space="preserve">(IPAC) </w:t>
      </w:r>
      <w:r w:rsidR="007D3906" w:rsidRPr="007625DF">
        <w:rPr>
          <w:rFonts w:cstheme="minorHAnsi"/>
          <w:b/>
          <w:bCs/>
          <w:iCs/>
          <w:sz w:val="52"/>
          <w:szCs w:val="52"/>
        </w:rPr>
        <w:t>Project</w:t>
      </w:r>
    </w:p>
    <w:p w14:paraId="623B7C4D" w14:textId="77777777" w:rsidR="007D3906" w:rsidRPr="007625DF" w:rsidRDefault="007D3906" w:rsidP="00450FA2">
      <w:pPr>
        <w:spacing w:before="1200" w:line="240" w:lineRule="auto"/>
        <w:jc w:val="center"/>
        <w:rPr>
          <w:rFonts w:cstheme="minorHAnsi"/>
          <w:b/>
          <w:bCs/>
          <w:iCs/>
          <w:sz w:val="52"/>
          <w:szCs w:val="52"/>
        </w:rPr>
      </w:pPr>
      <w:r w:rsidRPr="007625DF">
        <w:rPr>
          <w:rFonts w:cstheme="minorHAnsi"/>
          <w:b/>
          <w:bCs/>
          <w:iCs/>
          <w:sz w:val="52"/>
          <w:szCs w:val="52"/>
        </w:rPr>
        <w:t>Executive Summary</w:t>
      </w:r>
    </w:p>
    <w:p w14:paraId="1F1C74E9" w14:textId="77777777" w:rsidR="007D3906" w:rsidRPr="007625DF" w:rsidRDefault="007D3906" w:rsidP="00CA778E">
      <w:pPr>
        <w:spacing w:line="240" w:lineRule="auto"/>
        <w:jc w:val="center"/>
        <w:rPr>
          <w:rFonts w:cstheme="minorHAnsi"/>
          <w:b/>
          <w:bCs/>
          <w:iCs/>
          <w:sz w:val="52"/>
          <w:szCs w:val="52"/>
        </w:rPr>
      </w:pPr>
      <w:r w:rsidRPr="007625DF">
        <w:rPr>
          <w:rFonts w:cstheme="minorHAnsi"/>
          <w:b/>
          <w:bCs/>
          <w:iCs/>
          <w:sz w:val="52"/>
          <w:szCs w:val="52"/>
        </w:rPr>
        <w:t>Final Report</w:t>
      </w:r>
      <w:r w:rsidR="002653C1" w:rsidRPr="007625DF">
        <w:rPr>
          <w:rFonts w:cstheme="minorHAnsi"/>
          <w:b/>
          <w:bCs/>
          <w:iCs/>
          <w:sz w:val="52"/>
          <w:szCs w:val="52"/>
        </w:rPr>
        <w:t xml:space="preserve"> - Part A</w:t>
      </w:r>
    </w:p>
    <w:p w14:paraId="089907C1" w14:textId="3C9A1A24" w:rsidR="00405024" w:rsidRPr="00A332FF" w:rsidRDefault="007228E3" w:rsidP="00FB68C2">
      <w:pPr>
        <w:spacing w:before="400" w:line="240" w:lineRule="auto"/>
        <w:jc w:val="center"/>
        <w:rPr>
          <w:rFonts w:cstheme="minorHAnsi"/>
          <w:b/>
          <w:bCs/>
          <w:iCs/>
          <w:sz w:val="44"/>
          <w:szCs w:val="44"/>
        </w:rPr>
      </w:pPr>
      <w:r>
        <w:rPr>
          <w:rFonts w:cstheme="minorHAnsi"/>
          <w:b/>
          <w:bCs/>
          <w:iCs/>
          <w:sz w:val="44"/>
          <w:szCs w:val="44"/>
        </w:rPr>
        <w:t xml:space="preserve">June </w:t>
      </w:r>
      <w:r w:rsidR="00032741">
        <w:rPr>
          <w:rFonts w:cstheme="minorHAnsi"/>
          <w:b/>
          <w:bCs/>
          <w:iCs/>
          <w:sz w:val="44"/>
          <w:szCs w:val="44"/>
        </w:rPr>
        <w:t>2020</w:t>
      </w:r>
    </w:p>
    <w:p w14:paraId="485794EF" w14:textId="5EC2CC7A" w:rsidR="00405024" w:rsidRPr="00BB4F91" w:rsidRDefault="00B87A0F" w:rsidP="00FB68C2">
      <w:pPr>
        <w:spacing w:before="4800"/>
        <w:rPr>
          <w:rFonts w:cstheme="minorHAnsi"/>
          <w:b/>
        </w:rPr>
      </w:pPr>
      <w:r w:rsidRPr="00BB4F91">
        <w:rPr>
          <w:rFonts w:cstheme="minorHAnsi"/>
          <w:b/>
          <w:bCs/>
          <w:noProof/>
          <w:lang w:val="en-AU" w:eastAsia="en-AU"/>
        </w:rPr>
        <w:drawing>
          <wp:inline distT="0" distB="0" distL="0" distR="0" wp14:anchorId="3DB2BD88" wp14:editId="33D74A12">
            <wp:extent cx="1533525" cy="797284"/>
            <wp:effectExtent l="0" t="0" r="0" b="3175"/>
            <wp:docPr id="15" name="Picture 15" descr="James Cook Univers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James Cook University Australi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214" cy="818439"/>
                    </a:xfrm>
                    <a:prstGeom prst="rect">
                      <a:avLst/>
                    </a:prstGeom>
                    <a:noFill/>
                    <a:ln>
                      <a:noFill/>
                    </a:ln>
                  </pic:spPr>
                </pic:pic>
              </a:graphicData>
            </a:graphic>
          </wp:inline>
        </w:drawing>
      </w:r>
      <w:r w:rsidR="00405024" w:rsidRPr="00BB4F91">
        <w:rPr>
          <w:rFonts w:cstheme="minorHAnsi"/>
          <w:b/>
        </w:rPr>
        <w:tab/>
      </w:r>
      <w:r w:rsidR="00405024" w:rsidRPr="00BB4F91">
        <w:rPr>
          <w:rFonts w:cstheme="minorHAnsi"/>
          <w:b/>
        </w:rPr>
        <w:tab/>
      </w:r>
      <w:r w:rsidR="00405024" w:rsidRPr="00BB4F91">
        <w:rPr>
          <w:rFonts w:cstheme="minorHAnsi"/>
          <w:b/>
          <w:bCs/>
          <w:noProof/>
          <w:lang w:val="en-AU" w:eastAsia="en-AU"/>
        </w:rPr>
        <w:drawing>
          <wp:inline distT="0" distB="0" distL="0" distR="0" wp14:anchorId="66D04334" wp14:editId="56C29CD2">
            <wp:extent cx="818866" cy="823796"/>
            <wp:effectExtent l="0" t="0" r="635" b="0"/>
            <wp:docPr id="48" name="Picture 48" descr="National Aboriginal Community Controlled Organisation (NACC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ational Aboriginal Community Controlled Organisation (NACCHO)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476" cy="841512"/>
                    </a:xfrm>
                    <a:prstGeom prst="rect">
                      <a:avLst/>
                    </a:prstGeom>
                    <a:noFill/>
                    <a:ln>
                      <a:noFill/>
                    </a:ln>
                  </pic:spPr>
                </pic:pic>
              </a:graphicData>
            </a:graphic>
          </wp:inline>
        </w:drawing>
      </w:r>
      <w:r w:rsidR="00405024" w:rsidRPr="00BB4F91">
        <w:rPr>
          <w:rFonts w:cstheme="minorHAnsi"/>
          <w:b/>
        </w:rPr>
        <w:tab/>
      </w:r>
      <w:r w:rsidR="00405024" w:rsidRPr="00BB4F91">
        <w:rPr>
          <w:rFonts w:cstheme="minorHAnsi"/>
          <w:b/>
        </w:rPr>
        <w:tab/>
      </w:r>
      <w:r w:rsidRPr="00BB4F91">
        <w:rPr>
          <w:rFonts w:cstheme="minorHAnsi"/>
          <w:b/>
          <w:bCs/>
          <w:noProof/>
          <w:lang w:val="en-AU" w:eastAsia="en-AU"/>
        </w:rPr>
        <w:drawing>
          <wp:inline distT="0" distB="0" distL="0" distR="0" wp14:anchorId="722B5037" wp14:editId="0B255F5A">
            <wp:extent cx="2066925" cy="356539"/>
            <wp:effectExtent l="0" t="0" r="0" b="5715"/>
            <wp:docPr id="49" name="Picture 49" descr="Pharmaceutical Society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harmaceutical Society of Australi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170" cy="381076"/>
                    </a:xfrm>
                    <a:prstGeom prst="rect">
                      <a:avLst/>
                    </a:prstGeom>
                    <a:noFill/>
                    <a:ln>
                      <a:noFill/>
                    </a:ln>
                  </pic:spPr>
                </pic:pic>
              </a:graphicData>
            </a:graphic>
          </wp:inline>
        </w:drawing>
      </w:r>
    </w:p>
    <w:p w14:paraId="62F97E79" w14:textId="77777777" w:rsidR="00405024" w:rsidRPr="00BB4F91" w:rsidRDefault="00405024" w:rsidP="00B40096">
      <w:pPr>
        <w:rPr>
          <w:rFonts w:cstheme="minorHAnsi"/>
          <w:b/>
        </w:rPr>
      </w:pPr>
      <w:r w:rsidRPr="00BB4F91">
        <w:rPr>
          <w:rFonts w:cstheme="minorHAnsi"/>
          <w:b/>
        </w:rPr>
        <w:br w:type="page"/>
      </w:r>
    </w:p>
    <w:p w14:paraId="1875C625" w14:textId="77777777" w:rsidR="00DD2EA9" w:rsidRDefault="00DD2EA9" w:rsidP="00B40096">
      <w:pPr>
        <w:pStyle w:val="BodyText"/>
        <w:spacing w:after="0" w:line="240" w:lineRule="auto"/>
        <w:sectPr w:rsidR="00DD2EA9" w:rsidSect="00A62BB4">
          <w:headerReference w:type="first" r:id="rId14"/>
          <w:footerReference w:type="first" r:id="rId15"/>
          <w:pgSz w:w="11907" w:h="16840" w:code="9"/>
          <w:pgMar w:top="1247" w:right="1418" w:bottom="964" w:left="1418" w:header="964" w:footer="567" w:gutter="0"/>
          <w:cols w:space="708"/>
          <w:titlePg/>
          <w:docGrid w:linePitch="360"/>
        </w:sectPr>
      </w:pPr>
    </w:p>
    <w:bookmarkEnd w:id="0"/>
    <w:bookmarkEnd w:id="1"/>
    <w:bookmarkEnd w:id="2"/>
    <w:bookmarkEnd w:id="3"/>
    <w:p w14:paraId="6A395CC2" w14:textId="5F76318C" w:rsidR="007228E3" w:rsidRDefault="007228E3" w:rsidP="007228E3">
      <w:pPr>
        <w:spacing w:line="240" w:lineRule="auto"/>
      </w:pPr>
      <w:r>
        <w:lastRenderedPageBreak/>
        <w:t>Document Version Control</w:t>
      </w:r>
    </w:p>
    <w:p w14:paraId="5457B029" w14:textId="77777777" w:rsidR="007228E3" w:rsidRDefault="007228E3" w:rsidP="007228E3">
      <w:pPr>
        <w:spacing w:line="240" w:lineRule="auto"/>
      </w:pPr>
    </w:p>
    <w:tbl>
      <w:tblPr>
        <w:tblStyle w:val="TableGrid"/>
        <w:tblW w:w="0" w:type="auto"/>
        <w:tblLook w:val="04A0" w:firstRow="1" w:lastRow="0" w:firstColumn="1" w:lastColumn="0" w:noHBand="0" w:noVBand="1"/>
        <w:tblCaption w:val="Document History Table"/>
        <w:tblDescription w:val="This table records the versions of the document and the reasons for amenedment"/>
      </w:tblPr>
      <w:tblGrid>
        <w:gridCol w:w="1233"/>
        <w:gridCol w:w="1597"/>
        <w:gridCol w:w="1985"/>
        <w:gridCol w:w="4195"/>
      </w:tblGrid>
      <w:tr w:rsidR="007228E3" w14:paraId="253A060A" w14:textId="77777777" w:rsidTr="00667764">
        <w:trPr>
          <w:cantSplit/>
          <w:tblHeader/>
        </w:trPr>
        <w:tc>
          <w:tcPr>
            <w:tcW w:w="1233" w:type="dxa"/>
            <w:tcBorders>
              <w:top w:val="single" w:sz="4" w:space="0" w:color="auto"/>
              <w:left w:val="single" w:sz="4" w:space="0" w:color="auto"/>
              <w:bottom w:val="single" w:sz="4" w:space="0" w:color="auto"/>
              <w:right w:val="single" w:sz="4" w:space="0" w:color="auto"/>
            </w:tcBorders>
            <w:shd w:val="clear" w:color="auto" w:fill="FFFFCC"/>
            <w:hideMark/>
          </w:tcPr>
          <w:p w14:paraId="35A88161" w14:textId="77777777" w:rsidR="007228E3" w:rsidRDefault="007228E3" w:rsidP="00667764">
            <w:pPr>
              <w:spacing w:after="0" w:line="240" w:lineRule="auto"/>
              <w:ind w:right="82"/>
              <w:rPr>
                <w:b/>
                <w:sz w:val="20"/>
                <w:szCs w:val="20"/>
              </w:rPr>
            </w:pPr>
            <w:r>
              <w:rPr>
                <w:b/>
                <w:sz w:val="20"/>
                <w:szCs w:val="20"/>
              </w:rPr>
              <w:t>Version Number</w:t>
            </w:r>
          </w:p>
        </w:tc>
        <w:tc>
          <w:tcPr>
            <w:tcW w:w="1597" w:type="dxa"/>
            <w:tcBorders>
              <w:top w:val="single" w:sz="4" w:space="0" w:color="auto"/>
              <w:left w:val="single" w:sz="4" w:space="0" w:color="auto"/>
              <w:bottom w:val="single" w:sz="4" w:space="0" w:color="auto"/>
              <w:right w:val="single" w:sz="4" w:space="0" w:color="auto"/>
            </w:tcBorders>
            <w:shd w:val="clear" w:color="auto" w:fill="FFFFCC"/>
            <w:hideMark/>
          </w:tcPr>
          <w:p w14:paraId="1C78263B" w14:textId="77777777" w:rsidR="007228E3" w:rsidRDefault="007228E3" w:rsidP="00667764">
            <w:pPr>
              <w:spacing w:after="0" w:line="240" w:lineRule="auto"/>
              <w:ind w:left="-15"/>
              <w:rPr>
                <w:b/>
                <w:sz w:val="20"/>
                <w:szCs w:val="20"/>
              </w:rPr>
            </w:pPr>
            <w:r>
              <w:rPr>
                <w:b/>
                <w:sz w:val="20"/>
                <w:szCs w:val="20"/>
              </w:rPr>
              <w:t>Date Changed</w:t>
            </w:r>
          </w:p>
        </w:tc>
        <w:tc>
          <w:tcPr>
            <w:tcW w:w="1985" w:type="dxa"/>
            <w:tcBorders>
              <w:top w:val="single" w:sz="4" w:space="0" w:color="auto"/>
              <w:left w:val="single" w:sz="4" w:space="0" w:color="auto"/>
              <w:bottom w:val="single" w:sz="4" w:space="0" w:color="auto"/>
              <w:right w:val="single" w:sz="4" w:space="0" w:color="auto"/>
            </w:tcBorders>
            <w:shd w:val="clear" w:color="auto" w:fill="FFFFCC"/>
            <w:hideMark/>
          </w:tcPr>
          <w:p w14:paraId="485F5D8E" w14:textId="77777777" w:rsidR="007228E3" w:rsidRDefault="007228E3" w:rsidP="00667764">
            <w:pPr>
              <w:spacing w:after="0" w:line="240" w:lineRule="auto"/>
              <w:rPr>
                <w:b/>
                <w:sz w:val="20"/>
                <w:szCs w:val="20"/>
              </w:rPr>
            </w:pPr>
            <w:r>
              <w:rPr>
                <w:b/>
                <w:sz w:val="20"/>
                <w:szCs w:val="20"/>
              </w:rPr>
              <w:t>Author</w:t>
            </w:r>
          </w:p>
        </w:tc>
        <w:tc>
          <w:tcPr>
            <w:tcW w:w="4195" w:type="dxa"/>
            <w:tcBorders>
              <w:top w:val="single" w:sz="4" w:space="0" w:color="auto"/>
              <w:left w:val="single" w:sz="4" w:space="0" w:color="auto"/>
              <w:bottom w:val="single" w:sz="4" w:space="0" w:color="auto"/>
              <w:right w:val="single" w:sz="4" w:space="0" w:color="auto"/>
            </w:tcBorders>
            <w:shd w:val="clear" w:color="auto" w:fill="FFFFCC"/>
            <w:hideMark/>
          </w:tcPr>
          <w:p w14:paraId="0D94EC4D" w14:textId="77777777" w:rsidR="007228E3" w:rsidRDefault="007228E3" w:rsidP="00667764">
            <w:pPr>
              <w:spacing w:after="0" w:line="240" w:lineRule="auto"/>
              <w:rPr>
                <w:b/>
                <w:sz w:val="20"/>
                <w:szCs w:val="20"/>
              </w:rPr>
            </w:pPr>
            <w:r>
              <w:rPr>
                <w:b/>
                <w:sz w:val="20"/>
                <w:szCs w:val="20"/>
              </w:rPr>
              <w:t>Reason for Change</w:t>
            </w:r>
          </w:p>
        </w:tc>
      </w:tr>
      <w:tr w:rsidR="007228E3" w14:paraId="297E40C1" w14:textId="77777777" w:rsidTr="00667764">
        <w:tc>
          <w:tcPr>
            <w:tcW w:w="1233" w:type="dxa"/>
            <w:tcBorders>
              <w:top w:val="single" w:sz="4" w:space="0" w:color="auto"/>
              <w:left w:val="single" w:sz="4" w:space="0" w:color="auto"/>
              <w:bottom w:val="single" w:sz="4" w:space="0" w:color="auto"/>
              <w:right w:val="single" w:sz="4" w:space="0" w:color="auto"/>
            </w:tcBorders>
            <w:hideMark/>
          </w:tcPr>
          <w:p w14:paraId="3E066CB9" w14:textId="235E4597" w:rsidR="007228E3" w:rsidRDefault="007228E3" w:rsidP="00667764">
            <w:pPr>
              <w:spacing w:after="0" w:line="240" w:lineRule="auto"/>
              <w:rPr>
                <w:sz w:val="20"/>
                <w:szCs w:val="20"/>
              </w:rPr>
            </w:pPr>
            <w:r>
              <w:rPr>
                <w:sz w:val="20"/>
                <w:szCs w:val="20"/>
              </w:rPr>
              <w:t>V7</w:t>
            </w:r>
          </w:p>
        </w:tc>
        <w:tc>
          <w:tcPr>
            <w:tcW w:w="1597" w:type="dxa"/>
            <w:tcBorders>
              <w:top w:val="single" w:sz="4" w:space="0" w:color="auto"/>
              <w:left w:val="single" w:sz="4" w:space="0" w:color="auto"/>
              <w:bottom w:val="single" w:sz="4" w:space="0" w:color="auto"/>
              <w:right w:val="single" w:sz="4" w:space="0" w:color="auto"/>
            </w:tcBorders>
            <w:hideMark/>
          </w:tcPr>
          <w:p w14:paraId="1785CCCD" w14:textId="42F8526C" w:rsidR="007228E3" w:rsidRDefault="007228E3" w:rsidP="007228E3">
            <w:pPr>
              <w:spacing w:after="0" w:line="240" w:lineRule="auto"/>
              <w:rPr>
                <w:sz w:val="20"/>
                <w:szCs w:val="20"/>
              </w:rPr>
            </w:pPr>
            <w:r>
              <w:rPr>
                <w:sz w:val="20"/>
                <w:szCs w:val="20"/>
              </w:rPr>
              <w:t>04/06/2020</w:t>
            </w:r>
          </w:p>
        </w:tc>
        <w:tc>
          <w:tcPr>
            <w:tcW w:w="1985" w:type="dxa"/>
            <w:tcBorders>
              <w:top w:val="single" w:sz="4" w:space="0" w:color="auto"/>
              <w:left w:val="single" w:sz="4" w:space="0" w:color="auto"/>
              <w:bottom w:val="single" w:sz="4" w:space="0" w:color="auto"/>
              <w:right w:val="single" w:sz="4" w:space="0" w:color="auto"/>
            </w:tcBorders>
            <w:hideMark/>
          </w:tcPr>
          <w:p w14:paraId="030E94EA" w14:textId="3C7EE611" w:rsidR="007228E3" w:rsidRDefault="007228E3" w:rsidP="007228E3">
            <w:pPr>
              <w:spacing w:after="0" w:line="240" w:lineRule="auto"/>
              <w:rPr>
                <w:sz w:val="20"/>
                <w:szCs w:val="20"/>
              </w:rPr>
            </w:pPr>
            <w:r>
              <w:rPr>
                <w:sz w:val="20"/>
                <w:szCs w:val="20"/>
              </w:rPr>
              <w:t>Deb Smith</w:t>
            </w:r>
          </w:p>
        </w:tc>
        <w:tc>
          <w:tcPr>
            <w:tcW w:w="4195" w:type="dxa"/>
            <w:tcBorders>
              <w:top w:val="single" w:sz="4" w:space="0" w:color="auto"/>
              <w:left w:val="single" w:sz="4" w:space="0" w:color="auto"/>
              <w:bottom w:val="single" w:sz="4" w:space="0" w:color="auto"/>
              <w:right w:val="single" w:sz="4" w:space="0" w:color="auto"/>
            </w:tcBorders>
            <w:hideMark/>
          </w:tcPr>
          <w:p w14:paraId="61739093" w14:textId="761921A9" w:rsidR="007228E3" w:rsidRDefault="007228E3" w:rsidP="007228E3">
            <w:pPr>
              <w:spacing w:after="0" w:line="240" w:lineRule="auto"/>
              <w:ind w:left="-7"/>
              <w:rPr>
                <w:sz w:val="20"/>
                <w:szCs w:val="20"/>
              </w:rPr>
            </w:pPr>
            <w:r>
              <w:rPr>
                <w:sz w:val="20"/>
                <w:szCs w:val="20"/>
              </w:rPr>
              <w:t xml:space="preserve">Final draft completed for comment </w:t>
            </w:r>
          </w:p>
        </w:tc>
      </w:tr>
      <w:tr w:rsidR="007228E3" w:rsidRPr="00754539" w14:paraId="1555DD36" w14:textId="77777777" w:rsidTr="00667764">
        <w:tc>
          <w:tcPr>
            <w:tcW w:w="1233" w:type="dxa"/>
            <w:tcBorders>
              <w:top w:val="single" w:sz="4" w:space="0" w:color="auto"/>
              <w:left w:val="single" w:sz="4" w:space="0" w:color="auto"/>
              <w:bottom w:val="single" w:sz="4" w:space="0" w:color="auto"/>
              <w:right w:val="single" w:sz="4" w:space="0" w:color="auto"/>
            </w:tcBorders>
          </w:tcPr>
          <w:p w14:paraId="6B87056D" w14:textId="0D4BA66A" w:rsidR="007228E3" w:rsidRDefault="007228E3" w:rsidP="00667764">
            <w:pPr>
              <w:spacing w:after="0" w:line="240" w:lineRule="auto"/>
              <w:rPr>
                <w:sz w:val="20"/>
                <w:szCs w:val="20"/>
              </w:rPr>
            </w:pPr>
            <w:r>
              <w:rPr>
                <w:sz w:val="20"/>
                <w:szCs w:val="20"/>
              </w:rPr>
              <w:t>V8</w:t>
            </w:r>
          </w:p>
        </w:tc>
        <w:tc>
          <w:tcPr>
            <w:tcW w:w="1597" w:type="dxa"/>
            <w:tcBorders>
              <w:top w:val="single" w:sz="4" w:space="0" w:color="auto"/>
              <w:left w:val="single" w:sz="4" w:space="0" w:color="auto"/>
              <w:bottom w:val="single" w:sz="4" w:space="0" w:color="auto"/>
              <w:right w:val="single" w:sz="4" w:space="0" w:color="auto"/>
            </w:tcBorders>
          </w:tcPr>
          <w:p w14:paraId="35E81438" w14:textId="3791F9E7" w:rsidR="007228E3" w:rsidRDefault="007228E3">
            <w:pPr>
              <w:spacing w:after="0" w:line="240" w:lineRule="auto"/>
              <w:rPr>
                <w:sz w:val="20"/>
                <w:szCs w:val="20"/>
              </w:rPr>
            </w:pPr>
            <w:r>
              <w:rPr>
                <w:sz w:val="20"/>
                <w:szCs w:val="20"/>
              </w:rPr>
              <w:t>2</w:t>
            </w:r>
            <w:r w:rsidR="005D62A2">
              <w:rPr>
                <w:sz w:val="20"/>
                <w:szCs w:val="20"/>
              </w:rPr>
              <w:t>4</w:t>
            </w:r>
            <w:r>
              <w:rPr>
                <w:sz w:val="20"/>
                <w:szCs w:val="20"/>
              </w:rPr>
              <w:t>/06/2020</w:t>
            </w:r>
          </w:p>
        </w:tc>
        <w:tc>
          <w:tcPr>
            <w:tcW w:w="1985" w:type="dxa"/>
            <w:tcBorders>
              <w:top w:val="single" w:sz="4" w:space="0" w:color="auto"/>
              <w:left w:val="single" w:sz="4" w:space="0" w:color="auto"/>
              <w:bottom w:val="single" w:sz="4" w:space="0" w:color="auto"/>
              <w:right w:val="single" w:sz="4" w:space="0" w:color="auto"/>
            </w:tcBorders>
          </w:tcPr>
          <w:p w14:paraId="235C784B" w14:textId="24938AAA" w:rsidR="007228E3" w:rsidRDefault="007228E3" w:rsidP="00667764">
            <w:pPr>
              <w:spacing w:after="0" w:line="240" w:lineRule="auto"/>
              <w:rPr>
                <w:sz w:val="20"/>
                <w:szCs w:val="20"/>
              </w:rPr>
            </w:pPr>
            <w:r>
              <w:rPr>
                <w:sz w:val="20"/>
                <w:szCs w:val="20"/>
              </w:rPr>
              <w:t>Deb Smith</w:t>
            </w:r>
          </w:p>
        </w:tc>
        <w:tc>
          <w:tcPr>
            <w:tcW w:w="4195" w:type="dxa"/>
            <w:tcBorders>
              <w:top w:val="single" w:sz="4" w:space="0" w:color="auto"/>
              <w:left w:val="single" w:sz="4" w:space="0" w:color="auto"/>
              <w:bottom w:val="single" w:sz="4" w:space="0" w:color="auto"/>
              <w:right w:val="single" w:sz="4" w:space="0" w:color="auto"/>
            </w:tcBorders>
          </w:tcPr>
          <w:p w14:paraId="69EE82C9" w14:textId="77777777" w:rsidR="007228E3" w:rsidRDefault="007228E3" w:rsidP="00667764">
            <w:pPr>
              <w:spacing w:after="0" w:line="240" w:lineRule="auto"/>
              <w:rPr>
                <w:sz w:val="20"/>
                <w:szCs w:val="20"/>
              </w:rPr>
            </w:pPr>
            <w:r>
              <w:rPr>
                <w:sz w:val="20"/>
                <w:szCs w:val="20"/>
              </w:rPr>
              <w:t xml:space="preserve">Version control introduced </w:t>
            </w:r>
          </w:p>
          <w:p w14:paraId="2D7FA7D2" w14:textId="7A3979C9" w:rsidR="009700F0" w:rsidRDefault="007228E3" w:rsidP="00C453C7">
            <w:pPr>
              <w:spacing w:after="0" w:line="240" w:lineRule="auto"/>
              <w:jc w:val="left"/>
              <w:rPr>
                <w:sz w:val="20"/>
                <w:szCs w:val="20"/>
              </w:rPr>
            </w:pPr>
            <w:r>
              <w:rPr>
                <w:sz w:val="20"/>
                <w:szCs w:val="20"/>
              </w:rPr>
              <w:t>Feedback from Steering Committee incorporated</w:t>
            </w:r>
          </w:p>
        </w:tc>
      </w:tr>
    </w:tbl>
    <w:p w14:paraId="0F24F39F" w14:textId="77777777" w:rsidR="007625DF" w:rsidRPr="003E0F6C" w:rsidRDefault="007625DF" w:rsidP="003E0F6C">
      <w:pPr>
        <w:spacing w:before="2400"/>
      </w:pPr>
      <w:r w:rsidRPr="003E0F6C">
        <w:rPr>
          <w:i/>
          <w:iCs/>
        </w:rPr>
        <w:t xml:space="preserve">Integrating Pharmacists within Aboriginal Community Controlled Health Services (ACCHSs) to improve Chronic Disease Management (IPAC) </w:t>
      </w:r>
      <w:r w:rsidRPr="003E0F6C">
        <w:t>Project.</w:t>
      </w:r>
    </w:p>
    <w:p w14:paraId="5AED25FC" w14:textId="77777777" w:rsidR="007625DF" w:rsidRPr="004F700C" w:rsidRDefault="007625DF" w:rsidP="00CA778E">
      <w:pPr>
        <w:spacing w:line="240" w:lineRule="auto"/>
        <w:rPr>
          <w:rFonts w:cstheme="minorHAnsi"/>
          <w:b/>
          <w:sz w:val="20"/>
          <w:szCs w:val="20"/>
        </w:rPr>
      </w:pPr>
      <w:r w:rsidRPr="004F700C">
        <w:rPr>
          <w:rFonts w:cstheme="minorHAnsi"/>
          <w:b/>
          <w:sz w:val="20"/>
          <w:szCs w:val="20"/>
        </w:rPr>
        <w:t>Correspondence:</w:t>
      </w:r>
    </w:p>
    <w:p w14:paraId="56D70B5A" w14:textId="77777777" w:rsidR="007625DF" w:rsidRPr="003E0F6C" w:rsidRDefault="007625DF" w:rsidP="003E0F6C">
      <w:pPr>
        <w:pStyle w:val="NoSpacing"/>
      </w:pPr>
      <w:r w:rsidRPr="003E0F6C">
        <w:t xml:space="preserve">Associate Professor Sophia </w:t>
      </w:r>
      <w:proofErr w:type="spellStart"/>
      <w:r w:rsidRPr="003E0F6C">
        <w:t>Couzos</w:t>
      </w:r>
      <w:proofErr w:type="spellEnd"/>
    </w:p>
    <w:p w14:paraId="12DB52EA" w14:textId="77777777" w:rsidR="007625DF" w:rsidRPr="003E0F6C" w:rsidRDefault="007625DF" w:rsidP="003E0F6C">
      <w:pPr>
        <w:pStyle w:val="NoSpacing"/>
      </w:pPr>
      <w:r w:rsidRPr="003E0F6C">
        <w:t>General Practice and Rural Medicine</w:t>
      </w:r>
    </w:p>
    <w:p w14:paraId="03089EF9" w14:textId="77777777" w:rsidR="007625DF" w:rsidRPr="003E0F6C" w:rsidRDefault="007625DF" w:rsidP="003E0F6C">
      <w:pPr>
        <w:pStyle w:val="NoSpacing"/>
      </w:pPr>
      <w:r w:rsidRPr="003E0F6C">
        <w:t xml:space="preserve">College of Medicine and Dentistry, </w:t>
      </w:r>
    </w:p>
    <w:p w14:paraId="2B5BD409" w14:textId="77777777" w:rsidR="00CA778E" w:rsidRPr="003E0F6C" w:rsidRDefault="007625DF" w:rsidP="003E0F6C">
      <w:pPr>
        <w:pStyle w:val="NoSpacing"/>
      </w:pPr>
      <w:r w:rsidRPr="003E0F6C">
        <w:t xml:space="preserve">James Cook University, </w:t>
      </w:r>
    </w:p>
    <w:p w14:paraId="7CC76043" w14:textId="3D060788" w:rsidR="007625DF" w:rsidRPr="003E0F6C" w:rsidRDefault="007625DF" w:rsidP="003E0F6C">
      <w:pPr>
        <w:pStyle w:val="NoSpacing"/>
      </w:pPr>
      <w:r w:rsidRPr="003E0F6C">
        <w:t>Townsville, Queensland, 4811</w:t>
      </w:r>
    </w:p>
    <w:p w14:paraId="07C4F82F" w14:textId="77777777" w:rsidR="007625DF" w:rsidRPr="003E0F6C" w:rsidRDefault="007625DF" w:rsidP="003E0F6C">
      <w:pPr>
        <w:pStyle w:val="NoSpacing"/>
      </w:pPr>
      <w:r w:rsidRPr="003E0F6C">
        <w:t>Australia</w:t>
      </w:r>
    </w:p>
    <w:p w14:paraId="3F8569A7" w14:textId="77777777" w:rsidR="00036E69" w:rsidRPr="00036E69" w:rsidRDefault="00036E69" w:rsidP="00CA778E">
      <w:pPr>
        <w:spacing w:line="240" w:lineRule="auto"/>
        <w:rPr>
          <w:rFonts w:cstheme="minorHAnsi"/>
          <w:b/>
          <w:sz w:val="20"/>
          <w:szCs w:val="20"/>
        </w:rPr>
      </w:pPr>
      <w:r w:rsidRPr="00036E69">
        <w:rPr>
          <w:rFonts w:cstheme="minorHAnsi"/>
          <w:b/>
          <w:sz w:val="20"/>
          <w:szCs w:val="20"/>
        </w:rPr>
        <w:t xml:space="preserve">Authors: </w:t>
      </w:r>
    </w:p>
    <w:p w14:paraId="7C3302A8" w14:textId="25CC3511" w:rsidR="00036E69" w:rsidRPr="00036E69" w:rsidRDefault="00D07145" w:rsidP="003E0F6C">
      <w:r>
        <w:t xml:space="preserve">Smith D, </w:t>
      </w:r>
      <w:proofErr w:type="spellStart"/>
      <w:r w:rsidR="00036E69">
        <w:t>Couzos</w:t>
      </w:r>
      <w:proofErr w:type="spellEnd"/>
      <w:r w:rsidR="00036E69">
        <w:t xml:space="preserve"> S, </w:t>
      </w:r>
      <w:r w:rsidR="002B6A99" w:rsidRPr="00036E69">
        <w:t>Tremlett M,</w:t>
      </w:r>
      <w:r w:rsidR="002B6A99">
        <w:t xml:space="preserve"> </w:t>
      </w:r>
      <w:proofErr w:type="spellStart"/>
      <w:r w:rsidR="002B6A99" w:rsidRPr="00036E69">
        <w:t>Loller</w:t>
      </w:r>
      <w:proofErr w:type="spellEnd"/>
      <w:r w:rsidR="002B6A99" w:rsidRPr="00036E69">
        <w:t xml:space="preserve"> H, </w:t>
      </w:r>
      <w:r w:rsidR="00036E69" w:rsidRPr="00036E69">
        <w:t xml:space="preserve">Stephens M, Nugent A, Vaughan F, </w:t>
      </w:r>
      <w:r w:rsidR="002B6A99" w:rsidRPr="00036E69">
        <w:t xml:space="preserve">Hendrie D, </w:t>
      </w:r>
      <w:proofErr w:type="spellStart"/>
      <w:r w:rsidR="00036E69" w:rsidRPr="00036E69">
        <w:t>Buttner</w:t>
      </w:r>
      <w:proofErr w:type="spellEnd"/>
      <w:r w:rsidR="00036E69" w:rsidRPr="00036E69">
        <w:t xml:space="preserve"> P, Biros E.</w:t>
      </w:r>
    </w:p>
    <w:p w14:paraId="4C7F2219" w14:textId="77777777" w:rsidR="007625DF" w:rsidRDefault="007625DF" w:rsidP="00CA778E">
      <w:pPr>
        <w:spacing w:line="240" w:lineRule="auto"/>
        <w:rPr>
          <w:rFonts w:cstheme="minorHAnsi"/>
          <w:b/>
          <w:bCs/>
          <w:sz w:val="20"/>
          <w:szCs w:val="20"/>
        </w:rPr>
      </w:pPr>
      <w:r>
        <w:rPr>
          <w:rFonts w:cstheme="minorHAnsi"/>
          <w:b/>
          <w:bCs/>
          <w:sz w:val="20"/>
          <w:szCs w:val="20"/>
        </w:rPr>
        <w:t>Acknowledgements:</w:t>
      </w:r>
    </w:p>
    <w:p w14:paraId="444BFF6F" w14:textId="77777777" w:rsidR="007625DF" w:rsidRDefault="00036E69" w:rsidP="003E0F6C">
      <w:r>
        <w:t>The authors</w:t>
      </w:r>
      <w:r w:rsidR="007625DF">
        <w:t xml:space="preserve"> </w:t>
      </w:r>
      <w:r w:rsidR="007625DF" w:rsidRPr="00CE4D69">
        <w:t>wish to acknowledge</w:t>
      </w:r>
      <w:r w:rsidR="007625DF">
        <w:t xml:space="preserve"> the Australian Government as the funding body supporting the implementation of the IPAC Project, u</w:t>
      </w:r>
      <w:r w:rsidR="007625DF" w:rsidRPr="00E47BD3">
        <w:t xml:space="preserve">nder the Sixth Community Pharmacy Agreement (6CPA), </w:t>
      </w:r>
      <w:r w:rsidR="007625DF">
        <w:t xml:space="preserve">with funding </w:t>
      </w:r>
      <w:r w:rsidR="007625DF" w:rsidRPr="00E47BD3">
        <w:t>allocated for a Pharmacy Trial Program (PTP). The PTP will trial new and expanded community pharmacy programs which seek to improve clinical outcomes for consumers and/or extend the role of pharmacists in the delivery of primary healthcare services through community pharmacy. All PTP trials will be evaluated by an independent health technology assessment (HTA) body.</w:t>
      </w:r>
    </w:p>
    <w:p w14:paraId="51D197E9" w14:textId="59A23C2C" w:rsidR="007625DF" w:rsidRPr="009925CD" w:rsidRDefault="007625DF" w:rsidP="003E0F6C">
      <w:r>
        <w:t xml:space="preserve">The authors also acknowledge </w:t>
      </w:r>
      <w:r w:rsidR="00036E69">
        <w:t xml:space="preserve">members of the IPAC Evaluation Team, </w:t>
      </w:r>
      <w:r>
        <w:t xml:space="preserve">the Affiliates of the National Aboriginal Community Controlled </w:t>
      </w:r>
      <w:proofErr w:type="spellStart"/>
      <w:r>
        <w:t>Organisation</w:t>
      </w:r>
      <w:proofErr w:type="spellEnd"/>
      <w:r>
        <w:t>, the participating ACCHSs, IPAC pharmacists, and the IPAC Steering Committee members.</w:t>
      </w:r>
      <w:r w:rsidR="009925CD" w:rsidRPr="009925CD">
        <w:t xml:space="preserve"> In presenting this document the authors would like to thank the Aboriginal and Torres Strait Islander people for their cooperation and assistance as consented patients for the research information that was essential for this project.</w:t>
      </w:r>
    </w:p>
    <w:p w14:paraId="70BDAC12" w14:textId="77777777" w:rsidR="002653C1" w:rsidRPr="00D904D6" w:rsidRDefault="002653C1" w:rsidP="00D904D6">
      <w:r w:rsidRPr="00D904D6">
        <w:br w:type="page"/>
      </w:r>
    </w:p>
    <w:p w14:paraId="303A7DBB" w14:textId="039F86CE" w:rsidR="002823C5" w:rsidRPr="0048683E" w:rsidRDefault="002823C5" w:rsidP="0048683E">
      <w:pPr>
        <w:pStyle w:val="TOCHeading"/>
        <w:rPr>
          <w:rStyle w:val="Hyperlink"/>
          <w:rFonts w:asciiTheme="majorHAnsi" w:hAnsiTheme="majorHAnsi"/>
          <w:i w:val="0"/>
          <w:sz w:val="32"/>
        </w:rPr>
      </w:pPr>
      <w:r w:rsidRPr="0048683E">
        <w:rPr>
          <w:rStyle w:val="Hyperlink"/>
          <w:rFonts w:asciiTheme="majorHAnsi" w:hAnsiTheme="majorHAnsi"/>
          <w:i w:val="0"/>
          <w:sz w:val="32"/>
        </w:rPr>
        <w:lastRenderedPageBreak/>
        <w:t>Contents</w:t>
      </w:r>
    </w:p>
    <w:p w14:paraId="7887DA2B" w14:textId="2466EEAA" w:rsidR="00735378" w:rsidRDefault="002823C5">
      <w:pPr>
        <w:pStyle w:val="TOC1"/>
        <w:rPr>
          <w:rFonts w:asciiTheme="minorHAnsi" w:eastAsiaTheme="minorEastAsia" w:hAnsiTheme="minorHAnsi" w:cstheme="minorBidi"/>
          <w:b w:val="0"/>
          <w:noProof/>
          <w:color w:val="auto"/>
          <w:szCs w:val="22"/>
          <w:lang w:eastAsia="en-AU"/>
        </w:rPr>
      </w:pPr>
      <w:r w:rsidRPr="001300D2">
        <w:rPr>
          <w:rStyle w:val="Hyperlink"/>
          <w:rFonts w:asciiTheme="majorHAnsi" w:hAnsiTheme="majorHAnsi" w:cstheme="majorHAnsi"/>
          <w:sz w:val="22"/>
          <w:szCs w:val="22"/>
        </w:rPr>
        <w:fldChar w:fldCharType="begin"/>
      </w:r>
      <w:r w:rsidRPr="001300D2">
        <w:rPr>
          <w:rStyle w:val="Hyperlink"/>
          <w:rFonts w:asciiTheme="majorHAnsi" w:hAnsiTheme="majorHAnsi" w:cstheme="majorHAnsi"/>
          <w:sz w:val="22"/>
          <w:szCs w:val="22"/>
        </w:rPr>
        <w:instrText xml:space="preserve"> TOC \o "1-3" \h \z \u </w:instrText>
      </w:r>
      <w:r w:rsidRPr="001300D2">
        <w:rPr>
          <w:rStyle w:val="Hyperlink"/>
          <w:rFonts w:asciiTheme="majorHAnsi" w:hAnsiTheme="majorHAnsi" w:cstheme="majorHAnsi"/>
          <w:sz w:val="22"/>
          <w:szCs w:val="22"/>
        </w:rPr>
        <w:fldChar w:fldCharType="separate"/>
      </w:r>
      <w:hyperlink w:anchor="_Toc138846244" w:history="1">
        <w:r w:rsidR="00735378" w:rsidRPr="001C3421">
          <w:rPr>
            <w:rStyle w:val="Hyperlink"/>
            <w:noProof/>
          </w:rPr>
          <w:t>Tables</w:t>
        </w:r>
        <w:r w:rsidR="00735378">
          <w:rPr>
            <w:noProof/>
            <w:webHidden/>
          </w:rPr>
          <w:tab/>
        </w:r>
        <w:r w:rsidR="00735378">
          <w:rPr>
            <w:noProof/>
            <w:webHidden/>
          </w:rPr>
          <w:fldChar w:fldCharType="begin"/>
        </w:r>
        <w:r w:rsidR="00735378">
          <w:rPr>
            <w:noProof/>
            <w:webHidden/>
          </w:rPr>
          <w:instrText xml:space="preserve"> PAGEREF _Toc138846244 \h </w:instrText>
        </w:r>
        <w:r w:rsidR="00735378">
          <w:rPr>
            <w:noProof/>
            <w:webHidden/>
          </w:rPr>
        </w:r>
        <w:r w:rsidR="00735378">
          <w:rPr>
            <w:noProof/>
            <w:webHidden/>
          </w:rPr>
          <w:fldChar w:fldCharType="separate"/>
        </w:r>
        <w:r w:rsidR="00735378">
          <w:rPr>
            <w:noProof/>
            <w:webHidden/>
          </w:rPr>
          <w:t>5</w:t>
        </w:r>
        <w:r w:rsidR="00735378">
          <w:rPr>
            <w:noProof/>
            <w:webHidden/>
          </w:rPr>
          <w:fldChar w:fldCharType="end"/>
        </w:r>
      </w:hyperlink>
    </w:p>
    <w:p w14:paraId="0EC991C5" w14:textId="59BF7A99" w:rsidR="00735378" w:rsidRDefault="00754ED6">
      <w:pPr>
        <w:pStyle w:val="TOC1"/>
        <w:rPr>
          <w:rFonts w:asciiTheme="minorHAnsi" w:eastAsiaTheme="minorEastAsia" w:hAnsiTheme="minorHAnsi" w:cstheme="minorBidi"/>
          <w:b w:val="0"/>
          <w:noProof/>
          <w:color w:val="auto"/>
          <w:szCs w:val="22"/>
          <w:lang w:eastAsia="en-AU"/>
        </w:rPr>
      </w:pPr>
      <w:hyperlink w:anchor="_Toc138846245" w:history="1">
        <w:r w:rsidR="00735378" w:rsidRPr="001C3421">
          <w:rPr>
            <w:rStyle w:val="Hyperlink"/>
            <w:noProof/>
          </w:rPr>
          <w:t>Figures</w:t>
        </w:r>
        <w:r w:rsidR="00735378">
          <w:rPr>
            <w:noProof/>
            <w:webHidden/>
          </w:rPr>
          <w:tab/>
        </w:r>
        <w:r w:rsidR="00735378">
          <w:rPr>
            <w:noProof/>
            <w:webHidden/>
          </w:rPr>
          <w:fldChar w:fldCharType="begin"/>
        </w:r>
        <w:r w:rsidR="00735378">
          <w:rPr>
            <w:noProof/>
            <w:webHidden/>
          </w:rPr>
          <w:instrText xml:space="preserve"> PAGEREF _Toc138846245 \h </w:instrText>
        </w:r>
        <w:r w:rsidR="00735378">
          <w:rPr>
            <w:noProof/>
            <w:webHidden/>
          </w:rPr>
        </w:r>
        <w:r w:rsidR="00735378">
          <w:rPr>
            <w:noProof/>
            <w:webHidden/>
          </w:rPr>
          <w:fldChar w:fldCharType="separate"/>
        </w:r>
        <w:r w:rsidR="00735378">
          <w:rPr>
            <w:noProof/>
            <w:webHidden/>
          </w:rPr>
          <w:t>5</w:t>
        </w:r>
        <w:r w:rsidR="00735378">
          <w:rPr>
            <w:noProof/>
            <w:webHidden/>
          </w:rPr>
          <w:fldChar w:fldCharType="end"/>
        </w:r>
      </w:hyperlink>
    </w:p>
    <w:p w14:paraId="65E9E6A4" w14:textId="5FEEFA83" w:rsidR="00735378" w:rsidRDefault="00754ED6">
      <w:pPr>
        <w:pStyle w:val="TOC1"/>
        <w:rPr>
          <w:rFonts w:asciiTheme="minorHAnsi" w:eastAsiaTheme="minorEastAsia" w:hAnsiTheme="minorHAnsi" w:cstheme="minorBidi"/>
          <w:b w:val="0"/>
          <w:noProof/>
          <w:color w:val="auto"/>
          <w:szCs w:val="22"/>
          <w:lang w:eastAsia="en-AU"/>
        </w:rPr>
      </w:pPr>
      <w:hyperlink w:anchor="_Toc138846246" w:history="1">
        <w:r w:rsidR="00735378" w:rsidRPr="001C3421">
          <w:rPr>
            <w:rStyle w:val="Hyperlink"/>
            <w:noProof/>
          </w:rPr>
          <w:t>Background</w:t>
        </w:r>
        <w:r w:rsidR="00735378">
          <w:rPr>
            <w:noProof/>
            <w:webHidden/>
          </w:rPr>
          <w:tab/>
        </w:r>
        <w:r w:rsidR="00735378">
          <w:rPr>
            <w:noProof/>
            <w:webHidden/>
          </w:rPr>
          <w:fldChar w:fldCharType="begin"/>
        </w:r>
        <w:r w:rsidR="00735378">
          <w:rPr>
            <w:noProof/>
            <w:webHidden/>
          </w:rPr>
          <w:instrText xml:space="preserve"> PAGEREF _Toc138846246 \h </w:instrText>
        </w:r>
        <w:r w:rsidR="00735378">
          <w:rPr>
            <w:noProof/>
            <w:webHidden/>
          </w:rPr>
        </w:r>
        <w:r w:rsidR="00735378">
          <w:rPr>
            <w:noProof/>
            <w:webHidden/>
          </w:rPr>
          <w:fldChar w:fldCharType="separate"/>
        </w:r>
        <w:r w:rsidR="00735378">
          <w:rPr>
            <w:noProof/>
            <w:webHidden/>
          </w:rPr>
          <w:t>6</w:t>
        </w:r>
        <w:r w:rsidR="00735378">
          <w:rPr>
            <w:noProof/>
            <w:webHidden/>
          </w:rPr>
          <w:fldChar w:fldCharType="end"/>
        </w:r>
      </w:hyperlink>
    </w:p>
    <w:p w14:paraId="594204A2" w14:textId="6F896FA6" w:rsidR="00735378" w:rsidRDefault="00754ED6">
      <w:pPr>
        <w:pStyle w:val="TOC1"/>
        <w:rPr>
          <w:rFonts w:asciiTheme="minorHAnsi" w:eastAsiaTheme="minorEastAsia" w:hAnsiTheme="minorHAnsi" w:cstheme="minorBidi"/>
          <w:b w:val="0"/>
          <w:noProof/>
          <w:color w:val="auto"/>
          <w:szCs w:val="22"/>
          <w:lang w:eastAsia="en-AU"/>
        </w:rPr>
      </w:pPr>
      <w:hyperlink w:anchor="_Toc138846247" w:history="1">
        <w:r w:rsidR="00735378" w:rsidRPr="001C3421">
          <w:rPr>
            <w:rStyle w:val="Hyperlink"/>
            <w:noProof/>
          </w:rPr>
          <w:t>Methodology</w:t>
        </w:r>
        <w:r w:rsidR="00735378">
          <w:rPr>
            <w:noProof/>
            <w:webHidden/>
          </w:rPr>
          <w:tab/>
        </w:r>
        <w:r w:rsidR="00735378">
          <w:rPr>
            <w:noProof/>
            <w:webHidden/>
          </w:rPr>
          <w:fldChar w:fldCharType="begin"/>
        </w:r>
        <w:r w:rsidR="00735378">
          <w:rPr>
            <w:noProof/>
            <w:webHidden/>
          </w:rPr>
          <w:instrText xml:space="preserve"> PAGEREF _Toc138846247 \h </w:instrText>
        </w:r>
        <w:r w:rsidR="00735378">
          <w:rPr>
            <w:noProof/>
            <w:webHidden/>
          </w:rPr>
        </w:r>
        <w:r w:rsidR="00735378">
          <w:rPr>
            <w:noProof/>
            <w:webHidden/>
          </w:rPr>
          <w:fldChar w:fldCharType="separate"/>
        </w:r>
        <w:r w:rsidR="00735378">
          <w:rPr>
            <w:noProof/>
            <w:webHidden/>
          </w:rPr>
          <w:t>6</w:t>
        </w:r>
        <w:r w:rsidR="00735378">
          <w:rPr>
            <w:noProof/>
            <w:webHidden/>
          </w:rPr>
          <w:fldChar w:fldCharType="end"/>
        </w:r>
      </w:hyperlink>
    </w:p>
    <w:p w14:paraId="54B899A3" w14:textId="647ECE49" w:rsidR="00735378" w:rsidRDefault="00754ED6">
      <w:pPr>
        <w:pStyle w:val="TOC2"/>
        <w:rPr>
          <w:rFonts w:asciiTheme="minorHAnsi" w:eastAsiaTheme="minorEastAsia" w:hAnsiTheme="minorHAnsi" w:cstheme="minorBidi"/>
          <w:noProof/>
          <w:color w:val="auto"/>
          <w:szCs w:val="22"/>
          <w:lang w:eastAsia="en-AU"/>
        </w:rPr>
      </w:pPr>
      <w:hyperlink w:anchor="_Toc138846248" w:history="1">
        <w:r w:rsidR="00735378" w:rsidRPr="001C3421">
          <w:rPr>
            <w:rStyle w:val="Hyperlink"/>
            <w:noProof/>
          </w:rPr>
          <w:t>Project governance</w:t>
        </w:r>
        <w:r w:rsidR="00735378">
          <w:rPr>
            <w:noProof/>
            <w:webHidden/>
          </w:rPr>
          <w:tab/>
        </w:r>
        <w:r w:rsidR="00735378">
          <w:rPr>
            <w:noProof/>
            <w:webHidden/>
          </w:rPr>
          <w:fldChar w:fldCharType="begin"/>
        </w:r>
        <w:r w:rsidR="00735378">
          <w:rPr>
            <w:noProof/>
            <w:webHidden/>
          </w:rPr>
          <w:instrText xml:space="preserve"> PAGEREF _Toc138846248 \h </w:instrText>
        </w:r>
        <w:r w:rsidR="00735378">
          <w:rPr>
            <w:noProof/>
            <w:webHidden/>
          </w:rPr>
        </w:r>
        <w:r w:rsidR="00735378">
          <w:rPr>
            <w:noProof/>
            <w:webHidden/>
          </w:rPr>
          <w:fldChar w:fldCharType="separate"/>
        </w:r>
        <w:r w:rsidR="00735378">
          <w:rPr>
            <w:noProof/>
            <w:webHidden/>
          </w:rPr>
          <w:t>7</w:t>
        </w:r>
        <w:r w:rsidR="00735378">
          <w:rPr>
            <w:noProof/>
            <w:webHidden/>
          </w:rPr>
          <w:fldChar w:fldCharType="end"/>
        </w:r>
      </w:hyperlink>
    </w:p>
    <w:p w14:paraId="48EAD370" w14:textId="253C8FF7" w:rsidR="00735378" w:rsidRDefault="00754ED6">
      <w:pPr>
        <w:pStyle w:val="TOC2"/>
        <w:rPr>
          <w:rFonts w:asciiTheme="minorHAnsi" w:eastAsiaTheme="minorEastAsia" w:hAnsiTheme="minorHAnsi" w:cstheme="minorBidi"/>
          <w:noProof/>
          <w:color w:val="auto"/>
          <w:szCs w:val="22"/>
          <w:lang w:eastAsia="en-AU"/>
        </w:rPr>
      </w:pPr>
      <w:hyperlink w:anchor="_Toc138846249" w:history="1">
        <w:r w:rsidR="00735378" w:rsidRPr="001C3421">
          <w:rPr>
            <w:rStyle w:val="Hyperlink"/>
            <w:noProof/>
          </w:rPr>
          <w:t>Timelines</w:t>
        </w:r>
        <w:r w:rsidR="00735378">
          <w:rPr>
            <w:noProof/>
            <w:webHidden/>
          </w:rPr>
          <w:tab/>
        </w:r>
        <w:r w:rsidR="00735378">
          <w:rPr>
            <w:noProof/>
            <w:webHidden/>
          </w:rPr>
          <w:fldChar w:fldCharType="begin"/>
        </w:r>
        <w:r w:rsidR="00735378">
          <w:rPr>
            <w:noProof/>
            <w:webHidden/>
          </w:rPr>
          <w:instrText xml:space="preserve"> PAGEREF _Toc138846249 \h </w:instrText>
        </w:r>
        <w:r w:rsidR="00735378">
          <w:rPr>
            <w:noProof/>
            <w:webHidden/>
          </w:rPr>
        </w:r>
        <w:r w:rsidR="00735378">
          <w:rPr>
            <w:noProof/>
            <w:webHidden/>
          </w:rPr>
          <w:fldChar w:fldCharType="separate"/>
        </w:r>
        <w:r w:rsidR="00735378">
          <w:rPr>
            <w:noProof/>
            <w:webHidden/>
          </w:rPr>
          <w:t>9</w:t>
        </w:r>
        <w:r w:rsidR="00735378">
          <w:rPr>
            <w:noProof/>
            <w:webHidden/>
          </w:rPr>
          <w:fldChar w:fldCharType="end"/>
        </w:r>
      </w:hyperlink>
    </w:p>
    <w:p w14:paraId="73BE45A1" w14:textId="08CDACE4" w:rsidR="00735378" w:rsidRDefault="00754ED6">
      <w:pPr>
        <w:pStyle w:val="TOC2"/>
        <w:rPr>
          <w:rFonts w:asciiTheme="minorHAnsi" w:eastAsiaTheme="minorEastAsia" w:hAnsiTheme="minorHAnsi" w:cstheme="minorBidi"/>
          <w:noProof/>
          <w:color w:val="auto"/>
          <w:szCs w:val="22"/>
          <w:lang w:eastAsia="en-AU"/>
        </w:rPr>
      </w:pPr>
      <w:hyperlink w:anchor="_Toc138846250" w:history="1">
        <w:r w:rsidR="00735378" w:rsidRPr="001C3421">
          <w:rPr>
            <w:rStyle w:val="Hyperlink"/>
            <w:noProof/>
          </w:rPr>
          <w:t>ACCHS recruitment and support</w:t>
        </w:r>
        <w:r w:rsidR="00735378">
          <w:rPr>
            <w:noProof/>
            <w:webHidden/>
          </w:rPr>
          <w:tab/>
        </w:r>
        <w:r w:rsidR="00735378">
          <w:rPr>
            <w:noProof/>
            <w:webHidden/>
          </w:rPr>
          <w:fldChar w:fldCharType="begin"/>
        </w:r>
        <w:r w:rsidR="00735378">
          <w:rPr>
            <w:noProof/>
            <w:webHidden/>
          </w:rPr>
          <w:instrText xml:space="preserve"> PAGEREF _Toc138846250 \h </w:instrText>
        </w:r>
        <w:r w:rsidR="00735378">
          <w:rPr>
            <w:noProof/>
            <w:webHidden/>
          </w:rPr>
        </w:r>
        <w:r w:rsidR="00735378">
          <w:rPr>
            <w:noProof/>
            <w:webHidden/>
          </w:rPr>
          <w:fldChar w:fldCharType="separate"/>
        </w:r>
        <w:r w:rsidR="00735378">
          <w:rPr>
            <w:noProof/>
            <w:webHidden/>
          </w:rPr>
          <w:t>9</w:t>
        </w:r>
        <w:r w:rsidR="00735378">
          <w:rPr>
            <w:noProof/>
            <w:webHidden/>
          </w:rPr>
          <w:fldChar w:fldCharType="end"/>
        </w:r>
      </w:hyperlink>
    </w:p>
    <w:p w14:paraId="65821870" w14:textId="01F09700" w:rsidR="00735378" w:rsidRDefault="00754ED6">
      <w:pPr>
        <w:pStyle w:val="TOC2"/>
        <w:rPr>
          <w:rFonts w:asciiTheme="minorHAnsi" w:eastAsiaTheme="minorEastAsia" w:hAnsiTheme="minorHAnsi" w:cstheme="minorBidi"/>
          <w:noProof/>
          <w:color w:val="auto"/>
          <w:szCs w:val="22"/>
          <w:lang w:eastAsia="en-AU"/>
        </w:rPr>
      </w:pPr>
      <w:hyperlink w:anchor="_Toc138846251" w:history="1">
        <w:r w:rsidR="00735378" w:rsidRPr="001C3421">
          <w:rPr>
            <w:rStyle w:val="Hyperlink"/>
            <w:noProof/>
          </w:rPr>
          <w:t>Pharmacist recruitment</w:t>
        </w:r>
        <w:r w:rsidR="00735378">
          <w:rPr>
            <w:noProof/>
            <w:webHidden/>
          </w:rPr>
          <w:tab/>
        </w:r>
        <w:r w:rsidR="00735378">
          <w:rPr>
            <w:noProof/>
            <w:webHidden/>
          </w:rPr>
          <w:fldChar w:fldCharType="begin"/>
        </w:r>
        <w:r w:rsidR="00735378">
          <w:rPr>
            <w:noProof/>
            <w:webHidden/>
          </w:rPr>
          <w:instrText xml:space="preserve"> PAGEREF _Toc138846251 \h </w:instrText>
        </w:r>
        <w:r w:rsidR="00735378">
          <w:rPr>
            <w:noProof/>
            <w:webHidden/>
          </w:rPr>
        </w:r>
        <w:r w:rsidR="00735378">
          <w:rPr>
            <w:noProof/>
            <w:webHidden/>
          </w:rPr>
          <w:fldChar w:fldCharType="separate"/>
        </w:r>
        <w:r w:rsidR="00735378">
          <w:rPr>
            <w:noProof/>
            <w:webHidden/>
          </w:rPr>
          <w:t>10</w:t>
        </w:r>
        <w:r w:rsidR="00735378">
          <w:rPr>
            <w:noProof/>
            <w:webHidden/>
          </w:rPr>
          <w:fldChar w:fldCharType="end"/>
        </w:r>
      </w:hyperlink>
    </w:p>
    <w:p w14:paraId="4AF070B4" w14:textId="47F54E6F" w:rsidR="00735378" w:rsidRDefault="00754ED6">
      <w:pPr>
        <w:pStyle w:val="TOC2"/>
        <w:rPr>
          <w:rFonts w:asciiTheme="minorHAnsi" w:eastAsiaTheme="minorEastAsia" w:hAnsiTheme="minorHAnsi" w:cstheme="minorBidi"/>
          <w:noProof/>
          <w:color w:val="auto"/>
          <w:szCs w:val="22"/>
          <w:lang w:eastAsia="en-AU"/>
        </w:rPr>
      </w:pPr>
      <w:hyperlink w:anchor="_Toc138846252" w:history="1">
        <w:r w:rsidR="00735378" w:rsidRPr="001C3421">
          <w:rPr>
            <w:rStyle w:val="Hyperlink"/>
            <w:noProof/>
          </w:rPr>
          <w:t>Participant recruitment</w:t>
        </w:r>
        <w:r w:rsidR="00735378">
          <w:rPr>
            <w:noProof/>
            <w:webHidden/>
          </w:rPr>
          <w:tab/>
        </w:r>
        <w:r w:rsidR="00735378">
          <w:rPr>
            <w:noProof/>
            <w:webHidden/>
          </w:rPr>
          <w:fldChar w:fldCharType="begin"/>
        </w:r>
        <w:r w:rsidR="00735378">
          <w:rPr>
            <w:noProof/>
            <w:webHidden/>
          </w:rPr>
          <w:instrText xml:space="preserve"> PAGEREF _Toc138846252 \h </w:instrText>
        </w:r>
        <w:r w:rsidR="00735378">
          <w:rPr>
            <w:noProof/>
            <w:webHidden/>
          </w:rPr>
        </w:r>
        <w:r w:rsidR="00735378">
          <w:rPr>
            <w:noProof/>
            <w:webHidden/>
          </w:rPr>
          <w:fldChar w:fldCharType="separate"/>
        </w:r>
        <w:r w:rsidR="00735378">
          <w:rPr>
            <w:noProof/>
            <w:webHidden/>
          </w:rPr>
          <w:t>14</w:t>
        </w:r>
        <w:r w:rsidR="00735378">
          <w:rPr>
            <w:noProof/>
            <w:webHidden/>
          </w:rPr>
          <w:fldChar w:fldCharType="end"/>
        </w:r>
      </w:hyperlink>
    </w:p>
    <w:p w14:paraId="05209870" w14:textId="638CAD23" w:rsidR="00735378" w:rsidRDefault="00754ED6">
      <w:pPr>
        <w:pStyle w:val="TOC2"/>
        <w:rPr>
          <w:rFonts w:asciiTheme="minorHAnsi" w:eastAsiaTheme="minorEastAsia" w:hAnsiTheme="minorHAnsi" w:cstheme="minorBidi"/>
          <w:noProof/>
          <w:color w:val="auto"/>
          <w:szCs w:val="22"/>
          <w:lang w:eastAsia="en-AU"/>
        </w:rPr>
      </w:pPr>
      <w:hyperlink w:anchor="_Toc138846253" w:history="1">
        <w:r w:rsidR="00735378" w:rsidRPr="001C3421">
          <w:rPr>
            <w:rStyle w:val="Hyperlink"/>
            <w:noProof/>
          </w:rPr>
          <w:t>Ethics approval</w:t>
        </w:r>
        <w:r w:rsidR="00735378">
          <w:rPr>
            <w:noProof/>
            <w:webHidden/>
          </w:rPr>
          <w:tab/>
        </w:r>
        <w:r w:rsidR="00735378">
          <w:rPr>
            <w:noProof/>
            <w:webHidden/>
          </w:rPr>
          <w:fldChar w:fldCharType="begin"/>
        </w:r>
        <w:r w:rsidR="00735378">
          <w:rPr>
            <w:noProof/>
            <w:webHidden/>
          </w:rPr>
          <w:instrText xml:space="preserve"> PAGEREF _Toc138846253 \h </w:instrText>
        </w:r>
        <w:r w:rsidR="00735378">
          <w:rPr>
            <w:noProof/>
            <w:webHidden/>
          </w:rPr>
        </w:r>
        <w:r w:rsidR="00735378">
          <w:rPr>
            <w:noProof/>
            <w:webHidden/>
          </w:rPr>
          <w:fldChar w:fldCharType="separate"/>
        </w:r>
        <w:r w:rsidR="00735378">
          <w:rPr>
            <w:noProof/>
            <w:webHidden/>
          </w:rPr>
          <w:t>14</w:t>
        </w:r>
        <w:r w:rsidR="00735378">
          <w:rPr>
            <w:noProof/>
            <w:webHidden/>
          </w:rPr>
          <w:fldChar w:fldCharType="end"/>
        </w:r>
      </w:hyperlink>
    </w:p>
    <w:p w14:paraId="4E84BB81" w14:textId="52C96152" w:rsidR="00735378" w:rsidRDefault="00754ED6">
      <w:pPr>
        <w:pStyle w:val="TOC2"/>
        <w:rPr>
          <w:rFonts w:asciiTheme="minorHAnsi" w:eastAsiaTheme="minorEastAsia" w:hAnsiTheme="minorHAnsi" w:cstheme="minorBidi"/>
          <w:noProof/>
          <w:color w:val="auto"/>
          <w:szCs w:val="22"/>
          <w:lang w:eastAsia="en-AU"/>
        </w:rPr>
      </w:pPr>
      <w:hyperlink w:anchor="_Toc138846254" w:history="1">
        <w:r w:rsidR="00735378" w:rsidRPr="001C3421">
          <w:rPr>
            <w:rStyle w:val="Hyperlink"/>
            <w:noProof/>
          </w:rPr>
          <w:t>Data collection</w:t>
        </w:r>
        <w:r w:rsidR="00735378">
          <w:rPr>
            <w:noProof/>
            <w:webHidden/>
          </w:rPr>
          <w:tab/>
        </w:r>
        <w:r w:rsidR="00735378">
          <w:rPr>
            <w:noProof/>
            <w:webHidden/>
          </w:rPr>
          <w:fldChar w:fldCharType="begin"/>
        </w:r>
        <w:r w:rsidR="00735378">
          <w:rPr>
            <w:noProof/>
            <w:webHidden/>
          </w:rPr>
          <w:instrText xml:space="preserve"> PAGEREF _Toc138846254 \h </w:instrText>
        </w:r>
        <w:r w:rsidR="00735378">
          <w:rPr>
            <w:noProof/>
            <w:webHidden/>
          </w:rPr>
        </w:r>
        <w:r w:rsidR="00735378">
          <w:rPr>
            <w:noProof/>
            <w:webHidden/>
          </w:rPr>
          <w:fldChar w:fldCharType="separate"/>
        </w:r>
        <w:r w:rsidR="00735378">
          <w:rPr>
            <w:noProof/>
            <w:webHidden/>
          </w:rPr>
          <w:t>15</w:t>
        </w:r>
        <w:r w:rsidR="00735378">
          <w:rPr>
            <w:noProof/>
            <w:webHidden/>
          </w:rPr>
          <w:fldChar w:fldCharType="end"/>
        </w:r>
      </w:hyperlink>
    </w:p>
    <w:p w14:paraId="551A3441" w14:textId="6830F0AA" w:rsidR="00735378" w:rsidRDefault="00754ED6">
      <w:pPr>
        <w:pStyle w:val="TOC3"/>
        <w:rPr>
          <w:rFonts w:asciiTheme="minorHAnsi" w:eastAsiaTheme="minorEastAsia" w:hAnsiTheme="minorHAnsi" w:cstheme="minorBidi"/>
          <w:noProof/>
          <w:color w:val="auto"/>
          <w:szCs w:val="22"/>
          <w:lang w:eastAsia="en-AU"/>
        </w:rPr>
      </w:pPr>
      <w:hyperlink w:anchor="_Toc138846255" w:history="1">
        <w:r w:rsidR="00735378" w:rsidRPr="001C3421">
          <w:rPr>
            <w:rStyle w:val="Hyperlink"/>
            <w:noProof/>
          </w:rPr>
          <w:t>GRHANITE</w:t>
        </w:r>
        <w:r w:rsidR="00735378" w:rsidRPr="001C3421">
          <w:rPr>
            <w:rStyle w:val="Hyperlink"/>
            <w:noProof/>
            <w:vertAlign w:val="superscript"/>
          </w:rPr>
          <w:t>TM</w:t>
        </w:r>
        <w:r w:rsidR="00735378" w:rsidRPr="001C3421">
          <w:rPr>
            <w:rStyle w:val="Hyperlink"/>
            <w:noProof/>
          </w:rPr>
          <w:t xml:space="preserve"> data extraction software</w:t>
        </w:r>
        <w:r w:rsidR="00735378">
          <w:rPr>
            <w:noProof/>
            <w:webHidden/>
          </w:rPr>
          <w:tab/>
        </w:r>
        <w:r w:rsidR="00735378">
          <w:rPr>
            <w:noProof/>
            <w:webHidden/>
          </w:rPr>
          <w:fldChar w:fldCharType="begin"/>
        </w:r>
        <w:r w:rsidR="00735378">
          <w:rPr>
            <w:noProof/>
            <w:webHidden/>
          </w:rPr>
          <w:instrText xml:space="preserve"> PAGEREF _Toc138846255 \h </w:instrText>
        </w:r>
        <w:r w:rsidR="00735378">
          <w:rPr>
            <w:noProof/>
            <w:webHidden/>
          </w:rPr>
        </w:r>
        <w:r w:rsidR="00735378">
          <w:rPr>
            <w:noProof/>
            <w:webHidden/>
          </w:rPr>
          <w:fldChar w:fldCharType="separate"/>
        </w:r>
        <w:r w:rsidR="00735378">
          <w:rPr>
            <w:noProof/>
            <w:webHidden/>
          </w:rPr>
          <w:t>15</w:t>
        </w:r>
        <w:r w:rsidR="00735378">
          <w:rPr>
            <w:noProof/>
            <w:webHidden/>
          </w:rPr>
          <w:fldChar w:fldCharType="end"/>
        </w:r>
      </w:hyperlink>
    </w:p>
    <w:p w14:paraId="69538D22" w14:textId="5054D174" w:rsidR="00735378" w:rsidRDefault="00754ED6">
      <w:pPr>
        <w:pStyle w:val="TOC3"/>
        <w:rPr>
          <w:rFonts w:asciiTheme="minorHAnsi" w:eastAsiaTheme="minorEastAsia" w:hAnsiTheme="minorHAnsi" w:cstheme="minorBidi"/>
          <w:noProof/>
          <w:color w:val="auto"/>
          <w:szCs w:val="22"/>
          <w:lang w:eastAsia="en-AU"/>
        </w:rPr>
      </w:pPr>
      <w:hyperlink w:anchor="_Toc138846256" w:history="1">
        <w:r w:rsidR="00735378" w:rsidRPr="001C3421">
          <w:rPr>
            <w:rStyle w:val="Hyperlink"/>
            <w:noProof/>
            <w:lang w:eastAsia="en-AU"/>
          </w:rPr>
          <w:t>Pharmacist logbook</w:t>
        </w:r>
        <w:r w:rsidR="00735378">
          <w:rPr>
            <w:noProof/>
            <w:webHidden/>
          </w:rPr>
          <w:tab/>
        </w:r>
        <w:r w:rsidR="00735378">
          <w:rPr>
            <w:noProof/>
            <w:webHidden/>
          </w:rPr>
          <w:fldChar w:fldCharType="begin"/>
        </w:r>
        <w:r w:rsidR="00735378">
          <w:rPr>
            <w:noProof/>
            <w:webHidden/>
          </w:rPr>
          <w:instrText xml:space="preserve"> PAGEREF _Toc138846256 \h </w:instrText>
        </w:r>
        <w:r w:rsidR="00735378">
          <w:rPr>
            <w:noProof/>
            <w:webHidden/>
          </w:rPr>
        </w:r>
        <w:r w:rsidR="00735378">
          <w:rPr>
            <w:noProof/>
            <w:webHidden/>
          </w:rPr>
          <w:fldChar w:fldCharType="separate"/>
        </w:r>
        <w:r w:rsidR="00735378">
          <w:rPr>
            <w:noProof/>
            <w:webHidden/>
          </w:rPr>
          <w:t>16</w:t>
        </w:r>
        <w:r w:rsidR="00735378">
          <w:rPr>
            <w:noProof/>
            <w:webHidden/>
          </w:rPr>
          <w:fldChar w:fldCharType="end"/>
        </w:r>
      </w:hyperlink>
    </w:p>
    <w:p w14:paraId="455A444B" w14:textId="17343E80" w:rsidR="00735378" w:rsidRDefault="00754ED6">
      <w:pPr>
        <w:pStyle w:val="TOC3"/>
        <w:rPr>
          <w:rFonts w:asciiTheme="minorHAnsi" w:eastAsiaTheme="minorEastAsia" w:hAnsiTheme="minorHAnsi" w:cstheme="minorBidi"/>
          <w:noProof/>
          <w:color w:val="auto"/>
          <w:szCs w:val="22"/>
          <w:lang w:eastAsia="en-AU"/>
        </w:rPr>
      </w:pPr>
      <w:hyperlink w:anchor="_Toc138846257" w:history="1">
        <w:r w:rsidR="00735378" w:rsidRPr="001C3421">
          <w:rPr>
            <w:rStyle w:val="Hyperlink"/>
            <w:noProof/>
          </w:rPr>
          <w:t>Qualitative evaluation</w:t>
        </w:r>
        <w:r w:rsidR="00735378">
          <w:rPr>
            <w:noProof/>
            <w:webHidden/>
          </w:rPr>
          <w:tab/>
        </w:r>
        <w:r w:rsidR="00735378">
          <w:rPr>
            <w:noProof/>
            <w:webHidden/>
          </w:rPr>
          <w:fldChar w:fldCharType="begin"/>
        </w:r>
        <w:r w:rsidR="00735378">
          <w:rPr>
            <w:noProof/>
            <w:webHidden/>
          </w:rPr>
          <w:instrText xml:space="preserve"> PAGEREF _Toc138846257 \h </w:instrText>
        </w:r>
        <w:r w:rsidR="00735378">
          <w:rPr>
            <w:noProof/>
            <w:webHidden/>
          </w:rPr>
        </w:r>
        <w:r w:rsidR="00735378">
          <w:rPr>
            <w:noProof/>
            <w:webHidden/>
          </w:rPr>
          <w:fldChar w:fldCharType="separate"/>
        </w:r>
        <w:r w:rsidR="00735378">
          <w:rPr>
            <w:noProof/>
            <w:webHidden/>
          </w:rPr>
          <w:t>16</w:t>
        </w:r>
        <w:r w:rsidR="00735378">
          <w:rPr>
            <w:noProof/>
            <w:webHidden/>
          </w:rPr>
          <w:fldChar w:fldCharType="end"/>
        </w:r>
      </w:hyperlink>
    </w:p>
    <w:p w14:paraId="32FABD26" w14:textId="4AD0CCC6" w:rsidR="00735378" w:rsidRDefault="00754ED6">
      <w:pPr>
        <w:pStyle w:val="TOC3"/>
        <w:rPr>
          <w:rFonts w:asciiTheme="minorHAnsi" w:eastAsiaTheme="minorEastAsia" w:hAnsiTheme="minorHAnsi" w:cstheme="minorBidi"/>
          <w:noProof/>
          <w:color w:val="auto"/>
          <w:szCs w:val="22"/>
          <w:lang w:eastAsia="en-AU"/>
        </w:rPr>
      </w:pPr>
      <w:hyperlink w:anchor="_Toc138846258" w:history="1">
        <w:r w:rsidR="00735378" w:rsidRPr="001C3421">
          <w:rPr>
            <w:rStyle w:val="Hyperlink"/>
            <w:noProof/>
          </w:rPr>
          <w:t>Economic analysis</w:t>
        </w:r>
        <w:r w:rsidR="00735378">
          <w:rPr>
            <w:noProof/>
            <w:webHidden/>
          </w:rPr>
          <w:tab/>
        </w:r>
        <w:r w:rsidR="00735378">
          <w:rPr>
            <w:noProof/>
            <w:webHidden/>
          </w:rPr>
          <w:fldChar w:fldCharType="begin"/>
        </w:r>
        <w:r w:rsidR="00735378">
          <w:rPr>
            <w:noProof/>
            <w:webHidden/>
          </w:rPr>
          <w:instrText xml:space="preserve"> PAGEREF _Toc138846258 \h </w:instrText>
        </w:r>
        <w:r w:rsidR="00735378">
          <w:rPr>
            <w:noProof/>
            <w:webHidden/>
          </w:rPr>
        </w:r>
        <w:r w:rsidR="00735378">
          <w:rPr>
            <w:noProof/>
            <w:webHidden/>
          </w:rPr>
          <w:fldChar w:fldCharType="separate"/>
        </w:r>
        <w:r w:rsidR="00735378">
          <w:rPr>
            <w:noProof/>
            <w:webHidden/>
          </w:rPr>
          <w:t>17</w:t>
        </w:r>
        <w:r w:rsidR="00735378">
          <w:rPr>
            <w:noProof/>
            <w:webHidden/>
          </w:rPr>
          <w:fldChar w:fldCharType="end"/>
        </w:r>
      </w:hyperlink>
    </w:p>
    <w:p w14:paraId="583734B8" w14:textId="446EA484" w:rsidR="00735378" w:rsidRDefault="00754ED6">
      <w:pPr>
        <w:pStyle w:val="TOC3"/>
        <w:rPr>
          <w:rFonts w:asciiTheme="minorHAnsi" w:eastAsiaTheme="minorEastAsia" w:hAnsiTheme="minorHAnsi" w:cstheme="minorBidi"/>
          <w:noProof/>
          <w:color w:val="auto"/>
          <w:szCs w:val="22"/>
          <w:lang w:eastAsia="en-AU"/>
        </w:rPr>
      </w:pPr>
      <w:hyperlink w:anchor="_Toc138846259" w:history="1">
        <w:r w:rsidR="00735378" w:rsidRPr="001C3421">
          <w:rPr>
            <w:rStyle w:val="Hyperlink"/>
            <w:noProof/>
          </w:rPr>
          <w:t>Health systems assessment</w:t>
        </w:r>
        <w:r w:rsidR="00735378">
          <w:rPr>
            <w:noProof/>
            <w:webHidden/>
          </w:rPr>
          <w:tab/>
        </w:r>
        <w:r w:rsidR="00735378">
          <w:rPr>
            <w:noProof/>
            <w:webHidden/>
          </w:rPr>
          <w:fldChar w:fldCharType="begin"/>
        </w:r>
        <w:r w:rsidR="00735378">
          <w:rPr>
            <w:noProof/>
            <w:webHidden/>
          </w:rPr>
          <w:instrText xml:space="preserve"> PAGEREF _Toc138846259 \h </w:instrText>
        </w:r>
        <w:r w:rsidR="00735378">
          <w:rPr>
            <w:noProof/>
            <w:webHidden/>
          </w:rPr>
        </w:r>
        <w:r w:rsidR="00735378">
          <w:rPr>
            <w:noProof/>
            <w:webHidden/>
          </w:rPr>
          <w:fldChar w:fldCharType="separate"/>
        </w:r>
        <w:r w:rsidR="00735378">
          <w:rPr>
            <w:noProof/>
            <w:webHidden/>
          </w:rPr>
          <w:t>17</w:t>
        </w:r>
        <w:r w:rsidR="00735378">
          <w:rPr>
            <w:noProof/>
            <w:webHidden/>
          </w:rPr>
          <w:fldChar w:fldCharType="end"/>
        </w:r>
      </w:hyperlink>
    </w:p>
    <w:p w14:paraId="58EE4F7C" w14:textId="6F2A91AB" w:rsidR="00735378" w:rsidRDefault="00754ED6">
      <w:pPr>
        <w:pStyle w:val="TOC3"/>
        <w:rPr>
          <w:rFonts w:asciiTheme="minorHAnsi" w:eastAsiaTheme="minorEastAsia" w:hAnsiTheme="minorHAnsi" w:cstheme="minorBidi"/>
          <w:noProof/>
          <w:color w:val="auto"/>
          <w:szCs w:val="22"/>
          <w:lang w:eastAsia="en-AU"/>
        </w:rPr>
      </w:pPr>
      <w:hyperlink w:anchor="_Toc138846260" w:history="1">
        <w:r w:rsidR="00735378" w:rsidRPr="001C3421">
          <w:rPr>
            <w:rStyle w:val="Hyperlink"/>
            <w:noProof/>
            <w:lang w:eastAsia="en-AU"/>
          </w:rPr>
          <w:t>Medication Appropriateness Index (MAI) audit</w:t>
        </w:r>
        <w:r w:rsidR="00735378">
          <w:rPr>
            <w:noProof/>
            <w:webHidden/>
          </w:rPr>
          <w:tab/>
        </w:r>
        <w:r w:rsidR="00735378">
          <w:rPr>
            <w:noProof/>
            <w:webHidden/>
          </w:rPr>
          <w:fldChar w:fldCharType="begin"/>
        </w:r>
        <w:r w:rsidR="00735378">
          <w:rPr>
            <w:noProof/>
            <w:webHidden/>
          </w:rPr>
          <w:instrText xml:space="preserve"> PAGEREF _Toc138846260 \h </w:instrText>
        </w:r>
        <w:r w:rsidR="00735378">
          <w:rPr>
            <w:noProof/>
            <w:webHidden/>
          </w:rPr>
        </w:r>
        <w:r w:rsidR="00735378">
          <w:rPr>
            <w:noProof/>
            <w:webHidden/>
          </w:rPr>
          <w:fldChar w:fldCharType="separate"/>
        </w:r>
        <w:r w:rsidR="00735378">
          <w:rPr>
            <w:noProof/>
            <w:webHidden/>
          </w:rPr>
          <w:t>17</w:t>
        </w:r>
        <w:r w:rsidR="00735378">
          <w:rPr>
            <w:noProof/>
            <w:webHidden/>
          </w:rPr>
          <w:fldChar w:fldCharType="end"/>
        </w:r>
      </w:hyperlink>
    </w:p>
    <w:p w14:paraId="496C1D51" w14:textId="598F1A1C" w:rsidR="00735378" w:rsidRDefault="00754ED6">
      <w:pPr>
        <w:pStyle w:val="TOC3"/>
        <w:rPr>
          <w:rFonts w:asciiTheme="minorHAnsi" w:eastAsiaTheme="minorEastAsia" w:hAnsiTheme="minorHAnsi" w:cstheme="minorBidi"/>
          <w:noProof/>
          <w:color w:val="auto"/>
          <w:szCs w:val="22"/>
          <w:lang w:eastAsia="en-AU"/>
        </w:rPr>
      </w:pPr>
      <w:hyperlink w:anchor="_Toc138846261" w:history="1">
        <w:r w:rsidR="00735378" w:rsidRPr="001C3421">
          <w:rPr>
            <w:rStyle w:val="Hyperlink"/>
            <w:noProof/>
            <w:lang w:eastAsia="en-AU"/>
          </w:rPr>
          <w:t>Assessment of underutilisation (AoU)</w:t>
        </w:r>
        <w:r w:rsidR="00735378">
          <w:rPr>
            <w:noProof/>
            <w:webHidden/>
          </w:rPr>
          <w:tab/>
        </w:r>
        <w:r w:rsidR="00735378">
          <w:rPr>
            <w:noProof/>
            <w:webHidden/>
          </w:rPr>
          <w:fldChar w:fldCharType="begin"/>
        </w:r>
        <w:r w:rsidR="00735378">
          <w:rPr>
            <w:noProof/>
            <w:webHidden/>
          </w:rPr>
          <w:instrText xml:space="preserve"> PAGEREF _Toc138846261 \h </w:instrText>
        </w:r>
        <w:r w:rsidR="00735378">
          <w:rPr>
            <w:noProof/>
            <w:webHidden/>
          </w:rPr>
        </w:r>
        <w:r w:rsidR="00735378">
          <w:rPr>
            <w:noProof/>
            <w:webHidden/>
          </w:rPr>
          <w:fldChar w:fldCharType="separate"/>
        </w:r>
        <w:r w:rsidR="00735378">
          <w:rPr>
            <w:noProof/>
            <w:webHidden/>
          </w:rPr>
          <w:t>18</w:t>
        </w:r>
        <w:r w:rsidR="00735378">
          <w:rPr>
            <w:noProof/>
            <w:webHidden/>
          </w:rPr>
          <w:fldChar w:fldCharType="end"/>
        </w:r>
      </w:hyperlink>
    </w:p>
    <w:p w14:paraId="53AD7B06" w14:textId="233D1BDA" w:rsidR="00735378" w:rsidRDefault="00754ED6">
      <w:pPr>
        <w:pStyle w:val="TOC3"/>
        <w:rPr>
          <w:rFonts w:asciiTheme="minorHAnsi" w:eastAsiaTheme="minorEastAsia" w:hAnsiTheme="minorHAnsi" w:cstheme="minorBidi"/>
          <w:noProof/>
          <w:color w:val="auto"/>
          <w:szCs w:val="22"/>
          <w:lang w:eastAsia="en-AU"/>
        </w:rPr>
      </w:pPr>
      <w:hyperlink w:anchor="_Toc138846262" w:history="1">
        <w:r w:rsidR="00735378" w:rsidRPr="001C3421">
          <w:rPr>
            <w:rStyle w:val="Hyperlink"/>
            <w:noProof/>
          </w:rPr>
          <w:t>Home medicines reviews (HMRs)</w:t>
        </w:r>
        <w:r w:rsidR="00735378">
          <w:rPr>
            <w:noProof/>
            <w:webHidden/>
          </w:rPr>
          <w:tab/>
        </w:r>
        <w:r w:rsidR="00735378">
          <w:rPr>
            <w:noProof/>
            <w:webHidden/>
          </w:rPr>
          <w:fldChar w:fldCharType="begin"/>
        </w:r>
        <w:r w:rsidR="00735378">
          <w:rPr>
            <w:noProof/>
            <w:webHidden/>
          </w:rPr>
          <w:instrText xml:space="preserve"> PAGEREF _Toc138846262 \h </w:instrText>
        </w:r>
        <w:r w:rsidR="00735378">
          <w:rPr>
            <w:noProof/>
            <w:webHidden/>
          </w:rPr>
        </w:r>
        <w:r w:rsidR="00735378">
          <w:rPr>
            <w:noProof/>
            <w:webHidden/>
          </w:rPr>
          <w:fldChar w:fldCharType="separate"/>
        </w:r>
        <w:r w:rsidR="00735378">
          <w:rPr>
            <w:noProof/>
            <w:webHidden/>
          </w:rPr>
          <w:t>18</w:t>
        </w:r>
        <w:r w:rsidR="00735378">
          <w:rPr>
            <w:noProof/>
            <w:webHidden/>
          </w:rPr>
          <w:fldChar w:fldCharType="end"/>
        </w:r>
      </w:hyperlink>
    </w:p>
    <w:p w14:paraId="415583C6" w14:textId="5BF5D5FA" w:rsidR="00735378" w:rsidRDefault="00754ED6">
      <w:pPr>
        <w:pStyle w:val="TOC3"/>
        <w:rPr>
          <w:rFonts w:asciiTheme="minorHAnsi" w:eastAsiaTheme="minorEastAsia" w:hAnsiTheme="minorHAnsi" w:cstheme="minorBidi"/>
          <w:noProof/>
          <w:color w:val="auto"/>
          <w:szCs w:val="22"/>
          <w:lang w:eastAsia="en-AU"/>
        </w:rPr>
      </w:pPr>
      <w:hyperlink w:anchor="_Toc138846263" w:history="1">
        <w:r w:rsidR="00735378" w:rsidRPr="001C3421">
          <w:rPr>
            <w:rStyle w:val="Hyperlink"/>
            <w:noProof/>
          </w:rPr>
          <w:t>Non-home medicines review</w:t>
        </w:r>
        <w:r w:rsidR="00735378">
          <w:rPr>
            <w:noProof/>
            <w:webHidden/>
          </w:rPr>
          <w:tab/>
        </w:r>
        <w:r w:rsidR="00735378">
          <w:rPr>
            <w:noProof/>
            <w:webHidden/>
          </w:rPr>
          <w:fldChar w:fldCharType="begin"/>
        </w:r>
        <w:r w:rsidR="00735378">
          <w:rPr>
            <w:noProof/>
            <w:webHidden/>
          </w:rPr>
          <w:instrText xml:space="preserve"> PAGEREF _Toc138846263 \h </w:instrText>
        </w:r>
        <w:r w:rsidR="00735378">
          <w:rPr>
            <w:noProof/>
            <w:webHidden/>
          </w:rPr>
        </w:r>
        <w:r w:rsidR="00735378">
          <w:rPr>
            <w:noProof/>
            <w:webHidden/>
          </w:rPr>
          <w:fldChar w:fldCharType="separate"/>
        </w:r>
        <w:r w:rsidR="00735378">
          <w:rPr>
            <w:noProof/>
            <w:webHidden/>
          </w:rPr>
          <w:t>18</w:t>
        </w:r>
        <w:r w:rsidR="00735378">
          <w:rPr>
            <w:noProof/>
            <w:webHidden/>
          </w:rPr>
          <w:fldChar w:fldCharType="end"/>
        </w:r>
      </w:hyperlink>
    </w:p>
    <w:p w14:paraId="08AD20AB" w14:textId="2928EFE6" w:rsidR="00735378" w:rsidRDefault="00754ED6">
      <w:pPr>
        <w:pStyle w:val="TOC3"/>
        <w:rPr>
          <w:rFonts w:asciiTheme="minorHAnsi" w:eastAsiaTheme="minorEastAsia" w:hAnsiTheme="minorHAnsi" w:cstheme="minorBidi"/>
          <w:noProof/>
          <w:color w:val="auto"/>
          <w:szCs w:val="22"/>
          <w:lang w:eastAsia="en-AU"/>
        </w:rPr>
      </w:pPr>
      <w:hyperlink w:anchor="_Toc138846264" w:history="1">
        <w:r w:rsidR="00735378" w:rsidRPr="001C3421">
          <w:rPr>
            <w:rStyle w:val="Hyperlink"/>
            <w:noProof/>
          </w:rPr>
          <w:t>Follow-up to an HMR or a non-HMR</w:t>
        </w:r>
        <w:r w:rsidR="00735378">
          <w:rPr>
            <w:noProof/>
            <w:webHidden/>
          </w:rPr>
          <w:tab/>
        </w:r>
        <w:r w:rsidR="00735378">
          <w:rPr>
            <w:noProof/>
            <w:webHidden/>
          </w:rPr>
          <w:fldChar w:fldCharType="begin"/>
        </w:r>
        <w:r w:rsidR="00735378">
          <w:rPr>
            <w:noProof/>
            <w:webHidden/>
          </w:rPr>
          <w:instrText xml:space="preserve"> PAGEREF _Toc138846264 \h </w:instrText>
        </w:r>
        <w:r w:rsidR="00735378">
          <w:rPr>
            <w:noProof/>
            <w:webHidden/>
          </w:rPr>
        </w:r>
        <w:r w:rsidR="00735378">
          <w:rPr>
            <w:noProof/>
            <w:webHidden/>
          </w:rPr>
          <w:fldChar w:fldCharType="separate"/>
        </w:r>
        <w:r w:rsidR="00735378">
          <w:rPr>
            <w:noProof/>
            <w:webHidden/>
          </w:rPr>
          <w:t>19</w:t>
        </w:r>
        <w:r w:rsidR="00735378">
          <w:rPr>
            <w:noProof/>
            <w:webHidden/>
          </w:rPr>
          <w:fldChar w:fldCharType="end"/>
        </w:r>
      </w:hyperlink>
    </w:p>
    <w:p w14:paraId="74CAFC83" w14:textId="5A7052E7" w:rsidR="00735378" w:rsidRDefault="00754ED6">
      <w:pPr>
        <w:pStyle w:val="TOC3"/>
        <w:rPr>
          <w:rFonts w:asciiTheme="minorHAnsi" w:eastAsiaTheme="minorEastAsia" w:hAnsiTheme="minorHAnsi" w:cstheme="minorBidi"/>
          <w:noProof/>
          <w:color w:val="auto"/>
          <w:szCs w:val="22"/>
          <w:lang w:eastAsia="en-AU"/>
        </w:rPr>
      </w:pPr>
      <w:hyperlink w:anchor="_Toc138846265" w:history="1">
        <w:r w:rsidR="00735378" w:rsidRPr="001C3421">
          <w:rPr>
            <w:rStyle w:val="Hyperlink"/>
            <w:noProof/>
          </w:rPr>
          <w:t>Medication-related problems</w:t>
        </w:r>
        <w:r w:rsidR="00735378">
          <w:rPr>
            <w:noProof/>
            <w:webHidden/>
          </w:rPr>
          <w:tab/>
        </w:r>
        <w:r w:rsidR="00735378">
          <w:rPr>
            <w:noProof/>
            <w:webHidden/>
          </w:rPr>
          <w:fldChar w:fldCharType="begin"/>
        </w:r>
        <w:r w:rsidR="00735378">
          <w:rPr>
            <w:noProof/>
            <w:webHidden/>
          </w:rPr>
          <w:instrText xml:space="preserve"> PAGEREF _Toc138846265 \h </w:instrText>
        </w:r>
        <w:r w:rsidR="00735378">
          <w:rPr>
            <w:noProof/>
            <w:webHidden/>
          </w:rPr>
        </w:r>
        <w:r w:rsidR="00735378">
          <w:rPr>
            <w:noProof/>
            <w:webHidden/>
          </w:rPr>
          <w:fldChar w:fldCharType="separate"/>
        </w:r>
        <w:r w:rsidR="00735378">
          <w:rPr>
            <w:noProof/>
            <w:webHidden/>
          </w:rPr>
          <w:t>19</w:t>
        </w:r>
        <w:r w:rsidR="00735378">
          <w:rPr>
            <w:noProof/>
            <w:webHidden/>
          </w:rPr>
          <w:fldChar w:fldCharType="end"/>
        </w:r>
      </w:hyperlink>
    </w:p>
    <w:p w14:paraId="2A4616DE" w14:textId="2A52D7FA" w:rsidR="00735378" w:rsidRDefault="00754ED6">
      <w:pPr>
        <w:pStyle w:val="TOC3"/>
        <w:rPr>
          <w:rFonts w:asciiTheme="minorHAnsi" w:eastAsiaTheme="minorEastAsia" w:hAnsiTheme="minorHAnsi" w:cstheme="minorBidi"/>
          <w:noProof/>
          <w:color w:val="auto"/>
          <w:szCs w:val="22"/>
          <w:lang w:eastAsia="en-AU"/>
        </w:rPr>
      </w:pPr>
      <w:hyperlink w:anchor="_Toc138846266" w:history="1">
        <w:r w:rsidR="00735378" w:rsidRPr="001C3421">
          <w:rPr>
            <w:rStyle w:val="Hyperlink"/>
            <w:noProof/>
          </w:rPr>
          <w:t>Medication adherence</w:t>
        </w:r>
        <w:r w:rsidR="00735378">
          <w:rPr>
            <w:noProof/>
            <w:webHidden/>
          </w:rPr>
          <w:tab/>
        </w:r>
        <w:r w:rsidR="00735378">
          <w:rPr>
            <w:noProof/>
            <w:webHidden/>
          </w:rPr>
          <w:fldChar w:fldCharType="begin"/>
        </w:r>
        <w:r w:rsidR="00735378">
          <w:rPr>
            <w:noProof/>
            <w:webHidden/>
          </w:rPr>
          <w:instrText xml:space="preserve"> PAGEREF _Toc138846266 \h </w:instrText>
        </w:r>
        <w:r w:rsidR="00735378">
          <w:rPr>
            <w:noProof/>
            <w:webHidden/>
          </w:rPr>
        </w:r>
        <w:r w:rsidR="00735378">
          <w:rPr>
            <w:noProof/>
            <w:webHidden/>
          </w:rPr>
          <w:fldChar w:fldCharType="separate"/>
        </w:r>
        <w:r w:rsidR="00735378">
          <w:rPr>
            <w:noProof/>
            <w:webHidden/>
          </w:rPr>
          <w:t>19</w:t>
        </w:r>
        <w:r w:rsidR="00735378">
          <w:rPr>
            <w:noProof/>
            <w:webHidden/>
          </w:rPr>
          <w:fldChar w:fldCharType="end"/>
        </w:r>
      </w:hyperlink>
    </w:p>
    <w:p w14:paraId="5DE7FE11" w14:textId="781F97E0" w:rsidR="00735378" w:rsidRDefault="00754ED6">
      <w:pPr>
        <w:pStyle w:val="TOC3"/>
        <w:rPr>
          <w:rFonts w:asciiTheme="minorHAnsi" w:eastAsiaTheme="minorEastAsia" w:hAnsiTheme="minorHAnsi" w:cstheme="minorBidi"/>
          <w:noProof/>
          <w:color w:val="auto"/>
          <w:szCs w:val="22"/>
          <w:lang w:eastAsia="en-AU"/>
        </w:rPr>
      </w:pPr>
      <w:hyperlink w:anchor="_Toc138846267" w:history="1">
        <w:r w:rsidR="00735378" w:rsidRPr="001C3421">
          <w:rPr>
            <w:rStyle w:val="Hyperlink"/>
            <w:noProof/>
          </w:rPr>
          <w:t>Self-assessed health status</w:t>
        </w:r>
        <w:r w:rsidR="00735378">
          <w:rPr>
            <w:noProof/>
            <w:webHidden/>
          </w:rPr>
          <w:tab/>
        </w:r>
        <w:r w:rsidR="00735378">
          <w:rPr>
            <w:noProof/>
            <w:webHidden/>
          </w:rPr>
          <w:fldChar w:fldCharType="begin"/>
        </w:r>
        <w:r w:rsidR="00735378">
          <w:rPr>
            <w:noProof/>
            <w:webHidden/>
          </w:rPr>
          <w:instrText xml:space="preserve"> PAGEREF _Toc138846267 \h </w:instrText>
        </w:r>
        <w:r w:rsidR="00735378">
          <w:rPr>
            <w:noProof/>
            <w:webHidden/>
          </w:rPr>
        </w:r>
        <w:r w:rsidR="00735378">
          <w:rPr>
            <w:noProof/>
            <w:webHidden/>
          </w:rPr>
          <w:fldChar w:fldCharType="separate"/>
        </w:r>
        <w:r w:rsidR="00735378">
          <w:rPr>
            <w:noProof/>
            <w:webHidden/>
          </w:rPr>
          <w:t>20</w:t>
        </w:r>
        <w:r w:rsidR="00735378">
          <w:rPr>
            <w:noProof/>
            <w:webHidden/>
          </w:rPr>
          <w:fldChar w:fldCharType="end"/>
        </w:r>
      </w:hyperlink>
    </w:p>
    <w:p w14:paraId="280AAD97" w14:textId="6DF07E2C" w:rsidR="00735378" w:rsidRDefault="00754ED6">
      <w:pPr>
        <w:pStyle w:val="TOC3"/>
        <w:rPr>
          <w:rFonts w:asciiTheme="minorHAnsi" w:eastAsiaTheme="minorEastAsia" w:hAnsiTheme="minorHAnsi" w:cstheme="minorBidi"/>
          <w:noProof/>
          <w:color w:val="auto"/>
          <w:szCs w:val="22"/>
          <w:lang w:eastAsia="en-AU"/>
        </w:rPr>
      </w:pPr>
      <w:hyperlink w:anchor="_Toc138846268" w:history="1">
        <w:r w:rsidR="00735378" w:rsidRPr="001C3421">
          <w:rPr>
            <w:rStyle w:val="Hyperlink"/>
            <w:noProof/>
          </w:rPr>
          <w:t>Team-based collaboration</w:t>
        </w:r>
        <w:r w:rsidR="00735378">
          <w:rPr>
            <w:noProof/>
            <w:webHidden/>
          </w:rPr>
          <w:tab/>
        </w:r>
        <w:r w:rsidR="00735378">
          <w:rPr>
            <w:noProof/>
            <w:webHidden/>
          </w:rPr>
          <w:fldChar w:fldCharType="begin"/>
        </w:r>
        <w:r w:rsidR="00735378">
          <w:rPr>
            <w:noProof/>
            <w:webHidden/>
          </w:rPr>
          <w:instrText xml:space="preserve"> PAGEREF _Toc138846268 \h </w:instrText>
        </w:r>
        <w:r w:rsidR="00735378">
          <w:rPr>
            <w:noProof/>
            <w:webHidden/>
          </w:rPr>
        </w:r>
        <w:r w:rsidR="00735378">
          <w:rPr>
            <w:noProof/>
            <w:webHidden/>
          </w:rPr>
          <w:fldChar w:fldCharType="separate"/>
        </w:r>
        <w:r w:rsidR="00735378">
          <w:rPr>
            <w:noProof/>
            <w:webHidden/>
          </w:rPr>
          <w:t>20</w:t>
        </w:r>
        <w:r w:rsidR="00735378">
          <w:rPr>
            <w:noProof/>
            <w:webHidden/>
          </w:rPr>
          <w:fldChar w:fldCharType="end"/>
        </w:r>
      </w:hyperlink>
    </w:p>
    <w:p w14:paraId="3CB24469" w14:textId="0CE9645E" w:rsidR="00735378" w:rsidRDefault="00754ED6">
      <w:pPr>
        <w:pStyle w:val="TOC3"/>
        <w:rPr>
          <w:rFonts w:asciiTheme="minorHAnsi" w:eastAsiaTheme="minorEastAsia" w:hAnsiTheme="minorHAnsi" w:cstheme="minorBidi"/>
          <w:noProof/>
          <w:color w:val="auto"/>
          <w:szCs w:val="22"/>
          <w:lang w:eastAsia="en-AU"/>
        </w:rPr>
      </w:pPr>
      <w:hyperlink w:anchor="_Toc138846269" w:history="1">
        <w:r w:rsidR="00735378" w:rsidRPr="001C3421">
          <w:rPr>
            <w:rStyle w:val="Hyperlink"/>
            <w:noProof/>
          </w:rPr>
          <w:t>Medicines information service</w:t>
        </w:r>
        <w:r w:rsidR="00735378">
          <w:rPr>
            <w:noProof/>
            <w:webHidden/>
          </w:rPr>
          <w:tab/>
        </w:r>
        <w:r w:rsidR="00735378">
          <w:rPr>
            <w:noProof/>
            <w:webHidden/>
          </w:rPr>
          <w:fldChar w:fldCharType="begin"/>
        </w:r>
        <w:r w:rsidR="00735378">
          <w:rPr>
            <w:noProof/>
            <w:webHidden/>
          </w:rPr>
          <w:instrText xml:space="preserve"> PAGEREF _Toc138846269 \h </w:instrText>
        </w:r>
        <w:r w:rsidR="00735378">
          <w:rPr>
            <w:noProof/>
            <w:webHidden/>
          </w:rPr>
        </w:r>
        <w:r w:rsidR="00735378">
          <w:rPr>
            <w:noProof/>
            <w:webHidden/>
          </w:rPr>
          <w:fldChar w:fldCharType="separate"/>
        </w:r>
        <w:r w:rsidR="00735378">
          <w:rPr>
            <w:noProof/>
            <w:webHidden/>
          </w:rPr>
          <w:t>20</w:t>
        </w:r>
        <w:r w:rsidR="00735378">
          <w:rPr>
            <w:noProof/>
            <w:webHidden/>
          </w:rPr>
          <w:fldChar w:fldCharType="end"/>
        </w:r>
      </w:hyperlink>
    </w:p>
    <w:p w14:paraId="1DF73FB9" w14:textId="61B7D2C9" w:rsidR="00735378" w:rsidRDefault="00754ED6">
      <w:pPr>
        <w:pStyle w:val="TOC3"/>
        <w:rPr>
          <w:rFonts w:asciiTheme="minorHAnsi" w:eastAsiaTheme="minorEastAsia" w:hAnsiTheme="minorHAnsi" w:cstheme="minorBidi"/>
          <w:noProof/>
          <w:color w:val="auto"/>
          <w:szCs w:val="22"/>
          <w:lang w:eastAsia="en-AU"/>
        </w:rPr>
      </w:pPr>
      <w:hyperlink w:anchor="_Toc138846270" w:history="1">
        <w:r w:rsidR="00735378" w:rsidRPr="001C3421">
          <w:rPr>
            <w:rStyle w:val="Hyperlink"/>
            <w:noProof/>
          </w:rPr>
          <w:t>Education and training</w:t>
        </w:r>
        <w:r w:rsidR="00735378">
          <w:rPr>
            <w:noProof/>
            <w:webHidden/>
          </w:rPr>
          <w:tab/>
        </w:r>
        <w:r w:rsidR="00735378">
          <w:rPr>
            <w:noProof/>
            <w:webHidden/>
          </w:rPr>
          <w:fldChar w:fldCharType="begin"/>
        </w:r>
        <w:r w:rsidR="00735378">
          <w:rPr>
            <w:noProof/>
            <w:webHidden/>
          </w:rPr>
          <w:instrText xml:space="preserve"> PAGEREF _Toc138846270 \h </w:instrText>
        </w:r>
        <w:r w:rsidR="00735378">
          <w:rPr>
            <w:noProof/>
            <w:webHidden/>
          </w:rPr>
        </w:r>
        <w:r w:rsidR="00735378">
          <w:rPr>
            <w:noProof/>
            <w:webHidden/>
          </w:rPr>
          <w:fldChar w:fldCharType="separate"/>
        </w:r>
        <w:r w:rsidR="00735378">
          <w:rPr>
            <w:noProof/>
            <w:webHidden/>
          </w:rPr>
          <w:t>20</w:t>
        </w:r>
        <w:r w:rsidR="00735378">
          <w:rPr>
            <w:noProof/>
            <w:webHidden/>
          </w:rPr>
          <w:fldChar w:fldCharType="end"/>
        </w:r>
      </w:hyperlink>
    </w:p>
    <w:p w14:paraId="31544BF0" w14:textId="52013D06" w:rsidR="00735378" w:rsidRDefault="00754ED6">
      <w:pPr>
        <w:pStyle w:val="TOC3"/>
        <w:rPr>
          <w:rFonts w:asciiTheme="minorHAnsi" w:eastAsiaTheme="minorEastAsia" w:hAnsiTheme="minorHAnsi" w:cstheme="minorBidi"/>
          <w:noProof/>
          <w:color w:val="auto"/>
          <w:szCs w:val="22"/>
          <w:lang w:eastAsia="en-AU"/>
        </w:rPr>
      </w:pPr>
      <w:hyperlink w:anchor="_Toc138846271" w:history="1">
        <w:r w:rsidR="00735378" w:rsidRPr="001C3421">
          <w:rPr>
            <w:rStyle w:val="Hyperlink"/>
            <w:noProof/>
            <w:lang w:eastAsia="en-AU"/>
          </w:rPr>
          <w:t>Stakeholder liaison plans</w:t>
        </w:r>
        <w:r w:rsidR="00735378">
          <w:rPr>
            <w:noProof/>
            <w:webHidden/>
          </w:rPr>
          <w:tab/>
        </w:r>
        <w:r w:rsidR="00735378">
          <w:rPr>
            <w:noProof/>
            <w:webHidden/>
          </w:rPr>
          <w:fldChar w:fldCharType="begin"/>
        </w:r>
        <w:r w:rsidR="00735378">
          <w:rPr>
            <w:noProof/>
            <w:webHidden/>
          </w:rPr>
          <w:instrText xml:space="preserve"> PAGEREF _Toc138846271 \h </w:instrText>
        </w:r>
        <w:r w:rsidR="00735378">
          <w:rPr>
            <w:noProof/>
            <w:webHidden/>
          </w:rPr>
        </w:r>
        <w:r w:rsidR="00735378">
          <w:rPr>
            <w:noProof/>
            <w:webHidden/>
          </w:rPr>
          <w:fldChar w:fldCharType="separate"/>
        </w:r>
        <w:r w:rsidR="00735378">
          <w:rPr>
            <w:noProof/>
            <w:webHidden/>
          </w:rPr>
          <w:t>20</w:t>
        </w:r>
        <w:r w:rsidR="00735378">
          <w:rPr>
            <w:noProof/>
            <w:webHidden/>
          </w:rPr>
          <w:fldChar w:fldCharType="end"/>
        </w:r>
      </w:hyperlink>
    </w:p>
    <w:p w14:paraId="09F204B7" w14:textId="41BD1A1C" w:rsidR="00735378" w:rsidRDefault="00754ED6">
      <w:pPr>
        <w:pStyle w:val="TOC3"/>
        <w:rPr>
          <w:rFonts w:asciiTheme="minorHAnsi" w:eastAsiaTheme="minorEastAsia" w:hAnsiTheme="minorHAnsi" w:cstheme="minorBidi"/>
          <w:noProof/>
          <w:color w:val="auto"/>
          <w:szCs w:val="22"/>
          <w:lang w:eastAsia="en-AU"/>
        </w:rPr>
      </w:pPr>
      <w:hyperlink w:anchor="_Toc138846272" w:history="1">
        <w:r w:rsidR="00735378" w:rsidRPr="001C3421">
          <w:rPr>
            <w:rStyle w:val="Hyperlink"/>
            <w:noProof/>
            <w:lang w:eastAsia="en-AU"/>
          </w:rPr>
          <w:t>Contacts with community pharmacy</w:t>
        </w:r>
        <w:r w:rsidR="00735378">
          <w:rPr>
            <w:noProof/>
            <w:webHidden/>
          </w:rPr>
          <w:tab/>
        </w:r>
        <w:r w:rsidR="00735378">
          <w:rPr>
            <w:noProof/>
            <w:webHidden/>
          </w:rPr>
          <w:fldChar w:fldCharType="begin"/>
        </w:r>
        <w:r w:rsidR="00735378">
          <w:rPr>
            <w:noProof/>
            <w:webHidden/>
          </w:rPr>
          <w:instrText xml:space="preserve"> PAGEREF _Toc138846272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24ABA1BF" w14:textId="57EFE644" w:rsidR="00735378" w:rsidRDefault="00754ED6">
      <w:pPr>
        <w:pStyle w:val="TOC3"/>
        <w:rPr>
          <w:rFonts w:asciiTheme="minorHAnsi" w:eastAsiaTheme="minorEastAsia" w:hAnsiTheme="minorHAnsi" w:cstheme="minorBidi"/>
          <w:noProof/>
          <w:color w:val="auto"/>
          <w:szCs w:val="22"/>
          <w:lang w:eastAsia="en-AU"/>
        </w:rPr>
      </w:pPr>
      <w:hyperlink w:anchor="_Toc138846273" w:history="1">
        <w:r w:rsidR="00735378" w:rsidRPr="001C3421">
          <w:rPr>
            <w:rStyle w:val="Hyperlink"/>
            <w:noProof/>
            <w:lang w:eastAsia="en-AU"/>
          </w:rPr>
          <w:t>Transitional care</w:t>
        </w:r>
        <w:r w:rsidR="00735378">
          <w:rPr>
            <w:noProof/>
            <w:webHidden/>
          </w:rPr>
          <w:tab/>
        </w:r>
        <w:r w:rsidR="00735378">
          <w:rPr>
            <w:noProof/>
            <w:webHidden/>
          </w:rPr>
          <w:fldChar w:fldCharType="begin"/>
        </w:r>
        <w:r w:rsidR="00735378">
          <w:rPr>
            <w:noProof/>
            <w:webHidden/>
          </w:rPr>
          <w:instrText xml:space="preserve"> PAGEREF _Toc138846273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6768D7E1" w14:textId="259964DA" w:rsidR="00735378" w:rsidRDefault="00754ED6">
      <w:pPr>
        <w:pStyle w:val="TOC3"/>
        <w:rPr>
          <w:rFonts w:asciiTheme="minorHAnsi" w:eastAsiaTheme="minorEastAsia" w:hAnsiTheme="minorHAnsi" w:cstheme="minorBidi"/>
          <w:noProof/>
          <w:color w:val="auto"/>
          <w:szCs w:val="22"/>
          <w:lang w:eastAsia="en-AU"/>
        </w:rPr>
      </w:pPr>
      <w:hyperlink w:anchor="_Toc138846274" w:history="1">
        <w:r w:rsidR="00735378" w:rsidRPr="001C3421">
          <w:rPr>
            <w:rStyle w:val="Hyperlink"/>
            <w:noProof/>
          </w:rPr>
          <w:t>Drug utilisation reviews</w:t>
        </w:r>
        <w:r w:rsidR="00735378">
          <w:rPr>
            <w:noProof/>
            <w:webHidden/>
          </w:rPr>
          <w:tab/>
        </w:r>
        <w:r w:rsidR="00735378">
          <w:rPr>
            <w:noProof/>
            <w:webHidden/>
          </w:rPr>
          <w:fldChar w:fldCharType="begin"/>
        </w:r>
        <w:r w:rsidR="00735378">
          <w:rPr>
            <w:noProof/>
            <w:webHidden/>
          </w:rPr>
          <w:instrText xml:space="preserve"> PAGEREF _Toc138846274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3C2EB51F" w14:textId="36D73D38" w:rsidR="00735378" w:rsidRDefault="00754ED6">
      <w:pPr>
        <w:pStyle w:val="TOC2"/>
        <w:rPr>
          <w:rFonts w:asciiTheme="minorHAnsi" w:eastAsiaTheme="minorEastAsia" w:hAnsiTheme="minorHAnsi" w:cstheme="minorBidi"/>
          <w:noProof/>
          <w:color w:val="auto"/>
          <w:szCs w:val="22"/>
          <w:lang w:eastAsia="en-AU"/>
        </w:rPr>
      </w:pPr>
      <w:hyperlink w:anchor="_Toc138846275" w:history="1">
        <w:r w:rsidR="00735378" w:rsidRPr="001C3421">
          <w:rPr>
            <w:rStyle w:val="Hyperlink"/>
            <w:noProof/>
          </w:rPr>
          <w:t>Data management and intellectual property</w:t>
        </w:r>
        <w:r w:rsidR="00735378">
          <w:rPr>
            <w:noProof/>
            <w:webHidden/>
          </w:rPr>
          <w:tab/>
        </w:r>
        <w:r w:rsidR="00735378">
          <w:rPr>
            <w:noProof/>
            <w:webHidden/>
          </w:rPr>
          <w:fldChar w:fldCharType="begin"/>
        </w:r>
        <w:r w:rsidR="00735378">
          <w:rPr>
            <w:noProof/>
            <w:webHidden/>
          </w:rPr>
          <w:instrText xml:space="preserve"> PAGEREF _Toc138846275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66E72CB1" w14:textId="1B87481C" w:rsidR="00735378" w:rsidRDefault="00754ED6">
      <w:pPr>
        <w:pStyle w:val="TOC3"/>
        <w:rPr>
          <w:rFonts w:asciiTheme="minorHAnsi" w:eastAsiaTheme="minorEastAsia" w:hAnsiTheme="minorHAnsi" w:cstheme="minorBidi"/>
          <w:noProof/>
          <w:color w:val="auto"/>
          <w:szCs w:val="22"/>
          <w:lang w:eastAsia="en-AU"/>
        </w:rPr>
      </w:pPr>
      <w:hyperlink w:anchor="_Toc138846276" w:history="1">
        <w:r w:rsidR="00735378" w:rsidRPr="001C3421">
          <w:rPr>
            <w:rStyle w:val="Hyperlink"/>
            <w:noProof/>
          </w:rPr>
          <w:t>Privacy and confidentiality</w:t>
        </w:r>
        <w:r w:rsidR="00735378">
          <w:rPr>
            <w:noProof/>
            <w:webHidden/>
          </w:rPr>
          <w:tab/>
        </w:r>
        <w:r w:rsidR="00735378">
          <w:rPr>
            <w:noProof/>
            <w:webHidden/>
          </w:rPr>
          <w:fldChar w:fldCharType="begin"/>
        </w:r>
        <w:r w:rsidR="00735378">
          <w:rPr>
            <w:noProof/>
            <w:webHidden/>
          </w:rPr>
          <w:instrText xml:space="preserve"> PAGEREF _Toc138846276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4DAA789D" w14:textId="07A77A20" w:rsidR="00735378" w:rsidRDefault="00754ED6">
      <w:pPr>
        <w:pStyle w:val="TOC3"/>
        <w:rPr>
          <w:rFonts w:asciiTheme="minorHAnsi" w:eastAsiaTheme="minorEastAsia" w:hAnsiTheme="minorHAnsi" w:cstheme="minorBidi"/>
          <w:noProof/>
          <w:color w:val="auto"/>
          <w:szCs w:val="22"/>
          <w:lang w:eastAsia="en-AU"/>
        </w:rPr>
      </w:pPr>
      <w:hyperlink w:anchor="_Toc138846277" w:history="1">
        <w:r w:rsidR="00735378" w:rsidRPr="001C3421">
          <w:rPr>
            <w:rStyle w:val="Hyperlink"/>
            <w:noProof/>
          </w:rPr>
          <w:t>Data security</w:t>
        </w:r>
        <w:r w:rsidR="00735378">
          <w:rPr>
            <w:noProof/>
            <w:webHidden/>
          </w:rPr>
          <w:tab/>
        </w:r>
        <w:r w:rsidR="00735378">
          <w:rPr>
            <w:noProof/>
            <w:webHidden/>
          </w:rPr>
          <w:fldChar w:fldCharType="begin"/>
        </w:r>
        <w:r w:rsidR="00735378">
          <w:rPr>
            <w:noProof/>
            <w:webHidden/>
          </w:rPr>
          <w:instrText xml:space="preserve"> PAGEREF _Toc138846277 \h </w:instrText>
        </w:r>
        <w:r w:rsidR="00735378">
          <w:rPr>
            <w:noProof/>
            <w:webHidden/>
          </w:rPr>
        </w:r>
        <w:r w:rsidR="00735378">
          <w:rPr>
            <w:noProof/>
            <w:webHidden/>
          </w:rPr>
          <w:fldChar w:fldCharType="separate"/>
        </w:r>
        <w:r w:rsidR="00735378">
          <w:rPr>
            <w:noProof/>
            <w:webHidden/>
          </w:rPr>
          <w:t>21</w:t>
        </w:r>
        <w:r w:rsidR="00735378">
          <w:rPr>
            <w:noProof/>
            <w:webHidden/>
          </w:rPr>
          <w:fldChar w:fldCharType="end"/>
        </w:r>
      </w:hyperlink>
    </w:p>
    <w:p w14:paraId="1FE1F19C" w14:textId="1B4075F3" w:rsidR="00735378" w:rsidRDefault="00754ED6">
      <w:pPr>
        <w:pStyle w:val="TOC3"/>
        <w:rPr>
          <w:rFonts w:asciiTheme="minorHAnsi" w:eastAsiaTheme="minorEastAsia" w:hAnsiTheme="minorHAnsi" w:cstheme="minorBidi"/>
          <w:noProof/>
          <w:color w:val="auto"/>
          <w:szCs w:val="22"/>
          <w:lang w:eastAsia="en-AU"/>
        </w:rPr>
      </w:pPr>
      <w:hyperlink w:anchor="_Toc138846278" w:history="1">
        <w:r w:rsidR="00735378" w:rsidRPr="001C3421">
          <w:rPr>
            <w:rStyle w:val="Hyperlink"/>
            <w:noProof/>
          </w:rPr>
          <w:t>Intellectual property</w:t>
        </w:r>
        <w:r w:rsidR="00735378">
          <w:rPr>
            <w:noProof/>
            <w:webHidden/>
          </w:rPr>
          <w:tab/>
        </w:r>
        <w:r w:rsidR="00735378">
          <w:rPr>
            <w:noProof/>
            <w:webHidden/>
          </w:rPr>
          <w:fldChar w:fldCharType="begin"/>
        </w:r>
        <w:r w:rsidR="00735378">
          <w:rPr>
            <w:noProof/>
            <w:webHidden/>
          </w:rPr>
          <w:instrText xml:space="preserve"> PAGEREF _Toc138846278 \h </w:instrText>
        </w:r>
        <w:r w:rsidR="00735378">
          <w:rPr>
            <w:noProof/>
            <w:webHidden/>
          </w:rPr>
        </w:r>
        <w:r w:rsidR="00735378">
          <w:rPr>
            <w:noProof/>
            <w:webHidden/>
          </w:rPr>
          <w:fldChar w:fldCharType="separate"/>
        </w:r>
        <w:r w:rsidR="00735378">
          <w:rPr>
            <w:noProof/>
            <w:webHidden/>
          </w:rPr>
          <w:t>22</w:t>
        </w:r>
        <w:r w:rsidR="00735378">
          <w:rPr>
            <w:noProof/>
            <w:webHidden/>
          </w:rPr>
          <w:fldChar w:fldCharType="end"/>
        </w:r>
      </w:hyperlink>
    </w:p>
    <w:p w14:paraId="39FEA798" w14:textId="4630C39A" w:rsidR="00735378" w:rsidRDefault="00754ED6">
      <w:pPr>
        <w:pStyle w:val="TOC1"/>
        <w:rPr>
          <w:rFonts w:asciiTheme="minorHAnsi" w:eastAsiaTheme="minorEastAsia" w:hAnsiTheme="minorHAnsi" w:cstheme="minorBidi"/>
          <w:b w:val="0"/>
          <w:noProof/>
          <w:color w:val="auto"/>
          <w:szCs w:val="22"/>
          <w:lang w:eastAsia="en-AU"/>
        </w:rPr>
      </w:pPr>
      <w:hyperlink w:anchor="_Toc138846279" w:history="1">
        <w:r w:rsidR="00735378" w:rsidRPr="001C3421">
          <w:rPr>
            <w:rStyle w:val="Hyperlink"/>
            <w:noProof/>
          </w:rPr>
          <w:t>Results</w:t>
        </w:r>
        <w:r w:rsidR="00735378">
          <w:rPr>
            <w:noProof/>
            <w:webHidden/>
          </w:rPr>
          <w:tab/>
        </w:r>
        <w:r w:rsidR="00735378">
          <w:rPr>
            <w:noProof/>
            <w:webHidden/>
          </w:rPr>
          <w:fldChar w:fldCharType="begin"/>
        </w:r>
        <w:r w:rsidR="00735378">
          <w:rPr>
            <w:noProof/>
            <w:webHidden/>
          </w:rPr>
          <w:instrText xml:space="preserve"> PAGEREF _Toc138846279 \h </w:instrText>
        </w:r>
        <w:r w:rsidR="00735378">
          <w:rPr>
            <w:noProof/>
            <w:webHidden/>
          </w:rPr>
        </w:r>
        <w:r w:rsidR="00735378">
          <w:rPr>
            <w:noProof/>
            <w:webHidden/>
          </w:rPr>
          <w:fldChar w:fldCharType="separate"/>
        </w:r>
        <w:r w:rsidR="00735378">
          <w:rPr>
            <w:noProof/>
            <w:webHidden/>
          </w:rPr>
          <w:t>23</w:t>
        </w:r>
        <w:r w:rsidR="00735378">
          <w:rPr>
            <w:noProof/>
            <w:webHidden/>
          </w:rPr>
          <w:fldChar w:fldCharType="end"/>
        </w:r>
      </w:hyperlink>
    </w:p>
    <w:p w14:paraId="7970355A" w14:textId="53758807" w:rsidR="00735378" w:rsidRDefault="00754ED6">
      <w:pPr>
        <w:pStyle w:val="TOC3"/>
        <w:rPr>
          <w:rFonts w:asciiTheme="minorHAnsi" w:eastAsiaTheme="minorEastAsia" w:hAnsiTheme="minorHAnsi" w:cstheme="minorBidi"/>
          <w:noProof/>
          <w:color w:val="auto"/>
          <w:szCs w:val="22"/>
          <w:lang w:eastAsia="en-AU"/>
        </w:rPr>
      </w:pPr>
      <w:hyperlink w:anchor="_Toc138846280" w:history="1">
        <w:r w:rsidR="00735378" w:rsidRPr="001C3421">
          <w:rPr>
            <w:rStyle w:val="Hyperlink"/>
            <w:noProof/>
            <w:lang w:eastAsia="en-AU"/>
          </w:rPr>
          <w:t xml:space="preserve">Practice-based </w:t>
        </w:r>
        <w:r w:rsidR="00735378" w:rsidRPr="001C3421">
          <w:rPr>
            <w:rStyle w:val="Hyperlink"/>
            <w:noProof/>
          </w:rPr>
          <w:t>activity</w:t>
        </w:r>
        <w:r w:rsidR="00735378">
          <w:rPr>
            <w:noProof/>
            <w:webHidden/>
          </w:rPr>
          <w:tab/>
        </w:r>
        <w:r w:rsidR="00735378">
          <w:rPr>
            <w:noProof/>
            <w:webHidden/>
          </w:rPr>
          <w:fldChar w:fldCharType="begin"/>
        </w:r>
        <w:r w:rsidR="00735378">
          <w:rPr>
            <w:noProof/>
            <w:webHidden/>
          </w:rPr>
          <w:instrText xml:space="preserve"> PAGEREF _Toc138846280 \h </w:instrText>
        </w:r>
        <w:r w:rsidR="00735378">
          <w:rPr>
            <w:noProof/>
            <w:webHidden/>
          </w:rPr>
        </w:r>
        <w:r w:rsidR="00735378">
          <w:rPr>
            <w:noProof/>
            <w:webHidden/>
          </w:rPr>
          <w:fldChar w:fldCharType="separate"/>
        </w:r>
        <w:r w:rsidR="00735378">
          <w:rPr>
            <w:noProof/>
            <w:webHidden/>
          </w:rPr>
          <w:t>23</w:t>
        </w:r>
        <w:r w:rsidR="00735378">
          <w:rPr>
            <w:noProof/>
            <w:webHidden/>
          </w:rPr>
          <w:fldChar w:fldCharType="end"/>
        </w:r>
      </w:hyperlink>
    </w:p>
    <w:p w14:paraId="60BBB44E" w14:textId="668D8AD6" w:rsidR="00735378" w:rsidRDefault="00754ED6">
      <w:pPr>
        <w:pStyle w:val="TOC3"/>
        <w:rPr>
          <w:rFonts w:asciiTheme="minorHAnsi" w:eastAsiaTheme="minorEastAsia" w:hAnsiTheme="minorHAnsi" w:cstheme="minorBidi"/>
          <w:noProof/>
          <w:color w:val="auto"/>
          <w:szCs w:val="22"/>
          <w:lang w:eastAsia="en-AU"/>
        </w:rPr>
      </w:pPr>
      <w:hyperlink w:anchor="_Toc138846281" w:history="1">
        <w:r w:rsidR="00735378" w:rsidRPr="001C3421">
          <w:rPr>
            <w:rStyle w:val="Hyperlink"/>
            <w:noProof/>
          </w:rPr>
          <w:t>Clinical endpoints analysis</w:t>
        </w:r>
        <w:r w:rsidR="00735378">
          <w:rPr>
            <w:noProof/>
            <w:webHidden/>
          </w:rPr>
          <w:tab/>
        </w:r>
        <w:r w:rsidR="00735378">
          <w:rPr>
            <w:noProof/>
            <w:webHidden/>
          </w:rPr>
          <w:fldChar w:fldCharType="begin"/>
        </w:r>
        <w:r w:rsidR="00735378">
          <w:rPr>
            <w:noProof/>
            <w:webHidden/>
          </w:rPr>
          <w:instrText xml:space="preserve"> PAGEREF _Toc138846281 \h </w:instrText>
        </w:r>
        <w:r w:rsidR="00735378">
          <w:rPr>
            <w:noProof/>
            <w:webHidden/>
          </w:rPr>
        </w:r>
        <w:r w:rsidR="00735378">
          <w:rPr>
            <w:noProof/>
            <w:webHidden/>
          </w:rPr>
          <w:fldChar w:fldCharType="separate"/>
        </w:r>
        <w:r w:rsidR="00735378">
          <w:rPr>
            <w:noProof/>
            <w:webHidden/>
          </w:rPr>
          <w:t>24</w:t>
        </w:r>
        <w:r w:rsidR="00735378">
          <w:rPr>
            <w:noProof/>
            <w:webHidden/>
          </w:rPr>
          <w:fldChar w:fldCharType="end"/>
        </w:r>
      </w:hyperlink>
    </w:p>
    <w:p w14:paraId="1C0102DC" w14:textId="2176E6EC" w:rsidR="00735378" w:rsidRDefault="00754ED6">
      <w:pPr>
        <w:pStyle w:val="TOC3"/>
        <w:rPr>
          <w:rFonts w:asciiTheme="minorHAnsi" w:eastAsiaTheme="minorEastAsia" w:hAnsiTheme="minorHAnsi" w:cstheme="minorBidi"/>
          <w:noProof/>
          <w:color w:val="auto"/>
          <w:szCs w:val="22"/>
          <w:lang w:eastAsia="en-AU"/>
        </w:rPr>
      </w:pPr>
      <w:hyperlink w:anchor="_Toc138846282" w:history="1">
        <w:r w:rsidR="00735378" w:rsidRPr="001C3421">
          <w:rPr>
            <w:rStyle w:val="Hyperlink"/>
            <w:noProof/>
          </w:rPr>
          <w:t>Medication Appropriateness Index (MAI) audits</w:t>
        </w:r>
        <w:r w:rsidR="00735378">
          <w:rPr>
            <w:noProof/>
            <w:webHidden/>
          </w:rPr>
          <w:tab/>
        </w:r>
        <w:r w:rsidR="00735378">
          <w:rPr>
            <w:noProof/>
            <w:webHidden/>
          </w:rPr>
          <w:fldChar w:fldCharType="begin"/>
        </w:r>
        <w:r w:rsidR="00735378">
          <w:rPr>
            <w:noProof/>
            <w:webHidden/>
          </w:rPr>
          <w:instrText xml:space="preserve"> PAGEREF _Toc138846282 \h </w:instrText>
        </w:r>
        <w:r w:rsidR="00735378">
          <w:rPr>
            <w:noProof/>
            <w:webHidden/>
          </w:rPr>
        </w:r>
        <w:r w:rsidR="00735378">
          <w:rPr>
            <w:noProof/>
            <w:webHidden/>
          </w:rPr>
          <w:fldChar w:fldCharType="separate"/>
        </w:r>
        <w:r w:rsidR="00735378">
          <w:rPr>
            <w:noProof/>
            <w:webHidden/>
          </w:rPr>
          <w:t>25</w:t>
        </w:r>
        <w:r w:rsidR="00735378">
          <w:rPr>
            <w:noProof/>
            <w:webHidden/>
          </w:rPr>
          <w:fldChar w:fldCharType="end"/>
        </w:r>
      </w:hyperlink>
    </w:p>
    <w:p w14:paraId="6DD76253" w14:textId="34421DB1" w:rsidR="00735378" w:rsidRDefault="00754ED6">
      <w:pPr>
        <w:pStyle w:val="TOC3"/>
        <w:rPr>
          <w:rFonts w:asciiTheme="minorHAnsi" w:eastAsiaTheme="minorEastAsia" w:hAnsiTheme="minorHAnsi" w:cstheme="minorBidi"/>
          <w:noProof/>
          <w:color w:val="auto"/>
          <w:szCs w:val="22"/>
          <w:lang w:eastAsia="en-AU"/>
        </w:rPr>
      </w:pPr>
      <w:hyperlink w:anchor="_Toc138846283" w:history="1">
        <w:r w:rsidR="00735378" w:rsidRPr="001C3421">
          <w:rPr>
            <w:rStyle w:val="Hyperlink"/>
            <w:noProof/>
          </w:rPr>
          <w:t>Assessment of underutilisation</w:t>
        </w:r>
        <w:r w:rsidR="00735378">
          <w:rPr>
            <w:noProof/>
            <w:webHidden/>
          </w:rPr>
          <w:tab/>
        </w:r>
        <w:r w:rsidR="00735378">
          <w:rPr>
            <w:noProof/>
            <w:webHidden/>
          </w:rPr>
          <w:fldChar w:fldCharType="begin"/>
        </w:r>
        <w:r w:rsidR="00735378">
          <w:rPr>
            <w:noProof/>
            <w:webHidden/>
          </w:rPr>
          <w:instrText xml:space="preserve"> PAGEREF _Toc138846283 \h </w:instrText>
        </w:r>
        <w:r w:rsidR="00735378">
          <w:rPr>
            <w:noProof/>
            <w:webHidden/>
          </w:rPr>
        </w:r>
        <w:r w:rsidR="00735378">
          <w:rPr>
            <w:noProof/>
            <w:webHidden/>
          </w:rPr>
          <w:fldChar w:fldCharType="separate"/>
        </w:r>
        <w:r w:rsidR="00735378">
          <w:rPr>
            <w:noProof/>
            <w:webHidden/>
          </w:rPr>
          <w:t>26</w:t>
        </w:r>
        <w:r w:rsidR="00735378">
          <w:rPr>
            <w:noProof/>
            <w:webHidden/>
          </w:rPr>
          <w:fldChar w:fldCharType="end"/>
        </w:r>
      </w:hyperlink>
    </w:p>
    <w:p w14:paraId="7AE3F107" w14:textId="7190A373" w:rsidR="00735378" w:rsidRDefault="00754ED6">
      <w:pPr>
        <w:pStyle w:val="TOC3"/>
        <w:rPr>
          <w:rFonts w:asciiTheme="minorHAnsi" w:eastAsiaTheme="minorEastAsia" w:hAnsiTheme="minorHAnsi" w:cstheme="minorBidi"/>
          <w:noProof/>
          <w:color w:val="auto"/>
          <w:szCs w:val="22"/>
          <w:lang w:eastAsia="en-AU"/>
        </w:rPr>
      </w:pPr>
      <w:hyperlink w:anchor="_Toc138846284" w:history="1">
        <w:r w:rsidR="00735378" w:rsidRPr="001C3421">
          <w:rPr>
            <w:rStyle w:val="Hyperlink"/>
            <w:noProof/>
          </w:rPr>
          <w:t>Medication management reviews</w:t>
        </w:r>
        <w:r w:rsidR="00735378">
          <w:rPr>
            <w:noProof/>
            <w:webHidden/>
          </w:rPr>
          <w:tab/>
        </w:r>
        <w:r w:rsidR="00735378">
          <w:rPr>
            <w:noProof/>
            <w:webHidden/>
          </w:rPr>
          <w:fldChar w:fldCharType="begin"/>
        </w:r>
        <w:r w:rsidR="00735378">
          <w:rPr>
            <w:noProof/>
            <w:webHidden/>
          </w:rPr>
          <w:instrText xml:space="preserve"> PAGEREF _Toc138846284 \h </w:instrText>
        </w:r>
        <w:r w:rsidR="00735378">
          <w:rPr>
            <w:noProof/>
            <w:webHidden/>
          </w:rPr>
        </w:r>
        <w:r w:rsidR="00735378">
          <w:rPr>
            <w:noProof/>
            <w:webHidden/>
          </w:rPr>
          <w:fldChar w:fldCharType="separate"/>
        </w:r>
        <w:r w:rsidR="00735378">
          <w:rPr>
            <w:noProof/>
            <w:webHidden/>
          </w:rPr>
          <w:t>27</w:t>
        </w:r>
        <w:r w:rsidR="00735378">
          <w:rPr>
            <w:noProof/>
            <w:webHidden/>
          </w:rPr>
          <w:fldChar w:fldCharType="end"/>
        </w:r>
      </w:hyperlink>
    </w:p>
    <w:p w14:paraId="15A28285" w14:textId="65E5D6DE" w:rsidR="00735378" w:rsidRDefault="00754ED6">
      <w:pPr>
        <w:pStyle w:val="TOC3"/>
        <w:rPr>
          <w:rFonts w:asciiTheme="minorHAnsi" w:eastAsiaTheme="minorEastAsia" w:hAnsiTheme="minorHAnsi" w:cstheme="minorBidi"/>
          <w:noProof/>
          <w:color w:val="auto"/>
          <w:szCs w:val="22"/>
          <w:lang w:eastAsia="en-AU"/>
        </w:rPr>
      </w:pPr>
      <w:hyperlink w:anchor="_Toc138846285" w:history="1">
        <w:r w:rsidR="00735378" w:rsidRPr="001C3421">
          <w:rPr>
            <w:rStyle w:val="Hyperlink"/>
            <w:noProof/>
          </w:rPr>
          <w:t>Medication adherence and self-reported health status</w:t>
        </w:r>
        <w:r w:rsidR="00735378">
          <w:rPr>
            <w:noProof/>
            <w:webHidden/>
          </w:rPr>
          <w:tab/>
        </w:r>
        <w:r w:rsidR="00735378">
          <w:rPr>
            <w:noProof/>
            <w:webHidden/>
          </w:rPr>
          <w:fldChar w:fldCharType="begin"/>
        </w:r>
        <w:r w:rsidR="00735378">
          <w:rPr>
            <w:noProof/>
            <w:webHidden/>
          </w:rPr>
          <w:instrText xml:space="preserve"> PAGEREF _Toc138846285 \h </w:instrText>
        </w:r>
        <w:r w:rsidR="00735378">
          <w:rPr>
            <w:noProof/>
            <w:webHidden/>
          </w:rPr>
        </w:r>
        <w:r w:rsidR="00735378">
          <w:rPr>
            <w:noProof/>
            <w:webHidden/>
          </w:rPr>
          <w:fldChar w:fldCharType="separate"/>
        </w:r>
        <w:r w:rsidR="00735378">
          <w:rPr>
            <w:noProof/>
            <w:webHidden/>
          </w:rPr>
          <w:t>27</w:t>
        </w:r>
        <w:r w:rsidR="00735378">
          <w:rPr>
            <w:noProof/>
            <w:webHidden/>
          </w:rPr>
          <w:fldChar w:fldCharType="end"/>
        </w:r>
      </w:hyperlink>
    </w:p>
    <w:p w14:paraId="1675EE3A" w14:textId="45B43F82" w:rsidR="00735378" w:rsidRDefault="00754ED6">
      <w:pPr>
        <w:pStyle w:val="TOC3"/>
        <w:rPr>
          <w:rFonts w:asciiTheme="minorHAnsi" w:eastAsiaTheme="minorEastAsia" w:hAnsiTheme="minorHAnsi" w:cstheme="minorBidi"/>
          <w:noProof/>
          <w:color w:val="auto"/>
          <w:szCs w:val="22"/>
          <w:lang w:eastAsia="en-AU"/>
        </w:rPr>
      </w:pPr>
      <w:hyperlink w:anchor="_Toc138846286" w:history="1">
        <w:r w:rsidR="00735378" w:rsidRPr="001C3421">
          <w:rPr>
            <w:rStyle w:val="Hyperlink"/>
            <w:noProof/>
          </w:rPr>
          <w:t>Economic analysis</w:t>
        </w:r>
        <w:r w:rsidR="00735378">
          <w:rPr>
            <w:noProof/>
            <w:webHidden/>
          </w:rPr>
          <w:tab/>
        </w:r>
        <w:r w:rsidR="00735378">
          <w:rPr>
            <w:noProof/>
            <w:webHidden/>
          </w:rPr>
          <w:fldChar w:fldCharType="begin"/>
        </w:r>
        <w:r w:rsidR="00735378">
          <w:rPr>
            <w:noProof/>
            <w:webHidden/>
          </w:rPr>
          <w:instrText xml:space="preserve"> PAGEREF _Toc138846286 \h </w:instrText>
        </w:r>
        <w:r w:rsidR="00735378">
          <w:rPr>
            <w:noProof/>
            <w:webHidden/>
          </w:rPr>
        </w:r>
        <w:r w:rsidR="00735378">
          <w:rPr>
            <w:noProof/>
            <w:webHidden/>
          </w:rPr>
          <w:fldChar w:fldCharType="separate"/>
        </w:r>
        <w:r w:rsidR="00735378">
          <w:rPr>
            <w:noProof/>
            <w:webHidden/>
          </w:rPr>
          <w:t>28</w:t>
        </w:r>
        <w:r w:rsidR="00735378">
          <w:rPr>
            <w:noProof/>
            <w:webHidden/>
          </w:rPr>
          <w:fldChar w:fldCharType="end"/>
        </w:r>
      </w:hyperlink>
    </w:p>
    <w:p w14:paraId="4540EC9B" w14:textId="6D489D90" w:rsidR="00735378" w:rsidRDefault="00754ED6">
      <w:pPr>
        <w:pStyle w:val="TOC3"/>
        <w:rPr>
          <w:rFonts w:asciiTheme="minorHAnsi" w:eastAsiaTheme="minorEastAsia" w:hAnsiTheme="minorHAnsi" w:cstheme="minorBidi"/>
          <w:noProof/>
          <w:color w:val="auto"/>
          <w:szCs w:val="22"/>
          <w:lang w:eastAsia="en-AU"/>
        </w:rPr>
      </w:pPr>
      <w:hyperlink w:anchor="_Toc138846287" w:history="1">
        <w:r w:rsidR="00735378" w:rsidRPr="001C3421">
          <w:rPr>
            <w:rStyle w:val="Hyperlink"/>
            <w:noProof/>
          </w:rPr>
          <w:t>Qualitative evaluation</w:t>
        </w:r>
        <w:r w:rsidR="00735378">
          <w:rPr>
            <w:noProof/>
            <w:webHidden/>
          </w:rPr>
          <w:tab/>
        </w:r>
        <w:r w:rsidR="00735378">
          <w:rPr>
            <w:noProof/>
            <w:webHidden/>
          </w:rPr>
          <w:fldChar w:fldCharType="begin"/>
        </w:r>
        <w:r w:rsidR="00735378">
          <w:rPr>
            <w:noProof/>
            <w:webHidden/>
          </w:rPr>
          <w:instrText xml:space="preserve"> PAGEREF _Toc138846287 \h </w:instrText>
        </w:r>
        <w:r w:rsidR="00735378">
          <w:rPr>
            <w:noProof/>
            <w:webHidden/>
          </w:rPr>
        </w:r>
        <w:r w:rsidR="00735378">
          <w:rPr>
            <w:noProof/>
            <w:webHidden/>
          </w:rPr>
          <w:fldChar w:fldCharType="separate"/>
        </w:r>
        <w:r w:rsidR="00735378">
          <w:rPr>
            <w:noProof/>
            <w:webHidden/>
          </w:rPr>
          <w:t>30</w:t>
        </w:r>
        <w:r w:rsidR="00735378">
          <w:rPr>
            <w:noProof/>
            <w:webHidden/>
          </w:rPr>
          <w:fldChar w:fldCharType="end"/>
        </w:r>
      </w:hyperlink>
    </w:p>
    <w:p w14:paraId="66C1BF5D" w14:textId="18C1430B" w:rsidR="00735378" w:rsidRDefault="00754ED6">
      <w:pPr>
        <w:pStyle w:val="TOC3"/>
        <w:rPr>
          <w:rFonts w:asciiTheme="minorHAnsi" w:eastAsiaTheme="minorEastAsia" w:hAnsiTheme="minorHAnsi" w:cstheme="minorBidi"/>
          <w:noProof/>
          <w:color w:val="auto"/>
          <w:szCs w:val="22"/>
          <w:lang w:eastAsia="en-AU"/>
        </w:rPr>
      </w:pPr>
      <w:hyperlink w:anchor="_Toc138846288" w:history="1">
        <w:r w:rsidR="00735378" w:rsidRPr="001C3421">
          <w:rPr>
            <w:rStyle w:val="Hyperlink"/>
            <w:noProof/>
          </w:rPr>
          <w:t>Health systems assessment</w:t>
        </w:r>
        <w:r w:rsidR="00735378">
          <w:rPr>
            <w:noProof/>
            <w:webHidden/>
          </w:rPr>
          <w:tab/>
        </w:r>
        <w:r w:rsidR="00735378">
          <w:rPr>
            <w:noProof/>
            <w:webHidden/>
          </w:rPr>
          <w:fldChar w:fldCharType="begin"/>
        </w:r>
        <w:r w:rsidR="00735378">
          <w:rPr>
            <w:noProof/>
            <w:webHidden/>
          </w:rPr>
          <w:instrText xml:space="preserve"> PAGEREF _Toc138846288 \h </w:instrText>
        </w:r>
        <w:r w:rsidR="00735378">
          <w:rPr>
            <w:noProof/>
            <w:webHidden/>
          </w:rPr>
        </w:r>
        <w:r w:rsidR="00735378">
          <w:rPr>
            <w:noProof/>
            <w:webHidden/>
          </w:rPr>
          <w:fldChar w:fldCharType="separate"/>
        </w:r>
        <w:r w:rsidR="00735378">
          <w:rPr>
            <w:noProof/>
            <w:webHidden/>
          </w:rPr>
          <w:t>32</w:t>
        </w:r>
        <w:r w:rsidR="00735378">
          <w:rPr>
            <w:noProof/>
            <w:webHidden/>
          </w:rPr>
          <w:fldChar w:fldCharType="end"/>
        </w:r>
      </w:hyperlink>
    </w:p>
    <w:p w14:paraId="31D73072" w14:textId="2E907BA8" w:rsidR="00735378" w:rsidRDefault="00754ED6">
      <w:pPr>
        <w:pStyle w:val="TOC1"/>
        <w:rPr>
          <w:rFonts w:asciiTheme="minorHAnsi" w:eastAsiaTheme="minorEastAsia" w:hAnsiTheme="minorHAnsi" w:cstheme="minorBidi"/>
          <w:b w:val="0"/>
          <w:noProof/>
          <w:color w:val="auto"/>
          <w:szCs w:val="22"/>
          <w:lang w:eastAsia="en-AU"/>
        </w:rPr>
      </w:pPr>
      <w:hyperlink w:anchor="_Toc138846289" w:history="1">
        <w:r w:rsidR="00735378" w:rsidRPr="001C3421">
          <w:rPr>
            <w:rStyle w:val="Hyperlink"/>
            <w:noProof/>
          </w:rPr>
          <w:t>Discussion</w:t>
        </w:r>
        <w:r w:rsidR="00735378">
          <w:rPr>
            <w:noProof/>
            <w:webHidden/>
          </w:rPr>
          <w:tab/>
        </w:r>
        <w:r w:rsidR="00735378">
          <w:rPr>
            <w:noProof/>
            <w:webHidden/>
          </w:rPr>
          <w:fldChar w:fldCharType="begin"/>
        </w:r>
        <w:r w:rsidR="00735378">
          <w:rPr>
            <w:noProof/>
            <w:webHidden/>
          </w:rPr>
          <w:instrText xml:space="preserve"> PAGEREF _Toc138846289 \h </w:instrText>
        </w:r>
        <w:r w:rsidR="00735378">
          <w:rPr>
            <w:noProof/>
            <w:webHidden/>
          </w:rPr>
        </w:r>
        <w:r w:rsidR="00735378">
          <w:rPr>
            <w:noProof/>
            <w:webHidden/>
          </w:rPr>
          <w:fldChar w:fldCharType="separate"/>
        </w:r>
        <w:r w:rsidR="00735378">
          <w:rPr>
            <w:noProof/>
            <w:webHidden/>
          </w:rPr>
          <w:t>33</w:t>
        </w:r>
        <w:r w:rsidR="00735378">
          <w:rPr>
            <w:noProof/>
            <w:webHidden/>
          </w:rPr>
          <w:fldChar w:fldCharType="end"/>
        </w:r>
      </w:hyperlink>
    </w:p>
    <w:p w14:paraId="276A6134" w14:textId="7678AA1B" w:rsidR="00735378" w:rsidRDefault="00754ED6">
      <w:pPr>
        <w:pStyle w:val="TOC2"/>
        <w:rPr>
          <w:rFonts w:asciiTheme="minorHAnsi" w:eastAsiaTheme="minorEastAsia" w:hAnsiTheme="minorHAnsi" w:cstheme="minorBidi"/>
          <w:noProof/>
          <w:color w:val="auto"/>
          <w:szCs w:val="22"/>
          <w:lang w:eastAsia="en-AU"/>
        </w:rPr>
      </w:pPr>
      <w:hyperlink w:anchor="_Toc138846290" w:history="1">
        <w:r w:rsidR="00735378" w:rsidRPr="001C3421">
          <w:rPr>
            <w:rStyle w:val="Hyperlink"/>
            <w:noProof/>
          </w:rPr>
          <w:t>Highlights</w:t>
        </w:r>
        <w:r w:rsidR="00735378">
          <w:rPr>
            <w:noProof/>
            <w:webHidden/>
          </w:rPr>
          <w:tab/>
        </w:r>
        <w:r w:rsidR="00735378">
          <w:rPr>
            <w:noProof/>
            <w:webHidden/>
          </w:rPr>
          <w:fldChar w:fldCharType="begin"/>
        </w:r>
        <w:r w:rsidR="00735378">
          <w:rPr>
            <w:noProof/>
            <w:webHidden/>
          </w:rPr>
          <w:instrText xml:space="preserve"> PAGEREF _Toc138846290 \h </w:instrText>
        </w:r>
        <w:r w:rsidR="00735378">
          <w:rPr>
            <w:noProof/>
            <w:webHidden/>
          </w:rPr>
        </w:r>
        <w:r w:rsidR="00735378">
          <w:rPr>
            <w:noProof/>
            <w:webHidden/>
          </w:rPr>
          <w:fldChar w:fldCharType="separate"/>
        </w:r>
        <w:r w:rsidR="00735378">
          <w:rPr>
            <w:noProof/>
            <w:webHidden/>
          </w:rPr>
          <w:t>37</w:t>
        </w:r>
        <w:r w:rsidR="00735378">
          <w:rPr>
            <w:noProof/>
            <w:webHidden/>
          </w:rPr>
          <w:fldChar w:fldCharType="end"/>
        </w:r>
      </w:hyperlink>
    </w:p>
    <w:p w14:paraId="371FCEEC" w14:textId="384722F5" w:rsidR="00735378" w:rsidRDefault="00754ED6">
      <w:pPr>
        <w:pStyle w:val="TOC3"/>
        <w:rPr>
          <w:rFonts w:asciiTheme="minorHAnsi" w:eastAsiaTheme="minorEastAsia" w:hAnsiTheme="minorHAnsi" w:cstheme="minorBidi"/>
          <w:noProof/>
          <w:color w:val="auto"/>
          <w:szCs w:val="22"/>
          <w:lang w:eastAsia="en-AU"/>
        </w:rPr>
      </w:pPr>
      <w:hyperlink w:anchor="_Toc138846291" w:history="1">
        <w:r w:rsidR="00735378" w:rsidRPr="001C3421">
          <w:rPr>
            <w:rStyle w:val="Hyperlink"/>
            <w:noProof/>
          </w:rPr>
          <w:t>Support for the integrated pharmacist role</w:t>
        </w:r>
        <w:r w:rsidR="00735378">
          <w:rPr>
            <w:noProof/>
            <w:webHidden/>
          </w:rPr>
          <w:tab/>
        </w:r>
        <w:r w:rsidR="00735378">
          <w:rPr>
            <w:noProof/>
            <w:webHidden/>
          </w:rPr>
          <w:fldChar w:fldCharType="begin"/>
        </w:r>
        <w:r w:rsidR="00735378">
          <w:rPr>
            <w:noProof/>
            <w:webHidden/>
          </w:rPr>
          <w:instrText xml:space="preserve"> PAGEREF _Toc138846291 \h </w:instrText>
        </w:r>
        <w:r w:rsidR="00735378">
          <w:rPr>
            <w:noProof/>
            <w:webHidden/>
          </w:rPr>
        </w:r>
        <w:r w:rsidR="00735378">
          <w:rPr>
            <w:noProof/>
            <w:webHidden/>
          </w:rPr>
          <w:fldChar w:fldCharType="separate"/>
        </w:r>
        <w:r w:rsidR="00735378">
          <w:rPr>
            <w:noProof/>
            <w:webHidden/>
          </w:rPr>
          <w:t>37</w:t>
        </w:r>
        <w:r w:rsidR="00735378">
          <w:rPr>
            <w:noProof/>
            <w:webHidden/>
          </w:rPr>
          <w:fldChar w:fldCharType="end"/>
        </w:r>
      </w:hyperlink>
    </w:p>
    <w:p w14:paraId="5A521511" w14:textId="21A85E7A" w:rsidR="00735378" w:rsidRDefault="00754ED6">
      <w:pPr>
        <w:pStyle w:val="TOC3"/>
        <w:rPr>
          <w:rFonts w:asciiTheme="minorHAnsi" w:eastAsiaTheme="minorEastAsia" w:hAnsiTheme="minorHAnsi" w:cstheme="minorBidi"/>
          <w:noProof/>
          <w:color w:val="auto"/>
          <w:szCs w:val="22"/>
          <w:lang w:eastAsia="en-AU"/>
        </w:rPr>
      </w:pPr>
      <w:hyperlink w:anchor="_Toc138846292" w:history="1">
        <w:r w:rsidR="00735378" w:rsidRPr="001C3421">
          <w:rPr>
            <w:rStyle w:val="Hyperlink"/>
            <w:noProof/>
          </w:rPr>
          <w:t>Support from ACCHSs</w:t>
        </w:r>
        <w:r w:rsidR="00735378">
          <w:rPr>
            <w:noProof/>
            <w:webHidden/>
          </w:rPr>
          <w:tab/>
        </w:r>
        <w:r w:rsidR="00735378">
          <w:rPr>
            <w:noProof/>
            <w:webHidden/>
          </w:rPr>
          <w:fldChar w:fldCharType="begin"/>
        </w:r>
        <w:r w:rsidR="00735378">
          <w:rPr>
            <w:noProof/>
            <w:webHidden/>
          </w:rPr>
          <w:instrText xml:space="preserve"> PAGEREF _Toc138846292 \h </w:instrText>
        </w:r>
        <w:r w:rsidR="00735378">
          <w:rPr>
            <w:noProof/>
            <w:webHidden/>
          </w:rPr>
        </w:r>
        <w:r w:rsidR="00735378">
          <w:rPr>
            <w:noProof/>
            <w:webHidden/>
          </w:rPr>
          <w:fldChar w:fldCharType="separate"/>
        </w:r>
        <w:r w:rsidR="00735378">
          <w:rPr>
            <w:noProof/>
            <w:webHidden/>
          </w:rPr>
          <w:t>38</w:t>
        </w:r>
        <w:r w:rsidR="00735378">
          <w:rPr>
            <w:noProof/>
            <w:webHidden/>
          </w:rPr>
          <w:fldChar w:fldCharType="end"/>
        </w:r>
      </w:hyperlink>
    </w:p>
    <w:p w14:paraId="19FF0525" w14:textId="11DF753C" w:rsidR="00735378" w:rsidRDefault="00754ED6">
      <w:pPr>
        <w:pStyle w:val="TOC3"/>
        <w:rPr>
          <w:rFonts w:asciiTheme="minorHAnsi" w:eastAsiaTheme="minorEastAsia" w:hAnsiTheme="minorHAnsi" w:cstheme="minorBidi"/>
          <w:noProof/>
          <w:color w:val="auto"/>
          <w:szCs w:val="22"/>
          <w:lang w:eastAsia="en-AU"/>
        </w:rPr>
      </w:pPr>
      <w:hyperlink w:anchor="_Toc138846293" w:history="1">
        <w:r w:rsidR="00735378" w:rsidRPr="001C3421">
          <w:rPr>
            <w:rStyle w:val="Hyperlink"/>
            <w:noProof/>
          </w:rPr>
          <w:t>Financial in-kind contributions</w:t>
        </w:r>
        <w:r w:rsidR="00735378">
          <w:rPr>
            <w:noProof/>
            <w:webHidden/>
          </w:rPr>
          <w:tab/>
        </w:r>
        <w:r w:rsidR="00735378">
          <w:rPr>
            <w:noProof/>
            <w:webHidden/>
          </w:rPr>
          <w:fldChar w:fldCharType="begin"/>
        </w:r>
        <w:r w:rsidR="00735378">
          <w:rPr>
            <w:noProof/>
            <w:webHidden/>
          </w:rPr>
          <w:instrText xml:space="preserve"> PAGEREF _Toc138846293 \h </w:instrText>
        </w:r>
        <w:r w:rsidR="00735378">
          <w:rPr>
            <w:noProof/>
            <w:webHidden/>
          </w:rPr>
        </w:r>
        <w:r w:rsidR="00735378">
          <w:rPr>
            <w:noProof/>
            <w:webHidden/>
          </w:rPr>
          <w:fldChar w:fldCharType="separate"/>
        </w:r>
        <w:r w:rsidR="00735378">
          <w:rPr>
            <w:noProof/>
            <w:webHidden/>
          </w:rPr>
          <w:t>39</w:t>
        </w:r>
        <w:r w:rsidR="00735378">
          <w:rPr>
            <w:noProof/>
            <w:webHidden/>
          </w:rPr>
          <w:fldChar w:fldCharType="end"/>
        </w:r>
      </w:hyperlink>
    </w:p>
    <w:p w14:paraId="6775195B" w14:textId="04AD8428" w:rsidR="00735378" w:rsidRDefault="00754ED6">
      <w:pPr>
        <w:pStyle w:val="TOC3"/>
        <w:rPr>
          <w:rFonts w:asciiTheme="minorHAnsi" w:eastAsiaTheme="minorEastAsia" w:hAnsiTheme="minorHAnsi" w:cstheme="minorBidi"/>
          <w:noProof/>
          <w:color w:val="auto"/>
          <w:szCs w:val="22"/>
          <w:lang w:eastAsia="en-AU"/>
        </w:rPr>
      </w:pPr>
      <w:hyperlink w:anchor="_Toc138846294" w:history="1">
        <w:r w:rsidR="00735378" w:rsidRPr="001C3421">
          <w:rPr>
            <w:rStyle w:val="Hyperlink"/>
            <w:noProof/>
          </w:rPr>
          <w:t>Working with community pharmacy</w:t>
        </w:r>
        <w:r w:rsidR="00735378">
          <w:rPr>
            <w:noProof/>
            <w:webHidden/>
          </w:rPr>
          <w:tab/>
        </w:r>
        <w:r w:rsidR="00735378">
          <w:rPr>
            <w:noProof/>
            <w:webHidden/>
          </w:rPr>
          <w:fldChar w:fldCharType="begin"/>
        </w:r>
        <w:r w:rsidR="00735378">
          <w:rPr>
            <w:noProof/>
            <w:webHidden/>
          </w:rPr>
          <w:instrText xml:space="preserve"> PAGEREF _Toc138846294 \h </w:instrText>
        </w:r>
        <w:r w:rsidR="00735378">
          <w:rPr>
            <w:noProof/>
            <w:webHidden/>
          </w:rPr>
        </w:r>
        <w:r w:rsidR="00735378">
          <w:rPr>
            <w:noProof/>
            <w:webHidden/>
          </w:rPr>
          <w:fldChar w:fldCharType="separate"/>
        </w:r>
        <w:r w:rsidR="00735378">
          <w:rPr>
            <w:noProof/>
            <w:webHidden/>
          </w:rPr>
          <w:t>39</w:t>
        </w:r>
        <w:r w:rsidR="00735378">
          <w:rPr>
            <w:noProof/>
            <w:webHidden/>
          </w:rPr>
          <w:fldChar w:fldCharType="end"/>
        </w:r>
      </w:hyperlink>
    </w:p>
    <w:p w14:paraId="125AABC0" w14:textId="349EF65D" w:rsidR="00735378" w:rsidRDefault="00754ED6">
      <w:pPr>
        <w:pStyle w:val="TOC3"/>
        <w:rPr>
          <w:rFonts w:asciiTheme="minorHAnsi" w:eastAsiaTheme="minorEastAsia" w:hAnsiTheme="minorHAnsi" w:cstheme="minorBidi"/>
          <w:noProof/>
          <w:color w:val="auto"/>
          <w:szCs w:val="22"/>
          <w:lang w:eastAsia="en-AU"/>
        </w:rPr>
      </w:pPr>
      <w:hyperlink w:anchor="_Toc138846295" w:history="1">
        <w:r w:rsidR="00735378" w:rsidRPr="001C3421">
          <w:rPr>
            <w:rStyle w:val="Hyperlink"/>
            <w:noProof/>
          </w:rPr>
          <w:t>Proportion of patient-level activities</w:t>
        </w:r>
        <w:r w:rsidR="00735378">
          <w:rPr>
            <w:noProof/>
            <w:webHidden/>
          </w:rPr>
          <w:tab/>
        </w:r>
        <w:r w:rsidR="00735378">
          <w:rPr>
            <w:noProof/>
            <w:webHidden/>
          </w:rPr>
          <w:fldChar w:fldCharType="begin"/>
        </w:r>
        <w:r w:rsidR="00735378">
          <w:rPr>
            <w:noProof/>
            <w:webHidden/>
          </w:rPr>
          <w:instrText xml:space="preserve"> PAGEREF _Toc138846295 \h </w:instrText>
        </w:r>
        <w:r w:rsidR="00735378">
          <w:rPr>
            <w:noProof/>
            <w:webHidden/>
          </w:rPr>
        </w:r>
        <w:r w:rsidR="00735378">
          <w:rPr>
            <w:noProof/>
            <w:webHidden/>
          </w:rPr>
          <w:fldChar w:fldCharType="separate"/>
        </w:r>
        <w:r w:rsidR="00735378">
          <w:rPr>
            <w:noProof/>
            <w:webHidden/>
          </w:rPr>
          <w:t>40</w:t>
        </w:r>
        <w:r w:rsidR="00735378">
          <w:rPr>
            <w:noProof/>
            <w:webHidden/>
          </w:rPr>
          <w:fldChar w:fldCharType="end"/>
        </w:r>
      </w:hyperlink>
    </w:p>
    <w:p w14:paraId="3B7BA99C" w14:textId="4E369A66" w:rsidR="00735378" w:rsidRDefault="00754ED6">
      <w:pPr>
        <w:pStyle w:val="TOC3"/>
        <w:rPr>
          <w:rFonts w:asciiTheme="minorHAnsi" w:eastAsiaTheme="minorEastAsia" w:hAnsiTheme="minorHAnsi" w:cstheme="minorBidi"/>
          <w:noProof/>
          <w:color w:val="auto"/>
          <w:szCs w:val="22"/>
          <w:lang w:eastAsia="en-AU"/>
        </w:rPr>
      </w:pPr>
      <w:hyperlink w:anchor="_Toc138846296" w:history="1">
        <w:r w:rsidR="00735378" w:rsidRPr="001C3421">
          <w:rPr>
            <w:rStyle w:val="Hyperlink"/>
            <w:noProof/>
          </w:rPr>
          <w:t>Involvement of Aboriginal people and Torres Strait Islanders</w:t>
        </w:r>
        <w:r w:rsidR="00735378">
          <w:rPr>
            <w:noProof/>
            <w:webHidden/>
          </w:rPr>
          <w:tab/>
        </w:r>
        <w:r w:rsidR="00735378">
          <w:rPr>
            <w:noProof/>
            <w:webHidden/>
          </w:rPr>
          <w:fldChar w:fldCharType="begin"/>
        </w:r>
        <w:r w:rsidR="00735378">
          <w:rPr>
            <w:noProof/>
            <w:webHidden/>
          </w:rPr>
          <w:instrText xml:space="preserve"> PAGEREF _Toc138846296 \h </w:instrText>
        </w:r>
        <w:r w:rsidR="00735378">
          <w:rPr>
            <w:noProof/>
            <w:webHidden/>
          </w:rPr>
        </w:r>
        <w:r w:rsidR="00735378">
          <w:rPr>
            <w:noProof/>
            <w:webHidden/>
          </w:rPr>
          <w:fldChar w:fldCharType="separate"/>
        </w:r>
        <w:r w:rsidR="00735378">
          <w:rPr>
            <w:noProof/>
            <w:webHidden/>
          </w:rPr>
          <w:t>40</w:t>
        </w:r>
        <w:r w:rsidR="00735378">
          <w:rPr>
            <w:noProof/>
            <w:webHidden/>
          </w:rPr>
          <w:fldChar w:fldCharType="end"/>
        </w:r>
      </w:hyperlink>
    </w:p>
    <w:p w14:paraId="12269CBE" w14:textId="52C2637F" w:rsidR="00735378" w:rsidRDefault="00754ED6">
      <w:pPr>
        <w:pStyle w:val="TOC2"/>
        <w:rPr>
          <w:rFonts w:asciiTheme="minorHAnsi" w:eastAsiaTheme="minorEastAsia" w:hAnsiTheme="minorHAnsi" w:cstheme="minorBidi"/>
          <w:noProof/>
          <w:color w:val="auto"/>
          <w:szCs w:val="22"/>
          <w:lang w:eastAsia="en-AU"/>
        </w:rPr>
      </w:pPr>
      <w:hyperlink w:anchor="_Toc138846297" w:history="1">
        <w:r w:rsidR="00735378" w:rsidRPr="001C3421">
          <w:rPr>
            <w:rStyle w:val="Hyperlink"/>
            <w:noProof/>
          </w:rPr>
          <w:t>Difficulties</w:t>
        </w:r>
        <w:r w:rsidR="00735378">
          <w:rPr>
            <w:noProof/>
            <w:webHidden/>
          </w:rPr>
          <w:tab/>
        </w:r>
        <w:r w:rsidR="00735378">
          <w:rPr>
            <w:noProof/>
            <w:webHidden/>
          </w:rPr>
          <w:fldChar w:fldCharType="begin"/>
        </w:r>
        <w:r w:rsidR="00735378">
          <w:rPr>
            <w:noProof/>
            <w:webHidden/>
          </w:rPr>
          <w:instrText xml:space="preserve"> PAGEREF _Toc138846297 \h </w:instrText>
        </w:r>
        <w:r w:rsidR="00735378">
          <w:rPr>
            <w:noProof/>
            <w:webHidden/>
          </w:rPr>
        </w:r>
        <w:r w:rsidR="00735378">
          <w:rPr>
            <w:noProof/>
            <w:webHidden/>
          </w:rPr>
          <w:fldChar w:fldCharType="separate"/>
        </w:r>
        <w:r w:rsidR="00735378">
          <w:rPr>
            <w:noProof/>
            <w:webHidden/>
          </w:rPr>
          <w:t>41</w:t>
        </w:r>
        <w:r w:rsidR="00735378">
          <w:rPr>
            <w:noProof/>
            <w:webHidden/>
          </w:rPr>
          <w:fldChar w:fldCharType="end"/>
        </w:r>
      </w:hyperlink>
    </w:p>
    <w:p w14:paraId="6E57DB0B" w14:textId="227A21F8" w:rsidR="00735378" w:rsidRDefault="00754ED6">
      <w:pPr>
        <w:pStyle w:val="TOC3"/>
        <w:rPr>
          <w:rFonts w:asciiTheme="minorHAnsi" w:eastAsiaTheme="minorEastAsia" w:hAnsiTheme="minorHAnsi" w:cstheme="minorBidi"/>
          <w:noProof/>
          <w:color w:val="auto"/>
          <w:szCs w:val="22"/>
          <w:lang w:eastAsia="en-AU"/>
        </w:rPr>
      </w:pPr>
      <w:hyperlink w:anchor="_Toc138846298" w:history="1">
        <w:r w:rsidR="00735378" w:rsidRPr="001C3421">
          <w:rPr>
            <w:rStyle w:val="Hyperlink"/>
            <w:noProof/>
          </w:rPr>
          <w:t>ACCHS challenges</w:t>
        </w:r>
        <w:r w:rsidR="00735378">
          <w:rPr>
            <w:noProof/>
            <w:webHidden/>
          </w:rPr>
          <w:tab/>
        </w:r>
        <w:r w:rsidR="00735378">
          <w:rPr>
            <w:noProof/>
            <w:webHidden/>
          </w:rPr>
          <w:fldChar w:fldCharType="begin"/>
        </w:r>
        <w:r w:rsidR="00735378">
          <w:rPr>
            <w:noProof/>
            <w:webHidden/>
          </w:rPr>
          <w:instrText xml:space="preserve"> PAGEREF _Toc138846298 \h </w:instrText>
        </w:r>
        <w:r w:rsidR="00735378">
          <w:rPr>
            <w:noProof/>
            <w:webHidden/>
          </w:rPr>
        </w:r>
        <w:r w:rsidR="00735378">
          <w:rPr>
            <w:noProof/>
            <w:webHidden/>
          </w:rPr>
          <w:fldChar w:fldCharType="separate"/>
        </w:r>
        <w:r w:rsidR="00735378">
          <w:rPr>
            <w:noProof/>
            <w:webHidden/>
          </w:rPr>
          <w:t>41</w:t>
        </w:r>
        <w:r w:rsidR="00735378">
          <w:rPr>
            <w:noProof/>
            <w:webHidden/>
          </w:rPr>
          <w:fldChar w:fldCharType="end"/>
        </w:r>
      </w:hyperlink>
    </w:p>
    <w:p w14:paraId="3B7B33C6" w14:textId="1B61424E" w:rsidR="00735378" w:rsidRDefault="00754ED6">
      <w:pPr>
        <w:pStyle w:val="TOC3"/>
        <w:rPr>
          <w:rFonts w:asciiTheme="minorHAnsi" w:eastAsiaTheme="minorEastAsia" w:hAnsiTheme="minorHAnsi" w:cstheme="minorBidi"/>
          <w:noProof/>
          <w:color w:val="auto"/>
          <w:szCs w:val="22"/>
          <w:lang w:eastAsia="en-AU"/>
        </w:rPr>
      </w:pPr>
      <w:hyperlink w:anchor="_Toc138846299" w:history="1">
        <w:r w:rsidR="00735378" w:rsidRPr="001C3421">
          <w:rPr>
            <w:rStyle w:val="Hyperlink"/>
            <w:noProof/>
          </w:rPr>
          <w:t>Pharmacist service delivery</w:t>
        </w:r>
        <w:r w:rsidR="00735378">
          <w:rPr>
            <w:noProof/>
            <w:webHidden/>
          </w:rPr>
          <w:tab/>
        </w:r>
        <w:r w:rsidR="00735378">
          <w:rPr>
            <w:noProof/>
            <w:webHidden/>
          </w:rPr>
          <w:fldChar w:fldCharType="begin"/>
        </w:r>
        <w:r w:rsidR="00735378">
          <w:rPr>
            <w:noProof/>
            <w:webHidden/>
          </w:rPr>
          <w:instrText xml:space="preserve"> PAGEREF _Toc138846299 \h </w:instrText>
        </w:r>
        <w:r w:rsidR="00735378">
          <w:rPr>
            <w:noProof/>
            <w:webHidden/>
          </w:rPr>
        </w:r>
        <w:r w:rsidR="00735378">
          <w:rPr>
            <w:noProof/>
            <w:webHidden/>
          </w:rPr>
          <w:fldChar w:fldCharType="separate"/>
        </w:r>
        <w:r w:rsidR="00735378">
          <w:rPr>
            <w:noProof/>
            <w:webHidden/>
          </w:rPr>
          <w:t>42</w:t>
        </w:r>
        <w:r w:rsidR="00735378">
          <w:rPr>
            <w:noProof/>
            <w:webHidden/>
          </w:rPr>
          <w:fldChar w:fldCharType="end"/>
        </w:r>
      </w:hyperlink>
    </w:p>
    <w:p w14:paraId="007E19A9" w14:textId="1C471D4D" w:rsidR="00735378" w:rsidRDefault="00754ED6">
      <w:pPr>
        <w:pStyle w:val="TOC3"/>
        <w:rPr>
          <w:rFonts w:asciiTheme="minorHAnsi" w:eastAsiaTheme="minorEastAsia" w:hAnsiTheme="minorHAnsi" w:cstheme="minorBidi"/>
          <w:noProof/>
          <w:color w:val="auto"/>
          <w:szCs w:val="22"/>
          <w:lang w:eastAsia="en-AU"/>
        </w:rPr>
      </w:pPr>
      <w:hyperlink w:anchor="_Toc138846300" w:history="1">
        <w:r w:rsidR="00735378" w:rsidRPr="001C3421">
          <w:rPr>
            <w:rStyle w:val="Hyperlink"/>
            <w:noProof/>
          </w:rPr>
          <w:t>Role implementation challenges</w:t>
        </w:r>
        <w:r w:rsidR="00735378">
          <w:rPr>
            <w:noProof/>
            <w:webHidden/>
          </w:rPr>
          <w:tab/>
        </w:r>
        <w:r w:rsidR="00735378">
          <w:rPr>
            <w:noProof/>
            <w:webHidden/>
          </w:rPr>
          <w:fldChar w:fldCharType="begin"/>
        </w:r>
        <w:r w:rsidR="00735378">
          <w:rPr>
            <w:noProof/>
            <w:webHidden/>
          </w:rPr>
          <w:instrText xml:space="preserve"> PAGEREF _Toc138846300 \h </w:instrText>
        </w:r>
        <w:r w:rsidR="00735378">
          <w:rPr>
            <w:noProof/>
            <w:webHidden/>
          </w:rPr>
        </w:r>
        <w:r w:rsidR="00735378">
          <w:rPr>
            <w:noProof/>
            <w:webHidden/>
          </w:rPr>
          <w:fldChar w:fldCharType="separate"/>
        </w:r>
        <w:r w:rsidR="00735378">
          <w:rPr>
            <w:noProof/>
            <w:webHidden/>
          </w:rPr>
          <w:t>43</w:t>
        </w:r>
        <w:r w:rsidR="00735378">
          <w:rPr>
            <w:noProof/>
            <w:webHidden/>
          </w:rPr>
          <w:fldChar w:fldCharType="end"/>
        </w:r>
      </w:hyperlink>
    </w:p>
    <w:p w14:paraId="00AB1D00" w14:textId="3C8B4FB1" w:rsidR="00735378" w:rsidRDefault="00754ED6">
      <w:pPr>
        <w:pStyle w:val="TOC3"/>
        <w:rPr>
          <w:rFonts w:asciiTheme="minorHAnsi" w:eastAsiaTheme="minorEastAsia" w:hAnsiTheme="minorHAnsi" w:cstheme="minorBidi"/>
          <w:noProof/>
          <w:color w:val="auto"/>
          <w:szCs w:val="22"/>
          <w:lang w:eastAsia="en-AU"/>
        </w:rPr>
      </w:pPr>
      <w:hyperlink w:anchor="_Toc138846301" w:history="1">
        <w:r w:rsidR="00735378" w:rsidRPr="001C3421">
          <w:rPr>
            <w:rStyle w:val="Hyperlink"/>
            <w:noProof/>
          </w:rPr>
          <w:t>Research-related challenges</w:t>
        </w:r>
        <w:r w:rsidR="00735378">
          <w:rPr>
            <w:noProof/>
            <w:webHidden/>
          </w:rPr>
          <w:tab/>
        </w:r>
        <w:r w:rsidR="00735378">
          <w:rPr>
            <w:noProof/>
            <w:webHidden/>
          </w:rPr>
          <w:fldChar w:fldCharType="begin"/>
        </w:r>
        <w:r w:rsidR="00735378">
          <w:rPr>
            <w:noProof/>
            <w:webHidden/>
          </w:rPr>
          <w:instrText xml:space="preserve"> PAGEREF _Toc138846301 \h </w:instrText>
        </w:r>
        <w:r w:rsidR="00735378">
          <w:rPr>
            <w:noProof/>
            <w:webHidden/>
          </w:rPr>
        </w:r>
        <w:r w:rsidR="00735378">
          <w:rPr>
            <w:noProof/>
            <w:webHidden/>
          </w:rPr>
          <w:fldChar w:fldCharType="separate"/>
        </w:r>
        <w:r w:rsidR="00735378">
          <w:rPr>
            <w:noProof/>
            <w:webHidden/>
          </w:rPr>
          <w:t>44</w:t>
        </w:r>
        <w:r w:rsidR="00735378">
          <w:rPr>
            <w:noProof/>
            <w:webHidden/>
          </w:rPr>
          <w:fldChar w:fldCharType="end"/>
        </w:r>
      </w:hyperlink>
    </w:p>
    <w:p w14:paraId="3F8429BF" w14:textId="7EBB69DA" w:rsidR="00735378" w:rsidRDefault="00754ED6">
      <w:pPr>
        <w:pStyle w:val="TOC1"/>
        <w:rPr>
          <w:rFonts w:asciiTheme="minorHAnsi" w:eastAsiaTheme="minorEastAsia" w:hAnsiTheme="minorHAnsi" w:cstheme="minorBidi"/>
          <w:b w:val="0"/>
          <w:noProof/>
          <w:color w:val="auto"/>
          <w:szCs w:val="22"/>
          <w:lang w:eastAsia="en-AU"/>
        </w:rPr>
      </w:pPr>
      <w:hyperlink w:anchor="_Toc138846302" w:history="1">
        <w:r w:rsidR="00735378" w:rsidRPr="001C3421">
          <w:rPr>
            <w:rStyle w:val="Hyperlink"/>
            <w:noProof/>
          </w:rPr>
          <w:t>Conclusion and recommendations</w:t>
        </w:r>
        <w:r w:rsidR="00735378">
          <w:rPr>
            <w:noProof/>
            <w:webHidden/>
          </w:rPr>
          <w:tab/>
        </w:r>
        <w:r w:rsidR="00735378">
          <w:rPr>
            <w:noProof/>
            <w:webHidden/>
          </w:rPr>
          <w:fldChar w:fldCharType="begin"/>
        </w:r>
        <w:r w:rsidR="00735378">
          <w:rPr>
            <w:noProof/>
            <w:webHidden/>
          </w:rPr>
          <w:instrText xml:space="preserve"> PAGEREF _Toc138846302 \h </w:instrText>
        </w:r>
        <w:r w:rsidR="00735378">
          <w:rPr>
            <w:noProof/>
            <w:webHidden/>
          </w:rPr>
        </w:r>
        <w:r w:rsidR="00735378">
          <w:rPr>
            <w:noProof/>
            <w:webHidden/>
          </w:rPr>
          <w:fldChar w:fldCharType="separate"/>
        </w:r>
        <w:r w:rsidR="00735378">
          <w:rPr>
            <w:noProof/>
            <w:webHidden/>
          </w:rPr>
          <w:t>45</w:t>
        </w:r>
        <w:r w:rsidR="00735378">
          <w:rPr>
            <w:noProof/>
            <w:webHidden/>
          </w:rPr>
          <w:fldChar w:fldCharType="end"/>
        </w:r>
      </w:hyperlink>
    </w:p>
    <w:p w14:paraId="4C4251D3" w14:textId="5D3B0D76" w:rsidR="00735378" w:rsidRDefault="00754ED6">
      <w:pPr>
        <w:pStyle w:val="TOC1"/>
        <w:rPr>
          <w:rFonts w:asciiTheme="minorHAnsi" w:eastAsiaTheme="minorEastAsia" w:hAnsiTheme="minorHAnsi" w:cstheme="minorBidi"/>
          <w:b w:val="0"/>
          <w:noProof/>
          <w:color w:val="auto"/>
          <w:szCs w:val="22"/>
          <w:lang w:eastAsia="en-AU"/>
        </w:rPr>
      </w:pPr>
      <w:hyperlink w:anchor="_Toc138846303" w:history="1">
        <w:r w:rsidR="00735378" w:rsidRPr="001C3421">
          <w:rPr>
            <w:rStyle w:val="Hyperlink"/>
            <w:noProof/>
          </w:rPr>
          <w:t>Media, conference or promotional material</w:t>
        </w:r>
        <w:r w:rsidR="00735378">
          <w:rPr>
            <w:noProof/>
            <w:webHidden/>
          </w:rPr>
          <w:tab/>
        </w:r>
        <w:r w:rsidR="00735378">
          <w:rPr>
            <w:noProof/>
            <w:webHidden/>
          </w:rPr>
          <w:fldChar w:fldCharType="begin"/>
        </w:r>
        <w:r w:rsidR="00735378">
          <w:rPr>
            <w:noProof/>
            <w:webHidden/>
          </w:rPr>
          <w:instrText xml:space="preserve"> PAGEREF _Toc138846303 \h </w:instrText>
        </w:r>
        <w:r w:rsidR="00735378">
          <w:rPr>
            <w:noProof/>
            <w:webHidden/>
          </w:rPr>
        </w:r>
        <w:r w:rsidR="00735378">
          <w:rPr>
            <w:noProof/>
            <w:webHidden/>
          </w:rPr>
          <w:fldChar w:fldCharType="separate"/>
        </w:r>
        <w:r w:rsidR="00735378">
          <w:rPr>
            <w:noProof/>
            <w:webHidden/>
          </w:rPr>
          <w:t>50</w:t>
        </w:r>
        <w:r w:rsidR="00735378">
          <w:rPr>
            <w:noProof/>
            <w:webHidden/>
          </w:rPr>
          <w:fldChar w:fldCharType="end"/>
        </w:r>
      </w:hyperlink>
    </w:p>
    <w:p w14:paraId="2749D72F" w14:textId="738DBB05" w:rsidR="00735378" w:rsidRDefault="00754ED6">
      <w:pPr>
        <w:pStyle w:val="TOC2"/>
        <w:rPr>
          <w:rFonts w:asciiTheme="minorHAnsi" w:eastAsiaTheme="minorEastAsia" w:hAnsiTheme="minorHAnsi" w:cstheme="minorBidi"/>
          <w:noProof/>
          <w:color w:val="auto"/>
          <w:szCs w:val="22"/>
          <w:lang w:eastAsia="en-AU"/>
        </w:rPr>
      </w:pPr>
      <w:hyperlink w:anchor="_Toc138846304" w:history="1">
        <w:r w:rsidR="00735378" w:rsidRPr="001C3421">
          <w:rPr>
            <w:rStyle w:val="Hyperlink"/>
            <w:noProof/>
          </w:rPr>
          <w:t>Publications</w:t>
        </w:r>
        <w:r w:rsidR="00735378">
          <w:rPr>
            <w:noProof/>
            <w:webHidden/>
          </w:rPr>
          <w:tab/>
        </w:r>
        <w:r w:rsidR="00735378">
          <w:rPr>
            <w:noProof/>
            <w:webHidden/>
          </w:rPr>
          <w:fldChar w:fldCharType="begin"/>
        </w:r>
        <w:r w:rsidR="00735378">
          <w:rPr>
            <w:noProof/>
            <w:webHidden/>
          </w:rPr>
          <w:instrText xml:space="preserve"> PAGEREF _Toc138846304 \h </w:instrText>
        </w:r>
        <w:r w:rsidR="00735378">
          <w:rPr>
            <w:noProof/>
            <w:webHidden/>
          </w:rPr>
        </w:r>
        <w:r w:rsidR="00735378">
          <w:rPr>
            <w:noProof/>
            <w:webHidden/>
          </w:rPr>
          <w:fldChar w:fldCharType="separate"/>
        </w:r>
        <w:r w:rsidR="00735378">
          <w:rPr>
            <w:noProof/>
            <w:webHidden/>
          </w:rPr>
          <w:t>50</w:t>
        </w:r>
        <w:r w:rsidR="00735378">
          <w:rPr>
            <w:noProof/>
            <w:webHidden/>
          </w:rPr>
          <w:fldChar w:fldCharType="end"/>
        </w:r>
      </w:hyperlink>
    </w:p>
    <w:p w14:paraId="56D0DD25" w14:textId="337E7E4C" w:rsidR="00735378" w:rsidRDefault="00754ED6">
      <w:pPr>
        <w:pStyle w:val="TOC1"/>
        <w:rPr>
          <w:rFonts w:asciiTheme="minorHAnsi" w:eastAsiaTheme="minorEastAsia" w:hAnsiTheme="minorHAnsi" w:cstheme="minorBidi"/>
          <w:b w:val="0"/>
          <w:noProof/>
          <w:color w:val="auto"/>
          <w:szCs w:val="22"/>
          <w:lang w:eastAsia="en-AU"/>
        </w:rPr>
      </w:pPr>
      <w:hyperlink w:anchor="_Toc138846305" w:history="1">
        <w:r w:rsidR="00735378" w:rsidRPr="001C3421">
          <w:rPr>
            <w:rStyle w:val="Hyperlink"/>
            <w:noProof/>
          </w:rPr>
          <w:t>Appendices</w:t>
        </w:r>
        <w:r w:rsidR="00735378">
          <w:rPr>
            <w:noProof/>
            <w:webHidden/>
          </w:rPr>
          <w:tab/>
        </w:r>
        <w:r w:rsidR="00735378">
          <w:rPr>
            <w:noProof/>
            <w:webHidden/>
          </w:rPr>
          <w:fldChar w:fldCharType="begin"/>
        </w:r>
        <w:r w:rsidR="00735378">
          <w:rPr>
            <w:noProof/>
            <w:webHidden/>
          </w:rPr>
          <w:instrText xml:space="preserve"> PAGEREF _Toc138846305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25C0C1B0" w14:textId="6B481255"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06" w:history="1">
        <w:r w:rsidR="00735378" w:rsidRPr="001C3421">
          <w:rPr>
            <w:rStyle w:val="Hyperlink"/>
            <w:noProof/>
          </w:rPr>
          <w:t>Appendix 1</w:t>
        </w:r>
        <w:r w:rsidR="00735378">
          <w:rPr>
            <w:rFonts w:asciiTheme="minorHAnsi" w:eastAsiaTheme="minorEastAsia" w:hAnsiTheme="minorHAnsi" w:cstheme="minorBidi"/>
            <w:noProof/>
            <w:color w:val="auto"/>
            <w:szCs w:val="22"/>
            <w:lang w:eastAsia="en-AU"/>
          </w:rPr>
          <w:tab/>
        </w:r>
        <w:r w:rsidR="00735378" w:rsidRPr="001C3421">
          <w:rPr>
            <w:rStyle w:val="Hyperlink"/>
            <w:noProof/>
          </w:rPr>
          <w:t>Published IPAC Protocol</w:t>
        </w:r>
        <w:r w:rsidR="00735378">
          <w:rPr>
            <w:noProof/>
            <w:webHidden/>
          </w:rPr>
          <w:tab/>
        </w:r>
        <w:r w:rsidR="00735378">
          <w:rPr>
            <w:noProof/>
            <w:webHidden/>
          </w:rPr>
          <w:fldChar w:fldCharType="begin"/>
        </w:r>
        <w:r w:rsidR="00735378">
          <w:rPr>
            <w:noProof/>
            <w:webHidden/>
          </w:rPr>
          <w:instrText xml:space="preserve"> PAGEREF _Toc138846306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6ED35055" w14:textId="1E779CFA"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07" w:history="1">
        <w:r w:rsidR="00735378" w:rsidRPr="001C3421">
          <w:rPr>
            <w:rStyle w:val="Hyperlink"/>
            <w:noProof/>
          </w:rPr>
          <w:t>Appendix 2</w:t>
        </w:r>
        <w:r w:rsidR="00735378">
          <w:rPr>
            <w:rFonts w:asciiTheme="minorHAnsi" w:eastAsiaTheme="minorEastAsia" w:hAnsiTheme="minorHAnsi" w:cstheme="minorBidi"/>
            <w:noProof/>
            <w:color w:val="auto"/>
            <w:szCs w:val="22"/>
            <w:lang w:eastAsia="en-AU"/>
          </w:rPr>
          <w:tab/>
        </w:r>
        <w:r w:rsidR="00735378" w:rsidRPr="001C3421">
          <w:rPr>
            <w:rStyle w:val="Hyperlink"/>
            <w:noProof/>
          </w:rPr>
          <w:t>Full IPAC Protocol</w:t>
        </w:r>
        <w:r w:rsidR="00735378">
          <w:rPr>
            <w:noProof/>
            <w:webHidden/>
          </w:rPr>
          <w:tab/>
        </w:r>
        <w:r w:rsidR="00735378">
          <w:rPr>
            <w:noProof/>
            <w:webHidden/>
          </w:rPr>
          <w:fldChar w:fldCharType="begin"/>
        </w:r>
        <w:r w:rsidR="00735378">
          <w:rPr>
            <w:noProof/>
            <w:webHidden/>
          </w:rPr>
          <w:instrText xml:space="preserve"> PAGEREF _Toc138846307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3BBDAD16" w14:textId="3EE1FD45"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08" w:history="1">
        <w:r w:rsidR="00735378" w:rsidRPr="001C3421">
          <w:rPr>
            <w:rStyle w:val="Hyperlink"/>
            <w:noProof/>
          </w:rPr>
          <w:t>Appendix 3</w:t>
        </w:r>
        <w:r w:rsidR="00735378">
          <w:rPr>
            <w:rFonts w:asciiTheme="minorHAnsi" w:eastAsiaTheme="minorEastAsia" w:hAnsiTheme="minorHAnsi" w:cstheme="minorBidi"/>
            <w:noProof/>
            <w:color w:val="auto"/>
            <w:szCs w:val="22"/>
            <w:lang w:eastAsia="en-AU"/>
          </w:rPr>
          <w:tab/>
        </w:r>
        <w:r w:rsidR="00735378" w:rsidRPr="001C3421">
          <w:rPr>
            <w:rStyle w:val="Hyperlink"/>
            <w:noProof/>
          </w:rPr>
          <w:t>IPAC Trial Theory of Change</w:t>
        </w:r>
        <w:r w:rsidR="00735378">
          <w:rPr>
            <w:noProof/>
            <w:webHidden/>
          </w:rPr>
          <w:tab/>
        </w:r>
        <w:r w:rsidR="00735378">
          <w:rPr>
            <w:noProof/>
            <w:webHidden/>
          </w:rPr>
          <w:fldChar w:fldCharType="begin"/>
        </w:r>
        <w:r w:rsidR="00735378">
          <w:rPr>
            <w:noProof/>
            <w:webHidden/>
          </w:rPr>
          <w:instrText xml:space="preserve"> PAGEREF _Toc138846308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76A60785" w14:textId="0C5B2E48"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09" w:history="1">
        <w:r w:rsidR="00735378" w:rsidRPr="001C3421">
          <w:rPr>
            <w:rStyle w:val="Hyperlink"/>
            <w:noProof/>
          </w:rPr>
          <w:t>Appendix 4</w:t>
        </w:r>
        <w:r w:rsidR="00735378">
          <w:rPr>
            <w:rFonts w:asciiTheme="minorHAnsi" w:eastAsiaTheme="minorEastAsia" w:hAnsiTheme="minorHAnsi" w:cstheme="minorBidi"/>
            <w:noProof/>
            <w:color w:val="auto"/>
            <w:szCs w:val="22"/>
            <w:lang w:eastAsia="en-AU"/>
          </w:rPr>
          <w:tab/>
        </w:r>
        <w:r w:rsidR="00735378" w:rsidRPr="001C3421">
          <w:rPr>
            <w:rStyle w:val="Hyperlink"/>
            <w:noProof/>
          </w:rPr>
          <w:t>IPAC Trial Logic Model</w:t>
        </w:r>
        <w:r w:rsidR="00735378">
          <w:rPr>
            <w:noProof/>
            <w:webHidden/>
          </w:rPr>
          <w:tab/>
        </w:r>
        <w:r w:rsidR="00735378">
          <w:rPr>
            <w:noProof/>
            <w:webHidden/>
          </w:rPr>
          <w:fldChar w:fldCharType="begin"/>
        </w:r>
        <w:r w:rsidR="00735378">
          <w:rPr>
            <w:noProof/>
            <w:webHidden/>
          </w:rPr>
          <w:instrText xml:space="preserve"> PAGEREF _Toc138846309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5A7B740C" w14:textId="3A971260"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10" w:history="1">
        <w:r w:rsidR="00735378" w:rsidRPr="001C3421">
          <w:rPr>
            <w:rStyle w:val="Hyperlink"/>
            <w:noProof/>
          </w:rPr>
          <w:t>Appendix 5</w:t>
        </w:r>
        <w:r w:rsidR="00735378">
          <w:rPr>
            <w:rFonts w:asciiTheme="minorHAnsi" w:eastAsiaTheme="minorEastAsia" w:hAnsiTheme="minorHAnsi" w:cstheme="minorBidi"/>
            <w:noProof/>
            <w:color w:val="auto"/>
            <w:szCs w:val="22"/>
            <w:lang w:eastAsia="en-AU"/>
          </w:rPr>
          <w:tab/>
        </w:r>
        <w:r w:rsidR="00735378" w:rsidRPr="001C3421">
          <w:rPr>
            <w:rStyle w:val="Hyperlink"/>
            <w:noProof/>
          </w:rPr>
          <w:t>Clinical Algorithm 1 - Proposed Service</w:t>
        </w:r>
        <w:r w:rsidR="00735378">
          <w:rPr>
            <w:noProof/>
            <w:webHidden/>
          </w:rPr>
          <w:tab/>
        </w:r>
        <w:r w:rsidR="00735378">
          <w:rPr>
            <w:noProof/>
            <w:webHidden/>
          </w:rPr>
          <w:fldChar w:fldCharType="begin"/>
        </w:r>
        <w:r w:rsidR="00735378">
          <w:rPr>
            <w:noProof/>
            <w:webHidden/>
          </w:rPr>
          <w:instrText xml:space="preserve"> PAGEREF _Toc138846310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4D1FDE94" w14:textId="3140805A"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11" w:history="1">
        <w:r w:rsidR="00735378" w:rsidRPr="001C3421">
          <w:rPr>
            <w:rStyle w:val="Hyperlink"/>
            <w:noProof/>
          </w:rPr>
          <w:t>Appendix 6</w:t>
        </w:r>
        <w:r w:rsidR="00735378">
          <w:rPr>
            <w:rFonts w:asciiTheme="minorHAnsi" w:eastAsiaTheme="minorEastAsia" w:hAnsiTheme="minorHAnsi" w:cstheme="minorBidi"/>
            <w:noProof/>
            <w:color w:val="auto"/>
            <w:szCs w:val="22"/>
            <w:lang w:eastAsia="en-AU"/>
          </w:rPr>
          <w:tab/>
        </w:r>
        <w:r w:rsidR="00735378" w:rsidRPr="001C3421">
          <w:rPr>
            <w:rStyle w:val="Hyperlink"/>
            <w:noProof/>
          </w:rPr>
          <w:t>Clinical Algorithm 2 - Usual Care Service</w:t>
        </w:r>
        <w:r w:rsidR="00735378">
          <w:rPr>
            <w:noProof/>
            <w:webHidden/>
          </w:rPr>
          <w:tab/>
        </w:r>
        <w:r w:rsidR="00735378">
          <w:rPr>
            <w:noProof/>
            <w:webHidden/>
          </w:rPr>
          <w:fldChar w:fldCharType="begin"/>
        </w:r>
        <w:r w:rsidR="00735378">
          <w:rPr>
            <w:noProof/>
            <w:webHidden/>
          </w:rPr>
          <w:instrText xml:space="preserve"> PAGEREF _Toc138846311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5AAAB505" w14:textId="27993E0D"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12" w:history="1">
        <w:r w:rsidR="00735378" w:rsidRPr="001C3421">
          <w:rPr>
            <w:rStyle w:val="Hyperlink"/>
            <w:noProof/>
          </w:rPr>
          <w:t>Appendix 7</w:t>
        </w:r>
        <w:r w:rsidR="00735378">
          <w:rPr>
            <w:rFonts w:asciiTheme="minorHAnsi" w:eastAsiaTheme="minorEastAsia" w:hAnsiTheme="minorHAnsi" w:cstheme="minorBidi"/>
            <w:noProof/>
            <w:color w:val="auto"/>
            <w:szCs w:val="22"/>
            <w:lang w:eastAsia="en-AU"/>
          </w:rPr>
          <w:tab/>
        </w:r>
        <w:r w:rsidR="00735378" w:rsidRPr="001C3421">
          <w:rPr>
            <w:rStyle w:val="Hyperlink"/>
            <w:noProof/>
          </w:rPr>
          <w:t>Literature Review- Cost Effectiveness Analysis</w:t>
        </w:r>
        <w:r w:rsidR="00735378">
          <w:rPr>
            <w:noProof/>
            <w:webHidden/>
          </w:rPr>
          <w:tab/>
        </w:r>
        <w:r w:rsidR="00735378">
          <w:rPr>
            <w:noProof/>
            <w:webHidden/>
          </w:rPr>
          <w:fldChar w:fldCharType="begin"/>
        </w:r>
        <w:r w:rsidR="00735378">
          <w:rPr>
            <w:noProof/>
            <w:webHidden/>
          </w:rPr>
          <w:instrText xml:space="preserve"> PAGEREF _Toc138846312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61EF782D" w14:textId="37E3E1AE" w:rsidR="00735378" w:rsidRDefault="00754ED6">
      <w:pPr>
        <w:pStyle w:val="TOC3"/>
        <w:tabs>
          <w:tab w:val="left" w:pos="1779"/>
        </w:tabs>
        <w:rPr>
          <w:rFonts w:asciiTheme="minorHAnsi" w:eastAsiaTheme="minorEastAsia" w:hAnsiTheme="minorHAnsi" w:cstheme="minorBidi"/>
          <w:noProof/>
          <w:color w:val="auto"/>
          <w:szCs w:val="22"/>
          <w:lang w:eastAsia="en-AU"/>
        </w:rPr>
      </w:pPr>
      <w:hyperlink w:anchor="_Toc138846313" w:history="1">
        <w:r w:rsidR="00735378" w:rsidRPr="001C3421">
          <w:rPr>
            <w:rStyle w:val="Hyperlink"/>
            <w:noProof/>
          </w:rPr>
          <w:t>Appendix 8</w:t>
        </w:r>
        <w:r w:rsidR="00735378">
          <w:rPr>
            <w:rFonts w:asciiTheme="minorHAnsi" w:eastAsiaTheme="minorEastAsia" w:hAnsiTheme="minorHAnsi" w:cstheme="minorBidi"/>
            <w:noProof/>
            <w:color w:val="auto"/>
            <w:szCs w:val="22"/>
            <w:lang w:eastAsia="en-AU"/>
          </w:rPr>
          <w:tab/>
        </w:r>
        <w:r w:rsidR="00735378" w:rsidRPr="001C3421">
          <w:rPr>
            <w:rStyle w:val="Hyperlink"/>
            <w:noProof/>
          </w:rPr>
          <w:t>Umbrella Review- Integrated Pharmacists (Primary Health Care)</w:t>
        </w:r>
        <w:r w:rsidR="00735378">
          <w:rPr>
            <w:noProof/>
            <w:webHidden/>
          </w:rPr>
          <w:tab/>
        </w:r>
        <w:r w:rsidR="00735378">
          <w:rPr>
            <w:noProof/>
            <w:webHidden/>
          </w:rPr>
          <w:fldChar w:fldCharType="begin"/>
        </w:r>
        <w:r w:rsidR="00735378">
          <w:rPr>
            <w:noProof/>
            <w:webHidden/>
          </w:rPr>
          <w:instrText xml:space="preserve"> PAGEREF _Toc138846313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3AE23DC0" w14:textId="2E372081" w:rsidR="00735378" w:rsidRDefault="00754ED6">
      <w:pPr>
        <w:pStyle w:val="TOC3"/>
        <w:tabs>
          <w:tab w:val="left" w:pos="1828"/>
        </w:tabs>
        <w:rPr>
          <w:rFonts w:asciiTheme="minorHAnsi" w:eastAsiaTheme="minorEastAsia" w:hAnsiTheme="minorHAnsi" w:cstheme="minorBidi"/>
          <w:noProof/>
          <w:color w:val="auto"/>
          <w:szCs w:val="22"/>
          <w:lang w:eastAsia="en-AU"/>
        </w:rPr>
      </w:pPr>
      <w:hyperlink w:anchor="_Toc138846314" w:history="1">
        <w:r w:rsidR="00735378" w:rsidRPr="001C3421">
          <w:rPr>
            <w:rStyle w:val="Hyperlink"/>
            <w:noProof/>
            <w:lang w:bidi="en-AU"/>
          </w:rPr>
          <w:t xml:space="preserve">Appendix 9 </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Assessment of clinical endpoints report</w:t>
        </w:r>
        <w:r w:rsidR="00735378">
          <w:rPr>
            <w:noProof/>
            <w:webHidden/>
          </w:rPr>
          <w:tab/>
        </w:r>
        <w:r w:rsidR="00735378">
          <w:rPr>
            <w:noProof/>
            <w:webHidden/>
          </w:rPr>
          <w:fldChar w:fldCharType="begin"/>
        </w:r>
        <w:r w:rsidR="00735378">
          <w:rPr>
            <w:noProof/>
            <w:webHidden/>
          </w:rPr>
          <w:instrText xml:space="preserve"> PAGEREF _Toc138846314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1467BBB4" w14:textId="113128E9"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15" w:history="1">
        <w:r w:rsidR="00735378" w:rsidRPr="001C3421">
          <w:rPr>
            <w:rStyle w:val="Hyperlink"/>
            <w:noProof/>
          </w:rPr>
          <w:t>Appendix 10</w:t>
        </w:r>
        <w:r w:rsidR="00735378">
          <w:rPr>
            <w:rFonts w:asciiTheme="minorHAnsi" w:eastAsiaTheme="minorEastAsia" w:hAnsiTheme="minorHAnsi" w:cstheme="minorBidi"/>
            <w:noProof/>
            <w:color w:val="auto"/>
            <w:szCs w:val="22"/>
            <w:lang w:eastAsia="en-AU"/>
          </w:rPr>
          <w:tab/>
        </w:r>
        <w:r w:rsidR="00735378" w:rsidRPr="001C3421">
          <w:rPr>
            <w:rStyle w:val="Hyperlink"/>
            <w:noProof/>
          </w:rPr>
          <w:t>Assessment of Medication Appropriateness Index Report</w:t>
        </w:r>
        <w:r w:rsidR="00735378">
          <w:rPr>
            <w:noProof/>
            <w:webHidden/>
          </w:rPr>
          <w:tab/>
        </w:r>
        <w:r w:rsidR="00735378">
          <w:rPr>
            <w:noProof/>
            <w:webHidden/>
          </w:rPr>
          <w:fldChar w:fldCharType="begin"/>
        </w:r>
        <w:r w:rsidR="00735378">
          <w:rPr>
            <w:noProof/>
            <w:webHidden/>
          </w:rPr>
          <w:instrText xml:space="preserve"> PAGEREF _Toc138846315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6A98B0C5" w14:textId="7CB5E6EF"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16" w:history="1">
        <w:r w:rsidR="00735378" w:rsidRPr="001C3421">
          <w:rPr>
            <w:rStyle w:val="Hyperlink"/>
            <w:noProof/>
          </w:rPr>
          <w:t>Appendix 11</w:t>
        </w:r>
        <w:r w:rsidR="00735378">
          <w:rPr>
            <w:rFonts w:asciiTheme="minorHAnsi" w:eastAsiaTheme="minorEastAsia" w:hAnsiTheme="minorHAnsi" w:cstheme="minorBidi"/>
            <w:noProof/>
            <w:color w:val="auto"/>
            <w:szCs w:val="22"/>
            <w:lang w:eastAsia="en-AU"/>
          </w:rPr>
          <w:tab/>
        </w:r>
        <w:r w:rsidR="00735378" w:rsidRPr="001C3421">
          <w:rPr>
            <w:rStyle w:val="Hyperlink"/>
            <w:noProof/>
          </w:rPr>
          <w:t>Assessment of Medication Underutilisation Report</w:t>
        </w:r>
        <w:r w:rsidR="00735378">
          <w:rPr>
            <w:noProof/>
            <w:webHidden/>
          </w:rPr>
          <w:tab/>
        </w:r>
        <w:r w:rsidR="00735378">
          <w:rPr>
            <w:noProof/>
            <w:webHidden/>
          </w:rPr>
          <w:fldChar w:fldCharType="begin"/>
        </w:r>
        <w:r w:rsidR="00735378">
          <w:rPr>
            <w:noProof/>
            <w:webHidden/>
          </w:rPr>
          <w:instrText xml:space="preserve"> PAGEREF _Toc138846316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7EC2613C" w14:textId="4BC4A022"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17" w:history="1">
        <w:r w:rsidR="00735378" w:rsidRPr="001C3421">
          <w:rPr>
            <w:rStyle w:val="Hyperlink"/>
            <w:noProof/>
          </w:rPr>
          <w:t>Appendix 12</w:t>
        </w:r>
        <w:r w:rsidR="00735378">
          <w:rPr>
            <w:rFonts w:asciiTheme="minorHAnsi" w:eastAsiaTheme="minorEastAsia" w:hAnsiTheme="minorHAnsi" w:cstheme="minorBidi"/>
            <w:noProof/>
            <w:color w:val="auto"/>
            <w:szCs w:val="22"/>
            <w:lang w:eastAsia="en-AU"/>
          </w:rPr>
          <w:tab/>
        </w:r>
        <w:r w:rsidR="00735378" w:rsidRPr="001C3421">
          <w:rPr>
            <w:rStyle w:val="Hyperlink"/>
            <w:noProof/>
          </w:rPr>
          <w:t>Assessment of Home Medicines Review and Non-Home Medicines Reviews</w:t>
        </w:r>
        <w:r w:rsidR="00735378">
          <w:rPr>
            <w:noProof/>
            <w:webHidden/>
          </w:rPr>
          <w:tab/>
        </w:r>
        <w:r w:rsidR="00735378">
          <w:rPr>
            <w:noProof/>
            <w:webHidden/>
          </w:rPr>
          <w:fldChar w:fldCharType="begin"/>
        </w:r>
        <w:r w:rsidR="00735378">
          <w:rPr>
            <w:noProof/>
            <w:webHidden/>
          </w:rPr>
          <w:instrText xml:space="preserve"> PAGEREF _Toc138846317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02193BAD" w14:textId="7E8E24BF"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18" w:history="1">
        <w:r w:rsidR="00735378" w:rsidRPr="001C3421">
          <w:rPr>
            <w:rStyle w:val="Hyperlink"/>
            <w:noProof/>
            <w:lang w:bidi="en-AU"/>
          </w:rPr>
          <w:t>Appendix 13</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Assessment of Medication Adherence and Self-Reported Health Status Report</w:t>
        </w:r>
        <w:r w:rsidR="00735378">
          <w:rPr>
            <w:noProof/>
            <w:webHidden/>
          </w:rPr>
          <w:tab/>
        </w:r>
        <w:r w:rsidR="00735378">
          <w:rPr>
            <w:noProof/>
            <w:webHidden/>
          </w:rPr>
          <w:fldChar w:fldCharType="begin"/>
        </w:r>
        <w:r w:rsidR="00735378">
          <w:rPr>
            <w:noProof/>
            <w:webHidden/>
          </w:rPr>
          <w:instrText xml:space="preserve"> PAGEREF _Toc138846318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1D131F83" w14:textId="22C98B35" w:rsidR="00735378" w:rsidRDefault="00754ED6">
      <w:pPr>
        <w:pStyle w:val="TOC3"/>
        <w:tabs>
          <w:tab w:val="left" w:pos="1994"/>
        </w:tabs>
        <w:rPr>
          <w:rFonts w:asciiTheme="minorHAnsi" w:eastAsiaTheme="minorEastAsia" w:hAnsiTheme="minorHAnsi" w:cstheme="minorBidi"/>
          <w:noProof/>
          <w:color w:val="auto"/>
          <w:szCs w:val="22"/>
          <w:lang w:eastAsia="en-AU"/>
        </w:rPr>
      </w:pPr>
      <w:hyperlink w:anchor="_Toc138846319" w:history="1">
        <w:r w:rsidR="00735378" w:rsidRPr="001C3421">
          <w:rPr>
            <w:rStyle w:val="Hyperlink"/>
            <w:noProof/>
          </w:rPr>
          <w:t>Appendix 14a</w:t>
        </w:r>
        <w:r w:rsidR="00735378">
          <w:rPr>
            <w:rFonts w:asciiTheme="minorHAnsi" w:eastAsiaTheme="minorEastAsia" w:hAnsiTheme="minorHAnsi" w:cstheme="minorBidi"/>
            <w:noProof/>
            <w:color w:val="auto"/>
            <w:szCs w:val="22"/>
            <w:lang w:eastAsia="en-AU"/>
          </w:rPr>
          <w:tab/>
        </w:r>
        <w:r w:rsidR="00735378" w:rsidRPr="001C3421">
          <w:rPr>
            <w:rStyle w:val="Hyperlink"/>
            <w:noProof/>
          </w:rPr>
          <w:t>Qualitative Evaluation Report</w:t>
        </w:r>
        <w:r w:rsidR="00735378">
          <w:rPr>
            <w:noProof/>
            <w:webHidden/>
          </w:rPr>
          <w:tab/>
        </w:r>
        <w:r w:rsidR="00735378">
          <w:rPr>
            <w:noProof/>
            <w:webHidden/>
          </w:rPr>
          <w:fldChar w:fldCharType="begin"/>
        </w:r>
        <w:r w:rsidR="00735378">
          <w:rPr>
            <w:noProof/>
            <w:webHidden/>
          </w:rPr>
          <w:instrText xml:space="preserve"> PAGEREF _Toc138846319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01AC98E5" w14:textId="19CD1D51" w:rsidR="00735378" w:rsidRDefault="00754ED6">
      <w:pPr>
        <w:pStyle w:val="TOC3"/>
        <w:tabs>
          <w:tab w:val="left" w:pos="2005"/>
        </w:tabs>
        <w:rPr>
          <w:rFonts w:asciiTheme="minorHAnsi" w:eastAsiaTheme="minorEastAsia" w:hAnsiTheme="minorHAnsi" w:cstheme="minorBidi"/>
          <w:noProof/>
          <w:color w:val="auto"/>
          <w:szCs w:val="22"/>
          <w:lang w:eastAsia="en-AU"/>
        </w:rPr>
      </w:pPr>
      <w:hyperlink w:anchor="_Toc138846320" w:history="1">
        <w:r w:rsidR="00735378" w:rsidRPr="001C3421">
          <w:rPr>
            <w:rStyle w:val="Hyperlink"/>
            <w:noProof/>
          </w:rPr>
          <w:t>Appendix 14b</w:t>
        </w:r>
        <w:r w:rsidR="00735378">
          <w:rPr>
            <w:rFonts w:asciiTheme="minorHAnsi" w:eastAsiaTheme="minorEastAsia" w:hAnsiTheme="minorHAnsi" w:cstheme="minorBidi"/>
            <w:noProof/>
            <w:color w:val="auto"/>
            <w:szCs w:val="22"/>
            <w:lang w:eastAsia="en-AU"/>
          </w:rPr>
          <w:tab/>
        </w:r>
        <w:r w:rsidR="00735378" w:rsidRPr="001C3421">
          <w:rPr>
            <w:rStyle w:val="Hyperlink"/>
            <w:noProof/>
          </w:rPr>
          <w:t>Qualitative Evaluation Report Appendices</w:t>
        </w:r>
        <w:r w:rsidR="00735378">
          <w:rPr>
            <w:noProof/>
            <w:webHidden/>
          </w:rPr>
          <w:tab/>
        </w:r>
        <w:r w:rsidR="00735378">
          <w:rPr>
            <w:noProof/>
            <w:webHidden/>
          </w:rPr>
          <w:fldChar w:fldCharType="begin"/>
        </w:r>
        <w:r w:rsidR="00735378">
          <w:rPr>
            <w:noProof/>
            <w:webHidden/>
          </w:rPr>
          <w:instrText xml:space="preserve"> PAGEREF _Toc138846320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55724B6D" w14:textId="592C948F"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1" w:history="1">
        <w:r w:rsidR="00735378" w:rsidRPr="001C3421">
          <w:rPr>
            <w:rStyle w:val="Hyperlink"/>
            <w:noProof/>
          </w:rPr>
          <w:t>Appendix 15</w:t>
        </w:r>
        <w:r w:rsidR="00735378">
          <w:rPr>
            <w:rFonts w:asciiTheme="minorHAnsi" w:eastAsiaTheme="minorEastAsia" w:hAnsiTheme="minorHAnsi" w:cstheme="minorBidi"/>
            <w:noProof/>
            <w:color w:val="auto"/>
            <w:szCs w:val="22"/>
            <w:lang w:eastAsia="en-AU"/>
          </w:rPr>
          <w:tab/>
        </w:r>
        <w:r w:rsidR="00735378" w:rsidRPr="001C3421">
          <w:rPr>
            <w:rStyle w:val="Hyperlink"/>
            <w:noProof/>
          </w:rPr>
          <w:t>Net Cost to the PBS of Medication Changes from the IPAC Trial</w:t>
        </w:r>
        <w:r w:rsidR="00735378">
          <w:rPr>
            <w:noProof/>
            <w:webHidden/>
          </w:rPr>
          <w:tab/>
        </w:r>
        <w:r w:rsidR="00735378">
          <w:rPr>
            <w:noProof/>
            <w:webHidden/>
          </w:rPr>
          <w:fldChar w:fldCharType="begin"/>
        </w:r>
        <w:r w:rsidR="00735378">
          <w:rPr>
            <w:noProof/>
            <w:webHidden/>
          </w:rPr>
          <w:instrText xml:space="preserve"> PAGEREF _Toc138846321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1CC48452" w14:textId="3195B27F"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2" w:history="1">
        <w:r w:rsidR="00735378" w:rsidRPr="001C3421">
          <w:rPr>
            <w:rStyle w:val="Hyperlink"/>
            <w:noProof/>
            <w:lang w:bidi="en-AU"/>
          </w:rPr>
          <w:t>Appendix 16</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Support for practice-based activities report</w:t>
        </w:r>
        <w:r w:rsidR="00735378">
          <w:rPr>
            <w:noProof/>
            <w:webHidden/>
          </w:rPr>
          <w:tab/>
        </w:r>
        <w:r w:rsidR="00735378">
          <w:rPr>
            <w:noProof/>
            <w:webHidden/>
          </w:rPr>
          <w:fldChar w:fldCharType="begin"/>
        </w:r>
        <w:r w:rsidR="00735378">
          <w:rPr>
            <w:noProof/>
            <w:webHidden/>
          </w:rPr>
          <w:instrText xml:space="preserve"> PAGEREF _Toc138846322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3A15019A" w14:textId="5E903397"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3" w:history="1">
        <w:r w:rsidR="00735378" w:rsidRPr="001C3421">
          <w:rPr>
            <w:rStyle w:val="Hyperlink"/>
            <w:rFonts w:eastAsia="Arial"/>
            <w:noProof/>
            <w:lang w:bidi="en-AU"/>
          </w:rPr>
          <w:t>Appendix 17</w:t>
        </w:r>
        <w:r w:rsidR="00735378">
          <w:rPr>
            <w:rFonts w:asciiTheme="minorHAnsi" w:eastAsiaTheme="minorEastAsia" w:hAnsiTheme="minorHAnsi" w:cstheme="minorBidi"/>
            <w:noProof/>
            <w:color w:val="auto"/>
            <w:szCs w:val="22"/>
            <w:lang w:eastAsia="en-AU"/>
          </w:rPr>
          <w:tab/>
        </w:r>
        <w:r w:rsidR="00735378" w:rsidRPr="001C3421">
          <w:rPr>
            <w:rStyle w:val="Hyperlink"/>
            <w:rFonts w:eastAsia="Arial"/>
            <w:noProof/>
            <w:lang w:bidi="en-AU"/>
          </w:rPr>
          <w:t xml:space="preserve">Methodology </w:t>
        </w:r>
        <w:r w:rsidR="00735378" w:rsidRPr="001C3421">
          <w:rPr>
            <w:rStyle w:val="Hyperlink"/>
            <w:noProof/>
          </w:rPr>
          <w:t>for a model for extending a program</w:t>
        </w:r>
        <w:r w:rsidR="00735378">
          <w:rPr>
            <w:noProof/>
            <w:webHidden/>
          </w:rPr>
          <w:tab/>
        </w:r>
        <w:r w:rsidR="00735378">
          <w:rPr>
            <w:noProof/>
            <w:webHidden/>
          </w:rPr>
          <w:fldChar w:fldCharType="begin"/>
        </w:r>
        <w:r w:rsidR="00735378">
          <w:rPr>
            <w:noProof/>
            <w:webHidden/>
          </w:rPr>
          <w:instrText xml:space="preserve"> PAGEREF _Toc138846323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52EB332E" w14:textId="3616A54A"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4" w:history="1">
        <w:r w:rsidR="00735378" w:rsidRPr="001C3421">
          <w:rPr>
            <w:rStyle w:val="Hyperlink"/>
            <w:noProof/>
            <w:lang w:bidi="en-AU"/>
          </w:rPr>
          <w:t>Appendix 18</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Feedback received by PSA coordinators (PSA)</w:t>
        </w:r>
        <w:r w:rsidR="00735378">
          <w:rPr>
            <w:noProof/>
            <w:webHidden/>
          </w:rPr>
          <w:tab/>
        </w:r>
        <w:r w:rsidR="00735378">
          <w:rPr>
            <w:noProof/>
            <w:webHidden/>
          </w:rPr>
          <w:fldChar w:fldCharType="begin"/>
        </w:r>
        <w:r w:rsidR="00735378">
          <w:rPr>
            <w:noProof/>
            <w:webHidden/>
          </w:rPr>
          <w:instrText xml:space="preserve"> PAGEREF _Toc138846324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24175B6E" w14:textId="4A40B2FE"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5" w:history="1">
        <w:r w:rsidR="00735378" w:rsidRPr="001C3421">
          <w:rPr>
            <w:rStyle w:val="Hyperlink"/>
            <w:noProof/>
            <w:lang w:bidi="en-AU"/>
          </w:rPr>
          <w:t>Appendix 19</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Pharmacist recruitment report (PSA)</w:t>
        </w:r>
        <w:r w:rsidR="00735378">
          <w:rPr>
            <w:noProof/>
            <w:webHidden/>
          </w:rPr>
          <w:tab/>
        </w:r>
        <w:r w:rsidR="00735378">
          <w:rPr>
            <w:noProof/>
            <w:webHidden/>
          </w:rPr>
          <w:fldChar w:fldCharType="begin"/>
        </w:r>
        <w:r w:rsidR="00735378">
          <w:rPr>
            <w:noProof/>
            <w:webHidden/>
          </w:rPr>
          <w:instrText xml:space="preserve"> PAGEREF _Toc138846325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2F1B5E22" w14:textId="2E841141" w:rsidR="00735378" w:rsidRDefault="00754ED6">
      <w:pPr>
        <w:pStyle w:val="TOC3"/>
        <w:tabs>
          <w:tab w:val="left" w:pos="1994"/>
        </w:tabs>
        <w:rPr>
          <w:rFonts w:asciiTheme="minorHAnsi" w:eastAsiaTheme="minorEastAsia" w:hAnsiTheme="minorHAnsi" w:cstheme="minorBidi"/>
          <w:noProof/>
          <w:color w:val="auto"/>
          <w:szCs w:val="22"/>
          <w:lang w:eastAsia="en-AU"/>
        </w:rPr>
      </w:pPr>
      <w:hyperlink w:anchor="_Toc138846326" w:history="1">
        <w:r w:rsidR="00735378" w:rsidRPr="001C3421">
          <w:rPr>
            <w:rStyle w:val="Hyperlink"/>
            <w:noProof/>
            <w:lang w:bidi="en-AU"/>
          </w:rPr>
          <w:t>Appendix 20a</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Pharmacist induction training (PSA)</w:t>
        </w:r>
        <w:r w:rsidR="00735378">
          <w:rPr>
            <w:noProof/>
            <w:webHidden/>
          </w:rPr>
          <w:tab/>
        </w:r>
        <w:r w:rsidR="00735378">
          <w:rPr>
            <w:noProof/>
            <w:webHidden/>
          </w:rPr>
          <w:fldChar w:fldCharType="begin"/>
        </w:r>
        <w:r w:rsidR="00735378">
          <w:rPr>
            <w:noProof/>
            <w:webHidden/>
          </w:rPr>
          <w:instrText xml:space="preserve"> PAGEREF _Toc138846326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47F709A8" w14:textId="1207FAF1" w:rsidR="00735378" w:rsidRDefault="00754ED6">
      <w:pPr>
        <w:pStyle w:val="TOC3"/>
        <w:tabs>
          <w:tab w:val="left" w:pos="2005"/>
        </w:tabs>
        <w:rPr>
          <w:rFonts w:asciiTheme="minorHAnsi" w:eastAsiaTheme="minorEastAsia" w:hAnsiTheme="minorHAnsi" w:cstheme="minorBidi"/>
          <w:noProof/>
          <w:color w:val="auto"/>
          <w:szCs w:val="22"/>
          <w:lang w:eastAsia="en-AU"/>
        </w:rPr>
      </w:pPr>
      <w:hyperlink w:anchor="_Toc138846327" w:history="1">
        <w:r w:rsidR="00735378" w:rsidRPr="001C3421">
          <w:rPr>
            <w:rStyle w:val="Hyperlink"/>
            <w:noProof/>
            <w:lang w:bidi="en-AU"/>
          </w:rPr>
          <w:t>Appendix 20b</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Pharmacist induction training (PSA) Appendices</w:t>
        </w:r>
        <w:r w:rsidR="00735378">
          <w:rPr>
            <w:noProof/>
            <w:webHidden/>
          </w:rPr>
          <w:tab/>
        </w:r>
        <w:r w:rsidR="00735378">
          <w:rPr>
            <w:noProof/>
            <w:webHidden/>
          </w:rPr>
          <w:fldChar w:fldCharType="begin"/>
        </w:r>
        <w:r w:rsidR="00735378">
          <w:rPr>
            <w:noProof/>
            <w:webHidden/>
          </w:rPr>
          <w:instrText xml:space="preserve"> PAGEREF _Toc138846327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6B3A3A8F" w14:textId="7C1DFC54"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8" w:history="1">
        <w:r w:rsidR="00735378" w:rsidRPr="001C3421">
          <w:rPr>
            <w:rStyle w:val="Hyperlink"/>
            <w:noProof/>
            <w:lang w:bidi="en-AU"/>
          </w:rPr>
          <w:t>Appendix 21</w:t>
        </w:r>
        <w:r w:rsidR="00735378">
          <w:rPr>
            <w:rFonts w:asciiTheme="minorHAnsi" w:eastAsiaTheme="minorEastAsia" w:hAnsiTheme="minorHAnsi" w:cstheme="minorBidi"/>
            <w:noProof/>
            <w:color w:val="auto"/>
            <w:szCs w:val="22"/>
            <w:lang w:eastAsia="en-AU"/>
          </w:rPr>
          <w:tab/>
        </w:r>
        <w:r w:rsidR="00735378" w:rsidRPr="001C3421">
          <w:rPr>
            <w:rStyle w:val="Hyperlink"/>
            <w:noProof/>
            <w:lang w:bidi="en-AU"/>
          </w:rPr>
          <w:t>Support for pharmacists report (PSA)</w:t>
        </w:r>
        <w:r w:rsidR="00735378">
          <w:rPr>
            <w:noProof/>
            <w:webHidden/>
          </w:rPr>
          <w:tab/>
        </w:r>
        <w:r w:rsidR="00735378">
          <w:rPr>
            <w:noProof/>
            <w:webHidden/>
          </w:rPr>
          <w:fldChar w:fldCharType="begin"/>
        </w:r>
        <w:r w:rsidR="00735378">
          <w:rPr>
            <w:noProof/>
            <w:webHidden/>
          </w:rPr>
          <w:instrText xml:space="preserve"> PAGEREF _Toc138846328 \h </w:instrText>
        </w:r>
        <w:r w:rsidR="00735378">
          <w:rPr>
            <w:noProof/>
            <w:webHidden/>
          </w:rPr>
        </w:r>
        <w:r w:rsidR="00735378">
          <w:rPr>
            <w:noProof/>
            <w:webHidden/>
          </w:rPr>
          <w:fldChar w:fldCharType="separate"/>
        </w:r>
        <w:r w:rsidR="00735378">
          <w:rPr>
            <w:noProof/>
            <w:webHidden/>
          </w:rPr>
          <w:t>51</w:t>
        </w:r>
        <w:r w:rsidR="00735378">
          <w:rPr>
            <w:noProof/>
            <w:webHidden/>
          </w:rPr>
          <w:fldChar w:fldCharType="end"/>
        </w:r>
      </w:hyperlink>
    </w:p>
    <w:p w14:paraId="33E5798F" w14:textId="40CC68A3"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29" w:history="1">
        <w:r w:rsidR="00735378" w:rsidRPr="001C3421">
          <w:rPr>
            <w:rStyle w:val="Hyperlink"/>
            <w:noProof/>
          </w:rPr>
          <w:t>Appendix 22</w:t>
        </w:r>
        <w:r w:rsidR="00735378">
          <w:rPr>
            <w:rFonts w:asciiTheme="minorHAnsi" w:eastAsiaTheme="minorEastAsia" w:hAnsiTheme="minorHAnsi" w:cstheme="minorBidi"/>
            <w:noProof/>
            <w:color w:val="auto"/>
            <w:szCs w:val="22"/>
            <w:lang w:eastAsia="en-AU"/>
          </w:rPr>
          <w:tab/>
        </w:r>
        <w:r w:rsidR="00735378" w:rsidRPr="001C3421">
          <w:rPr>
            <w:rStyle w:val="Hyperlink"/>
            <w:noProof/>
          </w:rPr>
          <w:t>ACCHS Support (NACCHO)</w:t>
        </w:r>
        <w:r w:rsidR="00735378">
          <w:rPr>
            <w:noProof/>
            <w:webHidden/>
          </w:rPr>
          <w:tab/>
        </w:r>
        <w:r w:rsidR="00735378">
          <w:rPr>
            <w:noProof/>
            <w:webHidden/>
          </w:rPr>
          <w:fldChar w:fldCharType="begin"/>
        </w:r>
        <w:r w:rsidR="00735378">
          <w:rPr>
            <w:noProof/>
            <w:webHidden/>
          </w:rPr>
          <w:instrText xml:space="preserve"> PAGEREF _Toc138846329 \h </w:instrText>
        </w:r>
        <w:r w:rsidR="00735378">
          <w:rPr>
            <w:noProof/>
            <w:webHidden/>
          </w:rPr>
        </w:r>
        <w:r w:rsidR="00735378">
          <w:rPr>
            <w:noProof/>
            <w:webHidden/>
          </w:rPr>
          <w:fldChar w:fldCharType="separate"/>
        </w:r>
        <w:r w:rsidR="00735378">
          <w:rPr>
            <w:noProof/>
            <w:webHidden/>
          </w:rPr>
          <w:t>52</w:t>
        </w:r>
        <w:r w:rsidR="00735378">
          <w:rPr>
            <w:noProof/>
            <w:webHidden/>
          </w:rPr>
          <w:fldChar w:fldCharType="end"/>
        </w:r>
      </w:hyperlink>
    </w:p>
    <w:p w14:paraId="0575354D" w14:textId="71792659"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30" w:history="1">
        <w:r w:rsidR="00735378" w:rsidRPr="001C3421">
          <w:rPr>
            <w:rStyle w:val="Hyperlink"/>
            <w:noProof/>
          </w:rPr>
          <w:t>Appendix 23</w:t>
        </w:r>
        <w:r w:rsidR="00735378">
          <w:rPr>
            <w:rFonts w:asciiTheme="minorHAnsi" w:eastAsiaTheme="minorEastAsia" w:hAnsiTheme="minorHAnsi" w:cstheme="minorBidi"/>
            <w:noProof/>
            <w:color w:val="auto"/>
            <w:szCs w:val="22"/>
            <w:lang w:eastAsia="en-AU"/>
          </w:rPr>
          <w:tab/>
        </w:r>
        <w:r w:rsidR="00735378" w:rsidRPr="001C3421">
          <w:rPr>
            <w:rStyle w:val="Hyperlink"/>
            <w:noProof/>
          </w:rPr>
          <w:t>List of People Involved in the Assessment Report</w:t>
        </w:r>
        <w:r w:rsidR="00735378">
          <w:rPr>
            <w:noProof/>
            <w:webHidden/>
          </w:rPr>
          <w:tab/>
        </w:r>
        <w:r w:rsidR="00735378">
          <w:rPr>
            <w:noProof/>
            <w:webHidden/>
          </w:rPr>
          <w:fldChar w:fldCharType="begin"/>
        </w:r>
        <w:r w:rsidR="00735378">
          <w:rPr>
            <w:noProof/>
            <w:webHidden/>
          </w:rPr>
          <w:instrText xml:space="preserve"> PAGEREF _Toc138846330 \h </w:instrText>
        </w:r>
        <w:r w:rsidR="00735378">
          <w:rPr>
            <w:noProof/>
            <w:webHidden/>
          </w:rPr>
        </w:r>
        <w:r w:rsidR="00735378">
          <w:rPr>
            <w:noProof/>
            <w:webHidden/>
          </w:rPr>
          <w:fldChar w:fldCharType="separate"/>
        </w:r>
        <w:r w:rsidR="00735378">
          <w:rPr>
            <w:noProof/>
            <w:webHidden/>
          </w:rPr>
          <w:t>52</w:t>
        </w:r>
        <w:r w:rsidR="00735378">
          <w:rPr>
            <w:noProof/>
            <w:webHidden/>
          </w:rPr>
          <w:fldChar w:fldCharType="end"/>
        </w:r>
      </w:hyperlink>
    </w:p>
    <w:p w14:paraId="7C8A6FFC" w14:textId="5A3AA655"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31" w:history="1">
        <w:r w:rsidR="00735378" w:rsidRPr="001C3421">
          <w:rPr>
            <w:rStyle w:val="Hyperlink"/>
            <w:noProof/>
          </w:rPr>
          <w:t>Appendix 24</w:t>
        </w:r>
        <w:r w:rsidR="00735378">
          <w:rPr>
            <w:rFonts w:asciiTheme="minorHAnsi" w:eastAsiaTheme="minorEastAsia" w:hAnsiTheme="minorHAnsi" w:cstheme="minorBidi"/>
            <w:noProof/>
            <w:color w:val="auto"/>
            <w:szCs w:val="22"/>
            <w:lang w:eastAsia="en-AU"/>
          </w:rPr>
          <w:tab/>
        </w:r>
        <w:r w:rsidR="00735378" w:rsidRPr="001C3421">
          <w:rPr>
            <w:rStyle w:val="Hyperlink"/>
            <w:noProof/>
          </w:rPr>
          <w:t>Information Briefs and Consent Forms</w:t>
        </w:r>
        <w:r w:rsidR="00735378">
          <w:rPr>
            <w:noProof/>
            <w:webHidden/>
          </w:rPr>
          <w:tab/>
        </w:r>
        <w:r w:rsidR="00735378">
          <w:rPr>
            <w:noProof/>
            <w:webHidden/>
          </w:rPr>
          <w:fldChar w:fldCharType="begin"/>
        </w:r>
        <w:r w:rsidR="00735378">
          <w:rPr>
            <w:noProof/>
            <w:webHidden/>
          </w:rPr>
          <w:instrText xml:space="preserve"> PAGEREF _Toc138846331 \h </w:instrText>
        </w:r>
        <w:r w:rsidR="00735378">
          <w:rPr>
            <w:noProof/>
            <w:webHidden/>
          </w:rPr>
        </w:r>
        <w:r w:rsidR="00735378">
          <w:rPr>
            <w:noProof/>
            <w:webHidden/>
          </w:rPr>
          <w:fldChar w:fldCharType="separate"/>
        </w:r>
        <w:r w:rsidR="00735378">
          <w:rPr>
            <w:noProof/>
            <w:webHidden/>
          </w:rPr>
          <w:t>52</w:t>
        </w:r>
        <w:r w:rsidR="00735378">
          <w:rPr>
            <w:noProof/>
            <w:webHidden/>
          </w:rPr>
          <w:fldChar w:fldCharType="end"/>
        </w:r>
      </w:hyperlink>
    </w:p>
    <w:p w14:paraId="65F70C68" w14:textId="59517FD4" w:rsidR="00735378" w:rsidRDefault="00754ED6">
      <w:pPr>
        <w:pStyle w:val="TOC3"/>
        <w:tabs>
          <w:tab w:val="left" w:pos="1890"/>
        </w:tabs>
        <w:rPr>
          <w:rFonts w:asciiTheme="minorHAnsi" w:eastAsiaTheme="minorEastAsia" w:hAnsiTheme="minorHAnsi" w:cstheme="minorBidi"/>
          <w:noProof/>
          <w:color w:val="auto"/>
          <w:szCs w:val="22"/>
          <w:lang w:eastAsia="en-AU"/>
        </w:rPr>
      </w:pPr>
      <w:hyperlink w:anchor="_Toc138846332" w:history="1">
        <w:r w:rsidR="00735378" w:rsidRPr="001C3421">
          <w:rPr>
            <w:rStyle w:val="Hyperlink"/>
            <w:noProof/>
          </w:rPr>
          <w:t>Appendix 25</w:t>
        </w:r>
        <w:r w:rsidR="00735378">
          <w:rPr>
            <w:rFonts w:asciiTheme="minorHAnsi" w:eastAsiaTheme="minorEastAsia" w:hAnsiTheme="minorHAnsi" w:cstheme="minorBidi"/>
            <w:noProof/>
            <w:color w:val="auto"/>
            <w:szCs w:val="22"/>
            <w:lang w:eastAsia="en-AU"/>
          </w:rPr>
          <w:tab/>
        </w:r>
        <w:r w:rsidR="00735378" w:rsidRPr="001C3421">
          <w:rPr>
            <w:rStyle w:val="Hyperlink"/>
            <w:noProof/>
          </w:rPr>
          <w:t>Economic Analysis (Stand-alone) Report</w:t>
        </w:r>
        <w:r w:rsidR="00735378">
          <w:rPr>
            <w:noProof/>
            <w:webHidden/>
          </w:rPr>
          <w:tab/>
        </w:r>
        <w:r w:rsidR="00735378">
          <w:rPr>
            <w:noProof/>
            <w:webHidden/>
          </w:rPr>
          <w:fldChar w:fldCharType="begin"/>
        </w:r>
        <w:r w:rsidR="00735378">
          <w:rPr>
            <w:noProof/>
            <w:webHidden/>
          </w:rPr>
          <w:instrText xml:space="preserve"> PAGEREF _Toc138846332 \h </w:instrText>
        </w:r>
        <w:r w:rsidR="00735378">
          <w:rPr>
            <w:noProof/>
            <w:webHidden/>
          </w:rPr>
        </w:r>
        <w:r w:rsidR="00735378">
          <w:rPr>
            <w:noProof/>
            <w:webHidden/>
          </w:rPr>
          <w:fldChar w:fldCharType="separate"/>
        </w:r>
        <w:r w:rsidR="00735378">
          <w:rPr>
            <w:noProof/>
            <w:webHidden/>
          </w:rPr>
          <w:t>52</w:t>
        </w:r>
        <w:r w:rsidR="00735378">
          <w:rPr>
            <w:noProof/>
            <w:webHidden/>
          </w:rPr>
          <w:fldChar w:fldCharType="end"/>
        </w:r>
      </w:hyperlink>
    </w:p>
    <w:p w14:paraId="2E20B668" w14:textId="51A3E758" w:rsidR="001428A4" w:rsidRPr="00FF1855" w:rsidRDefault="002823C5" w:rsidP="000C5AD2">
      <w:pPr>
        <w:pStyle w:val="TOC1"/>
        <w:tabs>
          <w:tab w:val="clear" w:pos="9072"/>
          <w:tab w:val="right" w:leader="dot" w:pos="9498"/>
        </w:tabs>
        <w:rPr>
          <w:rFonts w:cstheme="majorHAnsi"/>
          <w:iCs/>
          <w:color w:val="auto"/>
          <w:szCs w:val="22"/>
        </w:rPr>
      </w:pPr>
      <w:r w:rsidRPr="001300D2">
        <w:rPr>
          <w:rStyle w:val="Hyperlink"/>
          <w:rFonts w:asciiTheme="majorHAnsi" w:hAnsiTheme="majorHAnsi" w:cstheme="majorHAnsi"/>
          <w:sz w:val="22"/>
          <w:szCs w:val="22"/>
        </w:rPr>
        <w:fldChar w:fldCharType="end"/>
      </w:r>
    </w:p>
    <w:p w14:paraId="167A8215" w14:textId="38C802F4" w:rsidR="0082142E" w:rsidRDefault="0082142E" w:rsidP="0048683E">
      <w:pPr>
        <w:pStyle w:val="Heading1"/>
      </w:pPr>
      <w:bookmarkStart w:id="4" w:name="_Toc138846244"/>
      <w:r>
        <w:t>Tables</w:t>
      </w:r>
      <w:bookmarkEnd w:id="4"/>
    </w:p>
    <w:p w14:paraId="0C44C5AA" w14:textId="593C626D" w:rsidR="0079297C" w:rsidRPr="0079297C" w:rsidRDefault="00B3462F"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r w:rsidRPr="0079297C">
        <w:rPr>
          <w:rFonts w:cstheme="majorHAnsi"/>
          <w:b w:val="0"/>
          <w:szCs w:val="22"/>
        </w:rPr>
        <w:fldChar w:fldCharType="begin"/>
      </w:r>
      <w:r w:rsidRPr="0079297C">
        <w:rPr>
          <w:rFonts w:cstheme="majorHAnsi"/>
          <w:b w:val="0"/>
          <w:szCs w:val="22"/>
        </w:rPr>
        <w:instrText xml:space="preserve"> TOC \h \z \t "TOC Heading,1,Version Control Log,1,Table Paragraph,1" </w:instrText>
      </w:r>
      <w:r w:rsidRPr="0079297C">
        <w:rPr>
          <w:rFonts w:cstheme="majorHAnsi"/>
          <w:b w:val="0"/>
          <w:szCs w:val="22"/>
        </w:rPr>
        <w:fldChar w:fldCharType="separate"/>
      </w:r>
      <w:hyperlink w:anchor="_Toc43820204" w:history="1">
        <w:r w:rsidR="0079297C" w:rsidRPr="0079297C">
          <w:rPr>
            <w:rStyle w:val="Hyperlink"/>
            <w:rFonts w:asciiTheme="majorHAnsi" w:hAnsiTheme="majorHAnsi" w:cstheme="majorHAnsi"/>
            <w:b w:val="0"/>
            <w:noProof/>
            <w:sz w:val="22"/>
            <w:szCs w:val="22"/>
            <w:lang w:bidi="en-AU"/>
          </w:rPr>
          <w:t>Table 1.  Distribution of ACCHSs by setting and jurisdiction.</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_Toc43820204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11</w:t>
        </w:r>
        <w:r w:rsidR="0079297C" w:rsidRPr="0079297C">
          <w:rPr>
            <w:rFonts w:cstheme="majorHAnsi"/>
            <w:b w:val="0"/>
            <w:noProof/>
            <w:webHidden/>
            <w:szCs w:val="22"/>
          </w:rPr>
          <w:fldChar w:fldCharType="end"/>
        </w:r>
      </w:hyperlink>
    </w:p>
    <w:p w14:paraId="455FB564" w14:textId="0D7A3398"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05" w:history="1">
        <w:r w:rsidR="0079297C" w:rsidRPr="0079297C">
          <w:rPr>
            <w:rStyle w:val="Hyperlink"/>
            <w:rFonts w:asciiTheme="majorHAnsi" w:hAnsiTheme="majorHAnsi" w:cstheme="majorHAnsi"/>
            <w:b w:val="0"/>
            <w:noProof/>
            <w:sz w:val="22"/>
            <w:szCs w:val="22"/>
            <w:lang w:bidi="en-AU"/>
          </w:rPr>
          <w:t>Table 2. Number of ACCHSs and pharmacists via employment method throughout the implementation phase, by jurisdiction.</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_Toc43820205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14</w:t>
        </w:r>
        <w:r w:rsidR="0079297C" w:rsidRPr="0079297C">
          <w:rPr>
            <w:rFonts w:cstheme="majorHAnsi"/>
            <w:b w:val="0"/>
            <w:noProof/>
            <w:webHidden/>
            <w:szCs w:val="22"/>
          </w:rPr>
          <w:fldChar w:fldCharType="end"/>
        </w:r>
      </w:hyperlink>
    </w:p>
    <w:p w14:paraId="03BEA4BC" w14:textId="15FC0D1D"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06" w:history="1">
        <w:r w:rsidR="0079297C" w:rsidRPr="0079297C">
          <w:rPr>
            <w:rStyle w:val="Hyperlink"/>
            <w:rFonts w:asciiTheme="majorHAnsi" w:hAnsiTheme="majorHAnsi" w:cstheme="majorHAnsi"/>
            <w:b w:val="0"/>
            <w:noProof/>
            <w:sz w:val="22"/>
            <w:szCs w:val="22"/>
            <w:lang w:bidi="en-AU"/>
          </w:rPr>
          <w:t>Table 3.  Summary of IPAC Project Pharmacist Induction Training attendance.</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_Toc43820206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15</w:t>
        </w:r>
        <w:r w:rsidR="0079297C" w:rsidRPr="0079297C">
          <w:rPr>
            <w:rFonts w:cstheme="majorHAnsi"/>
            <w:b w:val="0"/>
            <w:noProof/>
            <w:webHidden/>
            <w:szCs w:val="22"/>
          </w:rPr>
          <w:fldChar w:fldCharType="end"/>
        </w:r>
      </w:hyperlink>
    </w:p>
    <w:p w14:paraId="43C266E3" w14:textId="0482CA63"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07" w:history="1">
        <w:r w:rsidR="0079297C" w:rsidRPr="0079297C">
          <w:rPr>
            <w:rStyle w:val="Hyperlink"/>
            <w:rFonts w:asciiTheme="majorHAnsi" w:hAnsiTheme="majorHAnsi" w:cstheme="majorHAnsi"/>
            <w:b w:val="0"/>
            <w:noProof/>
            <w:sz w:val="22"/>
            <w:szCs w:val="22"/>
            <w:lang w:bidi="en-AU"/>
          </w:rPr>
          <w:t>Table 4. Overview of pharmacist activity included in analysis from 02/08/2018 to 31/10/2019.</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_Toc43820207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27</w:t>
        </w:r>
        <w:r w:rsidR="0079297C" w:rsidRPr="0079297C">
          <w:rPr>
            <w:rFonts w:cstheme="majorHAnsi"/>
            <w:b w:val="0"/>
            <w:noProof/>
            <w:webHidden/>
            <w:szCs w:val="22"/>
          </w:rPr>
          <w:fldChar w:fldCharType="end"/>
        </w:r>
      </w:hyperlink>
    </w:p>
    <w:p w14:paraId="13F1DAD9" w14:textId="579B09FF"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08" w:history="1">
        <w:r w:rsidR="0079297C" w:rsidRPr="0079297C">
          <w:rPr>
            <w:rStyle w:val="Hyperlink"/>
            <w:rFonts w:asciiTheme="majorHAnsi" w:hAnsiTheme="majorHAnsi" w:cstheme="majorHAnsi"/>
            <w:b w:val="0"/>
            <w:noProof/>
            <w:sz w:val="22"/>
            <w:szCs w:val="22"/>
            <w:lang w:bidi="en-AU"/>
          </w:rPr>
          <w:t>Table 5. Statistically significant improvements in biomedical indices related to cost-consequence analysis.</w:t>
        </w:r>
        <w:r w:rsidR="0079297C" w:rsidRPr="0079297C">
          <w:rPr>
            <w:rStyle w:val="Hyperlink"/>
            <w:rFonts w:asciiTheme="majorHAnsi" w:hAnsiTheme="majorHAnsi" w:cstheme="majorHAnsi"/>
            <w:b w:val="0"/>
            <w:noProof/>
            <w:sz w:val="22"/>
            <w:szCs w:val="22"/>
            <w:vertAlign w:val="superscript"/>
            <w:lang w:bidi="en-AU"/>
          </w:rPr>
          <w:t>1</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_Toc43820208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33</w:t>
        </w:r>
        <w:r w:rsidR="0079297C" w:rsidRPr="0079297C">
          <w:rPr>
            <w:rFonts w:cstheme="majorHAnsi"/>
            <w:b w:val="0"/>
            <w:noProof/>
            <w:webHidden/>
            <w:szCs w:val="22"/>
          </w:rPr>
          <w:fldChar w:fldCharType="end"/>
        </w:r>
      </w:hyperlink>
    </w:p>
    <w:p w14:paraId="40657C24" w14:textId="0AA81A36"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09" w:history="1">
        <w:r w:rsidR="0079297C" w:rsidRPr="0079297C">
          <w:rPr>
            <w:rStyle w:val="Hyperlink"/>
            <w:rFonts w:asciiTheme="majorHAnsi" w:hAnsiTheme="majorHAnsi" w:cstheme="majorHAnsi"/>
            <w:b w:val="0"/>
            <w:noProof/>
            <w:sz w:val="22"/>
            <w:szCs w:val="22"/>
            <w:lang w:bidi="en-AU"/>
          </w:rPr>
          <w:t>Table 6 Distribution of lifetime QALY gains by changes in HbA1c for participants with T2DM</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_Toc43820209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35</w:t>
        </w:r>
        <w:r w:rsidR="0079297C" w:rsidRPr="0079297C">
          <w:rPr>
            <w:rFonts w:cstheme="majorHAnsi"/>
            <w:b w:val="0"/>
            <w:noProof/>
            <w:webHidden/>
            <w:szCs w:val="22"/>
          </w:rPr>
          <w:fldChar w:fldCharType="end"/>
        </w:r>
      </w:hyperlink>
    </w:p>
    <w:p w14:paraId="10584B98" w14:textId="69FC7036" w:rsidR="0079297C" w:rsidRPr="0079297C" w:rsidRDefault="00754ED6" w:rsidP="00AE1C29">
      <w:pPr>
        <w:pStyle w:val="TOC1"/>
        <w:tabs>
          <w:tab w:val="clear" w:pos="567"/>
          <w:tab w:val="clear" w:pos="9072"/>
          <w:tab w:val="right" w:leader="dot" w:pos="9498"/>
        </w:tabs>
        <w:spacing w:after="240"/>
        <w:rPr>
          <w:rFonts w:eastAsiaTheme="minorEastAsia" w:cstheme="majorHAnsi"/>
          <w:b w:val="0"/>
          <w:noProof/>
          <w:color w:val="auto"/>
          <w:szCs w:val="22"/>
          <w:lang w:eastAsia="en-AU"/>
        </w:rPr>
      </w:pPr>
      <w:hyperlink w:anchor="_Toc43820210" w:history="1">
        <w:r w:rsidR="0079297C" w:rsidRPr="0079297C">
          <w:rPr>
            <w:rStyle w:val="Hyperlink"/>
            <w:rFonts w:asciiTheme="majorHAnsi" w:hAnsiTheme="majorHAnsi" w:cstheme="majorHAnsi"/>
            <w:b w:val="0"/>
            <w:noProof/>
            <w:sz w:val="22"/>
            <w:szCs w:val="22"/>
            <w:lang w:bidi="en-AU"/>
          </w:rPr>
          <w:t>Table 7. Recommendations for future policy and implementation of integrated pharmacists in ACCHSs.</w:t>
        </w:r>
        <w:r w:rsidR="0079297C" w:rsidRPr="0079297C">
          <w:rPr>
            <w:rFonts w:cstheme="majorHAnsi"/>
            <w:b w:val="0"/>
            <w:noProof/>
            <w:webHidden/>
            <w:szCs w:val="22"/>
          </w:rPr>
          <w:tab/>
        </w:r>
        <w:r w:rsidR="0079297C" w:rsidRPr="0079297C">
          <w:rPr>
            <w:rFonts w:cstheme="majorHAnsi"/>
            <w:b w:val="0"/>
            <w:noProof/>
            <w:webHidden/>
            <w:szCs w:val="22"/>
          </w:rPr>
          <w:fldChar w:fldCharType="begin"/>
        </w:r>
        <w:r w:rsidR="0079297C" w:rsidRPr="0079297C">
          <w:rPr>
            <w:rFonts w:cstheme="majorHAnsi"/>
            <w:b w:val="0"/>
            <w:noProof/>
            <w:webHidden/>
            <w:szCs w:val="22"/>
          </w:rPr>
          <w:instrText xml:space="preserve"> PAGEREF _Toc43820210 \h </w:instrText>
        </w:r>
        <w:r w:rsidR="0079297C" w:rsidRPr="0079297C">
          <w:rPr>
            <w:rFonts w:cstheme="majorHAnsi"/>
            <w:b w:val="0"/>
            <w:noProof/>
            <w:webHidden/>
            <w:szCs w:val="22"/>
          </w:rPr>
        </w:r>
        <w:r w:rsidR="0079297C" w:rsidRPr="0079297C">
          <w:rPr>
            <w:rFonts w:cstheme="majorHAnsi"/>
            <w:b w:val="0"/>
            <w:noProof/>
            <w:webHidden/>
            <w:szCs w:val="22"/>
          </w:rPr>
          <w:fldChar w:fldCharType="separate"/>
        </w:r>
        <w:r w:rsidR="00BF52B2">
          <w:rPr>
            <w:rFonts w:cstheme="majorHAnsi"/>
            <w:b w:val="0"/>
            <w:noProof/>
            <w:webHidden/>
            <w:szCs w:val="22"/>
          </w:rPr>
          <w:t>57</w:t>
        </w:r>
        <w:r w:rsidR="0079297C" w:rsidRPr="0079297C">
          <w:rPr>
            <w:rFonts w:cstheme="majorHAnsi"/>
            <w:b w:val="0"/>
            <w:noProof/>
            <w:webHidden/>
            <w:szCs w:val="22"/>
          </w:rPr>
          <w:fldChar w:fldCharType="end"/>
        </w:r>
      </w:hyperlink>
    </w:p>
    <w:p w14:paraId="140A3D3C" w14:textId="6B513183" w:rsidR="001428A4" w:rsidRPr="0003468F" w:rsidRDefault="00B3462F" w:rsidP="0003468F">
      <w:pPr>
        <w:pStyle w:val="BodyText"/>
        <w:tabs>
          <w:tab w:val="right" w:leader="dot" w:pos="9498"/>
          <w:tab w:val="right" w:leader="dot" w:pos="9639"/>
        </w:tabs>
        <w:rPr>
          <w:rFonts w:asciiTheme="majorHAnsi" w:hAnsiTheme="majorHAnsi" w:cstheme="majorHAnsi"/>
          <w:sz w:val="22"/>
          <w:szCs w:val="22"/>
        </w:rPr>
      </w:pPr>
      <w:r w:rsidRPr="0079297C">
        <w:rPr>
          <w:rFonts w:asciiTheme="majorHAnsi" w:hAnsiTheme="majorHAnsi" w:cstheme="majorHAnsi"/>
          <w:sz w:val="22"/>
          <w:szCs w:val="22"/>
        </w:rPr>
        <w:fldChar w:fldCharType="end"/>
      </w:r>
    </w:p>
    <w:p w14:paraId="66971DC2" w14:textId="3B91DD46" w:rsidR="0082142E" w:rsidRDefault="00BF1EA1" w:rsidP="0048683E">
      <w:pPr>
        <w:pStyle w:val="Heading1"/>
      </w:pPr>
      <w:bookmarkStart w:id="5" w:name="_Toc138846245"/>
      <w:r>
        <w:t>Figures</w:t>
      </w:r>
      <w:bookmarkEnd w:id="5"/>
    </w:p>
    <w:p w14:paraId="36014824" w14:textId="37D623F7" w:rsidR="00BF1EA1" w:rsidRPr="00BF1EA1" w:rsidRDefault="00BF1EA1" w:rsidP="00BF1EA1">
      <w:pPr>
        <w:pStyle w:val="TOC1"/>
        <w:tabs>
          <w:tab w:val="clear" w:pos="9072"/>
          <w:tab w:val="right" w:leader="dot" w:pos="9639"/>
        </w:tabs>
        <w:spacing w:after="240"/>
        <w:rPr>
          <w:rFonts w:eastAsiaTheme="minorEastAsia" w:cstheme="majorHAnsi"/>
          <w:b w:val="0"/>
          <w:noProof/>
          <w:color w:val="auto"/>
          <w:szCs w:val="22"/>
          <w:lang w:eastAsia="en-AU"/>
        </w:rPr>
      </w:pPr>
      <w:r w:rsidRPr="00BF1EA1">
        <w:rPr>
          <w:rFonts w:cstheme="majorHAnsi"/>
          <w:b w:val="0"/>
          <w:szCs w:val="22"/>
        </w:rPr>
        <w:fldChar w:fldCharType="begin"/>
      </w:r>
      <w:r w:rsidRPr="00BF1EA1">
        <w:rPr>
          <w:rFonts w:cstheme="majorHAnsi"/>
          <w:b w:val="0"/>
          <w:szCs w:val="22"/>
        </w:rPr>
        <w:instrText xml:space="preserve"> TOC \f \h \z \t "Title,1" </w:instrText>
      </w:r>
      <w:r w:rsidRPr="00BF1EA1">
        <w:rPr>
          <w:rFonts w:cstheme="majorHAnsi"/>
          <w:b w:val="0"/>
          <w:szCs w:val="22"/>
        </w:rPr>
        <w:fldChar w:fldCharType="separate"/>
      </w:r>
      <w:hyperlink w:anchor="_Toc42072462" w:history="1">
        <w:r w:rsidRPr="00BF1EA1">
          <w:rPr>
            <w:rStyle w:val="Hyperlink"/>
            <w:rFonts w:asciiTheme="majorHAnsi" w:hAnsiTheme="majorHAnsi" w:cstheme="majorHAnsi"/>
            <w:b w:val="0"/>
            <w:noProof/>
            <w:sz w:val="22"/>
            <w:szCs w:val="22"/>
          </w:rPr>
          <w:t>Figure 1. Governance structure for the IPAC project.</w:t>
        </w:r>
        <w:r w:rsidRPr="00BF1EA1">
          <w:rPr>
            <w:rFonts w:cstheme="majorHAnsi"/>
            <w:b w:val="0"/>
            <w:noProof/>
            <w:webHidden/>
            <w:szCs w:val="22"/>
          </w:rPr>
          <w:tab/>
        </w:r>
        <w:r w:rsidRPr="00BF1EA1">
          <w:rPr>
            <w:rFonts w:cstheme="majorHAnsi"/>
            <w:b w:val="0"/>
            <w:noProof/>
            <w:webHidden/>
            <w:szCs w:val="22"/>
          </w:rPr>
          <w:fldChar w:fldCharType="begin"/>
        </w:r>
        <w:r w:rsidRPr="00BF1EA1">
          <w:rPr>
            <w:rFonts w:cstheme="majorHAnsi"/>
            <w:b w:val="0"/>
            <w:noProof/>
            <w:webHidden/>
            <w:szCs w:val="22"/>
          </w:rPr>
          <w:instrText xml:space="preserve"> PAGEREF _Toc42072462 \h </w:instrText>
        </w:r>
        <w:r w:rsidRPr="00BF1EA1">
          <w:rPr>
            <w:rFonts w:cstheme="majorHAnsi"/>
            <w:b w:val="0"/>
            <w:noProof/>
            <w:webHidden/>
            <w:szCs w:val="22"/>
          </w:rPr>
        </w:r>
        <w:r w:rsidRPr="00BF1EA1">
          <w:rPr>
            <w:rFonts w:cstheme="majorHAnsi"/>
            <w:b w:val="0"/>
            <w:noProof/>
            <w:webHidden/>
            <w:szCs w:val="22"/>
          </w:rPr>
          <w:fldChar w:fldCharType="separate"/>
        </w:r>
        <w:r w:rsidR="00BF52B2">
          <w:rPr>
            <w:rFonts w:cstheme="majorHAnsi"/>
            <w:b w:val="0"/>
            <w:noProof/>
            <w:webHidden/>
            <w:szCs w:val="22"/>
          </w:rPr>
          <w:t>9</w:t>
        </w:r>
        <w:r w:rsidRPr="00BF1EA1">
          <w:rPr>
            <w:rFonts w:cstheme="majorHAnsi"/>
            <w:b w:val="0"/>
            <w:noProof/>
            <w:webHidden/>
            <w:szCs w:val="22"/>
          </w:rPr>
          <w:fldChar w:fldCharType="end"/>
        </w:r>
      </w:hyperlink>
    </w:p>
    <w:p w14:paraId="6A3967BD" w14:textId="6BDBDB2E" w:rsidR="00BF1EA1" w:rsidRPr="00BF1EA1" w:rsidRDefault="00754ED6" w:rsidP="00BF1EA1">
      <w:pPr>
        <w:pStyle w:val="TOC1"/>
        <w:tabs>
          <w:tab w:val="clear" w:pos="9072"/>
          <w:tab w:val="right" w:leader="dot" w:pos="9639"/>
        </w:tabs>
        <w:spacing w:after="240"/>
        <w:rPr>
          <w:rFonts w:eastAsiaTheme="minorEastAsia" w:cstheme="majorHAnsi"/>
          <w:b w:val="0"/>
          <w:noProof/>
          <w:color w:val="auto"/>
          <w:szCs w:val="22"/>
          <w:lang w:eastAsia="en-AU"/>
        </w:rPr>
      </w:pPr>
      <w:hyperlink w:anchor="_Toc42072463" w:history="1">
        <w:r w:rsidR="00BF1EA1" w:rsidRPr="00BF1EA1">
          <w:rPr>
            <w:rStyle w:val="Hyperlink"/>
            <w:rFonts w:asciiTheme="majorHAnsi" w:hAnsiTheme="majorHAnsi" w:cstheme="majorHAnsi"/>
            <w:b w:val="0"/>
            <w:noProof/>
            <w:sz w:val="22"/>
            <w:szCs w:val="22"/>
          </w:rPr>
          <w:t>Figure 2. Project timeline with ACCHS/pharmacist commencement and end dates.</w:t>
        </w:r>
        <w:r w:rsidR="00BF1EA1" w:rsidRPr="00BF1EA1">
          <w:rPr>
            <w:rFonts w:cstheme="majorHAnsi"/>
            <w:b w:val="0"/>
            <w:noProof/>
            <w:webHidden/>
            <w:szCs w:val="22"/>
          </w:rPr>
          <w:tab/>
        </w:r>
        <w:r w:rsidR="00BF1EA1" w:rsidRPr="00BF1EA1">
          <w:rPr>
            <w:rFonts w:cstheme="majorHAnsi"/>
            <w:b w:val="0"/>
            <w:noProof/>
            <w:webHidden/>
            <w:szCs w:val="22"/>
          </w:rPr>
          <w:fldChar w:fldCharType="begin"/>
        </w:r>
        <w:r w:rsidR="00BF1EA1" w:rsidRPr="00BF1EA1">
          <w:rPr>
            <w:rFonts w:cstheme="majorHAnsi"/>
            <w:b w:val="0"/>
            <w:noProof/>
            <w:webHidden/>
            <w:szCs w:val="22"/>
          </w:rPr>
          <w:instrText xml:space="preserve"> PAGEREF _Toc42072463 \h </w:instrText>
        </w:r>
        <w:r w:rsidR="00BF1EA1" w:rsidRPr="00BF1EA1">
          <w:rPr>
            <w:rFonts w:cstheme="majorHAnsi"/>
            <w:b w:val="0"/>
            <w:noProof/>
            <w:webHidden/>
            <w:szCs w:val="22"/>
          </w:rPr>
        </w:r>
        <w:r w:rsidR="00BF1EA1" w:rsidRPr="00BF1EA1">
          <w:rPr>
            <w:rFonts w:cstheme="majorHAnsi"/>
            <w:b w:val="0"/>
            <w:noProof/>
            <w:webHidden/>
            <w:szCs w:val="22"/>
          </w:rPr>
          <w:fldChar w:fldCharType="separate"/>
        </w:r>
        <w:r w:rsidR="00BF52B2">
          <w:rPr>
            <w:rFonts w:cstheme="majorHAnsi"/>
            <w:b w:val="0"/>
            <w:noProof/>
            <w:webHidden/>
            <w:szCs w:val="22"/>
          </w:rPr>
          <w:t>10</w:t>
        </w:r>
        <w:r w:rsidR="00BF1EA1" w:rsidRPr="00BF1EA1">
          <w:rPr>
            <w:rFonts w:cstheme="majorHAnsi"/>
            <w:b w:val="0"/>
            <w:noProof/>
            <w:webHidden/>
            <w:szCs w:val="22"/>
          </w:rPr>
          <w:fldChar w:fldCharType="end"/>
        </w:r>
      </w:hyperlink>
    </w:p>
    <w:p w14:paraId="374DB59F" w14:textId="466DD959" w:rsidR="00BF1EA1" w:rsidRPr="00BF1EA1" w:rsidRDefault="00754ED6" w:rsidP="00BF1EA1">
      <w:pPr>
        <w:pStyle w:val="TOC1"/>
        <w:tabs>
          <w:tab w:val="clear" w:pos="9072"/>
          <w:tab w:val="right" w:leader="dot" w:pos="9639"/>
        </w:tabs>
        <w:spacing w:after="240"/>
        <w:rPr>
          <w:rFonts w:eastAsiaTheme="minorEastAsia" w:cstheme="majorHAnsi"/>
          <w:b w:val="0"/>
          <w:noProof/>
          <w:color w:val="auto"/>
          <w:szCs w:val="22"/>
          <w:lang w:eastAsia="en-AU"/>
        </w:rPr>
      </w:pPr>
      <w:hyperlink w:anchor="_Toc42072464" w:history="1">
        <w:r w:rsidR="00BF1EA1" w:rsidRPr="00BF1EA1">
          <w:rPr>
            <w:rStyle w:val="Hyperlink"/>
            <w:rFonts w:asciiTheme="majorHAnsi" w:hAnsiTheme="majorHAnsi" w:cstheme="majorHAnsi"/>
            <w:b w:val="0"/>
            <w:noProof/>
            <w:sz w:val="22"/>
            <w:szCs w:val="22"/>
          </w:rPr>
          <w:t>Figure 3. Pharmacist recruitment algorithm.</w:t>
        </w:r>
        <w:r w:rsidR="00BF1EA1" w:rsidRPr="00BF1EA1">
          <w:rPr>
            <w:rFonts w:cstheme="majorHAnsi"/>
            <w:b w:val="0"/>
            <w:noProof/>
            <w:webHidden/>
            <w:szCs w:val="22"/>
          </w:rPr>
          <w:tab/>
        </w:r>
        <w:r w:rsidR="00BF1EA1" w:rsidRPr="00BF1EA1">
          <w:rPr>
            <w:rFonts w:cstheme="majorHAnsi"/>
            <w:b w:val="0"/>
            <w:noProof/>
            <w:webHidden/>
            <w:szCs w:val="22"/>
          </w:rPr>
          <w:fldChar w:fldCharType="begin"/>
        </w:r>
        <w:r w:rsidR="00BF1EA1" w:rsidRPr="00BF1EA1">
          <w:rPr>
            <w:rFonts w:cstheme="majorHAnsi"/>
            <w:b w:val="0"/>
            <w:noProof/>
            <w:webHidden/>
            <w:szCs w:val="22"/>
          </w:rPr>
          <w:instrText xml:space="preserve"> PAGEREF _Toc42072464 \h </w:instrText>
        </w:r>
        <w:r w:rsidR="00BF1EA1" w:rsidRPr="00BF1EA1">
          <w:rPr>
            <w:rFonts w:cstheme="majorHAnsi"/>
            <w:b w:val="0"/>
            <w:noProof/>
            <w:webHidden/>
            <w:szCs w:val="22"/>
          </w:rPr>
        </w:r>
        <w:r w:rsidR="00BF1EA1" w:rsidRPr="00BF1EA1">
          <w:rPr>
            <w:rFonts w:cstheme="majorHAnsi"/>
            <w:b w:val="0"/>
            <w:noProof/>
            <w:webHidden/>
            <w:szCs w:val="22"/>
          </w:rPr>
          <w:fldChar w:fldCharType="separate"/>
        </w:r>
        <w:r w:rsidR="00BF52B2">
          <w:rPr>
            <w:rFonts w:cstheme="majorHAnsi"/>
            <w:b w:val="0"/>
            <w:noProof/>
            <w:webHidden/>
            <w:szCs w:val="22"/>
          </w:rPr>
          <w:t>12</w:t>
        </w:r>
        <w:r w:rsidR="00BF1EA1" w:rsidRPr="00BF1EA1">
          <w:rPr>
            <w:rFonts w:cstheme="majorHAnsi"/>
            <w:b w:val="0"/>
            <w:noProof/>
            <w:webHidden/>
            <w:szCs w:val="22"/>
          </w:rPr>
          <w:fldChar w:fldCharType="end"/>
        </w:r>
      </w:hyperlink>
    </w:p>
    <w:p w14:paraId="3B3D672F" w14:textId="21764E51" w:rsidR="00BF1EA1" w:rsidRPr="00BF1EA1" w:rsidRDefault="00754ED6" w:rsidP="00BF1EA1">
      <w:pPr>
        <w:pStyle w:val="TOC1"/>
        <w:tabs>
          <w:tab w:val="clear" w:pos="9072"/>
          <w:tab w:val="right" w:leader="dot" w:pos="9639"/>
        </w:tabs>
        <w:spacing w:after="240"/>
        <w:rPr>
          <w:rFonts w:eastAsiaTheme="minorEastAsia" w:cstheme="majorHAnsi"/>
          <w:b w:val="0"/>
          <w:noProof/>
          <w:color w:val="auto"/>
          <w:szCs w:val="22"/>
          <w:lang w:eastAsia="en-AU"/>
        </w:rPr>
      </w:pPr>
      <w:hyperlink w:anchor="_Toc42072465" w:history="1">
        <w:r w:rsidR="00BF1EA1" w:rsidRPr="00BF1EA1">
          <w:rPr>
            <w:rStyle w:val="Hyperlink"/>
            <w:rFonts w:asciiTheme="majorHAnsi" w:hAnsiTheme="majorHAnsi" w:cstheme="majorHAnsi"/>
            <w:b w:val="0"/>
            <w:noProof/>
            <w:sz w:val="22"/>
            <w:szCs w:val="22"/>
          </w:rPr>
          <w:t>Figure 4. Integrated Pharmacist Nomination Sources</w:t>
        </w:r>
        <w:r w:rsidR="00BF1EA1" w:rsidRPr="00BF1EA1">
          <w:rPr>
            <w:rFonts w:cstheme="majorHAnsi"/>
            <w:b w:val="0"/>
            <w:noProof/>
            <w:webHidden/>
            <w:szCs w:val="22"/>
          </w:rPr>
          <w:tab/>
        </w:r>
        <w:r w:rsidR="00BF1EA1" w:rsidRPr="00BF1EA1">
          <w:rPr>
            <w:rFonts w:cstheme="majorHAnsi"/>
            <w:b w:val="0"/>
            <w:noProof/>
            <w:webHidden/>
            <w:szCs w:val="22"/>
          </w:rPr>
          <w:fldChar w:fldCharType="begin"/>
        </w:r>
        <w:r w:rsidR="00BF1EA1" w:rsidRPr="00BF1EA1">
          <w:rPr>
            <w:rFonts w:cstheme="majorHAnsi"/>
            <w:b w:val="0"/>
            <w:noProof/>
            <w:webHidden/>
            <w:szCs w:val="22"/>
          </w:rPr>
          <w:instrText xml:space="preserve"> PAGEREF _Toc42072465 \h </w:instrText>
        </w:r>
        <w:r w:rsidR="00BF1EA1" w:rsidRPr="00BF1EA1">
          <w:rPr>
            <w:rFonts w:cstheme="majorHAnsi"/>
            <w:b w:val="0"/>
            <w:noProof/>
            <w:webHidden/>
            <w:szCs w:val="22"/>
          </w:rPr>
        </w:r>
        <w:r w:rsidR="00BF1EA1" w:rsidRPr="00BF1EA1">
          <w:rPr>
            <w:rFonts w:cstheme="majorHAnsi"/>
            <w:b w:val="0"/>
            <w:noProof/>
            <w:webHidden/>
            <w:szCs w:val="22"/>
          </w:rPr>
          <w:fldChar w:fldCharType="separate"/>
        </w:r>
        <w:r w:rsidR="00BF52B2">
          <w:rPr>
            <w:rFonts w:cstheme="majorHAnsi"/>
            <w:b w:val="0"/>
            <w:noProof/>
            <w:webHidden/>
            <w:szCs w:val="22"/>
          </w:rPr>
          <w:t>13</w:t>
        </w:r>
        <w:r w:rsidR="00BF1EA1" w:rsidRPr="00BF1EA1">
          <w:rPr>
            <w:rFonts w:cstheme="majorHAnsi"/>
            <w:b w:val="0"/>
            <w:noProof/>
            <w:webHidden/>
            <w:szCs w:val="22"/>
          </w:rPr>
          <w:fldChar w:fldCharType="end"/>
        </w:r>
      </w:hyperlink>
    </w:p>
    <w:p w14:paraId="3FC34F44" w14:textId="337BF8B7" w:rsidR="00BF1EA1" w:rsidRPr="00BF1EA1" w:rsidRDefault="00BF1EA1" w:rsidP="00BF1EA1">
      <w:pPr>
        <w:pStyle w:val="BodyText"/>
        <w:tabs>
          <w:tab w:val="right" w:leader="dot" w:pos="9639"/>
        </w:tabs>
        <w:rPr>
          <w:rFonts w:asciiTheme="majorHAnsi" w:hAnsiTheme="majorHAnsi" w:cstheme="majorHAnsi"/>
          <w:sz w:val="22"/>
          <w:szCs w:val="22"/>
        </w:rPr>
      </w:pPr>
      <w:r w:rsidRPr="00BF1EA1">
        <w:rPr>
          <w:rFonts w:asciiTheme="majorHAnsi" w:hAnsiTheme="majorHAnsi" w:cstheme="majorHAnsi"/>
          <w:sz w:val="22"/>
          <w:szCs w:val="22"/>
        </w:rPr>
        <w:fldChar w:fldCharType="end"/>
      </w:r>
    </w:p>
    <w:p w14:paraId="333E46D0" w14:textId="0BF43360" w:rsidR="00995BB3" w:rsidRPr="0048683E" w:rsidRDefault="00050115" w:rsidP="0048683E">
      <w:r w:rsidRPr="0048683E">
        <w:br w:type="page"/>
      </w:r>
    </w:p>
    <w:p w14:paraId="772F7366" w14:textId="77777777" w:rsidR="00BC5E48" w:rsidRDefault="00BC5E48" w:rsidP="0048683E">
      <w:pPr>
        <w:pStyle w:val="Heading1"/>
      </w:pPr>
      <w:bookmarkStart w:id="6" w:name="_Toc35946582"/>
      <w:bookmarkStart w:id="7" w:name="_Toc40350074"/>
      <w:bookmarkStart w:id="8" w:name="_Toc40441056"/>
      <w:bookmarkStart w:id="9" w:name="_Toc41315601"/>
      <w:bookmarkStart w:id="10" w:name="_Toc138846246"/>
      <w:r>
        <w:lastRenderedPageBreak/>
        <w:t>Background</w:t>
      </w:r>
      <w:bookmarkEnd w:id="6"/>
      <w:bookmarkEnd w:id="7"/>
      <w:bookmarkEnd w:id="8"/>
      <w:bookmarkEnd w:id="9"/>
      <w:bookmarkEnd w:id="10"/>
    </w:p>
    <w:p w14:paraId="0F2233E6" w14:textId="77777777" w:rsidR="00321884" w:rsidRPr="00321884" w:rsidRDefault="00321884" w:rsidP="00DA22EF">
      <w:r w:rsidRPr="00321884">
        <w:t>In Australia, Aboriginal peoples and Torres Strait Islanders are five times more likely to die from chronic disease before the age of 75 years (premature mortality) than other Australians (2011-15).</w:t>
      </w:r>
      <w:r w:rsidRPr="00321884">
        <w:rPr>
          <w:rStyle w:val="EndnoteReference"/>
          <w:rFonts w:asciiTheme="majorHAnsi" w:hAnsiTheme="majorHAnsi" w:cstheme="majorHAnsi"/>
        </w:rPr>
        <w:endnoteReference w:id="2"/>
      </w:r>
      <w:r w:rsidRPr="00321884">
        <w:t xml:space="preserve"> This profound health disparity has generated many policies and programs to encourage better chronic disease prevention and management within primary healthcare services. Yet, despite their higher burden of disease, medication </w:t>
      </w:r>
      <w:proofErr w:type="spellStart"/>
      <w:r w:rsidRPr="00321884">
        <w:t>underutilisation</w:t>
      </w:r>
      <w:proofErr w:type="spellEnd"/>
      <w:r w:rsidRPr="00321884">
        <w:t>, and inappropriate use of medications by Aboriginal peoples and Torres Strait Islanders persists when assessed within primary health care settings.</w:t>
      </w:r>
      <w:r w:rsidRPr="00321884">
        <w:rPr>
          <w:rStyle w:val="EndnoteReference"/>
          <w:rFonts w:asciiTheme="majorHAnsi" w:hAnsiTheme="majorHAnsi" w:cstheme="majorHAnsi"/>
        </w:rPr>
        <w:endnoteReference w:id="3"/>
      </w:r>
      <w:r w:rsidRPr="00321884">
        <w:t xml:space="preserve"> </w:t>
      </w:r>
      <w:r w:rsidRPr="00321884">
        <w:rPr>
          <w:rStyle w:val="EndnoteReference"/>
          <w:rFonts w:asciiTheme="majorHAnsi" w:hAnsiTheme="majorHAnsi" w:cstheme="majorHAnsi"/>
        </w:rPr>
        <w:endnoteReference w:id="4"/>
      </w:r>
      <w:r w:rsidRPr="00321884">
        <w:t xml:space="preserve">  There are many reasons for this including health system factors such as poorer access to primary health care services,</w:t>
      </w:r>
      <w:r w:rsidRPr="00321884">
        <w:rPr>
          <w:rStyle w:val="EndnoteReference"/>
          <w:rFonts w:asciiTheme="majorHAnsi" w:hAnsiTheme="majorHAnsi" w:cstheme="majorHAnsi"/>
        </w:rPr>
        <w:endnoteReference w:id="5"/>
      </w:r>
      <w:r w:rsidRPr="00321884">
        <w:t xml:space="preserve"> culturally unsafe pharmaceutical support,</w:t>
      </w:r>
      <w:r w:rsidRPr="00321884">
        <w:rPr>
          <w:rStyle w:val="EndnoteReference"/>
          <w:rFonts w:asciiTheme="majorHAnsi" w:hAnsiTheme="majorHAnsi" w:cstheme="majorHAnsi"/>
        </w:rPr>
        <w:endnoteReference w:id="6"/>
      </w:r>
      <w:r w:rsidRPr="00321884">
        <w:t xml:space="preserve"> lack of health service integration,</w:t>
      </w:r>
      <w:r w:rsidRPr="00321884">
        <w:rPr>
          <w:rStyle w:val="EndnoteReference"/>
          <w:rFonts w:asciiTheme="majorHAnsi" w:hAnsiTheme="majorHAnsi" w:cstheme="majorHAnsi"/>
        </w:rPr>
        <w:endnoteReference w:id="7"/>
      </w:r>
      <w:r w:rsidRPr="00321884">
        <w:t xml:space="preserve"> disease profiles inconsistent with medicines listed on the PBS,</w:t>
      </w:r>
      <w:r w:rsidRPr="00321884">
        <w:rPr>
          <w:rStyle w:val="EndnoteReference"/>
          <w:rFonts w:asciiTheme="majorHAnsi" w:hAnsiTheme="majorHAnsi" w:cstheme="majorHAnsi"/>
        </w:rPr>
        <w:endnoteReference w:id="8"/>
      </w:r>
      <w:r w:rsidRPr="00321884">
        <w:t xml:space="preserve"> and suboptimal prescribing quality.</w:t>
      </w:r>
      <w:r w:rsidRPr="00321884">
        <w:rPr>
          <w:rStyle w:val="EndnoteReference"/>
          <w:rFonts w:asciiTheme="majorHAnsi" w:hAnsiTheme="majorHAnsi" w:cstheme="majorHAnsi"/>
        </w:rPr>
        <w:endnoteReference w:id="9"/>
      </w:r>
      <w:r w:rsidRPr="00321884">
        <w:t xml:space="preserve"> Patient factors include insufficient health literacy for optimal self-management of disease,</w:t>
      </w:r>
      <w:r w:rsidRPr="00321884">
        <w:rPr>
          <w:rStyle w:val="EndnoteReference"/>
          <w:rFonts w:asciiTheme="majorHAnsi" w:hAnsiTheme="majorHAnsi" w:cstheme="majorHAnsi"/>
        </w:rPr>
        <w:endnoteReference w:id="10"/>
      </w:r>
      <w:r w:rsidRPr="00321884">
        <w:t xml:space="preserve"> distrust of health services,</w:t>
      </w:r>
      <w:r w:rsidRPr="00321884">
        <w:rPr>
          <w:rStyle w:val="EndnoteReference"/>
          <w:rFonts w:asciiTheme="majorHAnsi" w:hAnsiTheme="majorHAnsi" w:cstheme="majorHAnsi"/>
        </w:rPr>
        <w:endnoteReference w:id="11"/>
      </w:r>
      <w:r w:rsidRPr="00321884">
        <w:t xml:space="preserve"> family and community obligations,</w:t>
      </w:r>
      <w:r w:rsidRPr="00321884">
        <w:rPr>
          <w:rStyle w:val="EndnoteReference"/>
          <w:rFonts w:asciiTheme="majorHAnsi" w:hAnsiTheme="majorHAnsi" w:cstheme="majorHAnsi"/>
        </w:rPr>
        <w:endnoteReference w:id="12"/>
      </w:r>
      <w:r w:rsidRPr="00321884">
        <w:t xml:space="preserve"> and belief in traditional medicines,</w:t>
      </w:r>
      <w:r w:rsidRPr="00321884">
        <w:rPr>
          <w:rStyle w:val="EndnoteReference"/>
          <w:rFonts w:asciiTheme="majorHAnsi" w:hAnsiTheme="majorHAnsi" w:cstheme="majorHAnsi"/>
        </w:rPr>
        <w:endnoteReference w:id="13"/>
      </w:r>
      <w:r w:rsidRPr="00321884">
        <w:t xml:space="preserve"> whilst condition-related factors include disproportionately high multimorbidity.</w:t>
      </w:r>
      <w:r w:rsidRPr="00321884">
        <w:rPr>
          <w:rStyle w:val="EndnoteReference"/>
          <w:rFonts w:asciiTheme="majorHAnsi" w:hAnsiTheme="majorHAnsi" w:cstheme="majorHAnsi"/>
        </w:rPr>
        <w:endnoteReference w:id="14"/>
      </w:r>
      <w:r w:rsidRPr="00321884">
        <w:t xml:space="preserve"> Socioeconomic factors may also affect the personal management of medicines such as adherence and storage.</w:t>
      </w:r>
      <w:r w:rsidRPr="00321884">
        <w:rPr>
          <w:rStyle w:val="EndnoteReference"/>
          <w:rFonts w:asciiTheme="majorHAnsi" w:hAnsiTheme="majorHAnsi" w:cstheme="majorHAnsi"/>
        </w:rPr>
        <w:endnoteReference w:id="15"/>
      </w:r>
      <w:r w:rsidRPr="00321884">
        <w:rPr>
          <w:i/>
          <w:iCs/>
        </w:rPr>
        <w:t xml:space="preserve"> </w:t>
      </w:r>
    </w:p>
    <w:p w14:paraId="2A6FAA71" w14:textId="4545A0AD" w:rsidR="00321884" w:rsidRPr="00321884" w:rsidRDefault="00321884" w:rsidP="00DA22EF">
      <w:r w:rsidRPr="00321884">
        <w:t>A whole of health system response is needed to tackle these factors.</w:t>
      </w:r>
      <w:r w:rsidRPr="00321884">
        <w:rPr>
          <w:color w:val="010202"/>
        </w:rPr>
        <w:t xml:space="preserve"> One strategy has been to integrate pharmacists within primary health care multidisciplinary teams so that patients and teams can receive </w:t>
      </w:r>
      <w:r w:rsidR="0093081F">
        <w:rPr>
          <w:color w:val="010202"/>
        </w:rPr>
        <w:t xml:space="preserve">enhanced </w:t>
      </w:r>
      <w:r w:rsidRPr="00321884">
        <w:rPr>
          <w:color w:val="010202"/>
        </w:rPr>
        <w:t xml:space="preserve">medication management support, direct care from a pharmacist, and a more joined-up experience of care. </w:t>
      </w:r>
      <w:r w:rsidRPr="00561E10">
        <w:rPr>
          <w:color w:val="010202"/>
        </w:rPr>
        <w:t>This</w:t>
      </w:r>
      <w:r w:rsidRPr="003804D2">
        <w:rPr>
          <w:color w:val="010202"/>
        </w:rPr>
        <w:t xml:space="preserve"> </w:t>
      </w:r>
      <w:r w:rsidR="0093081F">
        <w:rPr>
          <w:color w:val="010202"/>
        </w:rPr>
        <w:t>builds upon</w:t>
      </w:r>
      <w:r w:rsidRPr="00321884">
        <w:rPr>
          <w:color w:val="010202"/>
        </w:rPr>
        <w:t xml:space="preserve"> </w:t>
      </w:r>
      <w:r w:rsidRPr="00561E10">
        <w:rPr>
          <w:color w:val="010202"/>
        </w:rPr>
        <w:t xml:space="preserve">the </w:t>
      </w:r>
      <w:r w:rsidRPr="0093081F">
        <w:rPr>
          <w:color w:val="010202"/>
        </w:rPr>
        <w:t>role that pharmacists have within community pharmacy settings.</w:t>
      </w:r>
      <w:r w:rsidRPr="00321884">
        <w:rPr>
          <w:color w:val="010202"/>
        </w:rPr>
        <w:t xml:space="preserve"> Increasingly, studies are reporting that the addition of pharmacists to healthcare teams enhances quality prescribing,</w:t>
      </w:r>
      <w:r w:rsidRPr="00321884">
        <w:rPr>
          <w:rStyle w:val="EndnoteReference"/>
          <w:rFonts w:asciiTheme="majorHAnsi" w:hAnsiTheme="majorHAnsi" w:cstheme="majorHAnsi"/>
          <w:color w:val="010202"/>
        </w:rPr>
        <w:endnoteReference w:id="16"/>
      </w:r>
      <w:r w:rsidRPr="00321884">
        <w:rPr>
          <w:color w:val="010202"/>
        </w:rPr>
        <w:t xml:space="preserve"> biomedical outcomes,</w:t>
      </w:r>
      <w:r w:rsidRPr="00321884">
        <w:rPr>
          <w:rStyle w:val="EndnoteReference"/>
          <w:rFonts w:asciiTheme="majorHAnsi" w:hAnsiTheme="majorHAnsi" w:cstheme="majorHAnsi"/>
          <w:color w:val="010202"/>
        </w:rPr>
        <w:endnoteReference w:id="17"/>
      </w:r>
      <w:r w:rsidRPr="00321884">
        <w:rPr>
          <w:color w:val="010202"/>
        </w:rPr>
        <w:t xml:space="preserve"> </w:t>
      </w:r>
      <w:r w:rsidRPr="00321884">
        <w:rPr>
          <w:rStyle w:val="EndnoteReference"/>
          <w:rFonts w:asciiTheme="majorHAnsi" w:hAnsiTheme="majorHAnsi" w:cstheme="majorHAnsi"/>
          <w:color w:val="010202"/>
        </w:rPr>
        <w:endnoteReference w:id="18"/>
      </w:r>
      <w:r w:rsidRPr="00321884">
        <w:rPr>
          <w:color w:val="010202"/>
        </w:rPr>
        <w:t xml:space="preserve"> and reduces </w:t>
      </w:r>
      <w:proofErr w:type="spellStart"/>
      <w:r w:rsidRPr="00321884">
        <w:rPr>
          <w:color w:val="010202"/>
        </w:rPr>
        <w:t>hospitalisation</w:t>
      </w:r>
      <w:proofErr w:type="spellEnd"/>
      <w:r w:rsidRPr="00321884">
        <w:rPr>
          <w:color w:val="010202"/>
        </w:rPr>
        <w:t>.</w:t>
      </w:r>
      <w:r w:rsidRPr="00321884">
        <w:rPr>
          <w:rStyle w:val="EndnoteReference"/>
          <w:rFonts w:asciiTheme="majorHAnsi" w:hAnsiTheme="majorHAnsi" w:cstheme="majorHAnsi"/>
          <w:color w:val="010202"/>
        </w:rPr>
        <w:endnoteReference w:id="19"/>
      </w:r>
      <w:r w:rsidRPr="00321884">
        <w:rPr>
          <w:color w:val="010202"/>
        </w:rPr>
        <w:t xml:space="preserve"> </w:t>
      </w:r>
      <w:r w:rsidRPr="00321884">
        <w:rPr>
          <w:rStyle w:val="EndnoteReference"/>
          <w:rFonts w:asciiTheme="majorHAnsi" w:hAnsiTheme="majorHAnsi" w:cstheme="majorHAnsi"/>
          <w:color w:val="010202"/>
        </w:rPr>
        <w:endnoteReference w:id="20"/>
      </w:r>
      <w:r w:rsidRPr="00321884">
        <w:rPr>
          <w:color w:val="010202"/>
        </w:rPr>
        <w:t xml:space="preserve">  </w:t>
      </w:r>
      <w:r w:rsidRPr="00321884">
        <w:rPr>
          <w:lang w:val="en-GB"/>
        </w:rPr>
        <w:t>C</w:t>
      </w:r>
      <w:r w:rsidRPr="00321884">
        <w:t xml:space="preserve">o-location of pharmacists within general practice </w:t>
      </w:r>
      <w:r w:rsidR="004925B9">
        <w:t>has been demonstrated</w:t>
      </w:r>
      <w:r w:rsidR="004925B9" w:rsidRPr="00321884">
        <w:t xml:space="preserve"> </w:t>
      </w:r>
      <w:r w:rsidRPr="00321884">
        <w:t>to enable greater communication, collaboration and relationship building among health professionals.</w:t>
      </w:r>
      <w:r w:rsidRPr="00321884">
        <w:rPr>
          <w:rStyle w:val="EndnoteReference"/>
          <w:rFonts w:asciiTheme="majorHAnsi" w:hAnsiTheme="majorHAnsi" w:cstheme="majorHAnsi"/>
        </w:rPr>
        <w:endnoteReference w:id="21"/>
      </w:r>
      <w:r w:rsidRPr="00321884">
        <w:t xml:space="preserve"> However, the impact of integrated pharmacists</w:t>
      </w:r>
      <w:r w:rsidRPr="00321884">
        <w:rPr>
          <w:lang w:val="en-GB"/>
        </w:rPr>
        <w:t xml:space="preserve"> on health outcomes for patients with chronic disease</w:t>
      </w:r>
      <w:r>
        <w:rPr>
          <w:lang w:val="en-GB"/>
        </w:rPr>
        <w:t>,</w:t>
      </w:r>
      <w:r w:rsidRPr="00321884">
        <w:rPr>
          <w:lang w:val="en-GB"/>
        </w:rPr>
        <w:t xml:space="preserve"> in Aboriginal health settings</w:t>
      </w:r>
      <w:r w:rsidR="000032EC">
        <w:rPr>
          <w:lang w:val="en-GB"/>
        </w:rPr>
        <w:t>,</w:t>
      </w:r>
      <w:r w:rsidRPr="00321884">
        <w:rPr>
          <w:lang w:val="en-GB"/>
        </w:rPr>
        <w:t xml:space="preserve"> needs further investigation.</w:t>
      </w:r>
    </w:p>
    <w:p w14:paraId="7649FC3E" w14:textId="2E0932F0" w:rsidR="00321884" w:rsidRPr="00321884" w:rsidRDefault="00321884" w:rsidP="00DA22EF">
      <w:pPr>
        <w:rPr>
          <w:color w:val="010202"/>
        </w:rPr>
      </w:pPr>
      <w:r w:rsidRPr="00321884">
        <w:t xml:space="preserve">The Australian Government Department of Health, under the Pharmacy Trials Program (PTP, Tranche 2) funding as part of the Sixth Community Pharmacy Agreement (6CPA) sought to improve clinical outcomes for patients </w:t>
      </w:r>
      <w:r w:rsidR="00487898">
        <w:t xml:space="preserve">by </w:t>
      </w:r>
      <w:r w:rsidRPr="00321884">
        <w:t xml:space="preserve">utilizing the full scope of pharmacist’s role in delivering primary health care services.  This Program supported a project </w:t>
      </w:r>
      <w:r w:rsidRPr="00321884">
        <w:rPr>
          <w:color w:val="010202"/>
        </w:rPr>
        <w:t xml:space="preserve">to investigate the potential gains in health outcomes arising from integrated models of care within Aboriginal health settings- the </w:t>
      </w:r>
      <w:r w:rsidRPr="00321884">
        <w:rPr>
          <w:i/>
          <w:iCs/>
          <w:color w:val="010202"/>
        </w:rPr>
        <w:t xml:space="preserve">Integrating Pharmacists within Aboriginal Community Controlled Health Services </w:t>
      </w:r>
      <w:r w:rsidRPr="00321884">
        <w:rPr>
          <w:color w:val="010202"/>
        </w:rPr>
        <w:t xml:space="preserve">(ACCHSs) </w:t>
      </w:r>
      <w:r w:rsidRPr="00321884">
        <w:rPr>
          <w:i/>
          <w:iCs/>
          <w:color w:val="010202"/>
        </w:rPr>
        <w:t>to improve Chronic Disease Management</w:t>
      </w:r>
      <w:r w:rsidRPr="00321884">
        <w:rPr>
          <w:color w:val="010202"/>
        </w:rPr>
        <w:t xml:space="preserve"> (IPAC) Project.</w:t>
      </w:r>
      <w:r w:rsidR="002D3EC5">
        <w:rPr>
          <w:rStyle w:val="EndnoteReference"/>
          <w:color w:val="010202"/>
        </w:rPr>
        <w:endnoteReference w:id="22"/>
      </w:r>
      <w:r w:rsidR="002D3EC5">
        <w:rPr>
          <w:color w:val="010202"/>
        </w:rPr>
        <w:t xml:space="preserve"> </w:t>
      </w:r>
      <w:r w:rsidR="002D3EC5">
        <w:rPr>
          <w:rStyle w:val="EndnoteReference"/>
          <w:color w:val="010202"/>
        </w:rPr>
        <w:endnoteReference w:id="23"/>
      </w:r>
      <w:r w:rsidRPr="00321884">
        <w:rPr>
          <w:color w:val="010202"/>
        </w:rPr>
        <w:t xml:space="preserve">  The project explored if integrating a registered pharmacist as part of the primary health care (PHC) team within ACCHSs (the intervention) led to improvements in the quality of the care received by Aboriginal and Torres Strait Islander peoples with chronic diseases, when compared with prior (usual) </w:t>
      </w:r>
      <w:r w:rsidRPr="00346145">
        <w:rPr>
          <w:color w:val="010202"/>
        </w:rPr>
        <w:t>care</w:t>
      </w:r>
      <w:r w:rsidR="00BB1F9B" w:rsidRPr="00346145">
        <w:rPr>
          <w:color w:val="010202"/>
        </w:rPr>
        <w:t xml:space="preserve"> (Appendices 1 and 2)</w:t>
      </w:r>
      <w:r w:rsidRPr="00346145">
        <w:rPr>
          <w:color w:val="010202"/>
        </w:rPr>
        <w:t xml:space="preserve">. </w:t>
      </w:r>
      <w:r w:rsidR="0094025C" w:rsidRPr="00346145">
        <w:rPr>
          <w:rFonts w:cstheme="minorHAnsi"/>
          <w:color w:val="010202"/>
        </w:rPr>
        <w:t>It</w:t>
      </w:r>
      <w:r w:rsidR="0094025C">
        <w:rPr>
          <w:rFonts w:cstheme="minorHAnsi"/>
          <w:color w:val="010202"/>
        </w:rPr>
        <w:t xml:space="preserve"> was anticipated that </w:t>
      </w:r>
      <w:r w:rsidR="0094025C" w:rsidRPr="00A553E5">
        <w:rPr>
          <w:rFonts w:cstheme="minorHAnsi"/>
          <w:lang w:val="en-GB"/>
        </w:rPr>
        <w:t xml:space="preserve">pharmacists </w:t>
      </w:r>
      <w:r w:rsidR="0094025C">
        <w:rPr>
          <w:rFonts w:cstheme="minorHAnsi"/>
          <w:lang w:val="en-GB"/>
        </w:rPr>
        <w:t>integrated within these settings would</w:t>
      </w:r>
      <w:r w:rsidR="0094025C" w:rsidRPr="00A553E5">
        <w:rPr>
          <w:rFonts w:cstheme="minorHAnsi"/>
          <w:lang w:val="en-GB"/>
        </w:rPr>
        <w:t xml:space="preserve"> facilitate increased access to medication-related expertise and assessments, which when coupled with increased engagement with participants, </w:t>
      </w:r>
      <w:proofErr w:type="gramStart"/>
      <w:r w:rsidR="0094025C" w:rsidRPr="00A553E5">
        <w:rPr>
          <w:rFonts w:cstheme="minorHAnsi"/>
          <w:lang w:val="en-GB"/>
        </w:rPr>
        <w:t>staff</w:t>
      </w:r>
      <w:proofErr w:type="gramEnd"/>
      <w:r w:rsidR="0094025C" w:rsidRPr="00A553E5">
        <w:rPr>
          <w:rFonts w:cstheme="minorHAnsi"/>
          <w:lang w:val="en-GB"/>
        </w:rPr>
        <w:t xml:space="preserve"> and other stakeholders, </w:t>
      </w:r>
      <w:r w:rsidR="0094025C">
        <w:rPr>
          <w:rFonts w:cstheme="minorHAnsi"/>
          <w:lang w:val="en-GB"/>
        </w:rPr>
        <w:t>would</w:t>
      </w:r>
      <w:r w:rsidR="0094025C" w:rsidRPr="00A553E5">
        <w:rPr>
          <w:rFonts w:cstheme="minorHAnsi"/>
          <w:lang w:val="en-GB"/>
        </w:rPr>
        <w:t xml:space="preserve"> result in improved services</w:t>
      </w:r>
      <w:r w:rsidR="0094025C">
        <w:rPr>
          <w:rFonts w:cstheme="minorHAnsi"/>
          <w:lang w:val="en-GB"/>
        </w:rPr>
        <w:t xml:space="preserve"> and </w:t>
      </w:r>
      <w:r w:rsidR="0094025C" w:rsidRPr="00A553E5">
        <w:rPr>
          <w:rFonts w:cstheme="minorHAnsi"/>
          <w:lang w:val="en-GB"/>
        </w:rPr>
        <w:t>quality use of medicines</w:t>
      </w:r>
      <w:r w:rsidR="0094025C">
        <w:rPr>
          <w:rFonts w:cstheme="minorHAnsi"/>
          <w:lang w:val="en-GB"/>
        </w:rPr>
        <w:t xml:space="preserve"> as outlined in the proposed the theory of change for the IPAC </w:t>
      </w:r>
      <w:r w:rsidR="0094025C" w:rsidRPr="00346145">
        <w:rPr>
          <w:rFonts w:cstheme="minorHAnsi"/>
          <w:lang w:val="en-GB"/>
        </w:rPr>
        <w:t xml:space="preserve">Project </w:t>
      </w:r>
      <w:r w:rsidR="0068261D" w:rsidRPr="00346145">
        <w:rPr>
          <w:rFonts w:cstheme="minorHAnsi"/>
          <w:lang w:val="en-GB"/>
        </w:rPr>
        <w:t>(Appendix 3</w:t>
      </w:r>
      <w:r w:rsidR="0094025C" w:rsidRPr="00346145">
        <w:rPr>
          <w:rFonts w:cstheme="minorHAnsi"/>
          <w:lang w:val="en-GB"/>
        </w:rPr>
        <w:t>).</w:t>
      </w:r>
    </w:p>
    <w:p w14:paraId="48F04B4C" w14:textId="77777777" w:rsidR="006947B4" w:rsidRDefault="006947B4" w:rsidP="0048683E">
      <w:pPr>
        <w:pStyle w:val="Heading1"/>
        <w:rPr>
          <w:rFonts w:eastAsiaTheme="majorEastAsia" w:cstheme="majorBidi"/>
          <w:sz w:val="24"/>
        </w:rPr>
      </w:pPr>
      <w:bookmarkStart w:id="11" w:name="_Toc35513584"/>
      <w:bookmarkStart w:id="12" w:name="_Toc35946587"/>
      <w:bookmarkStart w:id="13" w:name="_Toc40350076"/>
      <w:bookmarkStart w:id="14" w:name="_Toc40441058"/>
      <w:bookmarkStart w:id="15" w:name="_Toc41315602"/>
      <w:bookmarkStart w:id="16" w:name="_Toc138846247"/>
      <w:r>
        <w:t>Methodology</w:t>
      </w:r>
      <w:bookmarkEnd w:id="11"/>
      <w:bookmarkEnd w:id="12"/>
      <w:bookmarkEnd w:id="13"/>
      <w:bookmarkEnd w:id="14"/>
      <w:bookmarkEnd w:id="15"/>
      <w:bookmarkEnd w:id="16"/>
    </w:p>
    <w:p w14:paraId="2B40CDC1" w14:textId="77777777" w:rsidR="00FF4727" w:rsidRDefault="006947B4" w:rsidP="00DA22EF">
      <w:pPr>
        <w:rPr>
          <w:lang w:val="en-GB"/>
        </w:rPr>
      </w:pPr>
      <w:r>
        <w:t xml:space="preserve">The IPAC project was a pragmatic, non-randomized, prospective, pre and post quasi-experimental study (Trial Registration Number and Register: ACTRN12618002002268) implemented in three jurisdictions: Victoria, </w:t>
      </w:r>
      <w:proofErr w:type="gramStart"/>
      <w:r>
        <w:t>Queensland</w:t>
      </w:r>
      <w:proofErr w:type="gramEnd"/>
      <w:r>
        <w:t xml:space="preserve"> and the Northern Territory. </w:t>
      </w:r>
      <w:r w:rsidR="002D3EC5">
        <w:t xml:space="preserve"> </w:t>
      </w:r>
      <w:r w:rsidR="00FF4727" w:rsidRPr="00302DE4">
        <w:rPr>
          <w:lang w:val="en-GB"/>
        </w:rPr>
        <w:t>The</w:t>
      </w:r>
      <w:r w:rsidR="002D3EC5">
        <w:rPr>
          <w:lang w:val="en-GB"/>
        </w:rPr>
        <w:t>re were three</w:t>
      </w:r>
      <w:r w:rsidR="00EA2632">
        <w:rPr>
          <w:lang w:val="en-GB"/>
        </w:rPr>
        <w:t xml:space="preserve"> project </w:t>
      </w:r>
      <w:r w:rsidR="00FF4727" w:rsidRPr="00302DE4">
        <w:rPr>
          <w:lang w:val="en-GB"/>
        </w:rPr>
        <w:t>phases: Phase 1: Establishment (4</w:t>
      </w:r>
      <w:r w:rsidR="0093081F">
        <w:rPr>
          <w:lang w:val="en-GB"/>
        </w:rPr>
        <w:t>-8</w:t>
      </w:r>
      <w:r w:rsidR="00FF4727" w:rsidRPr="00302DE4">
        <w:rPr>
          <w:lang w:val="en-GB"/>
        </w:rPr>
        <w:t xml:space="preserve"> months); Phase 2: Implementation</w:t>
      </w:r>
      <w:r w:rsidR="002D3EC5">
        <w:rPr>
          <w:lang w:val="en-GB"/>
        </w:rPr>
        <w:t xml:space="preserve"> of the </w:t>
      </w:r>
      <w:r w:rsidR="00FF4727" w:rsidRPr="00302DE4">
        <w:rPr>
          <w:lang w:val="en-GB"/>
        </w:rPr>
        <w:t>intervention (</w:t>
      </w:r>
      <w:r w:rsidR="00643F5D">
        <w:rPr>
          <w:lang w:val="en-GB"/>
        </w:rPr>
        <w:t xml:space="preserve">up to </w:t>
      </w:r>
      <w:r w:rsidR="00FF4727" w:rsidRPr="00302DE4">
        <w:rPr>
          <w:lang w:val="en-GB"/>
        </w:rPr>
        <w:t>1</w:t>
      </w:r>
      <w:r w:rsidR="00FF4727">
        <w:rPr>
          <w:lang w:val="en-GB"/>
        </w:rPr>
        <w:t>5</w:t>
      </w:r>
      <w:r w:rsidR="00FF4727" w:rsidRPr="00302DE4">
        <w:rPr>
          <w:lang w:val="en-GB"/>
        </w:rPr>
        <w:t xml:space="preserve"> months); Phase 3: Analysis and </w:t>
      </w:r>
      <w:r w:rsidR="002D3EC5">
        <w:rPr>
          <w:lang w:val="en-GB"/>
        </w:rPr>
        <w:t>r</w:t>
      </w:r>
      <w:r w:rsidR="00FF4727" w:rsidRPr="00302DE4">
        <w:rPr>
          <w:lang w:val="en-GB"/>
        </w:rPr>
        <w:t xml:space="preserve">eporting (6 months). </w:t>
      </w:r>
    </w:p>
    <w:p w14:paraId="2CC9B305" w14:textId="1226195C" w:rsidR="00C75EF5" w:rsidRDefault="00EA4A28" w:rsidP="00004E74">
      <w:pPr>
        <w:widowControl/>
      </w:pPr>
      <w:r>
        <w:lastRenderedPageBreak/>
        <w:t>The project adhered to community-based participatory research (CBPR) principles, adapted from the World Health Organization guiding principles</w:t>
      </w:r>
      <w:r>
        <w:rPr>
          <w:rStyle w:val="EndnoteReference"/>
          <w:rFonts w:cstheme="minorHAnsi"/>
        </w:rPr>
        <w:endnoteReference w:id="24"/>
      </w:r>
      <w:r>
        <w:t xml:space="preserve"> as described in a previous project</w:t>
      </w:r>
      <w:r w:rsidR="00F3707B">
        <w:t xml:space="preserve"> involving Aboriginal </w:t>
      </w:r>
      <w:r w:rsidR="009A022E">
        <w:t xml:space="preserve">peoples </w:t>
      </w:r>
      <w:r w:rsidR="00F3707B">
        <w:t>and Torres Strait Islanders</w:t>
      </w:r>
      <w:r>
        <w:t>.</w:t>
      </w:r>
      <w:r>
        <w:rPr>
          <w:rStyle w:val="EndnoteReference"/>
          <w:rFonts w:cstheme="minorHAnsi"/>
        </w:rPr>
        <w:endnoteReference w:id="25"/>
      </w:r>
      <w:r>
        <w:t xml:space="preserve"> This approach ensured clear benefits to project sites, </w:t>
      </w:r>
      <w:proofErr w:type="gramStart"/>
      <w:r>
        <w:t>acceptability</w:t>
      </w:r>
      <w:proofErr w:type="gramEnd"/>
      <w:r>
        <w:t xml:space="preserve"> and sustainability of the intervention within ACCHSs, and ultimately, transferability to other PHC services. For this reason, study outcomes </w:t>
      </w:r>
      <w:r w:rsidR="004D2AC3">
        <w:t>were</w:t>
      </w:r>
      <w:r>
        <w:t xml:space="preserve"> compared before and after the intervention without the use of control sites, for within-subject comparisons (with repeated measures). The project </w:t>
      </w:r>
      <w:r w:rsidR="00F07FF3">
        <w:t>assessed</w:t>
      </w:r>
      <w:r>
        <w:t xml:space="preserve"> </w:t>
      </w:r>
      <w:r w:rsidR="00F07FF3">
        <w:t xml:space="preserve">any </w:t>
      </w:r>
      <w:r>
        <w:t>changes in study sites that occur</w:t>
      </w:r>
      <w:r w:rsidR="00F07FF3">
        <w:t>red</w:t>
      </w:r>
      <w:r>
        <w:t xml:space="preserve"> pre to post intervention through serial health systems assessments and qualitative methods.</w:t>
      </w:r>
    </w:p>
    <w:p w14:paraId="23CA771B" w14:textId="210610E2" w:rsidR="004D2901" w:rsidRDefault="00F07FF3" w:rsidP="00DA22EF">
      <w:pPr>
        <w:rPr>
          <w:lang w:val="en-GB"/>
        </w:rPr>
      </w:pPr>
      <w:r w:rsidRPr="00302DE4">
        <w:rPr>
          <w:lang w:val="en-GB"/>
        </w:rPr>
        <w:t xml:space="preserve">ACCHSs in geographically diverse settings </w:t>
      </w:r>
      <w:r>
        <w:rPr>
          <w:lang w:val="en-GB"/>
        </w:rPr>
        <w:t>in the three jurisdictions</w:t>
      </w:r>
      <w:r w:rsidRPr="00302DE4">
        <w:rPr>
          <w:lang w:val="en-GB"/>
        </w:rPr>
        <w:t xml:space="preserve"> that met the established site eligibility criteria </w:t>
      </w:r>
      <w:r>
        <w:rPr>
          <w:lang w:val="en-GB"/>
        </w:rPr>
        <w:t xml:space="preserve">were invited </w:t>
      </w:r>
      <w:r w:rsidRPr="00302DE4">
        <w:rPr>
          <w:lang w:val="en-GB"/>
        </w:rPr>
        <w:t xml:space="preserve">to participate </w:t>
      </w:r>
      <w:r>
        <w:rPr>
          <w:lang w:val="en-GB"/>
        </w:rPr>
        <w:t xml:space="preserve">in the </w:t>
      </w:r>
      <w:r w:rsidRPr="00302DE4">
        <w:rPr>
          <w:lang w:val="en-GB"/>
        </w:rPr>
        <w:t>project. Each service was offered a</w:t>
      </w:r>
      <w:r w:rsidR="00E87E3C">
        <w:rPr>
          <w:lang w:val="en-GB"/>
        </w:rPr>
        <w:t>n</w:t>
      </w:r>
      <w:r w:rsidRPr="00302DE4">
        <w:rPr>
          <w:lang w:val="en-GB"/>
        </w:rPr>
        <w:t xml:space="preserve"> </w:t>
      </w:r>
      <w:r w:rsidR="00E87E3C">
        <w:rPr>
          <w:lang w:val="en-GB"/>
        </w:rPr>
        <w:t>integrated</w:t>
      </w:r>
      <w:r w:rsidR="00E87E3C" w:rsidRPr="00302DE4">
        <w:rPr>
          <w:lang w:val="en-GB"/>
        </w:rPr>
        <w:t xml:space="preserve"> </w:t>
      </w:r>
      <w:r w:rsidRPr="00302DE4">
        <w:rPr>
          <w:lang w:val="en-GB"/>
        </w:rPr>
        <w:t>pharmacist (aggregated 0.57 FTE across 22 sites each for 15 months duration) under a service agreement with the PSA. Service selection aim</w:t>
      </w:r>
      <w:r>
        <w:rPr>
          <w:lang w:val="en-GB"/>
        </w:rPr>
        <w:t xml:space="preserve">ed </w:t>
      </w:r>
      <w:r w:rsidRPr="00302DE4">
        <w:rPr>
          <w:lang w:val="en-GB"/>
        </w:rPr>
        <w:t>to recognise the diversity of Aboriginal peoples and Torres Strait Islanders and models of care across Australia, to deliver an impact assessment that can best be generalizable to other Australian sites/settings in the future.</w:t>
      </w:r>
      <w:r>
        <w:rPr>
          <w:lang w:val="en-GB"/>
        </w:rPr>
        <w:t xml:space="preserve">  </w:t>
      </w:r>
      <w:r w:rsidR="00FF4727" w:rsidRPr="00302DE4">
        <w:rPr>
          <w:lang w:val="en-GB"/>
        </w:rPr>
        <w:t>All participating ACCHS</w:t>
      </w:r>
      <w:r w:rsidR="006C1A70">
        <w:rPr>
          <w:lang w:val="en-GB"/>
        </w:rPr>
        <w:t>s</w:t>
      </w:r>
      <w:r w:rsidR="00FF4727" w:rsidRPr="00302DE4">
        <w:rPr>
          <w:lang w:val="en-GB"/>
        </w:rPr>
        <w:t xml:space="preserve"> received the intervention, with study measures referring to periods prior to and after implementation, activities within ACCHSs, and aggregated ACCHSs. </w:t>
      </w:r>
    </w:p>
    <w:p w14:paraId="4CC08D01" w14:textId="512ED56C" w:rsidR="006947B4" w:rsidRDefault="006947B4" w:rsidP="001353B7">
      <w:r>
        <w:t>The pharmacist intervention involved delivery of ten core roles</w:t>
      </w:r>
      <w:r w:rsidR="0011491D">
        <w:t xml:space="preserve">, </w:t>
      </w:r>
      <w:r w:rsidR="00D35460">
        <w:t xml:space="preserve">which were </w:t>
      </w:r>
      <w:r w:rsidR="00E96010">
        <w:t xml:space="preserve">classified as </w:t>
      </w:r>
      <w:r w:rsidR="00D35460">
        <w:t xml:space="preserve">either </w:t>
      </w:r>
      <w:r w:rsidR="00690823">
        <w:t>patient-</w:t>
      </w:r>
      <w:r w:rsidR="003F776F">
        <w:t>related</w:t>
      </w:r>
      <w:r w:rsidR="000F74E5">
        <w:t xml:space="preserve"> </w:t>
      </w:r>
      <w:r w:rsidR="00B53D0F">
        <w:t xml:space="preserve">roles </w:t>
      </w:r>
      <w:r w:rsidR="000F74E5">
        <w:t xml:space="preserve">or </w:t>
      </w:r>
      <w:r w:rsidR="00B53D0F">
        <w:t xml:space="preserve">as systems and </w:t>
      </w:r>
      <w:r w:rsidR="00351A07">
        <w:t xml:space="preserve">health </w:t>
      </w:r>
      <w:r w:rsidR="00B53D0F">
        <w:t>practitioner-</w:t>
      </w:r>
      <w:r w:rsidR="003F776F">
        <w:t>level</w:t>
      </w:r>
      <w:r w:rsidR="00B53D0F">
        <w:t xml:space="preserve"> roles</w:t>
      </w:r>
      <w:r>
        <w:t xml:space="preserve">. </w:t>
      </w:r>
      <w:r w:rsidR="00F23C9E" w:rsidRPr="00BB4F91">
        <w:rPr>
          <w:rFonts w:cstheme="minorHAnsi"/>
        </w:rPr>
        <w:t xml:space="preserve">The Logic Model for the </w:t>
      </w:r>
      <w:r w:rsidR="00F23C9E">
        <w:rPr>
          <w:rFonts w:cstheme="minorHAnsi"/>
        </w:rPr>
        <w:t>e</w:t>
      </w:r>
      <w:r w:rsidR="00F23C9E" w:rsidRPr="00BB4F91">
        <w:rPr>
          <w:rFonts w:cstheme="minorHAnsi"/>
        </w:rPr>
        <w:t>valuation</w:t>
      </w:r>
      <w:r w:rsidR="00F23C9E">
        <w:rPr>
          <w:rFonts w:cstheme="minorHAnsi"/>
        </w:rPr>
        <w:t xml:space="preserve"> of the IPAC </w:t>
      </w:r>
      <w:r w:rsidR="00346145">
        <w:rPr>
          <w:rFonts w:cstheme="minorHAnsi"/>
        </w:rPr>
        <w:t>p</w:t>
      </w:r>
      <w:r w:rsidR="00F23C9E">
        <w:rPr>
          <w:rFonts w:cstheme="minorHAnsi"/>
        </w:rPr>
        <w:t xml:space="preserve">roject </w:t>
      </w:r>
      <w:r w:rsidR="00F23C9E" w:rsidRPr="00BB4F91">
        <w:rPr>
          <w:rFonts w:cstheme="minorHAnsi"/>
        </w:rPr>
        <w:t xml:space="preserve">outlines the roles and the expected outputs and outcomes from each </w:t>
      </w:r>
      <w:r w:rsidR="00F23C9E">
        <w:rPr>
          <w:rFonts w:cstheme="minorHAnsi"/>
        </w:rPr>
        <w:t xml:space="preserve">role </w:t>
      </w:r>
      <w:r w:rsidR="00F23C9E" w:rsidRPr="00346145">
        <w:rPr>
          <w:rFonts w:cstheme="minorHAnsi"/>
        </w:rPr>
        <w:t>(Appendix 4).</w:t>
      </w:r>
      <w:r w:rsidR="00346145">
        <w:rPr>
          <w:rFonts w:cstheme="minorHAnsi"/>
        </w:rPr>
        <w:t xml:space="preserve">  </w:t>
      </w:r>
      <w:r w:rsidRPr="00346145">
        <w:t>Activities</w:t>
      </w:r>
      <w:r>
        <w:t xml:space="preserve"> targeting patients included the assessment of medication management through medication reviews, medication adherence and appropriateness, medication-related problems, improving patient medication knowledge and giving preventive health advice. </w:t>
      </w:r>
      <w:r w:rsidR="00741626">
        <w:rPr>
          <w:rFonts w:asciiTheme="majorHAnsi" w:hAnsiTheme="majorHAnsi" w:cstheme="majorHAnsi"/>
          <w:color w:val="010202"/>
        </w:rPr>
        <w:t xml:space="preserve">Medication management reviews comprised either a Home Medicines Review (HMR) or a non-HMR which was </w:t>
      </w:r>
      <w:r w:rsidR="00741626" w:rsidRPr="00990A3C">
        <w:rPr>
          <w:rFonts w:asciiTheme="majorHAnsi" w:hAnsiTheme="majorHAnsi" w:cstheme="majorHAnsi"/>
        </w:rPr>
        <w:t xml:space="preserve">defined as a comprehensive medication management review comprising some or </w:t>
      </w:r>
      <w:proofErr w:type="gramStart"/>
      <w:r w:rsidR="00741626" w:rsidRPr="00990A3C">
        <w:rPr>
          <w:rFonts w:asciiTheme="majorHAnsi" w:hAnsiTheme="majorHAnsi" w:cstheme="majorHAnsi"/>
        </w:rPr>
        <w:t xml:space="preserve">all </w:t>
      </w:r>
      <w:r w:rsidR="00741626">
        <w:rPr>
          <w:rFonts w:asciiTheme="majorHAnsi" w:hAnsiTheme="majorHAnsi" w:cstheme="majorHAnsi"/>
        </w:rPr>
        <w:t>of</w:t>
      </w:r>
      <w:proofErr w:type="gramEnd"/>
      <w:r w:rsidR="00741626">
        <w:rPr>
          <w:rFonts w:asciiTheme="majorHAnsi" w:hAnsiTheme="majorHAnsi" w:cstheme="majorHAnsi"/>
        </w:rPr>
        <w:t xml:space="preserve"> </w:t>
      </w:r>
      <w:r w:rsidR="00741626" w:rsidRPr="00990A3C">
        <w:rPr>
          <w:rFonts w:asciiTheme="majorHAnsi" w:hAnsiTheme="majorHAnsi" w:cstheme="majorHAnsi"/>
        </w:rPr>
        <w:t>the elements of a HMR, but not fulfilling all relevant HMR criteria</w:t>
      </w:r>
      <w:r w:rsidR="00741626">
        <w:rPr>
          <w:rFonts w:asciiTheme="majorHAnsi" w:hAnsiTheme="majorHAnsi" w:cstheme="majorHAnsi"/>
        </w:rPr>
        <w:t xml:space="preserve"> stipulated by the Medicare Benefits Schedule (MBS). </w:t>
      </w:r>
      <w:r>
        <w:t xml:space="preserve">Pharmacists at each ACCHS undertook an audit of medication appropriateness and an assessment of </w:t>
      </w:r>
      <w:proofErr w:type="spellStart"/>
      <w:r>
        <w:t>underutilisation</w:t>
      </w:r>
      <w:proofErr w:type="spellEnd"/>
      <w:r>
        <w:t>, for a sample of participants at the rate of 30 participants per one full time equivalent (FTE) pro rata.  Pharmacists also provided patient education and preventive health activities.</w:t>
      </w:r>
    </w:p>
    <w:p w14:paraId="67C9EC19" w14:textId="6BEAB7F5" w:rsidR="006947B4" w:rsidRPr="00004E74" w:rsidRDefault="006947B4" w:rsidP="00DA22EF">
      <w:pPr>
        <w:rPr>
          <w:color w:val="010202"/>
        </w:rPr>
      </w:pPr>
      <w:r>
        <w:t xml:space="preserve">Activities targeting health professionals and systems included </w:t>
      </w:r>
      <w:r>
        <w:rPr>
          <w:rFonts w:eastAsia="MS ??"/>
          <w:color w:val="000000"/>
        </w:rPr>
        <w:t xml:space="preserve">conducting education sessions, responding to medication-related queries, reviewing </w:t>
      </w:r>
      <w:proofErr w:type="gramStart"/>
      <w:r>
        <w:rPr>
          <w:rFonts w:eastAsia="MS ??"/>
          <w:color w:val="000000"/>
        </w:rPr>
        <w:t>prescribing</w:t>
      </w:r>
      <w:proofErr w:type="gramEnd"/>
      <w:r>
        <w:rPr>
          <w:rFonts w:eastAsia="MS ??"/>
          <w:color w:val="000000"/>
        </w:rPr>
        <w:t xml:space="preserve"> and mentoring new prescribers, participating in case conferences, undertaking drug </w:t>
      </w:r>
      <w:proofErr w:type="spellStart"/>
      <w:r>
        <w:rPr>
          <w:rFonts w:eastAsia="MS ??"/>
          <w:color w:val="000000"/>
        </w:rPr>
        <w:t>utilisation</w:t>
      </w:r>
      <w:proofErr w:type="spellEnd"/>
      <w:r>
        <w:rPr>
          <w:rFonts w:eastAsia="MS ??"/>
          <w:color w:val="000000"/>
        </w:rPr>
        <w:t xml:space="preserve"> reviews,</w:t>
      </w:r>
      <w:r>
        <w:t xml:space="preserve"> and liaising with community pharmacies and other stakeholders</w:t>
      </w:r>
      <w:r>
        <w:rPr>
          <w:rFonts w:eastAsia="MS ??"/>
          <w:color w:val="000000"/>
        </w:rPr>
        <w:t xml:space="preserve"> to ensure continuity of care and transitional care</w:t>
      </w:r>
      <w:r>
        <w:t xml:space="preserve"> that supported patients discharged from hospital</w:t>
      </w:r>
      <w:r>
        <w:rPr>
          <w:rFonts w:eastAsia="MS ??"/>
          <w:color w:val="000000"/>
        </w:rPr>
        <w:t>.</w:t>
      </w:r>
    </w:p>
    <w:p w14:paraId="10B7F7EB" w14:textId="32F51C60" w:rsidR="00767A2A" w:rsidRPr="00004E74" w:rsidRDefault="004D2901" w:rsidP="00DA22EF">
      <w:pPr>
        <w:rPr>
          <w:lang w:val="en-GB"/>
        </w:rPr>
      </w:pPr>
      <w:r w:rsidRPr="00302DE4">
        <w:rPr>
          <w:lang w:val="en-GB"/>
        </w:rPr>
        <w:t xml:space="preserve">Outcome measures </w:t>
      </w:r>
      <w:r>
        <w:rPr>
          <w:lang w:val="en-GB"/>
        </w:rPr>
        <w:t>focused</w:t>
      </w:r>
      <w:r w:rsidRPr="00302DE4">
        <w:rPr>
          <w:lang w:val="en-GB"/>
        </w:rPr>
        <w:t xml:space="preserve"> on Aboriginal and Torres Strait Islander patients with chronic disease </w:t>
      </w:r>
      <w:r>
        <w:rPr>
          <w:lang w:val="en-GB"/>
        </w:rPr>
        <w:t xml:space="preserve">aged </w:t>
      </w:r>
      <w:r w:rsidRPr="00302DE4">
        <w:rPr>
          <w:lang w:val="en-GB"/>
        </w:rPr>
        <w:t xml:space="preserve">18 years </w:t>
      </w:r>
      <w:r>
        <w:rPr>
          <w:lang w:val="en-GB"/>
        </w:rPr>
        <w:t>or over,</w:t>
      </w:r>
      <w:r w:rsidRPr="00302DE4">
        <w:rPr>
          <w:lang w:val="en-GB"/>
        </w:rPr>
        <w:t xml:space="preserve"> who </w:t>
      </w:r>
      <w:r>
        <w:rPr>
          <w:lang w:val="en-GB"/>
        </w:rPr>
        <w:t>we</w:t>
      </w:r>
      <w:r w:rsidRPr="00302DE4">
        <w:rPr>
          <w:lang w:val="en-GB"/>
        </w:rPr>
        <w:t>re regular patients of the ACCHSs</w:t>
      </w:r>
      <w:r w:rsidR="00992304">
        <w:rPr>
          <w:lang w:val="en-GB"/>
        </w:rPr>
        <w:t>.  Measures</w:t>
      </w:r>
      <w:r w:rsidRPr="00302DE4">
        <w:rPr>
          <w:lang w:val="en-GB"/>
        </w:rPr>
        <w:t xml:space="preserve"> </w:t>
      </w:r>
      <w:r w:rsidR="00992304" w:rsidRPr="00302DE4">
        <w:rPr>
          <w:lang w:val="en-GB"/>
        </w:rPr>
        <w:t>includ</w:t>
      </w:r>
      <w:r w:rsidR="00992304">
        <w:rPr>
          <w:lang w:val="en-GB"/>
        </w:rPr>
        <w:t>ed</w:t>
      </w:r>
      <w:r w:rsidRPr="00302DE4">
        <w:rPr>
          <w:lang w:val="en-GB"/>
        </w:rPr>
        <w:t xml:space="preserve"> indices </w:t>
      </w:r>
      <w:r w:rsidR="00F420CD">
        <w:rPr>
          <w:lang w:val="en-GB"/>
        </w:rPr>
        <w:t xml:space="preserve">to assess the quality of </w:t>
      </w:r>
      <w:r w:rsidRPr="00302DE4">
        <w:rPr>
          <w:lang w:val="en-GB"/>
        </w:rPr>
        <w:t xml:space="preserve">prescribing, </w:t>
      </w:r>
      <w:r w:rsidR="00F420CD">
        <w:rPr>
          <w:lang w:val="en-GB"/>
        </w:rPr>
        <w:t>intermediate clinical endpoints</w:t>
      </w:r>
      <w:r>
        <w:rPr>
          <w:lang w:val="en-GB"/>
        </w:rPr>
        <w:t xml:space="preserve">, </w:t>
      </w:r>
      <w:r w:rsidR="00F420CD">
        <w:rPr>
          <w:lang w:val="en-GB"/>
        </w:rPr>
        <w:t xml:space="preserve">health service utilisation measures, </w:t>
      </w:r>
      <w:r w:rsidR="004666D3">
        <w:rPr>
          <w:lang w:val="en-GB"/>
        </w:rPr>
        <w:t xml:space="preserve">medication adherence, self-assessed health status, </w:t>
      </w:r>
      <w:r w:rsidR="00F420CD">
        <w:rPr>
          <w:lang w:val="en-GB"/>
        </w:rPr>
        <w:t xml:space="preserve">a </w:t>
      </w:r>
      <w:r>
        <w:rPr>
          <w:lang w:val="en-GB"/>
        </w:rPr>
        <w:t>qualitative evaluation</w:t>
      </w:r>
      <w:r w:rsidR="00F420CD">
        <w:rPr>
          <w:lang w:val="en-GB"/>
        </w:rPr>
        <w:t>,</w:t>
      </w:r>
      <w:r>
        <w:rPr>
          <w:lang w:val="en-GB"/>
        </w:rPr>
        <w:t xml:space="preserve"> and a</w:t>
      </w:r>
      <w:r w:rsidRPr="004D2901">
        <w:rPr>
          <w:lang w:val="en-GB"/>
        </w:rPr>
        <w:t xml:space="preserve"> cost-effectiveness analysis </w:t>
      </w:r>
      <w:r w:rsidR="00F420CD">
        <w:rPr>
          <w:lang w:val="en-GB"/>
        </w:rPr>
        <w:t xml:space="preserve">to </w:t>
      </w:r>
      <w:r w:rsidRPr="004D2901">
        <w:rPr>
          <w:lang w:val="en-GB"/>
        </w:rPr>
        <w:t xml:space="preserve">explore if the intervention was cost effective relative to </w:t>
      </w:r>
      <w:r w:rsidR="00F420CD">
        <w:rPr>
          <w:lang w:val="en-GB"/>
        </w:rPr>
        <w:t>usual care</w:t>
      </w:r>
      <w:r w:rsidRPr="004D2901">
        <w:rPr>
          <w:lang w:val="en-GB"/>
        </w:rPr>
        <w:t xml:space="preserve"> (at baseline).</w:t>
      </w:r>
      <w:bookmarkStart w:id="17" w:name="_Toc35513597"/>
      <w:bookmarkStart w:id="18" w:name="_Toc35946588"/>
    </w:p>
    <w:p w14:paraId="2AE72015" w14:textId="73CAAB81" w:rsidR="00C75EF5" w:rsidRDefault="00C75EF5" w:rsidP="0048683E">
      <w:pPr>
        <w:pStyle w:val="Heading2"/>
      </w:pPr>
      <w:bookmarkStart w:id="19" w:name="_Toc41315603"/>
      <w:bookmarkStart w:id="20" w:name="_Toc138846248"/>
      <w:r>
        <w:t xml:space="preserve">Project </w:t>
      </w:r>
      <w:r w:rsidR="003507C6">
        <w:t>g</w:t>
      </w:r>
      <w:r>
        <w:t>overnance</w:t>
      </w:r>
      <w:bookmarkEnd w:id="19"/>
      <w:bookmarkEnd w:id="20"/>
    </w:p>
    <w:p w14:paraId="10E1B641" w14:textId="446BD1AC" w:rsidR="00EA6069" w:rsidRPr="00302DE4" w:rsidRDefault="00EA6069" w:rsidP="00EA6069">
      <w:r>
        <w:t>The IPAC project wa</w:t>
      </w:r>
      <w:r w:rsidRPr="00302DE4">
        <w:t xml:space="preserve">s </w:t>
      </w:r>
      <w:r>
        <w:t xml:space="preserve">conducted through </w:t>
      </w:r>
      <w:r w:rsidRPr="00302DE4">
        <w:t xml:space="preserve">a partnership between the Pharmaceutical Society of Australia (PSA), </w:t>
      </w:r>
      <w:r>
        <w:t xml:space="preserve">the National Aboriginal Community Controlled Health </w:t>
      </w:r>
      <w:proofErr w:type="spellStart"/>
      <w:r>
        <w:t>Organisation</w:t>
      </w:r>
      <w:proofErr w:type="spellEnd"/>
      <w:r>
        <w:t xml:space="preserve"> (</w:t>
      </w:r>
      <w:r w:rsidRPr="00302DE4">
        <w:t>NACCHO</w:t>
      </w:r>
      <w:r>
        <w:t>)</w:t>
      </w:r>
      <w:r w:rsidRPr="00302DE4">
        <w:t xml:space="preserve">, and James Cook University </w:t>
      </w:r>
      <w:r>
        <w:t xml:space="preserve">(JCU) </w:t>
      </w:r>
      <w:r w:rsidRPr="00302DE4">
        <w:t>College of Medicine and Dentistry, guided by a Memorandum of Understanding that outline</w:t>
      </w:r>
      <w:r>
        <w:t>d</w:t>
      </w:r>
      <w:r w:rsidRPr="00302DE4">
        <w:t xml:space="preserve"> communication and governance processes</w:t>
      </w:r>
      <w:r w:rsidR="00CA448C">
        <w:t xml:space="preserve"> which were grounded in Aboriginal and Torres Strait Islander leadership and self-determination</w:t>
      </w:r>
      <w:r w:rsidRPr="00302DE4">
        <w:t xml:space="preserve">. </w:t>
      </w:r>
    </w:p>
    <w:p w14:paraId="2ABC4B7C" w14:textId="56692AB2" w:rsidR="00F3707B" w:rsidRDefault="003F776F" w:rsidP="00EA6069">
      <w:r>
        <w:lastRenderedPageBreak/>
        <w:t>A</w:t>
      </w:r>
      <w:r w:rsidRPr="003F776F">
        <w:t xml:space="preserve">ll partners were involved in the </w:t>
      </w:r>
      <w:proofErr w:type="spellStart"/>
      <w:r w:rsidR="00E554EB" w:rsidRPr="003F776F">
        <w:t>c</w:t>
      </w:r>
      <w:r w:rsidR="00E554EB">
        <w:t>onceptualisation</w:t>
      </w:r>
      <w:proofErr w:type="spellEnd"/>
      <w:r w:rsidR="00E554EB">
        <w:t xml:space="preserve"> and </w:t>
      </w:r>
      <w:r w:rsidRPr="003F776F">
        <w:t xml:space="preserve">development </w:t>
      </w:r>
      <w:r>
        <w:t xml:space="preserve">of the project. </w:t>
      </w:r>
      <w:r w:rsidR="00EA6069" w:rsidRPr="00302DE4">
        <w:t xml:space="preserve">The PSA, as the lead agency, had responsibility for managing the Head Agreement with the </w:t>
      </w:r>
      <w:r w:rsidR="00EA6069">
        <w:t xml:space="preserve">Australian Government </w:t>
      </w:r>
      <w:r w:rsidR="00EA6069" w:rsidRPr="00302DE4">
        <w:t xml:space="preserve">Department of Health, and service agreements with partners and ACCHSs.  PSA coordinated the appointment of pharmacists, their recruitment, training, placement, mentoring and performance. The NACCHO provided Aboriginal governance leadership for the project and coordinated communication with ACCHSs, Affiliates and the NACCHO Board. </w:t>
      </w:r>
      <w:r w:rsidR="00EA6069">
        <w:t xml:space="preserve">NACCHO recruited ACCHSs to participate in the project and provided induction and ongoing support. </w:t>
      </w:r>
      <w:r w:rsidR="00BA42D4" w:rsidRPr="00047045">
        <w:t xml:space="preserve">Affiliates of NACCHO are state and territory peak bodies </w:t>
      </w:r>
      <w:r w:rsidR="00BA42D4">
        <w:t>who represent</w:t>
      </w:r>
      <w:r w:rsidR="00BA42D4" w:rsidRPr="00047045">
        <w:t xml:space="preserve"> ACCHSs at this level and </w:t>
      </w:r>
      <w:r w:rsidR="00BA42D4">
        <w:t>provided input into project design, governance and evaluation and additional support for participating ACCHSs where required</w:t>
      </w:r>
      <w:r w:rsidR="00BA42D4" w:rsidRPr="00047045">
        <w:t>.</w:t>
      </w:r>
      <w:r w:rsidR="002E7AB7">
        <w:t xml:space="preserve"> </w:t>
      </w:r>
      <w:r w:rsidR="00BA42D4" w:rsidRPr="00047045">
        <w:t xml:space="preserve"> </w:t>
      </w:r>
      <w:r w:rsidR="00EA6069" w:rsidRPr="00302DE4">
        <w:t xml:space="preserve">JCU </w:t>
      </w:r>
      <w:r w:rsidR="00EA6069">
        <w:t xml:space="preserve">designed the research study, methodology, data requirements, and built data collection platforms and study tools. JCU managed data management subcontractors, acted as data custodian, </w:t>
      </w:r>
      <w:proofErr w:type="gramStart"/>
      <w:r w:rsidR="00EA6069">
        <w:t>monitored</w:t>
      </w:r>
      <w:proofErr w:type="gramEnd"/>
      <w:r w:rsidR="00EA6069">
        <w:t xml:space="preserve"> and guided project progression through its phases to meet study timelines and sample size, and developed the project evaluation reports</w:t>
      </w:r>
      <w:r w:rsidR="00EA6069" w:rsidRPr="00302DE4">
        <w:t>.</w:t>
      </w:r>
      <w:r>
        <w:t xml:space="preserve">  </w:t>
      </w:r>
    </w:p>
    <w:p w14:paraId="151D2F31" w14:textId="6560DEB8" w:rsidR="007731AF" w:rsidRDefault="00BA35CD" w:rsidP="00DA22EF">
      <w:r w:rsidRPr="007731AF">
        <w:t>The project w</w:t>
      </w:r>
      <w:r w:rsidR="007731AF">
        <w:t xml:space="preserve">as </w:t>
      </w:r>
      <w:r w:rsidRPr="007731AF">
        <w:t>coordinated by a Project Operational Team with members from the three partners</w:t>
      </w:r>
      <w:r w:rsidR="006760F0">
        <w:t xml:space="preserve"> </w:t>
      </w:r>
      <w:r w:rsidR="006760F0" w:rsidRPr="00067772">
        <w:t>(Figure 1)</w:t>
      </w:r>
      <w:r w:rsidRPr="00067772">
        <w:t>. A Steering Committee with an independent Chair</w:t>
      </w:r>
      <w:r w:rsidR="007731AF" w:rsidRPr="00067772">
        <w:t>,</w:t>
      </w:r>
      <w:r w:rsidRPr="00067772">
        <w:t xml:space="preserve"> </w:t>
      </w:r>
      <w:r w:rsidR="007731AF" w:rsidRPr="00067772">
        <w:t>oversaw</w:t>
      </w:r>
      <w:r w:rsidRPr="00067772">
        <w:t xml:space="preserve"> the project with representatives from</w:t>
      </w:r>
      <w:r w:rsidRPr="007731AF">
        <w:t xml:space="preserve"> partner </w:t>
      </w:r>
      <w:proofErr w:type="spellStart"/>
      <w:r w:rsidRPr="007731AF">
        <w:t>org</w:t>
      </w:r>
      <w:r w:rsidR="007731AF" w:rsidRPr="007731AF">
        <w:t>ani</w:t>
      </w:r>
      <w:r w:rsidR="00EF20D8">
        <w:t>s</w:t>
      </w:r>
      <w:r w:rsidR="007731AF" w:rsidRPr="007731AF">
        <w:t>ations</w:t>
      </w:r>
      <w:proofErr w:type="spellEnd"/>
      <w:r w:rsidR="00EF20D8">
        <w:t>,</w:t>
      </w:r>
      <w:r w:rsidR="007731AF" w:rsidRPr="007731AF">
        <w:t xml:space="preserve"> a</w:t>
      </w:r>
      <w:r w:rsidRPr="007731AF">
        <w:t xml:space="preserve"> </w:t>
      </w:r>
      <w:r w:rsidR="007731AF">
        <w:t xml:space="preserve">representative from </w:t>
      </w:r>
      <w:r w:rsidRPr="007731AF">
        <w:t>the Pharmacy Guild of Australia</w:t>
      </w:r>
      <w:r w:rsidR="007731AF">
        <w:t xml:space="preserve"> (PGA)</w:t>
      </w:r>
      <w:r w:rsidRPr="007731AF">
        <w:t>, an independent pharmacist</w:t>
      </w:r>
      <w:r w:rsidR="0093081F">
        <w:t xml:space="preserve"> and a representative from the Department of Health</w:t>
      </w:r>
      <w:r w:rsidRPr="007731AF">
        <w:t>. A Project Reference Group</w:t>
      </w:r>
      <w:r w:rsidR="00083769">
        <w:t xml:space="preserve">, </w:t>
      </w:r>
      <w:r w:rsidRPr="007731AF">
        <w:t>includ</w:t>
      </w:r>
      <w:r w:rsidR="00083769">
        <w:t>ing</w:t>
      </w:r>
      <w:r w:rsidRPr="007731AF">
        <w:t xml:space="preserve"> representatives from all participating ACCHSs, NACCHO, and its Affiliates</w:t>
      </w:r>
      <w:r w:rsidR="00083769">
        <w:t xml:space="preserve">, </w:t>
      </w:r>
      <w:r w:rsidR="00083769">
        <w:rPr>
          <w:sz w:val="24"/>
          <w:szCs w:val="24"/>
        </w:rPr>
        <w:t>p</w:t>
      </w:r>
      <w:r w:rsidR="00083769" w:rsidRPr="009546A0">
        <w:rPr>
          <w:sz w:val="24"/>
          <w:szCs w:val="24"/>
        </w:rPr>
        <w:t>rovide</w:t>
      </w:r>
      <w:r w:rsidR="00083769">
        <w:rPr>
          <w:sz w:val="24"/>
          <w:szCs w:val="24"/>
        </w:rPr>
        <w:t>d</w:t>
      </w:r>
      <w:r w:rsidR="00083769" w:rsidRPr="009546A0">
        <w:rPr>
          <w:sz w:val="24"/>
          <w:szCs w:val="24"/>
        </w:rPr>
        <w:t xml:space="preserve"> Aboriginal and Torres Strait Islander oversight and input into the Project</w:t>
      </w:r>
      <w:r w:rsidR="00083769">
        <w:rPr>
          <w:sz w:val="24"/>
          <w:szCs w:val="24"/>
        </w:rPr>
        <w:t>, and</w:t>
      </w:r>
      <w:r w:rsidRPr="00067772">
        <w:rPr>
          <w:sz w:val="24"/>
        </w:rPr>
        <w:t xml:space="preserve"> to </w:t>
      </w:r>
      <w:r w:rsidR="00067772">
        <w:rPr>
          <w:sz w:val="24"/>
        </w:rPr>
        <w:t>a</w:t>
      </w:r>
      <w:r w:rsidRPr="007731AF">
        <w:t>dvise on implementation issues</w:t>
      </w:r>
      <w:r w:rsidR="00067772">
        <w:t>.</w:t>
      </w:r>
      <w:r w:rsidR="0093081F">
        <w:t xml:space="preserve"> </w:t>
      </w:r>
      <w:r w:rsidRPr="007731AF">
        <w:t>The Evaluation Team w</w:t>
      </w:r>
      <w:r w:rsidR="007731AF">
        <w:t>as</w:t>
      </w:r>
      <w:r w:rsidRPr="007731AF">
        <w:t xml:space="preserve"> led by JCU with representatives from the partners, the Affiliates, </w:t>
      </w:r>
      <w:r w:rsidR="007731AF">
        <w:t xml:space="preserve">Aboriginal </w:t>
      </w:r>
      <w:proofErr w:type="gramStart"/>
      <w:r w:rsidR="007731AF">
        <w:t>Academics</w:t>
      </w:r>
      <w:proofErr w:type="gramEnd"/>
      <w:r w:rsidR="007731AF">
        <w:t xml:space="preserve"> </w:t>
      </w:r>
      <w:r w:rsidRPr="007731AF">
        <w:t xml:space="preserve">and content experts. </w:t>
      </w:r>
      <w:r w:rsidR="001E085D">
        <w:t>Members of the operational team, evaluation team and steering committee reviewed and provided feedback on all reports, led by JCU.</w:t>
      </w:r>
    </w:p>
    <w:bookmarkStart w:id="21" w:name="bfig1"/>
    <w:p w14:paraId="5483AF7E" w14:textId="398E8880" w:rsidR="00C75EF5" w:rsidRPr="00EF20D8" w:rsidRDefault="00BA35CD" w:rsidP="00A042C9">
      <w:pPr>
        <w:pStyle w:val="Title"/>
      </w:pPr>
      <w:r w:rsidRPr="00EF20D8">
        <w:fldChar w:fldCharType="begin"/>
      </w:r>
      <w:r w:rsidRPr="00EF20D8">
        <w:instrText xml:space="preserve"> HYPERLINK "https://www.sciencedirect.com/science/article/pii/S1551741119307910?via%3Dihub" \l "fig1" </w:instrText>
      </w:r>
      <w:r w:rsidRPr="00EF20D8">
        <w:fldChar w:fldCharType="separate"/>
      </w:r>
      <w:bookmarkStart w:id="22" w:name="_Toc42072462"/>
      <w:r w:rsidRPr="00EF20D8">
        <w:t>Fig</w:t>
      </w:r>
      <w:r w:rsidR="00EF20D8" w:rsidRPr="00EF20D8">
        <w:t>ure</w:t>
      </w:r>
      <w:r w:rsidRPr="00EF20D8">
        <w:t xml:space="preserve"> 1</w:t>
      </w:r>
      <w:r w:rsidRPr="00EF20D8">
        <w:fldChar w:fldCharType="end"/>
      </w:r>
      <w:bookmarkEnd w:id="21"/>
      <w:r w:rsidR="00EF20D8" w:rsidRPr="00EF20D8">
        <w:t>. G</w:t>
      </w:r>
      <w:r w:rsidRPr="00EF20D8">
        <w:t>overnance structure</w:t>
      </w:r>
      <w:r w:rsidR="00EF20D8" w:rsidRPr="00EF20D8">
        <w:t xml:space="preserve"> for the IPAC project</w:t>
      </w:r>
      <w:r w:rsidRPr="00EF20D8">
        <w:t>.</w:t>
      </w:r>
      <w:bookmarkEnd w:id="22"/>
    </w:p>
    <w:p w14:paraId="11F24C6D" w14:textId="64DC3154" w:rsidR="00CB7C7C" w:rsidRDefault="00CB7C7C" w:rsidP="00EF20D8">
      <w:pPr>
        <w:jc w:val="left"/>
      </w:pPr>
      <w:r>
        <w:rPr>
          <w:noProof/>
          <w:lang w:val="en-AU" w:eastAsia="en-AU"/>
        </w:rPr>
        <w:drawing>
          <wp:inline distT="0" distB="0" distL="0" distR="0" wp14:anchorId="6B42040B" wp14:editId="5C9C4417">
            <wp:extent cx="5760085" cy="4319905"/>
            <wp:effectExtent l="0" t="0" r="0" b="4445"/>
            <wp:docPr id="9" name="Picture 9" descr="Figure 1 shows the governance structure for the IPAC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shows the governance structure for the IPAC Project"/>
                    <pic:cNvPicPr/>
                  </pic:nvPicPr>
                  <pic:blipFill>
                    <a:blip r:embed="rId16">
                      <a:extLst>
                        <a:ext uri="{28A0092B-C50C-407E-A947-70E740481C1C}">
                          <a14:useLocalDpi xmlns:a14="http://schemas.microsoft.com/office/drawing/2010/main" val="0"/>
                        </a:ext>
                      </a:extLst>
                    </a:blip>
                    <a:stretch>
                      <a:fillRect/>
                    </a:stretch>
                  </pic:blipFill>
                  <pic:spPr>
                    <a:xfrm>
                      <a:off x="0" y="0"/>
                      <a:ext cx="5760085" cy="4319905"/>
                    </a:xfrm>
                    <a:prstGeom prst="rect">
                      <a:avLst/>
                    </a:prstGeom>
                  </pic:spPr>
                </pic:pic>
              </a:graphicData>
            </a:graphic>
          </wp:inline>
        </w:drawing>
      </w:r>
    </w:p>
    <w:p w14:paraId="6E5D4F7C" w14:textId="77777777" w:rsidR="00BF29F1" w:rsidRDefault="00BF29F1" w:rsidP="00EF20D8">
      <w:pPr>
        <w:jc w:val="left"/>
      </w:pPr>
    </w:p>
    <w:p w14:paraId="7CAEBBDF" w14:textId="77777777" w:rsidR="00570C10" w:rsidRPr="002A09C7" w:rsidRDefault="00570C10" w:rsidP="0048683E">
      <w:pPr>
        <w:pStyle w:val="Heading2"/>
      </w:pPr>
      <w:bookmarkStart w:id="23" w:name="_Toc35946593"/>
      <w:bookmarkStart w:id="24" w:name="_Toc40350077"/>
      <w:bookmarkStart w:id="25" w:name="_Toc40441059"/>
      <w:bookmarkStart w:id="26" w:name="_Toc41315604"/>
      <w:bookmarkStart w:id="27" w:name="_Toc138846249"/>
      <w:bookmarkStart w:id="28" w:name="_Toc35946589"/>
      <w:bookmarkEnd w:id="17"/>
      <w:bookmarkEnd w:id="18"/>
      <w:r w:rsidRPr="002A09C7">
        <w:lastRenderedPageBreak/>
        <w:t>Timelines</w:t>
      </w:r>
      <w:bookmarkEnd w:id="23"/>
      <w:bookmarkEnd w:id="24"/>
      <w:bookmarkEnd w:id="25"/>
      <w:bookmarkEnd w:id="26"/>
      <w:bookmarkEnd w:id="27"/>
    </w:p>
    <w:p w14:paraId="566A617B" w14:textId="3123B76C" w:rsidR="00570C10" w:rsidRDefault="00EA6069" w:rsidP="00F52C83">
      <w:pPr>
        <w:rPr>
          <w:rFonts w:eastAsia="Calibri" w:cs="Times New Roman"/>
        </w:rPr>
      </w:pPr>
      <w:r>
        <w:t xml:space="preserve">The final timeline indicates the </w:t>
      </w:r>
      <w:r w:rsidR="00F52C83">
        <w:t xml:space="preserve">project phases and </w:t>
      </w:r>
      <w:r w:rsidR="00924381">
        <w:t>the</w:t>
      </w:r>
      <w:r w:rsidR="00F52C83">
        <w:t xml:space="preserve"> commencement and end dates </w:t>
      </w:r>
      <w:r>
        <w:t xml:space="preserve">of </w:t>
      </w:r>
      <w:r w:rsidR="00F52C83">
        <w:t xml:space="preserve">integrated pharmacist </w:t>
      </w:r>
      <w:r>
        <w:t xml:space="preserve">activity delivered </w:t>
      </w:r>
      <w:r w:rsidR="00F52C83">
        <w:t xml:space="preserve">in the ACCHSs </w:t>
      </w:r>
      <w:r w:rsidR="00BF29F1" w:rsidRPr="001E085D">
        <w:t xml:space="preserve">(Figure </w:t>
      </w:r>
      <w:r w:rsidR="006760F0" w:rsidRPr="001E085D">
        <w:t>2</w:t>
      </w:r>
      <w:r w:rsidR="00BF29F1" w:rsidRPr="001E085D">
        <w:t>).</w:t>
      </w:r>
      <w:r>
        <w:t xml:space="preserve"> </w:t>
      </w:r>
      <w:r w:rsidR="00BF29F1">
        <w:t>T</w:t>
      </w:r>
      <w:r>
        <w:t xml:space="preserve">he original timeline reflected </w:t>
      </w:r>
      <w:r w:rsidR="00BF29F1">
        <w:t>the</w:t>
      </w:r>
      <w:r>
        <w:t xml:space="preserve"> project</w:t>
      </w:r>
      <w:r w:rsidR="00C96178">
        <w:t xml:space="preserve"> implementation phase </w:t>
      </w:r>
      <w:r w:rsidR="00F52C83">
        <w:t>comme</w:t>
      </w:r>
      <w:r w:rsidR="00C96178">
        <w:t>n</w:t>
      </w:r>
      <w:r w:rsidR="00F52C83">
        <w:t>c</w:t>
      </w:r>
      <w:r w:rsidR="00C96178">
        <w:t>ing in April</w:t>
      </w:r>
      <w:r w:rsidR="00CF6282">
        <w:t xml:space="preserve"> 2018.  However, </w:t>
      </w:r>
      <w:r w:rsidR="00CF6282">
        <w:rPr>
          <w:lang w:val="en-GB"/>
        </w:rPr>
        <w:t>de</w:t>
      </w:r>
      <w:r w:rsidR="00570C10">
        <w:rPr>
          <w:lang w:val="en-GB"/>
        </w:rPr>
        <w:t xml:space="preserve">lays </w:t>
      </w:r>
      <w:r w:rsidR="00CF6282">
        <w:rPr>
          <w:lang w:val="en-GB"/>
        </w:rPr>
        <w:t>in</w:t>
      </w:r>
      <w:r w:rsidR="00570C10">
        <w:rPr>
          <w:lang w:val="en-GB"/>
        </w:rPr>
        <w:t xml:space="preserve"> the </w:t>
      </w:r>
      <w:r w:rsidR="004C6361">
        <w:rPr>
          <w:lang w:val="en-GB"/>
        </w:rPr>
        <w:t>establishment phase of the proj</w:t>
      </w:r>
      <w:r w:rsidR="00570C10">
        <w:rPr>
          <w:lang w:val="en-GB"/>
        </w:rPr>
        <w:t xml:space="preserve">ect meant </w:t>
      </w:r>
      <w:r w:rsidR="007816E8">
        <w:rPr>
          <w:lang w:val="en-GB"/>
        </w:rPr>
        <w:t xml:space="preserve">the </w:t>
      </w:r>
      <w:r w:rsidR="00570C10">
        <w:rPr>
          <w:lang w:val="en-GB"/>
        </w:rPr>
        <w:t xml:space="preserve">implementation </w:t>
      </w:r>
      <w:r w:rsidR="007816E8">
        <w:rPr>
          <w:lang w:val="en-GB"/>
        </w:rPr>
        <w:t xml:space="preserve">phase </w:t>
      </w:r>
      <w:r w:rsidR="00CF6282">
        <w:rPr>
          <w:lang w:val="en-GB"/>
        </w:rPr>
        <w:t>did not commence</w:t>
      </w:r>
      <w:r w:rsidR="007816E8">
        <w:rPr>
          <w:lang w:val="en-GB"/>
        </w:rPr>
        <w:t xml:space="preserve"> </w:t>
      </w:r>
      <w:r w:rsidR="00CF6282">
        <w:rPr>
          <w:lang w:val="en-GB"/>
        </w:rPr>
        <w:t>until</w:t>
      </w:r>
      <w:r w:rsidR="007816E8">
        <w:rPr>
          <w:lang w:val="en-GB"/>
        </w:rPr>
        <w:t xml:space="preserve"> August</w:t>
      </w:r>
      <w:r w:rsidR="00CF6282">
        <w:rPr>
          <w:lang w:val="en-GB"/>
        </w:rPr>
        <w:t xml:space="preserve"> 2018</w:t>
      </w:r>
      <w:r w:rsidR="007816E8">
        <w:rPr>
          <w:lang w:val="en-GB"/>
        </w:rPr>
        <w:t xml:space="preserve">.  The implementation phase </w:t>
      </w:r>
      <w:r w:rsidR="00570C10">
        <w:rPr>
          <w:lang w:val="en-GB"/>
        </w:rPr>
        <w:t xml:space="preserve">was shortened due to the </w:t>
      </w:r>
      <w:r w:rsidR="004C6361">
        <w:rPr>
          <w:lang w:val="en-GB"/>
        </w:rPr>
        <w:t>end of study</w:t>
      </w:r>
      <w:r w:rsidR="00570C10">
        <w:rPr>
          <w:lang w:val="en-GB"/>
        </w:rPr>
        <w:t xml:space="preserve"> date </w:t>
      </w:r>
      <w:r w:rsidR="004C6361">
        <w:rPr>
          <w:lang w:val="en-GB"/>
        </w:rPr>
        <w:t xml:space="preserve">set for </w:t>
      </w:r>
      <w:r w:rsidR="00570C10">
        <w:rPr>
          <w:lang w:val="en-GB"/>
        </w:rPr>
        <w:t>31</w:t>
      </w:r>
      <w:r w:rsidR="00570C10" w:rsidRPr="00570C10">
        <w:rPr>
          <w:vertAlign w:val="superscript"/>
          <w:lang w:val="en-GB"/>
        </w:rPr>
        <w:t>st</w:t>
      </w:r>
      <w:r w:rsidR="00570C10">
        <w:rPr>
          <w:lang w:val="en-GB"/>
        </w:rPr>
        <w:t xml:space="preserve"> October 2019.</w:t>
      </w:r>
      <w:r w:rsidR="004C6361">
        <w:rPr>
          <w:lang w:val="en-GB"/>
        </w:rPr>
        <w:t xml:space="preserve"> The first </w:t>
      </w:r>
      <w:r w:rsidR="007816E8">
        <w:rPr>
          <w:lang w:val="en-GB"/>
        </w:rPr>
        <w:t>pharmacists commenced in ACCHSs on 2</w:t>
      </w:r>
      <w:r w:rsidR="007816E8" w:rsidRPr="00D140B8">
        <w:rPr>
          <w:vertAlign w:val="superscript"/>
          <w:lang w:val="en-GB"/>
        </w:rPr>
        <w:t>nd</w:t>
      </w:r>
      <w:r w:rsidR="007816E8">
        <w:rPr>
          <w:lang w:val="en-GB"/>
        </w:rPr>
        <w:t xml:space="preserve"> August 2018 and the first </w:t>
      </w:r>
      <w:r w:rsidR="004C6361">
        <w:rPr>
          <w:lang w:val="en-GB"/>
        </w:rPr>
        <w:t>patient was recruited into the study</w:t>
      </w:r>
      <w:r w:rsidR="007816E8">
        <w:rPr>
          <w:lang w:val="en-GB"/>
        </w:rPr>
        <w:t xml:space="preserve"> that same day</w:t>
      </w:r>
      <w:r w:rsidR="00D140B8">
        <w:rPr>
          <w:lang w:val="en-GB"/>
        </w:rPr>
        <w:t>.</w:t>
      </w:r>
    </w:p>
    <w:p w14:paraId="45874065" w14:textId="501981FC" w:rsidR="00B20602" w:rsidRPr="00BF1EA1" w:rsidRDefault="00B20602" w:rsidP="00A042C9">
      <w:pPr>
        <w:pStyle w:val="Title"/>
      </w:pPr>
      <w:bookmarkStart w:id="29" w:name="_Toc42072463"/>
      <w:r w:rsidRPr="00BF1EA1">
        <w:t xml:space="preserve">Figure </w:t>
      </w:r>
      <w:r w:rsidR="006760F0" w:rsidRPr="00BF1EA1">
        <w:t>2</w:t>
      </w:r>
      <w:r w:rsidRPr="00BF1EA1">
        <w:t>. Project timeline</w:t>
      </w:r>
      <w:r w:rsidR="00044FAB" w:rsidRPr="00BF1EA1">
        <w:t xml:space="preserve"> with </w:t>
      </w:r>
      <w:r w:rsidR="00F52C83" w:rsidRPr="00BF1EA1">
        <w:t xml:space="preserve">ACCHS/pharmacist </w:t>
      </w:r>
      <w:r w:rsidR="00044FAB" w:rsidRPr="00BF1EA1">
        <w:t>commencement and end dates</w:t>
      </w:r>
      <w:r w:rsidRPr="00BF1EA1">
        <w:t>.</w:t>
      </w:r>
      <w:bookmarkEnd w:id="29"/>
    </w:p>
    <w:p w14:paraId="04D4052A" w14:textId="4872B1C3" w:rsidR="00044FAB" w:rsidRDefault="00044FAB" w:rsidP="00DA22EF">
      <w:pPr>
        <w:pStyle w:val="BodyText"/>
        <w:spacing w:after="0" w:line="360" w:lineRule="auto"/>
        <w:rPr>
          <w:rFonts w:cs="Arial"/>
          <w:sz w:val="20"/>
          <w:szCs w:val="20"/>
        </w:rPr>
      </w:pPr>
      <w:r w:rsidRPr="00044FAB">
        <w:rPr>
          <w:noProof/>
          <w:lang w:eastAsia="en-AU"/>
        </w:rPr>
        <w:drawing>
          <wp:inline distT="0" distB="0" distL="0" distR="0" wp14:anchorId="64D865FC" wp14:editId="1922C416">
            <wp:extent cx="5760085" cy="960014"/>
            <wp:effectExtent l="19050" t="19050" r="12065" b="12065"/>
            <wp:docPr id="10" name="Picture 10" descr="Figure 2 is a chart showing project timelines with ACCHS and pharmacist commencement and en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2 is a chart showing project timelines with ACCHS and pharmacist commencement and end da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960014"/>
                    </a:xfrm>
                    <a:prstGeom prst="rect">
                      <a:avLst/>
                    </a:prstGeom>
                    <a:noFill/>
                    <a:ln w="3175">
                      <a:solidFill>
                        <a:schemeClr val="tx1"/>
                      </a:solidFill>
                    </a:ln>
                  </pic:spPr>
                </pic:pic>
              </a:graphicData>
            </a:graphic>
          </wp:inline>
        </w:drawing>
      </w:r>
    </w:p>
    <w:p w14:paraId="53C85980" w14:textId="0E5FD3C5" w:rsidR="00044FAB" w:rsidRDefault="00DB07B6" w:rsidP="00DB07B6">
      <w:r>
        <w:t xml:space="preserve">In some sites where pharmacists commenced in later tranches of the implementation phase, efforts to </w:t>
      </w:r>
      <w:proofErr w:type="spellStart"/>
      <w:r>
        <w:t>optimise</w:t>
      </w:r>
      <w:proofErr w:type="spellEnd"/>
      <w:r>
        <w:t xml:space="preserve"> project delivery within the data capture period were achieved by increasing the FTE allocation over a reduced period of time (</w:t>
      </w:r>
      <w:proofErr w:type="gramStart"/>
      <w:r>
        <w:t>e.g.</w:t>
      </w:r>
      <w:proofErr w:type="gramEnd"/>
      <w:r>
        <w:t xml:space="preserve"> 0.6 FTE over 15 months became a 0.8 FTE contract over 12 months).  </w:t>
      </w:r>
      <w:r w:rsidR="00C534C4" w:rsidRPr="00D140B8">
        <w:t>A small proportion of pharmacist hours could not be compressed to fit within the intervention phase (</w:t>
      </w:r>
      <w:proofErr w:type="spellStart"/>
      <w:proofErr w:type="gramStart"/>
      <w:r w:rsidR="00C534C4" w:rsidRPr="00D140B8">
        <w:t>eg</w:t>
      </w:r>
      <w:proofErr w:type="spellEnd"/>
      <w:proofErr w:type="gramEnd"/>
      <w:r w:rsidR="00C534C4" w:rsidRPr="00D140B8">
        <w:t xml:space="preserve"> where the pharmacist was already working 1.0 FTE). In such circumstances, pharmacist hours continued into the analysis phase to </w:t>
      </w:r>
      <w:proofErr w:type="spellStart"/>
      <w:r w:rsidR="00C534C4" w:rsidRPr="00D140B8">
        <w:t>honour</w:t>
      </w:r>
      <w:proofErr w:type="spellEnd"/>
      <w:r w:rsidR="00C534C4" w:rsidRPr="00D140B8">
        <w:t xml:space="preserve"> the project’s commitment to participating ACCHSs to provide access to an integrated non-dispensing pharmacist for </w:t>
      </w:r>
      <w:r w:rsidR="00C534C4">
        <w:t xml:space="preserve">a total period of </w:t>
      </w:r>
      <w:r w:rsidR="00C534C4" w:rsidRPr="00D140B8">
        <w:t>15 months.</w:t>
      </w:r>
    </w:p>
    <w:p w14:paraId="5AF25699" w14:textId="3776D70F" w:rsidR="00962514" w:rsidRPr="002A09C7" w:rsidRDefault="00962514" w:rsidP="0048683E">
      <w:pPr>
        <w:pStyle w:val="Heading2"/>
      </w:pPr>
      <w:bookmarkStart w:id="30" w:name="_Toc40350078"/>
      <w:bookmarkStart w:id="31" w:name="_Toc40441060"/>
      <w:bookmarkStart w:id="32" w:name="_Toc41315605"/>
      <w:bookmarkStart w:id="33" w:name="_Toc138846250"/>
      <w:r w:rsidRPr="002A09C7">
        <w:t xml:space="preserve">ACCHS </w:t>
      </w:r>
      <w:bookmarkEnd w:id="28"/>
      <w:bookmarkEnd w:id="30"/>
      <w:bookmarkEnd w:id="31"/>
      <w:r w:rsidR="003507C6">
        <w:t>r</w:t>
      </w:r>
      <w:r w:rsidR="00220AFA">
        <w:t>ecruitment</w:t>
      </w:r>
      <w:bookmarkEnd w:id="32"/>
      <w:r w:rsidR="00EF3700">
        <w:t xml:space="preserve"> and </w:t>
      </w:r>
      <w:r w:rsidR="003507C6">
        <w:t>s</w:t>
      </w:r>
      <w:r w:rsidR="00EF3700">
        <w:t>upport</w:t>
      </w:r>
      <w:bookmarkEnd w:id="33"/>
    </w:p>
    <w:p w14:paraId="28869811" w14:textId="5E2A3ADD" w:rsidR="009D41E7" w:rsidRPr="006760F0" w:rsidRDefault="0094025C" w:rsidP="006760F0">
      <w:bookmarkStart w:id="34" w:name="_Toc35946590"/>
      <w:r w:rsidRPr="006760F0">
        <w:t>NACCHO conducted a two-phase Expression of Interest (EOI) site recruitment strategy for the IPAC Project</w:t>
      </w:r>
      <w:r w:rsidR="004A05D2" w:rsidRPr="006760F0">
        <w:t>,</w:t>
      </w:r>
      <w:r w:rsidRPr="006760F0">
        <w:t xml:space="preserve"> which was </w:t>
      </w:r>
      <w:r w:rsidR="00FC7553">
        <w:t xml:space="preserve">overseen by </w:t>
      </w:r>
      <w:r w:rsidR="001E085D">
        <w:t xml:space="preserve">the </w:t>
      </w:r>
      <w:r w:rsidRPr="006760F0">
        <w:t xml:space="preserve">NACCHO </w:t>
      </w:r>
      <w:r w:rsidR="00B41F0A">
        <w:t>executive</w:t>
      </w:r>
      <w:r w:rsidRPr="006760F0">
        <w:t xml:space="preserve"> </w:t>
      </w:r>
      <w:r w:rsidR="00FC7553">
        <w:t xml:space="preserve">and </w:t>
      </w:r>
      <w:r w:rsidR="00FC7553" w:rsidRPr="006760F0">
        <w:t xml:space="preserve">managed by the </w:t>
      </w:r>
      <w:r w:rsidR="00FC7DFE">
        <w:t xml:space="preserve">two NACCHO </w:t>
      </w:r>
      <w:r w:rsidR="00CA448C">
        <w:t>p</w:t>
      </w:r>
      <w:r w:rsidR="00CA448C" w:rsidRPr="006760F0">
        <w:t xml:space="preserve">roject </w:t>
      </w:r>
      <w:r w:rsidR="00CA448C">
        <w:t>c</w:t>
      </w:r>
      <w:r w:rsidRPr="006760F0">
        <w:t xml:space="preserve">oordinators. </w:t>
      </w:r>
      <w:r w:rsidR="004A05D2" w:rsidRPr="006760F0">
        <w:t>S</w:t>
      </w:r>
      <w:r w:rsidRPr="006760F0">
        <w:t>ervice inclusion criteria</w:t>
      </w:r>
      <w:r w:rsidR="006760F0">
        <w:t xml:space="preserve"> </w:t>
      </w:r>
      <w:r w:rsidR="00DC11A0" w:rsidRPr="006760F0">
        <w:t xml:space="preserve">were </w:t>
      </w:r>
      <w:r w:rsidRPr="006760F0">
        <w:t>used to select</w:t>
      </w:r>
      <w:r w:rsidR="004A05D2" w:rsidRPr="006760F0">
        <w:t xml:space="preserve"> </w:t>
      </w:r>
      <w:r w:rsidRPr="006760F0">
        <w:t xml:space="preserve">sites </w:t>
      </w:r>
      <w:r w:rsidR="006760F0" w:rsidRPr="006760F0">
        <w:t xml:space="preserve">in urban, </w:t>
      </w:r>
      <w:proofErr w:type="gramStart"/>
      <w:r w:rsidR="006760F0" w:rsidRPr="006760F0">
        <w:t>regional</w:t>
      </w:r>
      <w:proofErr w:type="gramEnd"/>
      <w:r w:rsidR="006760F0" w:rsidRPr="006760F0">
        <w:t xml:space="preserve"> and remote locations across </w:t>
      </w:r>
      <w:r w:rsidR="006760F0">
        <w:t>three</w:t>
      </w:r>
      <w:r w:rsidR="006760F0" w:rsidRPr="006760F0">
        <w:t xml:space="preserve"> jurisdictions, the Northern Territory, Queensland and Victoria</w:t>
      </w:r>
      <w:r w:rsidR="006760F0">
        <w:t>,</w:t>
      </w:r>
      <w:r w:rsidR="006760F0" w:rsidRPr="006760F0">
        <w:rPr>
          <w:rStyle w:val="EndnoteReference"/>
          <w:rFonts w:asciiTheme="majorHAnsi" w:hAnsiTheme="majorHAnsi" w:cstheme="majorHAnsi"/>
        </w:rPr>
        <w:endnoteReference w:id="26"/>
      </w:r>
      <w:r w:rsidR="006760F0" w:rsidRPr="006760F0">
        <w:t xml:space="preserve"> </w:t>
      </w:r>
      <w:r w:rsidRPr="006760F0">
        <w:t>after reviewing the r</w:t>
      </w:r>
      <w:r w:rsidR="004D2AC3" w:rsidRPr="006760F0">
        <w:t xml:space="preserve">esponses to the advertised EOI. </w:t>
      </w:r>
      <w:r w:rsidR="006760F0" w:rsidRPr="006760F0">
        <w:t xml:space="preserve"> </w:t>
      </w:r>
      <w:r w:rsidR="00DA641B" w:rsidRPr="006760F0">
        <w:t xml:space="preserve">ACCHSs selected were endorsed by the Steering Committee. </w:t>
      </w:r>
      <w:r w:rsidR="005F16A5" w:rsidRPr="006760F0">
        <w:t>ACCHS p</w:t>
      </w:r>
      <w:r w:rsidRPr="006760F0">
        <w:t xml:space="preserve">articipation required a formal agreement between the ACCHS and </w:t>
      </w:r>
      <w:r w:rsidR="00DA641B" w:rsidRPr="006760F0">
        <w:t xml:space="preserve">the </w:t>
      </w:r>
      <w:r w:rsidRPr="006760F0">
        <w:t>PSA as the head contractor</w:t>
      </w:r>
      <w:r w:rsidR="00DA641B" w:rsidRPr="006760F0">
        <w:t>,</w:t>
      </w:r>
      <w:r w:rsidRPr="006760F0">
        <w:t xml:space="preserve"> outlining the requirements of each party to the agreement, consent </w:t>
      </w:r>
      <w:r w:rsidR="00DA641B" w:rsidRPr="006760F0">
        <w:t>for</w:t>
      </w:r>
      <w:r w:rsidRPr="006760F0">
        <w:t xml:space="preserve"> ACCHS </w:t>
      </w:r>
      <w:r w:rsidR="00DA641B" w:rsidRPr="006760F0">
        <w:t xml:space="preserve">participation </w:t>
      </w:r>
      <w:r w:rsidRPr="006760F0">
        <w:t>in the IPAC Project and consent to install the GRHANITE</w:t>
      </w:r>
      <w:r w:rsidRPr="006760F0">
        <w:rPr>
          <w:vertAlign w:val="superscript"/>
        </w:rPr>
        <w:t>TM</w:t>
      </w:r>
      <w:r w:rsidRPr="006760F0">
        <w:t xml:space="preserve"> software to enable extraction of deidentified patient specific data. </w:t>
      </w:r>
    </w:p>
    <w:p w14:paraId="01D5795F" w14:textId="53161DB9" w:rsidR="00087295" w:rsidRDefault="00555321" w:rsidP="006760F0">
      <w:r w:rsidRPr="006760F0">
        <w:t>Twenty ACCHS</w:t>
      </w:r>
      <w:r w:rsidR="009D41E7" w:rsidRPr="006760F0">
        <w:t>s</w:t>
      </w:r>
      <w:r w:rsidRPr="006760F0">
        <w:t xml:space="preserve"> commenced delivering the pharmacist intervention across 24 clinic sites.  During the implementation phase one ACCHS withdrew </w:t>
      </w:r>
      <w:r w:rsidR="00087295" w:rsidRPr="006760F0">
        <w:t xml:space="preserve">due to the unexpected workload placed on other staff due to the pharmacist’s recommendations and activities, in an already busy period where staff shortages were ongoing. </w:t>
      </w:r>
      <w:r w:rsidRPr="006760F0">
        <w:t xml:space="preserve"> </w:t>
      </w:r>
      <w:r w:rsidR="00087295" w:rsidRPr="006760F0">
        <w:t>A</w:t>
      </w:r>
      <w:r w:rsidRPr="006760F0">
        <w:t xml:space="preserve">nother </w:t>
      </w:r>
      <w:r w:rsidR="00087295" w:rsidRPr="006760F0">
        <w:t xml:space="preserve">ACCHS </w:t>
      </w:r>
      <w:r w:rsidRPr="006760F0">
        <w:t>chose to discontinue with the intervention</w:t>
      </w:r>
      <w:r w:rsidR="00087295" w:rsidRPr="006760F0">
        <w:t xml:space="preserve"> after 6 months of activity, when their pharmacist resigned for personal reasons. There were </w:t>
      </w:r>
      <w:r w:rsidR="00044F39">
        <w:t>insufficient</w:t>
      </w:r>
      <w:r w:rsidR="00087295" w:rsidRPr="006760F0">
        <w:t xml:space="preserve"> patient numbers at the ACCHS </w:t>
      </w:r>
      <w:r w:rsidR="002E2B39">
        <w:t>to warrant</w:t>
      </w:r>
      <w:r w:rsidR="00087295" w:rsidRPr="006760F0">
        <w:t xml:space="preserve"> re-recruitment </w:t>
      </w:r>
      <w:r w:rsidR="002E2B39">
        <w:t>of a pharmacist</w:t>
      </w:r>
      <w:r w:rsidR="002E2B39" w:rsidRPr="006760F0">
        <w:t xml:space="preserve"> </w:t>
      </w:r>
      <w:r w:rsidR="00087295" w:rsidRPr="006760F0">
        <w:t>for the remaining project duration.</w:t>
      </w:r>
      <w:r w:rsidR="00752E49">
        <w:t xml:space="preserve"> </w:t>
      </w:r>
      <w:r w:rsidR="007D153E">
        <w:t xml:space="preserve">Eighteen </w:t>
      </w:r>
      <w:r w:rsidR="00752E49">
        <w:t xml:space="preserve">ACCHSs completed the intervention </w:t>
      </w:r>
      <w:r w:rsidR="004E5474">
        <w:t xml:space="preserve">and </w:t>
      </w:r>
      <w:r w:rsidR="00752E49">
        <w:t xml:space="preserve">were well distributed across urban, </w:t>
      </w:r>
      <w:proofErr w:type="gramStart"/>
      <w:r w:rsidR="00752E49">
        <w:t>regional</w:t>
      </w:r>
      <w:proofErr w:type="gramEnd"/>
      <w:r w:rsidR="00752E49">
        <w:t xml:space="preserve"> and remote settings (Table 1).</w:t>
      </w:r>
    </w:p>
    <w:p w14:paraId="6EE8457F" w14:textId="28126476" w:rsidR="00752E49" w:rsidRDefault="00752E49">
      <w:pPr>
        <w:widowControl/>
        <w:spacing w:line="240" w:lineRule="auto"/>
        <w:jc w:val="left"/>
      </w:pPr>
      <w:r>
        <w:br w:type="page"/>
      </w:r>
    </w:p>
    <w:p w14:paraId="1E5D0519" w14:textId="4A99661F" w:rsidR="00752E49" w:rsidRDefault="00752E49" w:rsidP="006C152D">
      <w:pPr>
        <w:pStyle w:val="TableParagraph"/>
      </w:pPr>
      <w:bookmarkStart w:id="35" w:name="_Toc43820204"/>
      <w:r>
        <w:lastRenderedPageBreak/>
        <w:t>Table 1.  Distribution of ACCHSs</w:t>
      </w:r>
      <w:r w:rsidR="004E5474">
        <w:t xml:space="preserve"> by setting and jurisdiction</w:t>
      </w:r>
      <w:r>
        <w:t>.</w:t>
      </w:r>
      <w:bookmarkEnd w:id="35"/>
    </w:p>
    <w:tbl>
      <w:tblPr>
        <w:tblW w:w="5000" w:type="pct"/>
        <w:tblCellMar>
          <w:left w:w="0" w:type="dxa"/>
          <w:right w:w="0" w:type="dxa"/>
        </w:tblCellMar>
        <w:tblLook w:val="04A0" w:firstRow="1" w:lastRow="0" w:firstColumn="1" w:lastColumn="0" w:noHBand="0" w:noVBand="1"/>
      </w:tblPr>
      <w:tblGrid>
        <w:gridCol w:w="2400"/>
        <w:gridCol w:w="1804"/>
        <w:gridCol w:w="1805"/>
        <w:gridCol w:w="1805"/>
        <w:gridCol w:w="1805"/>
      </w:tblGrid>
      <w:tr w:rsidR="00752E49" w14:paraId="6C1104CE" w14:textId="77777777" w:rsidTr="00121774">
        <w:trPr>
          <w:trHeight w:val="320"/>
          <w:tblHeader/>
        </w:trPr>
        <w:tc>
          <w:tcPr>
            <w:tcW w:w="12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0C4AE7" w14:textId="77777777" w:rsidR="00752E49" w:rsidRDefault="00752E49">
            <w:pPr>
              <w:rPr>
                <w:rFonts w:cs="Calibri"/>
                <w:color w:val="000000"/>
                <w:sz w:val="24"/>
                <w:szCs w:val="24"/>
                <w:lang w:val="en-AU" w:eastAsia="en-AU"/>
              </w:rPr>
            </w:pPr>
            <w:r>
              <w:rPr>
                <w:color w:val="000000"/>
                <w:sz w:val="24"/>
                <w:szCs w:val="24"/>
                <w:lang w:eastAsia="en-AU"/>
              </w:rPr>
              <w:t> </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A24A79" w14:textId="77777777" w:rsidR="00752E49" w:rsidRDefault="00752E49" w:rsidP="00752E49">
            <w:pPr>
              <w:jc w:val="center"/>
              <w:rPr>
                <w:color w:val="000000"/>
                <w:sz w:val="24"/>
                <w:szCs w:val="24"/>
                <w:lang w:eastAsia="en-AU"/>
              </w:rPr>
            </w:pPr>
            <w:r>
              <w:rPr>
                <w:color w:val="000000"/>
                <w:sz w:val="24"/>
                <w:szCs w:val="24"/>
                <w:lang w:eastAsia="en-AU"/>
              </w:rPr>
              <w:t>Urban</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0FD388" w14:textId="77777777" w:rsidR="00752E49" w:rsidRDefault="00752E49" w:rsidP="00752E49">
            <w:pPr>
              <w:jc w:val="center"/>
              <w:rPr>
                <w:color w:val="000000"/>
                <w:sz w:val="24"/>
                <w:szCs w:val="24"/>
                <w:lang w:eastAsia="en-AU"/>
              </w:rPr>
            </w:pPr>
            <w:r>
              <w:rPr>
                <w:color w:val="000000"/>
                <w:sz w:val="24"/>
                <w:szCs w:val="24"/>
                <w:lang w:eastAsia="en-AU"/>
              </w:rPr>
              <w:t>Regional</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32DE7F" w14:textId="77777777" w:rsidR="00752E49" w:rsidRDefault="00752E49" w:rsidP="00752E49">
            <w:pPr>
              <w:jc w:val="center"/>
              <w:rPr>
                <w:color w:val="000000"/>
                <w:sz w:val="24"/>
                <w:szCs w:val="24"/>
                <w:lang w:eastAsia="en-AU"/>
              </w:rPr>
            </w:pPr>
            <w:r>
              <w:rPr>
                <w:color w:val="000000"/>
                <w:sz w:val="24"/>
                <w:szCs w:val="24"/>
                <w:lang w:eastAsia="en-AU"/>
              </w:rPr>
              <w:t>Remote</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8EA307" w14:textId="77777777" w:rsidR="00752E49" w:rsidRDefault="00752E49" w:rsidP="00752E49">
            <w:pPr>
              <w:jc w:val="center"/>
              <w:rPr>
                <w:b/>
                <w:bCs/>
                <w:color w:val="000000"/>
                <w:sz w:val="24"/>
                <w:szCs w:val="24"/>
                <w:lang w:eastAsia="en-AU"/>
              </w:rPr>
            </w:pPr>
            <w:r>
              <w:rPr>
                <w:b/>
                <w:bCs/>
                <w:color w:val="000000"/>
                <w:sz w:val="24"/>
                <w:szCs w:val="24"/>
                <w:lang w:eastAsia="en-AU"/>
              </w:rPr>
              <w:t>Total</w:t>
            </w:r>
          </w:p>
        </w:tc>
      </w:tr>
      <w:tr w:rsidR="00752E49" w14:paraId="57F402E4" w14:textId="77777777" w:rsidTr="00752E49">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F234B1" w14:textId="1C53C74E" w:rsidR="00752E49" w:rsidRPr="00752E49" w:rsidRDefault="00752E49">
            <w:pPr>
              <w:rPr>
                <w:color w:val="000000"/>
                <w:sz w:val="24"/>
                <w:szCs w:val="24"/>
                <w:lang w:eastAsia="en-AU"/>
              </w:rPr>
            </w:pPr>
            <w:r w:rsidRPr="00752E49">
              <w:rPr>
                <w:color w:val="000000"/>
                <w:sz w:val="24"/>
                <w:szCs w:val="24"/>
                <w:lang w:eastAsia="en-AU"/>
              </w:rPr>
              <w:t>Northern Territory</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DC4CD4" w14:textId="68DFC125" w:rsidR="00752E49" w:rsidRPr="00752E49" w:rsidRDefault="00752E49" w:rsidP="00752E49">
            <w:pPr>
              <w:jc w:val="center"/>
              <w:rPr>
                <w:color w:val="000000"/>
                <w:sz w:val="24"/>
                <w:szCs w:val="24"/>
                <w:lang w:eastAsia="en-AU"/>
              </w:rPr>
            </w:pPr>
            <w:r>
              <w:rPr>
                <w:color w:val="000000"/>
                <w:sz w:val="24"/>
                <w:szCs w:val="24"/>
                <w:lang w:eastAsia="en-AU"/>
              </w:rPr>
              <w:t>0</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C5BBF" w14:textId="77777777" w:rsidR="00752E49" w:rsidRPr="00752E49" w:rsidRDefault="00752E49" w:rsidP="00752E49">
            <w:pPr>
              <w:jc w:val="center"/>
              <w:rPr>
                <w:color w:val="000000"/>
                <w:sz w:val="24"/>
                <w:szCs w:val="24"/>
                <w:lang w:eastAsia="en-AU"/>
              </w:rPr>
            </w:pPr>
            <w:r w:rsidRPr="00752E49">
              <w:rPr>
                <w:color w:val="000000"/>
                <w:sz w:val="24"/>
                <w:szCs w:val="24"/>
                <w:lang w:eastAsia="en-AU"/>
              </w:rPr>
              <w:t>1</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89C75" w14:textId="7C48D3ED" w:rsidR="00752E49" w:rsidRPr="00752E49" w:rsidRDefault="00752E49" w:rsidP="00752E49">
            <w:pPr>
              <w:jc w:val="center"/>
              <w:rPr>
                <w:color w:val="000000"/>
                <w:sz w:val="24"/>
                <w:szCs w:val="24"/>
                <w:lang w:eastAsia="en-AU"/>
              </w:rPr>
            </w:pPr>
            <w:r>
              <w:rPr>
                <w:color w:val="000000"/>
                <w:sz w:val="24"/>
                <w:szCs w:val="24"/>
                <w:lang w:eastAsia="en-AU"/>
              </w:rPr>
              <w:t>4</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F707D4" w14:textId="510E31E9" w:rsidR="00752E49" w:rsidRPr="00752E49" w:rsidRDefault="00752E49" w:rsidP="00752E49">
            <w:pPr>
              <w:jc w:val="center"/>
              <w:rPr>
                <w:bCs/>
                <w:color w:val="000000"/>
                <w:sz w:val="24"/>
                <w:szCs w:val="24"/>
                <w:lang w:eastAsia="en-AU"/>
              </w:rPr>
            </w:pPr>
            <w:r>
              <w:rPr>
                <w:bCs/>
                <w:color w:val="000000"/>
                <w:sz w:val="24"/>
                <w:szCs w:val="24"/>
                <w:lang w:eastAsia="en-AU"/>
              </w:rPr>
              <w:t>5</w:t>
            </w:r>
          </w:p>
        </w:tc>
      </w:tr>
      <w:tr w:rsidR="00752E49" w14:paraId="654DBE50" w14:textId="77777777" w:rsidTr="00752E49">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1FCB7B" w14:textId="42022BC7" w:rsidR="00752E49" w:rsidRPr="00752E49" w:rsidRDefault="00752E49" w:rsidP="00752E49">
            <w:pPr>
              <w:rPr>
                <w:bCs/>
                <w:color w:val="000000"/>
                <w:sz w:val="24"/>
                <w:szCs w:val="24"/>
                <w:lang w:eastAsia="en-AU"/>
              </w:rPr>
            </w:pPr>
            <w:r w:rsidRPr="00752E49">
              <w:rPr>
                <w:bCs/>
                <w:color w:val="000000"/>
                <w:sz w:val="24"/>
                <w:szCs w:val="24"/>
                <w:lang w:eastAsia="en-AU"/>
              </w:rPr>
              <w:t>Queensland</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CE01AE" w14:textId="77777777" w:rsidR="00752E49" w:rsidRPr="00752E49" w:rsidRDefault="00752E49" w:rsidP="00752E49">
            <w:pPr>
              <w:jc w:val="center"/>
              <w:rPr>
                <w:bCs/>
                <w:color w:val="000000"/>
                <w:sz w:val="24"/>
                <w:szCs w:val="24"/>
                <w:lang w:eastAsia="en-AU"/>
              </w:rPr>
            </w:pPr>
            <w:r w:rsidRPr="00752E49">
              <w:rPr>
                <w:bCs/>
                <w:color w:val="000000"/>
                <w:sz w:val="24"/>
                <w:szCs w:val="24"/>
                <w:lang w:eastAsia="en-AU"/>
              </w:rPr>
              <w:t>3</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233B70" w14:textId="77777777" w:rsidR="00752E49" w:rsidRPr="00752E49" w:rsidRDefault="00752E49" w:rsidP="00752E49">
            <w:pPr>
              <w:jc w:val="center"/>
              <w:rPr>
                <w:bCs/>
                <w:color w:val="000000"/>
                <w:sz w:val="24"/>
                <w:szCs w:val="24"/>
                <w:lang w:eastAsia="en-AU"/>
              </w:rPr>
            </w:pPr>
            <w:r w:rsidRPr="00752E49">
              <w:rPr>
                <w:bCs/>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AC1F9C" w14:textId="77777777" w:rsidR="00752E49" w:rsidRPr="00752E49" w:rsidRDefault="00752E49" w:rsidP="00752E49">
            <w:pPr>
              <w:jc w:val="center"/>
              <w:rPr>
                <w:bCs/>
                <w:color w:val="000000"/>
                <w:sz w:val="24"/>
                <w:szCs w:val="24"/>
                <w:lang w:eastAsia="en-AU"/>
              </w:rPr>
            </w:pPr>
            <w:r w:rsidRPr="00752E49">
              <w:rPr>
                <w:bCs/>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45A168" w14:textId="77777777" w:rsidR="00752E49" w:rsidRPr="00752E49" w:rsidRDefault="00752E49" w:rsidP="00752E49">
            <w:pPr>
              <w:jc w:val="center"/>
              <w:rPr>
                <w:bCs/>
                <w:color w:val="000000"/>
                <w:sz w:val="24"/>
                <w:szCs w:val="24"/>
                <w:lang w:eastAsia="en-AU"/>
              </w:rPr>
            </w:pPr>
            <w:r w:rsidRPr="00752E49">
              <w:rPr>
                <w:bCs/>
                <w:color w:val="000000"/>
                <w:sz w:val="24"/>
                <w:szCs w:val="24"/>
                <w:lang w:eastAsia="en-AU"/>
              </w:rPr>
              <w:t>7</w:t>
            </w:r>
          </w:p>
        </w:tc>
      </w:tr>
      <w:tr w:rsidR="00752E49" w14:paraId="667FC498" w14:textId="77777777" w:rsidTr="00752E49">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8AF15B" w14:textId="3F36A3D5" w:rsidR="00752E49" w:rsidRPr="00752E49" w:rsidRDefault="00752E49">
            <w:pPr>
              <w:rPr>
                <w:color w:val="000000"/>
                <w:sz w:val="24"/>
                <w:szCs w:val="24"/>
                <w:lang w:eastAsia="en-AU"/>
              </w:rPr>
            </w:pPr>
            <w:r w:rsidRPr="00752E49">
              <w:rPr>
                <w:color w:val="000000"/>
                <w:sz w:val="24"/>
                <w:szCs w:val="24"/>
                <w:lang w:eastAsia="en-AU"/>
              </w:rPr>
              <w:t>Victoria</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5A1848" w14:textId="7EC661C5" w:rsidR="00752E49" w:rsidRPr="00752E49" w:rsidRDefault="00752E49" w:rsidP="00752E49">
            <w:pPr>
              <w:jc w:val="center"/>
              <w:rPr>
                <w:color w:val="000000"/>
                <w:sz w:val="24"/>
                <w:szCs w:val="24"/>
                <w:lang w:eastAsia="en-AU"/>
              </w:rPr>
            </w:pPr>
            <w:r>
              <w:rPr>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27579" w14:textId="77777777" w:rsidR="00752E49" w:rsidRPr="00752E49" w:rsidRDefault="00752E49" w:rsidP="00752E49">
            <w:pPr>
              <w:jc w:val="center"/>
              <w:rPr>
                <w:color w:val="000000"/>
                <w:sz w:val="24"/>
                <w:szCs w:val="24"/>
                <w:lang w:eastAsia="en-AU"/>
              </w:rPr>
            </w:pPr>
            <w:r w:rsidRPr="00752E49">
              <w:rPr>
                <w:color w:val="000000"/>
                <w:sz w:val="24"/>
                <w:szCs w:val="24"/>
                <w:lang w:eastAsia="en-AU"/>
              </w:rPr>
              <w:t>4</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416B56" w14:textId="77777777" w:rsidR="00752E49" w:rsidRPr="00752E49" w:rsidRDefault="00752E49" w:rsidP="00752E49">
            <w:pPr>
              <w:jc w:val="center"/>
              <w:rPr>
                <w:color w:val="000000"/>
                <w:sz w:val="24"/>
                <w:szCs w:val="24"/>
                <w:lang w:eastAsia="en-AU"/>
              </w:rPr>
            </w:pPr>
            <w:r w:rsidRPr="00752E49">
              <w:rPr>
                <w:color w:val="000000"/>
                <w:sz w:val="24"/>
                <w:szCs w:val="24"/>
                <w:lang w:eastAsia="en-AU"/>
              </w:rPr>
              <w:t>0</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FADEA" w14:textId="0BE6FA99" w:rsidR="00752E49" w:rsidRPr="00752E49" w:rsidRDefault="00752E49" w:rsidP="00752E49">
            <w:pPr>
              <w:jc w:val="center"/>
              <w:rPr>
                <w:bCs/>
                <w:color w:val="000000"/>
                <w:sz w:val="24"/>
                <w:szCs w:val="24"/>
                <w:lang w:eastAsia="en-AU"/>
              </w:rPr>
            </w:pPr>
            <w:r>
              <w:rPr>
                <w:bCs/>
                <w:color w:val="000000"/>
                <w:sz w:val="24"/>
                <w:szCs w:val="24"/>
                <w:lang w:eastAsia="en-AU"/>
              </w:rPr>
              <w:t>6</w:t>
            </w:r>
          </w:p>
        </w:tc>
      </w:tr>
      <w:tr w:rsidR="00752E49" w14:paraId="77F9F9FA" w14:textId="77777777" w:rsidTr="00752E49">
        <w:trPr>
          <w:trHeight w:val="30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A5EC36" w14:textId="63F0039E" w:rsidR="00752E49" w:rsidRDefault="00752E49">
            <w:pPr>
              <w:rPr>
                <w:b/>
                <w:bCs/>
                <w:color w:val="000000"/>
                <w:sz w:val="24"/>
                <w:szCs w:val="24"/>
                <w:lang w:eastAsia="en-AU"/>
              </w:rPr>
            </w:pPr>
            <w:r>
              <w:rPr>
                <w:b/>
                <w:bCs/>
                <w:color w:val="000000"/>
                <w:sz w:val="24"/>
                <w:szCs w:val="24"/>
                <w:lang w:eastAsia="en-AU"/>
              </w:rPr>
              <w:t>Total</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63AA29" w14:textId="6CECF683" w:rsidR="00752E49" w:rsidRDefault="00752E49" w:rsidP="00752E49">
            <w:pPr>
              <w:jc w:val="center"/>
              <w:rPr>
                <w:b/>
                <w:bCs/>
                <w:color w:val="000000"/>
                <w:sz w:val="24"/>
                <w:szCs w:val="24"/>
                <w:lang w:eastAsia="en-AU"/>
              </w:rPr>
            </w:pPr>
            <w:r>
              <w:rPr>
                <w:b/>
                <w:bCs/>
                <w:color w:val="000000"/>
                <w:sz w:val="24"/>
                <w:szCs w:val="24"/>
                <w:lang w:eastAsia="en-AU"/>
              </w:rPr>
              <w:t>5</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83B8DD" w14:textId="77777777" w:rsidR="00752E49" w:rsidRDefault="00752E49" w:rsidP="00752E49">
            <w:pPr>
              <w:jc w:val="center"/>
              <w:rPr>
                <w:b/>
                <w:bCs/>
                <w:color w:val="000000"/>
                <w:sz w:val="24"/>
                <w:szCs w:val="24"/>
                <w:lang w:eastAsia="en-AU"/>
              </w:rPr>
            </w:pPr>
            <w:r>
              <w:rPr>
                <w:b/>
                <w:bCs/>
                <w:color w:val="000000"/>
                <w:sz w:val="24"/>
                <w:szCs w:val="24"/>
                <w:lang w:eastAsia="en-AU"/>
              </w:rPr>
              <w:t>7</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57EB8C" w14:textId="39B66D80" w:rsidR="00752E49" w:rsidRDefault="00752E49" w:rsidP="00752E49">
            <w:pPr>
              <w:jc w:val="center"/>
              <w:rPr>
                <w:b/>
                <w:bCs/>
                <w:color w:val="000000"/>
                <w:sz w:val="24"/>
                <w:szCs w:val="24"/>
                <w:lang w:eastAsia="en-AU"/>
              </w:rPr>
            </w:pPr>
            <w:r>
              <w:rPr>
                <w:b/>
                <w:bCs/>
                <w:color w:val="000000"/>
                <w:sz w:val="24"/>
                <w:szCs w:val="24"/>
                <w:lang w:eastAsia="en-AU"/>
              </w:rPr>
              <w:t>6</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43DF7" w14:textId="4B564A79" w:rsidR="00752E49" w:rsidRDefault="00752E49" w:rsidP="00752E49">
            <w:pPr>
              <w:jc w:val="center"/>
              <w:rPr>
                <w:b/>
                <w:bCs/>
                <w:color w:val="000000"/>
                <w:sz w:val="24"/>
                <w:szCs w:val="24"/>
                <w:lang w:eastAsia="en-AU"/>
              </w:rPr>
            </w:pPr>
            <w:r>
              <w:rPr>
                <w:b/>
                <w:bCs/>
                <w:color w:val="000000"/>
                <w:sz w:val="24"/>
                <w:szCs w:val="24"/>
                <w:lang w:eastAsia="en-AU"/>
              </w:rPr>
              <w:t>18</w:t>
            </w:r>
          </w:p>
        </w:tc>
      </w:tr>
    </w:tbl>
    <w:p w14:paraId="2A598275" w14:textId="418F7177" w:rsidR="009763E7" w:rsidRPr="006760F0" w:rsidRDefault="00087295" w:rsidP="006760F0">
      <w:pPr>
        <w:rPr>
          <w:lang w:eastAsia="en-AU"/>
        </w:rPr>
      </w:pPr>
      <w:r w:rsidRPr="006760F0">
        <w:rPr>
          <w:lang w:eastAsia="en-AU"/>
        </w:rPr>
        <w:t>NACCHO project coordinators visited each ACCHS at least twice</w:t>
      </w:r>
      <w:r w:rsidR="0080651F">
        <w:rPr>
          <w:lang w:eastAsia="en-AU"/>
        </w:rPr>
        <w:t xml:space="preserve"> in accordance with </w:t>
      </w:r>
      <w:r w:rsidR="0017711E">
        <w:rPr>
          <w:lang w:eastAsia="en-AU"/>
        </w:rPr>
        <w:t xml:space="preserve">the </w:t>
      </w:r>
      <w:r w:rsidR="008D0CE7">
        <w:rPr>
          <w:lang w:eastAsia="en-AU"/>
        </w:rPr>
        <w:t>project protocol</w:t>
      </w:r>
      <w:r w:rsidRPr="006760F0">
        <w:rPr>
          <w:lang w:eastAsia="en-AU"/>
        </w:rPr>
        <w:t xml:space="preserve">.  The initial visit was undertaken at the </w:t>
      </w:r>
      <w:r w:rsidRPr="006760F0">
        <w:rPr>
          <w:rFonts w:cstheme="minorHAnsi"/>
          <w:lang w:eastAsia="en-AU"/>
        </w:rPr>
        <w:t xml:space="preserve">commencement of the Project </w:t>
      </w:r>
      <w:r w:rsidR="009763E7" w:rsidRPr="006760F0">
        <w:rPr>
          <w:rFonts w:cstheme="minorHAnsi"/>
          <w:lang w:eastAsia="en-AU"/>
        </w:rPr>
        <w:t xml:space="preserve">and facilitated </w:t>
      </w:r>
      <w:r w:rsidR="009763E7" w:rsidRPr="006760F0">
        <w:rPr>
          <w:lang w:eastAsia="en-AU"/>
        </w:rPr>
        <w:t xml:space="preserve">discussion of the ACCHSs preferred system for referring patients to the pharmacist and for seeking consent, conducted the ACCHS Pharmacist Needs Assessment, collected ACCHS data recorded on the </w:t>
      </w:r>
      <w:r w:rsidR="007257AC">
        <w:rPr>
          <w:lang w:eastAsia="en-AU"/>
        </w:rPr>
        <w:t>h</w:t>
      </w:r>
      <w:r w:rsidR="009763E7" w:rsidRPr="006760F0">
        <w:rPr>
          <w:lang w:eastAsia="en-AU"/>
        </w:rPr>
        <w:t xml:space="preserve">ealth </w:t>
      </w:r>
      <w:r w:rsidR="007257AC">
        <w:rPr>
          <w:lang w:eastAsia="en-AU"/>
        </w:rPr>
        <w:t>s</w:t>
      </w:r>
      <w:r w:rsidR="009763E7" w:rsidRPr="006760F0">
        <w:rPr>
          <w:lang w:eastAsia="en-AU"/>
        </w:rPr>
        <w:t xml:space="preserve">ystems </w:t>
      </w:r>
      <w:r w:rsidR="007257AC">
        <w:rPr>
          <w:lang w:eastAsia="en-AU"/>
        </w:rPr>
        <w:t>a</w:t>
      </w:r>
      <w:r w:rsidR="009763E7" w:rsidRPr="006760F0">
        <w:rPr>
          <w:lang w:eastAsia="en-AU"/>
        </w:rPr>
        <w:t xml:space="preserve">ssessment, and discussed logistical issues including access to the </w:t>
      </w:r>
      <w:r w:rsidR="00122D05">
        <w:rPr>
          <w:lang w:eastAsia="en-AU"/>
        </w:rPr>
        <w:t>clinical information system (</w:t>
      </w:r>
      <w:r w:rsidR="009763E7" w:rsidRPr="006760F0">
        <w:rPr>
          <w:lang w:eastAsia="en-AU"/>
        </w:rPr>
        <w:t>CIS</w:t>
      </w:r>
      <w:r w:rsidR="00122D05">
        <w:rPr>
          <w:lang w:eastAsia="en-AU"/>
        </w:rPr>
        <w:t>)</w:t>
      </w:r>
      <w:r w:rsidR="009763E7" w:rsidRPr="006760F0">
        <w:rPr>
          <w:lang w:eastAsia="en-AU"/>
        </w:rPr>
        <w:t xml:space="preserve">, consulting space and availability of a uniform. The NACCHO </w:t>
      </w:r>
      <w:r w:rsidR="009763E7" w:rsidRPr="00D04CD2">
        <w:rPr>
          <w:lang w:eastAsia="en-AU"/>
        </w:rPr>
        <w:t>coordinator</w:t>
      </w:r>
      <w:r w:rsidR="009E1743" w:rsidRPr="00D04CD2">
        <w:rPr>
          <w:lang w:eastAsia="en-AU"/>
        </w:rPr>
        <w:t>s</w:t>
      </w:r>
      <w:r w:rsidR="009763E7" w:rsidRPr="00D04CD2">
        <w:rPr>
          <w:lang w:eastAsia="en-AU"/>
        </w:rPr>
        <w:t xml:space="preserve"> also</w:t>
      </w:r>
      <w:r w:rsidR="009763E7" w:rsidRPr="001E085D">
        <w:rPr>
          <w:rStyle w:val="Strong"/>
          <w:rFonts w:eastAsiaTheme="minorHAnsi"/>
          <w:b w:val="0"/>
          <w:bCs w:val="0"/>
        </w:rPr>
        <w:t xml:space="preserve"> </w:t>
      </w:r>
      <w:r w:rsidR="00D04CD2" w:rsidRPr="001E085D">
        <w:rPr>
          <w:rStyle w:val="Strong"/>
          <w:rFonts w:eastAsiaTheme="minorHAnsi"/>
          <w:b w:val="0"/>
          <w:bCs w:val="0"/>
        </w:rPr>
        <w:t xml:space="preserve">worked to build </w:t>
      </w:r>
      <w:r w:rsidR="00D04CD2">
        <w:rPr>
          <w:rStyle w:val="Strong"/>
          <w:rFonts w:eastAsiaTheme="minorHAnsi"/>
          <w:b w:val="0"/>
          <w:bCs w:val="0"/>
        </w:rPr>
        <w:t xml:space="preserve">a strong </w:t>
      </w:r>
      <w:r w:rsidR="00D04CD2" w:rsidRPr="001E085D">
        <w:rPr>
          <w:rStyle w:val="Strong"/>
          <w:rFonts w:eastAsiaTheme="minorHAnsi"/>
          <w:b w:val="0"/>
          <w:bCs w:val="0"/>
        </w:rPr>
        <w:t xml:space="preserve">rapport </w:t>
      </w:r>
      <w:r w:rsidR="00D04CD2">
        <w:rPr>
          <w:rStyle w:val="Strong"/>
          <w:rFonts w:eastAsiaTheme="minorHAnsi"/>
          <w:b w:val="0"/>
          <w:bCs w:val="0"/>
        </w:rPr>
        <w:t xml:space="preserve">with </w:t>
      </w:r>
      <w:r w:rsidR="00D35712">
        <w:rPr>
          <w:rStyle w:val="Strong"/>
          <w:rFonts w:eastAsiaTheme="minorHAnsi"/>
          <w:b w:val="0"/>
          <w:bCs w:val="0"/>
        </w:rPr>
        <w:t xml:space="preserve">relevant </w:t>
      </w:r>
      <w:r w:rsidR="00D04CD2">
        <w:rPr>
          <w:rStyle w:val="Strong"/>
          <w:rFonts w:eastAsiaTheme="minorHAnsi"/>
          <w:b w:val="0"/>
          <w:bCs w:val="0"/>
        </w:rPr>
        <w:t>ACCHSs staff and</w:t>
      </w:r>
      <w:r w:rsidR="009763E7" w:rsidRPr="001E085D">
        <w:rPr>
          <w:rStyle w:val="Strong"/>
          <w:rFonts w:eastAsiaTheme="minorHAnsi"/>
          <w:b w:val="0"/>
        </w:rPr>
        <w:t xml:space="preserve"> </w:t>
      </w:r>
      <w:r w:rsidR="009763E7" w:rsidRPr="006760F0">
        <w:rPr>
          <w:rStyle w:val="Strong"/>
          <w:rFonts w:eastAsiaTheme="minorHAnsi"/>
          <w:b w:val="0"/>
        </w:rPr>
        <w:t>arranged a nominated ACCHS staff member to act as a ‘go to’</w:t>
      </w:r>
      <w:r w:rsidR="009763E7" w:rsidRPr="006760F0">
        <w:rPr>
          <w:rStyle w:val="Strong"/>
          <w:rFonts w:eastAsiaTheme="minorHAnsi"/>
        </w:rPr>
        <w:t xml:space="preserve"> </w:t>
      </w:r>
      <w:r w:rsidR="009763E7" w:rsidRPr="006760F0">
        <w:rPr>
          <w:lang w:eastAsia="en-AU"/>
        </w:rPr>
        <w:t xml:space="preserve">person for the </w:t>
      </w:r>
      <w:r w:rsidR="00CA448C">
        <w:rPr>
          <w:lang w:eastAsia="en-AU"/>
        </w:rPr>
        <w:t>integrated</w:t>
      </w:r>
      <w:r w:rsidR="00CA448C" w:rsidRPr="006760F0">
        <w:rPr>
          <w:lang w:eastAsia="en-AU"/>
        </w:rPr>
        <w:t xml:space="preserve"> </w:t>
      </w:r>
      <w:r w:rsidR="009763E7" w:rsidRPr="006760F0">
        <w:rPr>
          <w:lang w:eastAsia="en-AU"/>
        </w:rPr>
        <w:t xml:space="preserve">pharmacist to assist in the pharmacists’ orientation to the service.  </w:t>
      </w:r>
    </w:p>
    <w:p w14:paraId="7774FACC" w14:textId="13813725" w:rsidR="00087295" w:rsidRPr="006760F0" w:rsidRDefault="009763E7" w:rsidP="006760F0">
      <w:pPr>
        <w:rPr>
          <w:lang w:eastAsia="en-AU"/>
        </w:rPr>
      </w:pPr>
      <w:r w:rsidRPr="006760F0">
        <w:rPr>
          <w:lang w:eastAsia="en-AU"/>
        </w:rPr>
        <w:t xml:space="preserve">At the second site visit during the final three months of the implementation phase, the health system assessment was repeated to identify any changes that might impact upon the project results.  </w:t>
      </w:r>
      <w:r w:rsidRPr="006760F0">
        <w:rPr>
          <w:rFonts w:cstheme="minorHAnsi"/>
          <w:lang w:eastAsia="en-AU"/>
        </w:rPr>
        <w:t xml:space="preserve">The final visit also provided an opportunity for the project coordinator to seek feedback </w:t>
      </w:r>
      <w:r w:rsidR="00122D05">
        <w:rPr>
          <w:rFonts w:cstheme="minorHAnsi"/>
          <w:lang w:eastAsia="en-AU"/>
        </w:rPr>
        <w:t xml:space="preserve">from ACCHS staff </w:t>
      </w:r>
      <w:r w:rsidRPr="006760F0">
        <w:rPr>
          <w:rFonts w:cstheme="minorHAnsi"/>
          <w:lang w:eastAsia="en-AU"/>
        </w:rPr>
        <w:t>on the conduct of the project as well as their experience of having a pharmacist as part of the team. I</w:t>
      </w:r>
      <w:r w:rsidR="00F216E4">
        <w:rPr>
          <w:rFonts w:cstheme="minorHAnsi"/>
          <w:lang w:eastAsia="en-AU"/>
        </w:rPr>
        <w:t>n response to significant ACCHS demand, i</w:t>
      </w:r>
      <w:r w:rsidRPr="006760F0">
        <w:rPr>
          <w:rFonts w:cstheme="minorHAnsi"/>
          <w:lang w:eastAsia="en-AU"/>
        </w:rPr>
        <w:t xml:space="preserve">nformation was provided by the project coordinator about possible sources of ad-hoc funding </w:t>
      </w:r>
      <w:r w:rsidR="00F216E4">
        <w:rPr>
          <w:rFonts w:cstheme="minorHAnsi"/>
          <w:lang w:eastAsia="en-AU"/>
        </w:rPr>
        <w:t xml:space="preserve">for ACCHSs </w:t>
      </w:r>
      <w:r w:rsidRPr="006760F0">
        <w:rPr>
          <w:rFonts w:cstheme="minorHAnsi"/>
          <w:lang w:eastAsia="en-AU"/>
        </w:rPr>
        <w:t xml:space="preserve">to continue access to a pharmacist beyond the project. </w:t>
      </w:r>
    </w:p>
    <w:p w14:paraId="75FDCA89" w14:textId="4CD4BEF9" w:rsidR="0094025C" w:rsidRPr="006760F0" w:rsidRDefault="00087295" w:rsidP="006760F0">
      <w:r w:rsidRPr="006760F0">
        <w:t>Ongoing s</w:t>
      </w:r>
      <w:r w:rsidR="00555321" w:rsidRPr="006760F0">
        <w:t xml:space="preserve">upport was provided to the participating ACCHSs through communication with </w:t>
      </w:r>
      <w:r w:rsidR="00CC36BC">
        <w:t xml:space="preserve">NACCHO </w:t>
      </w:r>
      <w:r w:rsidR="00555321" w:rsidRPr="006760F0">
        <w:t>project coordinators, provision of resources</w:t>
      </w:r>
      <w:r w:rsidR="0087608F" w:rsidRPr="006760F0">
        <w:t>,</w:t>
      </w:r>
      <w:r w:rsidR="00555321" w:rsidRPr="006760F0">
        <w:t xml:space="preserve"> promotional materials and </w:t>
      </w:r>
      <w:r w:rsidR="0087608F" w:rsidRPr="006760F0">
        <w:t xml:space="preserve">information updates, and </w:t>
      </w:r>
      <w:r w:rsidR="00555321" w:rsidRPr="006760F0">
        <w:t xml:space="preserve">meetings of representatives </w:t>
      </w:r>
      <w:r w:rsidR="00DA641B" w:rsidRPr="006760F0">
        <w:t>from</w:t>
      </w:r>
      <w:r w:rsidR="00555321" w:rsidRPr="006760F0">
        <w:t xml:space="preserve"> all participating sites, jurisdictional Affiliates and NACCHO (Project Reference Group).</w:t>
      </w:r>
      <w:r w:rsidR="00DA641B" w:rsidRPr="006760F0">
        <w:rPr>
          <w:rFonts w:asciiTheme="majorHAnsi" w:hAnsiTheme="majorHAnsi" w:cstheme="majorHAnsi"/>
        </w:rPr>
        <w:t xml:space="preserve"> The report outlining the method used to select </w:t>
      </w:r>
      <w:r w:rsidR="00122D05">
        <w:rPr>
          <w:rFonts w:asciiTheme="majorHAnsi" w:hAnsiTheme="majorHAnsi" w:cstheme="majorHAnsi"/>
        </w:rPr>
        <w:t xml:space="preserve">ACCHSs </w:t>
      </w:r>
      <w:r w:rsidR="00DA641B" w:rsidRPr="006760F0">
        <w:rPr>
          <w:rFonts w:asciiTheme="majorHAnsi" w:hAnsiTheme="majorHAnsi" w:cstheme="majorHAnsi"/>
        </w:rPr>
        <w:t xml:space="preserve">and support </w:t>
      </w:r>
      <w:r w:rsidR="0087608F" w:rsidRPr="006760F0">
        <w:rPr>
          <w:rFonts w:asciiTheme="majorHAnsi" w:hAnsiTheme="majorHAnsi" w:cstheme="majorHAnsi"/>
        </w:rPr>
        <w:t xml:space="preserve">provided to </w:t>
      </w:r>
      <w:r w:rsidR="00DA641B" w:rsidRPr="006760F0">
        <w:rPr>
          <w:rFonts w:asciiTheme="majorHAnsi" w:hAnsiTheme="majorHAnsi" w:cstheme="majorHAnsi"/>
        </w:rPr>
        <w:t xml:space="preserve">participating </w:t>
      </w:r>
      <w:r w:rsidR="0087608F" w:rsidRPr="006760F0">
        <w:rPr>
          <w:rFonts w:asciiTheme="majorHAnsi" w:hAnsiTheme="majorHAnsi" w:cstheme="majorHAnsi"/>
        </w:rPr>
        <w:t>services</w:t>
      </w:r>
      <w:r w:rsidR="00DA641B" w:rsidRPr="006760F0">
        <w:rPr>
          <w:rFonts w:asciiTheme="majorHAnsi" w:hAnsiTheme="majorHAnsi" w:cstheme="majorHAnsi"/>
        </w:rPr>
        <w:t xml:space="preserve"> is included </w:t>
      </w:r>
      <w:r w:rsidR="00DA641B" w:rsidRPr="001E085D">
        <w:rPr>
          <w:rFonts w:asciiTheme="majorHAnsi" w:hAnsiTheme="majorHAnsi" w:cstheme="majorHAnsi"/>
        </w:rPr>
        <w:t xml:space="preserve">in Appendix </w:t>
      </w:r>
      <w:r w:rsidR="001E085D" w:rsidRPr="001E085D">
        <w:rPr>
          <w:rFonts w:asciiTheme="majorHAnsi" w:hAnsiTheme="majorHAnsi" w:cstheme="majorHAnsi"/>
        </w:rPr>
        <w:t>22</w:t>
      </w:r>
      <w:r w:rsidR="001E085D">
        <w:rPr>
          <w:rFonts w:asciiTheme="majorHAnsi" w:hAnsiTheme="majorHAnsi" w:cstheme="majorHAnsi"/>
        </w:rPr>
        <w:t>.</w:t>
      </w:r>
      <w:r w:rsidR="00DA641B" w:rsidRPr="006760F0">
        <w:rPr>
          <w:rFonts w:asciiTheme="majorHAnsi" w:hAnsiTheme="majorHAnsi" w:cstheme="majorHAnsi"/>
        </w:rPr>
        <w:t xml:space="preserve"> </w:t>
      </w:r>
      <w:r w:rsidR="00DA641B" w:rsidRPr="006760F0">
        <w:t xml:space="preserve"> </w:t>
      </w:r>
    </w:p>
    <w:p w14:paraId="27056A58" w14:textId="48F78831" w:rsidR="00962514" w:rsidRPr="002A09C7" w:rsidRDefault="00962514" w:rsidP="0048683E">
      <w:pPr>
        <w:pStyle w:val="Heading2"/>
      </w:pPr>
      <w:bookmarkStart w:id="36" w:name="_Toc40350079"/>
      <w:bookmarkStart w:id="37" w:name="_Toc40441061"/>
      <w:bookmarkStart w:id="38" w:name="_Toc41315606"/>
      <w:bookmarkStart w:id="39" w:name="_Toc138846251"/>
      <w:r w:rsidRPr="002A09C7">
        <w:t xml:space="preserve">Pharmacist </w:t>
      </w:r>
      <w:r w:rsidR="003507C6">
        <w:t>r</w:t>
      </w:r>
      <w:r w:rsidRPr="002A09C7">
        <w:t>ecruitment</w:t>
      </w:r>
      <w:bookmarkEnd w:id="34"/>
      <w:bookmarkEnd w:id="36"/>
      <w:bookmarkEnd w:id="37"/>
      <w:bookmarkEnd w:id="38"/>
      <w:bookmarkEnd w:id="39"/>
    </w:p>
    <w:p w14:paraId="138E1BFF" w14:textId="6241912D" w:rsidR="005F3846" w:rsidRDefault="005F3846" w:rsidP="00CF4692">
      <w:r>
        <w:t>An overview of the pharmacist r</w:t>
      </w:r>
      <w:r w:rsidRPr="00302DE4">
        <w:t xml:space="preserve">ecruitment </w:t>
      </w:r>
      <w:r>
        <w:t xml:space="preserve">process for the project is depicted in Figure </w:t>
      </w:r>
      <w:r w:rsidR="001E085D">
        <w:t>3</w:t>
      </w:r>
      <w:r>
        <w:t xml:space="preserve">. This </w:t>
      </w:r>
      <w:r w:rsidRPr="00302DE4">
        <w:t xml:space="preserve">algorithm </w:t>
      </w:r>
      <w:r>
        <w:t xml:space="preserve">was </w:t>
      </w:r>
      <w:r w:rsidRPr="00302DE4">
        <w:t xml:space="preserve">derived by the project </w:t>
      </w:r>
      <w:r>
        <w:t xml:space="preserve">operational </w:t>
      </w:r>
      <w:r w:rsidRPr="00302DE4">
        <w:t xml:space="preserve">team, consistent with the project protocol.  This guided the </w:t>
      </w:r>
      <w:r>
        <w:t xml:space="preserve">pharmacist </w:t>
      </w:r>
      <w:r w:rsidRPr="00302DE4">
        <w:t xml:space="preserve">recruitment process </w:t>
      </w:r>
      <w:r>
        <w:t xml:space="preserve">for </w:t>
      </w:r>
      <w:r w:rsidRPr="00302DE4">
        <w:t>each ACCHS.</w:t>
      </w:r>
    </w:p>
    <w:p w14:paraId="2E8D4472" w14:textId="5351A7D0" w:rsidR="00F20F7F" w:rsidRDefault="00220AFA" w:rsidP="001E085D">
      <w:r>
        <w:t>As part of ACCHS</w:t>
      </w:r>
      <w:r w:rsidR="00F20F7F">
        <w:t xml:space="preserve"> selection</w:t>
      </w:r>
      <w:r w:rsidR="005F3846">
        <w:t>,</w:t>
      </w:r>
      <w:r w:rsidR="00F20F7F">
        <w:t xml:space="preserve"> NACCHO also sought information from each </w:t>
      </w:r>
      <w:r>
        <w:t xml:space="preserve">service </w:t>
      </w:r>
      <w:r w:rsidR="00F20F7F">
        <w:t>to identify the community pharmacy(</w:t>
      </w:r>
      <w:proofErr w:type="spellStart"/>
      <w:r w:rsidR="00F20F7F">
        <w:t>ies</w:t>
      </w:r>
      <w:proofErr w:type="spellEnd"/>
      <w:r w:rsidR="00F20F7F">
        <w:t xml:space="preserve">) with whom </w:t>
      </w:r>
      <w:r>
        <w:t>they</w:t>
      </w:r>
      <w:r w:rsidR="00F20F7F">
        <w:t xml:space="preserve"> had </w:t>
      </w:r>
      <w:r w:rsidR="001634C8">
        <w:t xml:space="preserve">an </w:t>
      </w:r>
      <w:r w:rsidR="00F20F7F">
        <w:t xml:space="preserve">existing relationship. PSA engaged with these local community pharmacies and invited them to nominate suitable pharmacist candidates for all sites. </w:t>
      </w:r>
      <w:r w:rsidR="00083769">
        <w:t xml:space="preserve">In addition to approaching community pharmacy, an open call for expressions of interest was conducted by PSA Coordinators </w:t>
      </w:r>
      <w:r w:rsidR="00083769" w:rsidRPr="001731EF">
        <w:t>to generate a database of potential pharmacists interested in working within Aboriginal Community Controlled Health Services</w:t>
      </w:r>
      <w:r w:rsidR="00083769">
        <w:t>. This was done</w:t>
      </w:r>
      <w:r w:rsidR="00083769" w:rsidRPr="001731EF">
        <w:t xml:space="preserve"> via PSA and AACP newsletters, social media channels, th</w:t>
      </w:r>
      <w:r w:rsidR="00083769">
        <w:t>e N</w:t>
      </w:r>
      <w:r w:rsidR="00083769" w:rsidRPr="001731EF">
        <w:t>ACCHO/</w:t>
      </w:r>
      <w:r w:rsidR="00083769">
        <w:t>PSA ACCHS Leadership group and throughout the</w:t>
      </w:r>
      <w:r w:rsidR="00083769" w:rsidRPr="001731EF">
        <w:t xml:space="preserve"> ACCHS network via NACCHO.  </w:t>
      </w:r>
      <w:r w:rsidR="00083769">
        <w:t xml:space="preserve">Where these avenues of recruitment were not successful, advertising through mainstream online job seeking platforms was </w:t>
      </w:r>
      <w:proofErr w:type="spellStart"/>
      <w:r w:rsidR="00083769">
        <w:t>utilised</w:t>
      </w:r>
      <w:proofErr w:type="spellEnd"/>
      <w:r w:rsidR="00083769">
        <w:t xml:space="preserve"> along with active, direct scoping of candidates through known networks, hospital departments and publicly available accredited pharmacist lists. </w:t>
      </w:r>
    </w:p>
    <w:p w14:paraId="3E74E444" w14:textId="325CA8AE" w:rsidR="00987F41" w:rsidRPr="000A4693" w:rsidRDefault="00987F41" w:rsidP="00A042C9">
      <w:pPr>
        <w:pStyle w:val="Title"/>
      </w:pPr>
      <w:bookmarkStart w:id="40" w:name="_Toc42072464"/>
      <w:r w:rsidRPr="001E085D">
        <w:lastRenderedPageBreak/>
        <w:t xml:space="preserve">Figure </w:t>
      </w:r>
      <w:r w:rsidR="001E085D" w:rsidRPr="001E085D">
        <w:t>3</w:t>
      </w:r>
      <w:r w:rsidRPr="000A4693">
        <w:t xml:space="preserve">. </w:t>
      </w:r>
      <w:r w:rsidR="00F20F7F">
        <w:t xml:space="preserve">Pharmacist recruitment </w:t>
      </w:r>
      <w:r w:rsidR="005F3846">
        <w:t>algorithm.</w:t>
      </w:r>
      <w:bookmarkEnd w:id="40"/>
    </w:p>
    <w:p w14:paraId="3364F895" w14:textId="5175CFE3" w:rsidR="001634C8" w:rsidRDefault="0062584A" w:rsidP="00DA22EF">
      <w:pPr>
        <w:pStyle w:val="ListParagraph"/>
        <w:ind w:left="0"/>
        <w:rPr>
          <w:rFonts w:asciiTheme="majorHAnsi" w:eastAsia="Times New Roman" w:hAnsiTheme="majorHAnsi" w:cstheme="majorHAnsi"/>
          <w:sz w:val="20"/>
          <w:szCs w:val="20"/>
        </w:rPr>
      </w:pPr>
      <w:r>
        <w:rPr>
          <w:rFonts w:asciiTheme="majorHAnsi" w:eastAsia="Times New Roman" w:hAnsiTheme="majorHAnsi" w:cstheme="majorHAnsi"/>
          <w:noProof/>
          <w:sz w:val="20"/>
          <w:szCs w:val="20"/>
          <w:lang w:val="en-AU" w:eastAsia="en-AU"/>
        </w:rPr>
        <w:drawing>
          <wp:inline distT="0" distB="0" distL="0" distR="0" wp14:anchorId="2EC57819" wp14:editId="6C4CE07C">
            <wp:extent cx="5814060" cy="4029075"/>
            <wp:effectExtent l="0" t="0" r="0" b="9525"/>
            <wp:docPr id="41" name="Picture 41" descr="Figure 3 is a flow chart showing the pharmacist recrui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Figure 3 is a flow chart showing the pharmacist recruitment algorithm"/>
                    <pic:cNvPicPr/>
                  </pic:nvPicPr>
                  <pic:blipFill rotWithShape="1">
                    <a:blip r:embed="rId18">
                      <a:extLst>
                        <a:ext uri="{28A0092B-C50C-407E-A947-70E740481C1C}">
                          <a14:useLocalDpi xmlns:a14="http://schemas.microsoft.com/office/drawing/2010/main" val="0"/>
                        </a:ext>
                      </a:extLst>
                    </a:blip>
                    <a:srcRect l="1906" r="12023"/>
                    <a:stretch/>
                  </pic:blipFill>
                  <pic:spPr bwMode="auto">
                    <a:xfrm>
                      <a:off x="0" y="0"/>
                      <a:ext cx="5840730" cy="4047557"/>
                    </a:xfrm>
                    <a:prstGeom prst="rect">
                      <a:avLst/>
                    </a:prstGeom>
                    <a:ln>
                      <a:noFill/>
                    </a:ln>
                    <a:extLst>
                      <a:ext uri="{53640926-AAD7-44D8-BBD7-CCE9431645EC}">
                        <a14:shadowObscured xmlns:a14="http://schemas.microsoft.com/office/drawing/2010/main"/>
                      </a:ext>
                    </a:extLst>
                  </pic:spPr>
                </pic:pic>
              </a:graphicData>
            </a:graphic>
          </wp:inline>
        </w:drawing>
      </w:r>
    </w:p>
    <w:p w14:paraId="10EF8B2F" w14:textId="55DA1C88" w:rsidR="001E085D" w:rsidRDefault="001E085D" w:rsidP="001E085D">
      <w:r>
        <w:t xml:space="preserve">Figure 4 shows the source of nominations for the 26 pharmacists accepted to participate in the Project. </w:t>
      </w:r>
      <w:r w:rsidR="001634C8">
        <w:t xml:space="preserve"> </w:t>
      </w:r>
    </w:p>
    <w:p w14:paraId="50BB49EA" w14:textId="77777777" w:rsidR="001E085D" w:rsidRDefault="001E085D" w:rsidP="001E085D">
      <w:r>
        <w:t xml:space="preserve">Applicants were screened by PSA Coordinators using a checklist to </w:t>
      </w:r>
      <w:proofErr w:type="spellStart"/>
      <w:r>
        <w:t>standardise</w:t>
      </w:r>
      <w:proofErr w:type="spellEnd"/>
      <w:r>
        <w:t xml:space="preserve"> the process to shortlist candidates for each ACCHS. Staff members from each ACCHS were invited to review applications, select candidates for interview and participate in the interviewing process.  R</w:t>
      </w:r>
      <w:r w:rsidRPr="001109AD">
        <w:t>especting</w:t>
      </w:r>
      <w:r>
        <w:t xml:space="preserve"> the</w:t>
      </w:r>
      <w:r w:rsidRPr="001109AD">
        <w:t xml:space="preserve"> prin</w:t>
      </w:r>
      <w:r>
        <w:t>ciples of self-determination, each ACCHS was responsible for making the final decision on the appointment of the pharmacist.  PSA undertook checks on pharmacists’ registration status and ensured that appropriate police clearance or working with children checks (as per state specific requirements) were sighted.  Pharmacists were engaged via a subcontract through community pharmacy or an employment contract with the PSA.</w:t>
      </w:r>
    </w:p>
    <w:p w14:paraId="1EC7428F" w14:textId="3A2B9178" w:rsidR="00083769" w:rsidRDefault="00083769" w:rsidP="00A042C9">
      <w:pPr>
        <w:pStyle w:val="Title"/>
      </w:pPr>
      <w:bookmarkStart w:id="41" w:name="_Toc42072465"/>
      <w:r>
        <w:lastRenderedPageBreak/>
        <w:t xml:space="preserve">Figure </w:t>
      </w:r>
      <w:r w:rsidR="001634C8">
        <w:t>4.</w:t>
      </w:r>
      <w:r w:rsidR="00BC2DCC">
        <w:t xml:space="preserve"> Integrated Pharmacist Nomination Sources</w:t>
      </w:r>
      <w:bookmarkEnd w:id="41"/>
    </w:p>
    <w:p w14:paraId="5BCF49B2" w14:textId="06D8FC80" w:rsidR="00083769" w:rsidRDefault="00083769" w:rsidP="0005678A">
      <w:r>
        <w:rPr>
          <w:noProof/>
          <w:lang w:val="en-AU" w:eastAsia="en-AU"/>
        </w:rPr>
        <w:drawing>
          <wp:inline distT="0" distB="0" distL="0" distR="0" wp14:anchorId="4D5B6F79" wp14:editId="64B77D23">
            <wp:extent cx="4629150" cy="3504853"/>
            <wp:effectExtent l="0" t="0" r="0" b="635"/>
            <wp:docPr id="17" name="Picture 17" descr="Figure 4 'Integrated Pharmacist Nomination Sources' shows the source of nominations for pharmacists participating in the IPAC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4 'Integrated Pharmacist Nomination Sources' shows the source of nominations for pharmacists participating in the IPAC Project"/>
                    <pic:cNvPicPr/>
                  </pic:nvPicPr>
                  <pic:blipFill>
                    <a:blip r:embed="rId19">
                      <a:extLst>
                        <a:ext uri="{28A0092B-C50C-407E-A947-70E740481C1C}">
                          <a14:useLocalDpi xmlns:a14="http://schemas.microsoft.com/office/drawing/2010/main" val="0"/>
                        </a:ext>
                      </a:extLst>
                    </a:blip>
                    <a:stretch>
                      <a:fillRect/>
                    </a:stretch>
                  </pic:blipFill>
                  <pic:spPr>
                    <a:xfrm>
                      <a:off x="0" y="0"/>
                      <a:ext cx="4631769" cy="3506836"/>
                    </a:xfrm>
                    <a:prstGeom prst="rect">
                      <a:avLst/>
                    </a:prstGeom>
                  </pic:spPr>
                </pic:pic>
              </a:graphicData>
            </a:graphic>
          </wp:inline>
        </w:drawing>
      </w:r>
    </w:p>
    <w:p w14:paraId="2F2546DE" w14:textId="7C93DD77" w:rsidR="005F3846" w:rsidRDefault="005F3846" w:rsidP="0005678A">
      <w:r w:rsidRPr="00C04F13">
        <w:t xml:space="preserve">PSA </w:t>
      </w:r>
      <w:r>
        <w:t xml:space="preserve">was responsible for the performance management of the pharmacists directly employed by </w:t>
      </w:r>
      <w:proofErr w:type="gramStart"/>
      <w:r>
        <w:t>PSA, and</w:t>
      </w:r>
      <w:proofErr w:type="gramEnd"/>
      <w:r>
        <w:t xml:space="preserve"> was also responsible for overseeing the delivery of the subcontracting arrangements through community pharmacy.  PSA </w:t>
      </w:r>
      <w:proofErr w:type="spellStart"/>
      <w:r>
        <w:t>utilised</w:t>
      </w:r>
      <w:proofErr w:type="spellEnd"/>
      <w:r>
        <w:t xml:space="preserve"> regular communication with pharmacists</w:t>
      </w:r>
      <w:r w:rsidR="0005678A">
        <w:t xml:space="preserve"> </w:t>
      </w:r>
      <w:r>
        <w:t xml:space="preserve">and community pharmacy owners via phone calls and emails to provide updates regarding their activity.  Site visits conducted by PSA Coordinators provided an opportunity to undertake a </w:t>
      </w:r>
      <w:proofErr w:type="gramStart"/>
      <w:r>
        <w:t>face to face</w:t>
      </w:r>
      <w:proofErr w:type="gramEnd"/>
      <w:r>
        <w:t xml:space="preserve"> review of pharmacist performance and offer additional support to </w:t>
      </w:r>
      <w:proofErr w:type="spellStart"/>
      <w:r>
        <w:t>optimise</w:t>
      </w:r>
      <w:proofErr w:type="spellEnd"/>
      <w:r>
        <w:t xml:space="preserve"> project delivery</w:t>
      </w:r>
      <w:r w:rsidR="0005678A">
        <w:t xml:space="preserve">.  </w:t>
      </w:r>
    </w:p>
    <w:p w14:paraId="5D94D56B" w14:textId="7F4BE378" w:rsidR="005108C9" w:rsidRDefault="0005678A" w:rsidP="0005678A">
      <w:r>
        <w:t xml:space="preserve">Recruitment of 23 pharmacists enabled initial implementation of the project at all 20 participating </w:t>
      </w:r>
      <w:r w:rsidRPr="00A8143E">
        <w:t>ACCHS</w:t>
      </w:r>
      <w:r>
        <w:t>s with a total of 12.5 full time equivalent (FTE) pharmacist hours distributed across the services.</w:t>
      </w:r>
      <w:r w:rsidRPr="00A8143E">
        <w:t xml:space="preserve"> </w:t>
      </w:r>
      <w:r>
        <w:t xml:space="preserve">Pharmacist time was apportioned between </w:t>
      </w:r>
      <w:r w:rsidRPr="00A8143E">
        <w:t xml:space="preserve">0.2 and 1.4 </w:t>
      </w:r>
      <w:r>
        <w:t xml:space="preserve">FTE </w:t>
      </w:r>
      <w:r w:rsidR="00777D96">
        <w:t xml:space="preserve">across the ACCHSs </w:t>
      </w:r>
      <w:r w:rsidRPr="00A8143E">
        <w:t>according to patient numbers and the capacity of both the pharmacists and health service</w:t>
      </w:r>
      <w:r>
        <w:t xml:space="preserve">.  </w:t>
      </w:r>
      <w:r w:rsidR="00C534C4">
        <w:t xml:space="preserve">Pharmacist FTE was reallocated throughout the project following pharmacist turnover and </w:t>
      </w:r>
      <w:r>
        <w:t>ACCHSs not continuing with the intervention</w:t>
      </w:r>
      <w:r w:rsidR="00C534C4">
        <w:t xml:space="preserve">.  </w:t>
      </w:r>
      <w:r w:rsidR="00C534C4" w:rsidRPr="00D140B8">
        <w:t xml:space="preserve">Reallocation of pharmacist FTE </w:t>
      </w:r>
      <w:r w:rsidR="00C534C4">
        <w:t xml:space="preserve">aimed to </w:t>
      </w:r>
      <w:proofErr w:type="spellStart"/>
      <w:r w:rsidR="00C534C4" w:rsidRPr="00D140B8">
        <w:t>maximise</w:t>
      </w:r>
      <w:proofErr w:type="spellEnd"/>
      <w:r w:rsidR="00C534C4" w:rsidRPr="00D140B8">
        <w:t xml:space="preserve"> data capture with the </w:t>
      </w:r>
      <w:r w:rsidR="00991755">
        <w:t>implementation</w:t>
      </w:r>
      <w:r w:rsidR="00C534C4" w:rsidRPr="00D140B8">
        <w:t xml:space="preserve"> phase</w:t>
      </w:r>
      <w:r w:rsidR="00DB07B6">
        <w:t>.</w:t>
      </w:r>
      <w:r w:rsidR="00C534C4">
        <w:t xml:space="preserve"> </w:t>
      </w:r>
      <w:r>
        <w:t xml:space="preserve">A total of </w:t>
      </w:r>
      <w:r w:rsidRPr="00435F89">
        <w:t>26 pharmacists</w:t>
      </w:r>
      <w:r>
        <w:t xml:space="preserve"> </w:t>
      </w:r>
      <w:r w:rsidR="00777D96">
        <w:t xml:space="preserve">were involved in delivering integrated services </w:t>
      </w:r>
      <w:r w:rsidR="005108C9">
        <w:t xml:space="preserve">in ACCHSs </w:t>
      </w:r>
      <w:r w:rsidR="00C534C4">
        <w:t xml:space="preserve">resulting in overall delivery of 12.3 FTE throughout the implementation phase </w:t>
      </w:r>
      <w:r w:rsidR="00C534C4" w:rsidRPr="001634C8">
        <w:t xml:space="preserve">(Table </w:t>
      </w:r>
      <w:r w:rsidR="00752E49">
        <w:t>2</w:t>
      </w:r>
      <w:r w:rsidR="00C534C4" w:rsidRPr="001634C8">
        <w:t>).</w:t>
      </w:r>
      <w:r w:rsidR="00C534C4">
        <w:t xml:space="preserve">  </w:t>
      </w:r>
    </w:p>
    <w:p w14:paraId="40D22103" w14:textId="0CD4FB48" w:rsidR="00BA02CD" w:rsidRDefault="0005678A" w:rsidP="00BA02CD">
      <w:r w:rsidRPr="005D67A3">
        <w:t>In all sites where community pharmacy nominated a candidate for the role, a community pharmacy nominated candidate was appointed</w:t>
      </w:r>
      <w:r w:rsidR="00BA02CD" w:rsidRPr="005D67A3">
        <w:t xml:space="preserve"> to the role</w:t>
      </w:r>
      <w:r w:rsidR="00170AB3">
        <w:t xml:space="preserve"> with </w:t>
      </w:r>
      <w:r w:rsidR="00D15298">
        <w:t>t</w:t>
      </w:r>
      <w:r w:rsidR="00BA02CD" w:rsidRPr="005D67A3">
        <w:t xml:space="preserve">he employment arrangement </w:t>
      </w:r>
      <w:r w:rsidR="00170AB3">
        <w:t xml:space="preserve">being </w:t>
      </w:r>
      <w:r w:rsidR="00BA02CD" w:rsidRPr="005D67A3">
        <w:t>either via a subcontract with the community pharmacy or directly with PSA as per the preference of the community pharmacy owner or, in keeping with principles of self-determination, at the request of the health service.</w:t>
      </w:r>
    </w:p>
    <w:p w14:paraId="115F238F" w14:textId="4CF0D62A" w:rsidR="0005678A" w:rsidRDefault="0005678A" w:rsidP="0005678A">
      <w:pPr>
        <w:rPr>
          <w:rFonts w:asciiTheme="majorHAnsi" w:eastAsia="Times New Roman" w:hAnsiTheme="majorHAnsi" w:cstheme="majorHAnsi"/>
          <w:b/>
          <w:sz w:val="20"/>
          <w:szCs w:val="20"/>
        </w:rPr>
      </w:pPr>
      <w:r w:rsidRPr="00A8143E">
        <w:t xml:space="preserve">Seven pharmacists were employed under subcontract with community pharmacy, with the remaining 19 pharmacists employed directly by PSA.  </w:t>
      </w:r>
      <w:r w:rsidR="00346145">
        <w:t xml:space="preserve">Of the 26 pharmacists employed over the duration of the IPAC project, 21 were female and 5 were male.  </w:t>
      </w:r>
      <w:r w:rsidR="00346145" w:rsidRPr="00B40473">
        <w:t>At the time of being appointed to the role,</w:t>
      </w:r>
      <w:r w:rsidR="00346145">
        <w:t xml:space="preserve"> </w:t>
      </w:r>
      <w:r w:rsidR="00346145" w:rsidRPr="00B40473">
        <w:t>19 of the pharmacists were accredited</w:t>
      </w:r>
      <w:r w:rsidR="00346145">
        <w:t xml:space="preserve"> to conduct medication management reviews</w:t>
      </w:r>
      <w:r w:rsidR="00346145" w:rsidRPr="00B40473">
        <w:t xml:space="preserve">, with another pharmacist gaining accreditation during the project.  An additional </w:t>
      </w:r>
      <w:r w:rsidR="00346145">
        <w:t>two</w:t>
      </w:r>
      <w:r w:rsidR="00346145" w:rsidRPr="00B40473">
        <w:t xml:space="preserve"> pharmacists have completed their accreditation since the end </w:t>
      </w:r>
      <w:r w:rsidR="00346145">
        <w:t>of the project, while a further two</w:t>
      </w:r>
      <w:r w:rsidR="00346145" w:rsidRPr="00B40473">
        <w:t xml:space="preserve"> pharmacists who were not accredited have commenced studies to become Credentialed Diabetes Educators.</w:t>
      </w:r>
      <w:r w:rsidR="00346145">
        <w:t xml:space="preserve">  </w:t>
      </w:r>
      <w:r w:rsidR="00EF2943">
        <w:t xml:space="preserve">For further information, see </w:t>
      </w:r>
      <w:r w:rsidR="00EF2943" w:rsidRPr="00E63BBF">
        <w:rPr>
          <w:rFonts w:asciiTheme="majorHAnsi" w:hAnsiTheme="majorHAnsi" w:cstheme="majorHAnsi"/>
        </w:rPr>
        <w:t xml:space="preserve">Appendix </w:t>
      </w:r>
      <w:r w:rsidR="00E63BBF">
        <w:rPr>
          <w:rFonts w:asciiTheme="majorHAnsi" w:hAnsiTheme="majorHAnsi" w:cstheme="majorHAnsi"/>
        </w:rPr>
        <w:t>19</w:t>
      </w:r>
      <w:r w:rsidR="00EF2943">
        <w:rPr>
          <w:rFonts w:asciiTheme="majorHAnsi" w:hAnsiTheme="majorHAnsi" w:cstheme="majorHAnsi"/>
        </w:rPr>
        <w:t xml:space="preserve"> - Pharmacist Recruitment Report</w:t>
      </w:r>
      <w:r w:rsidR="00E63BBF">
        <w:rPr>
          <w:rFonts w:asciiTheme="majorHAnsi" w:hAnsiTheme="majorHAnsi" w:cstheme="majorHAnsi"/>
        </w:rPr>
        <w:t xml:space="preserve"> (PSA)</w:t>
      </w:r>
      <w:r w:rsidR="00EF2943" w:rsidRPr="009A5914">
        <w:rPr>
          <w:rFonts w:asciiTheme="majorHAnsi" w:hAnsiTheme="majorHAnsi" w:cstheme="majorHAnsi"/>
        </w:rPr>
        <w:t>.</w:t>
      </w:r>
    </w:p>
    <w:p w14:paraId="441C8059" w14:textId="3F7ED216" w:rsidR="005F3846" w:rsidRPr="003F03B1" w:rsidRDefault="005F3846" w:rsidP="006C152D">
      <w:pPr>
        <w:pStyle w:val="TableParagraph"/>
      </w:pPr>
      <w:bookmarkStart w:id="42" w:name="_Toc43820205"/>
      <w:r w:rsidRPr="003F03B1">
        <w:lastRenderedPageBreak/>
        <w:t xml:space="preserve">Table </w:t>
      </w:r>
      <w:r w:rsidR="00752E49">
        <w:t>2</w:t>
      </w:r>
      <w:r w:rsidRPr="003F03B1">
        <w:t xml:space="preserve">. </w:t>
      </w:r>
      <w:r>
        <w:t xml:space="preserve">Number of </w:t>
      </w:r>
      <w:r w:rsidRPr="003F03B1">
        <w:t>ACCHS</w:t>
      </w:r>
      <w:r>
        <w:t>s</w:t>
      </w:r>
      <w:r w:rsidRPr="003F03B1">
        <w:t xml:space="preserve"> and pharmacists via employment method </w:t>
      </w:r>
      <w:r w:rsidR="00BA02CD">
        <w:t xml:space="preserve">throughout </w:t>
      </w:r>
      <w:r w:rsidR="00777D96">
        <w:t xml:space="preserve">the </w:t>
      </w:r>
      <w:r>
        <w:t>implementation</w:t>
      </w:r>
      <w:r w:rsidRPr="003F03B1">
        <w:t xml:space="preserve"> phase</w:t>
      </w:r>
      <w:r>
        <w:t>, by jurisdiction</w:t>
      </w:r>
      <w:r w:rsidR="00777D96">
        <w:t>.</w:t>
      </w:r>
      <w:bookmarkEnd w:id="42"/>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28"/>
        <w:gridCol w:w="1487"/>
        <w:gridCol w:w="1487"/>
        <w:gridCol w:w="1487"/>
        <w:gridCol w:w="1487"/>
        <w:gridCol w:w="1487"/>
      </w:tblGrid>
      <w:tr w:rsidR="005F3846" w:rsidRPr="009A5860" w14:paraId="0336D91F" w14:textId="77777777" w:rsidTr="00121774">
        <w:trPr>
          <w:trHeight w:val="712"/>
          <w:tblHeader/>
        </w:trPr>
        <w:tc>
          <w:tcPr>
            <w:tcW w:w="1928" w:type="dxa"/>
            <w:shd w:val="clear" w:color="auto" w:fill="auto"/>
            <w:noWrap/>
            <w:hideMark/>
          </w:tcPr>
          <w:p w14:paraId="1474BE09" w14:textId="77777777" w:rsidR="005F3846" w:rsidRPr="003F03B1" w:rsidRDefault="005F3846" w:rsidP="00EA6069">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States</w:t>
            </w:r>
          </w:p>
        </w:tc>
        <w:tc>
          <w:tcPr>
            <w:tcW w:w="1487" w:type="dxa"/>
            <w:shd w:val="clear" w:color="auto" w:fill="auto"/>
            <w:hideMark/>
          </w:tcPr>
          <w:p w14:paraId="5DAB21BB"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Final number of ACCHSs involved</w:t>
            </w:r>
          </w:p>
        </w:tc>
        <w:tc>
          <w:tcPr>
            <w:tcW w:w="1487" w:type="dxa"/>
            <w:shd w:val="clear" w:color="auto" w:fill="auto"/>
            <w:hideMark/>
          </w:tcPr>
          <w:p w14:paraId="0939E132"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FTE Allocated</w:t>
            </w:r>
          </w:p>
        </w:tc>
        <w:tc>
          <w:tcPr>
            <w:tcW w:w="1487" w:type="dxa"/>
            <w:shd w:val="clear" w:color="auto" w:fill="auto"/>
            <w:noWrap/>
            <w:hideMark/>
          </w:tcPr>
          <w:p w14:paraId="0C8101FA"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Pharmacists</w:t>
            </w:r>
          </w:p>
        </w:tc>
        <w:tc>
          <w:tcPr>
            <w:tcW w:w="1487" w:type="dxa"/>
            <w:shd w:val="clear" w:color="auto" w:fill="auto"/>
            <w:noWrap/>
            <w:hideMark/>
          </w:tcPr>
          <w:p w14:paraId="4C3579E2"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PSA employed</w:t>
            </w:r>
          </w:p>
        </w:tc>
        <w:tc>
          <w:tcPr>
            <w:tcW w:w="1487" w:type="dxa"/>
            <w:shd w:val="clear" w:color="auto" w:fill="auto"/>
            <w:noWrap/>
            <w:hideMark/>
          </w:tcPr>
          <w:p w14:paraId="3A91B76E"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Community pharmacy subcontracted pharmacists</w:t>
            </w:r>
          </w:p>
        </w:tc>
      </w:tr>
      <w:tr w:rsidR="005F3846" w:rsidRPr="009A5860" w14:paraId="48A57260" w14:textId="77777777" w:rsidTr="00E63BBF">
        <w:trPr>
          <w:trHeight w:val="356"/>
        </w:trPr>
        <w:tc>
          <w:tcPr>
            <w:tcW w:w="1928" w:type="dxa"/>
            <w:shd w:val="clear" w:color="auto" w:fill="auto"/>
            <w:noWrap/>
            <w:hideMark/>
          </w:tcPr>
          <w:p w14:paraId="6A342BC9" w14:textId="77777777" w:rsidR="005F3846" w:rsidRPr="003F03B1" w:rsidRDefault="005F3846" w:rsidP="00EA6069">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Northern Territory</w:t>
            </w:r>
          </w:p>
        </w:tc>
        <w:tc>
          <w:tcPr>
            <w:tcW w:w="1487" w:type="dxa"/>
            <w:shd w:val="clear" w:color="auto" w:fill="auto"/>
            <w:noWrap/>
            <w:hideMark/>
          </w:tcPr>
          <w:p w14:paraId="6E80C0B2"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5</w:t>
            </w:r>
          </w:p>
        </w:tc>
        <w:tc>
          <w:tcPr>
            <w:tcW w:w="1487" w:type="dxa"/>
            <w:shd w:val="clear" w:color="auto" w:fill="auto"/>
            <w:noWrap/>
            <w:hideMark/>
          </w:tcPr>
          <w:p w14:paraId="5C6D551D"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4.6</w:t>
            </w:r>
          </w:p>
        </w:tc>
        <w:tc>
          <w:tcPr>
            <w:tcW w:w="1487" w:type="dxa"/>
            <w:shd w:val="clear" w:color="auto" w:fill="auto"/>
            <w:noWrap/>
            <w:hideMark/>
          </w:tcPr>
          <w:p w14:paraId="69671B77" w14:textId="60E65B36" w:rsidR="005F3846" w:rsidRPr="003F03B1" w:rsidRDefault="00BA02CD" w:rsidP="00EA6069">
            <w:pPr>
              <w:widowControl/>
              <w:spacing w:line="240" w:lineRule="auto"/>
              <w:jc w:val="center"/>
              <w:rPr>
                <w:rFonts w:eastAsia="Times New Roman" w:cs="Calibri"/>
                <w:color w:val="000000"/>
                <w:sz w:val="20"/>
                <w:szCs w:val="20"/>
                <w:lang w:val="en-AU" w:eastAsia="en-AU"/>
              </w:rPr>
            </w:pPr>
            <w:r w:rsidRPr="00E63BBF">
              <w:rPr>
                <w:rFonts w:eastAsia="Times New Roman" w:cs="Calibri"/>
                <w:color w:val="000000"/>
                <w:sz w:val="20"/>
                <w:szCs w:val="20"/>
                <w:lang w:val="en-AU" w:eastAsia="en-AU"/>
              </w:rPr>
              <w:t>8</w:t>
            </w:r>
          </w:p>
        </w:tc>
        <w:tc>
          <w:tcPr>
            <w:tcW w:w="1487" w:type="dxa"/>
            <w:shd w:val="clear" w:color="auto" w:fill="auto"/>
            <w:noWrap/>
            <w:hideMark/>
          </w:tcPr>
          <w:p w14:paraId="33958D95"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3</w:t>
            </w:r>
          </w:p>
        </w:tc>
        <w:tc>
          <w:tcPr>
            <w:tcW w:w="1487" w:type="dxa"/>
            <w:shd w:val="clear" w:color="auto" w:fill="auto"/>
            <w:noWrap/>
            <w:hideMark/>
          </w:tcPr>
          <w:p w14:paraId="0B654F72"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5</w:t>
            </w:r>
          </w:p>
        </w:tc>
      </w:tr>
      <w:tr w:rsidR="005F3846" w:rsidRPr="009A5860" w14:paraId="19F7E9E1" w14:textId="77777777" w:rsidTr="00E63BBF">
        <w:trPr>
          <w:trHeight w:val="356"/>
        </w:trPr>
        <w:tc>
          <w:tcPr>
            <w:tcW w:w="1928" w:type="dxa"/>
            <w:shd w:val="clear" w:color="auto" w:fill="auto"/>
            <w:noWrap/>
            <w:hideMark/>
          </w:tcPr>
          <w:p w14:paraId="0E219BED" w14:textId="77777777" w:rsidR="005F3846" w:rsidRPr="003F03B1" w:rsidRDefault="005F3846" w:rsidP="00EA6069">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Queensland</w:t>
            </w:r>
          </w:p>
        </w:tc>
        <w:tc>
          <w:tcPr>
            <w:tcW w:w="1487" w:type="dxa"/>
            <w:shd w:val="clear" w:color="auto" w:fill="auto"/>
            <w:noWrap/>
            <w:hideMark/>
          </w:tcPr>
          <w:p w14:paraId="3A679EC7"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7</w:t>
            </w:r>
          </w:p>
        </w:tc>
        <w:tc>
          <w:tcPr>
            <w:tcW w:w="1487" w:type="dxa"/>
            <w:shd w:val="clear" w:color="auto" w:fill="auto"/>
            <w:noWrap/>
            <w:hideMark/>
          </w:tcPr>
          <w:p w14:paraId="3442FD4E"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5.1</w:t>
            </w:r>
          </w:p>
        </w:tc>
        <w:tc>
          <w:tcPr>
            <w:tcW w:w="1487" w:type="dxa"/>
            <w:shd w:val="clear" w:color="auto" w:fill="auto"/>
            <w:noWrap/>
            <w:hideMark/>
          </w:tcPr>
          <w:p w14:paraId="08FC57FB"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9</w:t>
            </w:r>
          </w:p>
        </w:tc>
        <w:tc>
          <w:tcPr>
            <w:tcW w:w="1487" w:type="dxa"/>
            <w:shd w:val="clear" w:color="auto" w:fill="auto"/>
            <w:noWrap/>
            <w:hideMark/>
          </w:tcPr>
          <w:p w14:paraId="53C7E5F7"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7</w:t>
            </w:r>
          </w:p>
        </w:tc>
        <w:tc>
          <w:tcPr>
            <w:tcW w:w="1487" w:type="dxa"/>
            <w:shd w:val="clear" w:color="auto" w:fill="auto"/>
            <w:noWrap/>
            <w:hideMark/>
          </w:tcPr>
          <w:p w14:paraId="36CE0DE5"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2</w:t>
            </w:r>
          </w:p>
        </w:tc>
      </w:tr>
      <w:tr w:rsidR="005F3846" w:rsidRPr="009A5860" w14:paraId="256B0A11" w14:textId="77777777" w:rsidTr="00E63BBF">
        <w:trPr>
          <w:trHeight w:val="356"/>
        </w:trPr>
        <w:tc>
          <w:tcPr>
            <w:tcW w:w="1928" w:type="dxa"/>
            <w:shd w:val="clear" w:color="auto" w:fill="auto"/>
            <w:noWrap/>
            <w:hideMark/>
          </w:tcPr>
          <w:p w14:paraId="56D40E7D" w14:textId="77777777" w:rsidR="005F3846" w:rsidRPr="003F03B1" w:rsidRDefault="005F3846" w:rsidP="00EA6069">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Victoria</w:t>
            </w:r>
          </w:p>
        </w:tc>
        <w:tc>
          <w:tcPr>
            <w:tcW w:w="1487" w:type="dxa"/>
            <w:shd w:val="clear" w:color="auto" w:fill="auto"/>
            <w:noWrap/>
            <w:hideMark/>
          </w:tcPr>
          <w:p w14:paraId="203CC2A1"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6</w:t>
            </w:r>
          </w:p>
        </w:tc>
        <w:tc>
          <w:tcPr>
            <w:tcW w:w="1487" w:type="dxa"/>
            <w:shd w:val="clear" w:color="auto" w:fill="auto"/>
            <w:noWrap/>
            <w:hideMark/>
          </w:tcPr>
          <w:p w14:paraId="56035F92"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2.6</w:t>
            </w:r>
          </w:p>
        </w:tc>
        <w:tc>
          <w:tcPr>
            <w:tcW w:w="1487" w:type="dxa"/>
            <w:shd w:val="clear" w:color="auto" w:fill="auto"/>
            <w:noWrap/>
            <w:hideMark/>
          </w:tcPr>
          <w:p w14:paraId="5A765002" w14:textId="757BF2A4" w:rsidR="005F3846" w:rsidRPr="003F03B1" w:rsidRDefault="00BA02CD" w:rsidP="00EA6069">
            <w:pPr>
              <w:widowControl/>
              <w:spacing w:line="240" w:lineRule="auto"/>
              <w:jc w:val="center"/>
              <w:rPr>
                <w:rFonts w:eastAsia="Times New Roman" w:cs="Calibri"/>
                <w:color w:val="000000"/>
                <w:sz w:val="20"/>
                <w:szCs w:val="20"/>
                <w:lang w:val="en-AU" w:eastAsia="en-AU"/>
              </w:rPr>
            </w:pPr>
            <w:r w:rsidRPr="00E63BBF">
              <w:rPr>
                <w:rFonts w:eastAsia="Times New Roman" w:cs="Calibri"/>
                <w:color w:val="000000"/>
                <w:sz w:val="20"/>
                <w:szCs w:val="20"/>
                <w:lang w:val="en-AU" w:eastAsia="en-AU"/>
              </w:rPr>
              <w:t>9</w:t>
            </w:r>
          </w:p>
        </w:tc>
        <w:tc>
          <w:tcPr>
            <w:tcW w:w="1487" w:type="dxa"/>
            <w:shd w:val="clear" w:color="auto" w:fill="auto"/>
            <w:noWrap/>
            <w:hideMark/>
          </w:tcPr>
          <w:p w14:paraId="07E8531E"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9</w:t>
            </w:r>
          </w:p>
        </w:tc>
        <w:tc>
          <w:tcPr>
            <w:tcW w:w="1487" w:type="dxa"/>
            <w:shd w:val="clear" w:color="auto" w:fill="auto"/>
            <w:noWrap/>
            <w:hideMark/>
          </w:tcPr>
          <w:p w14:paraId="76C95912" w14:textId="77777777" w:rsidR="005F3846" w:rsidRPr="003F03B1" w:rsidRDefault="005F3846" w:rsidP="00EA6069">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0</w:t>
            </w:r>
          </w:p>
        </w:tc>
      </w:tr>
      <w:tr w:rsidR="005F3846" w:rsidRPr="009A5860" w14:paraId="4D2AE311" w14:textId="77777777" w:rsidTr="00E63BBF">
        <w:trPr>
          <w:trHeight w:val="356"/>
        </w:trPr>
        <w:tc>
          <w:tcPr>
            <w:tcW w:w="1928" w:type="dxa"/>
            <w:shd w:val="clear" w:color="auto" w:fill="auto"/>
            <w:noWrap/>
            <w:hideMark/>
          </w:tcPr>
          <w:p w14:paraId="166DF1D7" w14:textId="67E0C18F" w:rsidR="005F3846" w:rsidRPr="003F03B1" w:rsidRDefault="00E63BBF" w:rsidP="00C534C4">
            <w:pPr>
              <w:widowControl/>
              <w:spacing w:line="240" w:lineRule="auto"/>
              <w:rPr>
                <w:rFonts w:eastAsia="Times New Roman" w:cs="Calibri"/>
                <w:b/>
                <w:bCs/>
                <w:color w:val="000000"/>
                <w:sz w:val="20"/>
                <w:szCs w:val="20"/>
                <w:lang w:val="en-AU" w:eastAsia="en-AU"/>
              </w:rPr>
            </w:pPr>
            <w:r>
              <w:rPr>
                <w:rFonts w:eastAsia="Times New Roman" w:cs="Calibri"/>
                <w:b/>
                <w:bCs/>
                <w:color w:val="000000"/>
                <w:sz w:val="20"/>
                <w:szCs w:val="20"/>
                <w:lang w:val="en-AU" w:eastAsia="en-AU"/>
              </w:rPr>
              <w:t>Total</w:t>
            </w:r>
          </w:p>
        </w:tc>
        <w:tc>
          <w:tcPr>
            <w:tcW w:w="1487" w:type="dxa"/>
            <w:shd w:val="clear" w:color="auto" w:fill="auto"/>
            <w:hideMark/>
          </w:tcPr>
          <w:p w14:paraId="12E37969"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18</w:t>
            </w:r>
          </w:p>
        </w:tc>
        <w:tc>
          <w:tcPr>
            <w:tcW w:w="1487" w:type="dxa"/>
            <w:shd w:val="clear" w:color="auto" w:fill="auto"/>
            <w:hideMark/>
          </w:tcPr>
          <w:p w14:paraId="3BB55C61"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12.3</w:t>
            </w:r>
          </w:p>
        </w:tc>
        <w:tc>
          <w:tcPr>
            <w:tcW w:w="1487" w:type="dxa"/>
            <w:shd w:val="clear" w:color="auto" w:fill="auto"/>
            <w:hideMark/>
          </w:tcPr>
          <w:p w14:paraId="37A5C7A9" w14:textId="115BF0CA" w:rsidR="005F3846" w:rsidRPr="003F03B1" w:rsidRDefault="005F3846" w:rsidP="00EA6069">
            <w:pPr>
              <w:widowControl/>
              <w:spacing w:line="240" w:lineRule="auto"/>
              <w:jc w:val="center"/>
              <w:rPr>
                <w:rFonts w:eastAsia="Times New Roman" w:cs="Calibri"/>
                <w:b/>
                <w:bCs/>
                <w:color w:val="000000"/>
                <w:sz w:val="20"/>
                <w:szCs w:val="20"/>
                <w:lang w:val="en-AU" w:eastAsia="en-AU"/>
              </w:rPr>
            </w:pPr>
            <w:r w:rsidRPr="003F49C5">
              <w:rPr>
                <w:rFonts w:eastAsia="Times New Roman" w:cs="Calibri"/>
                <w:b/>
                <w:bCs/>
                <w:color w:val="000000"/>
                <w:sz w:val="20"/>
                <w:szCs w:val="20"/>
                <w:lang w:val="en-AU" w:eastAsia="en-AU"/>
              </w:rPr>
              <w:t>2</w:t>
            </w:r>
            <w:r w:rsidR="00BA02CD" w:rsidRPr="00E63BBF">
              <w:rPr>
                <w:rFonts w:eastAsia="Times New Roman" w:cs="Calibri"/>
                <w:b/>
                <w:bCs/>
                <w:color w:val="000000"/>
                <w:sz w:val="20"/>
                <w:szCs w:val="20"/>
                <w:lang w:val="en-AU" w:eastAsia="en-AU"/>
              </w:rPr>
              <w:t>6</w:t>
            </w:r>
          </w:p>
        </w:tc>
        <w:tc>
          <w:tcPr>
            <w:tcW w:w="1487" w:type="dxa"/>
            <w:shd w:val="clear" w:color="auto" w:fill="auto"/>
            <w:hideMark/>
          </w:tcPr>
          <w:p w14:paraId="6DE970BD"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19</w:t>
            </w:r>
          </w:p>
        </w:tc>
        <w:tc>
          <w:tcPr>
            <w:tcW w:w="1487" w:type="dxa"/>
            <w:shd w:val="clear" w:color="auto" w:fill="auto"/>
            <w:hideMark/>
          </w:tcPr>
          <w:p w14:paraId="2F96F467" w14:textId="77777777" w:rsidR="005F3846" w:rsidRPr="003F03B1" w:rsidRDefault="005F3846" w:rsidP="00EA6069">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7</w:t>
            </w:r>
          </w:p>
        </w:tc>
      </w:tr>
    </w:tbl>
    <w:p w14:paraId="7DB13BB9" w14:textId="49BB4362" w:rsidR="00642163" w:rsidRDefault="00EF2943" w:rsidP="00760DB6">
      <w:r>
        <w:t>A comprehensive i</w:t>
      </w:r>
      <w:r w:rsidR="005F3846">
        <w:t xml:space="preserve">nduction training </w:t>
      </w:r>
      <w:r w:rsidR="00F4734B">
        <w:t xml:space="preserve">program </w:t>
      </w:r>
      <w:r>
        <w:t xml:space="preserve">was facilitated </w:t>
      </w:r>
      <w:r w:rsidR="005F3846">
        <w:t xml:space="preserve">by PSA Coordinators </w:t>
      </w:r>
      <w:r>
        <w:t>for pharmacists</w:t>
      </w:r>
      <w:bookmarkStart w:id="43" w:name="_Toc35513587"/>
      <w:r>
        <w:t xml:space="preserve">.  </w:t>
      </w:r>
      <w:r w:rsidR="00760DB6">
        <w:t xml:space="preserve">It was tailored to ensure that participating integrated pharmacists would have the necessary skills to work within diverse ACCHS settings in a </w:t>
      </w:r>
      <w:proofErr w:type="gramStart"/>
      <w:r w:rsidR="00760DB6">
        <w:t>culturally-responsive</w:t>
      </w:r>
      <w:proofErr w:type="gramEnd"/>
      <w:r w:rsidR="00760DB6">
        <w:t xml:space="preserve"> manner to deliver the core roles and to capture relevant data for evaluation. </w:t>
      </w:r>
      <w:r w:rsidR="00417493">
        <w:t xml:space="preserve">The training </w:t>
      </w:r>
      <w:r w:rsidR="00963810">
        <w:t>involved</w:t>
      </w:r>
      <w:r w:rsidR="00417493">
        <w:t xml:space="preserve"> </w:t>
      </w:r>
      <w:r w:rsidR="00F4734B">
        <w:t xml:space="preserve">preparatory </w:t>
      </w:r>
      <w:r w:rsidR="00417493">
        <w:t xml:space="preserve">pre-reading including </w:t>
      </w:r>
      <w:r w:rsidR="00F4734B">
        <w:t>components</w:t>
      </w:r>
      <w:r w:rsidR="00417493">
        <w:t xml:space="preserve"> of the project protocol, </w:t>
      </w:r>
      <w:r w:rsidR="00963810">
        <w:t>learning about the 6</w:t>
      </w:r>
      <w:r w:rsidR="00963810" w:rsidRPr="00CF4692">
        <w:rPr>
          <w:vertAlign w:val="superscript"/>
        </w:rPr>
        <w:t>th</w:t>
      </w:r>
      <w:r w:rsidR="00963810">
        <w:t xml:space="preserve"> Community Pharmacy Agreement rules </w:t>
      </w:r>
      <w:r w:rsidR="00963810" w:rsidRPr="00315CF2">
        <w:rPr>
          <w:rFonts w:cs="Arial"/>
        </w:rPr>
        <w:t>related to Aboriginal and Torres Strait Islander programs</w:t>
      </w:r>
      <w:r w:rsidR="00963810">
        <w:rPr>
          <w:rFonts w:cs="Arial"/>
        </w:rPr>
        <w:t xml:space="preserve">, and </w:t>
      </w:r>
      <w:r w:rsidR="00963810" w:rsidRPr="00315CF2">
        <w:rPr>
          <w:rFonts w:cs="Arial"/>
        </w:rPr>
        <w:t xml:space="preserve">a series of online learning modules selected by PSA Coordinators for their </w:t>
      </w:r>
      <w:r w:rsidR="00963810" w:rsidRPr="00315CF2">
        <w:t xml:space="preserve">relevance to chronic disease management services in Aboriginal and Torres Strait Islander primary healthcare settings and working in an integrated team environment. </w:t>
      </w:r>
    </w:p>
    <w:p w14:paraId="0686B920" w14:textId="67BDF319" w:rsidR="00EF2943" w:rsidRDefault="00EF2943" w:rsidP="001E0F82">
      <w:pPr>
        <w:rPr>
          <w:rFonts w:cs="Arial"/>
        </w:rPr>
      </w:pPr>
      <w:r>
        <w:rPr>
          <w:rFonts w:cs="Arial"/>
        </w:rPr>
        <w:t>Induction t</w:t>
      </w:r>
      <w:r w:rsidR="00642163" w:rsidRPr="00315CF2">
        <w:rPr>
          <w:rFonts w:cs="Arial"/>
        </w:rPr>
        <w:t xml:space="preserve">raining </w:t>
      </w:r>
      <w:r w:rsidR="00642163">
        <w:t xml:space="preserve">was </w:t>
      </w:r>
      <w:r>
        <w:t xml:space="preserve">delivered through </w:t>
      </w:r>
      <w:proofErr w:type="gramStart"/>
      <w:r w:rsidRPr="00315CF2">
        <w:rPr>
          <w:rFonts w:cs="Arial"/>
        </w:rPr>
        <w:t>two day</w:t>
      </w:r>
      <w:proofErr w:type="gramEnd"/>
      <w:r w:rsidRPr="00315CF2">
        <w:rPr>
          <w:rFonts w:cs="Arial"/>
        </w:rPr>
        <w:t xml:space="preserve"> workshops </w:t>
      </w:r>
      <w:r w:rsidR="00642163" w:rsidRPr="00315CF2">
        <w:rPr>
          <w:rFonts w:cs="Arial"/>
        </w:rPr>
        <w:t>as facilitated face to face group sessions in Sydney, Melbourne and Brisbane</w:t>
      </w:r>
      <w:r>
        <w:rPr>
          <w:rFonts w:cs="Arial"/>
        </w:rPr>
        <w:t xml:space="preserve"> </w:t>
      </w:r>
      <w:r w:rsidRPr="00E63BBF">
        <w:rPr>
          <w:rFonts w:cs="Arial"/>
        </w:rPr>
        <w:t xml:space="preserve">(Table </w:t>
      </w:r>
      <w:r w:rsidR="00752E49">
        <w:rPr>
          <w:rFonts w:cs="Arial"/>
        </w:rPr>
        <w:t>3</w:t>
      </w:r>
      <w:r w:rsidRPr="00E63BBF">
        <w:rPr>
          <w:rFonts w:cs="Arial"/>
        </w:rPr>
        <w:t>)</w:t>
      </w:r>
      <w:r w:rsidR="00642163" w:rsidRPr="00E63BBF">
        <w:rPr>
          <w:rFonts w:cs="Arial"/>
        </w:rPr>
        <w:t>.</w:t>
      </w:r>
      <w:r w:rsidR="00642163" w:rsidRPr="00315CF2">
        <w:rPr>
          <w:rFonts w:cs="Arial"/>
        </w:rPr>
        <w:t xml:space="preserve"> Elements of the program included cultural awareness training (delivered by experienced cultural trainers), project overview, consent process, integrated pharmacist core roles, activity work plans, use of the electronic logbook and clinical information systems, </w:t>
      </w:r>
      <w:proofErr w:type="gramStart"/>
      <w:r w:rsidR="00642163" w:rsidRPr="00315CF2">
        <w:rPr>
          <w:rFonts w:cs="Arial"/>
        </w:rPr>
        <w:t>resources</w:t>
      </w:r>
      <w:proofErr w:type="gramEnd"/>
      <w:r w:rsidR="00642163" w:rsidRPr="00315CF2">
        <w:rPr>
          <w:rFonts w:cs="Arial"/>
        </w:rPr>
        <w:t xml:space="preserve"> and lines of communication. </w:t>
      </w:r>
    </w:p>
    <w:p w14:paraId="104EB21E" w14:textId="0B6CC468" w:rsidR="001E0F82" w:rsidRDefault="00963810" w:rsidP="001E0F82">
      <w:pPr>
        <w:rPr>
          <w:rFonts w:asciiTheme="majorHAnsi" w:hAnsiTheme="majorHAnsi" w:cstheme="majorHAnsi"/>
        </w:rPr>
      </w:pPr>
      <w:r w:rsidRPr="00433F56">
        <w:t xml:space="preserve">A small number of pharmacists who were recruited after completion of the workshops were </w:t>
      </w:r>
      <w:r>
        <w:t>given</w:t>
      </w:r>
      <w:r w:rsidRPr="00433F56">
        <w:t xml:space="preserve"> a full day of one-on-one project-specific training in a mutually agreed location followed by another day of pre-arranged experience alongside an </w:t>
      </w:r>
      <w:r>
        <w:t>ACCHS</w:t>
      </w:r>
      <w:r w:rsidRPr="00433F56">
        <w:t xml:space="preserve"> pharmacist at their place of work.</w:t>
      </w:r>
      <w:r w:rsidR="001E0F82">
        <w:t xml:space="preserve"> </w:t>
      </w:r>
      <w:r w:rsidR="00903345">
        <w:t xml:space="preserve">For further information, see </w:t>
      </w:r>
      <w:r w:rsidR="001E0F82" w:rsidRPr="00E63BBF">
        <w:rPr>
          <w:rFonts w:asciiTheme="majorHAnsi" w:hAnsiTheme="majorHAnsi" w:cstheme="majorHAnsi"/>
        </w:rPr>
        <w:t xml:space="preserve">Appendix </w:t>
      </w:r>
      <w:r w:rsidR="00E63BBF" w:rsidRPr="00E63BBF">
        <w:rPr>
          <w:rFonts w:asciiTheme="majorHAnsi" w:hAnsiTheme="majorHAnsi" w:cstheme="majorHAnsi"/>
        </w:rPr>
        <w:t>20</w:t>
      </w:r>
      <w:r w:rsidR="001E0F82" w:rsidRPr="00E63BBF">
        <w:rPr>
          <w:rFonts w:asciiTheme="majorHAnsi" w:hAnsiTheme="majorHAnsi" w:cstheme="majorHAnsi"/>
        </w:rPr>
        <w:t>:</w:t>
      </w:r>
      <w:r w:rsidR="001E0F82">
        <w:rPr>
          <w:rFonts w:asciiTheme="majorHAnsi" w:hAnsiTheme="majorHAnsi" w:cstheme="majorHAnsi"/>
        </w:rPr>
        <w:t xml:space="preserve"> Pharmacist Induction Training Report</w:t>
      </w:r>
      <w:r w:rsidR="00E63BBF">
        <w:rPr>
          <w:rFonts w:asciiTheme="majorHAnsi" w:hAnsiTheme="majorHAnsi" w:cstheme="majorHAnsi"/>
        </w:rPr>
        <w:t xml:space="preserve"> (PSA)</w:t>
      </w:r>
      <w:r w:rsidR="001E0F82" w:rsidRPr="009A5914">
        <w:rPr>
          <w:rFonts w:asciiTheme="majorHAnsi" w:hAnsiTheme="majorHAnsi" w:cstheme="majorHAnsi"/>
        </w:rPr>
        <w:t>.</w:t>
      </w:r>
    </w:p>
    <w:p w14:paraId="20536328" w14:textId="52401D87" w:rsidR="00760DB6" w:rsidRPr="00CF4692" w:rsidRDefault="00760DB6" w:rsidP="006C152D">
      <w:pPr>
        <w:pStyle w:val="TableParagraph"/>
        <w:rPr>
          <w:lang w:val="en-US"/>
        </w:rPr>
      </w:pPr>
      <w:bookmarkStart w:id="44" w:name="_Toc43820206"/>
      <w:r w:rsidRPr="00E63BBF">
        <w:t xml:space="preserve">Table </w:t>
      </w:r>
      <w:r w:rsidR="00752E49">
        <w:rPr>
          <w:noProof/>
        </w:rPr>
        <w:t>3</w:t>
      </w:r>
      <w:r w:rsidR="0082142E">
        <w:rPr>
          <w:noProof/>
        </w:rPr>
        <w:t>.</w:t>
      </w:r>
      <w:r w:rsidRPr="00CF4692">
        <w:t xml:space="preserve">  Summary of IPAC Project Pharmacist Induction Training attendance</w:t>
      </w:r>
      <w:r w:rsidR="0082142E">
        <w:t>.</w:t>
      </w:r>
      <w:bookmarkEnd w:id="44"/>
    </w:p>
    <w:tbl>
      <w:tblPr>
        <w:tblStyle w:val="TableGrid"/>
        <w:tblW w:w="0" w:type="auto"/>
        <w:tblLook w:val="04A0" w:firstRow="1" w:lastRow="0" w:firstColumn="1" w:lastColumn="0" w:noHBand="0" w:noVBand="1"/>
      </w:tblPr>
      <w:tblGrid>
        <w:gridCol w:w="2689"/>
        <w:gridCol w:w="1819"/>
        <w:gridCol w:w="2150"/>
        <w:gridCol w:w="2268"/>
      </w:tblGrid>
      <w:tr w:rsidR="00760DB6" w:rsidRPr="00903345" w14:paraId="5D0896B1" w14:textId="77777777" w:rsidTr="00121774">
        <w:trPr>
          <w:tblHeader/>
        </w:trPr>
        <w:tc>
          <w:tcPr>
            <w:tcW w:w="2689" w:type="dxa"/>
          </w:tcPr>
          <w:p w14:paraId="3A0FC3AF" w14:textId="77777777" w:rsidR="00760DB6" w:rsidRPr="0082142E" w:rsidRDefault="00760DB6" w:rsidP="00010DC7">
            <w:pPr>
              <w:spacing w:before="0" w:after="0"/>
              <w:jc w:val="left"/>
              <w:rPr>
                <w:b/>
              </w:rPr>
            </w:pPr>
            <w:r w:rsidRPr="0082142E">
              <w:rPr>
                <w:b/>
              </w:rPr>
              <w:t>Date of training delivery</w:t>
            </w:r>
          </w:p>
        </w:tc>
        <w:tc>
          <w:tcPr>
            <w:tcW w:w="1819" w:type="dxa"/>
          </w:tcPr>
          <w:p w14:paraId="09D2D55D" w14:textId="77777777" w:rsidR="00760DB6" w:rsidRPr="0082142E" w:rsidRDefault="00760DB6" w:rsidP="008762FD">
            <w:pPr>
              <w:spacing w:before="0" w:after="0"/>
              <w:jc w:val="center"/>
              <w:rPr>
                <w:b/>
              </w:rPr>
            </w:pPr>
            <w:r w:rsidRPr="0082142E">
              <w:rPr>
                <w:b/>
              </w:rPr>
              <w:t>Delivery method</w:t>
            </w:r>
          </w:p>
        </w:tc>
        <w:tc>
          <w:tcPr>
            <w:tcW w:w="2150" w:type="dxa"/>
          </w:tcPr>
          <w:p w14:paraId="784FFA84" w14:textId="77777777" w:rsidR="00760DB6" w:rsidRPr="0082142E" w:rsidRDefault="00760DB6" w:rsidP="008762FD">
            <w:pPr>
              <w:spacing w:before="0" w:after="0"/>
              <w:jc w:val="center"/>
              <w:rPr>
                <w:b/>
              </w:rPr>
            </w:pPr>
            <w:r w:rsidRPr="0082142E">
              <w:rPr>
                <w:b/>
              </w:rPr>
              <w:t>Location</w:t>
            </w:r>
          </w:p>
        </w:tc>
        <w:tc>
          <w:tcPr>
            <w:tcW w:w="2268" w:type="dxa"/>
          </w:tcPr>
          <w:p w14:paraId="2F4AA0D3" w14:textId="77777777" w:rsidR="00760DB6" w:rsidRPr="0082142E" w:rsidRDefault="00760DB6" w:rsidP="008762FD">
            <w:pPr>
              <w:spacing w:before="0" w:after="0"/>
              <w:jc w:val="center"/>
              <w:rPr>
                <w:b/>
              </w:rPr>
            </w:pPr>
            <w:r w:rsidRPr="0082142E">
              <w:rPr>
                <w:b/>
              </w:rPr>
              <w:t>Number of pharmacists attending</w:t>
            </w:r>
          </w:p>
        </w:tc>
      </w:tr>
      <w:tr w:rsidR="00760DB6" w:rsidRPr="00903345" w14:paraId="285B63E6" w14:textId="77777777" w:rsidTr="008762FD">
        <w:tc>
          <w:tcPr>
            <w:tcW w:w="2689" w:type="dxa"/>
          </w:tcPr>
          <w:p w14:paraId="2D89EE8D" w14:textId="77777777" w:rsidR="00760DB6" w:rsidRPr="0082142E" w:rsidRDefault="00760DB6" w:rsidP="00010DC7">
            <w:pPr>
              <w:spacing w:before="0" w:after="0"/>
              <w:jc w:val="left"/>
            </w:pPr>
            <w:r w:rsidRPr="0082142E">
              <w:t>July 2018</w:t>
            </w:r>
          </w:p>
        </w:tc>
        <w:tc>
          <w:tcPr>
            <w:tcW w:w="1819" w:type="dxa"/>
          </w:tcPr>
          <w:p w14:paraId="1F91606E" w14:textId="77777777" w:rsidR="00760DB6" w:rsidRPr="0082142E" w:rsidRDefault="00760DB6" w:rsidP="008762FD">
            <w:pPr>
              <w:spacing w:before="0" w:after="0"/>
              <w:jc w:val="center"/>
            </w:pPr>
            <w:r w:rsidRPr="0082142E">
              <w:t>Workshop</w:t>
            </w:r>
          </w:p>
        </w:tc>
        <w:tc>
          <w:tcPr>
            <w:tcW w:w="2150" w:type="dxa"/>
          </w:tcPr>
          <w:p w14:paraId="272D2132" w14:textId="77777777" w:rsidR="00760DB6" w:rsidRPr="0082142E" w:rsidRDefault="00760DB6" w:rsidP="008762FD">
            <w:pPr>
              <w:spacing w:before="0" w:after="0"/>
              <w:jc w:val="center"/>
            </w:pPr>
            <w:r w:rsidRPr="0082142E">
              <w:t>Sydney</w:t>
            </w:r>
          </w:p>
        </w:tc>
        <w:tc>
          <w:tcPr>
            <w:tcW w:w="2268" w:type="dxa"/>
          </w:tcPr>
          <w:p w14:paraId="095F4EB6" w14:textId="77777777" w:rsidR="00760DB6" w:rsidRPr="0082142E" w:rsidRDefault="00760DB6" w:rsidP="008762FD">
            <w:pPr>
              <w:spacing w:before="0" w:after="0"/>
              <w:jc w:val="center"/>
            </w:pPr>
            <w:r w:rsidRPr="0082142E">
              <w:t>11</w:t>
            </w:r>
          </w:p>
        </w:tc>
      </w:tr>
      <w:tr w:rsidR="00760DB6" w:rsidRPr="00903345" w14:paraId="1DE9185F" w14:textId="77777777" w:rsidTr="008762FD">
        <w:tc>
          <w:tcPr>
            <w:tcW w:w="2689" w:type="dxa"/>
          </w:tcPr>
          <w:p w14:paraId="551448D8" w14:textId="77777777" w:rsidR="00760DB6" w:rsidRPr="0082142E" w:rsidRDefault="00760DB6" w:rsidP="00010DC7">
            <w:pPr>
              <w:spacing w:before="0" w:after="0"/>
              <w:jc w:val="left"/>
            </w:pPr>
            <w:r w:rsidRPr="0082142E">
              <w:t>August 2018</w:t>
            </w:r>
          </w:p>
        </w:tc>
        <w:tc>
          <w:tcPr>
            <w:tcW w:w="1819" w:type="dxa"/>
          </w:tcPr>
          <w:p w14:paraId="063B5B97" w14:textId="77777777" w:rsidR="00760DB6" w:rsidRPr="0082142E" w:rsidRDefault="00760DB6" w:rsidP="008762FD">
            <w:pPr>
              <w:spacing w:before="0" w:after="0"/>
              <w:jc w:val="center"/>
            </w:pPr>
            <w:r w:rsidRPr="0082142E">
              <w:t>Workshop</w:t>
            </w:r>
          </w:p>
        </w:tc>
        <w:tc>
          <w:tcPr>
            <w:tcW w:w="2150" w:type="dxa"/>
          </w:tcPr>
          <w:p w14:paraId="2E357085" w14:textId="77777777" w:rsidR="00760DB6" w:rsidRPr="0082142E" w:rsidRDefault="00760DB6" w:rsidP="008762FD">
            <w:pPr>
              <w:spacing w:before="0" w:after="0"/>
              <w:jc w:val="center"/>
            </w:pPr>
            <w:r w:rsidRPr="0082142E">
              <w:t>Melbourne</w:t>
            </w:r>
          </w:p>
        </w:tc>
        <w:tc>
          <w:tcPr>
            <w:tcW w:w="2268" w:type="dxa"/>
          </w:tcPr>
          <w:p w14:paraId="532A6ECA" w14:textId="77777777" w:rsidR="00760DB6" w:rsidRPr="0082142E" w:rsidRDefault="00760DB6" w:rsidP="008762FD">
            <w:pPr>
              <w:spacing w:before="0" w:after="0"/>
              <w:jc w:val="center"/>
            </w:pPr>
            <w:r w:rsidRPr="0082142E">
              <w:t>7</w:t>
            </w:r>
          </w:p>
        </w:tc>
      </w:tr>
      <w:tr w:rsidR="00760DB6" w:rsidRPr="00903345" w14:paraId="00453097" w14:textId="77777777" w:rsidTr="008762FD">
        <w:tc>
          <w:tcPr>
            <w:tcW w:w="2689" w:type="dxa"/>
          </w:tcPr>
          <w:p w14:paraId="1258B7F3" w14:textId="77777777" w:rsidR="00760DB6" w:rsidRPr="0082142E" w:rsidRDefault="00760DB6" w:rsidP="00010DC7">
            <w:pPr>
              <w:spacing w:before="0" w:after="0"/>
              <w:jc w:val="left"/>
            </w:pPr>
            <w:r w:rsidRPr="0082142E">
              <w:t>October 2018</w:t>
            </w:r>
          </w:p>
        </w:tc>
        <w:tc>
          <w:tcPr>
            <w:tcW w:w="1819" w:type="dxa"/>
          </w:tcPr>
          <w:p w14:paraId="7095AB08" w14:textId="77777777" w:rsidR="00760DB6" w:rsidRPr="0082142E" w:rsidRDefault="00760DB6" w:rsidP="008762FD">
            <w:pPr>
              <w:spacing w:before="0" w:after="0"/>
              <w:jc w:val="center"/>
            </w:pPr>
            <w:r w:rsidRPr="0082142E">
              <w:t>Workshop</w:t>
            </w:r>
          </w:p>
        </w:tc>
        <w:tc>
          <w:tcPr>
            <w:tcW w:w="2150" w:type="dxa"/>
          </w:tcPr>
          <w:p w14:paraId="38CF563B" w14:textId="77777777" w:rsidR="00760DB6" w:rsidRPr="0082142E" w:rsidRDefault="00760DB6" w:rsidP="008762FD">
            <w:pPr>
              <w:spacing w:before="0" w:after="0"/>
              <w:jc w:val="center"/>
            </w:pPr>
            <w:r w:rsidRPr="0082142E">
              <w:t>Brisbane</w:t>
            </w:r>
          </w:p>
        </w:tc>
        <w:tc>
          <w:tcPr>
            <w:tcW w:w="2268" w:type="dxa"/>
          </w:tcPr>
          <w:p w14:paraId="052BE6E2" w14:textId="77777777" w:rsidR="00760DB6" w:rsidRPr="0082142E" w:rsidRDefault="00760DB6" w:rsidP="008762FD">
            <w:pPr>
              <w:spacing w:before="0" w:after="0"/>
              <w:jc w:val="center"/>
            </w:pPr>
            <w:r w:rsidRPr="0082142E">
              <w:t>3</w:t>
            </w:r>
          </w:p>
        </w:tc>
      </w:tr>
      <w:tr w:rsidR="00760DB6" w:rsidRPr="00903345" w14:paraId="529F9FCA" w14:textId="77777777" w:rsidTr="008762FD">
        <w:tc>
          <w:tcPr>
            <w:tcW w:w="2689" w:type="dxa"/>
          </w:tcPr>
          <w:p w14:paraId="7965C514" w14:textId="77777777" w:rsidR="00760DB6" w:rsidRPr="0082142E" w:rsidRDefault="00760DB6" w:rsidP="00010DC7">
            <w:pPr>
              <w:spacing w:before="0" w:after="0"/>
              <w:jc w:val="left"/>
            </w:pPr>
            <w:r w:rsidRPr="0082142E">
              <w:t>October 2018</w:t>
            </w:r>
          </w:p>
        </w:tc>
        <w:tc>
          <w:tcPr>
            <w:tcW w:w="1819" w:type="dxa"/>
          </w:tcPr>
          <w:p w14:paraId="50468142" w14:textId="77777777" w:rsidR="00760DB6" w:rsidRPr="0082142E" w:rsidRDefault="00760DB6" w:rsidP="008762FD">
            <w:pPr>
              <w:spacing w:before="0" w:after="0"/>
              <w:jc w:val="center"/>
            </w:pPr>
            <w:r w:rsidRPr="0082142E">
              <w:t>Small group</w:t>
            </w:r>
          </w:p>
        </w:tc>
        <w:tc>
          <w:tcPr>
            <w:tcW w:w="2150" w:type="dxa"/>
          </w:tcPr>
          <w:p w14:paraId="3BD9A5E8" w14:textId="77777777" w:rsidR="00760DB6" w:rsidRPr="0082142E" w:rsidRDefault="00760DB6" w:rsidP="008762FD">
            <w:pPr>
              <w:spacing w:before="0" w:after="0"/>
              <w:jc w:val="center"/>
            </w:pPr>
            <w:r w:rsidRPr="0082142E">
              <w:t>Melbourne</w:t>
            </w:r>
          </w:p>
        </w:tc>
        <w:tc>
          <w:tcPr>
            <w:tcW w:w="2268" w:type="dxa"/>
          </w:tcPr>
          <w:p w14:paraId="27BE8276" w14:textId="77777777" w:rsidR="00760DB6" w:rsidRPr="0082142E" w:rsidRDefault="00760DB6" w:rsidP="008762FD">
            <w:pPr>
              <w:spacing w:before="0" w:after="0"/>
              <w:jc w:val="center"/>
            </w:pPr>
            <w:r w:rsidRPr="0082142E">
              <w:t>2</w:t>
            </w:r>
          </w:p>
        </w:tc>
      </w:tr>
      <w:tr w:rsidR="00760DB6" w:rsidRPr="00903345" w14:paraId="3020582C" w14:textId="77777777" w:rsidTr="008762FD">
        <w:tc>
          <w:tcPr>
            <w:tcW w:w="2689" w:type="dxa"/>
          </w:tcPr>
          <w:p w14:paraId="50C1E7B1" w14:textId="77777777" w:rsidR="00760DB6" w:rsidRPr="0082142E" w:rsidRDefault="00760DB6" w:rsidP="00010DC7">
            <w:pPr>
              <w:spacing w:before="0" w:after="0"/>
              <w:jc w:val="left"/>
            </w:pPr>
            <w:r w:rsidRPr="0082142E">
              <w:t>September 2018</w:t>
            </w:r>
          </w:p>
        </w:tc>
        <w:tc>
          <w:tcPr>
            <w:tcW w:w="1819" w:type="dxa"/>
          </w:tcPr>
          <w:p w14:paraId="39E24CF0" w14:textId="77777777" w:rsidR="00760DB6" w:rsidRPr="0082142E" w:rsidRDefault="00760DB6" w:rsidP="008762FD">
            <w:pPr>
              <w:spacing w:before="0" w:after="0"/>
              <w:jc w:val="center"/>
            </w:pPr>
            <w:r w:rsidRPr="0082142E">
              <w:t>One to one</w:t>
            </w:r>
          </w:p>
        </w:tc>
        <w:tc>
          <w:tcPr>
            <w:tcW w:w="2150" w:type="dxa"/>
          </w:tcPr>
          <w:p w14:paraId="39AE72A6" w14:textId="77777777" w:rsidR="00760DB6" w:rsidRPr="0082142E" w:rsidRDefault="00760DB6" w:rsidP="008762FD">
            <w:pPr>
              <w:spacing w:before="0" w:after="0"/>
              <w:jc w:val="center"/>
            </w:pPr>
            <w:r w:rsidRPr="0082142E">
              <w:t>Cairns (Qld)</w:t>
            </w:r>
          </w:p>
        </w:tc>
        <w:tc>
          <w:tcPr>
            <w:tcW w:w="2268" w:type="dxa"/>
          </w:tcPr>
          <w:p w14:paraId="74710D83" w14:textId="77777777" w:rsidR="00760DB6" w:rsidRPr="0082142E" w:rsidRDefault="00760DB6" w:rsidP="008762FD">
            <w:pPr>
              <w:spacing w:before="0" w:after="0"/>
              <w:jc w:val="center"/>
            </w:pPr>
            <w:r w:rsidRPr="0082142E">
              <w:t>1</w:t>
            </w:r>
          </w:p>
        </w:tc>
      </w:tr>
      <w:tr w:rsidR="00760DB6" w:rsidRPr="00903345" w14:paraId="08FBF137" w14:textId="77777777" w:rsidTr="008762FD">
        <w:tc>
          <w:tcPr>
            <w:tcW w:w="2689" w:type="dxa"/>
          </w:tcPr>
          <w:p w14:paraId="63E353F1" w14:textId="77777777" w:rsidR="00760DB6" w:rsidRPr="0082142E" w:rsidRDefault="00760DB6" w:rsidP="00010DC7">
            <w:pPr>
              <w:spacing w:before="0" w:after="0"/>
              <w:jc w:val="left"/>
            </w:pPr>
            <w:r w:rsidRPr="0082142E">
              <w:t>March 2019 (replacement)</w:t>
            </w:r>
          </w:p>
        </w:tc>
        <w:tc>
          <w:tcPr>
            <w:tcW w:w="1819" w:type="dxa"/>
          </w:tcPr>
          <w:p w14:paraId="23183B17" w14:textId="77777777" w:rsidR="00760DB6" w:rsidRPr="0082142E" w:rsidRDefault="00760DB6" w:rsidP="008762FD">
            <w:pPr>
              <w:spacing w:before="0" w:after="0"/>
              <w:jc w:val="center"/>
            </w:pPr>
            <w:r w:rsidRPr="0082142E">
              <w:t>One to one</w:t>
            </w:r>
          </w:p>
        </w:tc>
        <w:tc>
          <w:tcPr>
            <w:tcW w:w="2150" w:type="dxa"/>
          </w:tcPr>
          <w:p w14:paraId="739FA277" w14:textId="77777777" w:rsidR="00760DB6" w:rsidRPr="0082142E" w:rsidRDefault="00760DB6" w:rsidP="008762FD">
            <w:pPr>
              <w:spacing w:before="0" w:after="0"/>
              <w:jc w:val="center"/>
            </w:pPr>
            <w:r w:rsidRPr="0082142E">
              <w:t>Geelong (Vic)</w:t>
            </w:r>
          </w:p>
        </w:tc>
        <w:tc>
          <w:tcPr>
            <w:tcW w:w="2268" w:type="dxa"/>
          </w:tcPr>
          <w:p w14:paraId="4E28A983" w14:textId="77777777" w:rsidR="00760DB6" w:rsidRPr="0082142E" w:rsidRDefault="00760DB6" w:rsidP="008762FD">
            <w:pPr>
              <w:spacing w:before="0" w:after="0"/>
              <w:jc w:val="center"/>
            </w:pPr>
            <w:r w:rsidRPr="0082142E">
              <w:t>1</w:t>
            </w:r>
          </w:p>
        </w:tc>
      </w:tr>
      <w:tr w:rsidR="00760DB6" w:rsidRPr="00903345" w14:paraId="799A0DE1" w14:textId="77777777" w:rsidTr="008762FD">
        <w:tc>
          <w:tcPr>
            <w:tcW w:w="2689" w:type="dxa"/>
          </w:tcPr>
          <w:p w14:paraId="446190AA" w14:textId="77777777" w:rsidR="00760DB6" w:rsidRPr="0082142E" w:rsidRDefault="00760DB6" w:rsidP="00010DC7">
            <w:pPr>
              <w:spacing w:before="0" w:after="0"/>
              <w:jc w:val="left"/>
            </w:pPr>
            <w:r w:rsidRPr="0082142E">
              <w:t>April 2019 (replacement)</w:t>
            </w:r>
          </w:p>
        </w:tc>
        <w:tc>
          <w:tcPr>
            <w:tcW w:w="1819" w:type="dxa"/>
          </w:tcPr>
          <w:p w14:paraId="6DF7A0BF" w14:textId="77777777" w:rsidR="00760DB6" w:rsidRPr="0082142E" w:rsidRDefault="00760DB6" w:rsidP="008762FD">
            <w:pPr>
              <w:spacing w:before="0" w:after="0"/>
              <w:jc w:val="center"/>
            </w:pPr>
            <w:r w:rsidRPr="0082142E">
              <w:t>One to one</w:t>
            </w:r>
          </w:p>
        </w:tc>
        <w:tc>
          <w:tcPr>
            <w:tcW w:w="2150" w:type="dxa"/>
          </w:tcPr>
          <w:p w14:paraId="4FDEBB2B" w14:textId="77777777" w:rsidR="00760DB6" w:rsidRPr="0082142E" w:rsidRDefault="00760DB6" w:rsidP="008762FD">
            <w:pPr>
              <w:spacing w:before="0" w:after="0"/>
              <w:jc w:val="center"/>
            </w:pPr>
            <w:r w:rsidRPr="0082142E">
              <w:t>Gove (NT)</w:t>
            </w:r>
          </w:p>
        </w:tc>
        <w:tc>
          <w:tcPr>
            <w:tcW w:w="2268" w:type="dxa"/>
          </w:tcPr>
          <w:p w14:paraId="2EBF3D29" w14:textId="77777777" w:rsidR="00760DB6" w:rsidRPr="0082142E" w:rsidRDefault="00760DB6" w:rsidP="008762FD">
            <w:pPr>
              <w:spacing w:before="0" w:after="0"/>
              <w:jc w:val="center"/>
            </w:pPr>
            <w:r w:rsidRPr="0082142E">
              <w:t>1</w:t>
            </w:r>
          </w:p>
        </w:tc>
      </w:tr>
      <w:tr w:rsidR="00760DB6" w:rsidRPr="00903345" w14:paraId="5584F388" w14:textId="77777777" w:rsidTr="008762FD">
        <w:tc>
          <w:tcPr>
            <w:tcW w:w="2689" w:type="dxa"/>
          </w:tcPr>
          <w:p w14:paraId="26137597" w14:textId="77777777" w:rsidR="00760DB6" w:rsidRPr="0082142E" w:rsidRDefault="00760DB6" w:rsidP="00010DC7">
            <w:pPr>
              <w:spacing w:before="0" w:after="0"/>
              <w:jc w:val="left"/>
              <w:rPr>
                <w:b/>
              </w:rPr>
            </w:pPr>
            <w:r w:rsidRPr="0082142E">
              <w:rPr>
                <w:b/>
              </w:rPr>
              <w:t>TOTAL</w:t>
            </w:r>
          </w:p>
        </w:tc>
        <w:tc>
          <w:tcPr>
            <w:tcW w:w="1819" w:type="dxa"/>
          </w:tcPr>
          <w:p w14:paraId="5392D747" w14:textId="77777777" w:rsidR="00760DB6" w:rsidRPr="0082142E" w:rsidRDefault="00760DB6" w:rsidP="008762FD">
            <w:pPr>
              <w:spacing w:before="0" w:after="0"/>
            </w:pPr>
          </w:p>
        </w:tc>
        <w:tc>
          <w:tcPr>
            <w:tcW w:w="2150" w:type="dxa"/>
          </w:tcPr>
          <w:p w14:paraId="4359AC30" w14:textId="77777777" w:rsidR="00760DB6" w:rsidRPr="0082142E" w:rsidRDefault="00760DB6" w:rsidP="008762FD">
            <w:pPr>
              <w:spacing w:before="0" w:after="0"/>
            </w:pPr>
          </w:p>
        </w:tc>
        <w:tc>
          <w:tcPr>
            <w:tcW w:w="2268" w:type="dxa"/>
          </w:tcPr>
          <w:p w14:paraId="622F8EC5" w14:textId="77777777" w:rsidR="00760DB6" w:rsidRPr="0082142E" w:rsidRDefault="00760DB6" w:rsidP="008762FD">
            <w:pPr>
              <w:spacing w:before="0" w:after="0"/>
              <w:jc w:val="center"/>
              <w:rPr>
                <w:b/>
              </w:rPr>
            </w:pPr>
            <w:r w:rsidRPr="0082142E">
              <w:rPr>
                <w:b/>
              </w:rPr>
              <w:t>26</w:t>
            </w:r>
          </w:p>
        </w:tc>
      </w:tr>
    </w:tbl>
    <w:p w14:paraId="76D4B11A" w14:textId="492ED5A5" w:rsidR="00AC7361" w:rsidRDefault="00033239" w:rsidP="00DA22EF">
      <w:r>
        <w:t>PSA p</w:t>
      </w:r>
      <w:r w:rsidR="00AC7361">
        <w:t xml:space="preserve">roject </w:t>
      </w:r>
      <w:r>
        <w:t>c</w:t>
      </w:r>
      <w:r w:rsidR="00AC7361">
        <w:t>oordinators were primarily responsible for coordinating and managing the delivery of a multifaceted and tailored program of support for the integrated pharmacists throughout the project’s implementation phase</w:t>
      </w:r>
      <w:r w:rsidR="00AC7361" w:rsidRPr="00640397">
        <w:t>.</w:t>
      </w:r>
      <w:r w:rsidR="00AC7361">
        <w:t xml:space="preserve"> Support methods included phone and email support from the Project Team</w:t>
      </w:r>
      <w:r w:rsidR="00A30CFD">
        <w:t xml:space="preserve"> </w:t>
      </w:r>
      <w:r w:rsidR="00A30CFD">
        <w:lastRenderedPageBreak/>
        <w:t>(</w:t>
      </w:r>
      <w:r w:rsidR="00AC7361">
        <w:t>comprising representatives from PSA, NACCHO and JCU</w:t>
      </w:r>
      <w:r w:rsidR="00A30CFD">
        <w:t>)</w:t>
      </w:r>
      <w:r w:rsidR="00AC7361">
        <w:t xml:space="preserve">, as well as formal and informal mentoring by experienced Aboriginal Health Services pharmacists. </w:t>
      </w:r>
      <w:r w:rsidR="00C47602">
        <w:t>F</w:t>
      </w:r>
      <w:r w:rsidR="00AC7361">
        <w:t xml:space="preserve">urther support was provided by means of site visits by PSA Coordinators, participation in regular monthly teleconferences, inclusion in an online discussion group and contact by closed-group social media. </w:t>
      </w:r>
      <w:r w:rsidR="00AC7361" w:rsidRPr="00640397">
        <w:t xml:space="preserve"> </w:t>
      </w:r>
      <w:r w:rsidR="00AC7361">
        <w:t xml:space="preserve">The integrated pharmacists were also given access to a </w:t>
      </w:r>
      <w:r w:rsidR="00AC7361" w:rsidRPr="00CA32B3">
        <w:rPr>
          <w:rFonts w:eastAsia="Times New Roman" w:cstheme="minorHAnsi"/>
          <w:color w:val="333333"/>
          <w:lang w:eastAsia="en-AU"/>
        </w:rPr>
        <w:t>contemporary online repository of resources related to medicines use and management of chronic disease in Aboriginal and Torres Strait Islander peoples</w:t>
      </w:r>
      <w:r w:rsidR="00AC7361">
        <w:rPr>
          <w:rFonts w:eastAsia="Times New Roman" w:cstheme="minorHAnsi"/>
          <w:color w:val="333333"/>
          <w:lang w:eastAsia="en-AU"/>
        </w:rPr>
        <w:t xml:space="preserve">, </w:t>
      </w:r>
      <w:proofErr w:type="gramStart"/>
      <w:r w:rsidR="00AC7361">
        <w:rPr>
          <w:rFonts w:eastAsia="Times New Roman" w:cstheme="minorHAnsi"/>
          <w:color w:val="333333"/>
          <w:lang w:eastAsia="en-AU"/>
        </w:rPr>
        <w:t>taking into account</w:t>
      </w:r>
      <w:proofErr w:type="gramEnd"/>
      <w:r w:rsidR="00AC7361">
        <w:rPr>
          <w:rFonts w:eastAsia="Times New Roman" w:cstheme="minorHAnsi"/>
          <w:color w:val="333333"/>
          <w:lang w:eastAsia="en-AU"/>
        </w:rPr>
        <w:t xml:space="preserve"> jurisdiction-specific differences in legislation and best-practice guidelines. </w:t>
      </w:r>
    </w:p>
    <w:p w14:paraId="3777B76E" w14:textId="1A710774" w:rsidR="00377B23" w:rsidRDefault="00AC7361" w:rsidP="00DA22EF">
      <w:r>
        <w:t xml:space="preserve">Throughout the project’s implementation phase, significant </w:t>
      </w:r>
      <w:proofErr w:type="gramStart"/>
      <w:r>
        <w:t>uptake</w:t>
      </w:r>
      <w:proofErr w:type="gramEnd"/>
      <w:r>
        <w:t xml:space="preserve"> and consistent </w:t>
      </w:r>
      <w:proofErr w:type="spellStart"/>
      <w:r>
        <w:t>utilisation</w:t>
      </w:r>
      <w:proofErr w:type="spellEnd"/>
      <w:r>
        <w:t xml:space="preserve"> of the various platforms of support provided to the integrated pharmacists was demonstrated.</w:t>
      </w:r>
      <w:r w:rsidR="00377B23">
        <w:t xml:space="preserve">  PSA Coordinators conducted twenty site visits across 16 ACCHSs,</w:t>
      </w:r>
      <w:r>
        <w:t xml:space="preserve"> </w:t>
      </w:r>
      <w:r w:rsidR="00377B23">
        <w:t>e</w:t>
      </w:r>
      <w:r>
        <w:t xml:space="preserve">leven monthly teleconferences were held, </w:t>
      </w:r>
      <w:r w:rsidR="00377B23">
        <w:t xml:space="preserve">91 unique topic threads were raised in the online discussion form, and 530 individual messages </w:t>
      </w:r>
      <w:r w:rsidR="00C47602">
        <w:t>were</w:t>
      </w:r>
      <w:r w:rsidR="00377B23">
        <w:t xml:space="preserve"> posted in the social media group (using WhatsApp®).  Eleven pharmacists formally participated in the Mentor Program Support and a further </w:t>
      </w:r>
      <w:r w:rsidR="00E63BBF">
        <w:t>three</w:t>
      </w:r>
      <w:r w:rsidR="00377B23">
        <w:t xml:space="preserve"> pharmacists received informal support. </w:t>
      </w:r>
      <w:r w:rsidR="003F49C5">
        <w:t xml:space="preserve">Regular communication by phone or email occurred between PSA </w:t>
      </w:r>
      <w:r w:rsidR="00E63BBF">
        <w:t>project c</w:t>
      </w:r>
      <w:r w:rsidR="003F49C5">
        <w:t>oordinators and integrated pharmacists. The integrated pharmacists c</w:t>
      </w:r>
      <w:r>
        <w:t>ontact</w:t>
      </w:r>
      <w:r w:rsidR="003F49C5">
        <w:t xml:space="preserve">ed PSA </w:t>
      </w:r>
      <w:r w:rsidR="00E63BBF">
        <w:t>project c</w:t>
      </w:r>
      <w:r w:rsidR="003F49C5">
        <w:t xml:space="preserve">oordinators for support </w:t>
      </w:r>
      <w:r>
        <w:t xml:space="preserve">on at least a daily basis. </w:t>
      </w:r>
      <w:r w:rsidR="00033239">
        <w:t xml:space="preserve">For further information </w:t>
      </w:r>
      <w:r w:rsidR="00033239" w:rsidRPr="00D75FF6">
        <w:t xml:space="preserve">see </w:t>
      </w:r>
      <w:r w:rsidR="00033239" w:rsidRPr="00D75FF6">
        <w:rPr>
          <w:rFonts w:asciiTheme="majorHAnsi" w:hAnsiTheme="majorHAnsi" w:cstheme="majorHAnsi"/>
        </w:rPr>
        <w:t xml:space="preserve">Appendix </w:t>
      </w:r>
      <w:r w:rsidR="00E63BBF" w:rsidRPr="00D75FF6">
        <w:rPr>
          <w:rFonts w:asciiTheme="majorHAnsi" w:hAnsiTheme="majorHAnsi" w:cstheme="majorHAnsi"/>
        </w:rPr>
        <w:t>21</w:t>
      </w:r>
      <w:r w:rsidR="00033239" w:rsidRPr="00D75FF6">
        <w:rPr>
          <w:rFonts w:asciiTheme="majorHAnsi" w:hAnsiTheme="majorHAnsi" w:cstheme="majorHAnsi"/>
        </w:rPr>
        <w:t>:</w:t>
      </w:r>
      <w:r w:rsidR="00033239">
        <w:rPr>
          <w:rFonts w:asciiTheme="majorHAnsi" w:hAnsiTheme="majorHAnsi" w:cstheme="majorHAnsi"/>
        </w:rPr>
        <w:t xml:space="preserve"> Support for Pharmacists Report</w:t>
      </w:r>
      <w:r w:rsidR="00E63BBF">
        <w:rPr>
          <w:rFonts w:asciiTheme="majorHAnsi" w:hAnsiTheme="majorHAnsi" w:cstheme="majorHAnsi"/>
        </w:rPr>
        <w:t xml:space="preserve"> (PSA)</w:t>
      </w:r>
      <w:r w:rsidR="00033239" w:rsidRPr="009A5914">
        <w:rPr>
          <w:rFonts w:asciiTheme="majorHAnsi" w:hAnsiTheme="majorHAnsi" w:cstheme="majorHAnsi"/>
        </w:rPr>
        <w:t>.</w:t>
      </w:r>
    </w:p>
    <w:p w14:paraId="03EA4FE4" w14:textId="0E3DF77F" w:rsidR="006947B4" w:rsidRDefault="006947B4" w:rsidP="0048683E">
      <w:pPr>
        <w:pStyle w:val="Heading2"/>
        <w:rPr>
          <w:rFonts w:eastAsiaTheme="majorEastAsia" w:cstheme="majorBidi"/>
          <w:szCs w:val="26"/>
          <w:lang w:val="en-US"/>
        </w:rPr>
      </w:pPr>
      <w:bookmarkStart w:id="45" w:name="_Toc35946592"/>
      <w:bookmarkStart w:id="46" w:name="_Toc40350082"/>
      <w:bookmarkStart w:id="47" w:name="_Toc40441064"/>
      <w:bookmarkStart w:id="48" w:name="_Toc41315607"/>
      <w:bookmarkStart w:id="49" w:name="_Toc138846252"/>
      <w:r>
        <w:t>Pa</w:t>
      </w:r>
      <w:r w:rsidR="003C48E4">
        <w:t>rticipant</w:t>
      </w:r>
      <w:bookmarkEnd w:id="43"/>
      <w:bookmarkEnd w:id="45"/>
      <w:r w:rsidR="00426BE7">
        <w:t xml:space="preserve"> recruitment</w:t>
      </w:r>
      <w:bookmarkEnd w:id="46"/>
      <w:bookmarkEnd w:id="47"/>
      <w:bookmarkEnd w:id="48"/>
      <w:bookmarkEnd w:id="49"/>
    </w:p>
    <w:p w14:paraId="4F079F64" w14:textId="77777777" w:rsidR="001B7E10" w:rsidRDefault="001B7E10" w:rsidP="00DA22EF">
      <w:pPr>
        <w:rPr>
          <w:rFonts w:eastAsia="Times New Roman" w:cs="Times New Roman"/>
          <w:lang w:val="en-AU"/>
        </w:rPr>
      </w:pPr>
      <w:bookmarkStart w:id="50" w:name="_Toc35946584"/>
      <w:bookmarkStart w:id="51" w:name="_Toc40350083"/>
      <w:r>
        <w:t>Participant inclusion criteria comprised patients with chronic disease who had visited a participating ACCHS at least three times in the past two years relative to the recruitment date into the study (known as ‘active’ or ‘regular’ patients). Participants were aged 18 years and over and had a diagnosis of:</w:t>
      </w:r>
    </w:p>
    <w:p w14:paraId="727A96B1" w14:textId="77777777" w:rsidR="001B7E10" w:rsidRDefault="001B7E10" w:rsidP="00712964">
      <w:pPr>
        <w:pStyle w:val="ListBullet"/>
      </w:pPr>
      <w:r>
        <w:t xml:space="preserve">Cardiovascular (CV) disease (coronary heart disease, stroke, hypertension, </w:t>
      </w:r>
      <w:proofErr w:type="gramStart"/>
      <w:r>
        <w:t>dyslipidaemia</w:t>
      </w:r>
      <w:proofErr w:type="gramEnd"/>
      <w:r>
        <w:t xml:space="preserve"> and any other CV disease),</w:t>
      </w:r>
    </w:p>
    <w:p w14:paraId="63F3FC8F" w14:textId="77777777" w:rsidR="001B7E10" w:rsidRDefault="001B7E10" w:rsidP="00712964">
      <w:pPr>
        <w:pStyle w:val="ListBullet"/>
      </w:pPr>
      <w:r>
        <w:t>Type 2 diabetes mellitus,</w:t>
      </w:r>
    </w:p>
    <w:p w14:paraId="222CE852" w14:textId="77777777" w:rsidR="001B7E10" w:rsidRDefault="001B7E10" w:rsidP="00712964">
      <w:pPr>
        <w:pStyle w:val="ListBullet"/>
      </w:pPr>
      <w:r>
        <w:t>Chronic kidney disease, or</w:t>
      </w:r>
    </w:p>
    <w:p w14:paraId="2FD95A9F" w14:textId="77777777" w:rsidR="001B7E10" w:rsidRDefault="001B7E10" w:rsidP="00712964">
      <w:pPr>
        <w:pStyle w:val="ListBullet"/>
      </w:pPr>
      <w:r>
        <w:t>Other chronic conditions and at high risk of developing medication-related problems (</w:t>
      </w:r>
      <w:proofErr w:type="gramStart"/>
      <w:r>
        <w:t>e.g.</w:t>
      </w:r>
      <w:proofErr w:type="gramEnd"/>
      <w:r>
        <w:t xml:space="preserve"> polypharmacy).</w:t>
      </w:r>
    </w:p>
    <w:p w14:paraId="15AF061B" w14:textId="7C6DC559" w:rsidR="001B7E10" w:rsidRDefault="001B7E10" w:rsidP="00DA22EF">
      <w:r>
        <w:t xml:space="preserve">Convenience sampling kept with the pragmatic project design. Patients attending sites were invited to see the </w:t>
      </w:r>
      <w:r w:rsidR="00CA448C">
        <w:t xml:space="preserve">integrated </w:t>
      </w:r>
      <w:r>
        <w:t xml:space="preserve">pharmacist after being referred by a doctor, health worker or other healthcare provider. </w:t>
      </w:r>
      <w:r w:rsidR="000F1441">
        <w:t>In accordance with ACCHSs preferred process</w:t>
      </w:r>
      <w:r w:rsidR="00D75FF6">
        <w:t>es</w:t>
      </w:r>
      <w:r w:rsidR="000F1441">
        <w:t>, p</w:t>
      </w:r>
      <w:r>
        <w:t xml:space="preserve">harmacists in some ACCHSs approached potentially eligible patients directly. Written consent was required from patients to participate in the project and to provide permission for information and health data to be used for project evaluation. A </w:t>
      </w:r>
      <w:r w:rsidR="003C48E4">
        <w:t>Master Participant Information Brief informed participant of all aspects</w:t>
      </w:r>
      <w:r>
        <w:t xml:space="preserve"> of the </w:t>
      </w:r>
      <w:r w:rsidRPr="00C37469">
        <w:t>project</w:t>
      </w:r>
      <w:r w:rsidR="00A60C12" w:rsidRPr="00C37469">
        <w:t xml:space="preserve"> (Appendix </w:t>
      </w:r>
      <w:r w:rsidR="00C37469" w:rsidRPr="00C37469">
        <w:t>24</w:t>
      </w:r>
      <w:r w:rsidR="00A60C12" w:rsidRPr="00C37469">
        <w:t>)</w:t>
      </w:r>
      <w:r w:rsidRPr="00C37469">
        <w:t>.</w:t>
      </w:r>
      <w:r>
        <w:t xml:space="preserve"> Referral and consent processes were developed in consultation with each ACCHS to ensure they were culturally appropriate for the individual site. The </w:t>
      </w:r>
      <w:r w:rsidR="00CA448C">
        <w:t xml:space="preserve">integrated </w:t>
      </w:r>
      <w:r w:rsidR="00C37469">
        <w:t>p</w:t>
      </w:r>
      <w:r>
        <w:t>harmacist recorded consent in the ACCHS’ clinical information system (CIS). Participants were able to withdraw from the study at any time.</w:t>
      </w:r>
    </w:p>
    <w:p w14:paraId="2723FB61" w14:textId="77777777" w:rsidR="00F5718C" w:rsidRPr="00B61DAC" w:rsidRDefault="00F5718C" w:rsidP="0048683E">
      <w:pPr>
        <w:pStyle w:val="Heading2"/>
      </w:pPr>
      <w:bookmarkStart w:id="52" w:name="_Toc40441065"/>
      <w:bookmarkStart w:id="53" w:name="_Toc41315608"/>
      <w:bookmarkStart w:id="54" w:name="_Toc138846253"/>
      <w:r w:rsidRPr="00B61DAC">
        <w:t>Ethics approval</w:t>
      </w:r>
      <w:bookmarkEnd w:id="50"/>
      <w:bookmarkEnd w:id="51"/>
      <w:bookmarkEnd w:id="52"/>
      <w:bookmarkEnd w:id="53"/>
      <w:bookmarkEnd w:id="54"/>
    </w:p>
    <w:p w14:paraId="2A6F814C" w14:textId="77777777" w:rsidR="00F5718C" w:rsidRDefault="00F5718C" w:rsidP="00DA22EF">
      <w:r>
        <w:t>Ethics approval for the project was received from four ethics committees in the three jurisdictions including St Vincent’s Hospital Melbourne (SVHM) Human Research Ethics Committee (HREC), Victoria (HREC/17/SVHM/280), James Cook University HREC (mutual recognition of SVHM HREC, approval HREC/H7348), Menzies School of Health Research (HREC/2018-3072) and the Central Australian HREC (HREC/CA-18-3085).</w:t>
      </w:r>
    </w:p>
    <w:p w14:paraId="69965B11" w14:textId="59A7D63E" w:rsidR="00F5718C" w:rsidRDefault="00F5718C" w:rsidP="00DA22EF">
      <w:r>
        <w:t xml:space="preserve">Approval from each HREC was obtained prior to the commencement of the project in their respective </w:t>
      </w:r>
      <w:r>
        <w:lastRenderedPageBreak/>
        <w:t xml:space="preserve">jurisdictions.  As the project evolved and some changes were made, further approval of changes was received through the submission of amendments to each HREC.  </w:t>
      </w:r>
      <w:r w:rsidR="003C48E4">
        <w:t>T</w:t>
      </w:r>
      <w:r>
        <w:t>he tools used in the qualitative evaluation were approved by the HRECs prior to commencement of this component of the study.</w:t>
      </w:r>
      <w:r w:rsidR="00220AFA">
        <w:t xml:space="preserve">  </w:t>
      </w:r>
      <w:r w:rsidR="00236A10">
        <w:t xml:space="preserve">Project </w:t>
      </w:r>
      <w:r w:rsidR="00220AFA">
        <w:t xml:space="preserve">Information </w:t>
      </w:r>
      <w:r w:rsidR="00236A10">
        <w:t>Briefs</w:t>
      </w:r>
      <w:r w:rsidR="00220AFA">
        <w:t xml:space="preserve"> and </w:t>
      </w:r>
      <w:r w:rsidR="00236A10">
        <w:t>C</w:t>
      </w:r>
      <w:r w:rsidR="00220AFA">
        <w:t xml:space="preserve">onsent </w:t>
      </w:r>
      <w:r w:rsidR="00236A10">
        <w:t>F</w:t>
      </w:r>
      <w:r w:rsidR="00220AFA">
        <w:t xml:space="preserve">orms for sites, pharmacists, </w:t>
      </w:r>
      <w:proofErr w:type="gramStart"/>
      <w:r w:rsidR="00220AFA">
        <w:t>participants</w:t>
      </w:r>
      <w:proofErr w:type="gramEnd"/>
      <w:r w:rsidR="00220AFA">
        <w:t xml:space="preserve"> and GPs are presented in </w:t>
      </w:r>
      <w:r w:rsidR="00220AFA" w:rsidRPr="00346145">
        <w:t xml:space="preserve">Appendix </w:t>
      </w:r>
      <w:r w:rsidR="00346145" w:rsidRPr="00346145">
        <w:t>24</w:t>
      </w:r>
      <w:r w:rsidR="00220AFA" w:rsidRPr="00346145">
        <w:t>.</w:t>
      </w:r>
    </w:p>
    <w:p w14:paraId="08F42A60" w14:textId="2FEE425B" w:rsidR="006947B4" w:rsidRDefault="003A4525" w:rsidP="0048683E">
      <w:pPr>
        <w:pStyle w:val="Heading2"/>
      </w:pPr>
      <w:bookmarkStart w:id="55" w:name="_Toc35513588"/>
      <w:bookmarkStart w:id="56" w:name="_Toc35946594"/>
      <w:bookmarkStart w:id="57" w:name="_Toc40441066"/>
      <w:bookmarkStart w:id="58" w:name="_Toc40350084"/>
      <w:bookmarkStart w:id="59" w:name="_Toc41315609"/>
      <w:bookmarkStart w:id="60" w:name="_Toc138846254"/>
      <w:r>
        <w:t xml:space="preserve">Data </w:t>
      </w:r>
      <w:r w:rsidR="007D6263">
        <w:t>c</w:t>
      </w:r>
      <w:r>
        <w:t>ollection</w:t>
      </w:r>
      <w:bookmarkEnd w:id="55"/>
      <w:bookmarkEnd w:id="56"/>
      <w:bookmarkEnd w:id="57"/>
      <w:bookmarkEnd w:id="58"/>
      <w:bookmarkEnd w:id="59"/>
      <w:bookmarkEnd w:id="60"/>
    </w:p>
    <w:p w14:paraId="45517CFB" w14:textId="1C2919D4" w:rsidR="007E2DEC" w:rsidRDefault="00BA3E7F" w:rsidP="00DA22EF">
      <w:pPr>
        <w:rPr>
          <w:lang w:val="en-GB"/>
        </w:rPr>
      </w:pPr>
      <w:r>
        <w:rPr>
          <w:lang w:val="en-GB"/>
        </w:rPr>
        <w:t>Deidentified data was</w:t>
      </w:r>
      <w:r w:rsidR="00EA4A28" w:rsidRPr="00302DE4">
        <w:rPr>
          <w:lang w:val="en-GB"/>
        </w:rPr>
        <w:t xml:space="preserve"> </w:t>
      </w:r>
      <w:r w:rsidR="000D6606">
        <w:rPr>
          <w:lang w:val="en-GB"/>
        </w:rPr>
        <w:t>extracted</w:t>
      </w:r>
      <w:r w:rsidR="000D6606" w:rsidRPr="00302DE4">
        <w:rPr>
          <w:lang w:val="en-GB"/>
        </w:rPr>
        <w:t xml:space="preserve"> </w:t>
      </w:r>
      <w:r w:rsidR="00EA4A28" w:rsidRPr="00302DE4">
        <w:rPr>
          <w:lang w:val="en-GB"/>
        </w:rPr>
        <w:t xml:space="preserve">from the clinical information systems (CIS) of ACCHSs pertaining to consented </w:t>
      </w:r>
      <w:r w:rsidR="003C32C4">
        <w:rPr>
          <w:lang w:val="en-GB"/>
        </w:rPr>
        <w:t>participants</w:t>
      </w:r>
      <w:r w:rsidR="00EA4A28" w:rsidRPr="00302DE4">
        <w:rPr>
          <w:lang w:val="en-GB"/>
        </w:rPr>
        <w:t xml:space="preserve"> through an electronic data extraction tool known as GRHANITE</w:t>
      </w:r>
      <w:r w:rsidR="00EA4A28" w:rsidRPr="00866C13">
        <w:rPr>
          <w:vertAlign w:val="superscript"/>
          <w:lang w:val="en-GB"/>
        </w:rPr>
        <w:t>TM</w:t>
      </w:r>
      <w:r w:rsidR="00EA4A28" w:rsidRPr="00302DE4">
        <w:rPr>
          <w:lang w:val="en-GB"/>
        </w:rPr>
        <w:t xml:space="preserve">. </w:t>
      </w:r>
      <w:r w:rsidR="003C32C4">
        <w:rPr>
          <w:lang w:val="en-GB"/>
        </w:rPr>
        <w:t>Data included participant</w:t>
      </w:r>
      <w:r w:rsidR="003C32C4" w:rsidRPr="003C32C4">
        <w:rPr>
          <w:lang w:val="en-GB"/>
        </w:rPr>
        <w:t xml:space="preserve"> demographic</w:t>
      </w:r>
      <w:r w:rsidR="007E2DEC">
        <w:rPr>
          <w:lang w:val="en-GB"/>
        </w:rPr>
        <w:t>s</w:t>
      </w:r>
      <w:r w:rsidR="003C32C4" w:rsidRPr="003C32C4">
        <w:rPr>
          <w:lang w:val="en-GB"/>
        </w:rPr>
        <w:t xml:space="preserve">, biomedical </w:t>
      </w:r>
      <w:r w:rsidR="007E2DEC">
        <w:rPr>
          <w:lang w:val="en-GB"/>
        </w:rPr>
        <w:t xml:space="preserve">measures </w:t>
      </w:r>
      <w:r w:rsidR="003C32C4" w:rsidRPr="003C32C4">
        <w:rPr>
          <w:lang w:val="en-GB"/>
        </w:rPr>
        <w:t xml:space="preserve">and indices for contact, and measures of health service utilization (MBS items, </w:t>
      </w:r>
      <w:proofErr w:type="spellStart"/>
      <w:proofErr w:type="gramStart"/>
      <w:r w:rsidR="003C32C4" w:rsidRPr="003C32C4">
        <w:rPr>
          <w:lang w:val="en-GB"/>
        </w:rPr>
        <w:t>eg</w:t>
      </w:r>
      <w:proofErr w:type="spellEnd"/>
      <w:proofErr w:type="gramEnd"/>
      <w:r w:rsidR="003C32C4" w:rsidRPr="003C32C4">
        <w:rPr>
          <w:lang w:val="en-GB"/>
        </w:rPr>
        <w:t xml:space="preserve"> home medicines reviews).</w:t>
      </w:r>
      <w:r w:rsidR="003C32C4">
        <w:rPr>
          <w:lang w:val="en-GB"/>
        </w:rPr>
        <w:t xml:space="preserve"> </w:t>
      </w:r>
      <w:r w:rsidR="00EA4A28">
        <w:rPr>
          <w:lang w:val="en-GB"/>
        </w:rPr>
        <w:t xml:space="preserve">Additional deidentified data on </w:t>
      </w:r>
      <w:r w:rsidR="000D6606">
        <w:rPr>
          <w:lang w:val="en-GB"/>
        </w:rPr>
        <w:t xml:space="preserve">participant </w:t>
      </w:r>
      <w:r w:rsidR="00EA4A28">
        <w:rPr>
          <w:lang w:val="en-GB"/>
        </w:rPr>
        <w:t>interactions</w:t>
      </w:r>
      <w:r w:rsidR="00EA4A28" w:rsidRPr="00302DE4">
        <w:rPr>
          <w:lang w:val="en-GB"/>
        </w:rPr>
        <w:t xml:space="preserve"> </w:t>
      </w:r>
      <w:r w:rsidR="007E2DEC">
        <w:rPr>
          <w:lang w:val="en-GB"/>
        </w:rPr>
        <w:t>(such as</w:t>
      </w:r>
      <w:r w:rsidR="007E2DEC" w:rsidRPr="00FC044C">
        <w:t xml:space="preserve"> </w:t>
      </w:r>
      <w:r w:rsidR="007E2DEC">
        <w:t xml:space="preserve">medication management reviews, assessments of medication adherence, appropriateness and </w:t>
      </w:r>
      <w:proofErr w:type="spellStart"/>
      <w:r w:rsidR="007E2DEC">
        <w:t>underutilisation</w:t>
      </w:r>
      <w:proofErr w:type="spellEnd"/>
      <w:r w:rsidR="007E2DEC">
        <w:t>, self-assessed health status and education)</w:t>
      </w:r>
      <w:r w:rsidR="007E2DEC" w:rsidRPr="00302DE4">
        <w:rPr>
          <w:lang w:val="en-GB"/>
        </w:rPr>
        <w:t xml:space="preserve"> </w:t>
      </w:r>
      <w:r w:rsidR="00EA4A28" w:rsidRPr="00302DE4">
        <w:rPr>
          <w:lang w:val="en-GB"/>
        </w:rPr>
        <w:t xml:space="preserve">and </w:t>
      </w:r>
      <w:r w:rsidR="00EA4A28">
        <w:rPr>
          <w:lang w:val="en-GB"/>
        </w:rPr>
        <w:t xml:space="preserve">services related to health care staff and </w:t>
      </w:r>
      <w:r w:rsidR="00EA4A28" w:rsidRPr="00302DE4">
        <w:rPr>
          <w:lang w:val="en-GB"/>
        </w:rPr>
        <w:t>systems</w:t>
      </w:r>
      <w:r w:rsidR="007E2DEC">
        <w:rPr>
          <w:lang w:val="en-GB"/>
        </w:rPr>
        <w:t xml:space="preserve"> (such as team-based collaborations, education, stakeholder liaison plans, contact with community pharmacies, transitional care</w:t>
      </w:r>
      <w:r w:rsidR="00866C13">
        <w:rPr>
          <w:lang w:val="en-GB"/>
        </w:rPr>
        <w:t xml:space="preserve"> occasions</w:t>
      </w:r>
      <w:r w:rsidR="007E2DEC">
        <w:rPr>
          <w:lang w:val="en-GB"/>
        </w:rPr>
        <w:t>, and drug utilisation reviews)</w:t>
      </w:r>
      <w:r w:rsidR="00EA4A28" w:rsidRPr="00302DE4">
        <w:rPr>
          <w:lang w:val="en-GB"/>
        </w:rPr>
        <w:t xml:space="preserve"> w</w:t>
      </w:r>
      <w:r w:rsidR="007E2DEC">
        <w:rPr>
          <w:lang w:val="en-GB"/>
        </w:rPr>
        <w:t>ere</w:t>
      </w:r>
      <w:r w:rsidR="00EA4A28" w:rsidRPr="00302DE4">
        <w:rPr>
          <w:lang w:val="en-GB"/>
        </w:rPr>
        <w:t xml:space="preserve"> </w:t>
      </w:r>
      <w:r w:rsidR="00EA4A28">
        <w:rPr>
          <w:lang w:val="en-GB"/>
        </w:rPr>
        <w:t>recorded</w:t>
      </w:r>
      <w:r w:rsidR="00EA4A28" w:rsidRPr="00302DE4">
        <w:rPr>
          <w:lang w:val="en-GB"/>
        </w:rPr>
        <w:t xml:space="preserve"> by </w:t>
      </w:r>
      <w:r w:rsidR="00EA4A28">
        <w:rPr>
          <w:lang w:val="en-GB"/>
        </w:rPr>
        <w:t>the integrated</w:t>
      </w:r>
      <w:r w:rsidR="00EA4A28" w:rsidRPr="00302DE4">
        <w:rPr>
          <w:lang w:val="en-GB"/>
        </w:rPr>
        <w:t xml:space="preserve"> pharmacists </w:t>
      </w:r>
      <w:r w:rsidR="00866C13">
        <w:rPr>
          <w:lang w:val="en-GB"/>
        </w:rPr>
        <w:t>in</w:t>
      </w:r>
      <w:r w:rsidR="00EA4A28" w:rsidRPr="00302DE4">
        <w:rPr>
          <w:lang w:val="en-GB"/>
        </w:rPr>
        <w:t xml:space="preserve"> an electronic logbook</w:t>
      </w:r>
      <w:r w:rsidR="00EA4A28">
        <w:rPr>
          <w:lang w:val="en-GB"/>
        </w:rPr>
        <w:t xml:space="preserve">.  </w:t>
      </w:r>
    </w:p>
    <w:p w14:paraId="151B05C3" w14:textId="72D4AFF0" w:rsidR="007E2DEC" w:rsidRDefault="005D1C96" w:rsidP="00DA22EF">
      <w:r>
        <w:t>E</w:t>
      </w:r>
      <w:r w:rsidR="007E2DEC">
        <w:t xml:space="preserve">xisting </w:t>
      </w:r>
      <w:r w:rsidR="00860FDB">
        <w:t xml:space="preserve">tools </w:t>
      </w:r>
      <w:r>
        <w:t>used included</w:t>
      </w:r>
      <w:r w:rsidR="007E2DEC">
        <w:t xml:space="preserve"> the medication appropriateness </w:t>
      </w:r>
      <w:r w:rsidR="007E2DEC" w:rsidRPr="005D1C96">
        <w:t xml:space="preserve">index and </w:t>
      </w:r>
      <w:r w:rsidRPr="005D1C96">
        <w:t xml:space="preserve">the first question (SF1) of the Short Form (SF)-36 health related quality of life instrument </w:t>
      </w:r>
      <w:r w:rsidR="00D25942" w:rsidRPr="005D1C96">
        <w:t>to measu</w:t>
      </w:r>
      <w:r w:rsidR="00D25942">
        <w:t>re self-assessed health status</w:t>
      </w:r>
      <w:r w:rsidR="007E2DEC">
        <w:t xml:space="preserve">. </w:t>
      </w:r>
      <w:r w:rsidR="00D25942">
        <w:t xml:space="preserve">Existing processes and rules for Home Medicines Reviews were observed.  </w:t>
      </w:r>
      <w:r w:rsidR="007E2DEC">
        <w:t xml:space="preserve">Other </w:t>
      </w:r>
      <w:r w:rsidR="00866C13">
        <w:t xml:space="preserve">data collection </w:t>
      </w:r>
      <w:r w:rsidR="007E2DEC">
        <w:t xml:space="preserve">tools were </w:t>
      </w:r>
      <w:r w:rsidR="00860FDB">
        <w:t xml:space="preserve">adapted from established </w:t>
      </w:r>
      <w:r w:rsidR="009417BB">
        <w:t>tools or</w:t>
      </w:r>
      <w:r w:rsidR="00860FDB">
        <w:t xml:space="preserve"> </w:t>
      </w:r>
      <w:r w:rsidR="007E2DEC">
        <w:t xml:space="preserve">had to be </w:t>
      </w:r>
      <w:r w:rsidR="00860FDB">
        <w:t>developed</w:t>
      </w:r>
      <w:r w:rsidR="007E2DEC">
        <w:t xml:space="preserve"> to meet the specific requirements </w:t>
      </w:r>
      <w:proofErr w:type="gramStart"/>
      <w:r w:rsidR="000F1441">
        <w:t xml:space="preserve">of </w:t>
      </w:r>
      <w:r w:rsidR="007E2DEC">
        <w:t xml:space="preserve"> the</w:t>
      </w:r>
      <w:proofErr w:type="gramEnd"/>
      <w:r w:rsidR="007E2DEC">
        <w:t xml:space="preserve"> project</w:t>
      </w:r>
      <w:r w:rsidR="00D25942">
        <w:t>.  These included</w:t>
      </w:r>
      <w:r w:rsidR="007E2DEC">
        <w:t xml:space="preserve"> the </w:t>
      </w:r>
      <w:r w:rsidR="00D25942">
        <w:t>h</w:t>
      </w:r>
      <w:r w:rsidR="007E2DEC">
        <w:t>e</w:t>
      </w:r>
      <w:r w:rsidR="00D25942">
        <w:t>a</w:t>
      </w:r>
      <w:r w:rsidR="007E2DEC">
        <w:t>lth systems assessment</w:t>
      </w:r>
      <w:r w:rsidR="00866C13">
        <w:t xml:space="preserve"> form</w:t>
      </w:r>
      <w:r w:rsidR="007E2DEC">
        <w:t>, assessment</w:t>
      </w:r>
      <w:r w:rsidR="00866C13">
        <w:t xml:space="preserve"> criteria for</w:t>
      </w:r>
      <w:r w:rsidR="007E2DEC">
        <w:t xml:space="preserve"> </w:t>
      </w:r>
      <w:r>
        <w:t xml:space="preserve">medication </w:t>
      </w:r>
      <w:r w:rsidR="00D25942">
        <w:t>underutilization</w:t>
      </w:r>
      <w:r w:rsidR="00866C13">
        <w:t xml:space="preserve"> and medication-</w:t>
      </w:r>
      <w:r w:rsidR="007E2DEC">
        <w:t>r</w:t>
      </w:r>
      <w:r w:rsidR="00866C13">
        <w:t>elated</w:t>
      </w:r>
      <w:r w:rsidR="007E2DEC">
        <w:t xml:space="preserve"> problems</w:t>
      </w:r>
      <w:r w:rsidR="00D25942">
        <w:t xml:space="preserve">, </w:t>
      </w:r>
      <w:r w:rsidR="00451301">
        <w:t xml:space="preserve">a </w:t>
      </w:r>
      <w:r w:rsidR="00D25942">
        <w:t xml:space="preserve">medication adherence patient </w:t>
      </w:r>
      <w:proofErr w:type="gramStart"/>
      <w:r w:rsidR="00D25942">
        <w:t>survey</w:t>
      </w:r>
      <w:proofErr w:type="gramEnd"/>
      <w:r w:rsidR="00D25942">
        <w:t xml:space="preserve"> and processes for non-home medicines reviews.</w:t>
      </w:r>
    </w:p>
    <w:p w14:paraId="352A834D" w14:textId="52FB049D" w:rsidR="00D25942" w:rsidRDefault="00D25942" w:rsidP="00DA22EF">
      <w:r>
        <w:t xml:space="preserve">Templates were designed to collect details about follow-up to a HMR or non-HMR, team-based collaborations, </w:t>
      </w:r>
      <w:r w:rsidR="005D1C96">
        <w:t xml:space="preserve">provision of </w:t>
      </w:r>
      <w:r>
        <w:t xml:space="preserve">medicines information services, education and training, </w:t>
      </w:r>
      <w:r w:rsidR="005D1C96">
        <w:t xml:space="preserve">implementation of </w:t>
      </w:r>
      <w:r>
        <w:t>stakeholder liaison plans, contact with community pharmacy, transition care occasions and drug utilization reviews.</w:t>
      </w:r>
    </w:p>
    <w:p w14:paraId="1A0A567B" w14:textId="4CCD375C" w:rsidR="006947B4" w:rsidRDefault="00860FDB" w:rsidP="00DA22EF">
      <w:r>
        <w:t xml:space="preserve">Data collected </w:t>
      </w:r>
      <w:r w:rsidR="007E2DEC">
        <w:t>through</w:t>
      </w:r>
      <w:r>
        <w:t xml:space="preserve"> </w:t>
      </w:r>
      <w:r w:rsidR="005D1C96">
        <w:t>all assessments,</w:t>
      </w:r>
      <w:r>
        <w:t xml:space="preserve"> tools</w:t>
      </w:r>
      <w:r w:rsidR="00D25942">
        <w:t xml:space="preserve"> and templates</w:t>
      </w:r>
      <w:r w:rsidR="005D1C96">
        <w:t xml:space="preserve"> </w:t>
      </w:r>
      <w:r>
        <w:t xml:space="preserve">was entered into the logbook, </w:t>
      </w:r>
      <w:proofErr w:type="gramStart"/>
      <w:r>
        <w:t>with the exception of</w:t>
      </w:r>
      <w:proofErr w:type="gramEnd"/>
      <w:r>
        <w:t xml:space="preserve"> the </w:t>
      </w:r>
      <w:r w:rsidR="007257AC">
        <w:t>h</w:t>
      </w:r>
      <w:r>
        <w:t xml:space="preserve">ealth </w:t>
      </w:r>
      <w:r w:rsidR="007257AC">
        <w:t>s</w:t>
      </w:r>
      <w:r>
        <w:t xml:space="preserve">ystems </w:t>
      </w:r>
      <w:r w:rsidR="007257AC">
        <w:t>a</w:t>
      </w:r>
      <w:r>
        <w:t xml:space="preserve">ssessment.  </w:t>
      </w:r>
      <w:r w:rsidR="00BA3E7F">
        <w:rPr>
          <w:lang w:val="en-GB"/>
        </w:rPr>
        <w:t xml:space="preserve">Qualitative evaluation was informed through focus groups, interviews and observations undertaken through three site visits, </w:t>
      </w:r>
      <w:r>
        <w:rPr>
          <w:lang w:val="en-GB"/>
        </w:rPr>
        <w:t xml:space="preserve">and online surveys with CEOs, managers, general </w:t>
      </w:r>
      <w:proofErr w:type="gramStart"/>
      <w:r>
        <w:rPr>
          <w:lang w:val="en-GB"/>
        </w:rPr>
        <w:t>practitioners</w:t>
      </w:r>
      <w:proofErr w:type="gramEnd"/>
      <w:r>
        <w:rPr>
          <w:lang w:val="en-GB"/>
        </w:rPr>
        <w:t xml:space="preserve"> and community pharmacists from all sites. </w:t>
      </w:r>
      <w:r w:rsidR="0006448D">
        <w:rPr>
          <w:lang w:val="en-GB"/>
        </w:rPr>
        <w:t xml:space="preserve">Economic analyses used participant, health services, and intervention costs data. </w:t>
      </w:r>
    </w:p>
    <w:p w14:paraId="53740645" w14:textId="77777777" w:rsidR="006947B4" w:rsidRDefault="006947B4" w:rsidP="0048683E">
      <w:pPr>
        <w:pStyle w:val="Heading3"/>
        <w:rPr>
          <w:rFonts w:cstheme="majorBidi"/>
        </w:rPr>
      </w:pPr>
      <w:bookmarkStart w:id="61" w:name="_Toc35513589"/>
      <w:bookmarkStart w:id="62" w:name="_Toc35946595"/>
      <w:bookmarkStart w:id="63" w:name="_Toc40350085"/>
      <w:bookmarkStart w:id="64" w:name="_Toc40441067"/>
      <w:bookmarkStart w:id="65" w:name="_Toc41315610"/>
      <w:bookmarkStart w:id="66" w:name="_Toc138846255"/>
      <w:r>
        <w:t>GRHANITE</w:t>
      </w:r>
      <w:r w:rsidR="00602590" w:rsidRPr="00602590">
        <w:rPr>
          <w:vertAlign w:val="superscript"/>
        </w:rPr>
        <w:t>TM</w:t>
      </w:r>
      <w:r>
        <w:t xml:space="preserve"> data </w:t>
      </w:r>
      <w:r w:rsidRPr="003F03B1">
        <w:t>extraction</w:t>
      </w:r>
      <w:r>
        <w:t xml:space="preserve"> software</w:t>
      </w:r>
      <w:bookmarkEnd w:id="61"/>
      <w:bookmarkEnd w:id="62"/>
      <w:bookmarkEnd w:id="63"/>
      <w:bookmarkEnd w:id="64"/>
      <w:bookmarkEnd w:id="65"/>
      <w:bookmarkEnd w:id="66"/>
    </w:p>
    <w:p w14:paraId="2521704A" w14:textId="435A5D35" w:rsidR="006947B4" w:rsidRPr="001F4C53" w:rsidRDefault="00A7437D" w:rsidP="00DA22EF">
      <w:r w:rsidRPr="001F4C53">
        <w:t>GRHANITE™</w:t>
      </w:r>
      <w:r>
        <w:t xml:space="preserve"> </w:t>
      </w:r>
      <w:r w:rsidR="00FC044C">
        <w:t xml:space="preserve">software </w:t>
      </w:r>
      <w:r>
        <w:t>extracted d</w:t>
      </w:r>
      <w:r w:rsidR="006947B4" w:rsidRPr="001F4C53">
        <w:t>emographic, biomedical and health service utilization indices from the ACCHSs CISs</w:t>
      </w:r>
      <w:r>
        <w:t>.</w:t>
      </w:r>
      <w:r w:rsidRPr="001F4C53">
        <w:rPr>
          <w:vertAlign w:val="superscript"/>
        </w:rPr>
        <w:endnoteReference w:id="27"/>
      </w:r>
      <w:r w:rsidRPr="001F4C53">
        <w:t xml:space="preserve"> </w:t>
      </w:r>
      <w:r w:rsidR="006947B4" w:rsidRPr="001F4C53">
        <w:t xml:space="preserve"> ACCHSs consented to have the software installed within their server environments (via remote connection) and for regular data extractions to occur for the term of the project.  ACCHSs used either </w:t>
      </w:r>
      <w:proofErr w:type="spellStart"/>
      <w:r w:rsidR="006947B4" w:rsidRPr="001F4C53">
        <w:t>Communicare</w:t>
      </w:r>
      <w:proofErr w:type="spellEnd"/>
      <w:r w:rsidR="006947B4" w:rsidRPr="001F4C53">
        <w:t xml:space="preserve"> or Best Practice</w:t>
      </w:r>
      <w:r w:rsidR="00331214" w:rsidRPr="001F4C53">
        <w:t xml:space="preserve"> as their CIS</w:t>
      </w:r>
      <w:r w:rsidR="006947B4" w:rsidRPr="001F4C53">
        <w:t xml:space="preserve">. Participant consent was recorded in the CIS by the </w:t>
      </w:r>
      <w:r w:rsidR="00DB1C92">
        <w:t>integrated</w:t>
      </w:r>
      <w:r w:rsidR="006947B4" w:rsidRPr="001F4C53">
        <w:t xml:space="preserve"> pharmacists. </w:t>
      </w:r>
      <w:r w:rsidR="00602590" w:rsidRPr="001F4C53">
        <w:t>GRHANITE™</w:t>
      </w:r>
      <w:r>
        <w:t xml:space="preserve"> data was </w:t>
      </w:r>
      <w:r w:rsidR="006947B4" w:rsidRPr="001F4C53">
        <w:t xml:space="preserve">copied to a JCU databank employing internationally </w:t>
      </w:r>
      <w:proofErr w:type="spellStart"/>
      <w:r w:rsidR="006947B4" w:rsidRPr="001F4C53">
        <w:t>recognised</w:t>
      </w:r>
      <w:proofErr w:type="spellEnd"/>
      <w:r w:rsidR="006947B4" w:rsidRPr="001F4C53">
        <w:t xml:space="preserve"> point-to-point encryption (P2PE) mechanisms to protect data in transit.</w:t>
      </w:r>
    </w:p>
    <w:p w14:paraId="67014FA9" w14:textId="2389AAB9" w:rsidR="006947B4" w:rsidRPr="001F4C53" w:rsidRDefault="006947B4" w:rsidP="00DA22EF">
      <w:r w:rsidRPr="001F4C53">
        <w:t xml:space="preserve">The scope of the data extractions was agreed based on IPAC-specific data requirements (approved by HRECs) and data definitions </w:t>
      </w:r>
      <w:r w:rsidR="00331214" w:rsidRPr="001F4C53">
        <w:t>used within</w:t>
      </w:r>
      <w:r w:rsidRPr="001F4C53">
        <w:t xml:space="preserve"> the </w:t>
      </w:r>
      <w:proofErr w:type="spellStart"/>
      <w:r w:rsidRPr="001F4C53">
        <w:t>Communicare</w:t>
      </w:r>
      <w:proofErr w:type="spellEnd"/>
      <w:r w:rsidRPr="001F4C53">
        <w:t xml:space="preserve"> and Best Practice systems, to develop an XML software interface to extract the data. Each ACCHS successfully completed ‘site acceptance testing’ after installation of the software that confirmed the data extracted was fit-for purpose. The integrity of the data extraction process was monitored through weekly data downloads. XML interface maintenance ensured that any </w:t>
      </w:r>
      <w:r w:rsidRPr="001F4C53">
        <w:lastRenderedPageBreak/>
        <w:t xml:space="preserve">vendor software upgrades to the CIS were aligned with data extract definitions. The de-identified CIS participant identification numbers in the </w:t>
      </w:r>
      <w:r w:rsidR="00602590" w:rsidRPr="001F4C53">
        <w:t>GRHANITE™</w:t>
      </w:r>
      <w:r w:rsidR="00DB1C92">
        <w:t xml:space="preserve"> </w:t>
      </w:r>
      <w:r w:rsidRPr="001F4C53">
        <w:t xml:space="preserve">extractions linked with participant data recorded by pharmacists in the </w:t>
      </w:r>
      <w:r w:rsidR="00DB1C92">
        <w:t xml:space="preserve">electronic </w:t>
      </w:r>
      <w:r w:rsidRPr="001F4C53">
        <w:t>logbook.</w:t>
      </w:r>
    </w:p>
    <w:p w14:paraId="70854FB5" w14:textId="70850060" w:rsidR="006947B4" w:rsidRDefault="006947B4" w:rsidP="0048683E">
      <w:pPr>
        <w:pStyle w:val="Heading3"/>
        <w:rPr>
          <w:rFonts w:cstheme="majorBidi"/>
          <w:lang w:eastAsia="en-AU"/>
        </w:rPr>
      </w:pPr>
      <w:bookmarkStart w:id="67" w:name="_Toc35513590"/>
      <w:bookmarkStart w:id="68" w:name="_Toc35946596"/>
      <w:bookmarkStart w:id="69" w:name="_Toc40350086"/>
      <w:bookmarkStart w:id="70" w:name="_Toc40441068"/>
      <w:bookmarkStart w:id="71" w:name="_Toc41315611"/>
      <w:bookmarkStart w:id="72" w:name="_Toc138846256"/>
      <w:r>
        <w:rPr>
          <w:lang w:eastAsia="en-AU"/>
        </w:rPr>
        <w:t xml:space="preserve">Pharmacist </w:t>
      </w:r>
      <w:r w:rsidR="007D6263">
        <w:rPr>
          <w:lang w:eastAsia="en-AU"/>
        </w:rPr>
        <w:t>l</w:t>
      </w:r>
      <w:r>
        <w:rPr>
          <w:lang w:eastAsia="en-AU"/>
        </w:rPr>
        <w:t>ogbook</w:t>
      </w:r>
      <w:bookmarkEnd w:id="67"/>
      <w:bookmarkEnd w:id="68"/>
      <w:bookmarkEnd w:id="69"/>
      <w:bookmarkEnd w:id="70"/>
      <w:bookmarkEnd w:id="71"/>
      <w:bookmarkEnd w:id="72"/>
    </w:p>
    <w:p w14:paraId="454FD415" w14:textId="77777777" w:rsidR="0046364E" w:rsidRDefault="0046364E" w:rsidP="00DA22EF">
      <w:pPr>
        <w:rPr>
          <w:szCs w:val="21"/>
        </w:rPr>
      </w:pPr>
      <w:bookmarkStart w:id="73" w:name="_Toc35513591"/>
      <w:bookmarkStart w:id="74" w:name="_Toc35946597"/>
      <w:r>
        <w:t xml:space="preserve">The integrated pharmacists recorded data on all ten core roles in a bespoke electronic pharmacist logbook.  The logbook was a password protected, electronic database, accessible from any internet-connected device. It was designed specifically for the project and had dual functionality for data entry and reporting.  Each core role had its own ‘questionnaire’ in the logbook to record all required data for that specific activity.  An additional questionnaire recorded details of participants withdrawn from the study.  </w:t>
      </w:r>
      <w:r w:rsidRPr="00796366">
        <w:t xml:space="preserve">The </w:t>
      </w:r>
      <w:r>
        <w:t xml:space="preserve">logbook design was </w:t>
      </w:r>
      <w:proofErr w:type="spellStart"/>
      <w:r>
        <w:t>optimised</w:t>
      </w:r>
      <w:proofErr w:type="spellEnd"/>
      <w:r>
        <w:t xml:space="preserve"> to make data </w:t>
      </w:r>
      <w:r w:rsidRPr="00796366">
        <w:t xml:space="preserve">collection </w:t>
      </w:r>
      <w:r>
        <w:t xml:space="preserve">and entry </w:t>
      </w:r>
      <w:r w:rsidRPr="00796366">
        <w:t>useful</w:t>
      </w:r>
      <w:r>
        <w:t xml:space="preserve"> and efficient. The</w:t>
      </w:r>
      <w:r w:rsidRPr="00796366">
        <w:t xml:space="preserve"> use of </w:t>
      </w:r>
      <w:r>
        <w:t>‘</w:t>
      </w:r>
      <w:r w:rsidRPr="00796366">
        <w:t>select-from</w:t>
      </w:r>
      <w:r>
        <w:t>’</w:t>
      </w:r>
      <w:r w:rsidRPr="00796366">
        <w:t xml:space="preserve"> lists </w:t>
      </w:r>
      <w:r>
        <w:t xml:space="preserve">and multiple-choice questions was </w:t>
      </w:r>
      <w:proofErr w:type="spellStart"/>
      <w:r w:rsidRPr="00796366">
        <w:t>maximised</w:t>
      </w:r>
      <w:proofErr w:type="spellEnd"/>
      <w:r w:rsidRPr="00796366">
        <w:t xml:space="preserve"> </w:t>
      </w:r>
      <w:r>
        <w:t xml:space="preserve">were possible </w:t>
      </w:r>
      <w:r w:rsidRPr="00796366">
        <w:t xml:space="preserve">and free text fields only used where </w:t>
      </w:r>
      <w:r>
        <w:t>necessary</w:t>
      </w:r>
      <w:r w:rsidRPr="00796366">
        <w:t>.</w:t>
      </w:r>
      <w:r w:rsidRPr="009E1220">
        <w:rPr>
          <w:szCs w:val="21"/>
        </w:rPr>
        <w:t xml:space="preserve"> </w:t>
      </w:r>
      <w:r w:rsidRPr="00796366">
        <w:t xml:space="preserve">As part of </w:t>
      </w:r>
      <w:r>
        <w:t>certain core role</w:t>
      </w:r>
      <w:r w:rsidRPr="00E530AC">
        <w:t xml:space="preserve"> </w:t>
      </w:r>
      <w:r>
        <w:t>questionnaires</w:t>
      </w:r>
      <w:r w:rsidRPr="00796366">
        <w:t xml:space="preserve">, pharmacists </w:t>
      </w:r>
      <w:r>
        <w:t>were</w:t>
      </w:r>
      <w:r w:rsidRPr="00796366">
        <w:t xml:space="preserve"> able to upload </w:t>
      </w:r>
      <w:r>
        <w:t xml:space="preserve">a </w:t>
      </w:r>
      <w:r w:rsidRPr="00796366">
        <w:t>PDF</w:t>
      </w:r>
      <w:r>
        <w:t xml:space="preserve"> document to support their activity entry</w:t>
      </w:r>
      <w:r w:rsidRPr="00796366">
        <w:t>.</w:t>
      </w:r>
    </w:p>
    <w:p w14:paraId="54310456" w14:textId="77777777" w:rsidR="0046364E" w:rsidRDefault="0046364E" w:rsidP="00DA22EF">
      <w:r>
        <w:rPr>
          <w:szCs w:val="21"/>
        </w:rPr>
        <w:t xml:space="preserve">Logbook system administration was managed by a JCU administrator and a data custodian.  Security was paramount and all users of the logbook had to be approved by the administrator, who could manage the creation and deactivation of accounts.  Pharmacists were only able to access the system when the PSA had advised JCU of their commencement and details. Individual accounts were set up and pharmacists set their own password </w:t>
      </w:r>
      <w:r>
        <w:t>to ensure security and integrity of the system.</w:t>
      </w:r>
      <w:r w:rsidRPr="001541F3">
        <w:t xml:space="preserve"> </w:t>
      </w:r>
      <w:r>
        <w:t>Using a permissions-based hierarchy meant that each pharmacist</w:t>
      </w:r>
      <w:r w:rsidRPr="00796366">
        <w:t xml:space="preserve"> </w:t>
      </w:r>
      <w:r>
        <w:t>could</w:t>
      </w:r>
      <w:r w:rsidRPr="00796366">
        <w:t xml:space="preserve"> only see their own </w:t>
      </w:r>
      <w:r>
        <w:t>data,</w:t>
      </w:r>
      <w:r w:rsidRPr="00796366">
        <w:t xml:space="preserve"> whereas administrators </w:t>
      </w:r>
      <w:r>
        <w:t>were</w:t>
      </w:r>
      <w:r w:rsidRPr="00796366">
        <w:t xml:space="preserve"> able to </w:t>
      </w:r>
      <w:r>
        <w:t>run overall</w:t>
      </w:r>
      <w:r w:rsidRPr="00796366">
        <w:t xml:space="preserve"> data reports and </w:t>
      </w:r>
      <w:r>
        <w:t xml:space="preserve">view </w:t>
      </w:r>
      <w:r w:rsidRPr="00796366">
        <w:t>the activity of each pharmacist.</w:t>
      </w:r>
    </w:p>
    <w:p w14:paraId="0F855AA9" w14:textId="77777777" w:rsidR="0046364E" w:rsidRDefault="0046364E" w:rsidP="00DA22EF">
      <w:r>
        <w:t xml:space="preserve">The </w:t>
      </w:r>
      <w:r w:rsidRPr="00796366">
        <w:t xml:space="preserve">JCU </w:t>
      </w:r>
      <w:r>
        <w:t>a</w:t>
      </w:r>
      <w:r w:rsidRPr="00796366">
        <w:t xml:space="preserve">dministrator, with the permission and support of the </w:t>
      </w:r>
      <w:r>
        <w:t>software developer</w:t>
      </w:r>
      <w:r w:rsidRPr="00796366">
        <w:t xml:space="preserve">, </w:t>
      </w:r>
      <w:r>
        <w:t>created</w:t>
      </w:r>
      <w:r w:rsidRPr="00796366">
        <w:t xml:space="preserve"> </w:t>
      </w:r>
      <w:r>
        <w:t>a guidebook</w:t>
      </w:r>
      <w:r w:rsidRPr="00796366">
        <w:t xml:space="preserve"> with step</w:t>
      </w:r>
      <w:r w:rsidR="00DB1C92">
        <w:t>-</w:t>
      </w:r>
      <w:r w:rsidRPr="00796366">
        <w:t>by</w:t>
      </w:r>
      <w:r w:rsidR="00DB1C92">
        <w:t>-</w:t>
      </w:r>
      <w:r w:rsidRPr="00796366">
        <w:t xml:space="preserve">step instructions and screenshots for </w:t>
      </w:r>
      <w:r>
        <w:t>p</w:t>
      </w:r>
      <w:r w:rsidRPr="00796366">
        <w:t xml:space="preserve">harmacists to help </w:t>
      </w:r>
      <w:r>
        <w:t xml:space="preserve">them </w:t>
      </w:r>
      <w:r w:rsidRPr="00796366">
        <w:t xml:space="preserve">navigate the system. </w:t>
      </w:r>
      <w:r>
        <w:t xml:space="preserve"> Pharmacists were expected to enter data on their activity at the end of each IPAC project working day.  </w:t>
      </w:r>
    </w:p>
    <w:p w14:paraId="68527A4D" w14:textId="657D30FD" w:rsidR="0046364E" w:rsidRPr="00140941" w:rsidRDefault="0046364E" w:rsidP="00DA22EF">
      <w:r>
        <w:t>Raw data was downloaded from the logbook into Microsoft Excel. T</w:t>
      </w:r>
      <w:r w:rsidRPr="00DE218B">
        <w:t xml:space="preserve">o facilitate </w:t>
      </w:r>
      <w:r>
        <w:t xml:space="preserve">the </w:t>
      </w:r>
      <w:r w:rsidRPr="00DE218B">
        <w:t>monitoring</w:t>
      </w:r>
      <w:r>
        <w:t xml:space="preserve"> of pharmacist activity, t</w:t>
      </w:r>
      <w:r w:rsidRPr="00DE218B">
        <w:t xml:space="preserve">he JCU Team </w:t>
      </w:r>
      <w:proofErr w:type="spellStart"/>
      <w:r>
        <w:t>analysed</w:t>
      </w:r>
      <w:proofErr w:type="spellEnd"/>
      <w:r>
        <w:t xml:space="preserve"> high level quantitative logbook data and </w:t>
      </w:r>
      <w:r w:rsidRPr="00DE218B">
        <w:t xml:space="preserve">provided monthly reports to the project operational team on the </w:t>
      </w:r>
      <w:r>
        <w:t xml:space="preserve">pharmacists’ </w:t>
      </w:r>
      <w:r w:rsidRPr="00DE218B">
        <w:t>levels of activity</w:t>
      </w:r>
      <w:r>
        <w:t xml:space="preserve"> for each of the 10 core roles, including selected project targets,</w:t>
      </w:r>
      <w:r w:rsidRPr="00DE218B">
        <w:t xml:space="preserve"> during the implementation phase</w:t>
      </w:r>
      <w:r>
        <w:t xml:space="preserve"> and for the duration of the project</w:t>
      </w:r>
      <w:r w:rsidRPr="00DE218B">
        <w:t>.</w:t>
      </w:r>
      <w:r>
        <w:t xml:space="preserve">  </w:t>
      </w:r>
    </w:p>
    <w:p w14:paraId="64FAF951" w14:textId="77777777" w:rsidR="0004201C" w:rsidRDefault="0004201C" w:rsidP="0048683E">
      <w:pPr>
        <w:pStyle w:val="Heading3"/>
        <w:rPr>
          <w:rFonts w:cstheme="majorBidi"/>
        </w:rPr>
      </w:pPr>
      <w:bookmarkStart w:id="75" w:name="_Toc35513596"/>
      <w:bookmarkStart w:id="76" w:name="_Toc35946602"/>
      <w:bookmarkStart w:id="77" w:name="_Toc40350087"/>
      <w:bookmarkStart w:id="78" w:name="_Toc40441069"/>
      <w:bookmarkStart w:id="79" w:name="_Toc41315612"/>
      <w:bookmarkStart w:id="80" w:name="_Toc138846257"/>
      <w:r>
        <w:t xml:space="preserve">Qualitative </w:t>
      </w:r>
      <w:bookmarkEnd w:id="75"/>
      <w:bookmarkEnd w:id="76"/>
      <w:r w:rsidR="00800338">
        <w:t>evaluation</w:t>
      </w:r>
      <w:bookmarkEnd w:id="77"/>
      <w:bookmarkEnd w:id="78"/>
      <w:bookmarkEnd w:id="79"/>
      <w:bookmarkEnd w:id="80"/>
    </w:p>
    <w:p w14:paraId="0B3B9509" w14:textId="63AFBBF0" w:rsidR="0004201C" w:rsidRPr="00C90587" w:rsidRDefault="0004201C" w:rsidP="00DA22EF">
      <w:pPr>
        <w:rPr>
          <w:rFonts w:asciiTheme="majorHAnsi" w:hAnsiTheme="majorHAnsi" w:cstheme="majorHAnsi"/>
        </w:rPr>
      </w:pPr>
      <w:r w:rsidRPr="00C90587">
        <w:rPr>
          <w:rFonts w:asciiTheme="majorHAnsi" w:hAnsiTheme="majorHAnsi" w:cstheme="majorHAnsi"/>
        </w:rPr>
        <w:t xml:space="preserve">Three main strategies were used to collect data to inform the qualitative evaluation of the project including semi-structured interviews with </w:t>
      </w:r>
      <w:r w:rsidR="00CA448C">
        <w:rPr>
          <w:rFonts w:asciiTheme="majorHAnsi" w:hAnsiTheme="majorHAnsi" w:cstheme="majorHAnsi"/>
        </w:rPr>
        <w:t>integrated</w:t>
      </w:r>
      <w:r w:rsidR="00CA448C" w:rsidRPr="00C90587">
        <w:rPr>
          <w:rFonts w:asciiTheme="majorHAnsi" w:hAnsiTheme="majorHAnsi" w:cstheme="majorHAnsi"/>
        </w:rPr>
        <w:t xml:space="preserve"> </w:t>
      </w:r>
      <w:r w:rsidRPr="00C90587">
        <w:rPr>
          <w:rFonts w:asciiTheme="majorHAnsi" w:hAnsiTheme="majorHAnsi" w:cstheme="majorHAnsi"/>
        </w:rPr>
        <w:t xml:space="preserve">pharmacists; mixed methods online surveys with GPs, CEO and managers and community pharmacists; and three site-visits comprising focus groups and interviews with health services staff and patients, interviews with the </w:t>
      </w:r>
      <w:r w:rsidR="00CA448C">
        <w:rPr>
          <w:rFonts w:asciiTheme="majorHAnsi" w:hAnsiTheme="majorHAnsi" w:cstheme="majorHAnsi"/>
        </w:rPr>
        <w:t xml:space="preserve">integrated </w:t>
      </w:r>
      <w:r w:rsidRPr="00C90587">
        <w:rPr>
          <w:rFonts w:asciiTheme="majorHAnsi" w:hAnsiTheme="majorHAnsi" w:cstheme="majorHAnsi"/>
        </w:rPr>
        <w:t>pharmacists, and shadowing and observation.  Proformas were developed to guide each data collection activity:</w:t>
      </w:r>
    </w:p>
    <w:p w14:paraId="07D1305F" w14:textId="77777777" w:rsidR="0004201C" w:rsidRPr="00FF32DB" w:rsidRDefault="0004201C" w:rsidP="007D6263">
      <w:pPr>
        <w:pStyle w:val="ListNumber"/>
      </w:pPr>
      <w:r w:rsidRPr="00FF32DB">
        <w:t>Focus groups and interviews – ACCHS staff</w:t>
      </w:r>
    </w:p>
    <w:p w14:paraId="7F396587" w14:textId="77777777" w:rsidR="0004201C" w:rsidRPr="00FF32DB" w:rsidRDefault="0004201C" w:rsidP="007D6263">
      <w:pPr>
        <w:pStyle w:val="ListNumber"/>
      </w:pPr>
      <w:r w:rsidRPr="00FF32DB">
        <w:t>Focus groups and interviews – Patients</w:t>
      </w:r>
    </w:p>
    <w:p w14:paraId="57F8F503" w14:textId="77777777" w:rsidR="0004201C" w:rsidRPr="00FF32DB" w:rsidRDefault="0004201C" w:rsidP="007D6263">
      <w:pPr>
        <w:pStyle w:val="ListNumber"/>
      </w:pPr>
      <w:r w:rsidRPr="00FF32DB">
        <w:t>Interviews with pharmacists</w:t>
      </w:r>
    </w:p>
    <w:p w14:paraId="04DC4F6E" w14:textId="77777777" w:rsidR="0004201C" w:rsidRPr="00FF32DB" w:rsidRDefault="0004201C" w:rsidP="007D6263">
      <w:pPr>
        <w:pStyle w:val="ListNumber"/>
      </w:pPr>
      <w:r w:rsidRPr="00FF32DB">
        <w:t>Online survey – ACCHS staff</w:t>
      </w:r>
    </w:p>
    <w:p w14:paraId="12DFF28D" w14:textId="77777777" w:rsidR="0004201C" w:rsidRPr="00FF32DB" w:rsidRDefault="0004201C" w:rsidP="007D6263">
      <w:pPr>
        <w:pStyle w:val="ListNumber"/>
      </w:pPr>
      <w:r w:rsidRPr="00FF32DB">
        <w:t>Online survey – GPs</w:t>
      </w:r>
    </w:p>
    <w:p w14:paraId="3468B88E" w14:textId="77777777" w:rsidR="0004201C" w:rsidRPr="00FF32DB" w:rsidRDefault="0004201C" w:rsidP="007D6263">
      <w:pPr>
        <w:pStyle w:val="ListNumber"/>
      </w:pPr>
      <w:r w:rsidRPr="00FF32DB">
        <w:t>Online survey – Community pharmacists</w:t>
      </w:r>
    </w:p>
    <w:p w14:paraId="44DB8362" w14:textId="73842105" w:rsidR="0004201C" w:rsidRPr="007D6263" w:rsidRDefault="0004201C" w:rsidP="007D6263">
      <w:pPr>
        <w:pStyle w:val="ListNumber"/>
      </w:pPr>
      <w:r w:rsidRPr="00FF32DB">
        <w:t>Observation checklist for site visits</w:t>
      </w:r>
    </w:p>
    <w:p w14:paraId="344C1C78" w14:textId="3A8DD223" w:rsidR="0004201C" w:rsidRPr="00C90587" w:rsidRDefault="0004201C" w:rsidP="00DA22EF">
      <w:pPr>
        <w:rPr>
          <w:rFonts w:asciiTheme="majorHAnsi" w:hAnsiTheme="majorHAnsi" w:cstheme="majorHAnsi"/>
        </w:rPr>
      </w:pPr>
      <w:r w:rsidRPr="00C90587">
        <w:rPr>
          <w:rFonts w:asciiTheme="majorHAnsi" w:hAnsiTheme="majorHAnsi" w:cstheme="majorHAnsi"/>
          <w:lang w:val="en-AU" w:eastAsia="en-AU"/>
        </w:rPr>
        <w:t xml:space="preserve">Proformas and the online surveys were developed and distributed to </w:t>
      </w:r>
      <w:r w:rsidRPr="00C90587">
        <w:rPr>
          <w:rFonts w:asciiTheme="majorHAnsi" w:hAnsiTheme="majorHAnsi" w:cstheme="majorHAnsi"/>
        </w:rPr>
        <w:t xml:space="preserve">the project operational team, the steering </w:t>
      </w:r>
      <w:proofErr w:type="gramStart"/>
      <w:r w:rsidRPr="00C90587">
        <w:rPr>
          <w:rFonts w:asciiTheme="majorHAnsi" w:hAnsiTheme="majorHAnsi" w:cstheme="majorHAnsi"/>
        </w:rPr>
        <w:t>committee</w:t>
      </w:r>
      <w:proofErr w:type="gramEnd"/>
      <w:r w:rsidRPr="00C90587">
        <w:rPr>
          <w:rFonts w:asciiTheme="majorHAnsi" w:hAnsiTheme="majorHAnsi" w:cstheme="majorHAnsi"/>
        </w:rPr>
        <w:t xml:space="preserve"> and the evaluation team for comment. The Project Reference Group </w:t>
      </w:r>
      <w:r>
        <w:rPr>
          <w:rFonts w:asciiTheme="majorHAnsi" w:hAnsiTheme="majorHAnsi" w:cstheme="majorHAnsi"/>
        </w:rPr>
        <w:t xml:space="preserve">members </w:t>
      </w:r>
      <w:r w:rsidRPr="00C90587">
        <w:rPr>
          <w:rFonts w:asciiTheme="majorHAnsi" w:hAnsiTheme="majorHAnsi" w:cstheme="majorHAnsi"/>
        </w:rPr>
        <w:t>provide</w:t>
      </w:r>
      <w:r>
        <w:rPr>
          <w:rFonts w:asciiTheme="majorHAnsi" w:hAnsiTheme="majorHAnsi" w:cstheme="majorHAnsi"/>
        </w:rPr>
        <w:t>d</w:t>
      </w:r>
      <w:r w:rsidRPr="00C90587">
        <w:rPr>
          <w:rFonts w:asciiTheme="majorHAnsi" w:hAnsiTheme="majorHAnsi" w:cstheme="majorHAnsi"/>
        </w:rPr>
        <w:t xml:space="preserve"> </w:t>
      </w:r>
      <w:r w:rsidRPr="00C90587">
        <w:rPr>
          <w:rFonts w:asciiTheme="majorHAnsi" w:hAnsiTheme="majorHAnsi" w:cstheme="majorHAnsi"/>
        </w:rPr>
        <w:lastRenderedPageBreak/>
        <w:t>feedback on the proformas to be used with patients and ACCHS staff.  All proformas were submitted and received approval from the HRECs in each jurisdiction.</w:t>
      </w:r>
    </w:p>
    <w:p w14:paraId="2E488665" w14:textId="6E403399" w:rsidR="0004201C" w:rsidRPr="00C90587" w:rsidRDefault="0004201C" w:rsidP="00DA22EF">
      <w:pPr>
        <w:rPr>
          <w:rFonts w:asciiTheme="majorHAnsi" w:hAnsiTheme="majorHAnsi" w:cstheme="majorHAnsi"/>
        </w:rPr>
      </w:pPr>
      <w:r w:rsidRPr="00C90587">
        <w:rPr>
          <w:rFonts w:asciiTheme="majorHAnsi" w:hAnsiTheme="majorHAnsi" w:cstheme="majorHAnsi"/>
        </w:rPr>
        <w:t xml:space="preserve">The online surveys were implemented through </w:t>
      </w:r>
      <w:r w:rsidR="00C73D67">
        <w:t xml:space="preserve">Survey </w:t>
      </w:r>
      <w:proofErr w:type="spellStart"/>
      <w:r w:rsidR="00C73D67">
        <w:t>Monkey</w:t>
      </w:r>
      <w:r w:rsidR="00C73D67" w:rsidRPr="00653A34">
        <w:rPr>
          <w:vertAlign w:val="superscript"/>
        </w:rPr>
        <w:t>R</w:t>
      </w:r>
      <w:proofErr w:type="spellEnd"/>
      <w:r w:rsidR="00C73D67" w:rsidRPr="00C90587">
        <w:rPr>
          <w:rFonts w:asciiTheme="majorHAnsi" w:hAnsiTheme="majorHAnsi" w:cstheme="majorHAnsi"/>
        </w:rPr>
        <w:t xml:space="preserve"> </w:t>
      </w:r>
      <w:r w:rsidRPr="00C90587">
        <w:rPr>
          <w:rFonts w:asciiTheme="majorHAnsi" w:hAnsiTheme="majorHAnsi" w:cstheme="majorHAnsi"/>
        </w:rPr>
        <w:t>and piloted by the project operational team members and relevant members from the evaluation team.  The online surveys were a combination of yes/no responses, Likert-style and ‘slider’ rating scales and open-ended questions.  Demographic questions collected data on gender, age group, role and experience working within (or with) ACCHSs</w:t>
      </w:r>
      <w:r w:rsidR="003A4525">
        <w:rPr>
          <w:rFonts w:asciiTheme="majorHAnsi" w:hAnsiTheme="majorHAnsi" w:cstheme="majorHAnsi"/>
        </w:rPr>
        <w:t xml:space="preserve"> </w:t>
      </w:r>
      <w:r w:rsidR="003A4525" w:rsidRPr="00C37469">
        <w:rPr>
          <w:rFonts w:asciiTheme="majorHAnsi" w:hAnsiTheme="majorHAnsi" w:cstheme="majorHAnsi"/>
        </w:rPr>
        <w:t>(</w:t>
      </w:r>
      <w:r w:rsidR="00C37469">
        <w:rPr>
          <w:rFonts w:asciiTheme="majorHAnsi" w:hAnsiTheme="majorHAnsi" w:cstheme="majorHAnsi"/>
        </w:rPr>
        <w:t>s</w:t>
      </w:r>
      <w:r w:rsidR="003A4525" w:rsidRPr="00C37469">
        <w:rPr>
          <w:rFonts w:asciiTheme="majorHAnsi" w:hAnsiTheme="majorHAnsi" w:cstheme="majorHAnsi"/>
        </w:rPr>
        <w:t xml:space="preserve">ee Appendix </w:t>
      </w:r>
      <w:r w:rsidR="003F03B1" w:rsidRPr="00C37469">
        <w:rPr>
          <w:rFonts w:asciiTheme="majorHAnsi" w:hAnsiTheme="majorHAnsi" w:cstheme="majorHAnsi"/>
        </w:rPr>
        <w:t>1</w:t>
      </w:r>
      <w:r w:rsidR="00C37469" w:rsidRPr="00C37469">
        <w:rPr>
          <w:rFonts w:asciiTheme="majorHAnsi" w:hAnsiTheme="majorHAnsi" w:cstheme="majorHAnsi"/>
        </w:rPr>
        <w:t>4</w:t>
      </w:r>
      <w:r w:rsidR="003A4525" w:rsidRPr="00C37469">
        <w:rPr>
          <w:rFonts w:asciiTheme="majorHAnsi" w:hAnsiTheme="majorHAnsi" w:cstheme="majorHAnsi"/>
        </w:rPr>
        <w:t>)</w:t>
      </w:r>
      <w:r w:rsidRPr="00C37469">
        <w:rPr>
          <w:rFonts w:asciiTheme="majorHAnsi" w:hAnsiTheme="majorHAnsi" w:cstheme="majorHAnsi"/>
        </w:rPr>
        <w:t>.</w:t>
      </w:r>
    </w:p>
    <w:p w14:paraId="72DBAB64" w14:textId="5D5B3053" w:rsidR="00800338" w:rsidRDefault="00800338" w:rsidP="0048683E">
      <w:pPr>
        <w:pStyle w:val="Heading3"/>
      </w:pPr>
      <w:bookmarkStart w:id="81" w:name="_Toc40350088"/>
      <w:bookmarkStart w:id="82" w:name="_Toc40441070"/>
      <w:bookmarkStart w:id="83" w:name="_Toc41315613"/>
      <w:bookmarkStart w:id="84" w:name="_Toc138846258"/>
      <w:r>
        <w:t xml:space="preserve">Economic </w:t>
      </w:r>
      <w:r w:rsidR="00EB0665">
        <w:t>a</w:t>
      </w:r>
      <w:r>
        <w:t>nalysis</w:t>
      </w:r>
      <w:bookmarkEnd w:id="81"/>
      <w:bookmarkEnd w:id="82"/>
      <w:bookmarkEnd w:id="83"/>
      <w:bookmarkEnd w:id="84"/>
    </w:p>
    <w:p w14:paraId="38A93E34" w14:textId="38C69A1A" w:rsidR="00835431" w:rsidRDefault="00A30B5E" w:rsidP="00835431">
      <w:pPr>
        <w:rPr>
          <w:rFonts w:asciiTheme="majorHAnsi" w:hAnsiTheme="majorHAnsi" w:cstheme="majorHAnsi"/>
        </w:rPr>
      </w:pPr>
      <w:r w:rsidRPr="003F03B1">
        <w:rPr>
          <w:rFonts w:asciiTheme="majorHAnsi" w:hAnsiTheme="majorHAnsi" w:cstheme="majorHAnsi"/>
        </w:rPr>
        <w:t xml:space="preserve">The </w:t>
      </w:r>
      <w:r w:rsidR="0006448D">
        <w:rPr>
          <w:rFonts w:asciiTheme="majorHAnsi" w:hAnsiTheme="majorHAnsi" w:cstheme="majorHAnsi"/>
        </w:rPr>
        <w:t xml:space="preserve">economic </w:t>
      </w:r>
      <w:r w:rsidRPr="003F03B1">
        <w:rPr>
          <w:rFonts w:asciiTheme="majorHAnsi" w:hAnsiTheme="majorHAnsi" w:cstheme="majorHAnsi"/>
        </w:rPr>
        <w:t>analysis was trial-based, rather than model-based, with costs and outcomes compared in the post- and pre-intervention periods</w:t>
      </w:r>
      <w:r w:rsidR="00C37469">
        <w:rPr>
          <w:rFonts w:asciiTheme="majorHAnsi" w:hAnsiTheme="majorHAnsi" w:cstheme="majorHAnsi"/>
        </w:rPr>
        <w:t xml:space="preserve"> (MSAC Assessment Report, and Appendix 25)</w:t>
      </w:r>
      <w:r w:rsidRPr="003F03B1">
        <w:rPr>
          <w:rFonts w:asciiTheme="majorHAnsi" w:hAnsiTheme="majorHAnsi" w:cstheme="majorHAnsi"/>
        </w:rPr>
        <w:t xml:space="preserve">. Data relating to resource use in implementing the IPAC intervention and changes in resource use were obtained directly from the trial, with unit costs also available from the trial </w:t>
      </w:r>
      <w:proofErr w:type="gramStart"/>
      <w:r w:rsidRPr="003F03B1">
        <w:rPr>
          <w:rFonts w:asciiTheme="majorHAnsi" w:hAnsiTheme="majorHAnsi" w:cstheme="majorHAnsi"/>
        </w:rPr>
        <w:t>with the exception of</w:t>
      </w:r>
      <w:proofErr w:type="gramEnd"/>
      <w:r w:rsidRPr="003F03B1">
        <w:rPr>
          <w:rFonts w:asciiTheme="majorHAnsi" w:hAnsiTheme="majorHAnsi" w:cstheme="majorHAnsi"/>
        </w:rPr>
        <w:t xml:space="preserve"> GP earnings (the latter obtained from official ABS data). The comparator was </w:t>
      </w:r>
      <w:r w:rsidR="0006448D">
        <w:rPr>
          <w:rFonts w:asciiTheme="majorHAnsi" w:hAnsiTheme="majorHAnsi" w:cstheme="majorHAnsi"/>
        </w:rPr>
        <w:t>usual</w:t>
      </w:r>
      <w:r w:rsidRPr="003F03B1">
        <w:rPr>
          <w:rFonts w:asciiTheme="majorHAnsi" w:hAnsiTheme="majorHAnsi" w:cstheme="majorHAnsi"/>
        </w:rPr>
        <w:t xml:space="preserve"> care in the pre-intervention period. </w:t>
      </w:r>
    </w:p>
    <w:p w14:paraId="0D073B2C" w14:textId="5B423C1C" w:rsidR="001021BB" w:rsidRDefault="00A30B5E" w:rsidP="00A30B5E">
      <w:pPr>
        <w:rPr>
          <w:rFonts w:asciiTheme="majorHAnsi" w:hAnsiTheme="majorHAnsi" w:cstheme="majorHAnsi"/>
        </w:rPr>
      </w:pPr>
      <w:r w:rsidRPr="003F03B1">
        <w:rPr>
          <w:rFonts w:asciiTheme="majorHAnsi" w:hAnsiTheme="majorHAnsi" w:cstheme="majorHAnsi"/>
        </w:rPr>
        <w:t xml:space="preserve">Outcome measures included biomedical indices </w:t>
      </w:r>
      <w:r w:rsidR="0006448D">
        <w:rPr>
          <w:rFonts w:asciiTheme="majorHAnsi" w:hAnsiTheme="majorHAnsi" w:cstheme="majorHAnsi"/>
        </w:rPr>
        <w:t>from (</w:t>
      </w:r>
      <w:proofErr w:type="spellStart"/>
      <w:r w:rsidR="0006448D">
        <w:rPr>
          <w:rFonts w:asciiTheme="majorHAnsi" w:hAnsiTheme="majorHAnsi" w:cstheme="majorHAnsi"/>
        </w:rPr>
        <w:t>i</w:t>
      </w:r>
      <w:proofErr w:type="spellEnd"/>
      <w:r w:rsidR="0006448D">
        <w:rPr>
          <w:rFonts w:asciiTheme="majorHAnsi" w:hAnsiTheme="majorHAnsi" w:cstheme="majorHAnsi"/>
        </w:rPr>
        <w:t xml:space="preserve">) </w:t>
      </w:r>
      <w:r w:rsidR="0006448D" w:rsidRPr="008660E6">
        <w:rPr>
          <w:rFonts w:asciiTheme="majorHAnsi" w:hAnsiTheme="majorHAnsi" w:cstheme="majorHAnsi"/>
        </w:rPr>
        <w:t xml:space="preserve">those with T2DM with pre- and post-measures of HbA1c and (ii) </w:t>
      </w:r>
      <w:r w:rsidRPr="003F03B1">
        <w:rPr>
          <w:rFonts w:asciiTheme="majorHAnsi" w:hAnsiTheme="majorHAnsi" w:cstheme="majorHAnsi"/>
        </w:rPr>
        <w:t xml:space="preserve">the subset of participants for whom </w:t>
      </w:r>
      <w:r w:rsidR="0006448D">
        <w:rPr>
          <w:rFonts w:asciiTheme="majorHAnsi" w:hAnsiTheme="majorHAnsi" w:cstheme="majorHAnsi"/>
        </w:rPr>
        <w:t xml:space="preserve">an assessment of </w:t>
      </w:r>
      <w:proofErr w:type="spellStart"/>
      <w:r w:rsidR="0006448D">
        <w:rPr>
          <w:rFonts w:asciiTheme="majorHAnsi" w:hAnsiTheme="majorHAnsi" w:cstheme="majorHAnsi"/>
        </w:rPr>
        <w:t>underutilisation</w:t>
      </w:r>
      <w:proofErr w:type="spellEnd"/>
      <w:r w:rsidRPr="003F03B1">
        <w:rPr>
          <w:rFonts w:asciiTheme="majorHAnsi" w:hAnsiTheme="majorHAnsi" w:cstheme="majorHAnsi"/>
        </w:rPr>
        <w:t xml:space="preserve"> </w:t>
      </w:r>
      <w:r w:rsidR="0006448D">
        <w:rPr>
          <w:rFonts w:asciiTheme="majorHAnsi" w:hAnsiTheme="majorHAnsi" w:cstheme="majorHAnsi"/>
        </w:rPr>
        <w:t>was</w:t>
      </w:r>
      <w:r w:rsidRPr="003F03B1">
        <w:rPr>
          <w:rFonts w:asciiTheme="majorHAnsi" w:hAnsiTheme="majorHAnsi" w:cstheme="majorHAnsi"/>
        </w:rPr>
        <w:t xml:space="preserve"> conducted</w:t>
      </w:r>
      <w:r w:rsidR="0006448D">
        <w:rPr>
          <w:rFonts w:asciiTheme="majorHAnsi" w:hAnsiTheme="majorHAnsi" w:cstheme="majorHAnsi"/>
        </w:rPr>
        <w:t xml:space="preserve"> (</w:t>
      </w:r>
      <w:r w:rsidRPr="003F03B1">
        <w:rPr>
          <w:rFonts w:asciiTheme="majorHAnsi" w:hAnsiTheme="majorHAnsi" w:cstheme="majorHAnsi"/>
        </w:rPr>
        <w:t>the number of potential prescribing omissions</w:t>
      </w:r>
      <w:r w:rsidR="0006448D">
        <w:rPr>
          <w:rFonts w:asciiTheme="majorHAnsi" w:hAnsiTheme="majorHAnsi" w:cstheme="majorHAnsi"/>
        </w:rPr>
        <w:t>)</w:t>
      </w:r>
      <w:r w:rsidRPr="003F03B1">
        <w:rPr>
          <w:rFonts w:asciiTheme="majorHAnsi" w:hAnsiTheme="majorHAnsi" w:cstheme="majorHAnsi"/>
        </w:rPr>
        <w:t xml:space="preserve">. </w:t>
      </w:r>
      <w:r w:rsidR="0006448D">
        <w:rPr>
          <w:rFonts w:asciiTheme="majorHAnsi" w:hAnsiTheme="majorHAnsi" w:cstheme="majorHAnsi"/>
        </w:rPr>
        <w:t xml:space="preserve">A </w:t>
      </w:r>
      <w:r w:rsidRPr="003F03B1">
        <w:rPr>
          <w:rFonts w:asciiTheme="majorHAnsi" w:hAnsiTheme="majorHAnsi" w:cstheme="majorHAnsi"/>
        </w:rPr>
        <w:t xml:space="preserve">cost-consequence analysis was undertaken for all participants, </w:t>
      </w:r>
      <w:r w:rsidR="0006448D">
        <w:rPr>
          <w:rFonts w:asciiTheme="majorHAnsi" w:hAnsiTheme="majorHAnsi" w:cstheme="majorHAnsi"/>
        </w:rPr>
        <w:t>with</w:t>
      </w:r>
      <w:r w:rsidRPr="003F03B1">
        <w:rPr>
          <w:rFonts w:asciiTheme="majorHAnsi" w:hAnsiTheme="majorHAnsi" w:cstheme="majorHAnsi"/>
        </w:rPr>
        <w:t xml:space="preserve"> costs presented alongside a range of </w:t>
      </w:r>
      <w:r w:rsidR="0006448D">
        <w:rPr>
          <w:rFonts w:asciiTheme="majorHAnsi" w:hAnsiTheme="majorHAnsi" w:cstheme="majorHAnsi"/>
        </w:rPr>
        <w:t xml:space="preserve">biomedical </w:t>
      </w:r>
      <w:r w:rsidRPr="003F03B1">
        <w:rPr>
          <w:rFonts w:asciiTheme="majorHAnsi" w:hAnsiTheme="majorHAnsi" w:cstheme="majorHAnsi"/>
        </w:rPr>
        <w:t>outcomes to demonstrate the full impact of the intervention</w:t>
      </w:r>
      <w:r w:rsidR="00653A34">
        <w:rPr>
          <w:rFonts w:asciiTheme="majorHAnsi" w:hAnsiTheme="majorHAnsi" w:cstheme="majorHAnsi"/>
        </w:rPr>
        <w:t>,</w:t>
      </w:r>
      <w:r w:rsidRPr="003F03B1">
        <w:rPr>
          <w:rFonts w:asciiTheme="majorHAnsi" w:hAnsiTheme="majorHAnsi" w:cstheme="majorHAnsi"/>
        </w:rPr>
        <w:t xml:space="preserve"> </w:t>
      </w:r>
      <w:r w:rsidR="0006448D">
        <w:rPr>
          <w:rFonts w:asciiTheme="majorHAnsi" w:hAnsiTheme="majorHAnsi" w:cstheme="majorHAnsi"/>
        </w:rPr>
        <w:t>given</w:t>
      </w:r>
      <w:r w:rsidRPr="003F03B1">
        <w:rPr>
          <w:rFonts w:asciiTheme="majorHAnsi" w:hAnsiTheme="majorHAnsi" w:cstheme="majorHAnsi"/>
        </w:rPr>
        <w:t xml:space="preserve"> </w:t>
      </w:r>
      <w:r w:rsidR="0006448D">
        <w:rPr>
          <w:rFonts w:asciiTheme="majorHAnsi" w:hAnsiTheme="majorHAnsi" w:cstheme="majorHAnsi"/>
        </w:rPr>
        <w:t xml:space="preserve">the </w:t>
      </w:r>
      <w:r w:rsidRPr="003F03B1">
        <w:rPr>
          <w:rFonts w:asciiTheme="majorHAnsi" w:hAnsiTheme="majorHAnsi" w:cstheme="majorHAnsi"/>
        </w:rPr>
        <w:t xml:space="preserve">intervention </w:t>
      </w:r>
      <w:r w:rsidR="0006448D">
        <w:rPr>
          <w:rFonts w:asciiTheme="majorHAnsi" w:hAnsiTheme="majorHAnsi" w:cstheme="majorHAnsi"/>
        </w:rPr>
        <w:t xml:space="preserve">had </w:t>
      </w:r>
      <w:r w:rsidRPr="003F03B1">
        <w:rPr>
          <w:rFonts w:asciiTheme="majorHAnsi" w:hAnsiTheme="majorHAnsi" w:cstheme="majorHAnsi"/>
        </w:rPr>
        <w:t xml:space="preserve">multiple effects and </w:t>
      </w:r>
      <w:r w:rsidR="0006448D">
        <w:rPr>
          <w:rFonts w:asciiTheme="majorHAnsi" w:hAnsiTheme="majorHAnsi" w:cstheme="majorHAnsi"/>
        </w:rPr>
        <w:t xml:space="preserve">is a </w:t>
      </w:r>
      <w:r w:rsidRPr="003F03B1">
        <w:rPr>
          <w:rFonts w:asciiTheme="majorHAnsi" w:hAnsiTheme="majorHAnsi" w:cstheme="majorHAnsi"/>
        </w:rPr>
        <w:t xml:space="preserve">public health intervention </w:t>
      </w:r>
      <w:r w:rsidR="0006448D">
        <w:rPr>
          <w:rFonts w:asciiTheme="majorHAnsi" w:hAnsiTheme="majorHAnsi" w:cstheme="majorHAnsi"/>
        </w:rPr>
        <w:t xml:space="preserve">with a </w:t>
      </w:r>
      <w:r w:rsidRPr="003F03B1">
        <w:rPr>
          <w:rFonts w:asciiTheme="majorHAnsi" w:hAnsiTheme="majorHAnsi" w:cstheme="majorHAnsi"/>
        </w:rPr>
        <w:t>range of health and non-health benefits that are difficult to measure in a common unit</w:t>
      </w:r>
      <w:r w:rsidR="00835431">
        <w:rPr>
          <w:rFonts w:asciiTheme="majorHAnsi" w:hAnsiTheme="majorHAnsi" w:cstheme="majorHAnsi"/>
        </w:rPr>
        <w:t>.</w:t>
      </w:r>
      <w:r w:rsidR="00835431">
        <w:rPr>
          <w:rStyle w:val="EndnoteReference"/>
          <w:rFonts w:cstheme="majorHAnsi"/>
        </w:rPr>
        <w:endnoteReference w:id="28"/>
      </w:r>
      <w:r w:rsidR="00835431" w:rsidRPr="00835431">
        <w:t xml:space="preserve"> </w:t>
      </w:r>
      <w:r w:rsidR="00835431">
        <w:rPr>
          <w:rStyle w:val="EndnoteReference"/>
        </w:rPr>
        <w:endnoteReference w:id="29"/>
      </w:r>
      <w:r w:rsidR="00835431">
        <w:t xml:space="preserve">  </w:t>
      </w:r>
      <w:r w:rsidRPr="003F03B1">
        <w:rPr>
          <w:rFonts w:asciiTheme="majorHAnsi" w:hAnsiTheme="majorHAnsi" w:cstheme="majorHAnsi"/>
        </w:rPr>
        <w:t>For participants with a clinical diagnosis of T2DM, a cost-utility analysis was also conducted that derived lifetime quality of life changes from the decreases in HbA1c observed during the trial period</w:t>
      </w:r>
      <w:r w:rsidR="001021BB">
        <w:rPr>
          <w:rFonts w:asciiTheme="majorHAnsi" w:hAnsiTheme="majorHAnsi" w:cstheme="majorHAnsi"/>
        </w:rPr>
        <w:t xml:space="preserve"> and </w:t>
      </w:r>
      <w:r w:rsidR="001021BB">
        <w:t>mapped the HbA1c changes to lifetime quality of life changes</w:t>
      </w:r>
      <w:r w:rsidR="001021BB">
        <w:rPr>
          <w:rFonts w:asciiTheme="majorHAnsi" w:hAnsiTheme="majorHAnsi" w:cstheme="majorHAnsi"/>
        </w:rPr>
        <w:t xml:space="preserve">, </w:t>
      </w:r>
      <w:r w:rsidR="001021BB">
        <w:t>based on the findings of a systematic review.</w:t>
      </w:r>
      <w:r w:rsidR="001021BB">
        <w:rPr>
          <w:rStyle w:val="EndnoteReference"/>
        </w:rPr>
        <w:endnoteReference w:id="30"/>
      </w:r>
      <w:r w:rsidR="00DD110B">
        <w:t xml:space="preserve"> </w:t>
      </w:r>
      <w:r w:rsidR="005D1C96" w:rsidRPr="00C37469">
        <w:t xml:space="preserve">For further information see MSAC </w:t>
      </w:r>
      <w:r w:rsidR="002279D0" w:rsidRPr="00C37469">
        <w:t xml:space="preserve">Assessment </w:t>
      </w:r>
      <w:r w:rsidR="005D1C96" w:rsidRPr="00C37469">
        <w:t xml:space="preserve">Report: </w:t>
      </w:r>
      <w:r w:rsidR="002279D0" w:rsidRPr="00C37469">
        <w:t>Sections</w:t>
      </w:r>
      <w:r w:rsidR="005D1C96" w:rsidRPr="00C37469">
        <w:t xml:space="preserve"> D and E.</w:t>
      </w:r>
    </w:p>
    <w:p w14:paraId="48612639" w14:textId="64449BFD" w:rsidR="006947B4" w:rsidRDefault="006947B4" w:rsidP="0048683E">
      <w:pPr>
        <w:pStyle w:val="Heading3"/>
        <w:rPr>
          <w:rFonts w:eastAsiaTheme="majorEastAsia" w:cstheme="majorBidi"/>
        </w:rPr>
      </w:pPr>
      <w:bookmarkStart w:id="85" w:name="_Toc41315614"/>
      <w:bookmarkStart w:id="86" w:name="_Toc40350090"/>
      <w:bookmarkStart w:id="87" w:name="_Toc40441072"/>
      <w:bookmarkStart w:id="88" w:name="_Toc138846259"/>
      <w:r>
        <w:t xml:space="preserve">Health </w:t>
      </w:r>
      <w:r w:rsidR="00EB0665">
        <w:t>s</w:t>
      </w:r>
      <w:r>
        <w:t xml:space="preserve">ystems </w:t>
      </w:r>
      <w:r w:rsidR="00EB0665">
        <w:t>a</w:t>
      </w:r>
      <w:r>
        <w:t>ssessment</w:t>
      </w:r>
      <w:bookmarkEnd w:id="85"/>
      <w:bookmarkEnd w:id="73"/>
      <w:bookmarkEnd w:id="74"/>
      <w:bookmarkEnd w:id="86"/>
      <w:bookmarkEnd w:id="87"/>
      <w:bookmarkEnd w:id="88"/>
    </w:p>
    <w:p w14:paraId="352C02B0" w14:textId="3A0DE99E" w:rsidR="006947B4" w:rsidRPr="007A4C0E" w:rsidRDefault="00D57207" w:rsidP="00DA22EF">
      <w:r w:rsidRPr="003F03B1">
        <w:t xml:space="preserve">Each ACCHS underwent </w:t>
      </w:r>
      <w:r w:rsidR="00A30B5E">
        <w:t>repeated</w:t>
      </w:r>
      <w:r w:rsidRPr="003F03B1">
        <w:t xml:space="preserve"> health systems assessment</w:t>
      </w:r>
      <w:r w:rsidR="00A30B5E">
        <w:t>s</w:t>
      </w:r>
      <w:r w:rsidRPr="003F03B1">
        <w:t xml:space="preserve"> (HSA) to explore service characteristics and identify any systems change over the trial intervention period. </w:t>
      </w:r>
      <w:r w:rsidR="006947B4" w:rsidRPr="007A4C0E">
        <w:t xml:space="preserve">There were 140 distinct </w:t>
      </w:r>
      <w:r w:rsidR="003B1F7E">
        <w:t>items in the IPAC 140 HSA form</w:t>
      </w:r>
      <w:r w:rsidR="006947B4" w:rsidRPr="007A4C0E">
        <w:t xml:space="preserve"> which collected data on </w:t>
      </w:r>
      <w:r w:rsidR="003B1F7E">
        <w:t>ACCHS</w:t>
      </w:r>
      <w:r w:rsidR="006947B4" w:rsidRPr="007A4C0E">
        <w:t xml:space="preserve"> details such as service size, local population, number and types of staff, access to local or visiting specialist and allied health services, budgets, services offered, quality improvement processes, medicines access information, systems for clinical management and chronic disease care, engagement with other health care providers and the quality of communication with the hospital and community pharmacies</w:t>
      </w:r>
      <w:r w:rsidR="003B1F7E">
        <w:t xml:space="preserve"> (</w:t>
      </w:r>
      <w:r w:rsidR="003B1F7E" w:rsidRPr="00C37469">
        <w:t xml:space="preserve">Appendix </w:t>
      </w:r>
      <w:r w:rsidR="00C37469" w:rsidRPr="00C37469">
        <w:t>10</w:t>
      </w:r>
      <w:r w:rsidR="003B1F7E" w:rsidRPr="00C37469">
        <w:t xml:space="preserve"> </w:t>
      </w:r>
      <w:r w:rsidR="00C37469" w:rsidRPr="00C37469">
        <w:t xml:space="preserve">- Assessment of </w:t>
      </w:r>
      <w:r w:rsidR="003B1F7E" w:rsidRPr="00C37469">
        <w:t>MAI report</w:t>
      </w:r>
      <w:r w:rsidR="00C37469" w:rsidRPr="00C37469">
        <w:t>:</w:t>
      </w:r>
      <w:r w:rsidR="00C37469">
        <w:t xml:space="preserve"> Appendix B</w:t>
      </w:r>
      <w:r w:rsidR="003B1F7E">
        <w:t>)</w:t>
      </w:r>
      <w:r w:rsidR="006947B4" w:rsidRPr="007A4C0E">
        <w:t>.</w:t>
      </w:r>
      <w:r w:rsidR="00DB1C92">
        <w:rPr>
          <w:rStyle w:val="EndnoteReference"/>
        </w:rPr>
        <w:endnoteReference w:id="31"/>
      </w:r>
      <w:r w:rsidR="006947B4" w:rsidRPr="007A4C0E">
        <w:t xml:space="preserve">  The HSA form assessed health services by exploring </w:t>
      </w:r>
      <w:r w:rsidR="003B1F7E">
        <w:t>five (</w:t>
      </w:r>
      <w:r w:rsidR="006947B4" w:rsidRPr="007A4C0E">
        <w:t>5</w:t>
      </w:r>
      <w:r w:rsidR="003B1F7E">
        <w:t>)</w:t>
      </w:r>
      <w:r w:rsidR="006947B4" w:rsidRPr="007A4C0E">
        <w:t xml:space="preserve"> </w:t>
      </w:r>
      <w:r w:rsidR="00D41692">
        <w:t xml:space="preserve">abbreviated </w:t>
      </w:r>
      <w:r w:rsidR="006947B4" w:rsidRPr="007A4C0E">
        <w:t>domains of the chronic care model</w:t>
      </w:r>
      <w:r w:rsidR="00D41692">
        <w:t>.</w:t>
      </w:r>
      <w:r w:rsidR="00E57F4C">
        <w:rPr>
          <w:rStyle w:val="EndnoteReference"/>
        </w:rPr>
        <w:endnoteReference w:id="32"/>
      </w:r>
      <w:r w:rsidR="006947B4" w:rsidRPr="007A4C0E">
        <w:t xml:space="preserve"> </w:t>
      </w:r>
    </w:p>
    <w:p w14:paraId="0438BE5E" w14:textId="1E07F6FE" w:rsidR="006947B4" w:rsidRPr="007A4C0E" w:rsidRDefault="006947B4" w:rsidP="00DA22EF">
      <w:r w:rsidRPr="007A4C0E">
        <w:t xml:space="preserve">The </w:t>
      </w:r>
      <w:r w:rsidR="000869D0">
        <w:t>data was collected</w:t>
      </w:r>
      <w:r w:rsidRPr="007A4C0E">
        <w:t xml:space="preserve"> </w:t>
      </w:r>
      <w:r w:rsidR="000869D0">
        <w:t xml:space="preserve">from ACCHSs </w:t>
      </w:r>
      <w:r w:rsidRPr="007A4C0E">
        <w:t xml:space="preserve">by the NACCHO </w:t>
      </w:r>
      <w:r w:rsidR="00CA448C">
        <w:t>p</w:t>
      </w:r>
      <w:r w:rsidR="00CA448C" w:rsidRPr="007A4C0E">
        <w:t xml:space="preserve">roject </w:t>
      </w:r>
      <w:r w:rsidR="00CA448C">
        <w:t>c</w:t>
      </w:r>
      <w:r w:rsidRPr="007A4C0E">
        <w:t xml:space="preserve">oordinators prior to the commencement of pharmacists at each </w:t>
      </w:r>
      <w:r w:rsidR="000869D0">
        <w:t>service</w:t>
      </w:r>
      <w:r w:rsidR="00C90587">
        <w:t>.</w:t>
      </w:r>
      <w:r w:rsidRPr="007A4C0E">
        <w:t xml:space="preserve"> </w:t>
      </w:r>
      <w:r w:rsidR="00DB1C92">
        <w:t xml:space="preserve"> </w:t>
      </w:r>
      <w:r w:rsidR="00C90587">
        <w:t xml:space="preserve">The </w:t>
      </w:r>
      <w:r w:rsidR="000869D0">
        <w:t xml:space="preserve">collection </w:t>
      </w:r>
      <w:r w:rsidR="00C90587">
        <w:t xml:space="preserve">was </w:t>
      </w:r>
      <w:r w:rsidRPr="007A4C0E">
        <w:t xml:space="preserve">repeated in the final three months of the </w:t>
      </w:r>
      <w:r w:rsidR="00C37469">
        <w:t>implementation phase</w:t>
      </w:r>
      <w:r w:rsidR="005E750E">
        <w:t xml:space="preserve"> by the respective </w:t>
      </w:r>
      <w:r w:rsidR="00C37469">
        <w:t>NACCHO project c</w:t>
      </w:r>
      <w:r w:rsidR="00110580">
        <w:t xml:space="preserve">oordinator who had conducted the initial </w:t>
      </w:r>
      <w:r w:rsidR="007350B2">
        <w:t>HS</w:t>
      </w:r>
      <w:r w:rsidR="00343077">
        <w:t>A</w:t>
      </w:r>
      <w:r w:rsidR="007350B2">
        <w:t xml:space="preserve"> to ensure </w:t>
      </w:r>
      <w:r w:rsidR="004F73C2">
        <w:t xml:space="preserve">data collection </w:t>
      </w:r>
      <w:r w:rsidR="007350B2">
        <w:t>consistency</w:t>
      </w:r>
      <w:r w:rsidRPr="007A4C0E">
        <w:t>.</w:t>
      </w:r>
      <w:r w:rsidR="00636980">
        <w:t xml:space="preserve">  </w:t>
      </w:r>
    </w:p>
    <w:p w14:paraId="651E7812" w14:textId="4FF01BDB" w:rsidR="006947B4" w:rsidRDefault="006947B4" w:rsidP="0048683E">
      <w:pPr>
        <w:pStyle w:val="Heading3"/>
        <w:rPr>
          <w:rFonts w:cstheme="majorBidi"/>
          <w:lang w:eastAsia="en-AU"/>
        </w:rPr>
      </w:pPr>
      <w:bookmarkStart w:id="89" w:name="_Toc35513592"/>
      <w:bookmarkStart w:id="90" w:name="_Toc35946598"/>
      <w:bookmarkStart w:id="91" w:name="_Toc40350091"/>
      <w:bookmarkStart w:id="92" w:name="_Toc40441073"/>
      <w:bookmarkStart w:id="93" w:name="_Toc41315615"/>
      <w:bookmarkStart w:id="94" w:name="_Toc138846260"/>
      <w:r>
        <w:rPr>
          <w:lang w:eastAsia="en-AU"/>
        </w:rPr>
        <w:t xml:space="preserve">Medication Appropriateness Index </w:t>
      </w:r>
      <w:r w:rsidR="00023648">
        <w:rPr>
          <w:lang w:eastAsia="en-AU"/>
        </w:rPr>
        <w:t xml:space="preserve">(MAI) </w:t>
      </w:r>
      <w:r w:rsidR="00EB0665">
        <w:rPr>
          <w:lang w:eastAsia="en-AU"/>
        </w:rPr>
        <w:t>a</w:t>
      </w:r>
      <w:r>
        <w:rPr>
          <w:lang w:eastAsia="en-AU"/>
        </w:rPr>
        <w:t>udit</w:t>
      </w:r>
      <w:bookmarkEnd w:id="89"/>
      <w:bookmarkEnd w:id="90"/>
      <w:bookmarkEnd w:id="91"/>
      <w:bookmarkEnd w:id="92"/>
      <w:bookmarkEnd w:id="93"/>
      <w:bookmarkEnd w:id="94"/>
    </w:p>
    <w:p w14:paraId="3AAA4344" w14:textId="682AFA78" w:rsidR="006947B4" w:rsidRDefault="006947B4" w:rsidP="00DA22EF">
      <w:pPr>
        <w:rPr>
          <w:color w:val="010202"/>
        </w:rPr>
      </w:pPr>
      <w:r>
        <w:t xml:space="preserve">Medication appropriateness was measured by assigning a </w:t>
      </w:r>
      <w:r>
        <w:rPr>
          <w:color w:val="010202"/>
        </w:rPr>
        <w:t xml:space="preserve">Medication Appropriateness Index </w:t>
      </w:r>
      <w:r>
        <w:t>(MAI) weighted score to each</w:t>
      </w:r>
      <w:r w:rsidR="009D5F7F">
        <w:t xml:space="preserve"> participant’s</w:t>
      </w:r>
      <w:r>
        <w:t xml:space="preserve"> medicine based on an internationally validated tool</w:t>
      </w:r>
      <w:r>
        <w:rPr>
          <w:rStyle w:val="EndnoteReference"/>
          <w:rFonts w:ascii="Calibri" w:hAnsi="Calibri" w:cs="Calibri"/>
          <w:color w:val="000000"/>
        </w:rPr>
        <w:endnoteReference w:id="33"/>
      </w:r>
      <w:r>
        <w:t xml:space="preserve"> </w:t>
      </w:r>
      <w:r>
        <w:rPr>
          <w:rStyle w:val="EndnoteReference"/>
          <w:rFonts w:ascii="Calibri" w:hAnsi="Calibri" w:cs="Calibri"/>
          <w:color w:val="000000"/>
        </w:rPr>
        <w:endnoteReference w:id="34"/>
      </w:r>
      <w:r w:rsidR="00023648">
        <w:t xml:space="preserve"> that assessed</w:t>
      </w:r>
      <w:r>
        <w:t xml:space="preserve"> the potential for medicine-related risks that outweigh the benefits to the patient</w:t>
      </w:r>
      <w:r w:rsidR="009D5F7F">
        <w:t xml:space="preserve"> (prescribing quality</w:t>
      </w:r>
      <w:r w:rsidR="00DD110B">
        <w:t xml:space="preserve">, </w:t>
      </w:r>
      <w:r w:rsidR="003D4461">
        <w:t>s</w:t>
      </w:r>
      <w:r w:rsidR="00DD110B">
        <w:t xml:space="preserve">ee </w:t>
      </w:r>
      <w:r w:rsidR="00C37469" w:rsidRPr="00C37469">
        <w:t>Appendix 10</w:t>
      </w:r>
      <w:r w:rsidR="009D5F7F">
        <w:t>)</w:t>
      </w:r>
      <w:r>
        <w:t xml:space="preserve">. </w:t>
      </w:r>
      <w:r>
        <w:rPr>
          <w:color w:val="010202"/>
        </w:rPr>
        <w:t>The MAI has 10 items investigating measures of medication appropriateness</w:t>
      </w:r>
      <w:r w:rsidR="009D5F7F">
        <w:rPr>
          <w:color w:val="010202"/>
        </w:rPr>
        <w:t xml:space="preserve"> and</w:t>
      </w:r>
      <w:r>
        <w:rPr>
          <w:color w:val="010202"/>
        </w:rPr>
        <w:t xml:space="preserve"> include</w:t>
      </w:r>
      <w:r w:rsidR="009D5F7F">
        <w:rPr>
          <w:color w:val="010202"/>
        </w:rPr>
        <w:t xml:space="preserve">d </w:t>
      </w:r>
      <w:r>
        <w:rPr>
          <w:color w:val="010202"/>
        </w:rPr>
        <w:t>medication indication, effectiveness, correct dosage, correct direction, practical direction, drug–drug interaction, drug–</w:t>
      </w:r>
      <w:r>
        <w:rPr>
          <w:color w:val="010202"/>
        </w:rPr>
        <w:lastRenderedPageBreak/>
        <w:t xml:space="preserve">disease interaction, drug duplication, duration of therapy, and cost. </w:t>
      </w:r>
      <w:r w:rsidR="004F4FE3">
        <w:t xml:space="preserve">Overuse of medications, defined as participants’ medications deemed to be ‘unnecessary’, was measured by assigning a MAI score </w:t>
      </w:r>
      <w:r w:rsidR="004F4FE3">
        <w:rPr>
          <w:color w:val="010202"/>
        </w:rPr>
        <w:t>to t</w:t>
      </w:r>
      <w:r w:rsidR="004F4FE3">
        <w:t xml:space="preserve">hree items. </w:t>
      </w:r>
      <w:r>
        <w:t>Pharmacists reviewed each participant’s medical record containing their currently prescribed medications and assigned the 10 -item ratings to each medication</w:t>
      </w:r>
      <w:r>
        <w:rPr>
          <w:color w:val="010202"/>
        </w:rPr>
        <w:t xml:space="preserve">. Pharmacists used this medication review and other assessments related to their core role to formulate recommendations for the prescriber.  </w:t>
      </w:r>
      <w:r w:rsidR="00AD5EE0">
        <w:rPr>
          <w:color w:val="010202"/>
        </w:rPr>
        <w:t>The assessed ratings were entered by pharmacists into the electronic logbook.</w:t>
      </w:r>
    </w:p>
    <w:p w14:paraId="6A060589" w14:textId="2615D489" w:rsidR="00023648" w:rsidRPr="00023648" w:rsidRDefault="00023648" w:rsidP="0048683E">
      <w:pPr>
        <w:pStyle w:val="Heading3"/>
        <w:rPr>
          <w:lang w:eastAsia="en-AU"/>
        </w:rPr>
      </w:pPr>
      <w:bookmarkStart w:id="95" w:name="_Toc40350092"/>
      <w:bookmarkStart w:id="96" w:name="_Toc40441074"/>
      <w:bookmarkStart w:id="97" w:name="_Toc41315616"/>
      <w:bookmarkStart w:id="98" w:name="_Toc138846261"/>
      <w:r w:rsidRPr="00023648">
        <w:rPr>
          <w:lang w:eastAsia="en-AU"/>
        </w:rPr>
        <w:t xml:space="preserve">Assessment of </w:t>
      </w:r>
      <w:r w:rsidR="00EB0665">
        <w:rPr>
          <w:lang w:eastAsia="en-AU"/>
        </w:rPr>
        <w:t>u</w:t>
      </w:r>
      <w:r w:rsidRPr="00023648">
        <w:rPr>
          <w:lang w:eastAsia="en-AU"/>
        </w:rPr>
        <w:t>nderutilisation (</w:t>
      </w:r>
      <w:proofErr w:type="spellStart"/>
      <w:r w:rsidRPr="00023648">
        <w:rPr>
          <w:lang w:eastAsia="en-AU"/>
        </w:rPr>
        <w:t>AoU</w:t>
      </w:r>
      <w:proofErr w:type="spellEnd"/>
      <w:r w:rsidRPr="00023648">
        <w:rPr>
          <w:lang w:eastAsia="en-AU"/>
        </w:rPr>
        <w:t>)</w:t>
      </w:r>
      <w:bookmarkEnd w:id="95"/>
      <w:bookmarkEnd w:id="96"/>
      <w:bookmarkEnd w:id="97"/>
      <w:bookmarkEnd w:id="98"/>
    </w:p>
    <w:p w14:paraId="4223ED8D" w14:textId="04D0D928" w:rsidR="00CF103D" w:rsidRDefault="00152054" w:rsidP="00DA22EF">
      <w:pPr>
        <w:rPr>
          <w:color w:val="010202"/>
          <w:lang w:val="en-AU"/>
        </w:rPr>
      </w:pPr>
      <w:r>
        <w:t>All</w:t>
      </w:r>
      <w:r w:rsidR="00830775" w:rsidRPr="00830775">
        <w:t xml:space="preserve"> MAI subset participants were also assessed for medication underuse using </w:t>
      </w:r>
      <w:r w:rsidR="00023648">
        <w:rPr>
          <w:lang w:val="en-AU"/>
        </w:rPr>
        <w:t xml:space="preserve">ten (10) evidence-based </w:t>
      </w:r>
      <w:r>
        <w:rPr>
          <w:lang w:val="en-AU"/>
        </w:rPr>
        <w:t xml:space="preserve">prescribing quality </w:t>
      </w:r>
      <w:r w:rsidR="00023648">
        <w:rPr>
          <w:lang w:val="en-AU"/>
        </w:rPr>
        <w:t xml:space="preserve">categories to define clinically relevant potential prescribing omissions (PPO) for </w:t>
      </w:r>
      <w:r w:rsidR="00C37469">
        <w:rPr>
          <w:lang w:val="en-AU"/>
        </w:rPr>
        <w:t>cardiovascular disease (</w:t>
      </w:r>
      <w:r w:rsidR="00023648">
        <w:rPr>
          <w:lang w:val="en-AU"/>
        </w:rPr>
        <w:t>CVD</w:t>
      </w:r>
      <w:r w:rsidR="00C37469">
        <w:rPr>
          <w:lang w:val="en-AU"/>
        </w:rPr>
        <w:t>)</w:t>
      </w:r>
      <w:r w:rsidR="00023648">
        <w:rPr>
          <w:lang w:val="en-AU"/>
        </w:rPr>
        <w:t xml:space="preserve">, </w:t>
      </w:r>
      <w:r w:rsidR="00C37469">
        <w:rPr>
          <w:lang w:val="en-AU"/>
        </w:rPr>
        <w:t>type II diabetes mellitus (</w:t>
      </w:r>
      <w:r w:rsidR="00023648">
        <w:rPr>
          <w:lang w:val="en-AU"/>
        </w:rPr>
        <w:t>T2DM</w:t>
      </w:r>
      <w:r w:rsidR="00C37469">
        <w:rPr>
          <w:lang w:val="en-AU"/>
        </w:rPr>
        <w:t>)</w:t>
      </w:r>
      <w:r w:rsidR="00023648">
        <w:rPr>
          <w:lang w:val="en-AU"/>
        </w:rPr>
        <w:t xml:space="preserve">, </w:t>
      </w:r>
      <w:r w:rsidR="00C37469">
        <w:rPr>
          <w:lang w:val="en-AU"/>
        </w:rPr>
        <w:t>chronic kidney disease (</w:t>
      </w:r>
      <w:r w:rsidR="00023648">
        <w:rPr>
          <w:lang w:val="en-AU"/>
        </w:rPr>
        <w:t>CKD</w:t>
      </w:r>
      <w:r w:rsidR="00C37469">
        <w:rPr>
          <w:lang w:val="en-AU"/>
        </w:rPr>
        <w:t>)</w:t>
      </w:r>
      <w:r w:rsidR="00023648">
        <w:rPr>
          <w:lang w:val="en-AU"/>
        </w:rPr>
        <w:t>, pneumococcal vaccination, acute rheumatic fever (ARF) and/or rheumatic heart disease (RHD)</w:t>
      </w:r>
      <w:r w:rsidR="00DD110B">
        <w:rPr>
          <w:lang w:val="en-AU"/>
        </w:rPr>
        <w:t xml:space="preserve"> </w:t>
      </w:r>
      <w:r w:rsidR="00DD110B" w:rsidRPr="00C37469">
        <w:rPr>
          <w:lang w:val="en-AU"/>
        </w:rPr>
        <w:t>(Appendix</w:t>
      </w:r>
      <w:r w:rsidR="003D6EE7">
        <w:rPr>
          <w:lang w:val="en-AU"/>
        </w:rPr>
        <w:t xml:space="preserve"> 11</w:t>
      </w:r>
      <w:r w:rsidR="00DD110B">
        <w:rPr>
          <w:lang w:val="en-AU"/>
        </w:rPr>
        <w:t>)</w:t>
      </w:r>
      <w:r w:rsidR="00023648">
        <w:rPr>
          <w:lang w:val="en-AU"/>
        </w:rPr>
        <w:t>. These conditions were known to contribute significantly to the burden of disease and healthcare disparities in Aboriginal peoples and Torres Strait Islanders (especially in remote Australia).</w:t>
      </w:r>
      <w:r w:rsidR="00023648">
        <w:rPr>
          <w:rStyle w:val="EndnoteReference"/>
          <w:rFonts w:eastAsia="MS Mincho" w:cs="Calibri"/>
          <w:color w:val="000000"/>
          <w:sz w:val="24"/>
          <w:szCs w:val="24"/>
          <w:lang w:val="en-AU"/>
        </w:rPr>
        <w:endnoteReference w:id="35"/>
      </w:r>
      <w:r w:rsidR="00023648">
        <w:rPr>
          <w:sz w:val="16"/>
          <w:szCs w:val="16"/>
          <w:lang w:val="en-AU"/>
        </w:rPr>
        <w:t xml:space="preserve"> </w:t>
      </w:r>
      <w:r w:rsidR="00DD110B">
        <w:rPr>
          <w:lang w:val="en-AU"/>
        </w:rPr>
        <w:t xml:space="preserve"> </w:t>
      </w:r>
      <w:r w:rsidR="00023648">
        <w:rPr>
          <w:lang w:val="en-AU"/>
        </w:rPr>
        <w:t>The use of</w:t>
      </w:r>
      <w:r w:rsidR="00605CAB">
        <w:rPr>
          <w:lang w:val="en-AU"/>
        </w:rPr>
        <w:t xml:space="preserve"> </w:t>
      </w:r>
      <w:r w:rsidR="00023648">
        <w:rPr>
          <w:lang w:val="en-AU"/>
        </w:rPr>
        <w:t>evidence-based guidelines applicable to Aboriginal and Torres-Strait Islander peoples</w:t>
      </w:r>
      <w:r w:rsidR="00605CAB">
        <w:rPr>
          <w:lang w:val="en-AU"/>
        </w:rPr>
        <w:t xml:space="preserve"> </w:t>
      </w:r>
      <w:r w:rsidR="00023648">
        <w:rPr>
          <w:lang w:val="en-AU"/>
        </w:rPr>
        <w:t xml:space="preserve">informed the face and content validity of the underutilisation criteria. </w:t>
      </w:r>
      <w:r w:rsidR="0018139E">
        <w:rPr>
          <w:lang w:val="en-AU"/>
        </w:rPr>
        <w:t>Data from the assessment</w:t>
      </w:r>
      <w:r w:rsidR="00DD110B">
        <w:rPr>
          <w:lang w:val="en-AU"/>
        </w:rPr>
        <w:t>s</w:t>
      </w:r>
      <w:r w:rsidR="0018139E">
        <w:rPr>
          <w:lang w:val="en-AU"/>
        </w:rPr>
        <w:t xml:space="preserve"> was entered into the logbook</w:t>
      </w:r>
      <w:r w:rsidR="00DD110B">
        <w:rPr>
          <w:lang w:val="en-AU"/>
        </w:rPr>
        <w:t xml:space="preserve"> by pharmacists</w:t>
      </w:r>
      <w:r w:rsidR="0018139E">
        <w:rPr>
          <w:lang w:val="en-AU"/>
        </w:rPr>
        <w:t xml:space="preserve">. </w:t>
      </w:r>
    </w:p>
    <w:p w14:paraId="775D121C" w14:textId="71EC3BA4" w:rsidR="00CF103D" w:rsidRDefault="00CF103D" w:rsidP="0048683E">
      <w:pPr>
        <w:pStyle w:val="Heading3"/>
      </w:pPr>
      <w:bookmarkStart w:id="99" w:name="_Toc40350093"/>
      <w:bookmarkStart w:id="100" w:name="_Toc40441075"/>
      <w:bookmarkStart w:id="101" w:name="_Toc41315617"/>
      <w:bookmarkStart w:id="102" w:name="_Toc138846262"/>
      <w:r>
        <w:t xml:space="preserve">Home </w:t>
      </w:r>
      <w:r w:rsidR="00AE0754">
        <w:t>m</w:t>
      </w:r>
      <w:r>
        <w:t xml:space="preserve">edicines </w:t>
      </w:r>
      <w:r w:rsidR="00AE0754">
        <w:t>r</w:t>
      </w:r>
      <w:r>
        <w:t>eviews</w:t>
      </w:r>
      <w:bookmarkEnd w:id="99"/>
      <w:bookmarkEnd w:id="100"/>
      <w:bookmarkEnd w:id="101"/>
      <w:r w:rsidR="00AE0754">
        <w:t xml:space="preserve"> (HMRs)</w:t>
      </w:r>
      <w:bookmarkEnd w:id="102"/>
    </w:p>
    <w:p w14:paraId="561AFAA4" w14:textId="0A661450" w:rsidR="0018139E" w:rsidRPr="00F01A4C" w:rsidRDefault="00277696" w:rsidP="00F01A4C">
      <w:r w:rsidRPr="00F01A4C">
        <w:t xml:space="preserve">Participant data for the number of HMRs </w:t>
      </w:r>
      <w:r w:rsidR="004F087A" w:rsidRPr="00F01A4C">
        <w:t xml:space="preserve">(based on the number of MBS item 900 claims) </w:t>
      </w:r>
      <w:r w:rsidRPr="00F01A4C">
        <w:t xml:space="preserve">completed in the </w:t>
      </w:r>
      <w:proofErr w:type="gramStart"/>
      <w:r w:rsidRPr="00F01A4C">
        <w:t>pre</w:t>
      </w:r>
      <w:proofErr w:type="gramEnd"/>
      <w:r w:rsidRPr="00F01A4C">
        <w:t xml:space="preserve"> </w:t>
      </w:r>
      <w:r w:rsidR="004F087A" w:rsidRPr="00F01A4C">
        <w:t xml:space="preserve">and </w:t>
      </w:r>
      <w:r w:rsidRPr="00F01A4C">
        <w:t xml:space="preserve">post-intervention </w:t>
      </w:r>
      <w:r w:rsidR="004F087A" w:rsidRPr="00F01A4C">
        <w:t>period was</w:t>
      </w:r>
      <w:r w:rsidRPr="00F01A4C">
        <w:t xml:space="preserve"> sourced from GRHANITE</w:t>
      </w:r>
      <w:r w:rsidR="00FE11C1" w:rsidRPr="00F01A4C">
        <w:t>TM</w:t>
      </w:r>
      <w:r w:rsidRPr="00F01A4C">
        <w:t xml:space="preserve"> extractions</w:t>
      </w:r>
      <w:r w:rsidR="00C37469" w:rsidRPr="00F01A4C">
        <w:t xml:space="preserve"> (Appendix </w:t>
      </w:r>
      <w:r w:rsidR="004F63A3" w:rsidRPr="00F01A4C">
        <w:t>12</w:t>
      </w:r>
      <w:r w:rsidR="00C37469" w:rsidRPr="00F01A4C">
        <w:t>)</w:t>
      </w:r>
      <w:r w:rsidRPr="00F01A4C">
        <w:t xml:space="preserve">.  </w:t>
      </w:r>
      <w:r w:rsidR="005200C3" w:rsidRPr="00F01A4C">
        <w:t xml:space="preserve">The number of HMRs completed </w:t>
      </w:r>
      <w:r w:rsidR="004F087A" w:rsidRPr="00F01A4C">
        <w:t>during the study period</w:t>
      </w:r>
      <w:r w:rsidR="00FE11C1" w:rsidRPr="00F01A4C">
        <w:t>, and related data</w:t>
      </w:r>
      <w:r w:rsidR="004F087A" w:rsidRPr="00F01A4C">
        <w:t xml:space="preserve"> </w:t>
      </w:r>
      <w:r w:rsidR="005200C3" w:rsidRPr="00F01A4C">
        <w:t xml:space="preserve">was also recorded </w:t>
      </w:r>
      <w:r w:rsidR="004F087A" w:rsidRPr="00F01A4C">
        <w:t xml:space="preserve">by pharmacists </w:t>
      </w:r>
      <w:r w:rsidR="005200C3" w:rsidRPr="00F01A4C">
        <w:t>in the logbook</w:t>
      </w:r>
      <w:r w:rsidR="004F087A" w:rsidRPr="00F01A4C">
        <w:t xml:space="preserve"> (Appendix </w:t>
      </w:r>
      <w:r w:rsidR="00C37469" w:rsidRPr="00F01A4C">
        <w:t>1</w:t>
      </w:r>
      <w:r w:rsidR="004F63A3" w:rsidRPr="00F01A4C">
        <w:t>6</w:t>
      </w:r>
      <w:r w:rsidR="004F087A" w:rsidRPr="00F01A4C">
        <w:t>)</w:t>
      </w:r>
      <w:r w:rsidR="005200C3" w:rsidRPr="00F01A4C">
        <w:t xml:space="preserve">. </w:t>
      </w:r>
      <w:r w:rsidR="00465390" w:rsidRPr="00F01A4C">
        <w:t xml:space="preserve">Pharmacists were required to document the clinical indications for a HMR and if an MBS rebate claim for item 900 was generated by the health service as well as reasons for not claiming.  </w:t>
      </w:r>
      <w:r w:rsidR="00810E8B" w:rsidRPr="00F01A4C">
        <w:t xml:space="preserve">Pharmacists were required to record if a HMR conducted during the project period was completed by an IPAC or external pharmacist. If the HMR was conducted by an accredited </w:t>
      </w:r>
      <w:r w:rsidR="00CA448C" w:rsidRPr="00F01A4C">
        <w:t xml:space="preserve">integrated </w:t>
      </w:r>
      <w:r w:rsidR="00810E8B" w:rsidRPr="00F01A4C">
        <w:t xml:space="preserve">pharmacist, the HMR was conducted either within IPAC hours or outside IPAC hours. </w:t>
      </w:r>
      <w:r w:rsidR="00170AB3" w:rsidRPr="00F01A4C">
        <w:t xml:space="preserve">Payment for </w:t>
      </w:r>
      <w:r w:rsidR="00BC73EA" w:rsidRPr="00F01A4C">
        <w:t xml:space="preserve">HMRs completed by IPAC pharmacists within project hours </w:t>
      </w:r>
      <w:r w:rsidR="00170AB3" w:rsidRPr="00F01A4C">
        <w:t xml:space="preserve">was not claimed via the </w:t>
      </w:r>
      <w:r w:rsidR="00BC73EA" w:rsidRPr="00F01A4C">
        <w:t>6CPA.</w:t>
      </w:r>
    </w:p>
    <w:p w14:paraId="11C07C41" w14:textId="06D85CA2" w:rsidR="00CF103D" w:rsidRDefault="00CF103D" w:rsidP="0048683E">
      <w:pPr>
        <w:pStyle w:val="Heading3"/>
      </w:pPr>
      <w:bookmarkStart w:id="103" w:name="_Toc40350094"/>
      <w:bookmarkStart w:id="104" w:name="_Toc40441076"/>
      <w:bookmarkStart w:id="105" w:name="_Toc41315618"/>
      <w:bookmarkStart w:id="106" w:name="_Toc138846263"/>
      <w:r>
        <w:t>Non-</w:t>
      </w:r>
      <w:r w:rsidR="00F01A4C">
        <w:t>h</w:t>
      </w:r>
      <w:r>
        <w:t xml:space="preserve">ome </w:t>
      </w:r>
      <w:r w:rsidR="00F01A4C">
        <w:t>m</w:t>
      </w:r>
      <w:r>
        <w:t xml:space="preserve">edicines </w:t>
      </w:r>
      <w:r w:rsidR="00F01A4C">
        <w:t>r</w:t>
      </w:r>
      <w:r>
        <w:t>eview</w:t>
      </w:r>
      <w:bookmarkEnd w:id="103"/>
      <w:bookmarkEnd w:id="104"/>
      <w:bookmarkEnd w:id="105"/>
      <w:bookmarkEnd w:id="106"/>
    </w:p>
    <w:p w14:paraId="206B79CB" w14:textId="1FBDC0E3" w:rsidR="00CF103D" w:rsidRPr="00451EAC" w:rsidRDefault="00CF103D" w:rsidP="00DA22EF">
      <w:pPr>
        <w:widowControl/>
        <w:autoSpaceDE w:val="0"/>
        <w:autoSpaceDN w:val="0"/>
        <w:adjustRightInd w:val="0"/>
        <w:rPr>
          <w:rFonts w:asciiTheme="majorHAnsi" w:eastAsia="MS Mincho" w:hAnsiTheme="majorHAnsi" w:cstheme="majorHAnsi"/>
          <w:color w:val="010202"/>
          <w:lang w:val="en-AU"/>
        </w:rPr>
      </w:pPr>
      <w:r w:rsidRPr="00451EAC">
        <w:rPr>
          <w:rFonts w:asciiTheme="majorHAnsi" w:eastAsia="MS Mincho" w:hAnsiTheme="majorHAnsi" w:cstheme="majorHAnsi"/>
          <w:color w:val="010202"/>
          <w:lang w:val="en-AU"/>
        </w:rPr>
        <w:t xml:space="preserve">For the purposes </w:t>
      </w:r>
      <w:r w:rsidR="00795127" w:rsidRPr="00451EAC">
        <w:rPr>
          <w:rFonts w:asciiTheme="majorHAnsi" w:eastAsia="MS Mincho" w:hAnsiTheme="majorHAnsi" w:cstheme="majorHAnsi"/>
          <w:color w:val="010202"/>
          <w:lang w:val="en-AU"/>
        </w:rPr>
        <w:t>of the IPAC project, a non-HMR wa</w:t>
      </w:r>
      <w:r w:rsidRPr="00451EAC">
        <w:rPr>
          <w:rFonts w:asciiTheme="majorHAnsi" w:eastAsia="MS Mincho" w:hAnsiTheme="majorHAnsi" w:cstheme="majorHAnsi"/>
          <w:color w:val="010202"/>
          <w:lang w:val="en-AU"/>
        </w:rPr>
        <w:t xml:space="preserve">s </w:t>
      </w:r>
      <w:r w:rsidR="00653A34" w:rsidRPr="00315CF2">
        <w:t>defined as comprising some or all the elements of a HMR but not fulfilling all relevant HMR criteria</w:t>
      </w:r>
      <w:r w:rsidR="00653A34">
        <w:t xml:space="preserve"> to be eligible to claim the MBS rebate</w:t>
      </w:r>
      <w:r w:rsidR="00FE11C1">
        <w:t>.</w:t>
      </w:r>
      <w:r w:rsidR="00653A34">
        <w:t xml:space="preserve"> </w:t>
      </w:r>
      <w:r w:rsidR="00FE11C1">
        <w:rPr>
          <w:rFonts w:asciiTheme="majorHAnsi" w:eastAsia="MS Mincho" w:hAnsiTheme="majorHAnsi" w:cstheme="majorHAnsi"/>
          <w:color w:val="010202"/>
          <w:lang w:val="en-AU"/>
        </w:rPr>
        <w:t>In</w:t>
      </w:r>
      <w:r w:rsidR="00CA448C">
        <w:rPr>
          <w:rFonts w:asciiTheme="majorHAnsi" w:eastAsia="MS Mincho" w:hAnsiTheme="majorHAnsi" w:cstheme="majorHAnsi"/>
          <w:color w:val="010202"/>
          <w:lang w:val="en-AU"/>
        </w:rPr>
        <w:t>tegrated</w:t>
      </w:r>
      <w:r w:rsidR="00CA448C" w:rsidRPr="00451EAC">
        <w:rPr>
          <w:rFonts w:asciiTheme="majorHAnsi" w:eastAsia="MS Mincho" w:hAnsiTheme="majorHAnsi" w:cstheme="majorHAnsi"/>
          <w:color w:val="010202"/>
          <w:lang w:val="en-AU"/>
        </w:rPr>
        <w:t xml:space="preserve"> </w:t>
      </w:r>
      <w:proofErr w:type="gramStart"/>
      <w:r w:rsidR="0076118C" w:rsidRPr="00451EAC">
        <w:rPr>
          <w:rFonts w:asciiTheme="majorHAnsi" w:eastAsia="MS Mincho" w:hAnsiTheme="majorHAnsi" w:cstheme="majorHAnsi"/>
          <w:color w:val="010202"/>
          <w:lang w:val="en-AU"/>
        </w:rPr>
        <w:t>pharmacist</w:t>
      </w:r>
      <w:r w:rsidR="0076118C">
        <w:rPr>
          <w:rFonts w:asciiTheme="majorHAnsi" w:eastAsia="MS Mincho" w:hAnsiTheme="majorHAnsi" w:cstheme="majorHAnsi"/>
          <w:color w:val="010202"/>
          <w:lang w:val="en-AU"/>
        </w:rPr>
        <w:t>s’</w:t>
      </w:r>
      <w:proofErr w:type="gramEnd"/>
      <w:r w:rsidR="0076118C">
        <w:rPr>
          <w:rFonts w:asciiTheme="majorHAnsi" w:eastAsia="MS Mincho" w:hAnsiTheme="majorHAnsi" w:cstheme="majorHAnsi"/>
          <w:color w:val="010202"/>
          <w:lang w:val="en-AU"/>
        </w:rPr>
        <w:t xml:space="preserve"> conducted</w:t>
      </w:r>
      <w:r w:rsidR="00FE11C1">
        <w:rPr>
          <w:rFonts w:asciiTheme="majorHAnsi" w:eastAsia="MS Mincho" w:hAnsiTheme="majorHAnsi" w:cstheme="majorHAnsi"/>
          <w:color w:val="010202"/>
          <w:lang w:val="en-AU"/>
        </w:rPr>
        <w:t xml:space="preserve"> non-HMRs </w:t>
      </w:r>
      <w:r w:rsidRPr="00451EAC">
        <w:rPr>
          <w:rFonts w:asciiTheme="majorHAnsi" w:eastAsia="MS Mincho" w:hAnsiTheme="majorHAnsi" w:cstheme="majorHAnsi"/>
          <w:color w:val="010202"/>
          <w:lang w:val="en-AU"/>
        </w:rPr>
        <w:t xml:space="preserve">for those </w:t>
      </w:r>
      <w:r w:rsidR="00CA448C">
        <w:rPr>
          <w:rFonts w:asciiTheme="majorHAnsi" w:eastAsia="MS Mincho" w:hAnsiTheme="majorHAnsi" w:cstheme="majorHAnsi"/>
          <w:color w:val="010202"/>
          <w:lang w:val="en-AU"/>
        </w:rPr>
        <w:t xml:space="preserve">at risk of medicines misadventure </w:t>
      </w:r>
      <w:r w:rsidR="00FE11C1">
        <w:rPr>
          <w:rFonts w:asciiTheme="majorHAnsi" w:eastAsia="MS Mincho" w:hAnsiTheme="majorHAnsi" w:cstheme="majorHAnsi"/>
          <w:color w:val="010202"/>
          <w:lang w:val="en-AU"/>
        </w:rPr>
        <w:t xml:space="preserve">but </w:t>
      </w:r>
      <w:r w:rsidR="00E50909">
        <w:rPr>
          <w:rFonts w:asciiTheme="majorHAnsi" w:eastAsia="MS Mincho" w:hAnsiTheme="majorHAnsi" w:cstheme="majorHAnsi"/>
          <w:color w:val="010202"/>
          <w:lang w:val="en-AU"/>
        </w:rPr>
        <w:t xml:space="preserve">did not </w:t>
      </w:r>
      <w:r w:rsidR="00C968D7">
        <w:rPr>
          <w:rFonts w:asciiTheme="majorHAnsi" w:eastAsia="MS Mincho" w:hAnsiTheme="majorHAnsi" w:cstheme="majorHAnsi"/>
          <w:color w:val="010202"/>
          <w:lang w:val="en-AU"/>
        </w:rPr>
        <w:t xml:space="preserve">fully </w:t>
      </w:r>
      <w:r w:rsidR="00E50909">
        <w:rPr>
          <w:rFonts w:asciiTheme="majorHAnsi" w:eastAsia="MS Mincho" w:hAnsiTheme="majorHAnsi" w:cstheme="majorHAnsi"/>
          <w:color w:val="010202"/>
          <w:lang w:val="en-AU"/>
        </w:rPr>
        <w:t xml:space="preserve">meet the criteria </w:t>
      </w:r>
      <w:r w:rsidR="00FE11C1">
        <w:rPr>
          <w:rFonts w:asciiTheme="majorHAnsi" w:eastAsia="MS Mincho" w:hAnsiTheme="majorHAnsi" w:cstheme="majorHAnsi"/>
          <w:color w:val="010202"/>
          <w:lang w:val="en-AU"/>
        </w:rPr>
        <w:t xml:space="preserve">for an </w:t>
      </w:r>
      <w:r w:rsidR="00E50909">
        <w:rPr>
          <w:rFonts w:asciiTheme="majorHAnsi" w:eastAsia="MS Mincho" w:hAnsiTheme="majorHAnsi" w:cstheme="majorHAnsi"/>
          <w:color w:val="010202"/>
          <w:lang w:val="en-AU"/>
        </w:rPr>
        <w:t>HMR</w:t>
      </w:r>
      <w:r w:rsidR="00C968D7">
        <w:rPr>
          <w:rFonts w:asciiTheme="majorHAnsi" w:eastAsia="MS Mincho" w:hAnsiTheme="majorHAnsi" w:cstheme="majorHAnsi"/>
          <w:color w:val="010202"/>
          <w:lang w:val="en-AU"/>
        </w:rPr>
        <w:t xml:space="preserve">. For example, the interview </w:t>
      </w:r>
      <w:r w:rsidRPr="00451EAC">
        <w:rPr>
          <w:rFonts w:asciiTheme="majorHAnsi" w:eastAsia="MS Mincho" w:hAnsiTheme="majorHAnsi" w:cstheme="majorHAnsi"/>
          <w:color w:val="010202"/>
          <w:lang w:val="en-AU"/>
        </w:rPr>
        <w:t>could be undertaken outside the participant’s home</w:t>
      </w:r>
      <w:r w:rsidR="00403AC5">
        <w:rPr>
          <w:rFonts w:asciiTheme="majorHAnsi" w:eastAsia="MS Mincho" w:hAnsiTheme="majorHAnsi" w:cstheme="majorHAnsi"/>
          <w:color w:val="010202"/>
          <w:lang w:val="en-AU"/>
        </w:rPr>
        <w:t>.</w:t>
      </w:r>
      <w:r w:rsidR="00BF1B89">
        <w:rPr>
          <w:rFonts w:asciiTheme="majorHAnsi" w:eastAsia="MS Mincho" w:hAnsiTheme="majorHAnsi" w:cstheme="majorHAnsi"/>
          <w:color w:val="010202"/>
          <w:lang w:val="en-AU"/>
        </w:rPr>
        <w:t xml:space="preserve"> </w:t>
      </w:r>
      <w:proofErr w:type="gramStart"/>
      <w:r w:rsidR="001D734D">
        <w:rPr>
          <w:rFonts w:asciiTheme="majorHAnsi" w:eastAsia="MS Mincho" w:hAnsiTheme="majorHAnsi" w:cstheme="majorHAnsi"/>
          <w:color w:val="010202"/>
          <w:lang w:val="en-AU"/>
        </w:rPr>
        <w:t>Thus</w:t>
      </w:r>
      <w:proofErr w:type="gramEnd"/>
      <w:r w:rsidR="001D734D">
        <w:rPr>
          <w:rFonts w:asciiTheme="majorHAnsi" w:eastAsia="MS Mincho" w:hAnsiTheme="majorHAnsi" w:cstheme="majorHAnsi"/>
          <w:color w:val="010202"/>
          <w:lang w:val="en-AU"/>
        </w:rPr>
        <w:t xml:space="preserve"> </w:t>
      </w:r>
      <w:r w:rsidR="00BF1B89">
        <w:rPr>
          <w:rFonts w:asciiTheme="majorHAnsi" w:eastAsia="MS Mincho" w:hAnsiTheme="majorHAnsi" w:cstheme="majorHAnsi"/>
          <w:color w:val="010202"/>
          <w:lang w:val="en-AU"/>
        </w:rPr>
        <w:t xml:space="preserve">a </w:t>
      </w:r>
      <w:r w:rsidR="001D734D">
        <w:rPr>
          <w:rFonts w:asciiTheme="majorHAnsi" w:eastAsia="MS Mincho" w:hAnsiTheme="majorHAnsi" w:cstheme="majorHAnsi"/>
          <w:color w:val="010202"/>
          <w:lang w:val="en-AU"/>
        </w:rPr>
        <w:t>non-HMR</w:t>
      </w:r>
      <w:r w:rsidRPr="00451EAC">
        <w:rPr>
          <w:rFonts w:asciiTheme="majorHAnsi" w:eastAsia="MS Mincho" w:hAnsiTheme="majorHAnsi" w:cstheme="majorHAnsi"/>
          <w:color w:val="010202"/>
          <w:lang w:val="en-AU"/>
        </w:rPr>
        <w:t xml:space="preserve"> was defined by eight mandatory</w:t>
      </w:r>
      <w:r w:rsidR="00795127" w:rsidRPr="00451EAC">
        <w:rPr>
          <w:rFonts w:asciiTheme="majorHAnsi" w:eastAsia="MS Mincho" w:hAnsiTheme="majorHAnsi" w:cstheme="majorHAnsi"/>
          <w:color w:val="010202"/>
          <w:lang w:val="en-AU"/>
        </w:rPr>
        <w:t xml:space="preserve"> </w:t>
      </w:r>
      <w:r w:rsidRPr="00451EAC">
        <w:rPr>
          <w:rFonts w:asciiTheme="majorHAnsi" w:eastAsia="MS Mincho" w:hAnsiTheme="majorHAnsi" w:cstheme="majorHAnsi"/>
          <w:color w:val="010202"/>
          <w:lang w:val="en-AU"/>
        </w:rPr>
        <w:t>criteria that included:</w:t>
      </w:r>
    </w:p>
    <w:p w14:paraId="562C32B7" w14:textId="77777777" w:rsidR="00CF103D" w:rsidRPr="002248A3" w:rsidRDefault="00CF103D" w:rsidP="005C2033">
      <w:pPr>
        <w:pStyle w:val="ListNumber"/>
        <w:numPr>
          <w:ilvl w:val="0"/>
          <w:numId w:val="41"/>
        </w:numPr>
        <w:tabs>
          <w:tab w:val="clear" w:pos="567"/>
        </w:tabs>
        <w:ind w:left="851"/>
      </w:pPr>
      <w:r w:rsidRPr="002248A3">
        <w:t xml:space="preserve">an interactive face-to-face or telehealth interview with the </w:t>
      </w:r>
      <w:proofErr w:type="gramStart"/>
      <w:r w:rsidRPr="002248A3">
        <w:t>patient;</w:t>
      </w:r>
      <w:proofErr w:type="gramEnd"/>
    </w:p>
    <w:p w14:paraId="78A28BBD" w14:textId="77777777" w:rsidR="00CF103D" w:rsidRPr="002248A3" w:rsidRDefault="00CF103D" w:rsidP="005C2033">
      <w:pPr>
        <w:pStyle w:val="ListNumber"/>
        <w:numPr>
          <w:ilvl w:val="0"/>
          <w:numId w:val="41"/>
        </w:numPr>
        <w:tabs>
          <w:tab w:val="clear" w:pos="567"/>
        </w:tabs>
        <w:ind w:left="851"/>
      </w:pPr>
      <w:r w:rsidRPr="002248A3">
        <w:t xml:space="preserve">the collection of patient-specific </w:t>
      </w:r>
      <w:proofErr w:type="gramStart"/>
      <w:r w:rsidRPr="002248A3">
        <w:t>data;</w:t>
      </w:r>
      <w:proofErr w:type="gramEnd"/>
    </w:p>
    <w:p w14:paraId="0ED7DC22" w14:textId="77777777" w:rsidR="00CF103D" w:rsidRPr="002248A3" w:rsidRDefault="00CF103D" w:rsidP="005C2033">
      <w:pPr>
        <w:pStyle w:val="ListNumber"/>
        <w:numPr>
          <w:ilvl w:val="0"/>
          <w:numId w:val="41"/>
        </w:numPr>
        <w:tabs>
          <w:tab w:val="clear" w:pos="567"/>
        </w:tabs>
        <w:ind w:left="851"/>
      </w:pPr>
      <w:r w:rsidRPr="002248A3">
        <w:t xml:space="preserve">the compilation of a comprehensive medication </w:t>
      </w:r>
      <w:proofErr w:type="gramStart"/>
      <w:r w:rsidRPr="002248A3">
        <w:t>profile;</w:t>
      </w:r>
      <w:proofErr w:type="gramEnd"/>
    </w:p>
    <w:p w14:paraId="0A24AB3E" w14:textId="77777777" w:rsidR="00CF103D" w:rsidRPr="002248A3" w:rsidRDefault="00CF103D" w:rsidP="005C2033">
      <w:pPr>
        <w:pStyle w:val="ListNumber"/>
        <w:numPr>
          <w:ilvl w:val="0"/>
          <w:numId w:val="41"/>
        </w:numPr>
        <w:tabs>
          <w:tab w:val="clear" w:pos="567"/>
        </w:tabs>
        <w:ind w:left="851"/>
      </w:pPr>
      <w:r w:rsidRPr="002248A3">
        <w:t xml:space="preserve">education of the patient about their </w:t>
      </w:r>
      <w:proofErr w:type="gramStart"/>
      <w:r w:rsidRPr="002248A3">
        <w:t>medications;</w:t>
      </w:r>
      <w:proofErr w:type="gramEnd"/>
    </w:p>
    <w:p w14:paraId="3BCA276A" w14:textId="77777777" w:rsidR="00CF103D" w:rsidRPr="002248A3" w:rsidRDefault="00CF103D" w:rsidP="005C2033">
      <w:pPr>
        <w:pStyle w:val="ListNumber"/>
        <w:numPr>
          <w:ilvl w:val="0"/>
          <w:numId w:val="41"/>
        </w:numPr>
        <w:tabs>
          <w:tab w:val="clear" w:pos="567"/>
        </w:tabs>
        <w:ind w:left="851"/>
      </w:pPr>
      <w:r w:rsidRPr="002248A3">
        <w:t xml:space="preserve">the assessment of the medication profile to identify medication-related </w:t>
      </w:r>
      <w:proofErr w:type="gramStart"/>
      <w:r w:rsidRPr="002248A3">
        <w:t>problems;</w:t>
      </w:r>
      <w:proofErr w:type="gramEnd"/>
    </w:p>
    <w:p w14:paraId="5556E8B2" w14:textId="77777777" w:rsidR="00CF103D" w:rsidRPr="002248A3" w:rsidRDefault="00CF103D" w:rsidP="005C2033">
      <w:pPr>
        <w:pStyle w:val="ListNumber"/>
        <w:numPr>
          <w:ilvl w:val="0"/>
          <w:numId w:val="41"/>
        </w:numPr>
        <w:tabs>
          <w:tab w:val="clear" w:pos="567"/>
        </w:tabs>
        <w:ind w:left="851"/>
      </w:pPr>
      <w:r w:rsidRPr="002248A3">
        <w:t xml:space="preserve">prioritizing a list of medication-related </w:t>
      </w:r>
      <w:proofErr w:type="gramStart"/>
      <w:r w:rsidRPr="002248A3">
        <w:t>problems;</w:t>
      </w:r>
      <w:proofErr w:type="gramEnd"/>
    </w:p>
    <w:p w14:paraId="0229D0AE" w14:textId="77777777" w:rsidR="00CF103D" w:rsidRPr="002248A3" w:rsidRDefault="00CF103D" w:rsidP="005C2033">
      <w:pPr>
        <w:pStyle w:val="ListNumber"/>
        <w:numPr>
          <w:ilvl w:val="0"/>
          <w:numId w:val="41"/>
        </w:numPr>
        <w:tabs>
          <w:tab w:val="clear" w:pos="567"/>
        </w:tabs>
        <w:ind w:left="851"/>
      </w:pPr>
      <w:r w:rsidRPr="002248A3">
        <w:t>recommendations made and documented in the ACCHS clinical information system; and</w:t>
      </w:r>
    </w:p>
    <w:p w14:paraId="193758CA" w14:textId="7819DC40" w:rsidR="00CF103D" w:rsidRPr="002248A3" w:rsidRDefault="00CF103D" w:rsidP="005C2033">
      <w:pPr>
        <w:pStyle w:val="ListNumber"/>
        <w:numPr>
          <w:ilvl w:val="0"/>
          <w:numId w:val="41"/>
        </w:numPr>
        <w:tabs>
          <w:tab w:val="clear" w:pos="567"/>
        </w:tabs>
        <w:ind w:left="851"/>
      </w:pPr>
      <w:r w:rsidRPr="002248A3">
        <w:t xml:space="preserve">recommendations </w:t>
      </w:r>
      <w:r w:rsidR="00CA448C" w:rsidRPr="002248A3">
        <w:t xml:space="preserve">were </w:t>
      </w:r>
      <w:r w:rsidRPr="002248A3">
        <w:t>discussed with the prescriber.</w:t>
      </w:r>
    </w:p>
    <w:p w14:paraId="22D6AB04" w14:textId="7131400D" w:rsidR="00795127" w:rsidRPr="00451EAC" w:rsidRDefault="00465390" w:rsidP="003D4461">
      <w:pPr>
        <w:widowControl/>
        <w:autoSpaceDE w:val="0"/>
        <w:autoSpaceDN w:val="0"/>
        <w:adjustRightInd w:val="0"/>
        <w:rPr>
          <w:rFonts w:asciiTheme="majorHAnsi" w:hAnsiTheme="majorHAnsi" w:cstheme="majorHAnsi"/>
          <w:lang w:val="en-AU"/>
        </w:rPr>
      </w:pPr>
      <w:r>
        <w:rPr>
          <w:rFonts w:asciiTheme="majorHAnsi" w:eastAsia="MS Mincho" w:hAnsiTheme="majorHAnsi" w:cstheme="majorHAnsi"/>
          <w:color w:val="010202"/>
          <w:lang w:val="en-AU"/>
        </w:rPr>
        <w:t>A</w:t>
      </w:r>
      <w:r w:rsidR="00CF103D" w:rsidRPr="00451EAC">
        <w:rPr>
          <w:rFonts w:asciiTheme="majorHAnsi" w:eastAsia="MS Mincho" w:hAnsiTheme="majorHAnsi" w:cstheme="majorHAnsi"/>
          <w:color w:val="010202"/>
          <w:lang w:val="en-AU"/>
        </w:rPr>
        <w:t>ll completed non-HMRs fulfilled all eight</w:t>
      </w:r>
      <w:r w:rsidR="00795127" w:rsidRPr="00451EAC">
        <w:rPr>
          <w:rFonts w:asciiTheme="majorHAnsi" w:eastAsia="MS Mincho" w:hAnsiTheme="majorHAnsi" w:cstheme="majorHAnsi"/>
          <w:color w:val="010202"/>
          <w:lang w:val="en-AU"/>
        </w:rPr>
        <w:t xml:space="preserve"> </w:t>
      </w:r>
      <w:r w:rsidR="00CF103D" w:rsidRPr="00451EAC">
        <w:rPr>
          <w:rFonts w:asciiTheme="majorHAnsi" w:eastAsia="MS Mincho" w:hAnsiTheme="majorHAnsi" w:cstheme="majorHAnsi"/>
          <w:color w:val="010202"/>
          <w:lang w:val="en-AU"/>
        </w:rPr>
        <w:t>criteria</w:t>
      </w:r>
      <w:r>
        <w:rPr>
          <w:rFonts w:asciiTheme="majorHAnsi" w:eastAsia="MS Mincho" w:hAnsiTheme="majorHAnsi" w:cstheme="majorHAnsi"/>
          <w:color w:val="010202"/>
          <w:lang w:val="en-AU"/>
        </w:rPr>
        <w:t xml:space="preserve"> and </w:t>
      </w:r>
      <w:r w:rsidR="0018139E" w:rsidRPr="00451EAC">
        <w:rPr>
          <w:rFonts w:asciiTheme="majorHAnsi" w:hAnsiTheme="majorHAnsi" w:cstheme="majorHAnsi"/>
          <w:lang w:val="en-AU"/>
        </w:rPr>
        <w:t>were entered into the logbook</w:t>
      </w:r>
      <w:r>
        <w:rPr>
          <w:rFonts w:asciiTheme="majorHAnsi" w:hAnsiTheme="majorHAnsi" w:cstheme="majorHAnsi"/>
          <w:lang w:val="en-AU"/>
        </w:rPr>
        <w:t xml:space="preserve"> by pharmacists</w:t>
      </w:r>
      <w:r w:rsidR="009642DB">
        <w:rPr>
          <w:rFonts w:asciiTheme="majorHAnsi" w:hAnsiTheme="majorHAnsi" w:cstheme="majorHAnsi"/>
          <w:lang w:val="en-AU"/>
        </w:rPr>
        <w:t xml:space="preserve"> (</w:t>
      </w:r>
      <w:r w:rsidR="002143DE">
        <w:rPr>
          <w:rFonts w:asciiTheme="majorHAnsi" w:hAnsiTheme="majorHAnsi" w:cstheme="majorHAnsi"/>
          <w:color w:val="000000"/>
          <w:lang w:val="en-AU"/>
        </w:rPr>
        <w:t>Appendices</w:t>
      </w:r>
      <w:r w:rsidR="002143DE" w:rsidRPr="00FE11C1">
        <w:rPr>
          <w:rFonts w:asciiTheme="majorHAnsi" w:hAnsiTheme="majorHAnsi" w:cstheme="majorHAnsi"/>
          <w:color w:val="000000"/>
          <w:lang w:val="en-AU"/>
        </w:rPr>
        <w:t xml:space="preserve"> </w:t>
      </w:r>
      <w:r w:rsidR="002143DE">
        <w:rPr>
          <w:rFonts w:asciiTheme="majorHAnsi" w:hAnsiTheme="majorHAnsi" w:cstheme="majorHAnsi"/>
          <w:color w:val="000000"/>
          <w:lang w:val="en-AU"/>
        </w:rPr>
        <w:t xml:space="preserve">12 and </w:t>
      </w:r>
      <w:r w:rsidR="002143DE" w:rsidRPr="00FE11C1">
        <w:rPr>
          <w:rFonts w:asciiTheme="majorHAnsi" w:hAnsiTheme="majorHAnsi" w:cstheme="majorHAnsi"/>
          <w:color w:val="000000"/>
          <w:lang w:val="en-AU"/>
        </w:rPr>
        <w:t>16</w:t>
      </w:r>
      <w:r w:rsidR="009642DB">
        <w:rPr>
          <w:rFonts w:asciiTheme="majorHAnsi" w:hAnsiTheme="majorHAnsi" w:cstheme="majorHAnsi"/>
          <w:lang w:val="en-AU"/>
        </w:rPr>
        <w:t>)</w:t>
      </w:r>
      <w:r w:rsidR="0018139E" w:rsidRPr="00451EAC">
        <w:rPr>
          <w:rFonts w:asciiTheme="majorHAnsi" w:hAnsiTheme="majorHAnsi" w:cstheme="majorHAnsi"/>
          <w:lang w:val="en-AU"/>
        </w:rPr>
        <w:t>.</w:t>
      </w:r>
    </w:p>
    <w:p w14:paraId="5493F592" w14:textId="4869FFB2" w:rsidR="00023648" w:rsidRDefault="00285077" w:rsidP="00BC73EA">
      <w:pPr>
        <w:rPr>
          <w:color w:val="000000"/>
          <w:lang w:val="en-AU"/>
        </w:rPr>
      </w:pPr>
      <w:r>
        <w:rPr>
          <w:lang w:val="en-AU"/>
        </w:rPr>
        <w:lastRenderedPageBreak/>
        <w:t xml:space="preserve">A non-HMR was distinct from a HMR in that a </w:t>
      </w:r>
      <w:r>
        <w:rPr>
          <w:color w:val="000000"/>
          <w:lang w:val="en-AU"/>
        </w:rPr>
        <w:t xml:space="preserve">non-HMR allowed for an opportunistic medication review by a pharmacist </w:t>
      </w:r>
      <w:r w:rsidR="0063029B">
        <w:rPr>
          <w:color w:val="000000"/>
          <w:lang w:val="en-AU"/>
        </w:rPr>
        <w:t xml:space="preserve">either within or outside the patient’s home; </w:t>
      </w:r>
      <w:r>
        <w:rPr>
          <w:color w:val="000000"/>
          <w:lang w:val="en-AU"/>
        </w:rPr>
        <w:t xml:space="preserve">without needing a </w:t>
      </w:r>
      <w:r w:rsidR="0063029B">
        <w:rPr>
          <w:color w:val="000000"/>
          <w:lang w:val="en-AU"/>
        </w:rPr>
        <w:t xml:space="preserve">formal </w:t>
      </w:r>
      <w:r>
        <w:rPr>
          <w:color w:val="000000"/>
          <w:lang w:val="en-AU"/>
        </w:rPr>
        <w:t xml:space="preserve">referral from the patient’s GP; and the absence of frequency restrictions for a non-HMR whereupon a patient may have a non-HMR following a </w:t>
      </w:r>
      <w:proofErr w:type="gramStart"/>
      <w:r>
        <w:rPr>
          <w:color w:val="000000"/>
          <w:lang w:val="en-AU"/>
        </w:rPr>
        <w:t>HMR, or</w:t>
      </w:r>
      <w:proofErr w:type="gramEnd"/>
      <w:r>
        <w:rPr>
          <w:color w:val="000000"/>
          <w:lang w:val="en-AU"/>
        </w:rPr>
        <w:t xml:space="preserve"> repeat non-HMRs as deemed clinically necessary.</w:t>
      </w:r>
    </w:p>
    <w:p w14:paraId="4B40CA0A" w14:textId="77777777" w:rsidR="00795127" w:rsidRDefault="00795127" w:rsidP="0048683E">
      <w:pPr>
        <w:pStyle w:val="Heading3"/>
      </w:pPr>
      <w:bookmarkStart w:id="107" w:name="_Toc40350095"/>
      <w:bookmarkStart w:id="108" w:name="_Toc40441077"/>
      <w:bookmarkStart w:id="109" w:name="_Toc41315619"/>
      <w:bookmarkStart w:id="110" w:name="_Toc138846264"/>
      <w:r>
        <w:t>Follow-up to an HMR or a non-HMR</w:t>
      </w:r>
      <w:bookmarkEnd w:id="107"/>
      <w:bookmarkEnd w:id="108"/>
      <w:bookmarkEnd w:id="109"/>
      <w:bookmarkEnd w:id="110"/>
    </w:p>
    <w:p w14:paraId="0F93BFF9" w14:textId="555E4DB2" w:rsidR="00795127" w:rsidRPr="0018139E" w:rsidRDefault="00795127" w:rsidP="00DA22EF">
      <w:pPr>
        <w:widowControl/>
        <w:autoSpaceDE w:val="0"/>
        <w:autoSpaceDN w:val="0"/>
        <w:adjustRightInd w:val="0"/>
        <w:rPr>
          <w:rFonts w:eastAsia="MS Mincho" w:cs="Calibri"/>
          <w:color w:val="010202"/>
          <w:lang w:val="en-AU"/>
        </w:rPr>
      </w:pPr>
      <w:r w:rsidRPr="0018139E">
        <w:rPr>
          <w:rFonts w:eastAsia="MS Mincho" w:cs="Calibri"/>
          <w:color w:val="010202"/>
          <w:lang w:val="en-AU"/>
        </w:rPr>
        <w:t xml:space="preserve">The project protocol required that an </w:t>
      </w:r>
      <w:r w:rsidR="00C739F4">
        <w:rPr>
          <w:rFonts w:eastAsia="MS Mincho" w:cs="Calibri"/>
          <w:color w:val="010202"/>
          <w:lang w:val="en-AU"/>
        </w:rPr>
        <w:t>integrated</w:t>
      </w:r>
      <w:r w:rsidR="00C739F4" w:rsidRPr="0018139E">
        <w:rPr>
          <w:rFonts w:eastAsia="MS Mincho" w:cs="Calibri"/>
          <w:color w:val="010202"/>
          <w:lang w:val="en-AU"/>
        </w:rPr>
        <w:t xml:space="preserve"> </w:t>
      </w:r>
      <w:r w:rsidRPr="0018139E">
        <w:rPr>
          <w:rFonts w:eastAsia="MS Mincho" w:cs="Calibri"/>
          <w:color w:val="010202"/>
          <w:lang w:val="en-AU"/>
        </w:rPr>
        <w:t>pharmacist should schedule a patient follow-up</w:t>
      </w:r>
      <w:r w:rsidR="0018139E" w:rsidRPr="0018139E">
        <w:rPr>
          <w:rFonts w:eastAsia="MS Mincho" w:cs="Calibri"/>
          <w:color w:val="010202"/>
          <w:lang w:val="en-AU"/>
        </w:rPr>
        <w:t xml:space="preserve"> </w:t>
      </w:r>
      <w:r w:rsidR="00C73D67">
        <w:rPr>
          <w:rFonts w:eastAsia="MS Mincho" w:cs="Calibri"/>
          <w:color w:val="010202"/>
          <w:lang w:val="en-AU"/>
        </w:rPr>
        <w:t xml:space="preserve">as per usual clinic processes </w:t>
      </w:r>
      <w:r w:rsidRPr="0018139E">
        <w:rPr>
          <w:rFonts w:eastAsia="MS Mincho" w:cs="Calibri"/>
          <w:color w:val="010202"/>
          <w:lang w:val="en-AU"/>
        </w:rPr>
        <w:t>after the completion of an HMR or a non-HMR. Information regarding</w:t>
      </w:r>
      <w:r w:rsidR="0018139E" w:rsidRPr="0018139E">
        <w:rPr>
          <w:rFonts w:eastAsia="MS Mincho" w:cs="Calibri"/>
          <w:color w:val="010202"/>
          <w:lang w:val="en-AU"/>
        </w:rPr>
        <w:t xml:space="preserve"> </w:t>
      </w:r>
      <w:r w:rsidRPr="0018139E">
        <w:rPr>
          <w:rFonts w:eastAsia="MS Mincho" w:cs="Calibri"/>
          <w:color w:val="010202"/>
          <w:lang w:val="en-AU"/>
        </w:rPr>
        <w:t>pharmacist’s follow-up activity was collected for patients who had a HMR or a non-HMR.</w:t>
      </w:r>
      <w:r w:rsidR="0018139E" w:rsidRPr="0018139E">
        <w:rPr>
          <w:rFonts w:eastAsia="MS Mincho" w:cs="Calibri"/>
          <w:color w:val="010202"/>
          <w:lang w:val="en-AU"/>
        </w:rPr>
        <w:t xml:space="preserve"> </w:t>
      </w:r>
      <w:r w:rsidRPr="0018139E">
        <w:rPr>
          <w:rFonts w:eastAsia="MS Mincho" w:cs="Calibri"/>
          <w:color w:val="010202"/>
          <w:lang w:val="en-AU"/>
        </w:rPr>
        <w:t>Pharmacists undertaking a follow-up activity were required to fulfil three criteria for each</w:t>
      </w:r>
      <w:r w:rsidR="0018139E" w:rsidRPr="0018139E">
        <w:rPr>
          <w:rFonts w:eastAsia="MS Mincho" w:cs="Calibri"/>
          <w:color w:val="010202"/>
          <w:lang w:val="en-AU"/>
        </w:rPr>
        <w:t xml:space="preserve"> </w:t>
      </w:r>
      <w:r w:rsidRPr="0018139E">
        <w:rPr>
          <w:rFonts w:eastAsia="MS Mincho" w:cs="Calibri"/>
          <w:color w:val="010202"/>
          <w:lang w:val="en-AU"/>
        </w:rPr>
        <w:t>activity:</w:t>
      </w:r>
    </w:p>
    <w:p w14:paraId="32385ADF" w14:textId="77777777" w:rsidR="00795127" w:rsidRPr="009254CC" w:rsidRDefault="00795127" w:rsidP="009254CC">
      <w:pPr>
        <w:pStyle w:val="ListNumber"/>
        <w:numPr>
          <w:ilvl w:val="0"/>
          <w:numId w:val="42"/>
        </w:numPr>
        <w:tabs>
          <w:tab w:val="clear" w:pos="567"/>
        </w:tabs>
        <w:ind w:left="851"/>
      </w:pPr>
      <w:r w:rsidRPr="009254CC">
        <w:t>reinforce the HMR and non-HMR advice and recommendations provided by the</w:t>
      </w:r>
      <w:r w:rsidR="0018139E" w:rsidRPr="009254CC">
        <w:t xml:space="preserve"> </w:t>
      </w:r>
      <w:r w:rsidRPr="009254CC">
        <w:t>pharmacist (and the GP, if appropriate</w:t>
      </w:r>
      <w:proofErr w:type="gramStart"/>
      <w:r w:rsidRPr="009254CC">
        <w:t>);</w:t>
      </w:r>
      <w:proofErr w:type="gramEnd"/>
    </w:p>
    <w:p w14:paraId="3702E552" w14:textId="77777777" w:rsidR="00795127" w:rsidRPr="009254CC" w:rsidRDefault="00795127" w:rsidP="009254CC">
      <w:pPr>
        <w:pStyle w:val="ListNumber"/>
        <w:numPr>
          <w:ilvl w:val="0"/>
          <w:numId w:val="42"/>
        </w:numPr>
        <w:tabs>
          <w:tab w:val="clear" w:pos="567"/>
        </w:tabs>
        <w:ind w:left="851"/>
      </w:pPr>
      <w:r w:rsidRPr="009254CC">
        <w:t>assess the impact of any actions recommended from the HMR or non-HMR; and</w:t>
      </w:r>
    </w:p>
    <w:p w14:paraId="05243922" w14:textId="77777777" w:rsidR="00795127" w:rsidRPr="009254CC" w:rsidRDefault="00795127" w:rsidP="009254CC">
      <w:pPr>
        <w:pStyle w:val="ListNumber"/>
        <w:numPr>
          <w:ilvl w:val="0"/>
          <w:numId w:val="42"/>
        </w:numPr>
        <w:tabs>
          <w:tab w:val="clear" w:pos="567"/>
        </w:tabs>
        <w:ind w:left="851"/>
      </w:pPr>
      <w:r w:rsidRPr="009254CC">
        <w:t>determine if another HMR or non-HMR, education session or preventive intervention was</w:t>
      </w:r>
      <w:r w:rsidR="0018139E" w:rsidRPr="009254CC">
        <w:t xml:space="preserve"> </w:t>
      </w:r>
      <w:r w:rsidRPr="009254CC">
        <w:t>needed.</w:t>
      </w:r>
    </w:p>
    <w:p w14:paraId="64030E69" w14:textId="2DF59E45" w:rsidR="00795127" w:rsidRPr="0018139E" w:rsidRDefault="00795127" w:rsidP="00DA22EF">
      <w:pPr>
        <w:widowControl/>
        <w:autoSpaceDE w:val="0"/>
        <w:autoSpaceDN w:val="0"/>
        <w:adjustRightInd w:val="0"/>
        <w:rPr>
          <w:rFonts w:eastAsia="MS Mincho" w:cs="Calibri"/>
          <w:color w:val="010202"/>
          <w:lang w:val="en-AU"/>
        </w:rPr>
      </w:pPr>
      <w:r w:rsidRPr="0018139E">
        <w:rPr>
          <w:rFonts w:eastAsia="MS Mincho" w:cs="Calibri"/>
          <w:color w:val="010202"/>
          <w:lang w:val="en-AU"/>
        </w:rPr>
        <w:t>Pharmacists logging the completion of participant follow-up for the IPAC study were</w:t>
      </w:r>
      <w:r w:rsidR="0018139E" w:rsidRPr="0018139E">
        <w:rPr>
          <w:rFonts w:eastAsia="MS Mincho" w:cs="Calibri"/>
          <w:color w:val="010202"/>
          <w:lang w:val="en-AU"/>
        </w:rPr>
        <w:t xml:space="preserve"> </w:t>
      </w:r>
      <w:r w:rsidRPr="0018139E">
        <w:rPr>
          <w:rFonts w:eastAsia="MS Mincho" w:cs="Calibri"/>
          <w:color w:val="010202"/>
          <w:lang w:val="en-AU"/>
        </w:rPr>
        <w:t>required to confirm the assessment of all three criteria</w:t>
      </w:r>
      <w:r w:rsidR="00465390">
        <w:rPr>
          <w:rFonts w:eastAsia="MS Mincho" w:cs="Calibri"/>
          <w:color w:val="010202"/>
          <w:lang w:val="en-AU"/>
        </w:rPr>
        <w:t xml:space="preserve"> with the </w:t>
      </w:r>
      <w:r w:rsidR="0018139E">
        <w:rPr>
          <w:lang w:val="en-AU"/>
        </w:rPr>
        <w:t xml:space="preserve">encounter </w:t>
      </w:r>
      <w:proofErr w:type="gramStart"/>
      <w:r w:rsidR="0018139E" w:rsidRPr="0018139E">
        <w:rPr>
          <w:lang w:val="en-AU"/>
        </w:rPr>
        <w:t>entered into</w:t>
      </w:r>
      <w:proofErr w:type="gramEnd"/>
      <w:r w:rsidR="0018139E" w:rsidRPr="0018139E">
        <w:rPr>
          <w:lang w:val="en-AU"/>
        </w:rPr>
        <w:t xml:space="preserve"> the logbook</w:t>
      </w:r>
      <w:r w:rsidR="009642DB">
        <w:rPr>
          <w:lang w:val="en-AU"/>
        </w:rPr>
        <w:t xml:space="preserve"> (</w:t>
      </w:r>
      <w:r w:rsidR="002143DE">
        <w:rPr>
          <w:rFonts w:asciiTheme="majorHAnsi" w:hAnsiTheme="majorHAnsi" w:cstheme="majorHAnsi"/>
          <w:color w:val="000000"/>
          <w:lang w:val="en-AU"/>
        </w:rPr>
        <w:t>Appendices</w:t>
      </w:r>
      <w:r w:rsidR="002143DE" w:rsidRPr="00FE11C1">
        <w:rPr>
          <w:rFonts w:asciiTheme="majorHAnsi" w:hAnsiTheme="majorHAnsi" w:cstheme="majorHAnsi"/>
          <w:color w:val="000000"/>
          <w:lang w:val="en-AU"/>
        </w:rPr>
        <w:t xml:space="preserve"> </w:t>
      </w:r>
      <w:r w:rsidR="002143DE">
        <w:rPr>
          <w:rFonts w:asciiTheme="majorHAnsi" w:hAnsiTheme="majorHAnsi" w:cstheme="majorHAnsi"/>
          <w:color w:val="000000"/>
          <w:lang w:val="en-AU"/>
        </w:rPr>
        <w:t xml:space="preserve">12 and </w:t>
      </w:r>
      <w:r w:rsidR="002143DE" w:rsidRPr="00FE11C1">
        <w:rPr>
          <w:rFonts w:asciiTheme="majorHAnsi" w:hAnsiTheme="majorHAnsi" w:cstheme="majorHAnsi"/>
          <w:color w:val="000000"/>
          <w:lang w:val="en-AU"/>
        </w:rPr>
        <w:t>16</w:t>
      </w:r>
      <w:r w:rsidR="009642DB" w:rsidRPr="002143DE">
        <w:rPr>
          <w:lang w:val="en-AU"/>
        </w:rPr>
        <w:t>)</w:t>
      </w:r>
      <w:r w:rsidR="0018139E" w:rsidRPr="002143DE">
        <w:rPr>
          <w:lang w:val="en-AU"/>
        </w:rPr>
        <w:t>.</w:t>
      </w:r>
    </w:p>
    <w:p w14:paraId="6D156CB7" w14:textId="77777777" w:rsidR="00795127" w:rsidRDefault="00795127" w:rsidP="0048683E">
      <w:pPr>
        <w:pStyle w:val="Heading3"/>
      </w:pPr>
      <w:bookmarkStart w:id="111" w:name="_Toc40350096"/>
      <w:bookmarkStart w:id="112" w:name="_Toc40441078"/>
      <w:bookmarkStart w:id="113" w:name="_Toc41315620"/>
      <w:bookmarkStart w:id="114" w:name="_Toc138846265"/>
      <w:r>
        <w:t>Medication-related problems</w:t>
      </w:r>
      <w:bookmarkEnd w:id="111"/>
      <w:bookmarkEnd w:id="112"/>
      <w:bookmarkEnd w:id="113"/>
      <w:bookmarkEnd w:id="114"/>
    </w:p>
    <w:p w14:paraId="7A12C6B4" w14:textId="39B71685" w:rsidR="00795127" w:rsidRPr="00FD00E0" w:rsidRDefault="00795127" w:rsidP="00DA22EF">
      <w:r w:rsidRPr="00FD00E0">
        <w:rPr>
          <w:lang w:val="en-AU"/>
        </w:rPr>
        <w:t>For every HMR or non-HMR during the intervention phase, pharmacists were required to</w:t>
      </w:r>
      <w:r w:rsidR="0018139E" w:rsidRPr="00FD00E0">
        <w:rPr>
          <w:lang w:val="en-AU"/>
        </w:rPr>
        <w:t xml:space="preserve"> </w:t>
      </w:r>
      <w:r w:rsidRPr="00FD00E0">
        <w:rPr>
          <w:lang w:val="en-AU"/>
        </w:rPr>
        <w:t xml:space="preserve">report any </w:t>
      </w:r>
      <w:r w:rsidR="0018139E" w:rsidRPr="00FD00E0">
        <w:rPr>
          <w:lang w:val="en-AU"/>
        </w:rPr>
        <w:t>medication-related problems (</w:t>
      </w:r>
      <w:r w:rsidRPr="00FD00E0">
        <w:rPr>
          <w:lang w:val="en-AU"/>
        </w:rPr>
        <w:t>MRPs</w:t>
      </w:r>
      <w:r w:rsidR="0018139E" w:rsidRPr="00FD00E0">
        <w:rPr>
          <w:lang w:val="en-AU"/>
        </w:rPr>
        <w:t>)</w:t>
      </w:r>
      <w:r w:rsidRPr="00FD00E0">
        <w:rPr>
          <w:lang w:val="en-AU"/>
        </w:rPr>
        <w:t xml:space="preserve"> identified</w:t>
      </w:r>
      <w:r w:rsidR="003D6EE7">
        <w:rPr>
          <w:lang w:val="en-AU"/>
        </w:rPr>
        <w:t xml:space="preserve"> (</w:t>
      </w:r>
      <w:r w:rsidR="003D6EE7">
        <w:rPr>
          <w:rFonts w:asciiTheme="majorHAnsi" w:hAnsiTheme="majorHAnsi" w:cstheme="majorHAnsi"/>
          <w:color w:val="000000"/>
          <w:lang w:val="en-AU"/>
        </w:rPr>
        <w:t>Appendix</w:t>
      </w:r>
      <w:r w:rsidR="003D6EE7" w:rsidRPr="00FE11C1">
        <w:rPr>
          <w:rFonts w:asciiTheme="majorHAnsi" w:hAnsiTheme="majorHAnsi" w:cstheme="majorHAnsi"/>
          <w:color w:val="000000"/>
          <w:lang w:val="en-AU"/>
        </w:rPr>
        <w:t xml:space="preserve"> </w:t>
      </w:r>
      <w:r w:rsidR="003D6EE7">
        <w:rPr>
          <w:rFonts w:asciiTheme="majorHAnsi" w:hAnsiTheme="majorHAnsi" w:cstheme="majorHAnsi"/>
          <w:color w:val="000000"/>
          <w:lang w:val="en-AU"/>
        </w:rPr>
        <w:t>12</w:t>
      </w:r>
      <w:r w:rsidR="003D6EE7">
        <w:rPr>
          <w:lang w:val="en-AU"/>
        </w:rPr>
        <w:t>).</w:t>
      </w:r>
      <w:r w:rsidRPr="00FD00E0">
        <w:rPr>
          <w:lang w:val="en-AU"/>
        </w:rPr>
        <w:t xml:space="preserve"> </w:t>
      </w:r>
      <w:r w:rsidR="001223E8">
        <w:rPr>
          <w:lang w:val="en-AU"/>
        </w:rPr>
        <w:t xml:space="preserve">The definition of </w:t>
      </w:r>
      <w:r w:rsidRPr="00FD00E0">
        <w:rPr>
          <w:lang w:val="en-AU"/>
        </w:rPr>
        <w:t xml:space="preserve">MRPs </w:t>
      </w:r>
      <w:r w:rsidR="001223E8">
        <w:rPr>
          <w:lang w:val="en-AU"/>
        </w:rPr>
        <w:t xml:space="preserve">was </w:t>
      </w:r>
      <w:r w:rsidRPr="00FD00E0">
        <w:rPr>
          <w:lang w:val="en-AU"/>
        </w:rPr>
        <w:t>adapted from some of the criteria in the</w:t>
      </w:r>
      <w:r w:rsidR="0018139E" w:rsidRPr="00FD00E0">
        <w:rPr>
          <w:lang w:val="en-AU"/>
        </w:rPr>
        <w:t xml:space="preserve"> </w:t>
      </w:r>
      <w:r w:rsidRPr="00FD00E0">
        <w:rPr>
          <w:lang w:val="en-AU"/>
        </w:rPr>
        <w:t>MAI used to assess drug-related</w:t>
      </w:r>
      <w:r w:rsidR="0018139E" w:rsidRPr="00FD00E0">
        <w:rPr>
          <w:lang w:val="en-AU"/>
        </w:rPr>
        <w:t xml:space="preserve"> </w:t>
      </w:r>
      <w:r w:rsidRPr="00FD00E0">
        <w:rPr>
          <w:lang w:val="en-AU"/>
        </w:rPr>
        <w:t>problems,</w:t>
      </w:r>
      <w:r w:rsidR="0018139E" w:rsidRPr="00FD00E0">
        <w:rPr>
          <w:lang w:val="en-AU"/>
        </w:rPr>
        <w:t xml:space="preserve"> </w:t>
      </w:r>
      <w:r w:rsidRPr="00FD00E0">
        <w:rPr>
          <w:lang w:val="en-AU"/>
        </w:rPr>
        <w:t>supplemented by additional problems commonly reported in other</w:t>
      </w:r>
      <w:r w:rsidR="0018139E" w:rsidRPr="00FD00E0">
        <w:rPr>
          <w:lang w:val="en-AU"/>
        </w:rPr>
        <w:t xml:space="preserve"> </w:t>
      </w:r>
      <w:r w:rsidRPr="00FD00E0">
        <w:rPr>
          <w:lang w:val="en-AU"/>
        </w:rPr>
        <w:t>studies</w:t>
      </w:r>
      <w:r w:rsidR="009642DB">
        <w:rPr>
          <w:lang w:val="en-AU"/>
        </w:rPr>
        <w:t xml:space="preserve"> such as if </w:t>
      </w:r>
      <w:r w:rsidRPr="00FD00E0">
        <w:rPr>
          <w:lang w:val="en-AU"/>
        </w:rPr>
        <w:t>any medicine was associated with an adverse drug reaction, and if the</w:t>
      </w:r>
      <w:r w:rsidR="0018139E" w:rsidRPr="00FD00E0">
        <w:rPr>
          <w:lang w:val="en-AU"/>
        </w:rPr>
        <w:t xml:space="preserve"> </w:t>
      </w:r>
      <w:r w:rsidRPr="00FD00E0">
        <w:rPr>
          <w:lang w:val="en-AU"/>
        </w:rPr>
        <w:t>medication dosage was sub</w:t>
      </w:r>
      <w:r w:rsidR="000C47AC">
        <w:rPr>
          <w:lang w:val="en-AU"/>
        </w:rPr>
        <w:t>-</w:t>
      </w:r>
      <w:r w:rsidRPr="00FD00E0">
        <w:rPr>
          <w:lang w:val="en-AU"/>
        </w:rPr>
        <w:t>therapeutic or if there was a</w:t>
      </w:r>
      <w:r w:rsidR="0018139E" w:rsidRPr="00FD00E0">
        <w:rPr>
          <w:lang w:val="en-AU"/>
        </w:rPr>
        <w:t xml:space="preserve">n overdosage. Pharmacists could </w:t>
      </w:r>
      <w:r w:rsidRPr="00FD00E0">
        <w:rPr>
          <w:lang w:val="en-AU"/>
        </w:rPr>
        <w:t xml:space="preserve">also report ‘other’ MRPs not included in this list, or the complete absence of </w:t>
      </w:r>
      <w:proofErr w:type="gramStart"/>
      <w:r w:rsidRPr="00FD00E0">
        <w:rPr>
          <w:lang w:val="en-AU"/>
        </w:rPr>
        <w:t>a</w:t>
      </w:r>
      <w:proofErr w:type="gramEnd"/>
      <w:r w:rsidRPr="00FD00E0">
        <w:rPr>
          <w:lang w:val="en-AU"/>
        </w:rPr>
        <w:t xml:space="preserve"> MRP.</w:t>
      </w:r>
      <w:r w:rsidR="004945BC">
        <w:rPr>
          <w:lang w:val="en-AU"/>
        </w:rPr>
        <w:t xml:space="preserve"> All data was recorde</w:t>
      </w:r>
      <w:r w:rsidR="003D6EE7">
        <w:rPr>
          <w:lang w:val="en-AU"/>
        </w:rPr>
        <w:t>d by pharmacists in the logbook.</w:t>
      </w:r>
    </w:p>
    <w:p w14:paraId="22ED8A49" w14:textId="0F408AAD" w:rsidR="00DE0D3F" w:rsidRDefault="00C90587" w:rsidP="0048683E">
      <w:pPr>
        <w:pStyle w:val="Heading3"/>
        <w:rPr>
          <w:rFonts w:cstheme="majorBidi"/>
          <w:lang w:eastAsia="en-AU"/>
        </w:rPr>
      </w:pPr>
      <w:bookmarkStart w:id="115" w:name="_Toc35513595"/>
      <w:bookmarkStart w:id="116" w:name="_Toc35946601"/>
      <w:bookmarkStart w:id="117" w:name="_Toc40350097"/>
      <w:bookmarkStart w:id="118" w:name="_Toc40441079"/>
      <w:bookmarkStart w:id="119" w:name="_Toc41315621"/>
      <w:bookmarkStart w:id="120" w:name="_Toc138846266"/>
      <w:r>
        <w:t>Medication adherence</w:t>
      </w:r>
      <w:bookmarkEnd w:id="115"/>
      <w:bookmarkEnd w:id="116"/>
      <w:bookmarkEnd w:id="117"/>
      <w:bookmarkEnd w:id="118"/>
      <w:bookmarkEnd w:id="119"/>
      <w:bookmarkEnd w:id="120"/>
    </w:p>
    <w:p w14:paraId="6DC096B3" w14:textId="60B492D5" w:rsidR="006947B4" w:rsidRDefault="00C90587" w:rsidP="00DA22EF">
      <w:pPr>
        <w:autoSpaceDE w:val="0"/>
        <w:autoSpaceDN w:val="0"/>
        <w:adjustRightInd w:val="0"/>
        <w:rPr>
          <w:rFonts w:eastAsia="Times New Roman" w:cstheme="minorHAnsi"/>
          <w:color w:val="000000"/>
          <w:lang w:eastAsia="en-AU"/>
        </w:rPr>
      </w:pPr>
      <w:r>
        <w:rPr>
          <w:rFonts w:cs="Calibri"/>
        </w:rPr>
        <w:t xml:space="preserve">The extent of </w:t>
      </w:r>
      <w:r w:rsidR="004C641F">
        <w:rPr>
          <w:rFonts w:cs="Calibri"/>
        </w:rPr>
        <w:t xml:space="preserve">participant </w:t>
      </w:r>
      <w:r>
        <w:rPr>
          <w:rFonts w:cs="Calibri"/>
        </w:rPr>
        <w:t>adherence</w:t>
      </w:r>
      <w:r w:rsidR="004C641F">
        <w:rPr>
          <w:rFonts w:cs="Calibri"/>
        </w:rPr>
        <w:t xml:space="preserve"> to medications and the reasons for non-adherence was assessed from </w:t>
      </w:r>
      <w:r>
        <w:rPr>
          <w:rFonts w:cs="Calibri"/>
        </w:rPr>
        <w:t xml:space="preserve">each participant </w:t>
      </w:r>
      <w:r w:rsidR="004C641F">
        <w:rPr>
          <w:rFonts w:cs="Calibri"/>
        </w:rPr>
        <w:t>using indirect self-reported measures</w:t>
      </w:r>
      <w:r w:rsidR="0073500F">
        <w:rPr>
          <w:rFonts w:cs="Calibri"/>
        </w:rPr>
        <w:t xml:space="preserve"> at baseline and then at the end of the study. Two methods were used</w:t>
      </w:r>
      <w:r w:rsidR="0073500F" w:rsidRPr="00C73D67">
        <w:rPr>
          <w:rFonts w:cs="Calibri"/>
        </w:rPr>
        <w:t xml:space="preserve"> </w:t>
      </w:r>
      <w:r w:rsidR="00C73D67">
        <w:rPr>
          <w:rFonts w:cs="Calibri"/>
        </w:rPr>
        <w:t>as part of a single survey tool</w:t>
      </w:r>
      <w:r w:rsidR="0073500F">
        <w:rPr>
          <w:rFonts w:cs="Calibri"/>
        </w:rPr>
        <w:t xml:space="preserve"> – a single-item question (SIQ), and an 11-item patient survey </w:t>
      </w:r>
      <w:r w:rsidR="0073500F" w:rsidRPr="00E3311C">
        <w:rPr>
          <w:rFonts w:cs="Calibri"/>
        </w:rPr>
        <w:t>(</w:t>
      </w:r>
      <w:r w:rsidR="00E3311C" w:rsidRPr="003D4461">
        <w:rPr>
          <w:rFonts w:asciiTheme="majorHAnsi" w:hAnsiTheme="majorHAnsi" w:cstheme="majorHAnsi"/>
        </w:rPr>
        <w:t>NMARS, NACCHO Medication Adherence Response Scale)</w:t>
      </w:r>
      <w:r w:rsidR="0073500F" w:rsidRPr="00E3311C">
        <w:rPr>
          <w:rFonts w:cs="Calibri"/>
        </w:rPr>
        <w:t xml:space="preserve"> </w:t>
      </w:r>
      <w:r w:rsidR="0073500F">
        <w:rPr>
          <w:rFonts w:cs="Calibri"/>
        </w:rPr>
        <w:t xml:space="preserve">that was validated for the purpose of the IPAC study.  </w:t>
      </w:r>
      <w:r w:rsidR="004C641F">
        <w:rPr>
          <w:rFonts w:cs="Calibri"/>
        </w:rPr>
        <w:t xml:space="preserve"> </w:t>
      </w:r>
      <w:r w:rsidR="0073500F">
        <w:rPr>
          <w:rFonts w:cs="Calibri"/>
        </w:rPr>
        <w:t>The SIQ asked participants</w:t>
      </w:r>
      <w:r>
        <w:rPr>
          <w:rFonts w:cstheme="minorHAnsi"/>
        </w:rPr>
        <w:t>: ‘</w:t>
      </w:r>
      <w:r>
        <w:rPr>
          <w:rFonts w:cstheme="minorHAnsi"/>
          <w:i/>
          <w:iCs/>
        </w:rPr>
        <w:t>How many days in the last week have you taken this medication?</w:t>
      </w:r>
      <w:r>
        <w:rPr>
          <w:rFonts w:cstheme="minorHAnsi"/>
        </w:rPr>
        <w:t xml:space="preserve">’ </w:t>
      </w:r>
      <w:r w:rsidR="0073500F">
        <w:rPr>
          <w:rFonts w:cs="Calibri"/>
        </w:rPr>
        <w:t>(</w:t>
      </w:r>
      <w:proofErr w:type="gramStart"/>
      <w:r>
        <w:rPr>
          <w:rFonts w:cs="Calibri"/>
        </w:rPr>
        <w:t>asked</w:t>
      </w:r>
      <w:proofErr w:type="gramEnd"/>
      <w:r>
        <w:rPr>
          <w:rFonts w:cs="Calibri"/>
        </w:rPr>
        <w:t xml:space="preserve"> for each medication the participant was taking</w:t>
      </w:r>
      <w:r w:rsidR="0073500F">
        <w:rPr>
          <w:rFonts w:cs="Calibri"/>
        </w:rPr>
        <w:t>)</w:t>
      </w:r>
      <w:r>
        <w:rPr>
          <w:rFonts w:cs="Calibri"/>
        </w:rPr>
        <w:t>. Pharmacists were trained to express the score as a proportion of the number of days the participant took the correct doses of the medication as prescribed in the preceding week. An ‘adherent day’ was defined as not missing any doses of prescribed medicines on that day. The mean number of adherent days in the preceding week ranged from 0-7 days, based on the mean score for all medications. This informed on the proportion of days with the correct number of doses taken, which is a frequent summary statistic used for reporting medication adherence.</w:t>
      </w:r>
      <w:r>
        <w:rPr>
          <w:rStyle w:val="EndnoteReference"/>
          <w:rFonts w:ascii="Calibri" w:hAnsi="Calibri" w:cs="Calibri"/>
        </w:rPr>
        <w:endnoteReference w:id="36"/>
      </w:r>
      <w:r>
        <w:rPr>
          <w:rFonts w:cs="Calibri"/>
        </w:rPr>
        <w:t xml:space="preserve"> If the mean number of adherent days for participants was least 6 of 7 days, this approximated medication adherence for at least 80% of the days indicated.</w:t>
      </w:r>
      <w:r w:rsidR="0073500F">
        <w:rPr>
          <w:rFonts w:eastAsia="Times New Roman" w:cstheme="minorHAnsi"/>
          <w:color w:val="000000"/>
          <w:lang w:eastAsia="en-AU"/>
        </w:rPr>
        <w:t xml:space="preserve"> </w:t>
      </w:r>
    </w:p>
    <w:p w14:paraId="10623EA7" w14:textId="3D289E14" w:rsidR="006947B4" w:rsidRPr="003D4461" w:rsidRDefault="007A08EF" w:rsidP="00DA22EF">
      <w:pPr>
        <w:autoSpaceDE w:val="0"/>
        <w:autoSpaceDN w:val="0"/>
        <w:adjustRightInd w:val="0"/>
        <w:rPr>
          <w:rFonts w:asciiTheme="majorHAnsi" w:hAnsiTheme="majorHAnsi" w:cstheme="majorHAnsi"/>
        </w:rPr>
      </w:pPr>
      <w:r w:rsidRPr="003D4461">
        <w:rPr>
          <w:rFonts w:asciiTheme="majorHAnsi" w:hAnsiTheme="majorHAnsi" w:cstheme="majorHAnsi"/>
          <w:bCs/>
        </w:rPr>
        <w:t>Content for the NMARS was based on literature review with</w:t>
      </w:r>
      <w:r w:rsidRPr="003D4461">
        <w:rPr>
          <w:rFonts w:asciiTheme="majorHAnsi" w:hAnsiTheme="majorHAnsi" w:cstheme="majorHAnsi"/>
        </w:rPr>
        <w:t xml:space="preserve"> face and content validity supported by a conceptual framework, expert panel, testing with scale and item-specific content validity indices (CVI), pre-testing with Aboriginal consumers, assessment of question properties, and initial pilot testing, that was then used with all IPAC participants.</w:t>
      </w:r>
      <w:r>
        <w:rPr>
          <w:rFonts w:asciiTheme="majorHAnsi" w:hAnsiTheme="majorHAnsi" w:cstheme="majorHAnsi"/>
        </w:rPr>
        <w:t xml:space="preserve"> Construct validity and reliability testing was also undertaken. </w:t>
      </w:r>
      <w:r w:rsidR="00F01B7F">
        <w:rPr>
          <w:rFonts w:asciiTheme="majorHAnsi" w:hAnsiTheme="majorHAnsi" w:cstheme="majorHAnsi"/>
        </w:rPr>
        <w:t>Scores from 8-</w:t>
      </w:r>
      <w:r w:rsidR="00F01B7F">
        <w:rPr>
          <w:rFonts w:asciiTheme="majorHAnsi" w:hAnsiTheme="majorHAnsi" w:cstheme="majorHAnsi"/>
        </w:rPr>
        <w:lastRenderedPageBreak/>
        <w:t xml:space="preserve">11 indicated adherence. </w:t>
      </w:r>
      <w:r w:rsidR="00270C9C">
        <w:rPr>
          <w:rFonts w:asciiTheme="majorHAnsi" w:hAnsiTheme="majorHAnsi" w:cstheme="majorHAnsi"/>
        </w:rPr>
        <w:t xml:space="preserve">Pharmacists entered participant responses </w:t>
      </w:r>
      <w:r w:rsidR="00D360F4">
        <w:rPr>
          <w:rFonts w:asciiTheme="majorHAnsi" w:hAnsiTheme="majorHAnsi" w:cstheme="majorHAnsi"/>
        </w:rPr>
        <w:t xml:space="preserve">to both measures of adherence </w:t>
      </w:r>
      <w:r w:rsidR="00270C9C">
        <w:rPr>
          <w:rFonts w:asciiTheme="majorHAnsi" w:hAnsiTheme="majorHAnsi" w:cstheme="majorHAnsi"/>
        </w:rPr>
        <w:t>into the logbook and were not required to determine scores</w:t>
      </w:r>
      <w:r w:rsidR="00D360F4">
        <w:rPr>
          <w:rFonts w:asciiTheme="majorHAnsi" w:hAnsiTheme="majorHAnsi" w:cstheme="majorHAnsi"/>
        </w:rPr>
        <w:t xml:space="preserve"> </w:t>
      </w:r>
      <w:r w:rsidR="00D360F4" w:rsidRPr="004F63A3">
        <w:rPr>
          <w:rFonts w:asciiTheme="majorHAnsi" w:hAnsiTheme="majorHAnsi" w:cstheme="majorHAnsi"/>
        </w:rPr>
        <w:t xml:space="preserve">(Appendix </w:t>
      </w:r>
      <w:r w:rsidR="004F63A3" w:rsidRPr="004F63A3">
        <w:rPr>
          <w:rFonts w:asciiTheme="majorHAnsi" w:hAnsiTheme="majorHAnsi" w:cstheme="majorHAnsi"/>
        </w:rPr>
        <w:t>13</w:t>
      </w:r>
      <w:r w:rsidR="00D360F4">
        <w:rPr>
          <w:rFonts w:asciiTheme="majorHAnsi" w:hAnsiTheme="majorHAnsi" w:cstheme="majorHAnsi"/>
        </w:rPr>
        <w:t>)</w:t>
      </w:r>
      <w:r w:rsidR="00270C9C">
        <w:rPr>
          <w:rFonts w:asciiTheme="majorHAnsi" w:hAnsiTheme="majorHAnsi" w:cstheme="majorHAnsi"/>
        </w:rPr>
        <w:t xml:space="preserve">. </w:t>
      </w:r>
    </w:p>
    <w:p w14:paraId="240A3641" w14:textId="2F20AF1A" w:rsidR="006947B4" w:rsidRDefault="006947B4" w:rsidP="0048683E">
      <w:pPr>
        <w:pStyle w:val="Heading3"/>
        <w:rPr>
          <w:rFonts w:eastAsiaTheme="majorEastAsia" w:cstheme="majorBidi"/>
        </w:rPr>
      </w:pPr>
      <w:bookmarkStart w:id="121" w:name="_Toc35513594"/>
      <w:bookmarkStart w:id="122" w:name="_Toc35946600"/>
      <w:bookmarkStart w:id="123" w:name="_Toc40350098"/>
      <w:bookmarkStart w:id="124" w:name="_Toc40441080"/>
      <w:bookmarkStart w:id="125" w:name="_Toc41315622"/>
      <w:bookmarkStart w:id="126" w:name="_Toc138846267"/>
      <w:r>
        <w:t>Self-</w:t>
      </w:r>
      <w:r w:rsidR="009254CC">
        <w:t>assessed health status</w:t>
      </w:r>
      <w:bookmarkEnd w:id="121"/>
      <w:bookmarkEnd w:id="122"/>
      <w:bookmarkEnd w:id="123"/>
      <w:bookmarkEnd w:id="124"/>
      <w:bookmarkEnd w:id="125"/>
      <w:bookmarkEnd w:id="126"/>
    </w:p>
    <w:p w14:paraId="36D02E2F" w14:textId="5CEDAE15" w:rsidR="006947B4" w:rsidRDefault="006947B4" w:rsidP="00DA22EF">
      <w:pPr>
        <w:autoSpaceDE w:val="0"/>
        <w:autoSpaceDN w:val="0"/>
        <w:adjustRightInd w:val="0"/>
        <w:rPr>
          <w:rFonts w:cs="Calibri"/>
        </w:rPr>
      </w:pPr>
      <w:r>
        <w:rPr>
          <w:rFonts w:cs="Calibri"/>
        </w:rPr>
        <w:t xml:space="preserve">Self-assessed health status was determined </w:t>
      </w:r>
      <w:r w:rsidR="00D360F4">
        <w:rPr>
          <w:rFonts w:cs="Calibri"/>
        </w:rPr>
        <w:t xml:space="preserve">at baseline and at the end of the study </w:t>
      </w:r>
      <w:r>
        <w:rPr>
          <w:rFonts w:cs="Calibri"/>
        </w:rPr>
        <w:t xml:space="preserve">using the first question of the Short Form (SF)-36 health related quality of life instrument that </w:t>
      </w:r>
      <w:r>
        <w:rPr>
          <w:rFonts w:cstheme="minorHAnsi"/>
        </w:rPr>
        <w:t>asks: ‘</w:t>
      </w:r>
      <w:r>
        <w:rPr>
          <w:rFonts w:cstheme="minorHAnsi"/>
          <w:i/>
          <w:iCs/>
        </w:rPr>
        <w:t>In general, would you say your health is excellent, very good, good, fair, poor, or very poor?’.</w:t>
      </w:r>
      <w:r>
        <w:rPr>
          <w:rFonts w:ascii="Calibri-Italic" w:hAnsi="Calibri-Italic" w:cs="Calibri-Italic"/>
          <w:i/>
          <w:iCs/>
        </w:rPr>
        <w:t xml:space="preserve"> </w:t>
      </w:r>
      <w:r>
        <w:rPr>
          <w:rFonts w:cs="Calibri"/>
        </w:rPr>
        <w:t>An extra response option – ‘very</w:t>
      </w:r>
      <w:r>
        <w:rPr>
          <w:rFonts w:ascii="Calibri-Italic" w:hAnsi="Calibri-Italic" w:cs="Calibri-Italic"/>
          <w:i/>
          <w:iCs/>
        </w:rPr>
        <w:t xml:space="preserve"> </w:t>
      </w:r>
      <w:r>
        <w:rPr>
          <w:rFonts w:cs="Calibri"/>
        </w:rPr>
        <w:t>poor’ – was added (as in the SF-8 survey) to reduce the potential for respondents to overstate their health status.</w:t>
      </w:r>
      <w:r w:rsidR="00D360F4">
        <w:rPr>
          <w:rFonts w:cs="Calibri"/>
        </w:rPr>
        <w:t xml:space="preserve"> </w:t>
      </w:r>
      <w:r w:rsidR="00D360F4">
        <w:rPr>
          <w:rFonts w:asciiTheme="majorHAnsi" w:hAnsiTheme="majorHAnsi" w:cstheme="majorHAnsi"/>
        </w:rPr>
        <w:t xml:space="preserve">Pharmacists entered participant responses into the </w:t>
      </w:r>
      <w:r w:rsidR="00D360F4" w:rsidRPr="004F63A3">
        <w:rPr>
          <w:rFonts w:asciiTheme="majorHAnsi" w:hAnsiTheme="majorHAnsi" w:cstheme="majorHAnsi"/>
        </w:rPr>
        <w:t xml:space="preserve">logbook (Appendix </w:t>
      </w:r>
      <w:r w:rsidR="004F63A3" w:rsidRPr="004F63A3">
        <w:rPr>
          <w:rFonts w:asciiTheme="majorHAnsi" w:hAnsiTheme="majorHAnsi" w:cstheme="majorHAnsi"/>
        </w:rPr>
        <w:t>13</w:t>
      </w:r>
      <w:r w:rsidR="00D360F4" w:rsidRPr="004F63A3">
        <w:rPr>
          <w:rFonts w:asciiTheme="majorHAnsi" w:hAnsiTheme="majorHAnsi" w:cstheme="majorHAnsi"/>
        </w:rPr>
        <w:t>).</w:t>
      </w:r>
      <w:r w:rsidR="00D360F4">
        <w:rPr>
          <w:rFonts w:asciiTheme="majorHAnsi" w:hAnsiTheme="majorHAnsi" w:cstheme="majorHAnsi"/>
        </w:rPr>
        <w:t xml:space="preserve"> </w:t>
      </w:r>
    </w:p>
    <w:p w14:paraId="73A3098E" w14:textId="708C8117" w:rsidR="00AA4023" w:rsidRPr="00E56E04" w:rsidRDefault="009254CC" w:rsidP="0048683E">
      <w:pPr>
        <w:pStyle w:val="Heading3"/>
      </w:pPr>
      <w:bookmarkStart w:id="127" w:name="_Toc40350099"/>
      <w:bookmarkStart w:id="128" w:name="_Toc40441081"/>
      <w:bookmarkStart w:id="129" w:name="_Toc41315623"/>
      <w:bookmarkStart w:id="130" w:name="_Toc138846268"/>
      <w:r w:rsidRPr="00E56E04">
        <w:t>Team-based collaboration</w:t>
      </w:r>
      <w:bookmarkEnd w:id="127"/>
      <w:bookmarkEnd w:id="128"/>
      <w:bookmarkEnd w:id="129"/>
      <w:bookmarkEnd w:id="130"/>
    </w:p>
    <w:p w14:paraId="50B28332" w14:textId="7DE7A141" w:rsidR="00570273" w:rsidRPr="008145B1" w:rsidRDefault="00570273" w:rsidP="009254CC">
      <w:pPr>
        <w:rPr>
          <w:lang w:eastAsia="en-AU"/>
        </w:rPr>
      </w:pPr>
      <w:r w:rsidRPr="008145B1">
        <w:rPr>
          <w:lang w:eastAsia="en-AU"/>
        </w:rPr>
        <w:t xml:space="preserve">The pharmacists </w:t>
      </w:r>
      <w:r>
        <w:rPr>
          <w:lang w:eastAsia="en-AU"/>
        </w:rPr>
        <w:t xml:space="preserve">were </w:t>
      </w:r>
      <w:r w:rsidRPr="008145B1">
        <w:rPr>
          <w:lang w:eastAsia="en-AU"/>
        </w:rPr>
        <w:t xml:space="preserve">integrated within the ACCHS model of care as a member of the PHC team to improve the chronic disease management of participants.  Integration meant that pharmacists had identified positions and core roles, shared access to clinical information systems, provided continuous clinical care to </w:t>
      </w:r>
      <w:r w:rsidR="007D6C24">
        <w:rPr>
          <w:lang w:eastAsia="en-AU"/>
        </w:rPr>
        <w:t>participants</w:t>
      </w:r>
      <w:r w:rsidRPr="008145B1">
        <w:rPr>
          <w:lang w:eastAsia="en-AU"/>
        </w:rPr>
        <w:t xml:space="preserve">, received administrative and other supports from primary health care staff, and adhered to the governance, cultural, and clinical protocols within ACCHSs as part of their shared vision.  </w:t>
      </w:r>
      <w:r>
        <w:rPr>
          <w:lang w:eastAsia="en-AU"/>
        </w:rPr>
        <w:t>P</w:t>
      </w:r>
      <w:r w:rsidRPr="008145B1">
        <w:rPr>
          <w:lang w:eastAsia="en-AU"/>
        </w:rPr>
        <w:t xml:space="preserve">harmacists </w:t>
      </w:r>
      <w:r>
        <w:rPr>
          <w:lang w:eastAsia="en-AU"/>
        </w:rPr>
        <w:t xml:space="preserve">recorded details of their </w:t>
      </w:r>
      <w:r w:rsidRPr="008145B1">
        <w:rPr>
          <w:lang w:eastAsia="en-AU"/>
        </w:rPr>
        <w:t xml:space="preserve">involvement in team-based care activities in </w:t>
      </w:r>
      <w:r w:rsidR="0017473D">
        <w:rPr>
          <w:lang w:eastAsia="en-AU"/>
        </w:rPr>
        <w:t>the</w:t>
      </w:r>
      <w:r w:rsidRPr="008145B1">
        <w:rPr>
          <w:lang w:eastAsia="en-AU"/>
        </w:rPr>
        <w:t xml:space="preserve"> logbook</w:t>
      </w:r>
      <w:r>
        <w:rPr>
          <w:lang w:eastAsia="en-AU"/>
        </w:rPr>
        <w:t>, such as</w:t>
      </w:r>
      <w:r w:rsidRPr="008145B1">
        <w:rPr>
          <w:lang w:eastAsia="en-AU"/>
        </w:rPr>
        <w:t xml:space="preserve"> </w:t>
      </w:r>
      <w:r>
        <w:rPr>
          <w:lang w:eastAsia="en-AU"/>
        </w:rPr>
        <w:t xml:space="preserve">the </w:t>
      </w:r>
      <w:r w:rsidR="00C73D67">
        <w:rPr>
          <w:lang w:eastAsia="en-AU"/>
        </w:rPr>
        <w:t xml:space="preserve">role </w:t>
      </w:r>
      <w:r>
        <w:rPr>
          <w:lang w:eastAsia="en-AU"/>
        </w:rPr>
        <w:t>of</w:t>
      </w:r>
      <w:r w:rsidRPr="008145B1">
        <w:rPr>
          <w:lang w:eastAsia="en-AU"/>
        </w:rPr>
        <w:t xml:space="preserve"> team member</w:t>
      </w:r>
      <w:r w:rsidR="000C47AC">
        <w:rPr>
          <w:lang w:eastAsia="en-AU"/>
        </w:rPr>
        <w:t>s</w:t>
      </w:r>
      <w:r w:rsidRPr="008145B1">
        <w:rPr>
          <w:lang w:eastAsia="en-AU"/>
        </w:rPr>
        <w:t xml:space="preserve"> or stakeholder</w:t>
      </w:r>
      <w:r w:rsidR="000C47AC">
        <w:rPr>
          <w:lang w:eastAsia="en-AU"/>
        </w:rPr>
        <w:t>s who</w:t>
      </w:r>
      <w:r w:rsidRPr="008145B1">
        <w:rPr>
          <w:lang w:eastAsia="en-AU"/>
        </w:rPr>
        <w:t xml:space="preserve"> were involved in the collaborative activity, the duration of the activity and </w:t>
      </w:r>
      <w:proofErr w:type="gramStart"/>
      <w:r w:rsidRPr="008145B1">
        <w:rPr>
          <w:lang w:eastAsia="en-AU"/>
        </w:rPr>
        <w:t>whether or not</w:t>
      </w:r>
      <w:proofErr w:type="gramEnd"/>
      <w:r w:rsidRPr="008145B1">
        <w:rPr>
          <w:lang w:eastAsia="en-AU"/>
        </w:rPr>
        <w:t xml:space="preserve"> it involved an IPAC consented </w:t>
      </w:r>
      <w:r w:rsidR="007D6C24" w:rsidRPr="004F63A3">
        <w:rPr>
          <w:lang w:eastAsia="en-AU"/>
        </w:rPr>
        <w:t>participant</w:t>
      </w:r>
      <w:r w:rsidR="0017473D" w:rsidRPr="004F63A3">
        <w:rPr>
          <w:lang w:eastAsia="en-AU"/>
        </w:rPr>
        <w:t xml:space="preserve"> (Appendix </w:t>
      </w:r>
      <w:r w:rsidR="004F63A3" w:rsidRPr="004F63A3">
        <w:rPr>
          <w:lang w:eastAsia="en-AU"/>
        </w:rPr>
        <w:t>16</w:t>
      </w:r>
      <w:r w:rsidR="0017473D" w:rsidRPr="004F63A3">
        <w:rPr>
          <w:lang w:eastAsia="en-AU"/>
        </w:rPr>
        <w:t>)</w:t>
      </w:r>
      <w:r w:rsidRPr="004F63A3">
        <w:rPr>
          <w:lang w:eastAsia="en-AU"/>
        </w:rPr>
        <w:t>.</w:t>
      </w:r>
    </w:p>
    <w:p w14:paraId="5D7A2757" w14:textId="18C82F70" w:rsidR="00AA4023" w:rsidRPr="00E56E04" w:rsidRDefault="009254CC" w:rsidP="0048683E">
      <w:pPr>
        <w:pStyle w:val="Heading3"/>
      </w:pPr>
      <w:bookmarkStart w:id="131" w:name="_Toc40350100"/>
      <w:bookmarkStart w:id="132" w:name="_Toc40441082"/>
      <w:bookmarkStart w:id="133" w:name="_Toc41315624"/>
      <w:bookmarkStart w:id="134" w:name="_Toc138846269"/>
      <w:r w:rsidRPr="00E56E04">
        <w:t>Medicines information service</w:t>
      </w:r>
      <w:bookmarkEnd w:id="131"/>
      <w:bookmarkEnd w:id="132"/>
      <w:bookmarkEnd w:id="133"/>
      <w:bookmarkEnd w:id="134"/>
    </w:p>
    <w:p w14:paraId="32441BA2" w14:textId="03CE1551" w:rsidR="00570273" w:rsidRPr="009254CC" w:rsidRDefault="00570273" w:rsidP="009254CC">
      <w:r w:rsidRPr="009254CC">
        <w:t xml:space="preserve">Integrated pharmacists provided medicines-related information to clinicians and other staff within the ACCHSs including responding to PBS queries, information requests regarding dose titration, interactions, new and emerging drugs, drugs in stock and ad-hoc medicine queries.  Data recorded in the logbook included the recipient of the information, how the request was received, the type of information provided and the clinical reference, and the time taken to complete the service. Evidence of an outcome was recorded in situations where the pharmacist was aware that the GP or other clinician had made a change to </w:t>
      </w:r>
      <w:r w:rsidR="007D6C24" w:rsidRPr="009254CC">
        <w:t xml:space="preserve">participant </w:t>
      </w:r>
      <w:r w:rsidRPr="009254CC">
        <w:t>therapy based upon their advice or recommendations</w:t>
      </w:r>
      <w:r w:rsidR="0017473D" w:rsidRPr="009254CC">
        <w:t xml:space="preserve"> (</w:t>
      </w:r>
      <w:r w:rsidR="004F63A3" w:rsidRPr="009254CC">
        <w:t>Appendix 16</w:t>
      </w:r>
      <w:r w:rsidR="0017473D" w:rsidRPr="009254CC">
        <w:t>)</w:t>
      </w:r>
      <w:r w:rsidRPr="009254CC">
        <w:t>.</w:t>
      </w:r>
    </w:p>
    <w:p w14:paraId="5D64DB23" w14:textId="070BE94E" w:rsidR="00AA4023" w:rsidRPr="00E56E04" w:rsidRDefault="00AA4023" w:rsidP="0048683E">
      <w:pPr>
        <w:pStyle w:val="Heading3"/>
      </w:pPr>
      <w:bookmarkStart w:id="135" w:name="_Toc40350101"/>
      <w:bookmarkStart w:id="136" w:name="_Toc40441083"/>
      <w:bookmarkStart w:id="137" w:name="_Toc41315625"/>
      <w:bookmarkStart w:id="138" w:name="_Toc138846270"/>
      <w:r w:rsidRPr="00E56E04">
        <w:t xml:space="preserve">Education and </w:t>
      </w:r>
      <w:r w:rsidR="009254CC">
        <w:t>t</w:t>
      </w:r>
      <w:r w:rsidRPr="00E56E04">
        <w:t>raining</w:t>
      </w:r>
      <w:bookmarkEnd w:id="135"/>
      <w:bookmarkEnd w:id="136"/>
      <w:bookmarkEnd w:id="137"/>
      <w:bookmarkEnd w:id="138"/>
    </w:p>
    <w:p w14:paraId="0137B798" w14:textId="1A6F83A3" w:rsidR="00570273" w:rsidRDefault="00570273" w:rsidP="00DA22EF">
      <w:r>
        <w:t>M</w:t>
      </w:r>
      <w:r w:rsidRPr="00F53C2B">
        <w:t xml:space="preserve">edication-related education </w:t>
      </w:r>
      <w:r>
        <w:t>sessions were provided by the integrated p</w:t>
      </w:r>
      <w:r w:rsidRPr="00F53C2B">
        <w:t xml:space="preserve">harmacists for </w:t>
      </w:r>
      <w:r>
        <w:t xml:space="preserve">both </w:t>
      </w:r>
      <w:r w:rsidR="007D6C24">
        <w:rPr>
          <w:rFonts w:eastAsia="Times New Roman" w:cstheme="minorHAnsi"/>
          <w:color w:val="000000"/>
          <w:lang w:eastAsia="en-AU"/>
        </w:rPr>
        <w:t>participants</w:t>
      </w:r>
      <w:r w:rsidR="007D6C24">
        <w:t xml:space="preserve"> </w:t>
      </w:r>
      <w:r>
        <w:t xml:space="preserve">and </w:t>
      </w:r>
      <w:r w:rsidRPr="00F53C2B">
        <w:t>health</w:t>
      </w:r>
      <w:r>
        <w:t>care providers.  The pharmacists also participated in preventive health promotion and community events.  Details recorded in the logbook included the type of activity, the format in which it was provided, duration and examples of materials or resources which could be uploaded</w:t>
      </w:r>
      <w:r w:rsidR="0017473D">
        <w:t xml:space="preserve"> (</w:t>
      </w:r>
      <w:r w:rsidR="004F63A3" w:rsidRPr="004F63A3">
        <w:t>Appendix 16</w:t>
      </w:r>
      <w:r w:rsidR="0017473D" w:rsidRPr="004F63A3">
        <w:t>)</w:t>
      </w:r>
      <w:r w:rsidRPr="004F63A3">
        <w:t>.</w:t>
      </w:r>
      <w:r>
        <w:t xml:space="preserve">  </w:t>
      </w:r>
    </w:p>
    <w:p w14:paraId="590975F8" w14:textId="01C8777F" w:rsidR="00AA4023" w:rsidRPr="00E56E04" w:rsidRDefault="009254CC" w:rsidP="0048683E">
      <w:pPr>
        <w:pStyle w:val="Heading3"/>
        <w:rPr>
          <w:lang w:eastAsia="en-AU"/>
        </w:rPr>
      </w:pPr>
      <w:bookmarkStart w:id="139" w:name="_Toc40350102"/>
      <w:bookmarkStart w:id="140" w:name="_Toc40441084"/>
      <w:bookmarkStart w:id="141" w:name="_Toc41315626"/>
      <w:bookmarkStart w:id="142" w:name="_Toc138846271"/>
      <w:r w:rsidRPr="00E56E04">
        <w:rPr>
          <w:lang w:eastAsia="en-AU"/>
        </w:rPr>
        <w:t>Stakeholder liaison plans</w:t>
      </w:r>
      <w:bookmarkEnd w:id="139"/>
      <w:bookmarkEnd w:id="140"/>
      <w:bookmarkEnd w:id="141"/>
      <w:bookmarkEnd w:id="142"/>
    </w:p>
    <w:p w14:paraId="5AFF883A" w14:textId="3A230130" w:rsidR="00570273" w:rsidRDefault="00570273" w:rsidP="00DA22EF">
      <w:pPr>
        <w:rPr>
          <w:lang w:eastAsia="en-AU"/>
        </w:rPr>
      </w:pPr>
      <w:r w:rsidRPr="00042000">
        <w:rPr>
          <w:lang w:eastAsia="en-AU"/>
        </w:rPr>
        <w:t xml:space="preserve">A written stakeholder liaison plan aimed to support the </w:t>
      </w:r>
      <w:r>
        <w:rPr>
          <w:lang w:eastAsia="en-AU"/>
        </w:rPr>
        <w:t xml:space="preserve">development of relationships and networks between the ACCHS and community pharmacies, and other relevant service providers (such as local hospitals or aged care facilities) </w:t>
      </w:r>
      <w:proofErr w:type="gramStart"/>
      <w:r>
        <w:rPr>
          <w:lang w:eastAsia="en-AU"/>
        </w:rPr>
        <w:t>in order to</w:t>
      </w:r>
      <w:proofErr w:type="gramEnd"/>
      <w:r>
        <w:rPr>
          <w:lang w:eastAsia="en-AU"/>
        </w:rPr>
        <w:t xml:space="preserve"> facilitate </w:t>
      </w:r>
      <w:r w:rsidRPr="00042000">
        <w:rPr>
          <w:lang w:eastAsia="en-AU"/>
        </w:rPr>
        <w:t>communication</w:t>
      </w:r>
      <w:r>
        <w:rPr>
          <w:lang w:eastAsia="en-AU"/>
        </w:rPr>
        <w:t xml:space="preserve"> and collaboration.  </w:t>
      </w:r>
      <w:r>
        <w:rPr>
          <w:color w:val="000000"/>
        </w:rPr>
        <w:t xml:space="preserve">It was anticipated that enhancement of communication processes </w:t>
      </w:r>
      <w:r w:rsidRPr="00E167A3">
        <w:rPr>
          <w:rFonts w:eastAsiaTheme="minorEastAsia" w:cs="Arial"/>
        </w:rPr>
        <w:t xml:space="preserve">with </w:t>
      </w:r>
      <w:r>
        <w:rPr>
          <w:rFonts w:eastAsiaTheme="minorEastAsia" w:cs="Arial"/>
        </w:rPr>
        <w:t>stakeholders would</w:t>
      </w:r>
      <w:r w:rsidRPr="00E167A3">
        <w:rPr>
          <w:rFonts w:eastAsiaTheme="minorEastAsia" w:cs="Arial"/>
        </w:rPr>
        <w:t xml:space="preserve"> continue to have </w:t>
      </w:r>
      <w:r>
        <w:rPr>
          <w:rFonts w:eastAsiaTheme="minorEastAsia" w:cs="Arial"/>
        </w:rPr>
        <w:t xml:space="preserve">benefit and </w:t>
      </w:r>
      <w:r w:rsidRPr="00E167A3">
        <w:rPr>
          <w:rFonts w:eastAsiaTheme="minorEastAsia" w:cs="Arial"/>
        </w:rPr>
        <w:t xml:space="preserve">relevance to </w:t>
      </w:r>
      <w:r>
        <w:rPr>
          <w:rFonts w:eastAsiaTheme="minorEastAsia" w:cs="Arial"/>
        </w:rPr>
        <w:t xml:space="preserve">the </w:t>
      </w:r>
      <w:r w:rsidRPr="00E167A3">
        <w:rPr>
          <w:rFonts w:eastAsiaTheme="minorEastAsia" w:cs="Arial"/>
        </w:rPr>
        <w:t xml:space="preserve">ACCHSs even after </w:t>
      </w:r>
      <w:r>
        <w:rPr>
          <w:rFonts w:eastAsiaTheme="minorEastAsia" w:cs="Arial"/>
        </w:rPr>
        <w:t xml:space="preserve">completion of </w:t>
      </w:r>
      <w:r w:rsidRPr="00E167A3">
        <w:rPr>
          <w:rFonts w:eastAsiaTheme="minorEastAsia" w:cs="Arial"/>
        </w:rPr>
        <w:t xml:space="preserve">the project. </w:t>
      </w:r>
      <w:r>
        <w:rPr>
          <w:lang w:eastAsia="en-AU"/>
        </w:rPr>
        <w:t xml:space="preserve">Pharmacists were expected to develop one written plan for communication between their ACCHS and </w:t>
      </w:r>
      <w:r w:rsidR="003528C5">
        <w:rPr>
          <w:lang w:eastAsia="en-AU"/>
        </w:rPr>
        <w:t xml:space="preserve">each of </w:t>
      </w:r>
      <w:r>
        <w:rPr>
          <w:lang w:eastAsia="en-AU"/>
        </w:rPr>
        <w:t>their local community pharmacy/</w:t>
      </w:r>
      <w:proofErr w:type="spellStart"/>
      <w:r>
        <w:rPr>
          <w:lang w:eastAsia="en-AU"/>
        </w:rPr>
        <w:t>ies</w:t>
      </w:r>
      <w:proofErr w:type="spellEnd"/>
      <w:r>
        <w:rPr>
          <w:lang w:eastAsia="en-AU"/>
        </w:rPr>
        <w:t xml:space="preserve">, and any other relevant stakeholders. Data collected in the logbook included the identification of staff involved in the co-design of the plan, the key stakeholders, whether the plan had approval of the ACCHS CEO and the time take </w:t>
      </w:r>
      <w:r>
        <w:rPr>
          <w:lang w:eastAsia="en-AU"/>
        </w:rPr>
        <w:lastRenderedPageBreak/>
        <w:t>to develop the plan.  A template was provided for the plan and when completed was uploaded into the logbook</w:t>
      </w:r>
      <w:r w:rsidRPr="00837D4A">
        <w:rPr>
          <w:lang w:eastAsia="en-AU"/>
        </w:rPr>
        <w:t>.</w:t>
      </w:r>
      <w:r>
        <w:rPr>
          <w:lang w:eastAsia="en-AU"/>
        </w:rPr>
        <w:t xml:space="preserve">  Pharmacists were also able to note or upload documentation providing evidence of any outcomes</w:t>
      </w:r>
      <w:r w:rsidR="00203232">
        <w:rPr>
          <w:lang w:eastAsia="en-AU"/>
        </w:rPr>
        <w:t xml:space="preserve"> (</w:t>
      </w:r>
      <w:r w:rsidR="004F63A3" w:rsidRPr="004F63A3">
        <w:t>Appendix 16</w:t>
      </w:r>
      <w:r w:rsidR="004F63A3">
        <w:t>).</w:t>
      </w:r>
    </w:p>
    <w:p w14:paraId="3B0392B7" w14:textId="1DFBA5D7" w:rsidR="00AA4023" w:rsidRPr="00E56E04" w:rsidRDefault="00AA4023" w:rsidP="0048683E">
      <w:pPr>
        <w:pStyle w:val="Heading3"/>
        <w:rPr>
          <w:lang w:eastAsia="en-AU"/>
        </w:rPr>
      </w:pPr>
      <w:bookmarkStart w:id="143" w:name="_Toc40350103"/>
      <w:bookmarkStart w:id="144" w:name="_Toc40441085"/>
      <w:bookmarkStart w:id="145" w:name="_Toc41315627"/>
      <w:bookmarkStart w:id="146" w:name="_Toc138846272"/>
      <w:r w:rsidRPr="00E56E04">
        <w:rPr>
          <w:lang w:eastAsia="en-AU"/>
        </w:rPr>
        <w:t>Contact</w:t>
      </w:r>
      <w:r>
        <w:rPr>
          <w:lang w:eastAsia="en-AU"/>
        </w:rPr>
        <w:t>s</w:t>
      </w:r>
      <w:r w:rsidRPr="00E56E04">
        <w:rPr>
          <w:lang w:eastAsia="en-AU"/>
        </w:rPr>
        <w:t xml:space="preserve"> </w:t>
      </w:r>
      <w:r>
        <w:rPr>
          <w:lang w:eastAsia="en-AU"/>
        </w:rPr>
        <w:t xml:space="preserve">with </w:t>
      </w:r>
      <w:r w:rsidR="009254CC">
        <w:rPr>
          <w:lang w:eastAsia="en-AU"/>
        </w:rPr>
        <w:t>c</w:t>
      </w:r>
      <w:r>
        <w:rPr>
          <w:lang w:eastAsia="en-AU"/>
        </w:rPr>
        <w:t xml:space="preserve">ommunity </w:t>
      </w:r>
      <w:r w:rsidR="009254CC">
        <w:rPr>
          <w:lang w:eastAsia="en-AU"/>
        </w:rPr>
        <w:t>p</w:t>
      </w:r>
      <w:r>
        <w:rPr>
          <w:lang w:eastAsia="en-AU"/>
        </w:rPr>
        <w:t>harmacy</w:t>
      </w:r>
      <w:bookmarkEnd w:id="143"/>
      <w:bookmarkEnd w:id="144"/>
      <w:bookmarkEnd w:id="145"/>
      <w:bookmarkEnd w:id="146"/>
    </w:p>
    <w:p w14:paraId="13205531" w14:textId="26219BD7" w:rsidR="00570273" w:rsidRDefault="00570273" w:rsidP="00DA22EF">
      <w:pPr>
        <w:rPr>
          <w:lang w:eastAsia="en-AU"/>
        </w:rPr>
      </w:pPr>
      <w:r>
        <w:rPr>
          <w:lang w:eastAsia="en-AU"/>
        </w:rPr>
        <w:t>In addition to the development of the stakeholder liaison plans, integrated pharmacists recorded details of interactions with community pharmacy in the logbook including the reason for contact, whether contact was initiated by the IPAC or community pharmacist, and the method of contact used</w:t>
      </w:r>
      <w:r w:rsidR="00203232">
        <w:rPr>
          <w:lang w:eastAsia="en-AU"/>
        </w:rPr>
        <w:t xml:space="preserve"> (</w:t>
      </w:r>
      <w:r w:rsidR="004F63A3" w:rsidRPr="004F63A3">
        <w:t>Appendix 16</w:t>
      </w:r>
      <w:r w:rsidR="00203232">
        <w:rPr>
          <w:lang w:eastAsia="en-AU"/>
        </w:rPr>
        <w:t>).</w:t>
      </w:r>
    </w:p>
    <w:p w14:paraId="3C8F0A26" w14:textId="68E248B2" w:rsidR="00AA4023" w:rsidRPr="00E56E04" w:rsidRDefault="00AA4023" w:rsidP="0048683E">
      <w:pPr>
        <w:pStyle w:val="Heading3"/>
        <w:rPr>
          <w:lang w:eastAsia="en-AU"/>
        </w:rPr>
      </w:pPr>
      <w:bookmarkStart w:id="147" w:name="_Toc40350104"/>
      <w:bookmarkStart w:id="148" w:name="_Toc40441086"/>
      <w:bookmarkStart w:id="149" w:name="_Toc41315628"/>
      <w:bookmarkStart w:id="150" w:name="_Toc138846273"/>
      <w:r w:rsidRPr="00E56E04">
        <w:rPr>
          <w:lang w:eastAsia="en-AU"/>
        </w:rPr>
        <w:t xml:space="preserve">Transitional </w:t>
      </w:r>
      <w:r w:rsidR="00CF7AEC">
        <w:rPr>
          <w:lang w:eastAsia="en-AU"/>
        </w:rPr>
        <w:t>c</w:t>
      </w:r>
      <w:r w:rsidRPr="00E56E04">
        <w:rPr>
          <w:lang w:eastAsia="en-AU"/>
        </w:rPr>
        <w:t>are</w:t>
      </w:r>
      <w:bookmarkEnd w:id="147"/>
      <w:bookmarkEnd w:id="148"/>
      <w:bookmarkEnd w:id="149"/>
      <w:bookmarkEnd w:id="150"/>
    </w:p>
    <w:p w14:paraId="56853A61" w14:textId="4430E694" w:rsidR="00570273" w:rsidRDefault="00570273" w:rsidP="00DA22EF">
      <w:r w:rsidRPr="009A115C">
        <w:t xml:space="preserve">The transitional care core role aimed to optimize medication management for </w:t>
      </w:r>
      <w:r w:rsidR="007D6C24">
        <w:rPr>
          <w:rFonts w:eastAsia="Times New Roman" w:cstheme="minorHAnsi"/>
          <w:color w:val="000000"/>
          <w:lang w:eastAsia="en-AU"/>
        </w:rPr>
        <w:t>participants</w:t>
      </w:r>
      <w:r w:rsidR="007D6C24" w:rsidRPr="009A115C">
        <w:t xml:space="preserve"> </w:t>
      </w:r>
      <w:r w:rsidRPr="009A115C">
        <w:t>across the continuum of care</w:t>
      </w:r>
      <w:r>
        <w:t>, by relaying relevant information and improving the communication of discharge summaries for medicines reconciliation</w:t>
      </w:r>
      <w:r w:rsidRPr="009A115C">
        <w:t xml:space="preserve">. </w:t>
      </w:r>
      <w:r>
        <w:t>Integrated pharmacists reported details of each occasion of transitional care in which they participated including the agency they engaged with, the reason and mode of contact, and the duration of the activity</w:t>
      </w:r>
      <w:r w:rsidR="00203232">
        <w:t xml:space="preserve"> </w:t>
      </w:r>
      <w:r w:rsidR="00203232">
        <w:rPr>
          <w:lang w:eastAsia="en-AU"/>
        </w:rPr>
        <w:t>(</w:t>
      </w:r>
      <w:r w:rsidR="004F63A3" w:rsidRPr="004F63A3">
        <w:t>Appendix 16</w:t>
      </w:r>
      <w:r w:rsidR="00203232">
        <w:rPr>
          <w:lang w:eastAsia="en-AU"/>
        </w:rPr>
        <w:t>).</w:t>
      </w:r>
    </w:p>
    <w:p w14:paraId="18F585D7" w14:textId="1EE47E07" w:rsidR="00AA4023" w:rsidRDefault="00CF7AEC" w:rsidP="0048683E">
      <w:pPr>
        <w:pStyle w:val="Heading3"/>
      </w:pPr>
      <w:bookmarkStart w:id="151" w:name="_Toc40350105"/>
      <w:bookmarkStart w:id="152" w:name="_Toc40441087"/>
      <w:bookmarkStart w:id="153" w:name="_Toc41315629"/>
      <w:bookmarkStart w:id="154" w:name="_Toc138846274"/>
      <w:r>
        <w:t>Drug utilisation reviews</w:t>
      </w:r>
      <w:bookmarkEnd w:id="151"/>
      <w:bookmarkEnd w:id="152"/>
      <w:bookmarkEnd w:id="153"/>
      <w:bookmarkEnd w:id="154"/>
    </w:p>
    <w:p w14:paraId="1E1C4A4C" w14:textId="6B6E99FE" w:rsidR="00570273" w:rsidRDefault="00570273" w:rsidP="00DA22EF">
      <w:r>
        <w:t xml:space="preserve">Integrated pharmacists also completed one or more drug </w:t>
      </w:r>
      <w:proofErr w:type="spellStart"/>
      <w:r>
        <w:t>utilisation</w:t>
      </w:r>
      <w:proofErr w:type="spellEnd"/>
      <w:r>
        <w:t xml:space="preserve"> reviews (DUR) at their respective ACCHSs. </w:t>
      </w:r>
      <w:r w:rsidRPr="00CB4420">
        <w:t xml:space="preserve">The World Health </w:t>
      </w:r>
      <w:proofErr w:type="spellStart"/>
      <w:r w:rsidRPr="00CB4420">
        <w:t>Organisation</w:t>
      </w:r>
      <w:proofErr w:type="spellEnd"/>
      <w:r w:rsidRPr="00CB4420">
        <w:t xml:space="preserve"> defines a drug </w:t>
      </w:r>
      <w:proofErr w:type="spellStart"/>
      <w:r w:rsidRPr="00CB4420">
        <w:t>utilisation</w:t>
      </w:r>
      <w:proofErr w:type="spellEnd"/>
      <w:r w:rsidRPr="00CB4420">
        <w:t xml:space="preserve"> review </w:t>
      </w:r>
      <w:r>
        <w:t xml:space="preserve">(or drug </w:t>
      </w:r>
      <w:proofErr w:type="spellStart"/>
      <w:r>
        <w:t>utilisation</w:t>
      </w:r>
      <w:proofErr w:type="spellEnd"/>
      <w:r>
        <w:t xml:space="preserve"> evaluation) </w:t>
      </w:r>
      <w:r w:rsidRPr="00CB4420">
        <w:t>as ‘a system of ongoing, systematic, criteria-based evaluation of drug use that will help ensure that medicines are used appropriately’.</w:t>
      </w:r>
      <w:r>
        <w:rPr>
          <w:rStyle w:val="EndnoteReference"/>
        </w:rPr>
        <w:endnoteReference w:id="37"/>
      </w:r>
      <w:r>
        <w:t xml:space="preserve">  Pharmacist training on DURs required reviews to be based on a priority issue nominated by the ACCHS. Best practice evidence or guidelines were to be used to support the DUR and a template was provided to pharmacists to assist the reporting </w:t>
      </w:r>
      <w:r w:rsidRPr="00837D4A">
        <w:t>process</w:t>
      </w:r>
      <w:r w:rsidR="00B47956">
        <w:t>.</w:t>
      </w:r>
      <w:r w:rsidRPr="00837D4A">
        <w:t xml:space="preserve"> </w:t>
      </w:r>
      <w:r>
        <w:t xml:space="preserve">  Pharmacists uploaded the DUR report into the logbook, in addition to providing details about the initiator of the review, duration, and measures used to assess progress with this quality assurance activity within the ACCHS</w:t>
      </w:r>
      <w:r w:rsidR="00203232">
        <w:t xml:space="preserve"> </w:t>
      </w:r>
      <w:r w:rsidR="00203232">
        <w:rPr>
          <w:lang w:eastAsia="en-AU"/>
        </w:rPr>
        <w:t>(</w:t>
      </w:r>
      <w:r w:rsidR="004F63A3" w:rsidRPr="004F63A3">
        <w:t>Appendix 16</w:t>
      </w:r>
      <w:r w:rsidR="00203232">
        <w:rPr>
          <w:lang w:eastAsia="en-AU"/>
        </w:rPr>
        <w:t>).</w:t>
      </w:r>
    </w:p>
    <w:p w14:paraId="433AD0DB" w14:textId="2BF89876" w:rsidR="006947B4" w:rsidRDefault="00CF7AEC" w:rsidP="0048683E">
      <w:pPr>
        <w:pStyle w:val="Heading2"/>
        <w:rPr>
          <w:rFonts w:cstheme="majorBidi"/>
        </w:rPr>
      </w:pPr>
      <w:bookmarkStart w:id="155" w:name="_Toc35513599"/>
      <w:bookmarkStart w:id="156" w:name="_Toc35946604"/>
      <w:bookmarkStart w:id="157" w:name="_Toc40350106"/>
      <w:bookmarkStart w:id="158" w:name="_Toc40441088"/>
      <w:bookmarkStart w:id="159" w:name="_Toc41315630"/>
      <w:bookmarkStart w:id="160" w:name="_Toc138846275"/>
      <w:r>
        <w:t>Data management and intellectual property</w:t>
      </w:r>
      <w:bookmarkEnd w:id="155"/>
      <w:bookmarkEnd w:id="156"/>
      <w:bookmarkEnd w:id="157"/>
      <w:bookmarkEnd w:id="158"/>
      <w:bookmarkEnd w:id="159"/>
      <w:bookmarkEnd w:id="160"/>
    </w:p>
    <w:p w14:paraId="23DBABDF" w14:textId="01FF9B87" w:rsidR="006947B4" w:rsidRDefault="006947B4" w:rsidP="00CF7AEC">
      <w:pPr>
        <w:pStyle w:val="Heading3"/>
        <w:rPr>
          <w:rFonts w:cstheme="majorBidi"/>
        </w:rPr>
      </w:pPr>
      <w:bookmarkStart w:id="161" w:name="_Toc35513600"/>
      <w:bookmarkStart w:id="162" w:name="_Toc35946605"/>
      <w:bookmarkStart w:id="163" w:name="_Toc40350107"/>
      <w:bookmarkStart w:id="164" w:name="_Toc40441089"/>
      <w:bookmarkStart w:id="165" w:name="_Toc41315631"/>
      <w:bookmarkStart w:id="166" w:name="_Toc138846276"/>
      <w:r>
        <w:t xml:space="preserve">Privacy and </w:t>
      </w:r>
      <w:r w:rsidR="00CF7AEC">
        <w:t>c</w:t>
      </w:r>
      <w:r>
        <w:t>onfidentiality</w:t>
      </w:r>
      <w:bookmarkEnd w:id="161"/>
      <w:bookmarkEnd w:id="162"/>
      <w:bookmarkEnd w:id="163"/>
      <w:bookmarkEnd w:id="164"/>
      <w:bookmarkEnd w:id="165"/>
      <w:bookmarkEnd w:id="166"/>
    </w:p>
    <w:p w14:paraId="7F268C6D" w14:textId="225DC991" w:rsidR="006947B4" w:rsidRDefault="006947B4" w:rsidP="00DA22EF">
      <w:r>
        <w:t xml:space="preserve">Individual patients participating in the project were not able to be identified. The </w:t>
      </w:r>
      <w:r w:rsidR="00602590" w:rsidRPr="001F4C53">
        <w:t>GRHANITE™</w:t>
      </w:r>
      <w:r w:rsidR="00602590">
        <w:t xml:space="preserve"> </w:t>
      </w:r>
      <w:r>
        <w:t xml:space="preserve">software program provided an ethical and secure mechanism for the extraction of </w:t>
      </w:r>
      <w:r w:rsidR="007D6C24">
        <w:rPr>
          <w:rFonts w:eastAsia="Times New Roman" w:cstheme="minorHAnsi"/>
          <w:color w:val="000000"/>
          <w:lang w:eastAsia="en-AU"/>
        </w:rPr>
        <w:t>participant</w:t>
      </w:r>
      <w:r w:rsidR="007D6C24">
        <w:t xml:space="preserve"> </w:t>
      </w:r>
      <w:r>
        <w:t xml:space="preserve">data that strictly conformed to variables approved by HRECs. </w:t>
      </w:r>
      <w:r w:rsidR="0033443E">
        <w:t xml:space="preserve">Identifying details were </w:t>
      </w:r>
      <w:r w:rsidR="0033443E" w:rsidRPr="0033443E">
        <w:t>not extracted</w:t>
      </w:r>
      <w:r w:rsidR="0033443E">
        <w:t xml:space="preserve"> and p</w:t>
      </w:r>
      <w:r w:rsidR="007D6C24">
        <w:rPr>
          <w:rFonts w:eastAsia="Times New Roman" w:cstheme="minorHAnsi"/>
          <w:color w:val="000000"/>
          <w:lang w:eastAsia="en-AU"/>
        </w:rPr>
        <w:t>articipant</w:t>
      </w:r>
      <w:r w:rsidR="0033443E">
        <w:rPr>
          <w:rFonts w:eastAsia="Times New Roman" w:cstheme="minorHAnsi"/>
          <w:color w:val="000000"/>
          <w:lang w:eastAsia="en-AU"/>
        </w:rPr>
        <w:t>s</w:t>
      </w:r>
      <w:r w:rsidR="007D6C24">
        <w:t xml:space="preserve"> </w:t>
      </w:r>
      <w:r>
        <w:t xml:space="preserve">and were automatically allocated a unique patient identification (ID) code. When entering data in the logbook, pharmacists used the </w:t>
      </w:r>
      <w:r w:rsidR="007D6C24">
        <w:rPr>
          <w:rFonts w:eastAsia="Times New Roman" w:cstheme="minorHAnsi"/>
          <w:color w:val="000000"/>
          <w:lang w:eastAsia="en-AU"/>
        </w:rPr>
        <w:t>participants’</w:t>
      </w:r>
      <w:r w:rsidR="007D6C24">
        <w:t xml:space="preserve"> </w:t>
      </w:r>
      <w:r>
        <w:t xml:space="preserve">ID number, and did not enter any identifying details. The </w:t>
      </w:r>
      <w:r w:rsidR="007D6C24">
        <w:rPr>
          <w:rFonts w:eastAsia="Times New Roman" w:cstheme="minorHAnsi"/>
          <w:color w:val="000000"/>
          <w:lang w:eastAsia="en-AU"/>
        </w:rPr>
        <w:t>participant</w:t>
      </w:r>
      <w:r w:rsidR="007D6C24">
        <w:t xml:space="preserve"> </w:t>
      </w:r>
      <w:r>
        <w:t xml:space="preserve">ID numbers could be linked with those in the </w:t>
      </w:r>
      <w:r w:rsidR="00602590" w:rsidRPr="001F4C53">
        <w:t>GRHANITE™</w:t>
      </w:r>
      <w:r w:rsidR="00602590">
        <w:t xml:space="preserve"> </w:t>
      </w:r>
      <w:r>
        <w:t>extracts to enable analysis. Individual ACCHSs</w:t>
      </w:r>
      <w:r w:rsidR="00C73D67">
        <w:t xml:space="preserve">, </w:t>
      </w:r>
      <w:r>
        <w:t xml:space="preserve">communities </w:t>
      </w:r>
      <w:r w:rsidR="00C73D67">
        <w:t xml:space="preserve">and participants </w:t>
      </w:r>
      <w:r>
        <w:t xml:space="preserve">were not identified in any reports, </w:t>
      </w:r>
      <w:proofErr w:type="gramStart"/>
      <w:r>
        <w:t>publications</w:t>
      </w:r>
      <w:proofErr w:type="gramEnd"/>
      <w:r>
        <w:t xml:space="preserve"> or conference presentations of data from this project, unless this was approved by the ACCHS.</w:t>
      </w:r>
      <w:r>
        <w:rPr>
          <w:color w:val="010202"/>
          <w:lang w:eastAsia="en-AU"/>
        </w:rPr>
        <w:t xml:space="preserve"> </w:t>
      </w:r>
      <w:r w:rsidR="00B50A3D">
        <w:t>Project results we</w:t>
      </w:r>
      <w:r>
        <w:t xml:space="preserve">re reported at an aggregate level. </w:t>
      </w:r>
    </w:p>
    <w:p w14:paraId="0E4234F3" w14:textId="62298143" w:rsidR="006947B4" w:rsidRDefault="006947B4" w:rsidP="0048683E">
      <w:pPr>
        <w:pStyle w:val="Heading3"/>
        <w:rPr>
          <w:rFonts w:cstheme="majorBidi"/>
        </w:rPr>
      </w:pPr>
      <w:bookmarkStart w:id="167" w:name="_Toc35513603"/>
      <w:bookmarkStart w:id="168" w:name="_Toc35946608"/>
      <w:bookmarkStart w:id="169" w:name="_Toc40350108"/>
      <w:bookmarkStart w:id="170" w:name="_Toc40441090"/>
      <w:bookmarkStart w:id="171" w:name="_Toc41315632"/>
      <w:bookmarkStart w:id="172" w:name="_Toc374952055"/>
      <w:bookmarkStart w:id="173" w:name="_Toc24986066"/>
      <w:bookmarkStart w:id="174" w:name="_Toc138846277"/>
      <w:r>
        <w:t xml:space="preserve">Data </w:t>
      </w:r>
      <w:r w:rsidR="00CF7AEC">
        <w:t>s</w:t>
      </w:r>
      <w:r>
        <w:t>ecurity</w:t>
      </w:r>
      <w:bookmarkEnd w:id="167"/>
      <w:bookmarkEnd w:id="168"/>
      <w:bookmarkEnd w:id="169"/>
      <w:bookmarkEnd w:id="170"/>
      <w:bookmarkEnd w:id="171"/>
      <w:bookmarkEnd w:id="172"/>
      <w:bookmarkEnd w:id="173"/>
      <w:bookmarkEnd w:id="174"/>
    </w:p>
    <w:p w14:paraId="7E4550E9" w14:textId="44026CF2" w:rsidR="006947B4" w:rsidRDefault="006947B4" w:rsidP="00DA22EF">
      <w:pPr>
        <w:rPr>
          <w:rFonts w:cstheme="minorHAnsi"/>
        </w:rPr>
      </w:pPr>
      <w:r>
        <w:rPr>
          <w:rFonts w:cstheme="minorHAnsi"/>
        </w:rPr>
        <w:t xml:space="preserve">As the leading research </w:t>
      </w:r>
      <w:proofErr w:type="spellStart"/>
      <w:r>
        <w:rPr>
          <w:rFonts w:cstheme="minorHAnsi"/>
        </w:rPr>
        <w:t>organisation</w:t>
      </w:r>
      <w:proofErr w:type="spellEnd"/>
      <w:r>
        <w:rPr>
          <w:rFonts w:cstheme="minorHAnsi"/>
        </w:rPr>
        <w:t xml:space="preserve">, JCU was responsible for the protection of data from loss, </w:t>
      </w:r>
      <w:proofErr w:type="gramStart"/>
      <w:r>
        <w:rPr>
          <w:rFonts w:cstheme="minorHAnsi"/>
        </w:rPr>
        <w:t>misuse</w:t>
      </w:r>
      <w:proofErr w:type="gramEnd"/>
      <w:r>
        <w:rPr>
          <w:rFonts w:cstheme="minorHAnsi"/>
        </w:rPr>
        <w:t xml:space="preserve"> and </w:t>
      </w:r>
      <w:proofErr w:type="spellStart"/>
      <w:r>
        <w:rPr>
          <w:rFonts w:cstheme="minorHAnsi"/>
        </w:rPr>
        <w:t>unauthorised</w:t>
      </w:r>
      <w:proofErr w:type="spellEnd"/>
      <w:r>
        <w:rPr>
          <w:rFonts w:cstheme="minorHAnsi"/>
        </w:rPr>
        <w:t xml:space="preserve"> access. The Data Custodian at JCU </w:t>
      </w:r>
      <w:r w:rsidR="00CA244E">
        <w:rPr>
          <w:rFonts w:cstheme="minorHAnsi"/>
        </w:rPr>
        <w:t xml:space="preserve">was </w:t>
      </w:r>
      <w:r>
        <w:rPr>
          <w:rFonts w:cstheme="minorHAnsi"/>
        </w:rPr>
        <w:t>responsible for this role.  No issues were raised in relation to data security</w:t>
      </w:r>
      <w:r w:rsidR="00CA244E">
        <w:rPr>
          <w:rFonts w:cstheme="minorHAnsi"/>
        </w:rPr>
        <w:t xml:space="preserve"> during the project</w:t>
      </w:r>
      <w:r>
        <w:rPr>
          <w:rFonts w:cstheme="minorHAnsi"/>
        </w:rPr>
        <w:t>.</w:t>
      </w:r>
      <w:r w:rsidR="00CA244E">
        <w:rPr>
          <w:rFonts w:cstheme="minorHAnsi"/>
        </w:rPr>
        <w:t xml:space="preserve"> </w:t>
      </w:r>
      <w:r>
        <w:rPr>
          <w:rFonts w:cstheme="minorHAnsi"/>
        </w:rPr>
        <w:t xml:space="preserve">Pharmacist, participant and site consent forms and all data collected via </w:t>
      </w:r>
      <w:r w:rsidR="00602590" w:rsidRPr="001F4C53">
        <w:t>GRHANITE™</w:t>
      </w:r>
      <w:r w:rsidR="00602590">
        <w:t xml:space="preserve"> </w:t>
      </w:r>
      <w:r>
        <w:rPr>
          <w:rFonts w:cstheme="minorHAnsi"/>
        </w:rPr>
        <w:t xml:space="preserve">extractions and </w:t>
      </w:r>
      <w:proofErr w:type="gramStart"/>
      <w:r>
        <w:rPr>
          <w:rFonts w:cstheme="minorHAnsi"/>
        </w:rPr>
        <w:t>entered into</w:t>
      </w:r>
      <w:proofErr w:type="gramEnd"/>
      <w:r>
        <w:rPr>
          <w:rFonts w:cstheme="minorHAnsi"/>
        </w:rPr>
        <w:t xml:space="preserve"> the pharmacist logbook </w:t>
      </w:r>
      <w:r w:rsidR="00CA244E">
        <w:rPr>
          <w:rFonts w:cstheme="minorHAnsi"/>
        </w:rPr>
        <w:t xml:space="preserve">was </w:t>
      </w:r>
      <w:r>
        <w:rPr>
          <w:rFonts w:cstheme="minorHAnsi"/>
        </w:rPr>
        <w:t xml:space="preserve">held electronically in a </w:t>
      </w:r>
      <w:r>
        <w:rPr>
          <w:rFonts w:cstheme="minorHAnsi"/>
        </w:rPr>
        <w:lastRenderedPageBreak/>
        <w:t xml:space="preserve">password protected computer by the </w:t>
      </w:r>
      <w:r w:rsidR="00602590">
        <w:rPr>
          <w:rFonts w:cstheme="minorHAnsi"/>
        </w:rPr>
        <w:t xml:space="preserve">Data Custodian </w:t>
      </w:r>
      <w:r>
        <w:rPr>
          <w:rFonts w:cstheme="minorHAnsi"/>
        </w:rPr>
        <w:t>at the JCU College of Medicine and Dentistry.</w:t>
      </w:r>
      <w:r w:rsidR="00CA244E">
        <w:rPr>
          <w:rFonts w:cstheme="minorHAnsi"/>
        </w:rPr>
        <w:t xml:space="preserve"> </w:t>
      </w:r>
      <w:r>
        <w:rPr>
          <w:rFonts w:cstheme="minorHAnsi"/>
        </w:rPr>
        <w:t xml:space="preserve">Consent forms collected by project staff from sites were posted to the </w:t>
      </w:r>
      <w:r w:rsidR="00602590">
        <w:rPr>
          <w:rFonts w:cstheme="minorHAnsi"/>
        </w:rPr>
        <w:t xml:space="preserve">Data Custodian. Forms </w:t>
      </w:r>
      <w:r w:rsidR="00CA244E">
        <w:rPr>
          <w:rFonts w:cstheme="minorHAnsi"/>
        </w:rPr>
        <w:t xml:space="preserve">were </w:t>
      </w:r>
      <w:r>
        <w:rPr>
          <w:rFonts w:cstheme="minorHAnsi"/>
        </w:rPr>
        <w:t>stored in a locked filing cabinet, in a lock</w:t>
      </w:r>
      <w:r w:rsidR="00602590">
        <w:rPr>
          <w:rFonts w:cstheme="minorHAnsi"/>
        </w:rPr>
        <w:t>ed</w:t>
      </w:r>
      <w:r>
        <w:rPr>
          <w:rFonts w:cstheme="minorHAnsi"/>
        </w:rPr>
        <w:t xml:space="preserve"> room at the JCU College of Medicine and Dentistry, with any other project-related paper-based data. All electronic files and paper-based data will be stored securely after the project under the control of the </w:t>
      </w:r>
      <w:r w:rsidR="00602590">
        <w:rPr>
          <w:rFonts w:cstheme="minorHAnsi"/>
        </w:rPr>
        <w:t xml:space="preserve">Data Custodian </w:t>
      </w:r>
      <w:r>
        <w:rPr>
          <w:rFonts w:cstheme="minorHAnsi"/>
        </w:rPr>
        <w:t>for a period of 7 years in line with ethical requirements.  After this time</w:t>
      </w:r>
      <w:r w:rsidR="00B50A3D">
        <w:rPr>
          <w:rFonts w:cstheme="minorHAnsi"/>
        </w:rPr>
        <w:t>,</w:t>
      </w:r>
      <w:r>
        <w:rPr>
          <w:rFonts w:cstheme="minorHAnsi"/>
        </w:rPr>
        <w:t xml:space="preserve"> all files will be </w:t>
      </w:r>
      <w:proofErr w:type="gramStart"/>
      <w:r>
        <w:rPr>
          <w:rFonts w:cstheme="minorHAnsi"/>
        </w:rPr>
        <w:t>deleted</w:t>
      </w:r>
      <w:proofErr w:type="gramEnd"/>
      <w:r>
        <w:rPr>
          <w:rFonts w:cstheme="minorHAnsi"/>
        </w:rPr>
        <w:t xml:space="preserve"> and papers destroyed through JCUs secure waste management services.</w:t>
      </w:r>
    </w:p>
    <w:p w14:paraId="17744F07" w14:textId="77777777" w:rsidR="00B50A3D" w:rsidRDefault="00B50A3D" w:rsidP="0048683E">
      <w:pPr>
        <w:pStyle w:val="Heading4"/>
        <w:rPr>
          <w:rFonts w:cstheme="majorBidi"/>
        </w:rPr>
      </w:pPr>
      <w:bookmarkStart w:id="175" w:name="_Toc35513601"/>
      <w:bookmarkStart w:id="176" w:name="_Toc35946606"/>
      <w:bookmarkStart w:id="177" w:name="_Toc35513604"/>
      <w:bookmarkStart w:id="178" w:name="_Toc374952050"/>
      <w:bookmarkStart w:id="179" w:name="_Toc24986061"/>
      <w:bookmarkStart w:id="180" w:name="_Toc35946609"/>
      <w:r>
        <w:t>Quantitative Data</w:t>
      </w:r>
      <w:bookmarkEnd w:id="175"/>
      <w:bookmarkEnd w:id="176"/>
    </w:p>
    <w:p w14:paraId="36E30DF1" w14:textId="0E6D1133" w:rsidR="00B50A3D" w:rsidRDefault="00B50A3D" w:rsidP="00DA22EF">
      <w:pPr>
        <w:rPr>
          <w:rFonts w:cstheme="minorHAnsi"/>
        </w:rPr>
      </w:pPr>
      <w:r>
        <w:rPr>
          <w:rFonts w:cstheme="minorHAnsi"/>
        </w:rPr>
        <w:t xml:space="preserve">Data was extracted from ACCHS clinical information systems via the </w:t>
      </w:r>
      <w:r w:rsidRPr="001F4C53">
        <w:t>GRHANITE™</w:t>
      </w:r>
      <w:r>
        <w:t xml:space="preserve"> </w:t>
      </w:r>
      <w:r>
        <w:rPr>
          <w:rFonts w:cstheme="minorHAnsi"/>
        </w:rPr>
        <w:t xml:space="preserve">data extraction tool, </w:t>
      </w:r>
      <w:r w:rsidR="00287D15">
        <w:rPr>
          <w:rFonts w:cstheme="minorHAnsi"/>
        </w:rPr>
        <w:t xml:space="preserve">as well as data </w:t>
      </w:r>
      <w:r>
        <w:rPr>
          <w:rFonts w:cstheme="minorHAnsi"/>
        </w:rPr>
        <w:t xml:space="preserve">recorded by pharmacists in the logbook. Electronic data was stored on password-protected server at JCU. Data accessed during the analysis phase was stored only in JCU-supported database applications.  </w:t>
      </w:r>
    </w:p>
    <w:p w14:paraId="3F9AA2D4" w14:textId="77777777" w:rsidR="00B50A3D" w:rsidRDefault="00B50A3D" w:rsidP="0048683E">
      <w:pPr>
        <w:pStyle w:val="Heading4"/>
        <w:rPr>
          <w:rFonts w:cstheme="majorBidi"/>
        </w:rPr>
      </w:pPr>
      <w:bookmarkStart w:id="181" w:name="_Toc35513602"/>
      <w:bookmarkStart w:id="182" w:name="_Toc35946607"/>
      <w:r>
        <w:t>Qualitative data</w:t>
      </w:r>
      <w:bookmarkEnd w:id="181"/>
      <w:bookmarkEnd w:id="182"/>
    </w:p>
    <w:p w14:paraId="395E468D" w14:textId="1FB0DDF3" w:rsidR="00B50A3D" w:rsidRDefault="00B50A3D" w:rsidP="00DA22EF">
      <w:pPr>
        <w:rPr>
          <w:rFonts w:cstheme="minorHAnsi"/>
        </w:rPr>
      </w:pPr>
      <w:r>
        <w:rPr>
          <w:rFonts w:cstheme="minorHAnsi"/>
        </w:rPr>
        <w:t xml:space="preserve">Qualitative data collected via interviews and focus group discussions (including zoom and teleconferences) were recorded digitally. Photographs </w:t>
      </w:r>
      <w:r w:rsidR="00CA448C">
        <w:rPr>
          <w:rFonts w:cstheme="minorHAnsi"/>
        </w:rPr>
        <w:t xml:space="preserve">of signs and the clinic layout </w:t>
      </w:r>
      <w:r>
        <w:rPr>
          <w:rFonts w:cstheme="minorHAnsi"/>
        </w:rPr>
        <w:t>were taken on a password-protected mobile phone. All electronic files (digital recordings and photos) were removed from recording devices (recorder and mobile phone) immediately once transferred to the laptop. Field notes from site visits were recorded in a notebook or electronically. Identifying information was removed from data collected immediately after transcription of the interviews and focus group discussions. Consent forms and paper notes of any identifiable project data were stored in a locked filing cabinet, in a locked room.</w:t>
      </w:r>
    </w:p>
    <w:p w14:paraId="5F87A60E" w14:textId="26D2E198" w:rsidR="00B50A3D" w:rsidRDefault="00B50A3D" w:rsidP="00DA22EF">
      <w:pPr>
        <w:rPr>
          <w:rFonts w:cstheme="minorHAnsi"/>
        </w:rPr>
      </w:pPr>
      <w:r>
        <w:rPr>
          <w:rFonts w:cstheme="minorHAnsi"/>
        </w:rPr>
        <w:t xml:space="preserve">Online survey data collected was stored in a password-protected ‘Survey Monkey’ account until the end of the data collection period. At this time, the data was downloaded and removed from the online account.  All electronic files were stored on password-protected computers during the project.  </w:t>
      </w:r>
    </w:p>
    <w:p w14:paraId="71FA3E86" w14:textId="466632DF" w:rsidR="006947B4" w:rsidRDefault="006947B4" w:rsidP="0048683E">
      <w:pPr>
        <w:pStyle w:val="Heading3"/>
        <w:rPr>
          <w:rFonts w:cstheme="majorBidi"/>
        </w:rPr>
      </w:pPr>
      <w:bookmarkStart w:id="183" w:name="_Toc40350109"/>
      <w:bookmarkStart w:id="184" w:name="_Toc40441091"/>
      <w:bookmarkStart w:id="185" w:name="_Toc41315633"/>
      <w:bookmarkStart w:id="186" w:name="_Toc138846278"/>
      <w:r>
        <w:t xml:space="preserve">Intellectual </w:t>
      </w:r>
      <w:r w:rsidR="00E07E3E">
        <w:t>p</w:t>
      </w:r>
      <w:r>
        <w:t>roperty</w:t>
      </w:r>
      <w:bookmarkEnd w:id="177"/>
      <w:bookmarkEnd w:id="178"/>
      <w:bookmarkEnd w:id="179"/>
      <w:bookmarkEnd w:id="180"/>
      <w:bookmarkEnd w:id="183"/>
      <w:bookmarkEnd w:id="184"/>
      <w:bookmarkEnd w:id="185"/>
      <w:bookmarkEnd w:id="186"/>
    </w:p>
    <w:p w14:paraId="283D99E9" w14:textId="77777777" w:rsidR="006947B4" w:rsidRDefault="006947B4" w:rsidP="00DA22EF">
      <w:r>
        <w:t xml:space="preserve">Intellectual property as outlined in the Funding Agreement with the Australian Government Department of Health means all copyright and rights resulting from intellectual activity but does not include moral rights (the right of attribution and/or integrity of authorship of copyright material and the right not to have authorship falsely attributed) or rights in relation to confidential material. The ownership of data and materials produced from this project is subject to the clauses in the Funding Agreement. </w:t>
      </w:r>
    </w:p>
    <w:p w14:paraId="489C617B" w14:textId="5A19F38C" w:rsidR="006947B4" w:rsidRDefault="006947B4" w:rsidP="00DA22EF">
      <w:r>
        <w:t xml:space="preserve">Intellectual property rights in materials created as arising from activity in this project (but not raw </w:t>
      </w:r>
      <w:proofErr w:type="spellStart"/>
      <w:r>
        <w:t>unanalysed</w:t>
      </w:r>
      <w:proofErr w:type="spellEnd"/>
      <w:r>
        <w:t xml:space="preserve"> data extracted using GRHANITE</w:t>
      </w:r>
      <w:r w:rsidR="00602590" w:rsidRPr="00602590">
        <w:rPr>
          <w:vertAlign w:val="superscript"/>
        </w:rPr>
        <w:t>TM</w:t>
      </w:r>
      <w:r>
        <w:t xml:space="preserve">), </w:t>
      </w:r>
      <w:r w:rsidR="00B50A3D">
        <w:t>are</w:t>
      </w:r>
      <w:r>
        <w:t xml:space="preserve"> vested in JCU</w:t>
      </w:r>
      <w:r w:rsidR="00220D51">
        <w:t>. JCU has subsequently granted</w:t>
      </w:r>
      <w:r>
        <w:t xml:space="preserve"> </w:t>
      </w:r>
      <w:r w:rsidR="00220D51">
        <w:t xml:space="preserve">a </w:t>
      </w:r>
      <w:r>
        <w:t xml:space="preserve">license to </w:t>
      </w:r>
      <w:r w:rsidR="00220D51">
        <w:t xml:space="preserve">the </w:t>
      </w:r>
      <w:r>
        <w:t>PSA.  The raw (</w:t>
      </w:r>
      <w:proofErr w:type="spellStart"/>
      <w:r>
        <w:t>unanalysed</w:t>
      </w:r>
      <w:proofErr w:type="spellEnd"/>
      <w:r>
        <w:t xml:space="preserve">) data extracted by </w:t>
      </w:r>
      <w:r w:rsidR="00602590" w:rsidRPr="001F4C53">
        <w:t>GRHANITE™</w:t>
      </w:r>
      <w:r>
        <w:t xml:space="preserve"> and collected is acknowledged to be owned by the ACCHSs from which it was collected. ACCHS</w:t>
      </w:r>
      <w:r w:rsidR="002D63D8">
        <w:t>s</w:t>
      </w:r>
      <w:r>
        <w:t xml:space="preserve"> grant</w:t>
      </w:r>
      <w:r w:rsidR="00B50A3D">
        <w:t>ed</w:t>
      </w:r>
      <w:r>
        <w:t xml:space="preserve"> the PSA (and in turn, NACCHO and JCU) a perpetual, irrevocable, royalty-free and </w:t>
      </w:r>
      <w:proofErr w:type="spellStart"/>
      <w:r>
        <w:t>licence</w:t>
      </w:r>
      <w:proofErr w:type="spellEnd"/>
      <w:r>
        <w:t xml:space="preserve"> fee-free, non-exclusive </w:t>
      </w:r>
      <w:proofErr w:type="spellStart"/>
      <w:r>
        <w:t>licence</w:t>
      </w:r>
      <w:proofErr w:type="spellEnd"/>
      <w:r>
        <w:t xml:space="preserve"> (including a right of sub-</w:t>
      </w:r>
      <w:proofErr w:type="spellStart"/>
      <w:r>
        <w:t>licence</w:t>
      </w:r>
      <w:proofErr w:type="spellEnd"/>
      <w:r>
        <w:t xml:space="preserve">) to use and </w:t>
      </w:r>
      <w:proofErr w:type="spellStart"/>
      <w:r>
        <w:t>analyse</w:t>
      </w:r>
      <w:proofErr w:type="spellEnd"/>
      <w:r>
        <w:t xml:space="preserve"> the raw (</w:t>
      </w:r>
      <w:proofErr w:type="spellStart"/>
      <w:r>
        <w:t>unanalysed</w:t>
      </w:r>
      <w:proofErr w:type="spellEnd"/>
      <w:r>
        <w:t>) extracted data that ar</w:t>
      </w:r>
      <w:r w:rsidR="002D63D8">
        <w:t>o</w:t>
      </w:r>
      <w:r>
        <w:t>se from participation in the IPAC Project in accordance with th</w:t>
      </w:r>
      <w:r w:rsidR="002D63D8">
        <w:t>e</w:t>
      </w:r>
      <w:r>
        <w:t xml:space="preserve"> Project Protocol.</w:t>
      </w:r>
    </w:p>
    <w:p w14:paraId="07D78C33" w14:textId="77777777" w:rsidR="006947B4" w:rsidRDefault="001A0960" w:rsidP="00DA22EF">
      <w:pPr>
        <w:widowControl/>
        <w:rPr>
          <w:rFonts w:cstheme="minorHAnsi"/>
        </w:rPr>
      </w:pPr>
      <w:r>
        <w:br w:type="page"/>
      </w:r>
    </w:p>
    <w:p w14:paraId="35B7F4EC" w14:textId="77777777" w:rsidR="00CE04F1" w:rsidRDefault="00CE04F1" w:rsidP="0048683E">
      <w:pPr>
        <w:pStyle w:val="Heading1"/>
      </w:pPr>
      <w:bookmarkStart w:id="187" w:name="_Toc40350110"/>
      <w:bookmarkStart w:id="188" w:name="_Toc40441092"/>
      <w:bookmarkStart w:id="189" w:name="_Toc41315634"/>
      <w:bookmarkStart w:id="190" w:name="_Toc138846279"/>
      <w:r>
        <w:lastRenderedPageBreak/>
        <w:t>Results</w:t>
      </w:r>
      <w:bookmarkEnd w:id="187"/>
      <w:bookmarkEnd w:id="188"/>
      <w:bookmarkEnd w:id="189"/>
      <w:bookmarkEnd w:id="190"/>
    </w:p>
    <w:p w14:paraId="2CDC22A5" w14:textId="77777777" w:rsidR="002D3EC5" w:rsidRDefault="002D3EC5" w:rsidP="00DA22EF">
      <w:pPr>
        <w:rPr>
          <w:rFonts w:asciiTheme="majorHAnsi" w:hAnsiTheme="majorHAnsi" w:cstheme="majorHAnsi"/>
        </w:rPr>
      </w:pPr>
      <w:r>
        <w:t>Registered pharmacists were integrated within the primary healthcare teams of 18 ACCHSs across 22 sites, for up to 15-months from 2</w:t>
      </w:r>
      <w:r>
        <w:rPr>
          <w:vertAlign w:val="superscript"/>
        </w:rPr>
        <w:t>nd</w:t>
      </w:r>
      <w:r>
        <w:t xml:space="preserve"> August 2018 to 31</w:t>
      </w:r>
      <w:r>
        <w:rPr>
          <w:vertAlign w:val="superscript"/>
        </w:rPr>
        <w:t>st</w:t>
      </w:r>
      <w:r>
        <w:t xml:space="preserve"> October 2019. Pharmacist positions were aggregated to the rate of 12.3 FTE in total.</w:t>
      </w:r>
    </w:p>
    <w:p w14:paraId="249185FD" w14:textId="74B1ADB1" w:rsidR="00E96691" w:rsidRPr="00E96691" w:rsidRDefault="00E96691" w:rsidP="00DA22EF">
      <w:pPr>
        <w:rPr>
          <w:rFonts w:asciiTheme="majorHAnsi" w:hAnsiTheme="majorHAnsi" w:cstheme="majorHAnsi"/>
        </w:rPr>
      </w:pPr>
      <w:r w:rsidRPr="00E96691">
        <w:rPr>
          <w:rFonts w:asciiTheme="majorHAnsi" w:hAnsiTheme="majorHAnsi" w:cstheme="majorHAnsi"/>
        </w:rPr>
        <w:t>A total of 1,733 patients were consented for the project, of which 1,456 had pre and post data and were included for analysis</w:t>
      </w:r>
      <w:r w:rsidR="0087143D">
        <w:rPr>
          <w:rFonts w:asciiTheme="majorHAnsi" w:hAnsiTheme="majorHAnsi" w:cstheme="majorHAnsi"/>
        </w:rPr>
        <w:t xml:space="preserve"> of </w:t>
      </w:r>
      <w:r w:rsidR="00220D51">
        <w:rPr>
          <w:rFonts w:asciiTheme="majorHAnsi" w:hAnsiTheme="majorHAnsi" w:cstheme="majorHAnsi"/>
        </w:rPr>
        <w:t>participant outcomes</w:t>
      </w:r>
      <w:r w:rsidRPr="00E96691">
        <w:rPr>
          <w:rFonts w:asciiTheme="majorHAnsi" w:hAnsiTheme="majorHAnsi" w:cstheme="majorHAnsi"/>
        </w:rPr>
        <w:t xml:space="preserve">.  An overview of </w:t>
      </w:r>
      <w:r w:rsidR="0087143D">
        <w:rPr>
          <w:rFonts w:asciiTheme="majorHAnsi" w:hAnsiTheme="majorHAnsi" w:cstheme="majorHAnsi"/>
        </w:rPr>
        <w:t xml:space="preserve">all </w:t>
      </w:r>
      <w:r w:rsidRPr="00E96691">
        <w:rPr>
          <w:rFonts w:asciiTheme="majorHAnsi" w:hAnsiTheme="majorHAnsi" w:cstheme="majorHAnsi"/>
        </w:rPr>
        <w:t xml:space="preserve">pharmacist activity is presented in Table </w:t>
      </w:r>
      <w:r w:rsidR="00752E49">
        <w:rPr>
          <w:rFonts w:asciiTheme="majorHAnsi" w:hAnsiTheme="majorHAnsi" w:cstheme="majorHAnsi"/>
        </w:rPr>
        <w:t>4</w:t>
      </w:r>
      <w:r w:rsidRPr="00E96691">
        <w:rPr>
          <w:rFonts w:asciiTheme="majorHAnsi" w:hAnsiTheme="majorHAnsi" w:cstheme="majorHAnsi"/>
        </w:rPr>
        <w:t>.</w:t>
      </w:r>
    </w:p>
    <w:p w14:paraId="64B72A2A" w14:textId="0284E1A7" w:rsidR="00E96691" w:rsidRDefault="00E96691" w:rsidP="006C152D">
      <w:pPr>
        <w:pStyle w:val="TableParagraph"/>
      </w:pPr>
      <w:bookmarkStart w:id="191" w:name="_Toc43820207"/>
      <w:r w:rsidRPr="00E96691">
        <w:t xml:space="preserve">Table </w:t>
      </w:r>
      <w:r w:rsidR="00752E49">
        <w:t>4</w:t>
      </w:r>
      <w:r w:rsidR="0082142E">
        <w:t>.</w:t>
      </w:r>
      <w:r w:rsidRPr="00E96691">
        <w:t xml:space="preserve"> Overview of pharmacist activity included in </w:t>
      </w:r>
      <w:r w:rsidRPr="00656F80">
        <w:t>analysis</w:t>
      </w:r>
      <w:r w:rsidR="00656F80" w:rsidRPr="00656F80">
        <w:t xml:space="preserve"> from 02/08/2018 to 31/10/2019</w:t>
      </w:r>
      <w:r w:rsidRPr="00656F80">
        <w:t>.</w:t>
      </w:r>
      <w:bookmarkEnd w:id="191"/>
    </w:p>
    <w:tbl>
      <w:tblPr>
        <w:tblW w:w="5000" w:type="pct"/>
        <w:tblCellMar>
          <w:left w:w="0" w:type="dxa"/>
          <w:right w:w="0" w:type="dxa"/>
        </w:tblCellMar>
        <w:tblLook w:val="04A0" w:firstRow="1" w:lastRow="0" w:firstColumn="1" w:lastColumn="0" w:noHBand="0" w:noVBand="1"/>
      </w:tblPr>
      <w:tblGrid>
        <w:gridCol w:w="8213"/>
        <w:gridCol w:w="1406"/>
      </w:tblGrid>
      <w:tr w:rsidR="00E96691" w:rsidRPr="00E07E3E" w14:paraId="49585F7F" w14:textId="77777777" w:rsidTr="00E07E3E">
        <w:trPr>
          <w:trHeight w:val="57"/>
          <w:tblHeader/>
        </w:trPr>
        <w:tc>
          <w:tcPr>
            <w:tcW w:w="42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14:paraId="6DADEC3B" w14:textId="5A134AC2" w:rsidR="00E96691" w:rsidRPr="00E07E3E" w:rsidRDefault="00E96691" w:rsidP="00DA22EF">
            <w:pPr>
              <w:rPr>
                <w:rFonts w:asciiTheme="majorHAnsi" w:hAnsiTheme="majorHAnsi" w:cstheme="majorHAnsi"/>
                <w:b/>
                <w:bCs/>
                <w:lang w:eastAsia="en-AU"/>
              </w:rPr>
            </w:pPr>
            <w:r w:rsidRPr="00E07E3E">
              <w:rPr>
                <w:rFonts w:asciiTheme="majorHAnsi" w:hAnsiTheme="majorHAnsi" w:cstheme="majorHAnsi"/>
                <w:b/>
                <w:bCs/>
                <w:color w:val="000000"/>
                <w:lang w:eastAsia="en-AU"/>
              </w:rPr>
              <w:t xml:space="preserve">Pharmacist </w:t>
            </w:r>
            <w:r w:rsidR="00E07E3E">
              <w:rPr>
                <w:rFonts w:asciiTheme="majorHAnsi" w:hAnsiTheme="majorHAnsi" w:cstheme="majorHAnsi"/>
                <w:b/>
                <w:bCs/>
                <w:color w:val="000000"/>
                <w:lang w:eastAsia="en-AU"/>
              </w:rPr>
              <w:t>c</w:t>
            </w:r>
            <w:r w:rsidRPr="00E07E3E">
              <w:rPr>
                <w:rFonts w:asciiTheme="majorHAnsi" w:hAnsiTheme="majorHAnsi" w:cstheme="majorHAnsi"/>
                <w:b/>
                <w:bCs/>
                <w:color w:val="000000"/>
                <w:lang w:eastAsia="en-AU"/>
              </w:rPr>
              <w:t xml:space="preserve">ore </w:t>
            </w:r>
            <w:r w:rsidR="00E07E3E">
              <w:rPr>
                <w:rFonts w:asciiTheme="majorHAnsi" w:hAnsiTheme="majorHAnsi" w:cstheme="majorHAnsi"/>
                <w:b/>
                <w:bCs/>
                <w:color w:val="000000"/>
                <w:lang w:eastAsia="en-AU"/>
              </w:rPr>
              <w:t>r</w:t>
            </w:r>
            <w:r w:rsidRPr="00E07E3E">
              <w:rPr>
                <w:rFonts w:asciiTheme="majorHAnsi" w:hAnsiTheme="majorHAnsi" w:cstheme="majorHAnsi"/>
                <w:b/>
                <w:bCs/>
                <w:color w:val="000000"/>
                <w:lang w:eastAsia="en-AU"/>
              </w:rPr>
              <w:t>ole</w:t>
            </w:r>
          </w:p>
        </w:tc>
        <w:tc>
          <w:tcPr>
            <w:tcW w:w="731" w:type="pct"/>
            <w:tcBorders>
              <w:top w:val="single" w:sz="8" w:space="0" w:color="000000"/>
              <w:left w:val="nil"/>
              <w:bottom w:val="single" w:sz="8" w:space="0" w:color="000000"/>
              <w:right w:val="single" w:sz="8" w:space="0" w:color="000000"/>
            </w:tcBorders>
            <w:shd w:val="clear" w:color="auto" w:fill="auto"/>
            <w:hideMark/>
          </w:tcPr>
          <w:p w14:paraId="444C9762" w14:textId="77777777" w:rsidR="00E96691" w:rsidRPr="00E07E3E" w:rsidRDefault="00E96691" w:rsidP="001135FE">
            <w:pPr>
              <w:jc w:val="center"/>
              <w:rPr>
                <w:rFonts w:asciiTheme="majorHAnsi" w:hAnsiTheme="majorHAnsi" w:cstheme="majorHAnsi"/>
                <w:b/>
                <w:bCs/>
                <w:color w:val="000000"/>
                <w:lang w:eastAsia="en-AU"/>
              </w:rPr>
            </w:pPr>
            <w:r w:rsidRPr="00E07E3E">
              <w:rPr>
                <w:rFonts w:asciiTheme="majorHAnsi" w:hAnsiTheme="majorHAnsi" w:cstheme="majorHAnsi"/>
                <w:b/>
                <w:bCs/>
                <w:color w:val="000000"/>
                <w:lang w:eastAsia="en-AU"/>
              </w:rPr>
              <w:t>Number of activities</w:t>
            </w:r>
          </w:p>
        </w:tc>
      </w:tr>
      <w:tr w:rsidR="00E96691" w:rsidRPr="00E96691" w14:paraId="0ED5CC6E"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5E545D42" w14:textId="2418840E"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Self-reported medication adherence survey (NMARS) </w:t>
            </w:r>
          </w:p>
        </w:tc>
        <w:tc>
          <w:tcPr>
            <w:tcW w:w="731" w:type="pct"/>
            <w:tcBorders>
              <w:top w:val="nil"/>
              <w:left w:val="nil"/>
              <w:bottom w:val="single" w:sz="8" w:space="0" w:color="000000"/>
              <w:right w:val="single" w:sz="8" w:space="0" w:color="000000"/>
            </w:tcBorders>
          </w:tcPr>
          <w:p w14:paraId="658A89D0"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2,759</w:t>
            </w:r>
          </w:p>
        </w:tc>
      </w:tr>
      <w:tr w:rsidR="00E96691" w:rsidRPr="00E96691" w14:paraId="266C1D17"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3B103F99" w14:textId="4D5E0A5A"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Medication Appropriateness Index (MAI) Audits / Assessments of </w:t>
            </w:r>
            <w:proofErr w:type="spellStart"/>
            <w:r w:rsidRPr="009402E0">
              <w:rPr>
                <w:rFonts w:asciiTheme="majorHAnsi" w:hAnsiTheme="majorHAnsi" w:cstheme="majorHAnsi"/>
                <w:color w:val="000000"/>
                <w:lang w:eastAsia="en-AU"/>
              </w:rPr>
              <w:t>Underutilisation</w:t>
            </w:r>
            <w:proofErr w:type="spellEnd"/>
            <w:r w:rsidR="001135FE">
              <w:rPr>
                <w:rFonts w:asciiTheme="majorHAnsi" w:hAnsiTheme="majorHAnsi" w:cstheme="majorHAnsi"/>
                <w:color w:val="000000"/>
                <w:lang w:eastAsia="en-AU"/>
              </w:rPr>
              <w:t xml:space="preserve"> (</w:t>
            </w:r>
            <w:proofErr w:type="spellStart"/>
            <w:r w:rsidR="001135FE">
              <w:rPr>
                <w:rFonts w:asciiTheme="majorHAnsi" w:hAnsiTheme="majorHAnsi" w:cstheme="majorHAnsi"/>
                <w:color w:val="000000"/>
                <w:lang w:eastAsia="en-AU"/>
              </w:rPr>
              <w:t>AoU</w:t>
            </w:r>
            <w:proofErr w:type="spellEnd"/>
            <w:r w:rsidR="001135FE">
              <w:rPr>
                <w:rFonts w:asciiTheme="majorHAnsi" w:hAnsiTheme="majorHAnsi" w:cstheme="majorHAnsi"/>
                <w:color w:val="000000"/>
                <w:lang w:eastAsia="en-AU"/>
              </w:rPr>
              <w:t>)</w:t>
            </w:r>
          </w:p>
        </w:tc>
        <w:tc>
          <w:tcPr>
            <w:tcW w:w="731" w:type="pct"/>
            <w:tcBorders>
              <w:top w:val="nil"/>
              <w:left w:val="nil"/>
              <w:bottom w:val="single" w:sz="8" w:space="0" w:color="000000"/>
              <w:right w:val="single" w:sz="8" w:space="0" w:color="000000"/>
            </w:tcBorders>
          </w:tcPr>
          <w:p w14:paraId="7964ADCA"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789</w:t>
            </w:r>
          </w:p>
        </w:tc>
      </w:tr>
      <w:tr w:rsidR="00E96691" w:rsidRPr="00E96691" w14:paraId="78212A5D"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CA4B4D4"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Home Medicines Reviews (HMRs)</w:t>
            </w:r>
          </w:p>
        </w:tc>
        <w:tc>
          <w:tcPr>
            <w:tcW w:w="731" w:type="pct"/>
            <w:tcBorders>
              <w:top w:val="nil"/>
              <w:left w:val="nil"/>
              <w:bottom w:val="single" w:sz="8" w:space="0" w:color="000000"/>
              <w:right w:val="single" w:sz="8" w:space="0" w:color="000000"/>
            </w:tcBorders>
            <w:hideMark/>
          </w:tcPr>
          <w:p w14:paraId="75B9E8B4"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639</w:t>
            </w:r>
          </w:p>
        </w:tc>
      </w:tr>
      <w:tr w:rsidR="00E96691" w:rsidRPr="00E96691" w14:paraId="4A3A6E79"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B631E0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Non-HMRs</w:t>
            </w:r>
          </w:p>
        </w:tc>
        <w:tc>
          <w:tcPr>
            <w:tcW w:w="731" w:type="pct"/>
            <w:tcBorders>
              <w:top w:val="nil"/>
              <w:left w:val="nil"/>
              <w:bottom w:val="single" w:sz="8" w:space="0" w:color="000000"/>
              <w:right w:val="single" w:sz="8" w:space="0" w:color="000000"/>
            </w:tcBorders>
            <w:hideMark/>
          </w:tcPr>
          <w:p w14:paraId="1484EB10"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757</w:t>
            </w:r>
          </w:p>
        </w:tc>
      </w:tr>
      <w:tr w:rsidR="00E96691" w:rsidRPr="00E96691" w14:paraId="643C5A7B"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3EACF17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Follow-up to a HMR or Non-HMR</w:t>
            </w:r>
          </w:p>
        </w:tc>
        <w:tc>
          <w:tcPr>
            <w:tcW w:w="731" w:type="pct"/>
            <w:tcBorders>
              <w:top w:val="nil"/>
              <w:left w:val="nil"/>
              <w:bottom w:val="single" w:sz="8" w:space="0" w:color="000000"/>
              <w:right w:val="single" w:sz="8" w:space="0" w:color="000000"/>
            </w:tcBorders>
            <w:hideMark/>
          </w:tcPr>
          <w:p w14:paraId="0BB9714D"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1,548</w:t>
            </w:r>
          </w:p>
        </w:tc>
      </w:tr>
      <w:tr w:rsidR="00E96691" w:rsidRPr="00E96691" w14:paraId="68189350"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7A6813C5" w14:textId="5CC63521"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Team Based Collaboration (1,082 related </w:t>
            </w:r>
            <w:r w:rsidR="001135FE">
              <w:rPr>
                <w:rFonts w:asciiTheme="majorHAnsi" w:hAnsiTheme="majorHAnsi" w:cstheme="majorHAnsi"/>
                <w:color w:val="000000"/>
                <w:lang w:eastAsia="en-AU"/>
              </w:rPr>
              <w:t xml:space="preserve">directly </w:t>
            </w:r>
            <w:r w:rsidRPr="009402E0">
              <w:rPr>
                <w:rFonts w:asciiTheme="majorHAnsi" w:hAnsiTheme="majorHAnsi" w:cstheme="majorHAnsi"/>
                <w:color w:val="000000"/>
                <w:lang w:eastAsia="en-AU"/>
              </w:rPr>
              <w:t>to IPAC participants)</w:t>
            </w:r>
          </w:p>
        </w:tc>
        <w:tc>
          <w:tcPr>
            <w:tcW w:w="731" w:type="pct"/>
            <w:tcBorders>
              <w:top w:val="nil"/>
              <w:left w:val="nil"/>
              <w:bottom w:val="single" w:sz="8" w:space="0" w:color="000000"/>
              <w:right w:val="single" w:sz="8" w:space="0" w:color="000000"/>
            </w:tcBorders>
            <w:hideMark/>
          </w:tcPr>
          <w:p w14:paraId="05CB6CC6"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3,165</w:t>
            </w:r>
          </w:p>
        </w:tc>
      </w:tr>
      <w:tr w:rsidR="00E96691" w:rsidRPr="00E96691" w14:paraId="2A97AEBC"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1D8446C"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Medicines Information</w:t>
            </w:r>
          </w:p>
        </w:tc>
        <w:tc>
          <w:tcPr>
            <w:tcW w:w="731" w:type="pct"/>
            <w:tcBorders>
              <w:top w:val="nil"/>
              <w:left w:val="nil"/>
              <w:bottom w:val="single" w:sz="8" w:space="0" w:color="000000"/>
              <w:right w:val="single" w:sz="8" w:space="0" w:color="000000"/>
            </w:tcBorders>
            <w:hideMark/>
          </w:tcPr>
          <w:p w14:paraId="30C5AD57"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1,715</w:t>
            </w:r>
          </w:p>
        </w:tc>
      </w:tr>
      <w:tr w:rsidR="00E96691" w:rsidRPr="00E96691" w14:paraId="04C5A4B9"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8172AC1"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Education </w:t>
            </w:r>
            <w:r w:rsidR="0087143D">
              <w:rPr>
                <w:rFonts w:asciiTheme="majorHAnsi" w:hAnsiTheme="majorHAnsi" w:cstheme="majorHAnsi"/>
                <w:color w:val="000000"/>
                <w:lang w:eastAsia="en-AU"/>
              </w:rPr>
              <w:t>and</w:t>
            </w:r>
            <w:r w:rsidRPr="009402E0">
              <w:rPr>
                <w:rFonts w:asciiTheme="majorHAnsi" w:hAnsiTheme="majorHAnsi" w:cstheme="majorHAnsi"/>
                <w:color w:val="000000"/>
                <w:lang w:eastAsia="en-AU"/>
              </w:rPr>
              <w:t xml:space="preserve"> Training</w:t>
            </w:r>
          </w:p>
        </w:tc>
        <w:tc>
          <w:tcPr>
            <w:tcW w:w="731" w:type="pct"/>
            <w:tcBorders>
              <w:top w:val="nil"/>
              <w:left w:val="nil"/>
              <w:bottom w:val="single" w:sz="8" w:space="0" w:color="000000"/>
              <w:right w:val="single" w:sz="8" w:space="0" w:color="000000"/>
            </w:tcBorders>
            <w:hideMark/>
          </w:tcPr>
          <w:p w14:paraId="4BCFFA64"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358</w:t>
            </w:r>
          </w:p>
        </w:tc>
      </w:tr>
      <w:tr w:rsidR="00E96691" w:rsidRPr="00E96691" w14:paraId="6125B31C"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D4D113E"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Drug </w:t>
            </w:r>
            <w:proofErr w:type="spellStart"/>
            <w:r w:rsidRPr="009402E0">
              <w:rPr>
                <w:rFonts w:asciiTheme="majorHAnsi" w:hAnsiTheme="majorHAnsi" w:cstheme="majorHAnsi"/>
                <w:color w:val="000000"/>
                <w:lang w:eastAsia="en-AU"/>
              </w:rPr>
              <w:t>Utilisation</w:t>
            </w:r>
            <w:proofErr w:type="spellEnd"/>
            <w:r w:rsidRPr="009402E0">
              <w:rPr>
                <w:rFonts w:asciiTheme="majorHAnsi" w:hAnsiTheme="majorHAnsi" w:cstheme="majorHAnsi"/>
                <w:color w:val="000000"/>
                <w:lang w:eastAsia="en-AU"/>
              </w:rPr>
              <w:t xml:space="preserve"> Reviews</w:t>
            </w:r>
          </w:p>
        </w:tc>
        <w:tc>
          <w:tcPr>
            <w:tcW w:w="731" w:type="pct"/>
            <w:tcBorders>
              <w:top w:val="nil"/>
              <w:left w:val="nil"/>
              <w:bottom w:val="single" w:sz="8" w:space="0" w:color="000000"/>
              <w:right w:val="single" w:sz="8" w:space="0" w:color="000000"/>
            </w:tcBorders>
            <w:hideMark/>
          </w:tcPr>
          <w:p w14:paraId="009B4EAB"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26</w:t>
            </w:r>
          </w:p>
        </w:tc>
      </w:tr>
      <w:tr w:rsidR="00E96691" w:rsidRPr="00E96691" w14:paraId="4217A9A1"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tcPr>
          <w:p w14:paraId="7E5533D4" w14:textId="77777777" w:rsidR="00E96691" w:rsidRPr="009402E0" w:rsidRDefault="00E96691" w:rsidP="00DA22EF">
            <w:pPr>
              <w:rPr>
                <w:rFonts w:asciiTheme="majorHAnsi" w:hAnsiTheme="majorHAnsi" w:cstheme="majorHAnsi"/>
                <w:color w:val="000000"/>
                <w:lang w:eastAsia="en-AU"/>
              </w:rPr>
            </w:pPr>
            <w:r w:rsidRPr="009402E0">
              <w:rPr>
                <w:rFonts w:asciiTheme="majorHAnsi" w:hAnsiTheme="majorHAnsi" w:cstheme="majorHAnsi"/>
                <w:color w:val="000000"/>
                <w:lang w:eastAsia="en-AU"/>
              </w:rPr>
              <w:t>Stakeholder Liaison Plans</w:t>
            </w:r>
          </w:p>
        </w:tc>
        <w:tc>
          <w:tcPr>
            <w:tcW w:w="731" w:type="pct"/>
            <w:tcBorders>
              <w:top w:val="nil"/>
              <w:left w:val="nil"/>
              <w:bottom w:val="single" w:sz="8" w:space="0" w:color="000000"/>
              <w:right w:val="single" w:sz="8" w:space="0" w:color="000000"/>
            </w:tcBorders>
          </w:tcPr>
          <w:p w14:paraId="25B23E95"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47</w:t>
            </w:r>
          </w:p>
        </w:tc>
      </w:tr>
      <w:tr w:rsidR="00E96691" w:rsidRPr="00E96691" w14:paraId="53824376"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0D3549D"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Stakeholder Liaison – Community Pharmacy Contact</w:t>
            </w:r>
          </w:p>
        </w:tc>
        <w:tc>
          <w:tcPr>
            <w:tcW w:w="731" w:type="pct"/>
            <w:tcBorders>
              <w:top w:val="nil"/>
              <w:left w:val="nil"/>
              <w:bottom w:val="single" w:sz="8" w:space="0" w:color="000000"/>
              <w:right w:val="single" w:sz="8" w:space="0" w:color="000000"/>
            </w:tcBorders>
            <w:hideMark/>
          </w:tcPr>
          <w:p w14:paraId="6661DDAE"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3,233</w:t>
            </w:r>
          </w:p>
        </w:tc>
      </w:tr>
      <w:tr w:rsidR="00E96691" w:rsidRPr="00E96691" w14:paraId="29058627" w14:textId="77777777" w:rsidTr="001135FE">
        <w:trPr>
          <w:trHeight w:val="57"/>
        </w:trPr>
        <w:tc>
          <w:tcPr>
            <w:tcW w:w="4269"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4762EB3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Transitional Care</w:t>
            </w:r>
          </w:p>
        </w:tc>
        <w:tc>
          <w:tcPr>
            <w:tcW w:w="731" w:type="pct"/>
            <w:tcBorders>
              <w:top w:val="nil"/>
              <w:left w:val="nil"/>
              <w:bottom w:val="single" w:sz="8" w:space="0" w:color="000000"/>
              <w:right w:val="single" w:sz="8" w:space="0" w:color="000000"/>
            </w:tcBorders>
            <w:hideMark/>
          </w:tcPr>
          <w:p w14:paraId="38E7A083"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1,901</w:t>
            </w:r>
          </w:p>
        </w:tc>
      </w:tr>
    </w:tbl>
    <w:p w14:paraId="53F8415C" w14:textId="0F13EF19" w:rsidR="00E96691" w:rsidRDefault="00C739F4" w:rsidP="00DA22EF">
      <w:pPr>
        <w:rPr>
          <w:rFonts w:asciiTheme="majorHAnsi" w:eastAsia="Times New Roman" w:hAnsiTheme="majorHAnsi" w:cstheme="majorHAnsi"/>
          <w:lang w:eastAsia="en-AU"/>
        </w:rPr>
      </w:pPr>
      <w:r>
        <w:rPr>
          <w:rFonts w:asciiTheme="majorHAnsi" w:eastAsia="Times New Roman" w:hAnsiTheme="majorHAnsi" w:cstheme="majorHAnsi"/>
          <w:lang w:eastAsia="en-AU"/>
        </w:rPr>
        <w:t xml:space="preserve">NMARS=NACCHO Medication Adherence </w:t>
      </w:r>
      <w:r w:rsidR="00CD7DA9">
        <w:rPr>
          <w:rFonts w:asciiTheme="majorHAnsi" w:eastAsia="Times New Roman" w:hAnsiTheme="majorHAnsi" w:cstheme="majorHAnsi"/>
          <w:lang w:eastAsia="en-AU"/>
        </w:rPr>
        <w:t xml:space="preserve">Readiness </w:t>
      </w:r>
      <w:r>
        <w:rPr>
          <w:rFonts w:asciiTheme="majorHAnsi" w:eastAsia="Times New Roman" w:hAnsiTheme="majorHAnsi" w:cstheme="majorHAnsi"/>
          <w:lang w:eastAsia="en-AU"/>
        </w:rPr>
        <w:t>Scale</w:t>
      </w:r>
    </w:p>
    <w:p w14:paraId="75F0534A" w14:textId="5BCB85FE" w:rsidR="00DA5D58" w:rsidRDefault="003B25D4" w:rsidP="0048683E">
      <w:pPr>
        <w:pStyle w:val="Heading3"/>
        <w:rPr>
          <w:lang w:eastAsia="en-AU"/>
        </w:rPr>
      </w:pPr>
      <w:bookmarkStart w:id="192" w:name="_Toc40350111"/>
      <w:bookmarkStart w:id="193" w:name="_Toc40441093"/>
      <w:bookmarkStart w:id="194" w:name="_Toc41315635"/>
      <w:bookmarkStart w:id="195" w:name="_Toc138846280"/>
      <w:r>
        <w:rPr>
          <w:lang w:eastAsia="en-AU"/>
        </w:rPr>
        <w:t xml:space="preserve">Practice-based </w:t>
      </w:r>
      <w:r w:rsidRPr="003D4461">
        <w:t>activity</w:t>
      </w:r>
      <w:bookmarkEnd w:id="192"/>
      <w:bookmarkEnd w:id="193"/>
      <w:bookmarkEnd w:id="194"/>
      <w:bookmarkEnd w:id="195"/>
    </w:p>
    <w:p w14:paraId="3E307ED8" w14:textId="66F84093" w:rsidR="00026F2B" w:rsidRDefault="00DA5D58" w:rsidP="005239D8">
      <w:pPr>
        <w:rPr>
          <w:rFonts w:asciiTheme="majorHAnsi" w:hAnsiTheme="majorHAnsi" w:cstheme="majorHAnsi"/>
          <w:lang w:eastAsia="en-AU"/>
        </w:rPr>
      </w:pPr>
      <w:r>
        <w:rPr>
          <w:lang w:eastAsia="en-AU"/>
        </w:rPr>
        <w:t xml:space="preserve">Extensive collaboration and communication with other healthcare providers was evident through team-based collaboration, transitional care for participants, the development and implementation of stakeholder liaison plans and extensive contact with community pharmacy. Integrated pharmacists were pivotal as a point of contact for stakeholders with whom services worked such as community pharmacists, and staff in local hospitals, </w:t>
      </w:r>
      <w:proofErr w:type="gramStart"/>
      <w:r>
        <w:rPr>
          <w:lang w:eastAsia="en-AU"/>
        </w:rPr>
        <w:t>rehabilitation</w:t>
      </w:r>
      <w:proofErr w:type="gramEnd"/>
      <w:r>
        <w:rPr>
          <w:lang w:eastAsia="en-AU"/>
        </w:rPr>
        <w:t xml:space="preserve"> and dialysis units. Pharmacists also provided medicines-related information, </w:t>
      </w:r>
      <w:proofErr w:type="gramStart"/>
      <w:r>
        <w:rPr>
          <w:lang w:eastAsia="en-AU"/>
        </w:rPr>
        <w:t>education</w:t>
      </w:r>
      <w:proofErr w:type="gramEnd"/>
      <w:r>
        <w:rPr>
          <w:lang w:eastAsia="en-AU"/>
        </w:rPr>
        <w:t xml:space="preserve"> and advice.  Drug </w:t>
      </w:r>
      <w:proofErr w:type="spellStart"/>
      <w:r>
        <w:rPr>
          <w:lang w:eastAsia="en-AU"/>
        </w:rPr>
        <w:t>utilisation</w:t>
      </w:r>
      <w:proofErr w:type="spellEnd"/>
      <w:r>
        <w:rPr>
          <w:lang w:eastAsia="en-AU"/>
        </w:rPr>
        <w:t xml:space="preserve"> reviews and medication management reviews facilitated improvements in prescribing quality and other supports for participants.  Analysis of these activities in t</w:t>
      </w:r>
      <w:r>
        <w:t xml:space="preserve">he IPAC project provided evidence that delivery of non-dispensing pharmacist services was feasible within ACCHS </w:t>
      </w:r>
      <w:r w:rsidR="00026F2B">
        <w:t>settings and</w:t>
      </w:r>
      <w:r>
        <w:t xml:space="preserve"> contributed to the integration between the pharmacist and other health care staff, as </w:t>
      </w:r>
      <w:r>
        <w:lastRenderedPageBreak/>
        <w:t xml:space="preserve">well as enhancing communication and collaboration with community pharmacy and other stakeholders.  </w:t>
      </w:r>
      <w:r w:rsidR="00026F2B" w:rsidRPr="009402E0">
        <w:rPr>
          <w:rFonts w:asciiTheme="majorHAnsi" w:hAnsiTheme="majorHAnsi" w:cstheme="majorHAnsi"/>
          <w:lang w:eastAsia="en-AU"/>
        </w:rPr>
        <w:t xml:space="preserve">These activities contributed to other outcomes achieved in the project (outlined below). </w:t>
      </w:r>
    </w:p>
    <w:p w14:paraId="4CEB75FF"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9A5914">
        <w:t>For further details:</w:t>
      </w:r>
    </w:p>
    <w:p w14:paraId="001A9F31"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3E730E">
        <w:t>Appendix 16:</w:t>
      </w:r>
      <w:r>
        <w:t xml:space="preserve"> </w:t>
      </w:r>
      <w:r w:rsidRPr="009A5914">
        <w:t xml:space="preserve">Smith D, </w:t>
      </w:r>
      <w:proofErr w:type="spellStart"/>
      <w:r w:rsidRPr="009A5914">
        <w:t>Couzos</w:t>
      </w:r>
      <w:proofErr w:type="spellEnd"/>
      <w:r w:rsidRPr="009A5914">
        <w:t xml:space="preserve"> S, Biros E. Integrated pharmacists within ACCHSs: support for practice-based activities in the IPAC project. Final report to the Pharmaceutical Society of Australia for the IPAC Project, April 2020.</w:t>
      </w:r>
    </w:p>
    <w:p w14:paraId="194646E0" w14:textId="4FB432A6" w:rsidR="009402E0" w:rsidRPr="009402E0" w:rsidRDefault="003B25D4" w:rsidP="0048683E">
      <w:pPr>
        <w:pStyle w:val="Heading3"/>
      </w:pPr>
      <w:bookmarkStart w:id="196" w:name="_Toc40350112"/>
      <w:bookmarkStart w:id="197" w:name="_Toc40441094"/>
      <w:bookmarkStart w:id="198" w:name="_Toc41315636"/>
      <w:bookmarkStart w:id="199" w:name="_Toc138846281"/>
      <w:r w:rsidRPr="009402E0">
        <w:t>Clinical endpoints</w:t>
      </w:r>
      <w:r>
        <w:t xml:space="preserve"> analysis</w:t>
      </w:r>
      <w:bookmarkEnd w:id="196"/>
      <w:bookmarkEnd w:id="197"/>
      <w:bookmarkEnd w:id="198"/>
      <w:bookmarkEnd w:id="199"/>
    </w:p>
    <w:p w14:paraId="3819AD02" w14:textId="29A883FA" w:rsidR="009402E0" w:rsidRPr="009402E0" w:rsidRDefault="009402E0" w:rsidP="00DA22EF">
      <w:pPr>
        <w:rPr>
          <w:rFonts w:asciiTheme="majorHAnsi" w:hAnsiTheme="majorHAnsi" w:cstheme="majorHAnsi"/>
        </w:rPr>
      </w:pPr>
      <w:r w:rsidRPr="009402E0">
        <w:rPr>
          <w:rFonts w:asciiTheme="majorHAnsi" w:hAnsiTheme="majorHAnsi" w:cstheme="majorHAnsi"/>
        </w:rPr>
        <w:t xml:space="preserve">Integrated pharmacists embedded into usual care in ACCHSs </w:t>
      </w:r>
      <w:r w:rsidR="00C8359D">
        <w:rPr>
          <w:rFonts w:asciiTheme="majorHAnsi" w:hAnsiTheme="majorHAnsi" w:cstheme="majorHAnsi"/>
        </w:rPr>
        <w:t xml:space="preserve">provided clinically </w:t>
      </w:r>
      <w:r w:rsidR="00C97ACD">
        <w:rPr>
          <w:rFonts w:asciiTheme="majorHAnsi" w:hAnsiTheme="majorHAnsi" w:cstheme="majorHAnsi"/>
        </w:rPr>
        <w:t xml:space="preserve">and statistically </w:t>
      </w:r>
      <w:r w:rsidRPr="009402E0">
        <w:rPr>
          <w:rFonts w:asciiTheme="majorHAnsi" w:hAnsiTheme="majorHAnsi" w:cstheme="majorHAnsi"/>
        </w:rPr>
        <w:t xml:space="preserve">significant </w:t>
      </w:r>
      <w:r w:rsidR="00C8359D" w:rsidRPr="009402E0">
        <w:rPr>
          <w:rFonts w:asciiTheme="majorHAnsi" w:hAnsiTheme="majorHAnsi" w:cstheme="majorHAnsi"/>
        </w:rPr>
        <w:t>improve</w:t>
      </w:r>
      <w:r w:rsidR="00C8359D">
        <w:rPr>
          <w:rFonts w:asciiTheme="majorHAnsi" w:hAnsiTheme="majorHAnsi" w:cstheme="majorHAnsi"/>
        </w:rPr>
        <w:t>ment</w:t>
      </w:r>
      <w:r w:rsidR="00C97ACD">
        <w:rPr>
          <w:rFonts w:asciiTheme="majorHAnsi" w:hAnsiTheme="majorHAnsi" w:cstheme="majorHAnsi"/>
        </w:rPr>
        <w:t>s in</w:t>
      </w:r>
      <w:r w:rsidR="00C8359D" w:rsidRPr="009402E0">
        <w:rPr>
          <w:rFonts w:asciiTheme="majorHAnsi" w:hAnsiTheme="majorHAnsi" w:cstheme="majorHAnsi"/>
        </w:rPr>
        <w:t xml:space="preserve"> </w:t>
      </w:r>
      <w:r w:rsidRPr="009402E0">
        <w:rPr>
          <w:rFonts w:asciiTheme="majorHAnsi" w:hAnsiTheme="majorHAnsi" w:cstheme="majorHAnsi"/>
        </w:rPr>
        <w:t xml:space="preserve">the control of cardiovascular disease (CVD) risk factors, </w:t>
      </w:r>
      <w:proofErr w:type="spellStart"/>
      <w:r w:rsidRPr="009402E0">
        <w:rPr>
          <w:rFonts w:asciiTheme="majorHAnsi" w:hAnsiTheme="majorHAnsi" w:cstheme="majorHAnsi"/>
        </w:rPr>
        <w:t>glycaemic</w:t>
      </w:r>
      <w:proofErr w:type="spellEnd"/>
      <w:r w:rsidRPr="009402E0">
        <w:rPr>
          <w:rFonts w:asciiTheme="majorHAnsi" w:hAnsiTheme="majorHAnsi" w:cstheme="majorHAnsi"/>
        </w:rPr>
        <w:t xml:space="preserve"> control in </w:t>
      </w:r>
      <w:r w:rsidR="007D6C24">
        <w:rPr>
          <w:rFonts w:eastAsia="Times New Roman" w:cstheme="minorHAnsi"/>
          <w:color w:val="000000"/>
          <w:lang w:eastAsia="en-AU"/>
        </w:rPr>
        <w:t>participants</w:t>
      </w:r>
      <w:r w:rsidR="007D6C24" w:rsidRPr="009402E0">
        <w:rPr>
          <w:rFonts w:asciiTheme="majorHAnsi" w:hAnsiTheme="majorHAnsi" w:cstheme="majorHAnsi"/>
        </w:rPr>
        <w:t xml:space="preserve"> </w:t>
      </w:r>
      <w:r w:rsidRPr="009402E0">
        <w:rPr>
          <w:rFonts w:asciiTheme="majorHAnsi" w:hAnsiTheme="majorHAnsi" w:cstheme="majorHAnsi"/>
        </w:rPr>
        <w:t>with T2DM, and reduce</w:t>
      </w:r>
      <w:r w:rsidR="00C44DCA">
        <w:rPr>
          <w:rFonts w:asciiTheme="majorHAnsi" w:hAnsiTheme="majorHAnsi" w:cstheme="majorHAnsi"/>
        </w:rPr>
        <w:t>d</w:t>
      </w:r>
      <w:r w:rsidRPr="009402E0">
        <w:rPr>
          <w:rFonts w:asciiTheme="majorHAnsi" w:hAnsiTheme="majorHAnsi" w:cstheme="majorHAnsi"/>
        </w:rPr>
        <w:t xml:space="preserve"> absolute CVD risk in Aboriginal and Torres Strait islander adults with chronic disease.</w:t>
      </w:r>
      <w:r w:rsidRPr="009402E0">
        <w:rPr>
          <w:rStyle w:val="EndnoteReference"/>
          <w:rFonts w:asciiTheme="majorHAnsi" w:hAnsiTheme="majorHAnsi" w:cstheme="majorHAnsi"/>
        </w:rPr>
        <w:endnoteReference w:id="38"/>
      </w:r>
      <w:r w:rsidRPr="009402E0">
        <w:rPr>
          <w:rFonts w:asciiTheme="majorHAnsi" w:hAnsiTheme="majorHAnsi" w:cstheme="majorHAnsi"/>
        </w:rPr>
        <w:t xml:space="preserve">  Analysis of </w:t>
      </w:r>
      <w:r w:rsidR="001C1568">
        <w:rPr>
          <w:rFonts w:asciiTheme="majorHAnsi" w:hAnsiTheme="majorHAnsi" w:cstheme="majorHAnsi"/>
        </w:rPr>
        <w:t xml:space="preserve">1,456 participants with </w:t>
      </w:r>
      <w:r w:rsidR="0087143D">
        <w:rPr>
          <w:rFonts w:asciiTheme="majorHAnsi" w:hAnsiTheme="majorHAnsi" w:cstheme="majorHAnsi"/>
        </w:rPr>
        <w:t xml:space="preserve">pre and post </w:t>
      </w:r>
      <w:r w:rsidRPr="009402E0">
        <w:rPr>
          <w:rFonts w:asciiTheme="majorHAnsi" w:hAnsiTheme="majorHAnsi" w:cstheme="majorHAnsi"/>
        </w:rPr>
        <w:t>data found:</w:t>
      </w:r>
    </w:p>
    <w:p w14:paraId="4C0EF0F4" w14:textId="77777777" w:rsidR="001C1568" w:rsidRPr="001C1568" w:rsidRDefault="001C1568" w:rsidP="005239D8">
      <w:pPr>
        <w:pStyle w:val="ListBullet"/>
      </w:pPr>
      <w:r>
        <w:t>M</w:t>
      </w:r>
      <w:r w:rsidRPr="001C1568">
        <w:t>ean age of participants ranged from 57- 58 years, most (91-94%) were Aboriginal and/or Torres Strait Islander, 65 to 76% attended health services located in inner and outer regional locations, 59% to 75.4% had T2DM, and 87.5% to 90.2% had co-morbidity</w:t>
      </w:r>
      <w:r>
        <w:t>.</w:t>
      </w:r>
    </w:p>
    <w:p w14:paraId="743EA890" w14:textId="1A6E9E0D" w:rsidR="009402E0" w:rsidRPr="009402E0" w:rsidRDefault="00FC67B5" w:rsidP="005239D8">
      <w:pPr>
        <w:pStyle w:val="ListBullet"/>
      </w:pPr>
      <w:r w:rsidRPr="00CD7DA9">
        <w:t>Statistically s</w:t>
      </w:r>
      <w:r w:rsidR="009402E0" w:rsidRPr="009402E0">
        <w:t xml:space="preserve">ignificant improvement in HbA1c results in participants with T2DM, with a 2.8 mmol/mol or 0.3% (unit) reduction (p=0.001, 95% CI -0.4% to -0.1%). </w:t>
      </w:r>
    </w:p>
    <w:p w14:paraId="22D59A0B" w14:textId="77777777" w:rsidR="009402E0" w:rsidRPr="009402E0" w:rsidRDefault="009402E0" w:rsidP="005239D8">
      <w:pPr>
        <w:pStyle w:val="ListBullet"/>
      </w:pPr>
      <w:r w:rsidRPr="009402E0">
        <w:t xml:space="preserve">Reductions in diastolic blood pressure (-0.8mmHg, p=0.008), total cholesterol (-0.15 mmol/L, p&lt;0.001), LDL-C (-0.08 mmol/L, p=0.001), and triglyceride levels (-0.11 mmol/L, p=0.006) were significant for all participants.  </w:t>
      </w:r>
    </w:p>
    <w:p w14:paraId="77836A0A" w14:textId="77777777" w:rsidR="009402E0" w:rsidRPr="009402E0" w:rsidRDefault="009402E0" w:rsidP="005239D8">
      <w:pPr>
        <w:pStyle w:val="ListBullet"/>
      </w:pPr>
      <w:r w:rsidRPr="009402E0">
        <w:t xml:space="preserve">Mean calculated absolute 5-year CVD risk was significantly reduced by 1% (95% CI: -1.8% to -0.12%, p=0.027). </w:t>
      </w:r>
    </w:p>
    <w:p w14:paraId="5A9FBFE5" w14:textId="61B8B4B9" w:rsidR="00F74BC9" w:rsidRPr="00F74BC9" w:rsidRDefault="009402E0" w:rsidP="005239D8">
      <w:pPr>
        <w:pStyle w:val="ListBullet"/>
      </w:pPr>
      <w:r w:rsidRPr="00F74BC9">
        <w:t>Mean annual estimated glomerular filtration rate (eGFR) significantly improved with an increase of 1.9mL/min/1.73m</w:t>
      </w:r>
      <w:r w:rsidRPr="00CD3717">
        <w:rPr>
          <w:vertAlign w:val="superscript"/>
        </w:rPr>
        <w:t>2</w:t>
      </w:r>
      <w:r w:rsidRPr="00F74BC9">
        <w:t xml:space="preserve"> (95%</w:t>
      </w:r>
      <w:r w:rsidR="00CD7DA9" w:rsidRPr="00F74BC9">
        <w:t xml:space="preserve"> CI: 0.1 to 3.7) from baseline</w:t>
      </w:r>
      <w:r w:rsidR="00CD3717">
        <w:t>, which is a significant slowing of eGFR decline</w:t>
      </w:r>
      <w:r w:rsidR="00AC1D2C">
        <w:t xml:space="preserve"> (p&lt;0.001)</w:t>
      </w:r>
      <w:r w:rsidR="00CD7DA9" w:rsidRPr="00F74BC9">
        <w:t>.</w:t>
      </w:r>
      <w:r w:rsidRPr="00F74BC9">
        <w:t xml:space="preserve"> </w:t>
      </w:r>
      <w:r w:rsidR="00CD7DA9" w:rsidRPr="00F74BC9">
        <w:t>When participants with less than 6-months of follow-up were excluded, the mean annual eGFR decline was -0.2ml/min/1.73m</w:t>
      </w:r>
      <w:r w:rsidR="00CD7DA9" w:rsidRPr="00CD3717">
        <w:rPr>
          <w:vertAlign w:val="superscript"/>
        </w:rPr>
        <w:t>2</w:t>
      </w:r>
      <w:r w:rsidR="00CD7DA9" w:rsidRPr="00F74BC9">
        <w:t xml:space="preserve"> (95% </w:t>
      </w:r>
      <w:proofErr w:type="gramStart"/>
      <w:r w:rsidR="00CD7DA9" w:rsidRPr="00F74BC9">
        <w:t>CI:-</w:t>
      </w:r>
      <w:proofErr w:type="gramEnd"/>
      <w:r w:rsidR="00CD7DA9" w:rsidRPr="00F74BC9">
        <w:t xml:space="preserve">2.99 to 2.7), significantly </w:t>
      </w:r>
      <w:r w:rsidR="00CD3717">
        <w:t xml:space="preserve">slower </w:t>
      </w:r>
      <w:r w:rsidR="00CD7DA9" w:rsidRPr="00F74BC9">
        <w:t xml:space="preserve">than the predicted </w:t>
      </w:r>
      <w:r w:rsidR="00CD3717">
        <w:t xml:space="preserve">and expected annual </w:t>
      </w:r>
      <w:r w:rsidR="00CD7DA9" w:rsidRPr="00F74BC9">
        <w:t>decline of -3</w:t>
      </w:r>
      <w:r w:rsidR="00996BDB" w:rsidRPr="00996BDB">
        <w:t>ml/min/1.73m</w:t>
      </w:r>
      <w:r w:rsidR="00996BDB" w:rsidRPr="00996BDB">
        <w:rPr>
          <w:vertAlign w:val="superscript"/>
        </w:rPr>
        <w:t>2</w:t>
      </w:r>
      <w:r w:rsidR="00CD7DA9" w:rsidRPr="00F74BC9">
        <w:t xml:space="preserve"> (p=0.034, n=720)</w:t>
      </w:r>
      <w:r w:rsidR="00CD3717">
        <w:t xml:space="preserve"> in the Aboriginal and Torres Strait Islander population</w:t>
      </w:r>
      <w:r w:rsidR="00CD7DA9" w:rsidRPr="00F74BC9">
        <w:t xml:space="preserve">. </w:t>
      </w:r>
    </w:p>
    <w:p w14:paraId="00983354" w14:textId="4EF9A79B" w:rsidR="00F74BC9" w:rsidRPr="00F74BC9" w:rsidRDefault="00F74BC9" w:rsidP="005239D8">
      <w:pPr>
        <w:pStyle w:val="ListBullet"/>
      </w:pPr>
      <w:r w:rsidRPr="00F74BC9">
        <w:t>SBP significantly improved for younger participants (&lt;57 years, -1.8 mmHg, SD: 12.5, p=0.004).</w:t>
      </w:r>
    </w:p>
    <w:p w14:paraId="135D149D" w14:textId="75AB726E" w:rsidR="00817CCB" w:rsidRDefault="00817CCB" w:rsidP="00817CCB">
      <w:pPr>
        <w:rPr>
          <w:rFonts w:cs="Calibri"/>
        </w:rPr>
      </w:pPr>
      <w:r w:rsidRPr="00BE3076">
        <w:t>The</w:t>
      </w:r>
      <w:r>
        <w:t xml:space="preserve"> observed net</w:t>
      </w:r>
      <w:r w:rsidRPr="00BE3076">
        <w:t xml:space="preserve"> improvements in </w:t>
      </w:r>
      <w:r>
        <w:t>biomedical outcomes</w:t>
      </w:r>
      <w:r w:rsidRPr="00BE3076">
        <w:t xml:space="preserve"> are clinically meaningful at a population level.</w:t>
      </w:r>
      <w:r>
        <w:t xml:space="preserve"> </w:t>
      </w:r>
      <w:r>
        <w:rPr>
          <w:rFonts w:cstheme="minorHAnsi"/>
        </w:rPr>
        <w:t xml:space="preserve">Even a modest HbA1c drop may translate to a reduction in micro and macrovascular complications in people with T2DM if sustained population wide. According to the UK Prospective Diabetes Study (UKPDS) </w:t>
      </w:r>
      <w:r>
        <w:rPr>
          <w:rFonts w:cstheme="minorHAnsi"/>
          <w:i/>
          <w:iCs/>
        </w:rPr>
        <w:t>any improvement</w:t>
      </w:r>
      <w:r>
        <w:rPr>
          <w:rFonts w:cstheme="minorHAnsi"/>
        </w:rPr>
        <w:t xml:space="preserve"> in HbA1c in those with T2DM reduced the risk of diabetes complications, with little evidence of a threshold of effect.</w:t>
      </w:r>
      <w:r>
        <w:rPr>
          <w:rStyle w:val="Hyperlink"/>
          <w:rFonts w:cstheme="minorHAnsi"/>
        </w:rPr>
        <w:t xml:space="preserve"> </w:t>
      </w:r>
      <w:r>
        <w:rPr>
          <w:rStyle w:val="EndnoteReference"/>
          <w:rFonts w:cstheme="minorHAnsi"/>
        </w:rPr>
        <w:endnoteReference w:id="39"/>
      </w:r>
      <w:r>
        <w:rPr>
          <w:rFonts w:cs="Calibri"/>
        </w:rPr>
        <w:t xml:space="preserve"> </w:t>
      </w:r>
      <w:r w:rsidRPr="00BE3076">
        <w:rPr>
          <w:rFonts w:cs="Calibri"/>
        </w:rPr>
        <w:t>Moreover, t</w:t>
      </w:r>
      <w:r w:rsidRPr="00BE3076">
        <w:t xml:space="preserve">he observed net improvement in </w:t>
      </w:r>
      <w:proofErr w:type="spellStart"/>
      <w:r w:rsidRPr="00BE3076">
        <w:t>glycaemic</w:t>
      </w:r>
      <w:proofErr w:type="spellEnd"/>
      <w:r w:rsidRPr="00BE3076">
        <w:t xml:space="preserve"> control of participants with T2DM from baseline values </w:t>
      </w:r>
      <w:r>
        <w:t>was</w:t>
      </w:r>
      <w:r w:rsidRPr="00BE3076">
        <w:t xml:space="preserve"> </w:t>
      </w:r>
      <w:r w:rsidRPr="00BE3076">
        <w:rPr>
          <w:rFonts w:cstheme="minorHAnsi"/>
        </w:rPr>
        <w:t>consistent with the -0.18% to -2.1% HbA1c decrease (differenc</w:t>
      </w:r>
      <w:r>
        <w:rPr>
          <w:rFonts w:cstheme="minorHAnsi"/>
        </w:rPr>
        <w:t>e between intervention and control groups) observed over a mean of 9.4 months in 24 of 26 other studies that investigated pharmacist interventions in patients with T2DM.</w:t>
      </w:r>
      <w:r>
        <w:rPr>
          <w:rStyle w:val="EndnoteReference"/>
          <w:rFonts w:cstheme="minorHAnsi"/>
        </w:rPr>
        <w:endnoteReference w:id="40"/>
      </w:r>
      <w:r>
        <w:rPr>
          <w:rFonts w:cstheme="minorHAnsi"/>
        </w:rPr>
        <w:t xml:space="preserve">  </w:t>
      </w:r>
    </w:p>
    <w:p w14:paraId="2FEF1711" w14:textId="77777777" w:rsidR="00817CCB" w:rsidRDefault="00817CCB" w:rsidP="00817CCB">
      <w:pPr>
        <w:rPr>
          <w:rFonts w:cstheme="minorHAnsi"/>
        </w:rPr>
      </w:pPr>
      <w:r>
        <w:rPr>
          <w:rFonts w:cstheme="minorHAnsi"/>
        </w:rPr>
        <w:t xml:space="preserve">The small but significant average DBP and SBP reductions shown for IPAC participants may also attenuate the incidence of CVD events for Aboriginal and Torres Strait islander peoples if such reductions were population-wide, particularly for those with chronic disease. The net BP reduction was observed for the IPAC </w:t>
      </w:r>
      <w:proofErr w:type="gramStart"/>
      <w:r>
        <w:rPr>
          <w:rFonts w:cstheme="minorHAnsi"/>
        </w:rPr>
        <w:t>cohort as a whole, irrespective</w:t>
      </w:r>
      <w:proofErr w:type="gramEnd"/>
      <w:r>
        <w:rPr>
          <w:rFonts w:cstheme="minorHAnsi"/>
        </w:rPr>
        <w:t xml:space="preserve"> of whether participants had a clinical diagnosis of hypertension. Population-wide BP reduction strategies are recommended for the primary prevention of CVD events because the benefits that accrue from BP reduction are not just limited to those with hypertension.</w:t>
      </w:r>
      <w:r>
        <w:rPr>
          <w:rStyle w:val="EndnoteReference"/>
          <w:rFonts w:cstheme="minorHAnsi"/>
        </w:rPr>
        <w:endnoteReference w:id="41"/>
      </w:r>
      <w:r>
        <w:rPr>
          <w:rFonts w:cstheme="minorHAnsi"/>
        </w:rPr>
        <w:t xml:space="preserve">  A population-wide reduction in DBP of a mere 2mmHg has been estimated to reduce the prevalence of hypertension and CHD risk by 17% </w:t>
      </w:r>
      <w:r>
        <w:rPr>
          <w:rFonts w:cstheme="minorHAnsi"/>
        </w:rPr>
        <w:lastRenderedPageBreak/>
        <w:t>and 6% respectively, and combined with BP reductions in those needing medical treatment, could double or triple the impact of medical treatment alone.</w:t>
      </w:r>
      <w:r>
        <w:rPr>
          <w:rStyle w:val="EndnoteReference"/>
          <w:rFonts w:cstheme="minorHAnsi"/>
        </w:rPr>
        <w:endnoteReference w:id="42"/>
      </w:r>
      <w:r>
        <w:rPr>
          <w:rFonts w:cstheme="minorHAnsi"/>
        </w:rPr>
        <w:t xml:space="preserve"> A mere 1 mmHg reduction in SBP may substantially reduce heart failure (with 20 fewer cases for every 100,000 African-Americans per year), as well as CHD, and stroke incidence.</w:t>
      </w:r>
      <w:r>
        <w:rPr>
          <w:rStyle w:val="EndnoteReference"/>
          <w:rFonts w:cstheme="minorHAnsi"/>
        </w:rPr>
        <w:endnoteReference w:id="43"/>
      </w:r>
      <w:r>
        <w:rPr>
          <w:rFonts w:cstheme="minorHAnsi"/>
        </w:rPr>
        <w:t xml:space="preserve"> </w:t>
      </w:r>
    </w:p>
    <w:p w14:paraId="03AF3F7B" w14:textId="77777777" w:rsidR="00817CCB" w:rsidRDefault="00817CCB" w:rsidP="00817CCB">
      <w:pPr>
        <w:rPr>
          <w:rFonts w:cs="Calibri"/>
        </w:rPr>
      </w:pPr>
      <w:r>
        <w:rPr>
          <w:rFonts w:cstheme="minorHAnsi"/>
        </w:rPr>
        <w:t>Any population-wide reduction in LDL-C, even if small in magnitude such as demonstrated in the IPAC study, may also have broader benefits in reducing major CVD events for Aboriginal and Torres Strait Islander peoples. For example, for those already on statins, reducing LDL-C levels by a further 0.51 mmol/l from the LDL-C at baseline over a year, can significantly reduce the residual risk for major CVD events by an additional 15% (on top of the existing 20% relative risk reduction per 1 mmol/L LDL-C reduction from statin therapy).</w:t>
      </w:r>
      <w:r>
        <w:rPr>
          <w:rStyle w:val="EndnoteReference"/>
          <w:rFonts w:cstheme="minorHAnsi"/>
        </w:rPr>
        <w:endnoteReference w:id="44"/>
      </w:r>
      <w:r>
        <w:rPr>
          <w:rFonts w:cstheme="minorHAnsi"/>
        </w:rPr>
        <w:t xml:space="preserve"> </w:t>
      </w:r>
      <w:r>
        <w:rPr>
          <w:rStyle w:val="EndnoteReference"/>
          <w:rFonts w:cstheme="minorHAnsi"/>
        </w:rPr>
        <w:endnoteReference w:id="45"/>
      </w:r>
      <w:r>
        <w:rPr>
          <w:rFonts w:cstheme="minorHAnsi"/>
        </w:rPr>
        <w:t xml:space="preserve"> </w:t>
      </w:r>
    </w:p>
    <w:p w14:paraId="50327DC7" w14:textId="35A07C59" w:rsidR="00CD3717" w:rsidRPr="00CD3717" w:rsidRDefault="00CD3717" w:rsidP="00CD3717">
      <w:pPr>
        <w:rPr>
          <w:rFonts w:asciiTheme="majorHAnsi" w:hAnsiTheme="majorHAnsi" w:cstheme="majorHAnsi"/>
        </w:rPr>
      </w:pPr>
      <w:r w:rsidRPr="00CD3717">
        <w:rPr>
          <w:rFonts w:asciiTheme="majorHAnsi" w:hAnsiTheme="majorHAnsi" w:cstheme="majorHAnsi"/>
        </w:rPr>
        <w:t xml:space="preserve">The progression of kidney disease significantly slowed as a result of the intervention for IPAC </w:t>
      </w:r>
      <w:proofErr w:type="gramStart"/>
      <w:r w:rsidRPr="00CD3717">
        <w:rPr>
          <w:rFonts w:asciiTheme="majorHAnsi" w:hAnsiTheme="majorHAnsi" w:cstheme="majorHAnsi"/>
        </w:rPr>
        <w:t>participants</w:t>
      </w:r>
      <w:proofErr w:type="gramEnd"/>
      <w:r w:rsidRPr="00CD3717">
        <w:rPr>
          <w:rFonts w:asciiTheme="majorHAnsi" w:hAnsiTheme="majorHAnsi" w:cstheme="majorHAnsi"/>
        </w:rPr>
        <w:t xml:space="preserve"> and this slowing may have delayed the onset of end-stage kidney disease (ESKD) and CVD events if the impact of the intervention was sustained. Moreover, </w:t>
      </w:r>
      <w:r w:rsidRPr="00CD3717">
        <w:rPr>
          <w:rFonts w:asciiTheme="majorHAnsi" w:eastAsia="MS Mincho" w:hAnsiTheme="majorHAnsi" w:cstheme="majorHAnsi"/>
          <w:color w:val="221F20"/>
          <w:lang w:val="en-GB"/>
        </w:rPr>
        <w:t xml:space="preserve">without intervention, IPAC participants were at risk of a much higher rate of eGFR decline per year than the selected expected rate because their characteristics more closely matched those in the </w:t>
      </w:r>
      <w:r w:rsidRPr="00CD3717">
        <w:rPr>
          <w:rFonts w:asciiTheme="majorHAnsi" w:hAnsiTheme="majorHAnsi" w:cstheme="majorHAnsi"/>
        </w:rPr>
        <w:t xml:space="preserve">eGFR </w:t>
      </w:r>
      <w:r>
        <w:rPr>
          <w:rFonts w:asciiTheme="majorHAnsi" w:hAnsiTheme="majorHAnsi" w:cstheme="majorHAnsi"/>
        </w:rPr>
        <w:t>F</w:t>
      </w:r>
      <w:r w:rsidRPr="00CD3717">
        <w:rPr>
          <w:rFonts w:asciiTheme="majorHAnsi" w:hAnsiTheme="majorHAnsi" w:cstheme="majorHAnsi"/>
        </w:rPr>
        <w:t>ollow-</w:t>
      </w:r>
      <w:r>
        <w:rPr>
          <w:rFonts w:asciiTheme="majorHAnsi" w:hAnsiTheme="majorHAnsi" w:cstheme="majorHAnsi"/>
        </w:rPr>
        <w:t>U</w:t>
      </w:r>
      <w:r w:rsidRPr="00CD3717">
        <w:rPr>
          <w:rFonts w:asciiTheme="majorHAnsi" w:hAnsiTheme="majorHAnsi" w:cstheme="majorHAnsi"/>
        </w:rPr>
        <w:t xml:space="preserve">p study </w:t>
      </w:r>
      <w:r w:rsidRPr="00CD3717">
        <w:rPr>
          <w:rFonts w:asciiTheme="majorHAnsi" w:eastAsia="MS Mincho" w:hAnsiTheme="majorHAnsi" w:cstheme="majorHAnsi"/>
          <w:color w:val="221F20"/>
          <w:lang w:val="en-GB"/>
        </w:rPr>
        <w:t>who had an annual eGFR decline of -5 ml/min/1.73m</w:t>
      </w:r>
      <w:r w:rsidRPr="00CD3717">
        <w:rPr>
          <w:rFonts w:asciiTheme="majorHAnsi" w:eastAsia="MS Mincho" w:hAnsiTheme="majorHAnsi" w:cstheme="majorHAnsi"/>
          <w:color w:val="221F20"/>
          <w:vertAlign w:val="superscript"/>
          <w:lang w:val="en-GB"/>
        </w:rPr>
        <w:t>2</w:t>
      </w:r>
      <w:r w:rsidRPr="00CD3717">
        <w:rPr>
          <w:rFonts w:asciiTheme="majorHAnsi" w:eastAsia="MS Mincho" w:hAnsiTheme="majorHAnsi" w:cstheme="majorHAnsi"/>
          <w:color w:val="221F20"/>
          <w:lang w:val="en-GB"/>
        </w:rPr>
        <w:t xml:space="preserve">. </w:t>
      </w:r>
      <w:r w:rsidRPr="00CD3717">
        <w:rPr>
          <w:rFonts w:asciiTheme="majorHAnsi" w:hAnsiTheme="majorHAnsi" w:cstheme="majorHAnsi"/>
        </w:rPr>
        <w:t xml:space="preserve"> In an analysis from the USA involving participants from mixed ethnic groups, a decline in eGFR of </w:t>
      </w:r>
      <w:r>
        <w:rPr>
          <w:rFonts w:asciiTheme="majorHAnsi" w:hAnsiTheme="majorHAnsi" w:cstheme="majorHAnsi"/>
        </w:rPr>
        <w:br/>
      </w:r>
      <w:r w:rsidRPr="00CD3717">
        <w:rPr>
          <w:rFonts w:asciiTheme="majorHAnsi" w:hAnsiTheme="majorHAnsi" w:cstheme="majorHAnsi"/>
        </w:rPr>
        <w:t>-5ml/min/1.73m</w:t>
      </w:r>
      <w:r w:rsidRPr="00CD3717">
        <w:rPr>
          <w:rFonts w:asciiTheme="majorHAnsi" w:hAnsiTheme="majorHAnsi" w:cstheme="majorHAnsi"/>
          <w:vertAlign w:val="superscript"/>
        </w:rPr>
        <w:t>2</w:t>
      </w:r>
      <w:r w:rsidRPr="00CD3717">
        <w:rPr>
          <w:rFonts w:asciiTheme="majorHAnsi" w:hAnsiTheme="majorHAnsi" w:cstheme="majorHAnsi"/>
        </w:rPr>
        <w:t xml:space="preserve"> over 2 years predicted a 1.5 and 1.2 times higher risk of ESKD and CVD events respectively.</w:t>
      </w:r>
      <w:r w:rsidRPr="00CD3717">
        <w:rPr>
          <w:rStyle w:val="EndnoteReference"/>
          <w:rFonts w:asciiTheme="majorHAnsi" w:hAnsiTheme="majorHAnsi" w:cstheme="majorHAnsi"/>
        </w:rPr>
        <w:endnoteReference w:id="46"/>
      </w:r>
      <w:r w:rsidRPr="00CD3717">
        <w:rPr>
          <w:rFonts w:asciiTheme="majorHAnsi" w:hAnsiTheme="majorHAnsi" w:cstheme="majorHAnsi"/>
        </w:rPr>
        <w:t xml:space="preserve"> The eGFR Follow-Up study involving Aboriginal Australians showed that those with a slower rate of kidney disease progression (a 5 ml/min/1.73m</w:t>
      </w:r>
      <w:r w:rsidRPr="00CD3717">
        <w:rPr>
          <w:rFonts w:asciiTheme="majorHAnsi" w:hAnsiTheme="majorHAnsi" w:cstheme="majorHAnsi"/>
          <w:vertAlign w:val="superscript"/>
        </w:rPr>
        <w:t>2</w:t>
      </w:r>
      <w:r w:rsidRPr="00CD3717">
        <w:rPr>
          <w:rFonts w:asciiTheme="majorHAnsi" w:hAnsiTheme="majorHAnsi" w:cstheme="majorHAnsi"/>
        </w:rPr>
        <w:t xml:space="preserve"> higher eGFR) had an 18% risk reduction (hazard ratio 95% confidence interval 0.75-0.91) in combined renal endpoints over a median of 3 years (adjusted for aged, sex, and ACR) that included death from renal causes, and initiation of renal replacement therapy.</w:t>
      </w:r>
      <w:r w:rsidRPr="00CD3717">
        <w:rPr>
          <w:rStyle w:val="EndnoteReference"/>
          <w:rFonts w:asciiTheme="majorHAnsi" w:hAnsiTheme="majorHAnsi" w:cstheme="majorHAnsi"/>
        </w:rPr>
        <w:endnoteReference w:id="47"/>
      </w:r>
    </w:p>
    <w:p w14:paraId="4FEACC51" w14:textId="6864D454" w:rsidR="00CD3717" w:rsidRPr="00CD3717" w:rsidRDefault="00CD3717" w:rsidP="00CD3717">
      <w:pPr>
        <w:rPr>
          <w:rFonts w:asciiTheme="majorHAnsi" w:eastAsia="MS Mincho" w:hAnsiTheme="majorHAnsi" w:cstheme="majorHAnsi"/>
          <w:color w:val="221F20"/>
          <w:lang w:val="en-GB"/>
        </w:rPr>
      </w:pPr>
      <w:r w:rsidRPr="00CD3717">
        <w:rPr>
          <w:rFonts w:asciiTheme="majorHAnsi" w:eastAsia="MS Mincho" w:hAnsiTheme="majorHAnsi" w:cstheme="majorHAnsi"/>
          <w:color w:val="221F20"/>
          <w:lang w:val="en-GB"/>
        </w:rPr>
        <w:t xml:space="preserve">The net biomedical improvements observed in the IPAC study most likely emanated from the observed targeted improvements to prescribing quality, participant medication adherence, and team-based care. </w:t>
      </w:r>
      <w:r w:rsidRPr="00CD3717">
        <w:rPr>
          <w:rFonts w:asciiTheme="majorHAnsi" w:hAnsiTheme="majorHAnsi" w:cstheme="majorHAnsi"/>
        </w:rPr>
        <w:t>Prescribing quality significantly improved following the IPAC intervention with reductions in inappropriate prescribing for BP lowering and diabetes medications,</w:t>
      </w:r>
      <w:r w:rsidRPr="00CD3717">
        <w:rPr>
          <w:rStyle w:val="EndnoteReference"/>
          <w:rFonts w:asciiTheme="majorHAnsi" w:hAnsiTheme="majorHAnsi" w:cstheme="majorHAnsi"/>
        </w:rPr>
        <w:endnoteReference w:id="48"/>
      </w:r>
      <w:r w:rsidRPr="00CD3717">
        <w:rPr>
          <w:rFonts w:asciiTheme="majorHAnsi" w:hAnsiTheme="majorHAnsi" w:cstheme="majorHAnsi"/>
        </w:rPr>
        <w:t xml:space="preserve"> a significant reduction in </w:t>
      </w:r>
      <w:proofErr w:type="spellStart"/>
      <w:r w:rsidRPr="00CD3717">
        <w:rPr>
          <w:rFonts w:asciiTheme="majorHAnsi" w:hAnsiTheme="majorHAnsi" w:cstheme="majorHAnsi"/>
        </w:rPr>
        <w:t>underprescribing</w:t>
      </w:r>
      <w:proofErr w:type="spellEnd"/>
      <w:r w:rsidRPr="00CD3717">
        <w:rPr>
          <w:rFonts w:asciiTheme="majorHAnsi" w:hAnsiTheme="majorHAnsi" w:cstheme="majorHAnsi"/>
        </w:rPr>
        <w:t xml:space="preserve"> of BP-lowering medications for those with T2DM and albuminuria,</w:t>
      </w:r>
      <w:r w:rsidRPr="00CD3717">
        <w:rPr>
          <w:rStyle w:val="EndnoteReference"/>
          <w:rFonts w:asciiTheme="majorHAnsi" w:hAnsiTheme="majorHAnsi" w:cstheme="majorHAnsi"/>
        </w:rPr>
        <w:endnoteReference w:id="49"/>
      </w:r>
      <w:r w:rsidRPr="00CD3717">
        <w:rPr>
          <w:rFonts w:asciiTheme="majorHAnsi" w:hAnsiTheme="majorHAnsi" w:cstheme="majorHAnsi"/>
        </w:rPr>
        <w:t xml:space="preserve"> and significant improvements in patient self-reported medication adherence.</w:t>
      </w:r>
      <w:r w:rsidRPr="00CD3717">
        <w:rPr>
          <w:rStyle w:val="EndnoteReference"/>
          <w:rFonts w:asciiTheme="majorHAnsi" w:hAnsiTheme="majorHAnsi" w:cstheme="majorHAnsi"/>
        </w:rPr>
        <w:endnoteReference w:id="50"/>
      </w:r>
      <w:r w:rsidRPr="00CD3717">
        <w:rPr>
          <w:rFonts w:asciiTheme="majorHAnsi" w:hAnsiTheme="majorHAnsi" w:cstheme="majorHAnsi"/>
        </w:rPr>
        <w:t xml:space="preserve">  </w:t>
      </w:r>
      <w:r w:rsidRPr="00CD3717">
        <w:rPr>
          <w:rFonts w:asciiTheme="majorHAnsi" w:eastAsia="MS Mincho" w:hAnsiTheme="majorHAnsi" w:cstheme="majorHAnsi"/>
          <w:color w:val="221F20"/>
          <w:lang w:val="en-GB"/>
        </w:rPr>
        <w:t>Integrated pharmacists also delivered team-based care to optimise chronic disease management (such as case conferences) and attended patient group meetings to deliver preventive health messages such as advice on dietary and lifestyle improvements (</w:t>
      </w:r>
      <w:r>
        <w:rPr>
          <w:rFonts w:asciiTheme="majorHAnsi" w:eastAsia="MS Mincho" w:hAnsiTheme="majorHAnsi" w:cstheme="majorHAnsi"/>
          <w:color w:val="221F20"/>
          <w:lang w:val="en-GB"/>
        </w:rPr>
        <w:t>Appendix 16</w:t>
      </w:r>
      <w:r w:rsidRPr="00CD3717">
        <w:rPr>
          <w:rFonts w:asciiTheme="majorHAnsi" w:eastAsia="MS Mincho" w:hAnsiTheme="majorHAnsi" w:cstheme="majorHAnsi"/>
          <w:color w:val="221F20"/>
          <w:lang w:val="en-GB"/>
        </w:rPr>
        <w:t xml:space="preserve">). </w:t>
      </w:r>
    </w:p>
    <w:p w14:paraId="7AB5E645" w14:textId="4831D005" w:rsidR="00817CCB" w:rsidRPr="00CD3717" w:rsidRDefault="00CD3717" w:rsidP="00CD3717">
      <w:pPr>
        <w:rPr>
          <w:rFonts w:asciiTheme="majorHAnsi" w:hAnsiTheme="majorHAnsi" w:cstheme="majorHAnsi"/>
        </w:rPr>
      </w:pPr>
      <w:r w:rsidRPr="00CD3717">
        <w:rPr>
          <w:rFonts w:asciiTheme="majorHAnsi" w:eastAsia="MS Mincho" w:hAnsiTheme="majorHAnsi" w:cstheme="majorHAnsi"/>
          <w:color w:val="221F20"/>
          <w:lang w:val="en-GB"/>
        </w:rPr>
        <w:t>The net absolute reduction in 5-year CVD risk of 1% for participants without pre-existing CVD indicates the clinically significant potential for primary CVD prevention arising from the IPAC intervention.</w:t>
      </w:r>
    </w:p>
    <w:p w14:paraId="712DC82A"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9A5914">
        <w:t>For further details:</w:t>
      </w:r>
    </w:p>
    <w:p w14:paraId="0464EA66"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3D6EE7">
        <w:t xml:space="preserve">Appendix 9: </w:t>
      </w:r>
      <w:proofErr w:type="spellStart"/>
      <w:r w:rsidRPr="003D6EE7">
        <w:t>Couzos</w:t>
      </w:r>
      <w:proofErr w:type="spellEnd"/>
      <w:r w:rsidRPr="003D6EE7">
        <w:t xml:space="preserve"> S,</w:t>
      </w:r>
      <w:r w:rsidRPr="00DA5D58">
        <w:t xml:space="preserve"> Smith D, </w:t>
      </w:r>
      <w:proofErr w:type="spellStart"/>
      <w:r w:rsidRPr="00DA5D58">
        <w:t>Buttner</w:t>
      </w:r>
      <w:proofErr w:type="spellEnd"/>
      <w:r w:rsidRPr="00DA5D58">
        <w:t xml:space="preserve"> P, Biros E</w:t>
      </w:r>
      <w:r w:rsidRPr="009A5914">
        <w:t xml:space="preserve">. </w:t>
      </w:r>
      <w:r w:rsidRPr="00DA5D58">
        <w:t>Integrated pharmacists in ACCHSs- Analysis of the assessment of clinical endpoints in Aboriginal and Torres Strait Islander patients with chronic disease (IPAC study)</w:t>
      </w:r>
      <w:r w:rsidRPr="009A5914">
        <w:t xml:space="preserve"> </w:t>
      </w:r>
      <w:r>
        <w:t>R</w:t>
      </w:r>
      <w:r w:rsidRPr="009A5914">
        <w:t>eport to the Pharmaceutical Society of Australia</w:t>
      </w:r>
      <w:r>
        <w:t>.</w:t>
      </w:r>
      <w:r w:rsidRPr="009A5914">
        <w:t xml:space="preserve"> </w:t>
      </w:r>
      <w:r>
        <w:t xml:space="preserve">Final Report. </w:t>
      </w:r>
      <w:r w:rsidRPr="009A5914">
        <w:t>April 2020.</w:t>
      </w:r>
    </w:p>
    <w:p w14:paraId="7B8BA06F" w14:textId="730660CA" w:rsidR="009402E0" w:rsidRPr="009402E0" w:rsidRDefault="009402E0" w:rsidP="0048683E">
      <w:pPr>
        <w:pStyle w:val="Heading3"/>
      </w:pPr>
      <w:bookmarkStart w:id="200" w:name="_Toc40350114"/>
      <w:bookmarkStart w:id="201" w:name="_Toc40441095"/>
      <w:bookmarkStart w:id="202" w:name="_Toc41315637"/>
      <w:bookmarkStart w:id="203" w:name="_Toc138846282"/>
      <w:r w:rsidRPr="009402E0">
        <w:t xml:space="preserve">Medication Appropriateness Index (MAI) </w:t>
      </w:r>
      <w:r w:rsidR="005239D8">
        <w:t>a</w:t>
      </w:r>
      <w:r w:rsidRPr="009402E0">
        <w:t>udits</w:t>
      </w:r>
      <w:bookmarkEnd w:id="200"/>
      <w:bookmarkEnd w:id="201"/>
      <w:bookmarkEnd w:id="202"/>
      <w:bookmarkEnd w:id="203"/>
    </w:p>
    <w:p w14:paraId="3696C320" w14:textId="20BF6896" w:rsidR="009402E0" w:rsidRPr="009402E0" w:rsidRDefault="009402E0" w:rsidP="00DA22EF">
      <w:pPr>
        <w:widowControl/>
        <w:autoSpaceDE w:val="0"/>
        <w:autoSpaceDN w:val="0"/>
        <w:adjustRightInd w:val="0"/>
        <w:rPr>
          <w:rFonts w:asciiTheme="majorHAnsi" w:hAnsiTheme="majorHAnsi" w:cstheme="majorHAnsi"/>
        </w:rPr>
      </w:pPr>
      <w:r w:rsidRPr="009402E0">
        <w:rPr>
          <w:rFonts w:asciiTheme="majorHAnsi" w:hAnsiTheme="majorHAnsi" w:cstheme="majorHAnsi"/>
          <w:lang w:val="en-AU"/>
        </w:rPr>
        <w:t>Prescribing quality improved significantly for participants following the integrated pharmacist intervention within ACCHSs. Key results included:</w:t>
      </w:r>
    </w:p>
    <w:p w14:paraId="50C885C1" w14:textId="27346927" w:rsidR="00E530DD" w:rsidRDefault="00E530DD" w:rsidP="005239D8">
      <w:pPr>
        <w:pStyle w:val="ListBullet"/>
      </w:pPr>
      <w:r w:rsidRPr="00E530DD">
        <w:t xml:space="preserve">357 participants </w:t>
      </w:r>
      <w:r>
        <w:t>had</w:t>
      </w:r>
      <w:r w:rsidRPr="00E530DD">
        <w:t xml:space="preserve"> paired </w:t>
      </w:r>
      <w:r>
        <w:t xml:space="preserve">MAI </w:t>
      </w:r>
      <w:r w:rsidRPr="00E530DD">
        <w:t xml:space="preserve">data </w:t>
      </w:r>
      <w:r>
        <w:t xml:space="preserve">and were included for </w:t>
      </w:r>
      <w:r w:rsidRPr="00E530DD">
        <w:t xml:space="preserve">analysis (median </w:t>
      </w:r>
      <w:r w:rsidR="00CA04B1">
        <w:t>follow-up</w:t>
      </w:r>
      <w:r w:rsidRPr="00E530DD">
        <w:t xml:space="preserve"> of 270 days). </w:t>
      </w:r>
    </w:p>
    <w:p w14:paraId="37C022DE" w14:textId="77777777" w:rsidR="00E530DD" w:rsidRPr="00E530DD" w:rsidRDefault="00E530DD" w:rsidP="005239D8">
      <w:pPr>
        <w:pStyle w:val="ListBullet"/>
      </w:pPr>
      <w:r w:rsidRPr="00E530DD">
        <w:lastRenderedPageBreak/>
        <w:t xml:space="preserve">Participants had CVD, T2DM, CKD, or other chronic disease, 93% were Aboriginal and/or Torres Strait Islander </w:t>
      </w:r>
      <w:r>
        <w:t xml:space="preserve">with a </w:t>
      </w:r>
      <w:r w:rsidRPr="00E530DD">
        <w:t xml:space="preserve">mean age </w:t>
      </w:r>
      <w:r>
        <w:t xml:space="preserve">of </w:t>
      </w:r>
      <w:r w:rsidRPr="00E530DD">
        <w:t>57 years (SD 14.4). Chronic disease co-morbidity was present in 87.4%.</w:t>
      </w:r>
    </w:p>
    <w:p w14:paraId="61066BBF" w14:textId="10409F8D" w:rsidR="009402E0" w:rsidRPr="009402E0" w:rsidRDefault="009402E0" w:rsidP="005239D8">
      <w:pPr>
        <w:pStyle w:val="ListBullet"/>
      </w:pPr>
      <w:r w:rsidRPr="009402E0">
        <w:t xml:space="preserve">A total of 2,804 and 2,963 medications were evaluated at baseline and at the end of the study respectively. At baseline, 67.8% (n=242/357) of participants were prescribed ≥1 medications rated as inappropriate in at least one MAI criterion; 23.1% of all medications had ≥1 inappropriateness rating; the mean MAI score per participant was 6.02 (SD±23.6); and the mean MAI score per medication was 0.76 (SD±8.5). The most common reason for medication inappropriateness was incorrect dosage. </w:t>
      </w:r>
    </w:p>
    <w:p w14:paraId="4E607B11" w14:textId="77777777" w:rsidR="009402E0" w:rsidRPr="009402E0" w:rsidRDefault="009402E0" w:rsidP="005239D8">
      <w:pPr>
        <w:pStyle w:val="ListBullet"/>
      </w:pPr>
      <w:r w:rsidRPr="009402E0">
        <w:t xml:space="preserve">The intervention significantly reduced mean MAI scores per participant (to 3.20, SD ±11.7, p=0.003); the mean MAI score per individual medication (to 0.39, SD±-4.4, p=0.004); the proportion of participants receiving medications rated as inappropriate (to 44.5% n=159, p&lt;0.001), and the proportion of medications with the following prescribing risks: incorrect dosage, impractical directions, unacceptable therapy duration, drug-disease interactions; and unnecessary medications due to absent clinical indications, or lack of clinical effectiveness (all p &lt;0.05). </w:t>
      </w:r>
    </w:p>
    <w:p w14:paraId="665E1E9B" w14:textId="1C27174A" w:rsidR="009402E0" w:rsidRPr="009402E0" w:rsidRDefault="009402E0" w:rsidP="005239D8">
      <w:pPr>
        <w:pStyle w:val="ListBullet"/>
      </w:pPr>
      <w:r w:rsidRPr="009402E0">
        <w:t xml:space="preserve">There was a 34.1% relative reduction in the number of participants with medications meeting ≥1 medication overuse criteria. Significant reductions in participant numbers prescribed medications with an inappropriateness rating was observed for: cardiovascular (-19.9% absolute reduction, p&lt;0.001), endocrine (-11.2%, p&lt;0.001), and respiratory conditions (-4.5%, p=0.019). </w:t>
      </w:r>
    </w:p>
    <w:p w14:paraId="0F730AA9" w14:textId="10F5C6E9" w:rsidR="003D4461" w:rsidRPr="005239D8" w:rsidRDefault="004B6A53" w:rsidP="005239D8">
      <w:pPr>
        <w:pStyle w:val="ListBullet"/>
      </w:pPr>
      <w:r>
        <w:t>Prescribing q</w:t>
      </w:r>
      <w:r w:rsidR="009402E0" w:rsidRPr="009402E0">
        <w:t>uality improved for participants with medications for hypertension, diabetes and/or dyslipidaemia (absolute reductions of -5.3%, p=0.01; -9.5%, p&lt;0.001 and -9.8%, p&lt;0.001 respectively).</w:t>
      </w:r>
    </w:p>
    <w:p w14:paraId="6EE97DC0" w14:textId="77777777" w:rsidR="005239D8" w:rsidRPr="005F1EA9" w:rsidRDefault="005239D8" w:rsidP="005239D8">
      <w:pPr>
        <w:pBdr>
          <w:top w:val="single" w:sz="4" w:space="1" w:color="auto"/>
          <w:left w:val="single" w:sz="4" w:space="4" w:color="auto"/>
          <w:bottom w:val="single" w:sz="4" w:space="1" w:color="auto"/>
          <w:right w:val="single" w:sz="4" w:space="4" w:color="auto"/>
        </w:pBdr>
      </w:pPr>
      <w:r w:rsidRPr="005F1EA9">
        <w:t>For further details:</w:t>
      </w:r>
    </w:p>
    <w:p w14:paraId="0E8A26CA" w14:textId="77777777" w:rsidR="005239D8" w:rsidRPr="005F1EA9" w:rsidRDefault="005239D8" w:rsidP="005239D8">
      <w:pPr>
        <w:pBdr>
          <w:top w:val="single" w:sz="4" w:space="1" w:color="auto"/>
          <w:left w:val="single" w:sz="4" w:space="4" w:color="auto"/>
          <w:bottom w:val="single" w:sz="4" w:space="1" w:color="auto"/>
          <w:right w:val="single" w:sz="4" w:space="4" w:color="auto"/>
        </w:pBdr>
      </w:pPr>
      <w:r w:rsidRPr="005F1EA9">
        <w:t xml:space="preserve">Appendix 10: </w:t>
      </w:r>
      <w:proofErr w:type="spellStart"/>
      <w:r w:rsidRPr="005F1EA9">
        <w:t>Couzos</w:t>
      </w:r>
      <w:proofErr w:type="spellEnd"/>
      <w:r w:rsidRPr="005F1EA9">
        <w:t xml:space="preserve">, S, Smith D, </w:t>
      </w:r>
      <w:proofErr w:type="spellStart"/>
      <w:r w:rsidRPr="005F1EA9">
        <w:t>Buttner</w:t>
      </w:r>
      <w:proofErr w:type="spellEnd"/>
      <w:r w:rsidRPr="005F1EA9">
        <w:t xml:space="preserve"> P, Biros E. </w:t>
      </w:r>
      <w:r>
        <w:t>A</w:t>
      </w:r>
      <w:r w:rsidRPr="005F1EA9">
        <w:t>ssessment of medication appropriateness using the Medication Appropriateness Index (MAI)</w:t>
      </w:r>
      <w:r>
        <w:t xml:space="preserve"> in Aboriginal and Torres Strait Islander patients with chronic disease receiving integrated pharmacist support within Aboriginal Community Controlled Health Services (IPAC project)</w:t>
      </w:r>
      <w:r w:rsidRPr="005F1EA9">
        <w:t xml:space="preserve">. </w:t>
      </w:r>
      <w:r>
        <w:t xml:space="preserve">Final </w:t>
      </w:r>
      <w:r w:rsidRPr="005F1EA9">
        <w:t>Report to the PSA, Feb</w:t>
      </w:r>
      <w:r>
        <w:t>ruary</w:t>
      </w:r>
      <w:r w:rsidRPr="005F1EA9">
        <w:t xml:space="preserve"> 2020.</w:t>
      </w:r>
    </w:p>
    <w:p w14:paraId="5F9F792B" w14:textId="6553CED4" w:rsidR="009402E0" w:rsidRPr="009402E0" w:rsidRDefault="009402E0" w:rsidP="0048683E">
      <w:pPr>
        <w:pStyle w:val="Heading3"/>
      </w:pPr>
      <w:bookmarkStart w:id="204" w:name="_Toc41315638"/>
      <w:bookmarkStart w:id="205" w:name="_Toc40350115"/>
      <w:bookmarkStart w:id="206" w:name="_Toc40441096"/>
      <w:bookmarkStart w:id="207" w:name="_Toc138846283"/>
      <w:r w:rsidRPr="009402E0">
        <w:t xml:space="preserve">Assessment of </w:t>
      </w:r>
      <w:r w:rsidR="005239D8">
        <w:t>u</w:t>
      </w:r>
      <w:r w:rsidRPr="009402E0">
        <w:t>nderutilisation</w:t>
      </w:r>
      <w:bookmarkEnd w:id="204"/>
      <w:bookmarkEnd w:id="205"/>
      <w:bookmarkEnd w:id="206"/>
      <w:bookmarkEnd w:id="207"/>
    </w:p>
    <w:p w14:paraId="03F851B3" w14:textId="0BDFC5D5" w:rsidR="009402E0" w:rsidRDefault="009402E0" w:rsidP="00DA22EF">
      <w:pPr>
        <w:widowControl/>
        <w:autoSpaceDE w:val="0"/>
        <w:autoSpaceDN w:val="0"/>
        <w:adjustRightInd w:val="0"/>
        <w:rPr>
          <w:rFonts w:asciiTheme="majorHAnsi" w:hAnsiTheme="majorHAnsi" w:cstheme="majorHAnsi"/>
          <w:lang w:val="en-AU"/>
        </w:rPr>
      </w:pPr>
      <w:r w:rsidRPr="009402E0">
        <w:rPr>
          <w:rFonts w:asciiTheme="majorHAnsi" w:hAnsiTheme="majorHAnsi" w:cstheme="majorHAnsi"/>
          <w:lang w:val="en-AU"/>
        </w:rPr>
        <w:t>Potential Prescribing Omi</w:t>
      </w:r>
      <w:r w:rsidR="00481CD3">
        <w:rPr>
          <w:rFonts w:asciiTheme="majorHAnsi" w:hAnsiTheme="majorHAnsi" w:cstheme="majorHAnsi"/>
          <w:lang w:val="en-AU"/>
        </w:rPr>
        <w:t>ssions (PPOs) were common in the IPAC</w:t>
      </w:r>
      <w:r w:rsidRPr="009402E0">
        <w:rPr>
          <w:rFonts w:asciiTheme="majorHAnsi" w:hAnsiTheme="majorHAnsi" w:cstheme="majorHAnsi"/>
          <w:lang w:val="en-AU"/>
        </w:rPr>
        <w:t xml:space="preserve"> cohort. Improvements in prescribing quality arising from pharmacists integrated within ACCHSs significantly averted PPOs to high-value pharmacotherapies. Key results</w:t>
      </w:r>
      <w:r w:rsidR="00481CD3">
        <w:rPr>
          <w:rFonts w:asciiTheme="majorHAnsi" w:hAnsiTheme="majorHAnsi" w:cstheme="majorHAnsi"/>
          <w:lang w:val="en-AU"/>
        </w:rPr>
        <w:t xml:space="preserve"> were</w:t>
      </w:r>
      <w:r w:rsidRPr="009402E0">
        <w:rPr>
          <w:rFonts w:asciiTheme="majorHAnsi" w:hAnsiTheme="majorHAnsi" w:cstheme="majorHAnsi"/>
          <w:lang w:val="en-AU"/>
        </w:rPr>
        <w:t>:</w:t>
      </w:r>
    </w:p>
    <w:p w14:paraId="6862E2CB" w14:textId="6F94AC64" w:rsidR="00481CD3" w:rsidRPr="00481CD3" w:rsidRDefault="00481CD3" w:rsidP="005239D8">
      <w:pPr>
        <w:pStyle w:val="ListBullet"/>
      </w:pPr>
      <w:r w:rsidRPr="00481CD3">
        <w:t xml:space="preserve">353 participants </w:t>
      </w:r>
      <w:r>
        <w:t>(from the MAI subset) had</w:t>
      </w:r>
      <w:r w:rsidRPr="00481CD3">
        <w:t xml:space="preserve"> paired </w:t>
      </w:r>
      <w:proofErr w:type="spellStart"/>
      <w:r>
        <w:t>AoU</w:t>
      </w:r>
      <w:proofErr w:type="spellEnd"/>
      <w:r>
        <w:t xml:space="preserve"> </w:t>
      </w:r>
      <w:r w:rsidRPr="00481CD3">
        <w:t xml:space="preserve">data </w:t>
      </w:r>
      <w:r>
        <w:t xml:space="preserve">and were included in </w:t>
      </w:r>
      <w:r w:rsidRPr="00481CD3">
        <w:t xml:space="preserve">analysis (median </w:t>
      </w:r>
      <w:r w:rsidR="00BE3004">
        <w:t>follow-up</w:t>
      </w:r>
      <w:r w:rsidR="00BE3004" w:rsidRPr="00481CD3">
        <w:t xml:space="preserve"> </w:t>
      </w:r>
      <w:r w:rsidRPr="00481CD3">
        <w:t xml:space="preserve">of 266 days). </w:t>
      </w:r>
    </w:p>
    <w:p w14:paraId="34A36A60" w14:textId="77777777" w:rsidR="00481CD3" w:rsidRPr="00481CD3" w:rsidRDefault="00481CD3" w:rsidP="005239D8">
      <w:pPr>
        <w:pStyle w:val="ListBullet"/>
      </w:pPr>
      <w:r w:rsidRPr="00481CD3">
        <w:t>Participants had CVD, T2DM, CKD, or other chronic disease (87.5% had co-morbidity); 93.2% were Aboriginal and/or Torres Strait Islander with a mean age of 57.2 years (SD</w:t>
      </w:r>
      <w:r>
        <w:rPr>
          <w:rFonts w:cs="Calibri"/>
        </w:rPr>
        <w:t>±</w:t>
      </w:r>
      <w:r w:rsidRPr="00481CD3">
        <w:t>15.4) and a mean of 7.2 (SD</w:t>
      </w:r>
      <w:r>
        <w:rPr>
          <w:rFonts w:cs="Calibri"/>
        </w:rPr>
        <w:t>±</w:t>
      </w:r>
      <w:r w:rsidRPr="00481CD3">
        <w:t>8.0) medications each.</w:t>
      </w:r>
    </w:p>
    <w:p w14:paraId="7C34BC8A" w14:textId="77777777" w:rsidR="009402E0" w:rsidRPr="009402E0" w:rsidRDefault="009402E0" w:rsidP="005239D8">
      <w:pPr>
        <w:pStyle w:val="ListBullet"/>
      </w:pPr>
      <w:r w:rsidRPr="009402E0">
        <w:t xml:space="preserve">At baseline, 51.2% (181/353) of participants had at least one PPO from explicit and implicit criteria, totalling 256 PPOs or 0.73 (SD± 1.3) PPOs per participant. The most common PPO of the 10 criteria was for 23vPPV and blood pressure (BP) and/or lipid lowering therapy for those at high primary CVD risk. No chemoprophylactic PPOs for participants with ARF/RHD were identified. Other PPOs included symptomatic therapy for a range of chronic conditions. </w:t>
      </w:r>
    </w:p>
    <w:p w14:paraId="0E31E7E8" w14:textId="4D9E00BB" w:rsidR="00481CD3" w:rsidRPr="00481CD3" w:rsidRDefault="009402E0" w:rsidP="005239D8">
      <w:pPr>
        <w:pStyle w:val="ListBullet"/>
      </w:pPr>
      <w:r w:rsidRPr="009402E0">
        <w:lastRenderedPageBreak/>
        <w:t xml:space="preserve">At follow-up (mean 267 days post-baseline), there was a significant (58%, p&lt;0.001) reduction in the number of participants with potential prescription-based medication underutilisation, and a significant relative reduction in the mean number of PPOs per participant (60.3%, p&lt;0.001). </w:t>
      </w:r>
    </w:p>
    <w:p w14:paraId="488DA74A" w14:textId="11509062" w:rsidR="003043BD" w:rsidRPr="005239D8" w:rsidRDefault="009402E0" w:rsidP="00DA22EF">
      <w:pPr>
        <w:pStyle w:val="ListBullet"/>
      </w:pPr>
      <w:r w:rsidRPr="009402E0">
        <w:t xml:space="preserve">The PPOs that were averted were for pneumococcal vaccination, BP and/or lipid lowering medication in </w:t>
      </w:r>
      <w:r w:rsidRPr="00C739F4">
        <w:t>those clinically at high primary CVD risk, ACEI or ARB for participants with T2DM and albuminuria, and metformin for those with T2DM.</w:t>
      </w:r>
    </w:p>
    <w:p w14:paraId="5E124077"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9A5914">
        <w:t>For further details:</w:t>
      </w:r>
    </w:p>
    <w:p w14:paraId="17CD59B8" w14:textId="1B222E96" w:rsidR="003043BD" w:rsidRPr="005239D8" w:rsidRDefault="005239D8" w:rsidP="005239D8">
      <w:pPr>
        <w:pBdr>
          <w:top w:val="single" w:sz="4" w:space="1" w:color="auto"/>
          <w:left w:val="single" w:sz="4" w:space="4" w:color="auto"/>
          <w:bottom w:val="single" w:sz="4" w:space="1" w:color="auto"/>
          <w:right w:val="single" w:sz="4" w:space="4" w:color="auto"/>
        </w:pBdr>
      </w:pPr>
      <w:r w:rsidRPr="00F22914">
        <w:t>Appendix 11:</w:t>
      </w:r>
      <w:r>
        <w:t xml:space="preserve"> </w:t>
      </w:r>
      <w:proofErr w:type="spellStart"/>
      <w:r w:rsidRPr="009A5914">
        <w:t>Couzos</w:t>
      </w:r>
      <w:proofErr w:type="spellEnd"/>
      <w:r w:rsidRPr="009A5914">
        <w:t xml:space="preserve"> S, Smith D, </w:t>
      </w:r>
      <w:proofErr w:type="spellStart"/>
      <w:r w:rsidRPr="009A5914">
        <w:t>Buttner</w:t>
      </w:r>
      <w:proofErr w:type="spellEnd"/>
      <w:r w:rsidRPr="009A5914">
        <w:t xml:space="preserve"> P, Biros E. </w:t>
      </w:r>
      <w:r>
        <w:t>A</w:t>
      </w:r>
      <w:r w:rsidRPr="009A5914">
        <w:t xml:space="preserve">ssessment of medicines underutilization in </w:t>
      </w:r>
      <w:r>
        <w:t xml:space="preserve">Aboriginal and Torres Strait Islander </w:t>
      </w:r>
      <w:r w:rsidRPr="009A5914">
        <w:t xml:space="preserve">patients </w:t>
      </w:r>
      <w:r>
        <w:t>with chronic disease receiving integrated pharmacist support within Aboriginal Community Controlled Health Services (IPAC project)</w:t>
      </w:r>
      <w:r w:rsidRPr="009A5914">
        <w:t xml:space="preserve">. </w:t>
      </w:r>
      <w:r>
        <w:t>R</w:t>
      </w:r>
      <w:r w:rsidRPr="009A5914">
        <w:t>eport to the Pharmaceutical Society of Australi</w:t>
      </w:r>
      <w:r>
        <w:t>a.</w:t>
      </w:r>
      <w:r w:rsidRPr="009A5914">
        <w:t xml:space="preserve"> Final </w:t>
      </w:r>
      <w:r>
        <w:t xml:space="preserve">report. </w:t>
      </w:r>
      <w:r w:rsidRPr="009A5914">
        <w:t xml:space="preserve">February 2020.   </w:t>
      </w:r>
    </w:p>
    <w:p w14:paraId="3BF7B672" w14:textId="0BF7ACD2" w:rsidR="001116C7" w:rsidRPr="009402E0" w:rsidRDefault="005239D8" w:rsidP="0048683E">
      <w:pPr>
        <w:pStyle w:val="Heading3"/>
      </w:pPr>
      <w:bookmarkStart w:id="208" w:name="_Toc40350113"/>
      <w:bookmarkStart w:id="209" w:name="_Toc40441097"/>
      <w:bookmarkStart w:id="210" w:name="_Toc41315639"/>
      <w:bookmarkStart w:id="211" w:name="_Toc138846284"/>
      <w:r w:rsidRPr="009402E0">
        <w:t>Medication management reviews</w:t>
      </w:r>
      <w:bookmarkEnd w:id="208"/>
      <w:bookmarkEnd w:id="209"/>
      <w:bookmarkEnd w:id="210"/>
      <w:bookmarkEnd w:id="211"/>
    </w:p>
    <w:p w14:paraId="291EFBA6" w14:textId="4192EB49" w:rsidR="001116C7" w:rsidRPr="009402E0" w:rsidRDefault="001116C7" w:rsidP="00DA22EF">
      <w:pPr>
        <w:widowControl/>
        <w:autoSpaceDE w:val="0"/>
        <w:autoSpaceDN w:val="0"/>
        <w:adjustRightInd w:val="0"/>
        <w:rPr>
          <w:rFonts w:asciiTheme="majorHAnsi" w:hAnsiTheme="majorHAnsi" w:cstheme="majorHAnsi"/>
          <w:lang w:val="en-AU"/>
        </w:rPr>
      </w:pPr>
      <w:r w:rsidRPr="009402E0">
        <w:rPr>
          <w:rFonts w:asciiTheme="majorHAnsi" w:hAnsiTheme="majorHAnsi" w:cstheme="majorHAnsi"/>
          <w:lang w:val="en-AU"/>
        </w:rPr>
        <w:t>Within ACCHS, integrated pharmacists significantly increased access to medication management reviews (HMRs and non-HMRs</w:t>
      </w:r>
      <w:r w:rsidR="00F74BC9">
        <w:rPr>
          <w:rFonts w:asciiTheme="majorHAnsi" w:hAnsiTheme="majorHAnsi" w:cstheme="majorHAnsi"/>
          <w:lang w:val="en-AU"/>
        </w:rPr>
        <w:t>)</w:t>
      </w:r>
      <w:r w:rsidRPr="009402E0">
        <w:rPr>
          <w:rFonts w:asciiTheme="majorHAnsi" w:hAnsiTheme="majorHAnsi" w:cstheme="majorHAnsi"/>
          <w:lang w:val="en-AU"/>
        </w:rPr>
        <w:t>, and follow-up to these reviews for Aboriginal and Torres Strait Islander adults with chronic disease.  Key results were:</w:t>
      </w:r>
    </w:p>
    <w:p w14:paraId="24A8C6AE" w14:textId="77777777" w:rsidR="001116C7" w:rsidRPr="00461EB9" w:rsidRDefault="001116C7" w:rsidP="005239D8">
      <w:pPr>
        <w:pStyle w:val="ListBullet"/>
      </w:pPr>
      <w:r w:rsidRPr="00461EB9">
        <w:t xml:space="preserve">There were 609 (41.8%) HMR, and 719 (49.4%) non-HMR recipients after a mean of 284 days (SD </w:t>
      </w:r>
      <w:r>
        <w:rPr>
          <w:rFonts w:cs="Calibri"/>
        </w:rPr>
        <w:t>±</w:t>
      </w:r>
      <w:r w:rsidRPr="00461EB9">
        <w:t>11.5) following study enrolment</w:t>
      </w:r>
      <w:r>
        <w:t>.</w:t>
      </w:r>
      <w:r w:rsidR="00FC67B5">
        <w:t xml:space="preserve"> Some recipients had multiple reviews</w:t>
      </w:r>
      <w:r w:rsidR="00E0034A">
        <w:t xml:space="preserve"> undertaken throughout the Project</w:t>
      </w:r>
      <w:r w:rsidR="00FC67B5">
        <w:t>.</w:t>
      </w:r>
    </w:p>
    <w:p w14:paraId="79DABD9A" w14:textId="77777777" w:rsidR="001116C7" w:rsidRPr="009402E0" w:rsidRDefault="001116C7" w:rsidP="005239D8">
      <w:pPr>
        <w:pStyle w:val="ListBullet"/>
      </w:pPr>
      <w:r w:rsidRPr="009402E0">
        <w:t xml:space="preserve">HMR recipients had a mean age of 58.7 years (SD ±21.9), a mean of 8 prescribed medications each, and 89% had comorbidity. </w:t>
      </w:r>
    </w:p>
    <w:p w14:paraId="57A8A638" w14:textId="3774B034" w:rsidR="001116C7" w:rsidRPr="009402E0" w:rsidRDefault="001116C7" w:rsidP="005239D8">
      <w:pPr>
        <w:pStyle w:val="ListBullet"/>
      </w:pPr>
      <w:r w:rsidRPr="009402E0">
        <w:t>Participants (n=1,456) had a 3.9 times (p&lt;0.001) significant increase in HMR access (based on MBS claims) compared with usual care</w:t>
      </w:r>
      <w:r>
        <w:t>,</w:t>
      </w:r>
      <w:r w:rsidRPr="009402E0">
        <w:t xml:space="preserve"> whilst the number of HMRs (MBS claims) increased 4.1 times (p&lt;0.001). </w:t>
      </w:r>
    </w:p>
    <w:p w14:paraId="7BFD941F" w14:textId="31CB20B1" w:rsidR="001116C7" w:rsidRPr="009402E0" w:rsidRDefault="001116C7" w:rsidP="005239D8">
      <w:pPr>
        <w:pStyle w:val="ListBullet"/>
      </w:pPr>
      <w:r w:rsidRPr="009402E0">
        <w:t xml:space="preserve">Of non-HMRs, 91% (n=689) were conducted within the ACCHS; whilst </w:t>
      </w:r>
      <w:proofErr w:type="gramStart"/>
      <w:r w:rsidR="00C739F4">
        <w:t>the majority of</w:t>
      </w:r>
      <w:proofErr w:type="gramEnd"/>
      <w:r w:rsidR="00C739F4" w:rsidRPr="009402E0">
        <w:t xml:space="preserve"> </w:t>
      </w:r>
      <w:r w:rsidRPr="009402E0">
        <w:t xml:space="preserve">recipients were from remote (19.8%) or very remote ACCHSs (21.4%); and had the non-HMR commonly completed for opportunistic reasons being at risk of forgoing a HMR (48.1%, n=364). </w:t>
      </w:r>
    </w:p>
    <w:p w14:paraId="4A286B0A" w14:textId="77777777" w:rsidR="001116C7" w:rsidRDefault="001116C7" w:rsidP="005239D8">
      <w:pPr>
        <w:pStyle w:val="ListBullet"/>
      </w:pPr>
      <w:r w:rsidRPr="009402E0">
        <w:t xml:space="preserve">Pharmacists delivered 1,548 follow-up assessments to HMR or non-HMR- recipients. </w:t>
      </w:r>
    </w:p>
    <w:p w14:paraId="0B9F2931" w14:textId="77777777" w:rsidR="001116C7" w:rsidRPr="009402E0" w:rsidRDefault="001116C7" w:rsidP="005239D8">
      <w:pPr>
        <w:pStyle w:val="ListBullet"/>
      </w:pPr>
      <w:r w:rsidRPr="009402E0">
        <w:t xml:space="preserve">Of HMR recipients, 87.9% (n=535) compared with 70.0% (n=503) of non-HMR recipients had at least one medication-related problem (MRP) (p=0.035). </w:t>
      </w:r>
    </w:p>
    <w:p w14:paraId="52CD7B97" w14:textId="136076DD" w:rsidR="008B7C4A" w:rsidRPr="005239D8" w:rsidRDefault="001116C7" w:rsidP="005239D8">
      <w:pPr>
        <w:pStyle w:val="ListBullet"/>
      </w:pPr>
      <w:r w:rsidRPr="009402E0">
        <w:t xml:space="preserve">Non-HMR eligibility criteria, participant need for a medication review, pharmacist recommendations, and identified types of MRPs in recipients were similar to </w:t>
      </w:r>
      <w:proofErr w:type="gramStart"/>
      <w:r w:rsidRPr="009402E0">
        <w:t>a</w:t>
      </w:r>
      <w:proofErr w:type="gramEnd"/>
      <w:r w:rsidRPr="009402E0">
        <w:t xml:space="preserve"> HMR.</w:t>
      </w:r>
    </w:p>
    <w:p w14:paraId="6D413796"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9A5914">
        <w:t>For further details:</w:t>
      </w:r>
    </w:p>
    <w:p w14:paraId="79FE7518" w14:textId="77777777" w:rsidR="005239D8" w:rsidRPr="009A5914" w:rsidRDefault="005239D8" w:rsidP="005239D8">
      <w:pPr>
        <w:pBdr>
          <w:top w:val="single" w:sz="4" w:space="1" w:color="auto"/>
          <w:left w:val="single" w:sz="4" w:space="4" w:color="auto"/>
          <w:bottom w:val="single" w:sz="4" w:space="1" w:color="auto"/>
          <w:right w:val="single" w:sz="4" w:space="4" w:color="auto"/>
        </w:pBdr>
      </w:pPr>
      <w:r w:rsidRPr="00F22914">
        <w:t>Appendix 12:</w:t>
      </w:r>
      <w:r>
        <w:t xml:space="preserve"> </w:t>
      </w:r>
      <w:proofErr w:type="spellStart"/>
      <w:r w:rsidRPr="009A5914">
        <w:t>Couzos</w:t>
      </w:r>
      <w:proofErr w:type="spellEnd"/>
      <w:r w:rsidRPr="009A5914">
        <w:t xml:space="preserve"> S, Smith D, </w:t>
      </w:r>
      <w:proofErr w:type="spellStart"/>
      <w:r w:rsidRPr="009A5914">
        <w:t>Buttner</w:t>
      </w:r>
      <w:proofErr w:type="spellEnd"/>
      <w:r w:rsidRPr="009A5914">
        <w:t xml:space="preserve"> P, Biros E. </w:t>
      </w:r>
      <w:r>
        <w:t>A</w:t>
      </w:r>
      <w:r w:rsidRPr="009A5914">
        <w:t xml:space="preserve">ssessment of Home Medicines Review (HMR) and non-HMR in Aboriginal and Torres Strait Islander patients with chronic disease </w:t>
      </w:r>
      <w:r>
        <w:t xml:space="preserve">receiving integrated support within Aboriginal Community Controlled Health Services </w:t>
      </w:r>
      <w:r w:rsidRPr="009A5914">
        <w:t xml:space="preserve">(IPAC </w:t>
      </w:r>
      <w:r>
        <w:t>project</w:t>
      </w:r>
      <w:r w:rsidRPr="009A5914">
        <w:t xml:space="preserve">). </w:t>
      </w:r>
      <w:r>
        <w:t>R</w:t>
      </w:r>
      <w:r w:rsidRPr="009A5914">
        <w:t>eport to the Pharmaceutical Society of Australia</w:t>
      </w:r>
      <w:r>
        <w:t>.</w:t>
      </w:r>
      <w:r w:rsidRPr="009A5914">
        <w:t xml:space="preserve"> </w:t>
      </w:r>
      <w:r>
        <w:t xml:space="preserve">Final report. </w:t>
      </w:r>
      <w:r w:rsidRPr="009A5914">
        <w:t xml:space="preserve">February 2020. </w:t>
      </w:r>
    </w:p>
    <w:p w14:paraId="1D1680EB" w14:textId="12077112" w:rsidR="009402E0" w:rsidRPr="00F61E57" w:rsidRDefault="005239D8" w:rsidP="0048683E">
      <w:pPr>
        <w:pStyle w:val="Heading3"/>
      </w:pPr>
      <w:bookmarkStart w:id="212" w:name="_Toc40441098"/>
      <w:bookmarkStart w:id="213" w:name="_Toc41315640"/>
      <w:bookmarkStart w:id="214" w:name="_Toc138846285"/>
      <w:r>
        <w:t>M</w:t>
      </w:r>
      <w:r w:rsidRPr="00F61E57">
        <w:t>edication adherence</w:t>
      </w:r>
      <w:r>
        <w:t xml:space="preserve"> and self-reported health status</w:t>
      </w:r>
      <w:bookmarkEnd w:id="212"/>
      <w:bookmarkEnd w:id="213"/>
      <w:bookmarkEnd w:id="214"/>
    </w:p>
    <w:p w14:paraId="4E5BE413" w14:textId="7EFDAAEF" w:rsidR="00703D5D" w:rsidRDefault="00703D5D" w:rsidP="00DA22EF">
      <w:pPr>
        <w:rPr>
          <w:rFonts w:asciiTheme="majorHAnsi" w:hAnsiTheme="majorHAnsi" w:cstheme="majorHAnsi"/>
        </w:rPr>
      </w:pPr>
      <w:r>
        <w:rPr>
          <w:rFonts w:asciiTheme="majorHAnsi" w:hAnsiTheme="majorHAnsi" w:cstheme="majorHAnsi"/>
        </w:rPr>
        <w:t>By the end of the study, integrated pharmacists significantly increased the number of participants</w:t>
      </w:r>
      <w:r w:rsidR="003D4461">
        <w:rPr>
          <w:rFonts w:asciiTheme="majorHAnsi" w:hAnsiTheme="majorHAnsi" w:cstheme="majorHAnsi"/>
        </w:rPr>
        <w:t>’</w:t>
      </w:r>
      <w:r>
        <w:rPr>
          <w:rFonts w:asciiTheme="majorHAnsi" w:hAnsiTheme="majorHAnsi" w:cstheme="majorHAnsi"/>
        </w:rPr>
        <w:t xml:space="preserve"> adherent to their medications from baseline. There were significant improvements in participant self-assessed health status during the same period. </w:t>
      </w:r>
    </w:p>
    <w:p w14:paraId="022F4769" w14:textId="144D6706" w:rsidR="00703D5D" w:rsidRDefault="00703D5D" w:rsidP="005239D8">
      <w:pPr>
        <w:pStyle w:val="ListBullet"/>
      </w:pPr>
      <w:r>
        <w:lastRenderedPageBreak/>
        <w:t>There were 1,103 p</w:t>
      </w:r>
      <w:r w:rsidR="00832249" w:rsidRPr="003D4461">
        <w:t xml:space="preserve">articipants with paired SIQ and NMARS data and </w:t>
      </w:r>
      <w:r>
        <w:t xml:space="preserve">975 participants with </w:t>
      </w:r>
      <w:r w:rsidR="00832249" w:rsidRPr="003D4461">
        <w:t>paired SF1 data</w:t>
      </w:r>
      <w:r>
        <w:t>.</w:t>
      </w:r>
    </w:p>
    <w:p w14:paraId="48279040" w14:textId="2C60C8FE" w:rsidR="007C43CB" w:rsidRPr="003D4461" w:rsidRDefault="00832249" w:rsidP="005239D8">
      <w:pPr>
        <w:pStyle w:val="ListBullet"/>
      </w:pPr>
      <w:r w:rsidRPr="003D4461">
        <w:t xml:space="preserve"> </w:t>
      </w:r>
      <w:r w:rsidR="007C43CB" w:rsidRPr="003D4461">
        <w:t xml:space="preserve">Almost all participants were Aboriginal and/or Torres Strait Islander with a mean age at baseline of 58 (SD 29.8) years. </w:t>
      </w:r>
    </w:p>
    <w:p w14:paraId="3FC4F6F6" w14:textId="63CE6EF0" w:rsidR="007C43CB" w:rsidRPr="00F74BC9" w:rsidRDefault="007C43CB" w:rsidP="005239D8">
      <w:pPr>
        <w:pStyle w:val="ListBullet"/>
      </w:pPr>
      <w:r w:rsidRPr="003D4461">
        <w:t xml:space="preserve">Based on SIQ </w:t>
      </w:r>
      <w:proofErr w:type="gramStart"/>
      <w:r w:rsidRPr="003D4461">
        <w:t>cut-scores</w:t>
      </w:r>
      <w:proofErr w:type="gramEnd"/>
      <w:r w:rsidRPr="003D4461">
        <w:t xml:space="preserve">, 70.8% (781/1103) of participants were adherent at baseline, </w:t>
      </w:r>
      <w:r w:rsidR="002D31E0">
        <w:t>73.3% (808/1103) were adherent according to NMARS</w:t>
      </w:r>
      <w:r w:rsidR="00FD37B0">
        <w:t xml:space="preserve"> (scores 8 to 11)</w:t>
      </w:r>
      <w:r w:rsidR="002D31E0">
        <w:t xml:space="preserve">, </w:t>
      </w:r>
      <w:r w:rsidRPr="003D4461">
        <w:t xml:space="preserve">and 18% (175/975) had ‘excellent to very good’ </w:t>
      </w:r>
      <w:r w:rsidRPr="00F74BC9">
        <w:t>health status</w:t>
      </w:r>
      <w:r w:rsidR="002D31E0" w:rsidRPr="00F74BC9">
        <w:t xml:space="preserve"> according to SF1</w:t>
      </w:r>
      <w:r w:rsidRPr="00F74BC9">
        <w:t xml:space="preserve">. </w:t>
      </w:r>
    </w:p>
    <w:p w14:paraId="0B7338E5" w14:textId="01196593" w:rsidR="009402E0" w:rsidRPr="00F74BC9" w:rsidRDefault="007C43CB" w:rsidP="005239D8">
      <w:pPr>
        <w:pStyle w:val="ListBullet"/>
      </w:pPr>
      <w:r w:rsidRPr="00F74BC9">
        <w:t xml:space="preserve">There was a </w:t>
      </w:r>
      <w:r w:rsidR="00FD37B0" w:rsidRPr="00F74BC9">
        <w:t>12.8</w:t>
      </w:r>
      <w:r w:rsidRPr="00F74BC9">
        <w:t>% (</w:t>
      </w:r>
      <w:r w:rsidR="00FD37B0" w:rsidRPr="00F74BC9">
        <w:t>142</w:t>
      </w:r>
      <w:r w:rsidRPr="00F74BC9">
        <w:t>/1103) and 10.3% (114/1103) net absolute increase in the number of participants adherent to medications at the end of the study compared with baseline (p&lt;0.001) using NMAR</w:t>
      </w:r>
      <w:r w:rsidR="007D6C24" w:rsidRPr="00F74BC9">
        <w:t>S</w:t>
      </w:r>
      <w:r w:rsidRPr="00F74BC9">
        <w:t xml:space="preserve"> and SIQ measures respectively.</w:t>
      </w:r>
    </w:p>
    <w:p w14:paraId="198252C1" w14:textId="1AA3CD2B" w:rsidR="001116C7" w:rsidRPr="005239D8" w:rsidRDefault="007C43CB" w:rsidP="00DA22EF">
      <w:pPr>
        <w:pStyle w:val="ListBullet"/>
      </w:pPr>
      <w:r w:rsidRPr="00F74BC9">
        <w:t>There was a 23.9% (233/975) net</w:t>
      </w:r>
      <w:r w:rsidRPr="003D4461">
        <w:t xml:space="preserve"> absolute increase in the number of participants with improved self-assessed health status (p&lt;0.001).  </w:t>
      </w:r>
    </w:p>
    <w:p w14:paraId="67C7FAD0" w14:textId="77777777" w:rsidR="005239D8" w:rsidRPr="00CE3A65" w:rsidRDefault="005239D8" w:rsidP="005239D8">
      <w:pPr>
        <w:pBdr>
          <w:top w:val="single" w:sz="4" w:space="1" w:color="auto"/>
          <w:left w:val="single" w:sz="4" w:space="4" w:color="auto"/>
          <w:bottom w:val="single" w:sz="4" w:space="1" w:color="auto"/>
          <w:right w:val="single" w:sz="4" w:space="4" w:color="auto"/>
        </w:pBdr>
      </w:pPr>
      <w:r w:rsidRPr="00CE3A65">
        <w:t>For further details:</w:t>
      </w:r>
    </w:p>
    <w:p w14:paraId="7DEDE2F0" w14:textId="77777777" w:rsidR="005239D8" w:rsidRPr="00CE3A65" w:rsidRDefault="005239D8" w:rsidP="005239D8">
      <w:pPr>
        <w:pBdr>
          <w:top w:val="single" w:sz="4" w:space="1" w:color="auto"/>
          <w:left w:val="single" w:sz="4" w:space="4" w:color="auto"/>
          <w:bottom w:val="single" w:sz="4" w:space="1" w:color="auto"/>
          <w:right w:val="single" w:sz="4" w:space="4" w:color="auto"/>
        </w:pBdr>
      </w:pPr>
      <w:r w:rsidRPr="00CE3A65">
        <w:t xml:space="preserve">Appendix 13: </w:t>
      </w:r>
      <w:proofErr w:type="spellStart"/>
      <w:r w:rsidRPr="00CE3A65">
        <w:t>Couzos</w:t>
      </w:r>
      <w:proofErr w:type="spellEnd"/>
      <w:r w:rsidRPr="00CE3A65">
        <w:t xml:space="preserve"> S, Smith D, </w:t>
      </w:r>
      <w:proofErr w:type="spellStart"/>
      <w:r w:rsidRPr="00CE3A65">
        <w:t>Buttner</w:t>
      </w:r>
      <w:proofErr w:type="spellEnd"/>
      <w:r w:rsidRPr="00CE3A65">
        <w:t xml:space="preserve"> P, Biros E. Assessment of change in medication adherence and self-assessed health status in Aboriginal and Torres Strait Islander patients with chronic disease receiving integrated pharmacist support within Aboriginal Community Controlled Health Services (IPAC project). Report to the Pharmaceutical Society of Australia. Final report. May 2020. </w:t>
      </w:r>
    </w:p>
    <w:p w14:paraId="11350DD3" w14:textId="664D299C" w:rsidR="003043BD" w:rsidRDefault="003043BD" w:rsidP="0048683E">
      <w:pPr>
        <w:pStyle w:val="Heading3"/>
      </w:pPr>
      <w:bookmarkStart w:id="215" w:name="_Toc40350116"/>
      <w:bookmarkStart w:id="216" w:name="_Toc40441099"/>
      <w:bookmarkStart w:id="217" w:name="_Toc41315641"/>
      <w:bookmarkStart w:id="218" w:name="_Toc138846286"/>
      <w:r>
        <w:t xml:space="preserve">Economic </w:t>
      </w:r>
      <w:r w:rsidR="005239D8">
        <w:t>a</w:t>
      </w:r>
      <w:r>
        <w:t>nalysis</w:t>
      </w:r>
      <w:bookmarkEnd w:id="215"/>
      <w:bookmarkEnd w:id="216"/>
      <w:bookmarkEnd w:id="217"/>
      <w:bookmarkEnd w:id="218"/>
    </w:p>
    <w:p w14:paraId="1DEF5C90" w14:textId="63DA5E42" w:rsidR="006A69BD" w:rsidRPr="0082142E" w:rsidRDefault="003E1715" w:rsidP="006A69BD">
      <w:r>
        <w:t>The result of the cost-consequence analysis, comparing the cost of the IPAC intervention with changes in biomedical indices for which statistically significant differences were observed, was $</w:t>
      </w:r>
      <w:r w:rsidR="00164471">
        <w:t>1,493</w:t>
      </w:r>
      <w:r>
        <w:t xml:space="preserve"> per participant. This cost was associated with statistically significant improvements in the following biomedical indices for participants with </w:t>
      </w:r>
      <w:proofErr w:type="gramStart"/>
      <w:r>
        <w:t>pre</w:t>
      </w:r>
      <w:proofErr w:type="gramEnd"/>
      <w:r>
        <w:t xml:space="preserve"> and post-intervention measures:</w:t>
      </w:r>
      <w:r w:rsidR="006A69BD">
        <w:t xml:space="preserve"> glycated </w:t>
      </w:r>
      <w:proofErr w:type="spellStart"/>
      <w:r w:rsidR="006A69BD">
        <w:t>haemoglobin</w:t>
      </w:r>
      <w:proofErr w:type="spellEnd"/>
      <w:r w:rsidR="006A69BD">
        <w:t xml:space="preserve"> (HbA1c) for participants with a clinical diagnosis of T2DM, diastolic blood pressure (DBP), total cholesterol (TC), low density lipoprotein cholesterol (LDL-C), triglycerides (TG), cardiovascular risk 5-year risk (CVD 5-year risk) and estimated glomerular filtration rate (eGFR</w:t>
      </w:r>
      <w:r w:rsidR="006A69BD" w:rsidRPr="0082142E">
        <w:t xml:space="preserve">) (Table </w:t>
      </w:r>
      <w:r w:rsidR="00752E49">
        <w:t>5</w:t>
      </w:r>
      <w:r w:rsidR="006A69BD" w:rsidRPr="0082142E">
        <w:t xml:space="preserve">). </w:t>
      </w:r>
    </w:p>
    <w:p w14:paraId="707737A8" w14:textId="2C1A1608" w:rsidR="003E1715" w:rsidRPr="00B45ADE" w:rsidRDefault="003E1715" w:rsidP="006C152D">
      <w:pPr>
        <w:pStyle w:val="TableParagraph"/>
      </w:pPr>
      <w:bookmarkStart w:id="219" w:name="_Toc43820208"/>
      <w:r w:rsidRPr="0082142E">
        <w:t xml:space="preserve">Table </w:t>
      </w:r>
      <w:r w:rsidR="00752E49">
        <w:t>5</w:t>
      </w:r>
      <w:r w:rsidRPr="0082142E">
        <w:t xml:space="preserve">. </w:t>
      </w:r>
      <w:r w:rsidR="004D3450">
        <w:t>Statistically significant i</w:t>
      </w:r>
      <w:r w:rsidR="0009548A">
        <w:t xml:space="preserve">mprovements in </w:t>
      </w:r>
      <w:r w:rsidRPr="00B45ADE">
        <w:t>biomedical indices</w:t>
      </w:r>
      <w:r w:rsidR="0009548A">
        <w:t xml:space="preserve"> relat</w:t>
      </w:r>
      <w:r w:rsidR="004D3450">
        <w:t>ed</w:t>
      </w:r>
      <w:r w:rsidR="0009548A">
        <w:t xml:space="preserve"> to </w:t>
      </w:r>
      <w:r w:rsidR="004D3450">
        <w:t>c</w:t>
      </w:r>
      <w:r w:rsidR="004D3450" w:rsidRPr="0082142E">
        <w:t>ost-consequence analysis</w:t>
      </w:r>
      <w:r w:rsidR="0082142E">
        <w:t>.</w:t>
      </w:r>
      <w:r w:rsidRPr="00B45ADE">
        <w:rPr>
          <w:vertAlign w:val="superscript"/>
        </w:rPr>
        <w:t>1</w:t>
      </w:r>
      <w:bookmarkEnd w:id="219"/>
      <w:r w:rsidR="004D3450" w:rsidRPr="004D3450">
        <w:t xml:space="preserve"> </w:t>
      </w:r>
    </w:p>
    <w:tbl>
      <w:tblPr>
        <w:tblStyle w:val="TableGrid"/>
        <w:tblW w:w="5000" w:type="pct"/>
        <w:tblLook w:val="04A0" w:firstRow="1" w:lastRow="0" w:firstColumn="1" w:lastColumn="0" w:noHBand="0" w:noVBand="1"/>
      </w:tblPr>
      <w:tblGrid>
        <w:gridCol w:w="4966"/>
        <w:gridCol w:w="3307"/>
        <w:gridCol w:w="1356"/>
      </w:tblGrid>
      <w:tr w:rsidR="006A69BD" w:rsidRPr="005239D8" w14:paraId="3D0BBA11" w14:textId="77777777" w:rsidTr="005239D8">
        <w:trPr>
          <w:tblHeader/>
        </w:trPr>
        <w:tc>
          <w:tcPr>
            <w:tcW w:w="2579" w:type="pct"/>
          </w:tcPr>
          <w:p w14:paraId="289F0E9C" w14:textId="77777777" w:rsidR="006A69BD" w:rsidRPr="005239D8" w:rsidRDefault="006A69BD" w:rsidP="007B72B5">
            <w:pPr>
              <w:spacing w:after="0" w:line="240" w:lineRule="auto"/>
              <w:jc w:val="left"/>
              <w:rPr>
                <w:b/>
                <w:bCs/>
                <w:sz w:val="18"/>
                <w:szCs w:val="18"/>
              </w:rPr>
            </w:pPr>
            <w:r w:rsidRPr="005239D8">
              <w:rPr>
                <w:b/>
                <w:bCs/>
                <w:sz w:val="18"/>
                <w:szCs w:val="18"/>
              </w:rPr>
              <w:t>Variable</w:t>
            </w:r>
          </w:p>
        </w:tc>
        <w:tc>
          <w:tcPr>
            <w:tcW w:w="1717" w:type="pct"/>
          </w:tcPr>
          <w:p w14:paraId="1A34D940" w14:textId="77777777" w:rsidR="006A69BD" w:rsidRPr="005239D8" w:rsidRDefault="006A69BD" w:rsidP="00693E4D">
            <w:pPr>
              <w:spacing w:after="0" w:line="240" w:lineRule="auto"/>
              <w:ind w:firstLine="60"/>
              <w:jc w:val="center"/>
              <w:rPr>
                <w:b/>
                <w:bCs/>
                <w:sz w:val="18"/>
                <w:szCs w:val="18"/>
              </w:rPr>
            </w:pPr>
            <w:r w:rsidRPr="005239D8">
              <w:rPr>
                <w:b/>
                <w:bCs/>
                <w:sz w:val="18"/>
                <w:szCs w:val="18"/>
              </w:rPr>
              <w:t>Mean difference in biomedical indices</w:t>
            </w:r>
          </w:p>
          <w:p w14:paraId="787F2950" w14:textId="77777777" w:rsidR="006A69BD" w:rsidRPr="005239D8" w:rsidRDefault="006A69BD" w:rsidP="00693E4D">
            <w:pPr>
              <w:spacing w:after="0" w:line="240" w:lineRule="auto"/>
              <w:ind w:firstLine="62"/>
              <w:jc w:val="center"/>
              <w:rPr>
                <w:b/>
                <w:bCs/>
                <w:sz w:val="18"/>
                <w:szCs w:val="18"/>
              </w:rPr>
            </w:pPr>
            <w:r w:rsidRPr="005239D8">
              <w:rPr>
                <w:b/>
                <w:bCs/>
                <w:sz w:val="18"/>
                <w:szCs w:val="18"/>
              </w:rPr>
              <w:t>mean (SD, 95% CI)</w:t>
            </w:r>
          </w:p>
        </w:tc>
        <w:tc>
          <w:tcPr>
            <w:tcW w:w="704" w:type="pct"/>
          </w:tcPr>
          <w:p w14:paraId="4160E3B0" w14:textId="77777777" w:rsidR="006A69BD" w:rsidRPr="005239D8" w:rsidRDefault="006A69BD" w:rsidP="00693E4D">
            <w:pPr>
              <w:spacing w:after="0" w:line="240" w:lineRule="auto"/>
              <w:ind w:firstLine="19"/>
              <w:jc w:val="center"/>
              <w:rPr>
                <w:b/>
                <w:bCs/>
                <w:sz w:val="18"/>
                <w:szCs w:val="18"/>
              </w:rPr>
            </w:pPr>
            <w:r w:rsidRPr="005239D8">
              <w:rPr>
                <w:b/>
                <w:bCs/>
                <w:sz w:val="18"/>
                <w:szCs w:val="18"/>
              </w:rPr>
              <w:t>p-value</w:t>
            </w:r>
          </w:p>
        </w:tc>
      </w:tr>
      <w:tr w:rsidR="006A69BD" w14:paraId="2A4E0E2F" w14:textId="77777777" w:rsidTr="006A69BD">
        <w:tc>
          <w:tcPr>
            <w:tcW w:w="2579" w:type="pct"/>
          </w:tcPr>
          <w:p w14:paraId="24EE1875" w14:textId="77777777" w:rsidR="006A69BD" w:rsidRPr="0009775C" w:rsidRDefault="006A69BD" w:rsidP="00693E4D">
            <w:pPr>
              <w:spacing w:after="0" w:line="240" w:lineRule="auto"/>
              <w:rPr>
                <w:sz w:val="18"/>
                <w:szCs w:val="18"/>
              </w:rPr>
            </w:pPr>
            <w:r w:rsidRPr="0009775C">
              <w:rPr>
                <w:sz w:val="18"/>
                <w:szCs w:val="18"/>
              </w:rPr>
              <w:t xml:space="preserve">HbA1c mmol/mol </w:t>
            </w:r>
            <w:r w:rsidRPr="0009775C">
              <w:rPr>
                <w:i/>
                <w:sz w:val="18"/>
                <w:szCs w:val="18"/>
              </w:rPr>
              <w:t>[% units]</w:t>
            </w:r>
            <w:r w:rsidRPr="0009775C">
              <w:rPr>
                <w:sz w:val="18"/>
                <w:szCs w:val="18"/>
              </w:rPr>
              <w:t xml:space="preserve"> (n=539</w:t>
            </w:r>
            <w:r>
              <w:rPr>
                <w:sz w:val="18"/>
                <w:szCs w:val="18"/>
              </w:rPr>
              <w:t xml:space="preserve"> in T2DM</w:t>
            </w:r>
            <w:r w:rsidRPr="0009775C">
              <w:rPr>
                <w:sz w:val="18"/>
                <w:szCs w:val="18"/>
              </w:rPr>
              <w:t>)</w:t>
            </w:r>
          </w:p>
        </w:tc>
        <w:tc>
          <w:tcPr>
            <w:tcW w:w="1717" w:type="pct"/>
          </w:tcPr>
          <w:p w14:paraId="2167AC8C" w14:textId="77777777" w:rsidR="006A69BD" w:rsidRPr="0009775C" w:rsidRDefault="006A69BD" w:rsidP="00693E4D">
            <w:pPr>
              <w:spacing w:after="0" w:line="240" w:lineRule="auto"/>
              <w:ind w:firstLine="60"/>
              <w:jc w:val="center"/>
              <w:rPr>
                <w:sz w:val="18"/>
                <w:szCs w:val="18"/>
              </w:rPr>
            </w:pPr>
            <w:r w:rsidRPr="0009775C">
              <w:rPr>
                <w:sz w:val="18"/>
                <w:szCs w:val="18"/>
              </w:rPr>
              <w:t>-2.8 (19.5, -4.5 to -1.0)</w:t>
            </w:r>
          </w:p>
          <w:p w14:paraId="21533414" w14:textId="77777777" w:rsidR="006A69BD" w:rsidRPr="0009775C" w:rsidRDefault="006A69BD" w:rsidP="00693E4D">
            <w:pPr>
              <w:spacing w:after="0" w:line="240" w:lineRule="auto"/>
              <w:ind w:firstLine="60"/>
              <w:jc w:val="center"/>
              <w:rPr>
                <w:i/>
                <w:sz w:val="18"/>
                <w:szCs w:val="18"/>
              </w:rPr>
            </w:pPr>
            <w:r w:rsidRPr="0009775C">
              <w:rPr>
                <w:i/>
                <w:sz w:val="18"/>
                <w:szCs w:val="18"/>
              </w:rPr>
              <w:t>[-0.3% (3.9%, -0.4% to -0.1%)]</w:t>
            </w:r>
          </w:p>
        </w:tc>
        <w:tc>
          <w:tcPr>
            <w:tcW w:w="704" w:type="pct"/>
          </w:tcPr>
          <w:p w14:paraId="1001A61B" w14:textId="77777777" w:rsidR="006A69BD" w:rsidRPr="0009775C" w:rsidRDefault="006A69BD" w:rsidP="00693E4D">
            <w:pPr>
              <w:spacing w:after="0" w:line="240" w:lineRule="auto"/>
              <w:ind w:firstLine="19"/>
              <w:jc w:val="center"/>
              <w:rPr>
                <w:sz w:val="18"/>
                <w:szCs w:val="18"/>
              </w:rPr>
            </w:pPr>
            <w:r w:rsidRPr="0009775C">
              <w:rPr>
                <w:sz w:val="18"/>
                <w:szCs w:val="18"/>
              </w:rPr>
              <w:t>0.001</w:t>
            </w:r>
          </w:p>
        </w:tc>
      </w:tr>
      <w:tr w:rsidR="006A69BD" w14:paraId="4EC90077" w14:textId="77777777" w:rsidTr="006A69BD">
        <w:tc>
          <w:tcPr>
            <w:tcW w:w="2579" w:type="pct"/>
          </w:tcPr>
          <w:p w14:paraId="0F82F9A5" w14:textId="77777777" w:rsidR="006A69BD" w:rsidRPr="0009775C" w:rsidRDefault="006A69BD" w:rsidP="00693E4D">
            <w:pPr>
              <w:spacing w:after="0" w:line="240" w:lineRule="auto"/>
              <w:rPr>
                <w:sz w:val="18"/>
                <w:szCs w:val="18"/>
              </w:rPr>
            </w:pPr>
            <w:r w:rsidRPr="0009775C">
              <w:rPr>
                <w:sz w:val="18"/>
                <w:szCs w:val="18"/>
              </w:rPr>
              <w:t>DBP, mmHg (n=1045)</w:t>
            </w:r>
          </w:p>
        </w:tc>
        <w:tc>
          <w:tcPr>
            <w:tcW w:w="1717" w:type="pct"/>
          </w:tcPr>
          <w:p w14:paraId="2AD34876" w14:textId="77777777" w:rsidR="006A69BD" w:rsidRPr="0009775C" w:rsidRDefault="006A69BD" w:rsidP="00693E4D">
            <w:pPr>
              <w:spacing w:after="0" w:line="240" w:lineRule="auto"/>
              <w:ind w:firstLine="60"/>
              <w:jc w:val="center"/>
              <w:rPr>
                <w:sz w:val="18"/>
                <w:szCs w:val="18"/>
              </w:rPr>
            </w:pPr>
            <w:r w:rsidRPr="0009775C">
              <w:rPr>
                <w:sz w:val="18"/>
                <w:szCs w:val="18"/>
              </w:rPr>
              <w:t>-0.8 (9.4, -1.4 to -0.2)</w:t>
            </w:r>
          </w:p>
        </w:tc>
        <w:tc>
          <w:tcPr>
            <w:tcW w:w="704" w:type="pct"/>
          </w:tcPr>
          <w:p w14:paraId="068F9EBA" w14:textId="77777777" w:rsidR="006A69BD" w:rsidRPr="0009775C" w:rsidRDefault="006A69BD" w:rsidP="00693E4D">
            <w:pPr>
              <w:spacing w:after="0" w:line="240" w:lineRule="auto"/>
              <w:ind w:firstLine="19"/>
              <w:jc w:val="center"/>
              <w:rPr>
                <w:sz w:val="18"/>
                <w:szCs w:val="18"/>
              </w:rPr>
            </w:pPr>
            <w:r w:rsidRPr="0009775C">
              <w:rPr>
                <w:sz w:val="18"/>
                <w:szCs w:val="18"/>
              </w:rPr>
              <w:t>0.008</w:t>
            </w:r>
          </w:p>
        </w:tc>
      </w:tr>
      <w:tr w:rsidR="006A69BD" w14:paraId="36033501" w14:textId="77777777" w:rsidTr="006A69BD">
        <w:tc>
          <w:tcPr>
            <w:tcW w:w="2579" w:type="pct"/>
          </w:tcPr>
          <w:p w14:paraId="1023A63B" w14:textId="77777777" w:rsidR="006A69BD" w:rsidRPr="0009775C" w:rsidRDefault="006A69BD" w:rsidP="00693E4D">
            <w:pPr>
              <w:spacing w:after="0" w:line="240" w:lineRule="auto"/>
              <w:rPr>
                <w:sz w:val="18"/>
                <w:szCs w:val="18"/>
              </w:rPr>
            </w:pPr>
            <w:r w:rsidRPr="0009775C">
              <w:rPr>
                <w:sz w:val="18"/>
                <w:szCs w:val="18"/>
              </w:rPr>
              <w:t>TC, mmol/L (n=660)</w:t>
            </w:r>
          </w:p>
        </w:tc>
        <w:tc>
          <w:tcPr>
            <w:tcW w:w="1717" w:type="pct"/>
          </w:tcPr>
          <w:p w14:paraId="7E127CE8" w14:textId="77777777" w:rsidR="006A69BD" w:rsidRPr="0009775C" w:rsidRDefault="006A69BD" w:rsidP="00693E4D">
            <w:pPr>
              <w:spacing w:after="0" w:line="240" w:lineRule="auto"/>
              <w:ind w:firstLine="60"/>
              <w:jc w:val="center"/>
              <w:rPr>
                <w:sz w:val="18"/>
                <w:szCs w:val="18"/>
              </w:rPr>
            </w:pPr>
            <w:r w:rsidRPr="0009775C">
              <w:rPr>
                <w:sz w:val="18"/>
                <w:szCs w:val="18"/>
              </w:rPr>
              <w:t>-0.15 (0.77, -0.22 to -0.09)</w:t>
            </w:r>
          </w:p>
        </w:tc>
        <w:tc>
          <w:tcPr>
            <w:tcW w:w="704" w:type="pct"/>
          </w:tcPr>
          <w:p w14:paraId="264EBF07" w14:textId="77777777" w:rsidR="006A69BD" w:rsidRPr="0009775C" w:rsidRDefault="006A69BD" w:rsidP="00693E4D">
            <w:pPr>
              <w:spacing w:after="0" w:line="240" w:lineRule="auto"/>
              <w:ind w:firstLine="19"/>
              <w:jc w:val="center"/>
              <w:rPr>
                <w:sz w:val="18"/>
                <w:szCs w:val="18"/>
              </w:rPr>
            </w:pPr>
            <w:r w:rsidRPr="0009775C">
              <w:rPr>
                <w:sz w:val="18"/>
                <w:szCs w:val="18"/>
              </w:rPr>
              <w:t>&lt;0.001</w:t>
            </w:r>
          </w:p>
        </w:tc>
      </w:tr>
      <w:tr w:rsidR="006A69BD" w14:paraId="1E3FC62F" w14:textId="77777777" w:rsidTr="006A69BD">
        <w:tc>
          <w:tcPr>
            <w:tcW w:w="2579" w:type="pct"/>
          </w:tcPr>
          <w:p w14:paraId="34152973" w14:textId="77777777" w:rsidR="006A69BD" w:rsidRPr="0009775C" w:rsidRDefault="006A69BD" w:rsidP="00693E4D">
            <w:pPr>
              <w:spacing w:after="0" w:line="240" w:lineRule="auto"/>
              <w:rPr>
                <w:sz w:val="18"/>
                <w:szCs w:val="18"/>
              </w:rPr>
            </w:pPr>
            <w:r w:rsidRPr="0009775C">
              <w:rPr>
                <w:sz w:val="18"/>
                <w:szCs w:val="18"/>
              </w:rPr>
              <w:t>LDL-C mmol/L (n=575)</w:t>
            </w:r>
          </w:p>
        </w:tc>
        <w:tc>
          <w:tcPr>
            <w:tcW w:w="1717" w:type="pct"/>
          </w:tcPr>
          <w:p w14:paraId="0843035E" w14:textId="77777777" w:rsidR="006A69BD" w:rsidRPr="0009775C" w:rsidRDefault="006A69BD" w:rsidP="00693E4D">
            <w:pPr>
              <w:spacing w:after="0" w:line="240" w:lineRule="auto"/>
              <w:ind w:firstLine="60"/>
              <w:jc w:val="center"/>
              <w:rPr>
                <w:sz w:val="18"/>
                <w:szCs w:val="18"/>
              </w:rPr>
            </w:pPr>
            <w:r w:rsidRPr="0009775C">
              <w:rPr>
                <w:sz w:val="18"/>
                <w:szCs w:val="18"/>
              </w:rPr>
              <w:t>-0.08 (0.48, -0.13 to -0.03)</w:t>
            </w:r>
          </w:p>
        </w:tc>
        <w:tc>
          <w:tcPr>
            <w:tcW w:w="704" w:type="pct"/>
          </w:tcPr>
          <w:p w14:paraId="0DE4D158" w14:textId="77777777" w:rsidR="006A69BD" w:rsidRPr="0009775C" w:rsidRDefault="006A69BD" w:rsidP="00693E4D">
            <w:pPr>
              <w:spacing w:after="0" w:line="240" w:lineRule="auto"/>
              <w:ind w:firstLine="19"/>
              <w:jc w:val="center"/>
              <w:rPr>
                <w:sz w:val="18"/>
                <w:szCs w:val="18"/>
              </w:rPr>
            </w:pPr>
            <w:r w:rsidRPr="0009775C">
              <w:rPr>
                <w:sz w:val="18"/>
                <w:szCs w:val="18"/>
              </w:rPr>
              <w:t>0.001</w:t>
            </w:r>
          </w:p>
        </w:tc>
      </w:tr>
      <w:tr w:rsidR="006A69BD" w14:paraId="1C48B83C" w14:textId="77777777" w:rsidTr="006A69BD">
        <w:tc>
          <w:tcPr>
            <w:tcW w:w="2579" w:type="pct"/>
          </w:tcPr>
          <w:p w14:paraId="0FA2A8CF" w14:textId="77777777" w:rsidR="006A69BD" w:rsidRPr="0009775C" w:rsidRDefault="006A69BD" w:rsidP="00693E4D">
            <w:pPr>
              <w:spacing w:after="0" w:line="240" w:lineRule="auto"/>
              <w:rPr>
                <w:sz w:val="18"/>
                <w:szCs w:val="18"/>
              </w:rPr>
            </w:pPr>
            <w:r w:rsidRPr="0009775C">
              <w:rPr>
                <w:sz w:val="18"/>
                <w:szCs w:val="18"/>
              </w:rPr>
              <w:t>TG mmol/L (n=730)</w:t>
            </w:r>
          </w:p>
        </w:tc>
        <w:tc>
          <w:tcPr>
            <w:tcW w:w="1717" w:type="pct"/>
          </w:tcPr>
          <w:p w14:paraId="2A64720D" w14:textId="77777777" w:rsidR="006A69BD" w:rsidRPr="0009775C" w:rsidRDefault="006A69BD" w:rsidP="00693E4D">
            <w:pPr>
              <w:spacing w:after="0" w:line="240" w:lineRule="auto"/>
              <w:ind w:firstLine="60"/>
              <w:jc w:val="center"/>
              <w:rPr>
                <w:sz w:val="18"/>
                <w:szCs w:val="18"/>
              </w:rPr>
            </w:pPr>
            <w:r w:rsidRPr="0009775C">
              <w:rPr>
                <w:sz w:val="18"/>
                <w:szCs w:val="18"/>
              </w:rPr>
              <w:t>-0.11 (1.08, -0.20 to -0.01)</w:t>
            </w:r>
          </w:p>
        </w:tc>
        <w:tc>
          <w:tcPr>
            <w:tcW w:w="704" w:type="pct"/>
          </w:tcPr>
          <w:p w14:paraId="6A78184A" w14:textId="77777777" w:rsidR="006A69BD" w:rsidRPr="0009775C" w:rsidRDefault="006A69BD" w:rsidP="00693E4D">
            <w:pPr>
              <w:spacing w:after="0" w:line="240" w:lineRule="auto"/>
              <w:ind w:firstLine="19"/>
              <w:jc w:val="center"/>
              <w:rPr>
                <w:sz w:val="18"/>
                <w:szCs w:val="18"/>
              </w:rPr>
            </w:pPr>
            <w:r w:rsidRPr="0009775C">
              <w:rPr>
                <w:sz w:val="18"/>
                <w:szCs w:val="18"/>
              </w:rPr>
              <w:t>0.006</w:t>
            </w:r>
          </w:p>
        </w:tc>
      </w:tr>
      <w:tr w:rsidR="006A69BD" w14:paraId="19F61DE9" w14:textId="77777777" w:rsidTr="006A69BD">
        <w:tc>
          <w:tcPr>
            <w:tcW w:w="2579" w:type="pct"/>
          </w:tcPr>
          <w:p w14:paraId="2CD0981C" w14:textId="77777777" w:rsidR="006A69BD" w:rsidRPr="0009775C" w:rsidRDefault="006A69BD" w:rsidP="00693E4D">
            <w:pPr>
              <w:spacing w:after="0" w:line="240" w:lineRule="auto"/>
              <w:rPr>
                <w:sz w:val="18"/>
                <w:szCs w:val="18"/>
              </w:rPr>
            </w:pPr>
            <w:r w:rsidRPr="0009775C">
              <w:rPr>
                <w:sz w:val="18"/>
                <w:szCs w:val="18"/>
              </w:rPr>
              <w:t>CVD 5-year risk % units (n=38)</w:t>
            </w:r>
          </w:p>
        </w:tc>
        <w:tc>
          <w:tcPr>
            <w:tcW w:w="1717" w:type="pct"/>
          </w:tcPr>
          <w:p w14:paraId="0E98E930" w14:textId="77777777" w:rsidR="006A69BD" w:rsidRPr="0009775C" w:rsidRDefault="006A69BD" w:rsidP="00693E4D">
            <w:pPr>
              <w:spacing w:after="0" w:line="240" w:lineRule="auto"/>
              <w:jc w:val="center"/>
              <w:rPr>
                <w:sz w:val="18"/>
                <w:szCs w:val="18"/>
              </w:rPr>
            </w:pPr>
            <w:r w:rsidRPr="0009775C">
              <w:rPr>
                <w:sz w:val="18"/>
                <w:szCs w:val="18"/>
              </w:rPr>
              <w:t>-1.0 (2.6, -1.8 to -0.12)</w:t>
            </w:r>
          </w:p>
        </w:tc>
        <w:tc>
          <w:tcPr>
            <w:tcW w:w="704" w:type="pct"/>
          </w:tcPr>
          <w:p w14:paraId="1B36A21E" w14:textId="77777777" w:rsidR="006A69BD" w:rsidRPr="0009775C" w:rsidRDefault="006A69BD" w:rsidP="00693E4D">
            <w:pPr>
              <w:spacing w:after="0" w:line="240" w:lineRule="auto"/>
              <w:jc w:val="center"/>
              <w:rPr>
                <w:sz w:val="18"/>
                <w:szCs w:val="18"/>
              </w:rPr>
            </w:pPr>
            <w:r w:rsidRPr="0009775C">
              <w:rPr>
                <w:sz w:val="18"/>
                <w:szCs w:val="18"/>
              </w:rPr>
              <w:t>0.027</w:t>
            </w:r>
          </w:p>
        </w:tc>
      </w:tr>
      <w:tr w:rsidR="006A69BD" w14:paraId="0DF511FD" w14:textId="77777777" w:rsidTr="006A69BD">
        <w:tc>
          <w:tcPr>
            <w:tcW w:w="2579" w:type="pct"/>
          </w:tcPr>
          <w:p w14:paraId="11E6324A" w14:textId="77777777" w:rsidR="006A69BD" w:rsidRPr="0009775C" w:rsidRDefault="006A69BD" w:rsidP="00693E4D">
            <w:pPr>
              <w:spacing w:after="0" w:line="240" w:lineRule="auto"/>
              <w:rPr>
                <w:sz w:val="18"/>
                <w:szCs w:val="18"/>
              </w:rPr>
            </w:pPr>
            <w:r w:rsidRPr="0009775C">
              <w:rPr>
                <w:sz w:val="18"/>
                <w:szCs w:val="18"/>
              </w:rPr>
              <w:t>eGFR (no minimum follow-up time) ml/min/1.73m</w:t>
            </w:r>
            <w:r w:rsidRPr="0009775C">
              <w:rPr>
                <w:sz w:val="18"/>
                <w:szCs w:val="18"/>
                <w:vertAlign w:val="superscript"/>
              </w:rPr>
              <w:t>2</w:t>
            </w:r>
            <w:r w:rsidRPr="0009775C">
              <w:rPr>
                <w:sz w:val="18"/>
                <w:szCs w:val="18"/>
              </w:rPr>
              <w:t xml:space="preserve"> (n=895)</w:t>
            </w:r>
          </w:p>
        </w:tc>
        <w:tc>
          <w:tcPr>
            <w:tcW w:w="1717" w:type="pct"/>
          </w:tcPr>
          <w:p w14:paraId="4887C8EC" w14:textId="77777777" w:rsidR="006A69BD" w:rsidRPr="0009775C" w:rsidRDefault="006A69BD" w:rsidP="00693E4D">
            <w:pPr>
              <w:spacing w:after="0" w:line="240" w:lineRule="auto"/>
              <w:jc w:val="center"/>
              <w:rPr>
                <w:sz w:val="18"/>
                <w:szCs w:val="18"/>
              </w:rPr>
            </w:pPr>
            <w:r w:rsidRPr="0009775C">
              <w:rPr>
                <w:sz w:val="18"/>
                <w:szCs w:val="18"/>
              </w:rPr>
              <w:t>1.9 (25.7, 0.1 to 3.7)</w:t>
            </w:r>
          </w:p>
        </w:tc>
        <w:tc>
          <w:tcPr>
            <w:tcW w:w="704" w:type="pct"/>
          </w:tcPr>
          <w:p w14:paraId="1C33E56C" w14:textId="77777777" w:rsidR="006A69BD" w:rsidRPr="0009775C" w:rsidRDefault="006A69BD" w:rsidP="00693E4D">
            <w:pPr>
              <w:spacing w:after="0" w:line="240" w:lineRule="auto"/>
              <w:jc w:val="center"/>
              <w:rPr>
                <w:sz w:val="18"/>
                <w:szCs w:val="18"/>
              </w:rPr>
            </w:pPr>
            <w:r w:rsidRPr="0009775C">
              <w:rPr>
                <w:sz w:val="18"/>
                <w:szCs w:val="18"/>
              </w:rPr>
              <w:t>&lt;0.001</w:t>
            </w:r>
          </w:p>
        </w:tc>
      </w:tr>
      <w:tr w:rsidR="006A69BD" w:rsidRPr="0009775C" w14:paraId="5E3CD9A6" w14:textId="77777777" w:rsidTr="006A69BD">
        <w:tc>
          <w:tcPr>
            <w:tcW w:w="2579" w:type="pct"/>
          </w:tcPr>
          <w:p w14:paraId="0DBFE1C4" w14:textId="77777777" w:rsidR="006A69BD" w:rsidRPr="00B45ADE" w:rsidRDefault="006A69BD" w:rsidP="00693E4D">
            <w:pPr>
              <w:spacing w:after="0" w:line="240" w:lineRule="auto"/>
              <w:rPr>
                <w:sz w:val="18"/>
                <w:szCs w:val="18"/>
              </w:rPr>
            </w:pPr>
            <w:r w:rsidRPr="0009775C">
              <w:rPr>
                <w:sz w:val="18"/>
                <w:szCs w:val="18"/>
              </w:rPr>
              <w:t>eGFR (</w:t>
            </w:r>
            <w:r>
              <w:rPr>
                <w:sz w:val="18"/>
                <w:szCs w:val="18"/>
              </w:rPr>
              <w:t>6-month</w:t>
            </w:r>
            <w:r w:rsidRPr="0009775C">
              <w:rPr>
                <w:sz w:val="18"/>
                <w:szCs w:val="18"/>
              </w:rPr>
              <w:t xml:space="preserve"> follow-up time) ml/min/1.73m</w:t>
            </w:r>
            <w:r w:rsidRPr="00B45ADE">
              <w:rPr>
                <w:sz w:val="18"/>
                <w:szCs w:val="18"/>
                <w:vertAlign w:val="superscript"/>
              </w:rPr>
              <w:t>2</w:t>
            </w:r>
            <w:r w:rsidRPr="00B45ADE">
              <w:rPr>
                <w:sz w:val="18"/>
                <w:szCs w:val="18"/>
              </w:rPr>
              <w:t xml:space="preserve"> (n=895)</w:t>
            </w:r>
          </w:p>
        </w:tc>
        <w:tc>
          <w:tcPr>
            <w:tcW w:w="1717" w:type="pct"/>
          </w:tcPr>
          <w:p w14:paraId="0E83997F" w14:textId="77777777" w:rsidR="006A69BD" w:rsidRPr="00B45ADE" w:rsidRDefault="006A69BD" w:rsidP="00693E4D">
            <w:pPr>
              <w:spacing w:after="0" w:line="240" w:lineRule="auto"/>
              <w:jc w:val="center"/>
              <w:rPr>
                <w:sz w:val="18"/>
                <w:szCs w:val="18"/>
              </w:rPr>
            </w:pPr>
            <w:r w:rsidRPr="00B45ADE">
              <w:rPr>
                <w:sz w:val="18"/>
                <w:szCs w:val="18"/>
              </w:rPr>
              <w:t>-0.2 (36.0, -2.99 to 2.7)</w:t>
            </w:r>
          </w:p>
        </w:tc>
        <w:tc>
          <w:tcPr>
            <w:tcW w:w="704" w:type="pct"/>
          </w:tcPr>
          <w:p w14:paraId="69A446CB" w14:textId="77777777" w:rsidR="006A69BD" w:rsidRPr="00B45ADE" w:rsidRDefault="006A69BD" w:rsidP="00693E4D">
            <w:pPr>
              <w:spacing w:after="0" w:line="240" w:lineRule="auto"/>
              <w:jc w:val="center"/>
              <w:rPr>
                <w:sz w:val="18"/>
                <w:szCs w:val="18"/>
              </w:rPr>
            </w:pPr>
            <w:r w:rsidRPr="00B45ADE">
              <w:rPr>
                <w:sz w:val="18"/>
                <w:szCs w:val="18"/>
              </w:rPr>
              <w:t>0.034</w:t>
            </w:r>
          </w:p>
        </w:tc>
      </w:tr>
    </w:tbl>
    <w:p w14:paraId="5F769177" w14:textId="3F4F27E8" w:rsidR="003E1715" w:rsidRDefault="003E1715" w:rsidP="003E1715">
      <w:pPr>
        <w:spacing w:line="240" w:lineRule="auto"/>
        <w:rPr>
          <w:sz w:val="18"/>
          <w:szCs w:val="18"/>
        </w:rPr>
      </w:pPr>
      <w:r>
        <w:rPr>
          <w:sz w:val="18"/>
          <w:szCs w:val="18"/>
        </w:rPr>
        <w:t xml:space="preserve">1. Data pertains to biomedical indices with mean difference that was statistically significant at the 0.05 level, as sourced from clinical endpoint report </w:t>
      </w:r>
      <w:r w:rsidRPr="00EA0D50">
        <w:rPr>
          <w:sz w:val="18"/>
          <w:szCs w:val="18"/>
        </w:rPr>
        <w:t>(</w:t>
      </w:r>
      <w:r w:rsidR="00EA0D50" w:rsidRPr="00EA0D50">
        <w:rPr>
          <w:sz w:val="18"/>
          <w:szCs w:val="18"/>
        </w:rPr>
        <w:t>Appendix 9</w:t>
      </w:r>
      <w:r w:rsidRPr="00EA0D50">
        <w:rPr>
          <w:sz w:val="18"/>
          <w:szCs w:val="18"/>
        </w:rPr>
        <w:t>)</w:t>
      </w:r>
      <w:r>
        <w:rPr>
          <w:sz w:val="18"/>
          <w:szCs w:val="18"/>
        </w:rPr>
        <w:t xml:space="preserve"> and </w:t>
      </w:r>
      <w:r w:rsidR="00B016EC">
        <w:rPr>
          <w:sz w:val="18"/>
          <w:szCs w:val="18"/>
        </w:rPr>
        <w:t>MSAC Assessment Report</w:t>
      </w:r>
      <w:r>
        <w:rPr>
          <w:sz w:val="18"/>
          <w:szCs w:val="18"/>
        </w:rPr>
        <w:t xml:space="preserve">.  </w:t>
      </w:r>
    </w:p>
    <w:p w14:paraId="31BB1489"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 xml:space="preserve">CVD= cardiovascular disease. </w:t>
      </w:r>
    </w:p>
    <w:p w14:paraId="710FA59B"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DBP= diastolic blood pressure</w:t>
      </w:r>
    </w:p>
    <w:p w14:paraId="00512359"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eGFR= estimated glomerular filtration rate</w:t>
      </w:r>
    </w:p>
    <w:p w14:paraId="43C5C082"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lastRenderedPageBreak/>
        <w:t xml:space="preserve">HbA1C= glycated </w:t>
      </w:r>
      <w:proofErr w:type="spellStart"/>
      <w:r w:rsidRPr="00E02031">
        <w:rPr>
          <w:rFonts w:asciiTheme="minorHAnsi" w:hAnsiTheme="minorHAnsi" w:cstheme="minorHAnsi"/>
          <w:color w:val="000000"/>
          <w:sz w:val="16"/>
          <w:szCs w:val="16"/>
        </w:rPr>
        <w:t>haemoglobin</w:t>
      </w:r>
      <w:proofErr w:type="spellEnd"/>
    </w:p>
    <w:p w14:paraId="14771765"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LDL-C= low density lipoprotein cholesterol</w:t>
      </w:r>
    </w:p>
    <w:p w14:paraId="37C9293A"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TC= total cholesterol</w:t>
      </w:r>
    </w:p>
    <w:p w14:paraId="3B3F5E01"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TG= triglycerides</w:t>
      </w:r>
    </w:p>
    <w:p w14:paraId="09060E3B" w14:textId="77777777" w:rsidR="003E1715" w:rsidRDefault="003E1715" w:rsidP="003E1715">
      <w:pPr>
        <w:spacing w:line="240" w:lineRule="auto"/>
      </w:pPr>
      <w:r w:rsidRPr="000B12C1">
        <w:rPr>
          <w:rFonts w:asciiTheme="minorHAnsi" w:hAnsiTheme="minorHAnsi" w:cstheme="minorHAnsi"/>
          <w:sz w:val="16"/>
          <w:szCs w:val="16"/>
        </w:rPr>
        <w:t>T2DM= type 2 diabetes mellitus</w:t>
      </w:r>
    </w:p>
    <w:p w14:paraId="1CB80E3E" w14:textId="780A94BF" w:rsidR="00777E6E" w:rsidRDefault="00777E6E" w:rsidP="00777E6E">
      <w:r>
        <w:t>The cost-effectiveness analysis was undertaken for: (</w:t>
      </w:r>
      <w:proofErr w:type="spellStart"/>
      <w:r>
        <w:t>i</w:t>
      </w:r>
      <w:proofErr w:type="spellEnd"/>
      <w:r>
        <w:t>) participants with a clinical diagnosis of T2DM with pre- and post-measures of HbA1c and (ii) participants selected for MAI assessments at baseline and at the end of the study, with potential prescribing omissions used as the relevant outcome measure.</w:t>
      </w:r>
      <w:r w:rsidR="00361852">
        <w:rPr>
          <w:rStyle w:val="EndnoteReference"/>
        </w:rPr>
        <w:endnoteReference w:id="51"/>
      </w:r>
      <w:r w:rsidR="00361852">
        <w:t xml:space="preserve">  </w:t>
      </w:r>
      <w:r>
        <w:t xml:space="preserve">For participants with a clinical diagnosis of T2DM, and with pre and post-measures of HbA1c, </w:t>
      </w:r>
      <w:r w:rsidRPr="00F608E6">
        <w:t xml:space="preserve">costs </w:t>
      </w:r>
      <w:r>
        <w:t xml:space="preserve"> </w:t>
      </w:r>
      <w:r w:rsidRPr="00F608E6">
        <w:t xml:space="preserve">and outcomes for the </w:t>
      </w:r>
      <w:r w:rsidRPr="000740D5">
        <w:t xml:space="preserve">IPAC intervention compared with no IPAC intervention </w:t>
      </w:r>
      <w:r>
        <w:t xml:space="preserve">(the comparator) </w:t>
      </w:r>
      <w:r w:rsidR="00361852">
        <w:t>found</w:t>
      </w:r>
      <w:r w:rsidRPr="000740D5">
        <w:t xml:space="preserve"> </w:t>
      </w:r>
      <w:r w:rsidR="00361852">
        <w:t>t</w:t>
      </w:r>
      <w:r w:rsidRPr="000740D5">
        <w:t xml:space="preserve">he </w:t>
      </w:r>
      <w:r w:rsidR="00361852">
        <w:t>incremental cost effectiveness ratio (</w:t>
      </w:r>
      <w:r w:rsidRPr="000740D5">
        <w:t>ICER</w:t>
      </w:r>
      <w:r w:rsidR="00361852">
        <w:t>)</w:t>
      </w:r>
      <w:r w:rsidRPr="000740D5">
        <w:t xml:space="preserve"> of the IPAC intervention</w:t>
      </w:r>
      <w:r w:rsidR="00361852">
        <w:t>,</w:t>
      </w:r>
      <w:r w:rsidRPr="000740D5">
        <w:t xml:space="preserve"> versus no IPAC intervention </w:t>
      </w:r>
      <w:r>
        <w:t>wa</w:t>
      </w:r>
      <w:r w:rsidRPr="000740D5">
        <w:t>s $3,</w:t>
      </w:r>
      <w:r w:rsidR="00164471">
        <w:t>769</w:t>
      </w:r>
      <w:r w:rsidRPr="000740D5">
        <w:t xml:space="preserve"> </w:t>
      </w:r>
      <w:r>
        <w:t>($</w:t>
      </w:r>
      <w:r w:rsidR="00164471">
        <w:t>753,774</w:t>
      </w:r>
      <w:r>
        <w:t xml:space="preserve">/200) </w:t>
      </w:r>
      <w:r w:rsidRPr="000740D5">
        <w:t>per participant with a clinically meaningful reduction in HbA1c</w:t>
      </w:r>
      <w:r>
        <w:t xml:space="preserve"> of at least 0.5%</w:t>
      </w:r>
      <w:r w:rsidRPr="000740D5">
        <w:t>.</w:t>
      </w:r>
      <w:r w:rsidR="00B016EC">
        <w:rPr>
          <w:rStyle w:val="EndnoteReference"/>
        </w:rPr>
        <w:endnoteReference w:id="52"/>
      </w:r>
    </w:p>
    <w:p w14:paraId="6D198278" w14:textId="4CB54CE9" w:rsidR="00361852" w:rsidRPr="00F608E6" w:rsidRDefault="00361852" w:rsidP="00361852">
      <w:r>
        <w:t xml:space="preserve">For the sample of </w:t>
      </w:r>
      <w:r w:rsidRPr="00AE16BC">
        <w:t xml:space="preserve">participants </w:t>
      </w:r>
      <w:r>
        <w:t xml:space="preserve">assessed for the </w:t>
      </w:r>
      <w:proofErr w:type="spellStart"/>
      <w:r>
        <w:t>underutilisation</w:t>
      </w:r>
      <w:proofErr w:type="spellEnd"/>
      <w:r>
        <w:t xml:space="preserve"> of medications (AOU)</w:t>
      </w:r>
      <w:r w:rsidRPr="00AE16BC">
        <w:t xml:space="preserve">, </w:t>
      </w:r>
      <w:r>
        <w:t>t</w:t>
      </w:r>
      <w:r w:rsidRPr="00013791">
        <w:t>he</w:t>
      </w:r>
      <w:r>
        <w:t xml:space="preserve"> </w:t>
      </w:r>
      <w:r w:rsidRPr="000740D5">
        <w:t xml:space="preserve">ICER of the IPAC intervention versus no IPAC intervention </w:t>
      </w:r>
      <w:r>
        <w:t>wa</w:t>
      </w:r>
      <w:r w:rsidRPr="000740D5">
        <w:t>s $</w:t>
      </w:r>
      <w:r>
        <w:t>6</w:t>
      </w:r>
      <w:r w:rsidRPr="000740D5">
        <w:t>,</w:t>
      </w:r>
      <w:r>
        <w:t>809</w:t>
      </w:r>
      <w:r w:rsidRPr="000740D5">
        <w:t xml:space="preserve"> per </w:t>
      </w:r>
      <w:r>
        <w:t xml:space="preserve">reduction in the number of </w:t>
      </w:r>
      <w:r w:rsidRPr="000740D5">
        <w:t xml:space="preserve">participants with a </w:t>
      </w:r>
      <w:r>
        <w:t>potential prescribing omission</w:t>
      </w:r>
      <w:r w:rsidRPr="000740D5">
        <w:t xml:space="preserve">. </w:t>
      </w:r>
    </w:p>
    <w:p w14:paraId="2D2A14A2" w14:textId="03D5EE65" w:rsidR="00164471" w:rsidRDefault="00D46DCC" w:rsidP="00164471">
      <w:pPr>
        <w:widowControl/>
        <w:contextualSpacing/>
      </w:pPr>
      <w:r>
        <w:t>A c</w:t>
      </w:r>
      <w:r w:rsidR="0072306A">
        <w:t xml:space="preserve">ost-utility analysis </w:t>
      </w:r>
      <w:r>
        <w:t xml:space="preserve">was undertaken </w:t>
      </w:r>
      <w:r w:rsidR="0072306A">
        <w:t>f</w:t>
      </w:r>
      <w:r w:rsidR="005940D5">
        <w:t xml:space="preserve">or participants with a clinical diagnosis of T2DM, and with </w:t>
      </w:r>
      <w:proofErr w:type="gramStart"/>
      <w:r w:rsidR="005940D5">
        <w:t>pre</w:t>
      </w:r>
      <w:proofErr w:type="gramEnd"/>
      <w:r w:rsidR="005940D5">
        <w:t xml:space="preserve"> and post-measures of HbA1c, </w:t>
      </w:r>
      <w:r>
        <w:t xml:space="preserve">with </w:t>
      </w:r>
      <w:r w:rsidR="005940D5">
        <w:t xml:space="preserve">changes in HbA1c during the trial period </w:t>
      </w:r>
      <w:r>
        <w:t>being</w:t>
      </w:r>
      <w:r w:rsidR="005940D5">
        <w:t xml:space="preserve"> mapped to lifetime quality of life changes based on the findings of a systematic review</w:t>
      </w:r>
      <w:r w:rsidR="0072306A">
        <w:t>.</w:t>
      </w:r>
      <w:r>
        <w:rPr>
          <w:rStyle w:val="EndnoteReference"/>
        </w:rPr>
        <w:endnoteReference w:id="53"/>
      </w:r>
      <w:r>
        <w:t xml:space="preserve">  </w:t>
      </w:r>
      <w:r w:rsidR="005940D5" w:rsidRPr="00164471">
        <w:t xml:space="preserve">Findings of the systematic review based on multivariable regression indicated a linear relationship of every 1% decrease in HbA1c resulting in a 0.371 (95% CI 0.282-0.456) increase in </w:t>
      </w:r>
      <w:r w:rsidRPr="00164471">
        <w:t>quality-adjusted life years (</w:t>
      </w:r>
      <w:r w:rsidR="005940D5" w:rsidRPr="00164471">
        <w:t>QALYs</w:t>
      </w:r>
      <w:r w:rsidRPr="00164471">
        <w:t>)</w:t>
      </w:r>
      <w:r w:rsidR="005940D5" w:rsidRPr="00164471">
        <w:t xml:space="preserve">. However, studies did not appear to include a decrease in HbA1c exceeding 3%. </w:t>
      </w:r>
      <w:r w:rsidR="004B0F5E" w:rsidRPr="00164471">
        <w:t xml:space="preserve">To be </w:t>
      </w:r>
      <w:r w:rsidR="0081629D" w:rsidRPr="00164471">
        <w:t>conservative</w:t>
      </w:r>
      <w:r w:rsidR="004B0F5E" w:rsidRPr="00164471">
        <w:t xml:space="preserve">, </w:t>
      </w:r>
      <w:r w:rsidR="001C512E" w:rsidRPr="00164471">
        <w:t>p</w:t>
      </w:r>
      <w:r w:rsidR="005940D5" w:rsidRPr="00164471">
        <w:t xml:space="preserve">articipants in the IPAC trial that were recorded to have HbA1c reductions of greater than 3% were assumed to have QALY gains corresponding to a 3% decrease. </w:t>
      </w:r>
      <w:r w:rsidR="00164471">
        <w:t>Percentage reductions in HbA1c refer to the change in measured HbA1c. For example, a change from 9% to 8% reflects a decrease of 1%.</w:t>
      </w:r>
    </w:p>
    <w:p w14:paraId="68608374" w14:textId="77777777" w:rsidR="00164471" w:rsidRDefault="00164471" w:rsidP="00164471">
      <w:r>
        <w:t xml:space="preserve">The increase in lifetime QALYs for participants with T2DM were calculated based on the following assumptions: </w:t>
      </w:r>
    </w:p>
    <w:p w14:paraId="599FD5C0" w14:textId="77777777" w:rsidR="00164471" w:rsidRDefault="00164471" w:rsidP="006C152D">
      <w:pPr>
        <w:pStyle w:val="ListNumber"/>
        <w:numPr>
          <w:ilvl w:val="0"/>
          <w:numId w:val="43"/>
        </w:numPr>
        <w:tabs>
          <w:tab w:val="clear" w:pos="567"/>
        </w:tabs>
        <w:ind w:left="851"/>
      </w:pPr>
      <w:r>
        <w:t>Participants with a decrease in HbA1c of less than 1% were assigned no lifetime QALYs.</w:t>
      </w:r>
    </w:p>
    <w:p w14:paraId="63D81412" w14:textId="77777777" w:rsidR="00164471" w:rsidRDefault="00164471" w:rsidP="006C152D">
      <w:pPr>
        <w:pStyle w:val="ListNumber"/>
        <w:numPr>
          <w:ilvl w:val="0"/>
          <w:numId w:val="43"/>
        </w:numPr>
        <w:tabs>
          <w:tab w:val="clear" w:pos="567"/>
        </w:tabs>
        <w:ind w:left="851"/>
      </w:pPr>
      <w:r>
        <w:t>Participants with a decrease in HbA1c of between 1% and 3% were assigned lifetime QALY gains calculated as 0.371 multiplied by the corresponding decrease.</w:t>
      </w:r>
    </w:p>
    <w:p w14:paraId="7386D0E6" w14:textId="77777777" w:rsidR="00164471" w:rsidRDefault="00164471" w:rsidP="006C152D">
      <w:pPr>
        <w:pStyle w:val="ListNumber"/>
        <w:numPr>
          <w:ilvl w:val="0"/>
          <w:numId w:val="43"/>
        </w:numPr>
        <w:tabs>
          <w:tab w:val="clear" w:pos="567"/>
        </w:tabs>
        <w:ind w:left="851"/>
      </w:pPr>
      <w:r>
        <w:t xml:space="preserve">Participants with a decrease in HbA1c of more than 3% were assigned lifetime QALY gains calculated as 0.371 multiplied by 3. </w:t>
      </w:r>
    </w:p>
    <w:p w14:paraId="73D1AB57" w14:textId="48F94877" w:rsidR="00164471" w:rsidRDefault="00164471" w:rsidP="00164471">
      <w:r w:rsidRPr="007B274B">
        <w:t>Mapping changes in HbA1c over the trial period to a gain in lifetime QALYs resulted in a projected increase of 101 QALYs</w:t>
      </w:r>
      <w:r w:rsidR="0063029B">
        <w:t xml:space="preserve"> </w:t>
      </w:r>
      <w:r w:rsidR="003F6E83" w:rsidRPr="003F6E83">
        <w:t>(95% CI 7</w:t>
      </w:r>
      <w:r w:rsidR="00BD634E">
        <w:t>8</w:t>
      </w:r>
      <w:r w:rsidR="003F6E83" w:rsidRPr="003F6E83">
        <w:t>-12</w:t>
      </w:r>
      <w:r w:rsidR="00BD634E">
        <w:t>5</w:t>
      </w:r>
      <w:r w:rsidR="003F6E83" w:rsidRPr="003F6E83">
        <w:t>)</w:t>
      </w:r>
      <w:r w:rsidR="003F6E83">
        <w:t xml:space="preserve"> </w:t>
      </w:r>
      <w:r>
        <w:t>(Table 6)</w:t>
      </w:r>
      <w:r w:rsidRPr="007B274B">
        <w:t>.</w:t>
      </w:r>
    </w:p>
    <w:p w14:paraId="3282F0BC" w14:textId="77777777" w:rsidR="00164471" w:rsidRDefault="00164471">
      <w:pPr>
        <w:widowControl/>
        <w:spacing w:line="240" w:lineRule="auto"/>
        <w:jc w:val="left"/>
        <w:rPr>
          <w:rFonts w:ascii="Arial" w:eastAsia="Times New Roman" w:hAnsi="Arial" w:cs="Times New Roman"/>
          <w:bCs/>
          <w:i/>
          <w:color w:val="221F20"/>
          <w:sz w:val="16"/>
          <w:szCs w:val="21"/>
          <w:lang w:val="en-AU"/>
        </w:rPr>
      </w:pPr>
      <w:r>
        <w:br w:type="page"/>
      </w:r>
    </w:p>
    <w:p w14:paraId="4DA726C9" w14:textId="4201C0C1" w:rsidR="00164471" w:rsidRDefault="00164471" w:rsidP="006C152D">
      <w:pPr>
        <w:pStyle w:val="TableParagraph"/>
      </w:pPr>
      <w:bookmarkStart w:id="220" w:name="_Toc43820209"/>
      <w:r w:rsidRPr="007712B9">
        <w:lastRenderedPageBreak/>
        <w:t xml:space="preserve">Table </w:t>
      </w:r>
      <w:r>
        <w:t>6</w:t>
      </w:r>
      <w:r w:rsidRPr="007712B9">
        <w:t xml:space="preserve"> Distribution of lifetime QALY gains by changes in HbA1c for participants with T2DM</w:t>
      </w:r>
      <w:bookmarkEnd w:id="220"/>
    </w:p>
    <w:tbl>
      <w:tblPr>
        <w:tblStyle w:val="TableGrid"/>
        <w:tblW w:w="5000" w:type="pct"/>
        <w:tblLook w:val="04A0" w:firstRow="1" w:lastRow="0" w:firstColumn="1" w:lastColumn="0" w:noHBand="0" w:noVBand="1"/>
      </w:tblPr>
      <w:tblGrid>
        <w:gridCol w:w="3135"/>
        <w:gridCol w:w="3218"/>
        <w:gridCol w:w="3276"/>
      </w:tblGrid>
      <w:tr w:rsidR="00164471" w14:paraId="7DA131BA" w14:textId="77777777" w:rsidTr="006C152D">
        <w:trPr>
          <w:tblHeader/>
        </w:trPr>
        <w:tc>
          <w:tcPr>
            <w:tcW w:w="1628" w:type="pct"/>
          </w:tcPr>
          <w:p w14:paraId="2087C25D" w14:textId="77777777" w:rsidR="00164471" w:rsidRPr="007712B9" w:rsidRDefault="00164471" w:rsidP="0063029B">
            <w:pPr>
              <w:rPr>
                <w:b/>
              </w:rPr>
            </w:pPr>
            <w:r w:rsidRPr="007712B9">
              <w:rPr>
                <w:b/>
              </w:rPr>
              <w:t>Change in HbA1c (%)</w:t>
            </w:r>
          </w:p>
        </w:tc>
        <w:tc>
          <w:tcPr>
            <w:tcW w:w="1671" w:type="pct"/>
          </w:tcPr>
          <w:p w14:paraId="13383F5B" w14:textId="77777777" w:rsidR="00164471" w:rsidRPr="007712B9" w:rsidRDefault="00164471" w:rsidP="0063029B">
            <w:pPr>
              <w:jc w:val="center"/>
              <w:rPr>
                <w:b/>
              </w:rPr>
            </w:pPr>
            <w:r w:rsidRPr="007712B9">
              <w:rPr>
                <w:b/>
              </w:rPr>
              <w:t>No. of participants</w:t>
            </w:r>
          </w:p>
        </w:tc>
        <w:tc>
          <w:tcPr>
            <w:tcW w:w="1701" w:type="pct"/>
          </w:tcPr>
          <w:p w14:paraId="6FE34A2A" w14:textId="77777777" w:rsidR="00164471" w:rsidRPr="007712B9" w:rsidRDefault="00164471" w:rsidP="0063029B">
            <w:pPr>
              <w:jc w:val="center"/>
              <w:rPr>
                <w:b/>
              </w:rPr>
            </w:pPr>
            <w:r w:rsidRPr="007712B9">
              <w:rPr>
                <w:b/>
              </w:rPr>
              <w:t>Lifetime QALY gains</w:t>
            </w:r>
          </w:p>
        </w:tc>
      </w:tr>
      <w:tr w:rsidR="00164471" w14:paraId="6C0B43F4" w14:textId="77777777" w:rsidTr="006C152D">
        <w:tc>
          <w:tcPr>
            <w:tcW w:w="1628" w:type="pct"/>
          </w:tcPr>
          <w:p w14:paraId="2BFDB22B" w14:textId="77777777" w:rsidR="00164471" w:rsidRDefault="00164471" w:rsidP="0063029B">
            <w:r>
              <w:t>&lt;1%</w:t>
            </w:r>
          </w:p>
        </w:tc>
        <w:tc>
          <w:tcPr>
            <w:tcW w:w="1671" w:type="pct"/>
          </w:tcPr>
          <w:p w14:paraId="3EA8F05E" w14:textId="77777777" w:rsidR="00164471" w:rsidRDefault="00164471" w:rsidP="0063029B">
            <w:pPr>
              <w:ind w:right="1125"/>
              <w:jc w:val="right"/>
            </w:pPr>
            <w:r>
              <w:t>401</w:t>
            </w:r>
          </w:p>
        </w:tc>
        <w:tc>
          <w:tcPr>
            <w:tcW w:w="1701" w:type="pct"/>
          </w:tcPr>
          <w:p w14:paraId="721A0A55" w14:textId="77777777" w:rsidR="00164471" w:rsidRDefault="00164471" w:rsidP="0063029B">
            <w:pPr>
              <w:ind w:right="1371"/>
              <w:jc w:val="right"/>
            </w:pPr>
            <w:r>
              <w:t>0</w:t>
            </w:r>
          </w:p>
        </w:tc>
      </w:tr>
      <w:tr w:rsidR="00164471" w14:paraId="6020905C" w14:textId="77777777" w:rsidTr="006C152D">
        <w:tc>
          <w:tcPr>
            <w:tcW w:w="1628" w:type="pct"/>
          </w:tcPr>
          <w:p w14:paraId="073AE932" w14:textId="77777777" w:rsidR="00164471" w:rsidRDefault="00164471" w:rsidP="0063029B">
            <w:r>
              <w:t xml:space="preserve">1% to 3% </w:t>
            </w:r>
          </w:p>
        </w:tc>
        <w:tc>
          <w:tcPr>
            <w:tcW w:w="1671" w:type="pct"/>
          </w:tcPr>
          <w:p w14:paraId="7A10D8E2" w14:textId="77777777" w:rsidR="00164471" w:rsidRDefault="00164471" w:rsidP="0063029B">
            <w:pPr>
              <w:ind w:right="1125"/>
              <w:jc w:val="right"/>
            </w:pPr>
            <w:r>
              <w:t>111</w:t>
            </w:r>
          </w:p>
        </w:tc>
        <w:tc>
          <w:tcPr>
            <w:tcW w:w="1701" w:type="pct"/>
          </w:tcPr>
          <w:p w14:paraId="735D5F5E" w14:textId="77777777" w:rsidR="00164471" w:rsidRDefault="00164471" w:rsidP="0063029B">
            <w:pPr>
              <w:ind w:right="1371"/>
              <w:jc w:val="right"/>
            </w:pPr>
            <w:r>
              <w:t>71.27</w:t>
            </w:r>
          </w:p>
        </w:tc>
      </w:tr>
      <w:tr w:rsidR="00164471" w14:paraId="68CC1318" w14:textId="77777777" w:rsidTr="006C152D">
        <w:tc>
          <w:tcPr>
            <w:tcW w:w="1628" w:type="pct"/>
          </w:tcPr>
          <w:p w14:paraId="5C4EF2F6" w14:textId="77777777" w:rsidR="00164471" w:rsidRDefault="00164471" w:rsidP="0063029B">
            <w:r>
              <w:t>&gt;3%</w:t>
            </w:r>
          </w:p>
        </w:tc>
        <w:tc>
          <w:tcPr>
            <w:tcW w:w="1671" w:type="pct"/>
          </w:tcPr>
          <w:p w14:paraId="5BCBA387" w14:textId="77777777" w:rsidR="00164471" w:rsidRDefault="00164471" w:rsidP="0063029B">
            <w:pPr>
              <w:ind w:right="1125"/>
              <w:jc w:val="right"/>
            </w:pPr>
            <w:r>
              <w:t>27</w:t>
            </w:r>
          </w:p>
        </w:tc>
        <w:tc>
          <w:tcPr>
            <w:tcW w:w="1701" w:type="pct"/>
          </w:tcPr>
          <w:p w14:paraId="2E4D5BEB" w14:textId="77777777" w:rsidR="00164471" w:rsidRDefault="00164471" w:rsidP="0063029B">
            <w:pPr>
              <w:ind w:right="1371"/>
              <w:jc w:val="right"/>
            </w:pPr>
            <w:r>
              <w:t>30.05</w:t>
            </w:r>
          </w:p>
        </w:tc>
      </w:tr>
      <w:tr w:rsidR="00164471" w14:paraId="79C2DAF3" w14:textId="77777777" w:rsidTr="006C152D">
        <w:tc>
          <w:tcPr>
            <w:tcW w:w="1628" w:type="pct"/>
          </w:tcPr>
          <w:p w14:paraId="78057FEB" w14:textId="77777777" w:rsidR="00164471" w:rsidRPr="007712B9" w:rsidRDefault="00164471" w:rsidP="0063029B">
            <w:pPr>
              <w:rPr>
                <w:b/>
              </w:rPr>
            </w:pPr>
            <w:r w:rsidRPr="007712B9">
              <w:rPr>
                <w:b/>
              </w:rPr>
              <w:t>Total</w:t>
            </w:r>
          </w:p>
        </w:tc>
        <w:tc>
          <w:tcPr>
            <w:tcW w:w="1671" w:type="pct"/>
          </w:tcPr>
          <w:p w14:paraId="06095269" w14:textId="77777777" w:rsidR="00164471" w:rsidRPr="007712B9" w:rsidRDefault="00164471" w:rsidP="0063029B">
            <w:pPr>
              <w:ind w:right="1125"/>
              <w:jc w:val="right"/>
              <w:rPr>
                <w:b/>
              </w:rPr>
            </w:pPr>
            <w:r w:rsidRPr="007712B9">
              <w:rPr>
                <w:b/>
              </w:rPr>
              <w:t>539</w:t>
            </w:r>
          </w:p>
        </w:tc>
        <w:tc>
          <w:tcPr>
            <w:tcW w:w="1701" w:type="pct"/>
          </w:tcPr>
          <w:p w14:paraId="2EAB3952" w14:textId="77777777" w:rsidR="00164471" w:rsidRPr="007712B9" w:rsidRDefault="00164471" w:rsidP="0063029B">
            <w:pPr>
              <w:ind w:right="1371"/>
              <w:jc w:val="right"/>
              <w:rPr>
                <w:b/>
              </w:rPr>
            </w:pPr>
            <w:r w:rsidRPr="007712B9">
              <w:rPr>
                <w:b/>
              </w:rPr>
              <w:t>101.32</w:t>
            </w:r>
          </w:p>
        </w:tc>
      </w:tr>
    </w:tbl>
    <w:p w14:paraId="17594DA5" w14:textId="4CC733E5" w:rsidR="003E1715" w:rsidRPr="006C152D" w:rsidRDefault="005940D5" w:rsidP="006C152D">
      <w:pPr>
        <w:widowControl/>
        <w:spacing w:before="240"/>
      </w:pPr>
      <w:r w:rsidRPr="00164471">
        <w:t>Based on an incremental cost of the IPAC intervention of $</w:t>
      </w:r>
      <w:r w:rsidR="00164471">
        <w:t>753,774</w:t>
      </w:r>
      <w:r w:rsidRPr="00164471">
        <w:t xml:space="preserve"> for participants </w:t>
      </w:r>
      <w:r w:rsidR="00D946B8" w:rsidRPr="00164471">
        <w:t>(n=</w:t>
      </w:r>
      <w:r w:rsidR="001B25B6" w:rsidRPr="00164471">
        <w:t>539</w:t>
      </w:r>
      <w:r w:rsidR="00D946B8" w:rsidRPr="00164471">
        <w:t xml:space="preserve">) </w:t>
      </w:r>
      <w:r w:rsidRPr="00164471">
        <w:t>with a clinical diagnosis of T2</w:t>
      </w:r>
      <w:proofErr w:type="gramStart"/>
      <w:r w:rsidRPr="00164471">
        <w:t>DM ,</w:t>
      </w:r>
      <w:proofErr w:type="gramEnd"/>
      <w:r w:rsidRPr="00164471">
        <w:t xml:space="preserve"> and with pre and post-measures of HbA1c, this suggested an ICER of $</w:t>
      </w:r>
      <w:r w:rsidR="00164471">
        <w:t>7,463</w:t>
      </w:r>
      <w:r w:rsidRPr="00164471">
        <w:t xml:space="preserve"> (95% CI $</w:t>
      </w:r>
      <w:r w:rsidR="00BD634E">
        <w:t>6,030</w:t>
      </w:r>
      <w:r w:rsidR="00164471">
        <w:t>-$</w:t>
      </w:r>
      <w:r w:rsidR="00BD634E">
        <w:t>9,664</w:t>
      </w:r>
      <w:r w:rsidRPr="00164471">
        <w:t>) per QALY, assuming no lifetime costs additional to usual care are required to maintain the reduction in HbA1c.</w:t>
      </w:r>
      <w:r>
        <w:t xml:space="preserve"> </w:t>
      </w:r>
    </w:p>
    <w:p w14:paraId="176752CC" w14:textId="77777777" w:rsidR="006C152D" w:rsidRPr="009A5914" w:rsidRDefault="006C152D" w:rsidP="006C152D">
      <w:pPr>
        <w:pBdr>
          <w:top w:val="single" w:sz="4" w:space="1" w:color="auto"/>
          <w:left w:val="single" w:sz="4" w:space="4" w:color="auto"/>
          <w:bottom w:val="single" w:sz="4" w:space="1" w:color="auto"/>
          <w:right w:val="single" w:sz="4" w:space="4" w:color="auto"/>
        </w:pBdr>
      </w:pPr>
      <w:r w:rsidRPr="009A5914">
        <w:t>For further details:</w:t>
      </w:r>
    </w:p>
    <w:p w14:paraId="71E01E58" w14:textId="77777777" w:rsidR="006C152D" w:rsidRPr="009A5914" w:rsidRDefault="006C152D" w:rsidP="006C152D">
      <w:pPr>
        <w:pBdr>
          <w:top w:val="single" w:sz="4" w:space="1" w:color="auto"/>
          <w:left w:val="single" w:sz="4" w:space="4" w:color="auto"/>
          <w:bottom w:val="single" w:sz="4" w:space="1" w:color="auto"/>
          <w:right w:val="single" w:sz="4" w:space="4" w:color="auto"/>
        </w:pBdr>
      </w:pPr>
      <w:r w:rsidRPr="003E730E">
        <w:t xml:space="preserve">IPAC Project: MSAC Assessment Report. </w:t>
      </w:r>
      <w:r>
        <w:t>June</w:t>
      </w:r>
      <w:r w:rsidRPr="003E730E">
        <w:t xml:space="preserve"> 2020</w:t>
      </w:r>
    </w:p>
    <w:p w14:paraId="6B361F03" w14:textId="145287BF" w:rsidR="009402E0" w:rsidRPr="00D636F8" w:rsidRDefault="009402E0" w:rsidP="0048683E">
      <w:pPr>
        <w:pStyle w:val="Heading3"/>
      </w:pPr>
      <w:bookmarkStart w:id="221" w:name="_Toc40350117"/>
      <w:bookmarkStart w:id="222" w:name="_Toc40441100"/>
      <w:bookmarkStart w:id="223" w:name="_Toc41315642"/>
      <w:bookmarkStart w:id="224" w:name="_Toc138846287"/>
      <w:r w:rsidRPr="00D636F8">
        <w:t xml:space="preserve">Qualitative </w:t>
      </w:r>
      <w:r w:rsidR="006C152D">
        <w:t>e</w:t>
      </w:r>
      <w:r w:rsidRPr="00D636F8">
        <w:t>valuation</w:t>
      </w:r>
      <w:bookmarkEnd w:id="221"/>
      <w:bookmarkEnd w:id="222"/>
      <w:bookmarkEnd w:id="223"/>
      <w:bookmarkEnd w:id="224"/>
    </w:p>
    <w:p w14:paraId="1650A4B0" w14:textId="61A404BB" w:rsidR="00481CD3" w:rsidRDefault="00481CD3" w:rsidP="00DA22EF">
      <w:pPr>
        <w:rPr>
          <w:color w:val="000000" w:themeColor="text1"/>
        </w:rPr>
      </w:pPr>
      <w:r>
        <w:t>Data to inform the qualitative evaluation was collected between June and August 2019</w:t>
      </w:r>
      <w:r w:rsidR="00EE741A">
        <w:t xml:space="preserve">, when </w:t>
      </w:r>
      <w:r>
        <w:t>pharmacist</w:t>
      </w:r>
      <w:r w:rsidR="00EE741A">
        <w:t xml:space="preserve">s had been </w:t>
      </w:r>
      <w:r w:rsidR="00C739F4">
        <w:t xml:space="preserve">integrated </w:t>
      </w:r>
      <w:r>
        <w:t>within ACCHSs for at least six months.</w:t>
      </w:r>
      <w:r w:rsidRPr="00481CD3">
        <w:t xml:space="preserve"> </w:t>
      </w:r>
      <w:r>
        <w:t xml:space="preserve">Twenty-four (24) </w:t>
      </w:r>
      <w:r w:rsidR="00C739F4">
        <w:t xml:space="preserve">integrated </w:t>
      </w:r>
      <w:r>
        <w:t xml:space="preserve">pharmacists provided feedback on their experiences in the role and how well the project was able to be implemented within their ACCHS. The </w:t>
      </w:r>
      <w:r w:rsidR="00C739F4">
        <w:t xml:space="preserve">integrated </w:t>
      </w:r>
      <w:r>
        <w:t>pharmacists represented all health services recruited in the project (n=20).</w:t>
      </w:r>
      <w:r>
        <w:rPr>
          <w:sz w:val="14"/>
          <w:szCs w:val="14"/>
        </w:rPr>
        <w:t xml:space="preserve"> </w:t>
      </w:r>
      <w:r>
        <w:t xml:space="preserve">Thirteen general practitioners, 12 managers and 10 community pharmacists responded to the online survey. Three ACCHSs were visited for an in-depth assessment of implementation. One service </w:t>
      </w:r>
      <w:proofErr w:type="gramStart"/>
      <w:r>
        <w:t>was located in</w:t>
      </w:r>
      <w:proofErr w:type="gramEnd"/>
      <w:r>
        <w:t xml:space="preserve"> an urban area, another in a regional area, and one in a remote setting. Seven focus groups or group interviews were conducted with 17 service staff and 17 </w:t>
      </w:r>
      <w:r w:rsidR="007D6C24">
        <w:t>participants (patients</w:t>
      </w:r>
      <w:r>
        <w:t>/</w:t>
      </w:r>
      <w:proofErr w:type="spellStart"/>
      <w:r>
        <w:t>carers</w:t>
      </w:r>
      <w:proofErr w:type="spellEnd"/>
      <w:r w:rsidR="007D6C24">
        <w:t>)</w:t>
      </w:r>
      <w:r>
        <w:t xml:space="preserve">. Individual interviews were held with eight (8) health service staff and three (3) </w:t>
      </w:r>
      <w:r w:rsidR="007D6C24">
        <w:t>participants (patients/</w:t>
      </w:r>
      <w:proofErr w:type="spellStart"/>
      <w:r>
        <w:t>carers</w:t>
      </w:r>
      <w:proofErr w:type="spellEnd"/>
      <w:r w:rsidR="004A178E">
        <w:t>)</w:t>
      </w:r>
      <w:r>
        <w:t xml:space="preserve">. Fieldwork included a day observing the work of the </w:t>
      </w:r>
      <w:r w:rsidR="00C739F4">
        <w:t xml:space="preserve">integrated </w:t>
      </w:r>
      <w:r>
        <w:t>pharmacist (or shadowing) and the service in general at each site, as well as observation of the community context (</w:t>
      </w:r>
      <w:proofErr w:type="gramStart"/>
      <w:r>
        <w:t>e.g.</w:t>
      </w:r>
      <w:proofErr w:type="gramEnd"/>
      <w:r>
        <w:t xml:space="preserve"> a visit to community pharmacies).</w:t>
      </w:r>
    </w:p>
    <w:p w14:paraId="301AD875" w14:textId="0289094E" w:rsidR="009402E0" w:rsidRPr="00D636F8" w:rsidRDefault="009402E0" w:rsidP="00DA22EF">
      <w:pPr>
        <w:rPr>
          <w:color w:val="000000" w:themeColor="text1"/>
        </w:rPr>
      </w:pPr>
      <w:r w:rsidRPr="00D636F8">
        <w:rPr>
          <w:color w:val="000000" w:themeColor="text1"/>
        </w:rPr>
        <w:t xml:space="preserve">The qualitative evaluation of the IPAC study identified many benefits resulting from the project and demonstrated overwhelming support for non-dispensing pharmacist services integrated within the </w:t>
      </w:r>
      <w:r>
        <w:rPr>
          <w:color w:val="000000" w:themeColor="text1"/>
        </w:rPr>
        <w:t>primary health care</w:t>
      </w:r>
      <w:r w:rsidRPr="00D636F8">
        <w:rPr>
          <w:color w:val="000000" w:themeColor="text1"/>
        </w:rPr>
        <w:t xml:space="preserve"> team of participating IPAC sites and in ACCHSs more broadly.</w:t>
      </w:r>
      <w:r>
        <w:rPr>
          <w:rStyle w:val="EndnoteReference"/>
          <w:rFonts w:asciiTheme="minorHAnsi" w:hAnsiTheme="minorHAnsi" w:cstheme="minorHAnsi"/>
          <w:color w:val="000000" w:themeColor="text1"/>
        </w:rPr>
        <w:endnoteReference w:id="54"/>
      </w:r>
      <w:r w:rsidRPr="00D636F8">
        <w:rPr>
          <w:color w:val="000000" w:themeColor="text1"/>
        </w:rPr>
        <w:t xml:space="preserve">  </w:t>
      </w:r>
      <w:r w:rsidR="004A178E">
        <w:rPr>
          <w:color w:val="000000" w:themeColor="text1"/>
        </w:rPr>
        <w:t>Participants</w:t>
      </w:r>
      <w:r w:rsidRPr="00D636F8">
        <w:rPr>
          <w:color w:val="000000" w:themeColor="text1"/>
        </w:rPr>
        <w:t xml:space="preserve"> reported numerous benefits with having a pharmacist delivering services within ACCHSs and appreciated their medications being assessed and receiving alternative or different combinations of medications or treatment regimes.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reported </w:t>
      </w:r>
      <w:r w:rsidRPr="00D636F8">
        <w:rPr>
          <w:i/>
          <w:color w:val="000000" w:themeColor="text1"/>
        </w:rPr>
        <w:t>‘feeling better’,</w:t>
      </w:r>
      <w:r w:rsidRPr="00D636F8">
        <w:rPr>
          <w:color w:val="000000" w:themeColor="text1"/>
        </w:rPr>
        <w:t xml:space="preserve"> being more involved in decisions about their care, and felt empowered to better manage their health</w:t>
      </w:r>
      <w:r>
        <w:rPr>
          <w:color w:val="000000" w:themeColor="text1"/>
        </w:rPr>
        <w:t>.</w:t>
      </w:r>
      <w:r w:rsidRPr="00D636F8">
        <w:rPr>
          <w:color w:val="000000" w:themeColor="text1"/>
        </w:rPr>
        <w:t xml:space="preserve"> </w:t>
      </w:r>
      <w:r>
        <w:rPr>
          <w:color w:val="000000" w:themeColor="text1"/>
        </w:rPr>
        <w:t>T</w:t>
      </w:r>
      <w:r w:rsidRPr="00D636F8">
        <w:rPr>
          <w:color w:val="000000" w:themeColor="text1"/>
        </w:rPr>
        <w:t xml:space="preserve">hey better understood their conditions and why they needed to take their medications and how they worked, after receiving education from the pharmacists.  Many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indicated they were more adherent to their medications.  </w:t>
      </w:r>
    </w:p>
    <w:p w14:paraId="32CB9B37" w14:textId="77777777" w:rsidR="009402E0" w:rsidRPr="00D636F8" w:rsidRDefault="009402E0" w:rsidP="00DA22EF">
      <w:pPr>
        <w:rPr>
          <w:color w:val="000000" w:themeColor="text1"/>
        </w:rPr>
      </w:pPr>
      <w:r w:rsidRPr="00D636F8">
        <w:rPr>
          <w:color w:val="000000" w:themeColor="text1"/>
        </w:rPr>
        <w:t xml:space="preserve">For health services staff, the main benefit with having a pharmacist integrated in their team was access to an </w:t>
      </w:r>
      <w:r w:rsidRPr="00D636F8">
        <w:rPr>
          <w:i/>
          <w:color w:val="000000" w:themeColor="text1"/>
        </w:rPr>
        <w:t>‘in-house medicines expert’</w:t>
      </w:r>
      <w:r w:rsidRPr="00D636F8">
        <w:rPr>
          <w:color w:val="000000" w:themeColor="text1"/>
        </w:rPr>
        <w:t xml:space="preserve"> who provided support and advice informally through </w:t>
      </w:r>
      <w:r w:rsidRPr="00D636F8">
        <w:rPr>
          <w:i/>
          <w:color w:val="000000" w:themeColor="text1"/>
        </w:rPr>
        <w:t>‘corridor conversations’</w:t>
      </w:r>
      <w:r w:rsidRPr="00D636F8">
        <w:rPr>
          <w:color w:val="000000" w:themeColor="text1"/>
        </w:rPr>
        <w:t xml:space="preserve"> as well as formally through </w:t>
      </w:r>
      <w:proofErr w:type="gramStart"/>
      <w:r w:rsidR="00397E07">
        <w:rPr>
          <w:color w:val="000000" w:themeColor="text1"/>
        </w:rPr>
        <w:t>team based</w:t>
      </w:r>
      <w:proofErr w:type="gramEnd"/>
      <w:r w:rsidR="00397E07">
        <w:rPr>
          <w:color w:val="000000" w:themeColor="text1"/>
        </w:rPr>
        <w:t xml:space="preserve"> collaboration and </w:t>
      </w:r>
      <w:r w:rsidRPr="00D636F8">
        <w:rPr>
          <w:color w:val="000000" w:themeColor="text1"/>
        </w:rPr>
        <w:t xml:space="preserve">medication management reviews.  Recommendations made following medication reviews were perceived to be of high quality and prescriber up-take was reported to be high.  Education sessions for health services staff were perceived as valuable and staff also benefited </w:t>
      </w:r>
      <w:r w:rsidRPr="00D636F8">
        <w:rPr>
          <w:color w:val="000000" w:themeColor="text1"/>
        </w:rPr>
        <w:lastRenderedPageBreak/>
        <w:t xml:space="preserve">from the pharmacists having input into their clinical team meetings and case conferences.  Pharmacists contributed to medicines safety and quality assurance activities by conducting drug </w:t>
      </w:r>
      <w:proofErr w:type="spellStart"/>
      <w:r w:rsidRPr="00D636F8">
        <w:rPr>
          <w:color w:val="000000" w:themeColor="text1"/>
        </w:rPr>
        <w:t>utilisation</w:t>
      </w:r>
      <w:proofErr w:type="spellEnd"/>
      <w:r w:rsidRPr="00D636F8">
        <w:rPr>
          <w:color w:val="000000" w:themeColor="text1"/>
        </w:rPr>
        <w:t xml:space="preserve"> reviews and assisting in reviewing ACCHS medication-related policies.</w:t>
      </w:r>
    </w:p>
    <w:p w14:paraId="6ABC6145" w14:textId="06E12BF3" w:rsidR="009402E0" w:rsidRPr="00D636F8" w:rsidRDefault="009402E0" w:rsidP="00DA22EF">
      <w:pPr>
        <w:rPr>
          <w:color w:val="000000" w:themeColor="text1"/>
        </w:rPr>
      </w:pPr>
      <w:r w:rsidRPr="00D636F8">
        <w:rPr>
          <w:color w:val="000000" w:themeColor="text1"/>
        </w:rPr>
        <w:t>Benefits from the pharmacists’ perspective were the opportunity “</w:t>
      </w:r>
      <w:r w:rsidRPr="00D636F8">
        <w:rPr>
          <w:i/>
          <w:color w:val="000000" w:themeColor="text1"/>
        </w:rPr>
        <w:t xml:space="preserve">to sit down with the patient” </w:t>
      </w:r>
      <w:r w:rsidRPr="00D636F8">
        <w:rPr>
          <w:iCs/>
          <w:color w:val="000000" w:themeColor="text1"/>
        </w:rPr>
        <w:t>and</w:t>
      </w:r>
      <w:r w:rsidRPr="00D636F8">
        <w:rPr>
          <w:i/>
          <w:color w:val="000000" w:themeColor="text1"/>
        </w:rPr>
        <w:t xml:space="preserve"> “spend a bit more time”</w:t>
      </w:r>
      <w:r w:rsidRPr="00D636F8">
        <w:rPr>
          <w:color w:val="000000" w:themeColor="text1"/>
        </w:rPr>
        <w:t xml:space="preserve"> with </w:t>
      </w:r>
      <w:proofErr w:type="gramStart"/>
      <w:r w:rsidRPr="00D636F8">
        <w:rPr>
          <w:color w:val="000000" w:themeColor="text1"/>
        </w:rPr>
        <w:t>them</w:t>
      </w:r>
      <w:r w:rsidR="00F1177E">
        <w:rPr>
          <w:color w:val="000000" w:themeColor="text1"/>
        </w:rPr>
        <w:t>, and</w:t>
      </w:r>
      <w:proofErr w:type="gramEnd"/>
      <w:r w:rsidR="00F1177E">
        <w:rPr>
          <w:color w:val="000000" w:themeColor="text1"/>
        </w:rPr>
        <w:t xml:space="preserve"> being available to see patients opportunistically</w:t>
      </w:r>
      <w:r w:rsidRPr="00D636F8">
        <w:rPr>
          <w:color w:val="000000" w:themeColor="text1"/>
        </w:rPr>
        <w:t>.</w:t>
      </w:r>
      <w:r w:rsidRPr="00D636F8">
        <w:rPr>
          <w:i/>
          <w:color w:val="000000" w:themeColor="text1"/>
        </w:rPr>
        <w:t xml:space="preserve">  </w:t>
      </w:r>
      <w:r w:rsidRPr="00D636F8">
        <w:rPr>
          <w:color w:val="000000" w:themeColor="text1"/>
        </w:rPr>
        <w:t xml:space="preserve">Integrated pharmacists developed meaningful relationships with </w:t>
      </w:r>
      <w:r w:rsidR="004A178E">
        <w:rPr>
          <w:color w:val="000000" w:themeColor="text1"/>
        </w:rPr>
        <w:t>participants</w:t>
      </w:r>
      <w:r w:rsidR="004A178E" w:rsidRPr="00D636F8">
        <w:rPr>
          <w:color w:val="000000" w:themeColor="text1"/>
        </w:rPr>
        <w:t xml:space="preserve"> </w:t>
      </w:r>
      <w:r w:rsidRPr="00D636F8">
        <w:rPr>
          <w:color w:val="000000" w:themeColor="text1"/>
        </w:rPr>
        <w:t>and empowered them by developing their health literacy and knowledge about their medicines. The pharmacists’ roles were designed to be predominantly patient-</w:t>
      </w:r>
      <w:proofErr w:type="spellStart"/>
      <w:proofErr w:type="gramStart"/>
      <w:r w:rsidRPr="00D636F8">
        <w:rPr>
          <w:color w:val="000000" w:themeColor="text1"/>
        </w:rPr>
        <w:t>centred</w:t>
      </w:r>
      <w:proofErr w:type="spellEnd"/>
      <w:proofErr w:type="gramEnd"/>
      <w:r w:rsidRPr="00D636F8">
        <w:rPr>
          <w:color w:val="000000" w:themeColor="text1"/>
        </w:rPr>
        <w:t xml:space="preserve"> and the majority of pharmacists enjoyed this aspect of the role.  </w:t>
      </w:r>
      <w:r w:rsidR="00397E07">
        <w:rPr>
          <w:color w:val="000000" w:themeColor="text1"/>
        </w:rPr>
        <w:t>Of the</w:t>
      </w:r>
      <w:r w:rsidRPr="00D636F8">
        <w:rPr>
          <w:color w:val="000000" w:themeColor="text1"/>
        </w:rPr>
        <w:t xml:space="preserve"> pharmacists asked, </w:t>
      </w:r>
      <w:r w:rsidR="00397E07">
        <w:rPr>
          <w:color w:val="000000" w:themeColor="text1"/>
        </w:rPr>
        <w:t>all</w:t>
      </w:r>
      <w:r w:rsidRPr="00D636F8">
        <w:rPr>
          <w:color w:val="000000" w:themeColor="text1"/>
        </w:rPr>
        <w:t xml:space="preserve"> indicated they would continue their employment if their IPAC role was continued as they enjoyed their role and experienced personal and professional satisfaction in the services they were providing. </w:t>
      </w:r>
    </w:p>
    <w:p w14:paraId="2868BF1B" w14:textId="6548D631" w:rsidR="009402E0" w:rsidRPr="00D636F8" w:rsidRDefault="009402E0" w:rsidP="00DA22EF">
      <w:pPr>
        <w:rPr>
          <w:color w:val="000000" w:themeColor="text1"/>
        </w:rPr>
      </w:pPr>
      <w:r w:rsidRPr="00D636F8">
        <w:rPr>
          <w:color w:val="000000" w:themeColor="text1"/>
        </w:rPr>
        <w:t xml:space="preserve">Community pharmacists reported benefits from the IPAC project that included increased referrals for them to undertake HMRs and improved </w:t>
      </w:r>
      <w:r w:rsidR="00F1177E" w:rsidRPr="001B25B6">
        <w:rPr>
          <w:color w:val="000000" w:themeColor="text1"/>
        </w:rPr>
        <w:t xml:space="preserve">engagement </w:t>
      </w:r>
      <w:r>
        <w:rPr>
          <w:color w:val="000000" w:themeColor="text1"/>
        </w:rPr>
        <w:t xml:space="preserve">by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in HMRs.  Community pharmacists felt that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were more interested in their medicines and that patient knowledge of their medicines and adherence to medicines had improved since the </w:t>
      </w:r>
      <w:r w:rsidR="00C739F4">
        <w:t xml:space="preserve">integrated </w:t>
      </w:r>
      <w:r w:rsidRPr="00D636F8">
        <w:rPr>
          <w:color w:val="000000" w:themeColor="text1"/>
        </w:rPr>
        <w:t>pharmacists had commenced in the ACCHSs. Integrated pharmacists worked together with community pharmacists to problem solve, access discharge summaries, confirm the patient’s medication history, undertake medication reconciliation by correcting errors and creating current medication lists, and facilitate provisi</w:t>
      </w:r>
      <w:r>
        <w:rPr>
          <w:color w:val="000000" w:themeColor="text1"/>
        </w:rPr>
        <w:t>on of dose administration aids</w:t>
      </w:r>
      <w:r w:rsidRPr="00D636F8">
        <w:rPr>
          <w:color w:val="000000" w:themeColor="text1"/>
        </w:rPr>
        <w:t xml:space="preserve"> for health service patients.  Community pharmacists reported that the integrated pharmacist role was very helpful and useful to </w:t>
      </w:r>
      <w:proofErr w:type="gramStart"/>
      <w:r w:rsidRPr="00D636F8">
        <w:rPr>
          <w:color w:val="000000" w:themeColor="text1"/>
        </w:rPr>
        <w:t>them</w:t>
      </w:r>
      <w:proofErr w:type="gramEnd"/>
      <w:r w:rsidRPr="00D636F8">
        <w:rPr>
          <w:color w:val="000000" w:themeColor="text1"/>
        </w:rPr>
        <w:t xml:space="preserve"> and it facilitated communication between the community pharmacy and GPs within the ACCHS.  All seven community pharmacists who responded to the question believed that there was a role for an IPAC-type (non-dispensing) integrated pharmacist within ACCHSs.</w:t>
      </w:r>
    </w:p>
    <w:p w14:paraId="7E2C8C27" w14:textId="6725D81A" w:rsidR="009402E0" w:rsidRPr="00D636F8" w:rsidRDefault="009402E0" w:rsidP="00DA22EF">
      <w:pPr>
        <w:rPr>
          <w:u w:val="single"/>
        </w:rPr>
      </w:pPr>
      <w:r w:rsidRPr="00D636F8">
        <w:rPr>
          <w:u w:val="single"/>
        </w:rPr>
        <w:t xml:space="preserve">Enablers and </w:t>
      </w:r>
      <w:r w:rsidR="006C152D">
        <w:rPr>
          <w:u w:val="single"/>
        </w:rPr>
        <w:t>c</w:t>
      </w:r>
      <w:r w:rsidRPr="00D636F8">
        <w:rPr>
          <w:u w:val="single"/>
        </w:rPr>
        <w:t>hallenges</w:t>
      </w:r>
    </w:p>
    <w:p w14:paraId="0E09A7A3" w14:textId="340EE39B" w:rsidR="009402E0" w:rsidRPr="00D636F8" w:rsidRDefault="009402E0" w:rsidP="00DA22EF">
      <w:r w:rsidRPr="00D636F8">
        <w:t xml:space="preserve">Various enablers and challenges to implementing the project were </w:t>
      </w:r>
      <w:r w:rsidR="007257AC">
        <w:t>identified in the qualitative evaluation</w:t>
      </w:r>
      <w:r w:rsidRPr="00D636F8">
        <w:t xml:space="preserve">. Having a pharmacist with the right </w:t>
      </w:r>
      <w:r w:rsidRPr="00D636F8">
        <w:rPr>
          <w:i/>
        </w:rPr>
        <w:t>‘organizational fit’</w:t>
      </w:r>
      <w:r w:rsidRPr="00D636F8">
        <w:t xml:space="preserve"> and personality was just as important as possessing good clinical skills, </w:t>
      </w:r>
      <w:r w:rsidR="002F21EF">
        <w:t>while</w:t>
      </w:r>
      <w:r w:rsidRPr="00D636F8">
        <w:t xml:space="preserve"> the ability to communicate, collaborate with internal and external stakeholders and practice in a culturally responsive way</w:t>
      </w:r>
      <w:r w:rsidR="00F96BF4">
        <w:t xml:space="preserve"> was </w:t>
      </w:r>
      <w:r w:rsidR="002F21EF">
        <w:t>essential for effective integration</w:t>
      </w:r>
      <w:r w:rsidRPr="00D636F8">
        <w:t xml:space="preserve">. ACCHSs provided access to clinical information systems, </w:t>
      </w:r>
      <w:proofErr w:type="gramStart"/>
      <w:r w:rsidRPr="00D636F8">
        <w:t>uniforms</w:t>
      </w:r>
      <w:proofErr w:type="gramEnd"/>
      <w:r w:rsidRPr="00D636F8">
        <w:t xml:space="preserve"> and consulting room space, as well as assistance with promotion of the pharmacist services</w:t>
      </w:r>
      <w:r w:rsidR="009E3E8A">
        <w:t xml:space="preserve">, which were </w:t>
      </w:r>
      <w:r w:rsidR="004771BF">
        <w:t xml:space="preserve">reported as enablers to effective </w:t>
      </w:r>
      <w:r w:rsidR="001B3809">
        <w:t>service delivery</w:t>
      </w:r>
      <w:r w:rsidRPr="00D636F8">
        <w:t xml:space="preserve">.  Aboriginal Health </w:t>
      </w:r>
      <w:r w:rsidR="001B25B6">
        <w:t xml:space="preserve">Workers and </w:t>
      </w:r>
      <w:r w:rsidRPr="00D636F8">
        <w:t>Practitioners supported pharmacists’ integration into the services and the local community. Referrals from GPs enabled pharmacists to consult with patients and undertake recruitment for the project.</w:t>
      </w:r>
    </w:p>
    <w:p w14:paraId="0D2E20E1" w14:textId="4D3628E7" w:rsidR="009402E0" w:rsidRPr="006C152D" w:rsidRDefault="009402E0" w:rsidP="00DA22EF">
      <w:r w:rsidRPr="00D636F8">
        <w:t xml:space="preserve">Service readiness for the project was a challenge for some </w:t>
      </w:r>
      <w:r w:rsidR="002F21EF">
        <w:t>ACCHSs</w:t>
      </w:r>
      <w:r w:rsidRPr="00D636F8">
        <w:t>.  Whilst some services were well prepared for the pharmacist and understood the nature of the role and its potential value, staff in other services needed time to fu</w:t>
      </w:r>
      <w:r w:rsidR="001B25B6">
        <w:t>rther</w:t>
      </w:r>
      <w:r w:rsidRPr="00D636F8">
        <w:t xml:space="preserve"> understand the role and learn how to </w:t>
      </w:r>
      <w:r w:rsidR="001B25B6">
        <w:t xml:space="preserve">best </w:t>
      </w:r>
      <w:proofErr w:type="spellStart"/>
      <w:r w:rsidRPr="00D636F8">
        <w:t>utilise</w:t>
      </w:r>
      <w:proofErr w:type="spellEnd"/>
      <w:r w:rsidRPr="00D636F8">
        <w:t xml:space="preserve"> the pharmacists’ expertise</w:t>
      </w:r>
      <w:r w:rsidR="001B25B6">
        <w:t>. Initially this</w:t>
      </w:r>
      <w:r w:rsidR="00CD7848">
        <w:t xml:space="preserve"> </w:t>
      </w:r>
      <w:r w:rsidR="001B25B6">
        <w:t xml:space="preserve">impacted upon </w:t>
      </w:r>
      <w:r w:rsidR="00CD7848">
        <w:t xml:space="preserve">the </w:t>
      </w:r>
      <w:r w:rsidR="003F7CA4">
        <w:t xml:space="preserve">rate of </w:t>
      </w:r>
      <w:r w:rsidR="001B25B6">
        <w:t>referrals and recruitment</w:t>
      </w:r>
      <w:r w:rsidRPr="00D636F8">
        <w:t xml:space="preserve">.  </w:t>
      </w:r>
      <w:proofErr w:type="gramStart"/>
      <w:r w:rsidRPr="00D636F8">
        <w:t>The majority of</w:t>
      </w:r>
      <w:proofErr w:type="gramEnd"/>
      <w:r w:rsidRPr="00D636F8">
        <w:t xml:space="preserve"> the pharmacists felt accepted and well-integrated within the PHC team at the time of their interview (after approximately six months of practice in their service).  Other challenges reported included the irregular attendance of </w:t>
      </w:r>
      <w:r w:rsidR="004A178E">
        <w:rPr>
          <w:color w:val="000000" w:themeColor="text1"/>
        </w:rPr>
        <w:t>participants</w:t>
      </w:r>
      <w:r w:rsidRPr="00D636F8">
        <w:t xml:space="preserve">, </w:t>
      </w:r>
      <w:r w:rsidR="004A178E">
        <w:t>those</w:t>
      </w:r>
      <w:r w:rsidRPr="00D636F8">
        <w:t xml:space="preserve"> with chronic diseases being overwhelmed with appointments, transience, language barriers and ‘sorry </w:t>
      </w:r>
      <w:proofErr w:type="gramStart"/>
      <w:r w:rsidRPr="00D636F8">
        <w:t>business’</w:t>
      </w:r>
      <w:proofErr w:type="gramEnd"/>
      <w:r w:rsidRPr="00D636F8">
        <w:t xml:space="preserve">.  Other project-related challenges were the complexity of the participant consent process and the need for written consent from the patient.  This was particularly challenging where </w:t>
      </w:r>
      <w:r w:rsidR="004A178E">
        <w:rPr>
          <w:color w:val="000000" w:themeColor="text1"/>
        </w:rPr>
        <w:t>participants</w:t>
      </w:r>
      <w:r w:rsidR="004A178E" w:rsidRPr="00D636F8">
        <w:rPr>
          <w:color w:val="000000" w:themeColor="text1"/>
        </w:rPr>
        <w:t xml:space="preserve"> </w:t>
      </w:r>
      <w:r w:rsidRPr="00D636F8">
        <w:t xml:space="preserve">had low health literacy or where English was not their first language.  Another challenge within the project was the time it took for pharmacists to enter research data for the quantitative analysis.  </w:t>
      </w:r>
    </w:p>
    <w:p w14:paraId="37F62F58" w14:textId="77777777" w:rsidR="006C152D" w:rsidRPr="009A5914" w:rsidRDefault="006C152D" w:rsidP="006C152D">
      <w:pPr>
        <w:keepNext/>
        <w:keepLines/>
        <w:widowControl/>
        <w:pBdr>
          <w:top w:val="single" w:sz="4" w:space="1" w:color="auto"/>
          <w:left w:val="single" w:sz="4" w:space="4" w:color="auto"/>
          <w:bottom w:val="single" w:sz="4" w:space="1" w:color="auto"/>
          <w:right w:val="single" w:sz="4" w:space="4" w:color="auto"/>
        </w:pBdr>
      </w:pPr>
      <w:r w:rsidRPr="009A5914">
        <w:lastRenderedPageBreak/>
        <w:t>For further details:</w:t>
      </w:r>
    </w:p>
    <w:p w14:paraId="7A8322E0" w14:textId="77777777" w:rsidR="006C152D" w:rsidRPr="009A5914" w:rsidRDefault="006C152D" w:rsidP="006C152D">
      <w:pPr>
        <w:keepNext/>
        <w:keepLines/>
        <w:widowControl/>
        <w:pBdr>
          <w:top w:val="single" w:sz="4" w:space="1" w:color="auto"/>
          <w:left w:val="single" w:sz="4" w:space="4" w:color="auto"/>
          <w:bottom w:val="single" w:sz="4" w:space="1" w:color="auto"/>
          <w:right w:val="single" w:sz="4" w:space="4" w:color="auto"/>
        </w:pBdr>
      </w:pPr>
      <w:r w:rsidRPr="00392D76">
        <w:t>Appendix 14:</w:t>
      </w:r>
      <w:r>
        <w:t xml:space="preserve"> </w:t>
      </w:r>
      <w:r w:rsidRPr="009A5914">
        <w:t xml:space="preserve">Preston R, Smith D, </w:t>
      </w:r>
      <w:proofErr w:type="spellStart"/>
      <w:r w:rsidRPr="009A5914">
        <w:t>Drovandi</w:t>
      </w:r>
      <w:proofErr w:type="spellEnd"/>
      <w:r w:rsidRPr="009A5914">
        <w:t xml:space="preserve"> A, Morris L, Page P, Swain L, </w:t>
      </w:r>
      <w:proofErr w:type="spellStart"/>
      <w:r w:rsidRPr="009A5914">
        <w:t>Couzos</w:t>
      </w:r>
      <w:proofErr w:type="spellEnd"/>
      <w:r w:rsidRPr="009A5914">
        <w:t xml:space="preserve"> S. Integrating Pharmacists within Aboriginal Community Controlled Health Services (ACCHSs) to improve Chronic Disease Management (IPAC) Project: Qualitative Evaluation Report to the PSA. </w:t>
      </w:r>
      <w:r>
        <w:t xml:space="preserve">Final report. </w:t>
      </w:r>
      <w:r w:rsidRPr="009A5914">
        <w:t>February 2020</w:t>
      </w:r>
    </w:p>
    <w:p w14:paraId="17E87E85" w14:textId="0A26F3BC" w:rsidR="00667764" w:rsidRDefault="006C152D" w:rsidP="0048683E">
      <w:pPr>
        <w:pStyle w:val="Heading3"/>
      </w:pPr>
      <w:bookmarkStart w:id="225" w:name="_Toc138846288"/>
      <w:r>
        <w:t>Health systems assessment</w:t>
      </w:r>
      <w:bookmarkEnd w:id="225"/>
    </w:p>
    <w:p w14:paraId="20BE9035" w14:textId="4BCE0E1C" w:rsidR="00FB4E81" w:rsidRPr="006C152D" w:rsidRDefault="00667764" w:rsidP="00FB4E81">
      <w:pPr>
        <w:rPr>
          <w:lang w:val="en-AU"/>
        </w:rPr>
      </w:pPr>
      <w:r>
        <w:rPr>
          <w:lang w:val="en-AU"/>
        </w:rPr>
        <w:t xml:space="preserve">There was little change in health systems within participating sites from baseline to the end of the study that might otherwise explain improvements (such as from non-IPAC related service activity). Moreover, the health system changes that were observed were most likely explained by improvements generated by integrated pharmacist activity. For example, ACCHSs had more accessible on-site pharmacists at the end of the </w:t>
      </w:r>
      <w:r w:rsidR="004A7AF7">
        <w:rPr>
          <w:lang w:val="en-AU"/>
        </w:rPr>
        <w:t>trial</w:t>
      </w:r>
      <w:r>
        <w:rPr>
          <w:lang w:val="en-AU"/>
        </w:rPr>
        <w:t xml:space="preserve"> than at baseline, which is explained by integrated pharmacists working within sites. By the end of the </w:t>
      </w:r>
      <w:r w:rsidR="004A7AF7">
        <w:rPr>
          <w:lang w:val="en-AU"/>
        </w:rPr>
        <w:t>trial</w:t>
      </w:r>
      <w:r>
        <w:rPr>
          <w:lang w:val="en-AU"/>
        </w:rPr>
        <w:t>, six services received community pharmacy support for educational sessions, but no services reported this activity at baseline. The local</w:t>
      </w:r>
      <w:r w:rsidR="00002085">
        <w:rPr>
          <w:lang w:val="en-AU"/>
        </w:rPr>
        <w:t xml:space="preserve"> </w:t>
      </w:r>
      <w:r>
        <w:rPr>
          <w:lang w:val="en-AU"/>
        </w:rPr>
        <w:t xml:space="preserve">community pharmacy employed the </w:t>
      </w:r>
      <w:r w:rsidR="00505956">
        <w:rPr>
          <w:lang w:val="en-AU"/>
        </w:rPr>
        <w:t>integrated</w:t>
      </w:r>
      <w:r>
        <w:rPr>
          <w:lang w:val="en-AU"/>
        </w:rPr>
        <w:t xml:space="preserve"> pharmacists in five of these six services which</w:t>
      </w:r>
      <w:r w:rsidR="00002085">
        <w:rPr>
          <w:lang w:val="en-AU"/>
        </w:rPr>
        <w:t xml:space="preserve"> </w:t>
      </w:r>
      <w:r>
        <w:rPr>
          <w:lang w:val="en-AU"/>
        </w:rPr>
        <w:t>likely explains this increased activity. The remaining service reported increased collaborative</w:t>
      </w:r>
      <w:r w:rsidR="00002085">
        <w:rPr>
          <w:lang w:val="en-AU"/>
        </w:rPr>
        <w:t xml:space="preserve"> </w:t>
      </w:r>
      <w:r>
        <w:rPr>
          <w:lang w:val="en-AU"/>
        </w:rPr>
        <w:t xml:space="preserve">activity with community pharmacy </w:t>
      </w:r>
      <w:proofErr w:type="gramStart"/>
      <w:r>
        <w:rPr>
          <w:lang w:val="en-AU"/>
        </w:rPr>
        <w:t>as a result of</w:t>
      </w:r>
      <w:proofErr w:type="gramEnd"/>
      <w:r>
        <w:rPr>
          <w:lang w:val="en-AU"/>
        </w:rPr>
        <w:t xml:space="preserve"> the project. Other perceptions of</w:t>
      </w:r>
      <w:r w:rsidR="00002085">
        <w:rPr>
          <w:lang w:val="en-AU"/>
        </w:rPr>
        <w:t xml:space="preserve"> </w:t>
      </w:r>
      <w:r>
        <w:rPr>
          <w:lang w:val="en-AU"/>
        </w:rPr>
        <w:t xml:space="preserve">community pharmacy support to ACCHSs </w:t>
      </w:r>
      <w:r w:rsidR="00002085">
        <w:rPr>
          <w:lang w:val="en-AU"/>
        </w:rPr>
        <w:t>did not change during the study</w:t>
      </w:r>
      <w:r>
        <w:rPr>
          <w:lang w:val="en-AU"/>
        </w:rPr>
        <w:t>.</w:t>
      </w:r>
      <w:r w:rsidR="00002085">
        <w:rPr>
          <w:lang w:val="en-AU"/>
        </w:rPr>
        <w:t xml:space="preserve"> </w:t>
      </w:r>
    </w:p>
    <w:p w14:paraId="70654481" w14:textId="77777777" w:rsidR="006C152D" w:rsidRPr="005F1EA9" w:rsidRDefault="006C152D" w:rsidP="006C152D">
      <w:pPr>
        <w:pBdr>
          <w:top w:val="single" w:sz="4" w:space="1" w:color="auto"/>
          <w:left w:val="single" w:sz="4" w:space="4" w:color="auto"/>
          <w:bottom w:val="single" w:sz="4" w:space="1" w:color="auto"/>
          <w:right w:val="single" w:sz="4" w:space="4" w:color="auto"/>
        </w:pBdr>
      </w:pPr>
      <w:r w:rsidRPr="005F1EA9">
        <w:t>For further details:</w:t>
      </w:r>
    </w:p>
    <w:p w14:paraId="780202FE" w14:textId="77777777" w:rsidR="006C152D" w:rsidRPr="005F1EA9" w:rsidRDefault="006C152D" w:rsidP="006C152D">
      <w:pPr>
        <w:pBdr>
          <w:top w:val="single" w:sz="4" w:space="1" w:color="auto"/>
          <w:left w:val="single" w:sz="4" w:space="4" w:color="auto"/>
          <w:bottom w:val="single" w:sz="4" w:space="1" w:color="auto"/>
          <w:right w:val="single" w:sz="4" w:space="4" w:color="auto"/>
        </w:pBdr>
      </w:pPr>
      <w:r w:rsidRPr="005F1EA9">
        <w:t xml:space="preserve">Appendix 10: </w:t>
      </w:r>
      <w:proofErr w:type="spellStart"/>
      <w:r w:rsidRPr="005F1EA9">
        <w:t>Couzos</w:t>
      </w:r>
      <w:proofErr w:type="spellEnd"/>
      <w:r w:rsidRPr="005F1EA9">
        <w:t xml:space="preserve">, S, Smith D, </w:t>
      </w:r>
      <w:proofErr w:type="spellStart"/>
      <w:r w:rsidRPr="005F1EA9">
        <w:t>Buttner</w:t>
      </w:r>
      <w:proofErr w:type="spellEnd"/>
      <w:r w:rsidRPr="005F1EA9">
        <w:t xml:space="preserve"> P, Biros E. </w:t>
      </w:r>
      <w:r>
        <w:t>A</w:t>
      </w:r>
      <w:r w:rsidRPr="005F1EA9">
        <w:t>ssessment of medication appropriateness using the Medication Appropriateness Index (MAI)</w:t>
      </w:r>
      <w:r>
        <w:t xml:space="preserve"> in Aboriginal and Torres Strait Islander patients with chronic disease receiving integrated pharmacist support within Aboriginal Community Controlled Health Services (IPAC project)</w:t>
      </w:r>
      <w:r w:rsidRPr="005F1EA9">
        <w:t xml:space="preserve">. </w:t>
      </w:r>
      <w:r>
        <w:t xml:space="preserve">Final </w:t>
      </w:r>
      <w:r w:rsidRPr="005F1EA9">
        <w:t>Report to the PSA, Feb</w:t>
      </w:r>
      <w:r>
        <w:t>ruary</w:t>
      </w:r>
      <w:r w:rsidRPr="005F1EA9">
        <w:t xml:space="preserve"> 2020.</w:t>
      </w:r>
    </w:p>
    <w:p w14:paraId="641DDB26" w14:textId="77777777" w:rsidR="009318A9" w:rsidRPr="006C152D" w:rsidRDefault="009318A9" w:rsidP="006C152D">
      <w:r w:rsidRPr="006C152D">
        <w:br w:type="page"/>
      </w:r>
    </w:p>
    <w:p w14:paraId="686D3A69" w14:textId="77777777" w:rsidR="006947B4" w:rsidRDefault="00CE04F1" w:rsidP="0048683E">
      <w:pPr>
        <w:pStyle w:val="Heading1"/>
      </w:pPr>
      <w:bookmarkStart w:id="226" w:name="_Toc40350118"/>
      <w:bookmarkStart w:id="227" w:name="_Toc40441101"/>
      <w:bookmarkStart w:id="228" w:name="_Toc41315643"/>
      <w:bookmarkStart w:id="229" w:name="_Toc138846289"/>
      <w:r>
        <w:lastRenderedPageBreak/>
        <w:t>Discussion</w:t>
      </w:r>
      <w:bookmarkEnd w:id="226"/>
      <w:bookmarkEnd w:id="227"/>
      <w:bookmarkEnd w:id="228"/>
      <w:bookmarkEnd w:id="229"/>
    </w:p>
    <w:p w14:paraId="1037347A" w14:textId="18FE2587" w:rsidR="00BF37F4" w:rsidRDefault="00E96691" w:rsidP="00DA22EF">
      <w:pPr>
        <w:rPr>
          <w:rFonts w:asciiTheme="majorHAnsi" w:hAnsiTheme="majorHAnsi" w:cstheme="majorHAnsi"/>
        </w:rPr>
      </w:pPr>
      <w:r w:rsidRPr="00E96691">
        <w:rPr>
          <w:rFonts w:asciiTheme="majorHAnsi" w:hAnsiTheme="majorHAnsi" w:cstheme="majorHAnsi"/>
        </w:rPr>
        <w:t xml:space="preserve">Analysis of </w:t>
      </w:r>
      <w:r w:rsidR="00F631BA">
        <w:rPr>
          <w:rFonts w:asciiTheme="majorHAnsi" w:hAnsiTheme="majorHAnsi" w:cstheme="majorHAnsi"/>
        </w:rPr>
        <w:t>participant</w:t>
      </w:r>
      <w:r w:rsidR="00F631BA" w:rsidRPr="00E96691">
        <w:rPr>
          <w:rFonts w:asciiTheme="majorHAnsi" w:hAnsiTheme="majorHAnsi" w:cstheme="majorHAnsi"/>
        </w:rPr>
        <w:t xml:space="preserve"> </w:t>
      </w:r>
      <w:r w:rsidR="00F631BA">
        <w:rPr>
          <w:rFonts w:asciiTheme="majorHAnsi" w:hAnsiTheme="majorHAnsi" w:cstheme="majorHAnsi"/>
        </w:rPr>
        <w:t xml:space="preserve">data </w:t>
      </w:r>
      <w:r w:rsidRPr="00E96691">
        <w:rPr>
          <w:rFonts w:asciiTheme="majorHAnsi" w:hAnsiTheme="majorHAnsi" w:cstheme="majorHAnsi"/>
        </w:rPr>
        <w:t xml:space="preserve">and </w:t>
      </w:r>
      <w:r w:rsidR="00F631BA">
        <w:rPr>
          <w:rFonts w:asciiTheme="majorHAnsi" w:hAnsiTheme="majorHAnsi" w:cstheme="majorHAnsi"/>
        </w:rPr>
        <w:t xml:space="preserve">integrated pharmacist </w:t>
      </w:r>
      <w:r w:rsidRPr="00E96691">
        <w:rPr>
          <w:rFonts w:asciiTheme="majorHAnsi" w:hAnsiTheme="majorHAnsi" w:cstheme="majorHAnsi"/>
        </w:rPr>
        <w:t>activit</w:t>
      </w:r>
      <w:r w:rsidR="00F631BA">
        <w:rPr>
          <w:rFonts w:asciiTheme="majorHAnsi" w:hAnsiTheme="majorHAnsi" w:cstheme="majorHAnsi"/>
        </w:rPr>
        <w:t>ies</w:t>
      </w:r>
      <w:r w:rsidRPr="00E96691">
        <w:rPr>
          <w:rFonts w:asciiTheme="majorHAnsi" w:hAnsiTheme="majorHAnsi" w:cstheme="majorHAnsi"/>
        </w:rPr>
        <w:t xml:space="preserve"> collected through the IPAC project demonstrated that integrated pharmacists </w:t>
      </w:r>
      <w:r w:rsidR="00F631BA">
        <w:rPr>
          <w:rFonts w:asciiTheme="majorHAnsi" w:hAnsiTheme="majorHAnsi" w:cstheme="majorHAnsi"/>
        </w:rPr>
        <w:t xml:space="preserve">significantly improved a range of intermediate clinical outcomes </w:t>
      </w:r>
      <w:r w:rsidRPr="00E96691">
        <w:rPr>
          <w:rFonts w:asciiTheme="majorHAnsi" w:hAnsiTheme="majorHAnsi" w:cstheme="majorHAnsi"/>
        </w:rPr>
        <w:t xml:space="preserve">for adult Aboriginal and Torres Strait Islander </w:t>
      </w:r>
      <w:r w:rsidR="004A178E">
        <w:rPr>
          <w:color w:val="000000" w:themeColor="text1"/>
        </w:rPr>
        <w:t>participants</w:t>
      </w:r>
      <w:r w:rsidR="004A178E" w:rsidRPr="00D636F8">
        <w:rPr>
          <w:color w:val="000000" w:themeColor="text1"/>
        </w:rPr>
        <w:t xml:space="preserve"> </w:t>
      </w:r>
      <w:r w:rsidR="00F631BA">
        <w:rPr>
          <w:rFonts w:asciiTheme="majorHAnsi" w:hAnsiTheme="majorHAnsi" w:cstheme="majorHAnsi"/>
        </w:rPr>
        <w:t xml:space="preserve">with chronic disease </w:t>
      </w:r>
      <w:r w:rsidRPr="00E96691">
        <w:rPr>
          <w:rFonts w:asciiTheme="majorHAnsi" w:hAnsiTheme="majorHAnsi" w:cstheme="majorHAnsi"/>
        </w:rPr>
        <w:t xml:space="preserve">attending ACCHSs.  </w:t>
      </w:r>
      <w:r w:rsidR="00F631BA">
        <w:rPr>
          <w:rFonts w:asciiTheme="majorHAnsi" w:hAnsiTheme="majorHAnsi" w:cstheme="majorHAnsi"/>
        </w:rPr>
        <w:t>Participants</w:t>
      </w:r>
      <w:r w:rsidRPr="00E96691">
        <w:rPr>
          <w:rFonts w:asciiTheme="majorHAnsi" w:hAnsiTheme="majorHAnsi" w:cstheme="majorHAnsi"/>
        </w:rPr>
        <w:t xml:space="preserve"> had significantly improved control of CVD risk factors, </w:t>
      </w:r>
      <w:proofErr w:type="spellStart"/>
      <w:r w:rsidRPr="00E96691">
        <w:rPr>
          <w:rFonts w:asciiTheme="majorHAnsi" w:hAnsiTheme="majorHAnsi" w:cstheme="majorHAnsi"/>
        </w:rPr>
        <w:t>glycaemic</w:t>
      </w:r>
      <w:proofErr w:type="spellEnd"/>
      <w:r w:rsidRPr="00E96691">
        <w:rPr>
          <w:rFonts w:asciiTheme="majorHAnsi" w:hAnsiTheme="majorHAnsi" w:cstheme="majorHAnsi"/>
        </w:rPr>
        <w:t xml:space="preserve"> control in </w:t>
      </w:r>
      <w:r w:rsidR="004A178E">
        <w:rPr>
          <w:color w:val="000000" w:themeColor="text1"/>
        </w:rPr>
        <w:t>participants</w:t>
      </w:r>
      <w:r w:rsidR="004A178E" w:rsidRPr="00D636F8">
        <w:rPr>
          <w:color w:val="000000" w:themeColor="text1"/>
        </w:rPr>
        <w:t xml:space="preserve"> </w:t>
      </w:r>
      <w:r w:rsidRPr="00E96691">
        <w:rPr>
          <w:rFonts w:asciiTheme="majorHAnsi" w:hAnsiTheme="majorHAnsi" w:cstheme="majorHAnsi"/>
        </w:rPr>
        <w:t xml:space="preserve">with T2DM, and reduced absolute CVD risk. </w:t>
      </w:r>
      <w:r w:rsidRPr="00E96691">
        <w:rPr>
          <w:rFonts w:asciiTheme="majorHAnsi" w:hAnsiTheme="majorHAnsi" w:cstheme="majorHAnsi"/>
          <w:lang w:val="en-AU"/>
        </w:rPr>
        <w:t xml:space="preserve"> </w:t>
      </w:r>
      <w:r w:rsidR="00CD3717">
        <w:rPr>
          <w:rFonts w:asciiTheme="majorHAnsi" w:hAnsiTheme="majorHAnsi" w:cstheme="majorHAnsi"/>
          <w:lang w:val="en-AU"/>
        </w:rPr>
        <w:t>Moreover, t</w:t>
      </w:r>
      <w:r w:rsidR="00505956" w:rsidRPr="00BE3076">
        <w:t>he</w:t>
      </w:r>
      <w:r w:rsidR="00505956">
        <w:t xml:space="preserve"> observed net</w:t>
      </w:r>
      <w:r w:rsidR="00505956" w:rsidRPr="00BE3076">
        <w:t xml:space="preserve"> improvements in </w:t>
      </w:r>
      <w:r w:rsidR="00505956">
        <w:t>biomedical outcomes</w:t>
      </w:r>
      <w:r w:rsidR="00505956" w:rsidRPr="00BE3076">
        <w:t xml:space="preserve"> are clinically meaningful at a population level.</w:t>
      </w:r>
      <w:r w:rsidR="00505956">
        <w:t xml:space="preserve"> </w:t>
      </w:r>
      <w:r w:rsidR="00F631BA">
        <w:rPr>
          <w:rFonts w:asciiTheme="majorHAnsi" w:hAnsiTheme="majorHAnsi" w:cstheme="majorHAnsi"/>
          <w:lang w:val="en-AU"/>
        </w:rPr>
        <w:t>A nearly four-fold increase in HMRs indicates that p</w:t>
      </w:r>
      <w:r w:rsidRPr="00E96691">
        <w:rPr>
          <w:rFonts w:asciiTheme="majorHAnsi" w:hAnsiTheme="majorHAnsi" w:cstheme="majorHAnsi"/>
          <w:lang w:val="en-AU"/>
        </w:rPr>
        <w:t xml:space="preserve">harmacists integrated within ACCHSs are well placed to deliver medication management reviews to </w:t>
      </w:r>
      <w:r w:rsidR="004A178E">
        <w:rPr>
          <w:color w:val="000000" w:themeColor="text1"/>
        </w:rPr>
        <w:t>participants</w:t>
      </w:r>
      <w:r w:rsidR="004A178E" w:rsidRPr="00D636F8">
        <w:rPr>
          <w:color w:val="000000" w:themeColor="text1"/>
        </w:rPr>
        <w:t xml:space="preserve"> </w:t>
      </w:r>
      <w:r w:rsidRPr="00E96691">
        <w:rPr>
          <w:rFonts w:asciiTheme="majorHAnsi" w:hAnsiTheme="majorHAnsi" w:cstheme="majorHAnsi"/>
          <w:lang w:val="en-AU"/>
        </w:rPr>
        <w:t xml:space="preserve">who experience </w:t>
      </w:r>
      <w:r w:rsidR="00F631BA">
        <w:rPr>
          <w:rFonts w:asciiTheme="majorHAnsi" w:hAnsiTheme="majorHAnsi" w:cstheme="majorHAnsi"/>
          <w:lang w:val="en-AU"/>
        </w:rPr>
        <w:t xml:space="preserve">substantial </w:t>
      </w:r>
      <w:r w:rsidRPr="00E96691">
        <w:rPr>
          <w:rFonts w:asciiTheme="majorHAnsi" w:hAnsiTheme="majorHAnsi" w:cstheme="majorHAnsi"/>
          <w:lang w:val="en-AU"/>
        </w:rPr>
        <w:t xml:space="preserve">barriers in accessing HMRs under current program rules, especially for </w:t>
      </w:r>
      <w:r w:rsidR="004A178E">
        <w:rPr>
          <w:color w:val="000000" w:themeColor="text1"/>
        </w:rPr>
        <w:t>participants</w:t>
      </w:r>
      <w:r w:rsidR="004A178E" w:rsidRPr="00D636F8">
        <w:rPr>
          <w:color w:val="000000" w:themeColor="text1"/>
        </w:rPr>
        <w:t xml:space="preserve"> </w:t>
      </w:r>
      <w:r w:rsidRPr="00E96691">
        <w:rPr>
          <w:rFonts w:asciiTheme="majorHAnsi" w:hAnsiTheme="majorHAnsi" w:cstheme="majorHAnsi"/>
          <w:lang w:val="en-AU"/>
        </w:rPr>
        <w:t>who would otherwise forgo a medication review.  Prescribing quality improved significantly for participants following assessments of medication appropriateness and underutilisation.</w:t>
      </w:r>
      <w:r w:rsidRPr="00E96691">
        <w:rPr>
          <w:rFonts w:asciiTheme="majorHAnsi" w:hAnsiTheme="majorHAnsi" w:cstheme="majorHAnsi"/>
        </w:rPr>
        <w:t xml:space="preserve"> </w:t>
      </w:r>
      <w:r w:rsidR="00F631BA">
        <w:rPr>
          <w:rFonts w:asciiTheme="majorHAnsi" w:hAnsiTheme="majorHAnsi" w:cstheme="majorHAnsi"/>
        </w:rPr>
        <w:t xml:space="preserve">Medication adherence and self-assessed health status improved significantly indicating that </w:t>
      </w:r>
      <w:r w:rsidR="00851DB9">
        <w:rPr>
          <w:rFonts w:asciiTheme="majorHAnsi" w:hAnsiTheme="majorHAnsi" w:cstheme="majorHAnsi"/>
        </w:rPr>
        <w:t xml:space="preserve">integrated pharmacists can help to overcome </w:t>
      </w:r>
      <w:r w:rsidR="009E5DE7">
        <w:rPr>
          <w:rFonts w:asciiTheme="majorHAnsi" w:hAnsiTheme="majorHAnsi" w:cstheme="majorHAnsi"/>
        </w:rPr>
        <w:t xml:space="preserve">some of </w:t>
      </w:r>
      <w:r w:rsidR="00851DB9">
        <w:rPr>
          <w:rFonts w:asciiTheme="majorHAnsi" w:hAnsiTheme="majorHAnsi" w:cstheme="majorHAnsi"/>
        </w:rPr>
        <w:t xml:space="preserve">the many difficulties this population faces with taking medications. </w:t>
      </w:r>
    </w:p>
    <w:p w14:paraId="3434C5F4" w14:textId="4791181F" w:rsidR="00455675" w:rsidRPr="00CE3258" w:rsidRDefault="001D0D00" w:rsidP="00455675">
      <w:pPr>
        <w:rPr>
          <w:rFonts w:eastAsia="Times New Roman" w:cstheme="minorHAnsi"/>
          <w:lang w:eastAsia="en-AU"/>
        </w:rPr>
      </w:pPr>
      <w:r>
        <w:rPr>
          <w:rFonts w:asciiTheme="majorHAnsi" w:hAnsiTheme="majorHAnsi" w:cstheme="majorHAnsi"/>
        </w:rPr>
        <w:t xml:space="preserve">Economic analysis has revealed that </w:t>
      </w:r>
      <w:r w:rsidR="00F802B5">
        <w:rPr>
          <w:rFonts w:asciiTheme="majorHAnsi" w:hAnsiTheme="majorHAnsi" w:cstheme="majorHAnsi"/>
        </w:rPr>
        <w:t>the total cost of implementing the IPAC intervention was $1,</w:t>
      </w:r>
      <w:r w:rsidR="00523F85">
        <w:rPr>
          <w:rFonts w:asciiTheme="majorHAnsi" w:hAnsiTheme="majorHAnsi" w:cstheme="majorHAnsi"/>
        </w:rPr>
        <w:t>493</w:t>
      </w:r>
      <w:r w:rsidR="00F802B5">
        <w:rPr>
          <w:rFonts w:asciiTheme="majorHAnsi" w:hAnsiTheme="majorHAnsi" w:cstheme="majorHAnsi"/>
        </w:rPr>
        <w:t xml:space="preserve"> per participant </w:t>
      </w:r>
      <w:proofErr w:type="gramStart"/>
      <w:r w:rsidR="00F802B5">
        <w:rPr>
          <w:rFonts w:asciiTheme="majorHAnsi" w:hAnsiTheme="majorHAnsi" w:cstheme="majorHAnsi"/>
        </w:rPr>
        <w:t>in order to</w:t>
      </w:r>
      <w:proofErr w:type="gramEnd"/>
      <w:r w:rsidR="00F802B5">
        <w:rPr>
          <w:rFonts w:asciiTheme="majorHAnsi" w:hAnsiTheme="majorHAnsi" w:cstheme="majorHAnsi"/>
        </w:rPr>
        <w:t xml:space="preserve"> </w:t>
      </w:r>
      <w:r w:rsidR="00CB2092">
        <w:rPr>
          <w:rFonts w:asciiTheme="majorHAnsi" w:hAnsiTheme="majorHAnsi" w:cstheme="majorHAnsi"/>
        </w:rPr>
        <w:t>achieve</w:t>
      </w:r>
      <w:r w:rsidR="00F802B5">
        <w:rPr>
          <w:rFonts w:asciiTheme="majorHAnsi" w:hAnsiTheme="majorHAnsi" w:cstheme="majorHAnsi"/>
        </w:rPr>
        <w:t xml:space="preserve"> </w:t>
      </w:r>
      <w:r w:rsidR="000D18A9">
        <w:rPr>
          <w:rFonts w:asciiTheme="majorHAnsi" w:hAnsiTheme="majorHAnsi" w:cstheme="majorHAnsi"/>
        </w:rPr>
        <w:t xml:space="preserve">all </w:t>
      </w:r>
      <w:r w:rsidR="003D60A8">
        <w:rPr>
          <w:rFonts w:asciiTheme="majorHAnsi" w:hAnsiTheme="majorHAnsi" w:cstheme="majorHAnsi"/>
        </w:rPr>
        <w:t>outcomes for</w:t>
      </w:r>
      <w:r w:rsidR="00F802B5">
        <w:rPr>
          <w:rFonts w:asciiTheme="majorHAnsi" w:hAnsiTheme="majorHAnsi" w:cstheme="majorHAnsi"/>
        </w:rPr>
        <w:t xml:space="preserve"> participant</w:t>
      </w:r>
      <w:r w:rsidR="00CB2092">
        <w:rPr>
          <w:rFonts w:asciiTheme="majorHAnsi" w:hAnsiTheme="majorHAnsi" w:cstheme="majorHAnsi"/>
        </w:rPr>
        <w:t>s including statistically significant improvements in biomedical measures</w:t>
      </w:r>
      <w:r w:rsidR="00E6261E">
        <w:rPr>
          <w:rFonts w:asciiTheme="majorHAnsi" w:hAnsiTheme="majorHAnsi" w:cstheme="majorHAnsi"/>
        </w:rPr>
        <w:t xml:space="preserve"> mentioned above</w:t>
      </w:r>
      <w:r w:rsidR="003D60A8">
        <w:rPr>
          <w:rFonts w:asciiTheme="majorHAnsi" w:hAnsiTheme="majorHAnsi" w:cstheme="majorHAnsi"/>
        </w:rPr>
        <w:t xml:space="preserve">.  </w:t>
      </w:r>
      <w:r w:rsidR="007257AC">
        <w:rPr>
          <w:rFonts w:asciiTheme="majorHAnsi" w:hAnsiTheme="majorHAnsi" w:cstheme="majorHAnsi"/>
        </w:rPr>
        <w:t xml:space="preserve">The IPAC intervention </w:t>
      </w:r>
      <w:r w:rsidR="007257AC" w:rsidRPr="007257AC">
        <w:rPr>
          <w:rFonts w:asciiTheme="majorHAnsi" w:hAnsiTheme="majorHAnsi" w:cstheme="majorHAnsi"/>
        </w:rPr>
        <w:t>represented good value for money</w:t>
      </w:r>
      <w:r w:rsidR="007257AC">
        <w:rPr>
          <w:rFonts w:asciiTheme="majorHAnsi" w:hAnsiTheme="majorHAnsi" w:cstheme="majorHAnsi"/>
        </w:rPr>
        <w:t xml:space="preserve">. </w:t>
      </w:r>
      <w:r w:rsidR="00455675">
        <w:rPr>
          <w:rFonts w:asciiTheme="majorHAnsi" w:hAnsiTheme="majorHAnsi" w:cstheme="majorHAnsi"/>
        </w:rPr>
        <w:t>Included in this cost</w:t>
      </w:r>
      <w:r w:rsidR="00455675" w:rsidRPr="00857F55">
        <w:rPr>
          <w:rFonts w:asciiTheme="majorHAnsi" w:hAnsiTheme="majorHAnsi" w:cstheme="majorHAnsi"/>
        </w:rPr>
        <w:t xml:space="preserve"> </w:t>
      </w:r>
      <w:r w:rsidR="00455675">
        <w:rPr>
          <w:rFonts w:asciiTheme="majorHAnsi" w:hAnsiTheme="majorHAnsi" w:cstheme="majorHAnsi"/>
        </w:rPr>
        <w:t xml:space="preserve">of implementing the IPAC intervention, participants, health service staff and internal and external stakeholders also received numerous other benefits </w:t>
      </w:r>
      <w:r w:rsidR="00FA254D">
        <w:rPr>
          <w:rFonts w:asciiTheme="majorHAnsi" w:hAnsiTheme="majorHAnsi" w:cstheme="majorHAnsi"/>
        </w:rPr>
        <w:t>from</w:t>
      </w:r>
      <w:r w:rsidR="00455675">
        <w:rPr>
          <w:rFonts w:asciiTheme="majorHAnsi" w:hAnsiTheme="majorHAnsi" w:cstheme="majorHAnsi"/>
        </w:rPr>
        <w:t xml:space="preserve"> the </w:t>
      </w:r>
      <w:r w:rsidR="00FA254D">
        <w:rPr>
          <w:rFonts w:asciiTheme="majorHAnsi" w:hAnsiTheme="majorHAnsi" w:cstheme="majorHAnsi"/>
        </w:rPr>
        <w:t xml:space="preserve">pharmacists’ </w:t>
      </w:r>
      <w:r w:rsidR="00455675">
        <w:rPr>
          <w:rFonts w:asciiTheme="majorHAnsi" w:hAnsiTheme="majorHAnsi" w:cstheme="majorHAnsi"/>
        </w:rPr>
        <w:t xml:space="preserve">provision of education and training, medicines information and advice, </w:t>
      </w:r>
      <w:r w:rsidR="00FA254D">
        <w:rPr>
          <w:rFonts w:asciiTheme="majorHAnsi" w:hAnsiTheme="majorHAnsi" w:cstheme="majorHAnsi"/>
        </w:rPr>
        <w:t xml:space="preserve">and </w:t>
      </w:r>
      <w:r w:rsidR="00FA254D">
        <w:rPr>
          <w:rFonts w:cstheme="minorHAnsi"/>
        </w:rPr>
        <w:t>contribution</w:t>
      </w:r>
      <w:r w:rsidR="00455675">
        <w:rPr>
          <w:rFonts w:cstheme="minorHAnsi"/>
        </w:rPr>
        <w:t xml:space="preserve"> to chronic disease care through case conferences, care planning, and other team-based activity.  Integrated pharmacists were well placed </w:t>
      </w:r>
      <w:r w:rsidR="00455675">
        <w:rPr>
          <w:rFonts w:eastAsia="Times New Roman" w:cstheme="minorHAnsi"/>
          <w:lang w:eastAsia="en-AU"/>
        </w:rPr>
        <w:t xml:space="preserve">to </w:t>
      </w:r>
      <w:r w:rsidR="009E3B0E">
        <w:rPr>
          <w:rFonts w:eastAsia="Times New Roman" w:cstheme="minorHAnsi"/>
          <w:lang w:eastAsia="en-AU"/>
        </w:rPr>
        <w:t>minimize medication errors whilst facilitating</w:t>
      </w:r>
      <w:r w:rsidR="00455675">
        <w:rPr>
          <w:rFonts w:eastAsia="Times New Roman" w:cstheme="minorHAnsi"/>
          <w:lang w:eastAsia="en-AU"/>
        </w:rPr>
        <w:t xml:space="preserve"> transitions of care</w:t>
      </w:r>
      <w:r w:rsidR="009E3B0E">
        <w:rPr>
          <w:rFonts w:eastAsia="Times New Roman" w:cstheme="minorHAnsi"/>
          <w:lang w:eastAsia="en-AU"/>
        </w:rPr>
        <w:t>.</w:t>
      </w:r>
      <w:r w:rsidR="00455675">
        <w:rPr>
          <w:rFonts w:eastAsia="Times New Roman" w:cstheme="minorHAnsi"/>
          <w:lang w:eastAsia="en-AU"/>
        </w:rPr>
        <w:t xml:space="preserve"> Stakeholder liaison plans were developed and implemented, and integrated pharmacists were the key point of contact for communication and contact with community pharmacies and other stakeholders. </w:t>
      </w:r>
      <w:r w:rsidR="00FA254D">
        <w:rPr>
          <w:rFonts w:eastAsia="Times New Roman" w:cstheme="minorHAnsi"/>
          <w:lang w:eastAsia="en-AU"/>
        </w:rPr>
        <w:t xml:space="preserve"> </w:t>
      </w:r>
      <w:r w:rsidR="00FA254D">
        <w:rPr>
          <w:rFonts w:cstheme="minorHAnsi"/>
          <w:lang w:eastAsia="en-AU"/>
        </w:rPr>
        <w:t>Communication and collaboration were</w:t>
      </w:r>
      <w:r w:rsidR="00FA254D" w:rsidRPr="00136464">
        <w:rPr>
          <w:rFonts w:cstheme="minorHAnsi"/>
          <w:lang w:eastAsia="en-AU"/>
        </w:rPr>
        <w:t xml:space="preserve"> importan</w:t>
      </w:r>
      <w:r w:rsidR="00FA254D">
        <w:rPr>
          <w:rFonts w:cstheme="minorHAnsi"/>
          <w:lang w:eastAsia="en-AU"/>
        </w:rPr>
        <w:t>t functions for integrated pharmacists</w:t>
      </w:r>
      <w:r w:rsidR="00FA254D" w:rsidRPr="005D390E">
        <w:rPr>
          <w:rFonts w:cstheme="minorHAnsi"/>
          <w:lang w:eastAsia="en-AU"/>
        </w:rPr>
        <w:t xml:space="preserve">.  </w:t>
      </w:r>
      <w:r w:rsidR="00FA254D">
        <w:rPr>
          <w:rFonts w:cstheme="minorHAnsi"/>
        </w:rPr>
        <w:t>A</w:t>
      </w:r>
      <w:r w:rsidR="00FA254D" w:rsidRPr="00BB4F91">
        <w:rPr>
          <w:rFonts w:cstheme="minorHAnsi"/>
        </w:rPr>
        <w:t>s the project progressed</w:t>
      </w:r>
      <w:r w:rsidR="00FA254D">
        <w:rPr>
          <w:rFonts w:cstheme="minorHAnsi"/>
        </w:rPr>
        <w:t xml:space="preserve"> and the pharmacists’ capabilities were </w:t>
      </w:r>
      <w:proofErr w:type="spellStart"/>
      <w:r w:rsidR="00FA254D">
        <w:rPr>
          <w:rFonts w:cstheme="minorHAnsi"/>
        </w:rPr>
        <w:t>recognised</w:t>
      </w:r>
      <w:proofErr w:type="spellEnd"/>
      <w:r w:rsidR="00FA254D" w:rsidRPr="00BB4F91">
        <w:rPr>
          <w:rFonts w:cstheme="minorHAnsi"/>
        </w:rPr>
        <w:t xml:space="preserve">, </w:t>
      </w:r>
      <w:r w:rsidR="00FA254D">
        <w:rPr>
          <w:rFonts w:cstheme="minorHAnsi"/>
        </w:rPr>
        <w:t xml:space="preserve">professional </w:t>
      </w:r>
      <w:r w:rsidR="00FA254D" w:rsidRPr="00BB4F91">
        <w:rPr>
          <w:rFonts w:cstheme="minorHAnsi"/>
        </w:rPr>
        <w:t xml:space="preserve">relationships </w:t>
      </w:r>
      <w:proofErr w:type="gramStart"/>
      <w:r w:rsidR="00FA254D">
        <w:rPr>
          <w:rFonts w:cstheme="minorHAnsi"/>
        </w:rPr>
        <w:t>grew</w:t>
      </w:r>
      <w:proofErr w:type="gramEnd"/>
      <w:r w:rsidR="00FA254D">
        <w:rPr>
          <w:rFonts w:cstheme="minorHAnsi"/>
        </w:rPr>
        <w:t xml:space="preserve"> </w:t>
      </w:r>
      <w:r w:rsidR="00FA254D" w:rsidRPr="00BB4F91">
        <w:rPr>
          <w:rFonts w:cstheme="minorHAnsi"/>
        </w:rPr>
        <w:t xml:space="preserve">and </w:t>
      </w:r>
      <w:r w:rsidR="00FA254D">
        <w:rPr>
          <w:rFonts w:cstheme="minorHAnsi"/>
        </w:rPr>
        <w:t xml:space="preserve">trust </w:t>
      </w:r>
      <w:r w:rsidR="00FA254D" w:rsidRPr="00CE3258">
        <w:rPr>
          <w:rFonts w:cstheme="minorHAnsi"/>
        </w:rPr>
        <w:t>developed.  Pharmacists became integrated and respected members of primary health care teams and the services more broadly.</w:t>
      </w:r>
    </w:p>
    <w:p w14:paraId="67C15AA4" w14:textId="45ADB57C" w:rsidR="00857F55" w:rsidRDefault="00857F55" w:rsidP="00857F55">
      <w:pPr>
        <w:rPr>
          <w:rFonts w:eastAsia="Times New Roman" w:cstheme="minorHAnsi"/>
          <w:lang w:eastAsia="en-AU"/>
        </w:rPr>
      </w:pPr>
      <w:r>
        <w:rPr>
          <w:rFonts w:cstheme="minorHAnsi"/>
          <w:lang w:eastAsia="en-AU"/>
        </w:rPr>
        <w:t xml:space="preserve">Qualitative evaluation of the IPAC project facilitated feedback from participants, GPs, other health services staff, community pharmacists, and the integrated pharmacists themselves and provides context around the core roles and </w:t>
      </w:r>
      <w:proofErr w:type="gramStart"/>
      <w:r>
        <w:rPr>
          <w:rFonts w:cstheme="minorHAnsi"/>
          <w:lang w:eastAsia="en-AU"/>
        </w:rPr>
        <w:t>their the</w:t>
      </w:r>
      <w:proofErr w:type="gramEnd"/>
      <w:r>
        <w:rPr>
          <w:rFonts w:cstheme="minorHAnsi"/>
          <w:lang w:eastAsia="en-AU"/>
        </w:rPr>
        <w:t xml:space="preserve"> impact.</w:t>
      </w:r>
      <w:r>
        <w:rPr>
          <w:rStyle w:val="EndnoteReference"/>
          <w:rFonts w:cstheme="minorHAnsi"/>
          <w:lang w:eastAsia="en-AU"/>
        </w:rPr>
        <w:endnoteReference w:id="55"/>
      </w:r>
      <w:r>
        <w:rPr>
          <w:rFonts w:cstheme="minorHAnsi"/>
          <w:lang w:eastAsia="en-AU"/>
        </w:rPr>
        <w:t xml:space="preserve">  Health services staff identified that the pharmacists</w:t>
      </w:r>
      <w:r>
        <w:rPr>
          <w:rFonts w:cstheme="minorHAnsi"/>
          <w:color w:val="010202"/>
        </w:rPr>
        <w:t xml:space="preserve"> built and maintained relationships and </w:t>
      </w:r>
      <w:r>
        <w:rPr>
          <w:rFonts w:cstheme="minorHAnsi"/>
          <w:lang w:eastAsia="en-AU"/>
        </w:rPr>
        <w:t xml:space="preserve">integrated </w:t>
      </w:r>
      <w:r>
        <w:rPr>
          <w:rFonts w:cstheme="minorHAnsi"/>
          <w:color w:val="010202"/>
        </w:rPr>
        <w:t xml:space="preserve">with the primary health care team and more broadly within ACCHSs. </w:t>
      </w:r>
      <w:r w:rsidRPr="00DE339F">
        <w:rPr>
          <w:rFonts w:cstheme="minorHAnsi"/>
          <w:color w:val="000000" w:themeColor="text1"/>
        </w:rPr>
        <w:t xml:space="preserve"> </w:t>
      </w:r>
      <w:r>
        <w:rPr>
          <w:rFonts w:cstheme="minorHAnsi"/>
          <w:color w:val="000000" w:themeColor="text1"/>
        </w:rPr>
        <w:t xml:space="preserve">Education sessions and medicines information provided by the pharmacist was found valuable and knowledge levels of staff had increased as a result.  </w:t>
      </w:r>
      <w:r>
        <w:rPr>
          <w:rFonts w:cstheme="minorHAnsi"/>
          <w:lang w:eastAsia="en-AU"/>
        </w:rPr>
        <w:t>ACCHS staff felt communication and services from external stakeholders had been enhanced by integrating a pharmacist into the ACCHS, such as r</w:t>
      </w:r>
      <w:r>
        <w:rPr>
          <w:rFonts w:eastAsia="Times New Roman" w:cstheme="minorHAnsi"/>
          <w:lang w:eastAsia="en-AU"/>
        </w:rPr>
        <w:t xml:space="preserve">elationships with community pharmacists.  </w:t>
      </w:r>
      <w:r w:rsidR="00305A5F">
        <w:rPr>
          <w:rFonts w:asciiTheme="majorHAnsi" w:hAnsiTheme="majorHAnsi" w:cstheme="majorHAnsi"/>
        </w:rPr>
        <w:t xml:space="preserve">Benefits for patients from interactions with the pharmacists resulted in them feeling better. </w:t>
      </w:r>
      <w:r>
        <w:rPr>
          <w:rFonts w:eastAsia="Times New Roman" w:cstheme="minorHAnsi"/>
          <w:lang w:eastAsia="en-AU"/>
        </w:rPr>
        <w:t xml:space="preserve">Patients </w:t>
      </w:r>
      <w:r>
        <w:rPr>
          <w:rFonts w:cstheme="minorHAnsi"/>
          <w:color w:val="010202"/>
        </w:rPr>
        <w:t xml:space="preserve">reported being more adherent to taking their medicines </w:t>
      </w:r>
      <w:proofErr w:type="gramStart"/>
      <w:r>
        <w:rPr>
          <w:rFonts w:cstheme="minorHAnsi"/>
          <w:color w:val="010202"/>
        </w:rPr>
        <w:t>as a result of</w:t>
      </w:r>
      <w:proofErr w:type="gramEnd"/>
      <w:r>
        <w:rPr>
          <w:rFonts w:cstheme="minorHAnsi"/>
          <w:color w:val="010202"/>
        </w:rPr>
        <w:t xml:space="preserve"> having a better understanding of their conditions, including what their medicines were for, how they worked, and why they needed to take them, which was explained to them</w:t>
      </w:r>
      <w:r w:rsidRPr="006E6C17">
        <w:rPr>
          <w:rFonts w:cstheme="minorHAnsi"/>
          <w:color w:val="010202"/>
        </w:rPr>
        <w:t xml:space="preserve"> </w:t>
      </w:r>
      <w:r>
        <w:rPr>
          <w:rFonts w:cstheme="minorHAnsi"/>
          <w:color w:val="010202"/>
        </w:rPr>
        <w:t>by the integrated pharmacist.</w:t>
      </w:r>
      <w:r w:rsidRPr="00857F55">
        <w:rPr>
          <w:rFonts w:asciiTheme="majorHAnsi" w:hAnsiTheme="majorHAnsi" w:cstheme="majorHAnsi"/>
        </w:rPr>
        <w:t xml:space="preserve"> </w:t>
      </w:r>
      <w:r>
        <w:rPr>
          <w:rFonts w:asciiTheme="majorHAnsi" w:hAnsiTheme="majorHAnsi" w:cstheme="majorHAnsi"/>
        </w:rPr>
        <w:t xml:space="preserve">The significant improvement in participant self-assessed health status supports the overall improvements in health status reported by participants themselves in qualitative analysis.  </w:t>
      </w:r>
    </w:p>
    <w:p w14:paraId="0010A2CE" w14:textId="5A39715C" w:rsidR="00CB2092" w:rsidRDefault="00857F55" w:rsidP="00DA22EF">
      <w:pPr>
        <w:rPr>
          <w:rFonts w:asciiTheme="majorHAnsi" w:hAnsiTheme="majorHAnsi" w:cstheme="majorHAnsi"/>
        </w:rPr>
      </w:pPr>
      <w:r w:rsidRPr="00E96691">
        <w:rPr>
          <w:rFonts w:asciiTheme="majorHAnsi" w:hAnsiTheme="majorHAnsi" w:cstheme="majorHAnsi"/>
        </w:rPr>
        <w:t xml:space="preserve">The qualitative evaluation of the IPAC project demonstrated there was overwhelming support </w:t>
      </w:r>
      <w:r>
        <w:rPr>
          <w:rFonts w:asciiTheme="majorHAnsi" w:hAnsiTheme="majorHAnsi" w:cstheme="majorHAnsi"/>
        </w:rPr>
        <w:t xml:space="preserve">from </w:t>
      </w:r>
      <w:proofErr w:type="gramStart"/>
      <w:r>
        <w:rPr>
          <w:rFonts w:asciiTheme="majorHAnsi" w:hAnsiTheme="majorHAnsi" w:cstheme="majorHAnsi"/>
        </w:rPr>
        <w:t>the vast majority of</w:t>
      </w:r>
      <w:proofErr w:type="gramEnd"/>
      <w:r>
        <w:rPr>
          <w:rFonts w:asciiTheme="majorHAnsi" w:hAnsiTheme="majorHAnsi" w:cstheme="majorHAnsi"/>
        </w:rPr>
        <w:t xml:space="preserve"> participants including patients, health services staff, community pharmacists and the integrated pharmacists, </w:t>
      </w:r>
      <w:r w:rsidRPr="00E96691">
        <w:rPr>
          <w:rFonts w:asciiTheme="majorHAnsi" w:hAnsiTheme="majorHAnsi" w:cstheme="majorHAnsi"/>
        </w:rPr>
        <w:t xml:space="preserve">for non-dispensing pharmacist services to be integrated within the PHC team of participating IPAC sites and in ACCHSs more broadly.  </w:t>
      </w:r>
    </w:p>
    <w:p w14:paraId="5BD0FB26" w14:textId="4FC3EF46" w:rsidR="001924DA" w:rsidRDefault="001924DA" w:rsidP="006C152D">
      <w:pPr>
        <w:widowControl/>
      </w:pPr>
      <w:r>
        <w:lastRenderedPageBreak/>
        <w:t xml:space="preserve">While the IPAC project did not monitor </w:t>
      </w:r>
      <w:proofErr w:type="spellStart"/>
      <w:r>
        <w:t>utilisation</w:t>
      </w:r>
      <w:proofErr w:type="spellEnd"/>
      <w:r>
        <w:t xml:space="preserve"> of health care and other services beyond its focus on primary medical services (including medications), the improvement in biomedical indices is expected to be associated with a reduction in the </w:t>
      </w:r>
      <w:proofErr w:type="spellStart"/>
      <w:r>
        <w:t>utilisation</w:t>
      </w:r>
      <w:proofErr w:type="spellEnd"/>
      <w:r>
        <w:t xml:space="preserve"> and corresponding costs of other government funded health services including emergency department presentations and hospital admissions.  For example, preliminary analysis of the outcomes of the Western Sydney integrated care program targeting patients with chronic disease, including people with type 2 diabetes, chronic obstructive pulmonary disease and coronary artery disease or congestive cardiac failure found statistically significant reductions as follows: 34% in the number of hospital admissions, 37% in potentially preventable </w:t>
      </w:r>
      <w:proofErr w:type="spellStart"/>
      <w:r>
        <w:t>hospitalisations</w:t>
      </w:r>
      <w:proofErr w:type="spellEnd"/>
      <w:r>
        <w:t xml:space="preserve">; 32% in </w:t>
      </w:r>
      <w:r w:rsidR="00167A70">
        <w:t>emergency department</w:t>
      </w:r>
      <w:r>
        <w:t xml:space="preserve"> presentations; and 25% in unplanned admission length of stay.</w:t>
      </w:r>
      <w:r>
        <w:rPr>
          <w:rStyle w:val="EndnoteReference"/>
        </w:rPr>
        <w:endnoteReference w:id="56"/>
      </w:r>
      <w:r>
        <w:t xml:space="preserve">  </w:t>
      </w:r>
      <w:r w:rsidR="00167A70">
        <w:t>T</w:t>
      </w:r>
      <w:r>
        <w:t xml:space="preserve">he IPAC model shares the main objective of integrated care programs, namely to improve overall </w:t>
      </w:r>
      <w:r w:rsidRPr="000C3925">
        <w:t>care for patient</w:t>
      </w:r>
      <w:r>
        <w:t xml:space="preserve">s and achieve a </w:t>
      </w:r>
      <w:r w:rsidRPr="000C3925">
        <w:t xml:space="preserve">better coordinated journey. </w:t>
      </w:r>
      <w:r>
        <w:t>An umbrella review of systematic reviews of integrated care programs found that more than half of reviews found a statistically significant improvement in at least one outcome measure, with improvements of the following order of magnitude: reductions in emergency admissions, 15-50%; all-cause readmissions, 10-30%; condition-specific readmissions, 15-50%; reported length of stay of 1 to 7 days; and lower emergency department presentations, 30-40%.</w:t>
      </w:r>
      <w:r>
        <w:rPr>
          <w:rStyle w:val="EndnoteReference"/>
        </w:rPr>
        <w:endnoteReference w:id="57"/>
      </w:r>
      <w:r>
        <w:t xml:space="preserve">  </w:t>
      </w:r>
    </w:p>
    <w:p w14:paraId="17E38CB5" w14:textId="77777777" w:rsidR="000766D6" w:rsidRDefault="007C1BAF" w:rsidP="00CE4443">
      <w:pPr>
        <w:rPr>
          <w:rFonts w:asciiTheme="majorHAnsi" w:eastAsia="MS Mincho" w:hAnsiTheme="majorHAnsi" w:cstheme="majorHAnsi"/>
          <w:color w:val="221F20"/>
          <w:lang w:val="en-AU"/>
        </w:rPr>
      </w:pPr>
      <w:r>
        <w:t>Pharmacists are increasingly becoming integrated into general practices internationally and in Australia.</w:t>
      </w:r>
      <w:r>
        <w:rPr>
          <w:rStyle w:val="EndnoteReference"/>
          <w:rFonts w:cstheme="minorHAnsi"/>
          <w:color w:val="000000" w:themeColor="text1"/>
        </w:rPr>
        <w:endnoteReference w:id="58"/>
      </w:r>
      <w:r>
        <w:t xml:space="preserve"> </w:t>
      </w:r>
      <w:r>
        <w:rPr>
          <w:rStyle w:val="EndnoteReference"/>
          <w:rFonts w:cstheme="minorHAnsi"/>
          <w:color w:val="000000" w:themeColor="text1"/>
        </w:rPr>
        <w:endnoteReference w:id="59"/>
      </w:r>
      <w:r>
        <w:t xml:space="preserve">  There is evidence that the delivery of multifaceted interventions and interprofessional collaboration through face-to-face communication is most effective.</w:t>
      </w:r>
      <w:r>
        <w:rPr>
          <w:rStyle w:val="EndnoteReference"/>
          <w:rFonts w:cstheme="minorHAnsi"/>
          <w:color w:val="000000" w:themeColor="text1"/>
        </w:rPr>
        <w:endnoteReference w:id="60"/>
      </w:r>
      <w:r w:rsidR="00693E4D">
        <w:t xml:space="preserve"> </w:t>
      </w:r>
      <w:r>
        <w:rPr>
          <w:rStyle w:val="EndnoteReference"/>
          <w:rFonts w:cstheme="minorHAnsi"/>
          <w:color w:val="000000" w:themeColor="text1"/>
        </w:rPr>
        <w:endnoteReference w:id="61"/>
      </w:r>
      <w:r>
        <w:t xml:space="preserve"> </w:t>
      </w:r>
      <w:r w:rsidR="00693E4D">
        <w:t xml:space="preserve">A recent study undertaken in Australia found the role of practice pharmacists (defined as those integrated within mainstream general practices), included undertaking HMRs and medication reconciliation, providing medicines information, patient counselling, monitoring medication adherence, and providing advice on complementary and alternative medicines. In addition, education for staff and patients was provided, as well as medication use evaluations (internal audits of prescribing patterns of specific medications), support for clinical audits and the transition of patients from hospital back into the community, and </w:t>
      </w:r>
      <w:r w:rsidR="00470A58">
        <w:t xml:space="preserve">for a small number of sites, </w:t>
      </w:r>
      <w:r w:rsidR="00693E4D">
        <w:t>the supply of medication in remote Aboriginal Health services.</w:t>
      </w:r>
      <w:r w:rsidR="00693E4D">
        <w:rPr>
          <w:rStyle w:val="EndnoteReference"/>
          <w:rFonts w:cstheme="minorHAnsi"/>
          <w:color w:val="000000" w:themeColor="text1"/>
        </w:rPr>
        <w:endnoteReference w:id="62"/>
      </w:r>
      <w:r w:rsidR="00693E4D">
        <w:t xml:space="preserve"> The study found that medication reviews </w:t>
      </w:r>
      <w:r w:rsidR="00CE4443">
        <w:t xml:space="preserve">by the practice pharmacists </w:t>
      </w:r>
      <w:r w:rsidR="00693E4D">
        <w:t>were highly valued and led to better outcomes in relation to addressing inappropriate prescribing and patient adherence.</w:t>
      </w:r>
      <w:r w:rsidR="00693E4D">
        <w:rPr>
          <w:lang w:val="en-GB"/>
        </w:rPr>
        <w:t xml:space="preserve">  </w:t>
      </w:r>
      <w:r w:rsidR="00CE4443">
        <w:rPr>
          <w:lang w:val="en-GB"/>
        </w:rPr>
        <w:t xml:space="preserve">The </w:t>
      </w:r>
      <w:r w:rsidR="00CE4443" w:rsidRPr="00CE4443">
        <w:rPr>
          <w:lang w:val="en-GB"/>
        </w:rPr>
        <w:t xml:space="preserve">Indigenous Medication </w:t>
      </w:r>
      <w:r w:rsidR="00CE4443" w:rsidRPr="000766D6">
        <w:rPr>
          <w:rFonts w:asciiTheme="majorHAnsi" w:hAnsiTheme="majorHAnsi" w:cstheme="majorHAnsi"/>
          <w:lang w:val="en-GB"/>
        </w:rPr>
        <w:t>Review Service (</w:t>
      </w:r>
      <w:proofErr w:type="spellStart"/>
      <w:r w:rsidR="00CE4443" w:rsidRPr="000766D6">
        <w:rPr>
          <w:rFonts w:asciiTheme="majorHAnsi" w:hAnsiTheme="majorHAnsi" w:cstheme="majorHAnsi"/>
          <w:lang w:val="en-GB"/>
        </w:rPr>
        <w:t>IMeRSe</w:t>
      </w:r>
      <w:proofErr w:type="spellEnd"/>
      <w:r w:rsidR="00CE4443" w:rsidRPr="000766D6">
        <w:rPr>
          <w:rFonts w:asciiTheme="majorHAnsi" w:hAnsiTheme="majorHAnsi" w:cstheme="majorHAnsi"/>
          <w:lang w:val="en-GB"/>
        </w:rPr>
        <w:t>) study currently being conducted in Australia also recognises t</w:t>
      </w:r>
      <w:r w:rsidR="000766D6" w:rsidRPr="000766D6">
        <w:rPr>
          <w:rFonts w:asciiTheme="majorHAnsi" w:hAnsiTheme="majorHAnsi" w:cstheme="majorHAnsi"/>
          <w:lang w:val="en-GB"/>
        </w:rPr>
        <w:t xml:space="preserve">he value of medication reviews </w:t>
      </w:r>
      <w:r w:rsidR="00CE4443" w:rsidRPr="000766D6">
        <w:rPr>
          <w:rFonts w:asciiTheme="majorHAnsi" w:hAnsiTheme="majorHAnsi" w:cstheme="majorHAnsi"/>
          <w:lang w:val="en-GB"/>
        </w:rPr>
        <w:t xml:space="preserve">and aims to </w:t>
      </w:r>
      <w:r w:rsidR="00CE4443" w:rsidRPr="000766D6">
        <w:rPr>
          <w:rFonts w:asciiTheme="majorHAnsi" w:eastAsia="MS Mincho" w:hAnsiTheme="majorHAnsi" w:cstheme="majorHAnsi"/>
          <w:color w:val="221F20"/>
          <w:lang w:val="en-AU"/>
        </w:rPr>
        <w:t>evaluate the</w:t>
      </w:r>
      <w:r w:rsidR="000766D6" w:rsidRPr="000766D6">
        <w:rPr>
          <w:rFonts w:asciiTheme="majorHAnsi" w:eastAsia="MS Mincho" w:hAnsiTheme="majorHAnsi" w:cstheme="majorHAnsi"/>
          <w:color w:val="221F20"/>
          <w:lang w:val="en-AU"/>
        </w:rPr>
        <w:t xml:space="preserve"> </w:t>
      </w:r>
      <w:r w:rsidR="00CE4443" w:rsidRPr="000766D6">
        <w:rPr>
          <w:rFonts w:asciiTheme="majorHAnsi" w:eastAsia="MS Mincho" w:hAnsiTheme="majorHAnsi" w:cstheme="majorHAnsi"/>
          <w:color w:val="221F20"/>
          <w:lang w:val="en-AU"/>
        </w:rPr>
        <w:t>feasibility of a culturally appropriate medication management</w:t>
      </w:r>
      <w:r w:rsidR="000766D6" w:rsidRPr="000766D6">
        <w:rPr>
          <w:rFonts w:asciiTheme="majorHAnsi" w:eastAsia="MS Mincho" w:hAnsiTheme="majorHAnsi" w:cstheme="majorHAnsi"/>
          <w:color w:val="221F20"/>
          <w:lang w:val="en-AU"/>
        </w:rPr>
        <w:t xml:space="preserve"> </w:t>
      </w:r>
      <w:r w:rsidR="00CE4443" w:rsidRPr="000766D6">
        <w:rPr>
          <w:rFonts w:asciiTheme="majorHAnsi" w:eastAsia="MS Mincho" w:hAnsiTheme="majorHAnsi" w:cstheme="majorHAnsi"/>
          <w:color w:val="221F20"/>
          <w:lang w:val="en-AU"/>
        </w:rPr>
        <w:t>service delivered by community pharmacists in collaboration</w:t>
      </w:r>
      <w:r w:rsidR="000766D6" w:rsidRPr="000766D6">
        <w:rPr>
          <w:rFonts w:asciiTheme="majorHAnsi" w:eastAsia="MS Mincho" w:hAnsiTheme="majorHAnsi" w:cstheme="majorHAnsi"/>
          <w:color w:val="221F20"/>
          <w:lang w:val="en-AU"/>
        </w:rPr>
        <w:t xml:space="preserve"> </w:t>
      </w:r>
      <w:r w:rsidR="00CE4443" w:rsidRPr="000766D6">
        <w:rPr>
          <w:rFonts w:asciiTheme="majorHAnsi" w:eastAsia="MS Mincho" w:hAnsiTheme="majorHAnsi" w:cstheme="majorHAnsi"/>
          <w:color w:val="221F20"/>
          <w:lang w:val="en-AU"/>
        </w:rPr>
        <w:t>with Aboriginal health workers.</w:t>
      </w:r>
      <w:r w:rsidR="000766D6" w:rsidRPr="000766D6">
        <w:rPr>
          <w:rStyle w:val="EndnoteReference"/>
          <w:rFonts w:asciiTheme="majorHAnsi" w:eastAsia="MS Mincho" w:hAnsiTheme="majorHAnsi" w:cstheme="majorHAnsi"/>
          <w:color w:val="221F20"/>
          <w:lang w:val="en-AU"/>
        </w:rPr>
        <w:endnoteReference w:id="63"/>
      </w:r>
      <w:r w:rsidR="000766D6" w:rsidRPr="000766D6">
        <w:rPr>
          <w:rFonts w:asciiTheme="majorHAnsi" w:eastAsia="MS Mincho" w:hAnsiTheme="majorHAnsi" w:cstheme="majorHAnsi"/>
          <w:color w:val="221F20"/>
          <w:lang w:val="en-AU"/>
        </w:rPr>
        <w:t xml:space="preserve">  </w:t>
      </w:r>
    </w:p>
    <w:p w14:paraId="38D5CD91" w14:textId="2FA0A97F" w:rsidR="00F32EBF" w:rsidRDefault="00693E4D" w:rsidP="00CE4443">
      <w:r w:rsidRPr="000766D6">
        <w:rPr>
          <w:rFonts w:asciiTheme="majorHAnsi" w:hAnsiTheme="majorHAnsi" w:cstheme="majorHAnsi"/>
          <w:iCs/>
        </w:rPr>
        <w:t>Benson et al describes seven GP pharmacist</w:t>
      </w:r>
      <w:r w:rsidRPr="009402E0">
        <w:rPr>
          <w:iCs/>
        </w:rPr>
        <w:t xml:space="preserve"> role sub-categories including medication management, patient examination and screening, chronic disease management, drug information and education, collaboration and liaison, audit and quality assurance and research.</w:t>
      </w:r>
      <w:r>
        <w:rPr>
          <w:rStyle w:val="EndnoteReference"/>
          <w:rFonts w:cstheme="minorHAnsi"/>
          <w:color w:val="000000" w:themeColor="text1"/>
          <w:lang w:val="en-GB"/>
        </w:rPr>
        <w:endnoteReference w:id="64"/>
      </w:r>
      <w:r>
        <w:rPr>
          <w:rStyle w:val="EndnoteReference"/>
          <w:rFonts w:cstheme="minorHAnsi"/>
          <w:color w:val="000000" w:themeColor="text1"/>
          <w:lang w:val="en-GB"/>
        </w:rPr>
        <w:t xml:space="preserve">  </w:t>
      </w:r>
      <w:r>
        <w:rPr>
          <w:lang w:val="en-GB"/>
        </w:rPr>
        <w:t>Other studies have also reported that pharmacists in general practices conduct a variety of clinical and non-clinical roles related to medicines, notably excluding dispensing.</w:t>
      </w:r>
      <w:r>
        <w:rPr>
          <w:rStyle w:val="EndnoteReference"/>
          <w:rFonts w:cstheme="minorHAnsi"/>
          <w:color w:val="000000" w:themeColor="text1"/>
          <w:lang w:val="en-GB"/>
        </w:rPr>
        <w:endnoteReference w:id="65"/>
      </w:r>
      <w:r>
        <w:rPr>
          <w:lang w:val="en-GB"/>
        </w:rPr>
        <w:t xml:space="preserve"> </w:t>
      </w:r>
      <w:r>
        <w:rPr>
          <w:rStyle w:val="EndnoteReference"/>
          <w:rFonts w:cstheme="minorHAnsi"/>
          <w:color w:val="000000" w:themeColor="text1"/>
          <w:lang w:val="en-GB"/>
        </w:rPr>
        <w:endnoteReference w:id="66"/>
      </w:r>
      <w:r>
        <w:rPr>
          <w:lang w:val="en-GB"/>
        </w:rPr>
        <w:t xml:space="preserve">  </w:t>
      </w:r>
      <w:r w:rsidR="00F32EBF">
        <w:t>In comparison to the seven roles described by Benson et al,</w:t>
      </w:r>
      <w:r w:rsidR="00F32EBF">
        <w:rPr>
          <w:rStyle w:val="EndnoteReference"/>
        </w:rPr>
        <w:endnoteReference w:id="67"/>
      </w:r>
      <w:r w:rsidR="00F32EBF">
        <w:t xml:space="preserve"> in </w:t>
      </w:r>
      <w:r w:rsidR="00801AED">
        <w:t>the IPAC project</w:t>
      </w:r>
      <w:r w:rsidR="003041F2">
        <w:t>,</w:t>
      </w:r>
      <w:r w:rsidR="00801AED">
        <w:t xml:space="preserve"> medication adherence was identified as a distinct function or core role</w:t>
      </w:r>
      <w:r w:rsidR="001F5AEF">
        <w:t xml:space="preserve"> of the integrated pharmacist</w:t>
      </w:r>
      <w:r w:rsidR="00167A70">
        <w:t xml:space="preserve"> so that integrated</w:t>
      </w:r>
      <w:r w:rsidR="00801AED">
        <w:t xml:space="preserve"> pharmacist</w:t>
      </w:r>
      <w:r w:rsidR="00167A70">
        <w:t>s</w:t>
      </w:r>
      <w:r w:rsidR="00801AED">
        <w:t xml:space="preserve"> </w:t>
      </w:r>
      <w:r w:rsidR="00167A70">
        <w:t>could</w:t>
      </w:r>
      <w:r w:rsidR="00801AED">
        <w:t xml:space="preserve"> assess adherence </w:t>
      </w:r>
      <w:r w:rsidR="00167A70">
        <w:t xml:space="preserve">to medications </w:t>
      </w:r>
      <w:r w:rsidR="00801AED">
        <w:t xml:space="preserve">and support </w:t>
      </w:r>
      <w:r w:rsidR="00167A70">
        <w:t xml:space="preserve">all </w:t>
      </w:r>
      <w:r w:rsidR="00801AED">
        <w:t xml:space="preserve">patients </w:t>
      </w:r>
      <w:r w:rsidR="00167A70">
        <w:t>they were encountering whilst focusing on a</w:t>
      </w:r>
      <w:r w:rsidR="00801AED">
        <w:t xml:space="preserve"> comprehensive medication management review (like a HMR)</w:t>
      </w:r>
      <w:r w:rsidR="00167A70">
        <w:t xml:space="preserve"> for those that needed it most</w:t>
      </w:r>
      <w:r w:rsidR="00801AED">
        <w:t>. The activity of transitional care was also identified to be a different function to stakeholder liaison</w:t>
      </w:r>
      <w:r w:rsidR="00167A70">
        <w:t xml:space="preserve"> which was defined in the IPAC project as pertaining to</w:t>
      </w:r>
      <w:r w:rsidR="00801AED">
        <w:t xml:space="preserve"> communication </w:t>
      </w:r>
      <w:r w:rsidR="00167A70">
        <w:t xml:space="preserve">and partnerships </w:t>
      </w:r>
      <w:r w:rsidR="00801AED">
        <w:t>with community pharmacy</w:t>
      </w:r>
      <w:r w:rsidR="00167A70">
        <w:t xml:space="preserve"> as well as other stakeholders</w:t>
      </w:r>
      <w:r w:rsidR="00801AED">
        <w:t xml:space="preserve">. </w:t>
      </w:r>
    </w:p>
    <w:p w14:paraId="609B81F5" w14:textId="27FD8AB0" w:rsidR="007C1BAF" w:rsidRDefault="00167A70" w:rsidP="007C1BAF">
      <w:pPr>
        <w:rPr>
          <w:iCs/>
        </w:rPr>
      </w:pPr>
      <w:r w:rsidRPr="009402E0">
        <w:rPr>
          <w:iCs/>
        </w:rPr>
        <w:t xml:space="preserve">The generalizability of the 10 core IPAC roles for </w:t>
      </w:r>
      <w:r>
        <w:rPr>
          <w:iCs/>
        </w:rPr>
        <w:t xml:space="preserve">integrated pharmacists in </w:t>
      </w:r>
      <w:r w:rsidRPr="009402E0">
        <w:rPr>
          <w:iCs/>
        </w:rPr>
        <w:t xml:space="preserve">Australian settings is further corroborated by </w:t>
      </w:r>
      <w:r>
        <w:rPr>
          <w:iCs/>
        </w:rPr>
        <w:t>other and emerging studies</w:t>
      </w:r>
      <w:r w:rsidRPr="009402E0">
        <w:rPr>
          <w:iCs/>
        </w:rPr>
        <w:t xml:space="preserve">. </w:t>
      </w:r>
      <w:r>
        <w:rPr>
          <w:iCs/>
        </w:rPr>
        <w:t xml:space="preserve"> </w:t>
      </w:r>
      <w:r w:rsidR="00422D97" w:rsidRPr="00064774">
        <w:rPr>
          <w:rFonts w:cstheme="minorHAnsi"/>
        </w:rPr>
        <w:t xml:space="preserve">The Integrating Models of Pharmacists </w:t>
      </w:r>
      <w:r w:rsidR="00422D97">
        <w:rPr>
          <w:rFonts w:cstheme="minorHAnsi"/>
        </w:rPr>
        <w:t>a</w:t>
      </w:r>
      <w:r w:rsidR="00422D97" w:rsidRPr="00064774">
        <w:rPr>
          <w:rFonts w:cstheme="minorHAnsi"/>
        </w:rPr>
        <w:t>cross Care Teams (IMPACT) Framework identifies six domains to guide PHC services in readiness for the integration of pharmacists.</w:t>
      </w:r>
      <w:r w:rsidR="00422D97">
        <w:rPr>
          <w:rStyle w:val="EndnoteReference"/>
          <w:rFonts w:cstheme="minorHAnsi"/>
        </w:rPr>
        <w:endnoteReference w:id="68"/>
      </w:r>
      <w:r w:rsidR="00422D97" w:rsidRPr="00064774">
        <w:rPr>
          <w:rFonts w:cstheme="minorHAnsi"/>
        </w:rPr>
        <w:t xml:space="preserve"> The six domains identify enabling factors and include the characteristics, </w:t>
      </w:r>
      <w:proofErr w:type="gramStart"/>
      <w:r w:rsidR="00422D97" w:rsidRPr="00064774">
        <w:rPr>
          <w:rFonts w:cstheme="minorHAnsi"/>
        </w:rPr>
        <w:t>skills</w:t>
      </w:r>
      <w:proofErr w:type="gramEnd"/>
      <w:r w:rsidR="00422D97" w:rsidRPr="00064774">
        <w:rPr>
          <w:rFonts w:cstheme="minorHAnsi"/>
        </w:rPr>
        <w:t xml:space="preserve"> and experience of the pharmacist; relationships; scopes of practice; connectivity; </w:t>
      </w:r>
      <w:proofErr w:type="spellStart"/>
      <w:r w:rsidR="00422D97" w:rsidRPr="00064774">
        <w:rPr>
          <w:rFonts w:cstheme="minorHAnsi"/>
        </w:rPr>
        <w:t>localisation</w:t>
      </w:r>
      <w:proofErr w:type="spellEnd"/>
      <w:r w:rsidR="00422D97" w:rsidRPr="00064774">
        <w:rPr>
          <w:rFonts w:cstheme="minorHAnsi"/>
        </w:rPr>
        <w:t xml:space="preserve">; and sustainability.  The </w:t>
      </w:r>
      <w:r w:rsidR="00422D97" w:rsidRPr="00064774">
        <w:rPr>
          <w:rFonts w:cstheme="minorHAnsi"/>
        </w:rPr>
        <w:lastRenderedPageBreak/>
        <w:t>framework</w:t>
      </w:r>
      <w:r>
        <w:rPr>
          <w:rFonts w:cstheme="minorHAnsi"/>
        </w:rPr>
        <w:t xml:space="preserve">’s domains have </w:t>
      </w:r>
      <w:r w:rsidR="00422D97" w:rsidRPr="00064774">
        <w:rPr>
          <w:rFonts w:cstheme="minorHAnsi"/>
        </w:rPr>
        <w:t>similarities</w:t>
      </w:r>
      <w:r w:rsidR="00422D97">
        <w:rPr>
          <w:rFonts w:cstheme="minorHAnsi"/>
        </w:rPr>
        <w:t xml:space="preserve"> </w:t>
      </w:r>
      <w:r w:rsidR="00422D97" w:rsidRPr="00064774">
        <w:rPr>
          <w:rFonts w:cstheme="minorHAnsi"/>
        </w:rPr>
        <w:t>with th</w:t>
      </w:r>
      <w:r w:rsidR="00422D97">
        <w:rPr>
          <w:rFonts w:cstheme="minorHAnsi"/>
        </w:rPr>
        <w:t>e protocol for the IPAC project.</w:t>
      </w:r>
      <w:r w:rsidR="00422D97">
        <w:rPr>
          <w:rStyle w:val="EndnoteReference"/>
          <w:rFonts w:cstheme="minorHAnsi"/>
        </w:rPr>
        <w:endnoteReference w:id="69"/>
      </w:r>
      <w:r w:rsidR="00084965">
        <w:rPr>
          <w:rFonts w:cstheme="minorHAnsi"/>
        </w:rPr>
        <w:t xml:space="preserve">  </w:t>
      </w:r>
      <w:r>
        <w:rPr>
          <w:rFonts w:cstheme="minorHAnsi"/>
        </w:rPr>
        <w:t>M</w:t>
      </w:r>
      <w:r w:rsidR="007C1BAF" w:rsidRPr="009402E0">
        <w:rPr>
          <w:iCs/>
        </w:rPr>
        <w:t xml:space="preserve">edication management </w:t>
      </w:r>
      <w:r w:rsidR="00A152ED">
        <w:rPr>
          <w:iCs/>
        </w:rPr>
        <w:t xml:space="preserve">reviews </w:t>
      </w:r>
      <w:r w:rsidR="007C1BAF" w:rsidRPr="009402E0">
        <w:rPr>
          <w:iCs/>
        </w:rPr>
        <w:t>(</w:t>
      </w:r>
      <w:r w:rsidR="00A152ED">
        <w:rPr>
          <w:iCs/>
        </w:rPr>
        <w:t>i</w:t>
      </w:r>
      <w:r w:rsidR="007C1BAF" w:rsidRPr="009402E0">
        <w:rPr>
          <w:iCs/>
        </w:rPr>
        <w:t>.e. HMR</w:t>
      </w:r>
      <w:r w:rsidR="00A152ED">
        <w:rPr>
          <w:iCs/>
        </w:rPr>
        <w:t>s</w:t>
      </w:r>
      <w:r w:rsidR="007C1BAF" w:rsidRPr="009402E0">
        <w:rPr>
          <w:iCs/>
        </w:rPr>
        <w:t xml:space="preserve"> and non-HMR</w:t>
      </w:r>
      <w:r w:rsidR="00A152ED">
        <w:rPr>
          <w:iCs/>
        </w:rPr>
        <w:t xml:space="preserve">s), medicines </w:t>
      </w:r>
      <w:r w:rsidR="007C1BAF" w:rsidRPr="009402E0">
        <w:rPr>
          <w:iCs/>
        </w:rPr>
        <w:t>information and education; liaison</w:t>
      </w:r>
      <w:r w:rsidR="00A152ED">
        <w:rPr>
          <w:iCs/>
        </w:rPr>
        <w:t xml:space="preserve"> with stakeholders</w:t>
      </w:r>
      <w:r w:rsidR="007C1BAF" w:rsidRPr="009402E0">
        <w:rPr>
          <w:iCs/>
        </w:rPr>
        <w:t xml:space="preserve">; and </w:t>
      </w:r>
      <w:r w:rsidR="00A152ED">
        <w:rPr>
          <w:iCs/>
        </w:rPr>
        <w:t xml:space="preserve">drug </w:t>
      </w:r>
      <w:r w:rsidR="007C1BAF" w:rsidRPr="009402E0">
        <w:rPr>
          <w:iCs/>
        </w:rPr>
        <w:t>audit</w:t>
      </w:r>
      <w:r w:rsidR="00A152ED">
        <w:rPr>
          <w:iCs/>
        </w:rPr>
        <w:t>s</w:t>
      </w:r>
      <w:r w:rsidR="007C1BAF" w:rsidRPr="009402E0">
        <w:rPr>
          <w:iCs/>
        </w:rPr>
        <w:t xml:space="preserve"> are </w:t>
      </w:r>
      <w:r>
        <w:rPr>
          <w:iCs/>
        </w:rPr>
        <w:t xml:space="preserve">also </w:t>
      </w:r>
      <w:r w:rsidR="00A152ED">
        <w:rPr>
          <w:iCs/>
        </w:rPr>
        <w:t xml:space="preserve">common </w:t>
      </w:r>
      <w:r w:rsidR="007C1BAF" w:rsidRPr="009402E0">
        <w:rPr>
          <w:iCs/>
        </w:rPr>
        <w:t xml:space="preserve">features of </w:t>
      </w:r>
      <w:r>
        <w:rPr>
          <w:iCs/>
        </w:rPr>
        <w:t xml:space="preserve">integrated pharmacist </w:t>
      </w:r>
      <w:r w:rsidR="009C58E2">
        <w:rPr>
          <w:iCs/>
        </w:rPr>
        <w:t>roles</w:t>
      </w:r>
      <w:r>
        <w:rPr>
          <w:iCs/>
        </w:rPr>
        <w:t xml:space="preserve"> in other Australian studies undertaken </w:t>
      </w:r>
      <w:r w:rsidR="008762D7">
        <w:rPr>
          <w:rFonts w:cstheme="minorHAnsi"/>
          <w:color w:val="000000" w:themeColor="text1"/>
        </w:rPr>
        <w:t>predominantly in mainstream settings</w:t>
      </w:r>
      <w:r w:rsidR="008762D7">
        <w:rPr>
          <w:iCs/>
        </w:rPr>
        <w:t>.</w:t>
      </w:r>
      <w:r w:rsidR="008762D7" w:rsidRPr="007E2AC5">
        <w:rPr>
          <w:rStyle w:val="EndnoteReference"/>
          <w:rFonts w:cstheme="minorHAnsi"/>
          <w:color w:val="000000" w:themeColor="text1"/>
        </w:rPr>
        <w:t xml:space="preserve"> </w:t>
      </w:r>
      <w:r w:rsidR="008762D7">
        <w:rPr>
          <w:rStyle w:val="EndnoteReference"/>
          <w:rFonts w:cstheme="minorHAnsi"/>
          <w:color w:val="000000" w:themeColor="text1"/>
        </w:rPr>
        <w:endnoteReference w:id="70"/>
      </w:r>
      <w:r w:rsidR="008762D7" w:rsidRPr="002B3892">
        <w:rPr>
          <w:rFonts w:cstheme="minorHAnsi"/>
          <w:color w:val="000000" w:themeColor="text1"/>
          <w:vertAlign w:val="superscript"/>
        </w:rPr>
        <w:t>,</w:t>
      </w:r>
      <w:r w:rsidR="008762D7" w:rsidRPr="002B3892">
        <w:rPr>
          <w:rStyle w:val="EndnoteReference"/>
          <w:rFonts w:cstheme="minorHAnsi"/>
          <w:color w:val="000000" w:themeColor="text1"/>
          <w:lang w:val="en-GB"/>
        </w:rPr>
        <w:endnoteReference w:id="71"/>
      </w:r>
      <w:r w:rsidR="008762D7" w:rsidRPr="002B3892">
        <w:rPr>
          <w:rFonts w:cstheme="minorHAnsi"/>
          <w:color w:val="000000" w:themeColor="text1"/>
          <w:vertAlign w:val="superscript"/>
        </w:rPr>
        <w:t>,</w:t>
      </w:r>
      <w:r w:rsidR="008762D7">
        <w:rPr>
          <w:rStyle w:val="EndnoteReference"/>
          <w:rFonts w:cstheme="minorHAnsi"/>
          <w:color w:val="000000" w:themeColor="text1"/>
          <w:lang w:val="en-GB"/>
        </w:rPr>
        <w:endnoteReference w:id="72"/>
      </w:r>
      <w:r w:rsidR="008762D7">
        <w:rPr>
          <w:rFonts w:cstheme="minorHAnsi"/>
          <w:color w:val="000000" w:themeColor="text1"/>
          <w:vertAlign w:val="superscript"/>
        </w:rPr>
        <w:t xml:space="preserve"> </w:t>
      </w:r>
      <w:r w:rsidR="008762D7">
        <w:rPr>
          <w:iCs/>
        </w:rPr>
        <w:t xml:space="preserve">  As observed in the IPAC project, </w:t>
      </w:r>
      <w:r w:rsidR="008762D7">
        <w:rPr>
          <w:rFonts w:cstheme="minorHAnsi"/>
          <w:color w:val="000000" w:themeColor="text1"/>
        </w:rPr>
        <w:t>the services provided by integrated pharmacists were also highly valued by health service staff, external stakeholders and also patients in these other Australian studies.</w:t>
      </w:r>
      <w:r w:rsidR="007C1BAF">
        <w:rPr>
          <w:rFonts w:cstheme="minorHAnsi"/>
          <w:color w:val="000000" w:themeColor="text1"/>
        </w:rPr>
        <w:t xml:space="preserve"> </w:t>
      </w:r>
      <w:r w:rsidR="007C1BAF">
        <w:rPr>
          <w:rFonts w:cstheme="minorHAnsi"/>
          <w:color w:val="010202"/>
        </w:rPr>
        <w:t xml:space="preserve"> </w:t>
      </w:r>
      <w:r w:rsidR="007C1BAF">
        <w:t xml:space="preserve">The IPAC project provided evidence that the implementation of similar non-dispensing pharmacy services </w:t>
      </w:r>
      <w:proofErr w:type="gramStart"/>
      <w:r w:rsidR="007C1BAF">
        <w:t>were</w:t>
      </w:r>
      <w:proofErr w:type="gramEnd"/>
      <w:r w:rsidR="007C1BAF">
        <w:t xml:space="preserve"> well received and valuable for Aboriginal peoples and Torres Strait Islanders attending ACCHSs in urban, regional and remote settings.</w:t>
      </w:r>
      <w:r w:rsidR="007C1BAF">
        <w:rPr>
          <w:rStyle w:val="EndnoteReference"/>
        </w:rPr>
        <w:endnoteReference w:id="73"/>
      </w:r>
      <w:r w:rsidR="007C1BAF">
        <w:t xml:space="preserve">  This evidence supports the </w:t>
      </w:r>
      <w:proofErr w:type="spellStart"/>
      <w:r w:rsidR="007C1BAF">
        <w:t>generalisability</w:t>
      </w:r>
      <w:proofErr w:type="spellEnd"/>
      <w:r w:rsidR="007C1BAF">
        <w:t xml:space="preserve"> of implementation of the </w:t>
      </w:r>
      <w:r w:rsidR="00D006DD">
        <w:rPr>
          <w:rFonts w:cstheme="minorHAnsi"/>
          <w:color w:val="010202"/>
        </w:rPr>
        <w:t xml:space="preserve">integrated </w:t>
      </w:r>
      <w:r w:rsidR="007C1BAF">
        <w:t>pharmacist core roles more broadly</w:t>
      </w:r>
      <w:r w:rsidR="00D006DD">
        <w:t xml:space="preserve">, </w:t>
      </w:r>
      <w:r w:rsidR="00D006DD">
        <w:rPr>
          <w:rFonts w:cstheme="minorHAnsi"/>
          <w:color w:val="010202"/>
        </w:rPr>
        <w:t>and future expansion of non-dispensing pharmacists working in Aboriginal primary health care settings.</w:t>
      </w:r>
      <w:r w:rsidR="004D1F24" w:rsidRPr="004D1F24">
        <w:t xml:space="preserve"> </w:t>
      </w:r>
      <w:r w:rsidR="004D1F24">
        <w:t>While the scope of practice of a</w:t>
      </w:r>
      <w:r w:rsidR="00422D97">
        <w:t>n integrated</w:t>
      </w:r>
      <w:r w:rsidR="004D1F24">
        <w:t xml:space="preserve"> pharmacist working in </w:t>
      </w:r>
      <w:r w:rsidR="008762D7">
        <w:t>these settings</w:t>
      </w:r>
      <w:r w:rsidR="004D1F24">
        <w:t xml:space="preserve"> may have similarities to the general practice pharmacist, the</w:t>
      </w:r>
      <w:r w:rsidR="008762D7">
        <w:t xml:space="preserve"> roles have unique features such as working in</w:t>
      </w:r>
      <w:r w:rsidR="004D1F24">
        <w:t xml:space="preserve"> way</w:t>
      </w:r>
      <w:r w:rsidR="008762D7">
        <w:t>s</w:t>
      </w:r>
      <w:r w:rsidR="004D1F24">
        <w:t xml:space="preserve"> that </w:t>
      </w:r>
      <w:r w:rsidR="008762D7">
        <w:t>are</w:t>
      </w:r>
      <w:r w:rsidR="004D1F24">
        <w:t xml:space="preserve"> </w:t>
      </w:r>
      <w:r w:rsidR="004D1F24" w:rsidRPr="00453FAA">
        <w:t xml:space="preserve">culturally acceptable </w:t>
      </w:r>
      <w:r w:rsidR="004D1F24">
        <w:t xml:space="preserve">and consistent with </w:t>
      </w:r>
      <w:r w:rsidR="00801AED">
        <w:t>a</w:t>
      </w:r>
      <w:r w:rsidR="004D1F24" w:rsidRPr="00453FAA">
        <w:t xml:space="preserve"> </w:t>
      </w:r>
      <w:r w:rsidR="004D1F24">
        <w:t xml:space="preserve">holistic </w:t>
      </w:r>
      <w:r w:rsidR="00801AED">
        <w:t xml:space="preserve">model of </w:t>
      </w:r>
      <w:r w:rsidR="004D1F24">
        <w:t>care</w:t>
      </w:r>
      <w:r w:rsidR="004D1F24" w:rsidRPr="00453FAA">
        <w:t>.</w:t>
      </w:r>
    </w:p>
    <w:p w14:paraId="7BAF54C4" w14:textId="2C2BD6D2" w:rsidR="00904167" w:rsidRPr="00904167" w:rsidRDefault="00904167" w:rsidP="00904167">
      <w:r>
        <w:t>An international pilot study of pharmacists working within general practices recommended that pharmacists be employed at least 2 days a week, with a preference for 3 days or more, to assist with successful integration</w:t>
      </w:r>
      <w:r>
        <w:rPr>
          <w:rStyle w:val="EndnoteReference"/>
        </w:rPr>
        <w:endnoteReference w:id="74"/>
      </w:r>
      <w:r>
        <w:t xml:space="preserve">.  A minimum FTE allocation was suggested acknowledging smaller practices may take a longer time to </w:t>
      </w:r>
      <w:proofErr w:type="spellStart"/>
      <w:r>
        <w:t>realise</w:t>
      </w:r>
      <w:proofErr w:type="spellEnd"/>
      <w:r>
        <w:t xml:space="preserve"> the benefits of a pharmacist within a general practice.  Given that seven of the ACCHSs participating in the IPAC project had a pharmacist allocation of 0.4 FTE or less, a 15-month timeframe may not have allowed sufficient time to demonstrate the full benefit that can be achieved by having an integrated pharmacist as part of the </w:t>
      </w:r>
      <w:r w:rsidRPr="00E763A9">
        <w:t xml:space="preserve">team.  </w:t>
      </w:r>
      <w:r w:rsidR="00E763A9" w:rsidRPr="00E763A9">
        <w:t xml:space="preserve">This suggests that the statistically significant and clinically meaningful clinical endpoint and other quality outcomes improvements reported from the IPAC trial may underestimate these benefits to the target population.  </w:t>
      </w:r>
      <w:r w:rsidRPr="00E763A9">
        <w:t xml:space="preserve">Ultimately, the </w:t>
      </w:r>
      <w:r w:rsidR="00CD503C">
        <w:t>acceptability and</w:t>
      </w:r>
      <w:r w:rsidRPr="00E763A9">
        <w:t xml:space="preserve"> effectiveness of this model and the delivery of the key activities was supported empirically by extremely low patient</w:t>
      </w:r>
      <w:r w:rsidRPr="00904167">
        <w:t xml:space="preserve"> attrition, low site attrition, positive findings in the qualitative evaluation, feedback provided to the PSA </w:t>
      </w:r>
      <w:r w:rsidR="00305A5F">
        <w:t xml:space="preserve">project </w:t>
      </w:r>
      <w:r w:rsidRPr="00904167">
        <w:t>coordinators</w:t>
      </w:r>
      <w:r>
        <w:rPr>
          <w:rStyle w:val="EndnoteReference"/>
        </w:rPr>
        <w:endnoteReference w:id="75"/>
      </w:r>
      <w:r w:rsidR="00F200EB">
        <w:t>, and feedback</w:t>
      </w:r>
      <w:r w:rsidR="00305A5F">
        <w:t xml:space="preserve"> </w:t>
      </w:r>
      <w:r w:rsidRPr="00904167">
        <w:t xml:space="preserve">from the participating services through the PRG and from Affiliates. </w:t>
      </w:r>
    </w:p>
    <w:p w14:paraId="2DDF0E77" w14:textId="4A7460B1" w:rsidR="00E763A9" w:rsidRDefault="00E763A9" w:rsidP="00E763A9">
      <w:pPr>
        <w:rPr>
          <w:iCs/>
        </w:rPr>
      </w:pPr>
      <w:r>
        <w:rPr>
          <w:iCs/>
        </w:rPr>
        <w:t xml:space="preserve">The recommendation for the broader expansion of integrated pharmacists within ACCHSs arising from this evaluation has an existing policy context.  </w:t>
      </w:r>
      <w:r w:rsidR="00CD503C">
        <w:rPr>
          <w:iCs/>
        </w:rPr>
        <w:t xml:space="preserve">In principle, </w:t>
      </w:r>
      <w:r w:rsidR="00CD503C" w:rsidRPr="00CD503C">
        <w:rPr>
          <w:iCs/>
        </w:rPr>
        <w:t>t</w:t>
      </w:r>
      <w:r w:rsidR="00CE04F1" w:rsidRPr="009402E0">
        <w:rPr>
          <w:iCs/>
        </w:rPr>
        <w:t xml:space="preserve">he </w:t>
      </w:r>
      <w:r w:rsidR="00084965">
        <w:t>Pharmacy Guild of Australia (PGA)</w:t>
      </w:r>
      <w:r w:rsidR="00CE04F1" w:rsidRPr="009402E0">
        <w:rPr>
          <w:iCs/>
        </w:rPr>
        <w:t xml:space="preserve"> support</w:t>
      </w:r>
      <w:r w:rsidR="00904167">
        <w:rPr>
          <w:iCs/>
        </w:rPr>
        <w:t>s</w:t>
      </w:r>
      <w:r w:rsidR="00CE04F1" w:rsidRPr="009402E0">
        <w:rPr>
          <w:iCs/>
        </w:rPr>
        <w:t xml:space="preserve"> the non-dispensing role of pharmacists </w:t>
      </w:r>
      <w:r w:rsidR="00904167">
        <w:rPr>
          <w:iCs/>
        </w:rPr>
        <w:t>in general practice</w:t>
      </w:r>
      <w:r w:rsidR="00CE04F1" w:rsidRPr="009402E0">
        <w:rPr>
          <w:iCs/>
        </w:rPr>
        <w:t xml:space="preserve"> </w:t>
      </w:r>
      <w:r w:rsidR="00CD503C" w:rsidRPr="00305A5F">
        <w:rPr>
          <w:iCs/>
        </w:rPr>
        <w:t>however</w:t>
      </w:r>
      <w:r w:rsidR="00CD503C">
        <w:rPr>
          <w:iCs/>
        </w:rPr>
        <w:t xml:space="preserve"> </w:t>
      </w:r>
      <w:r>
        <w:rPr>
          <w:iCs/>
        </w:rPr>
        <w:t xml:space="preserve">have </w:t>
      </w:r>
      <w:r w:rsidR="00084965">
        <w:rPr>
          <w:iCs/>
        </w:rPr>
        <w:t xml:space="preserve">emphasized </w:t>
      </w:r>
      <w:r w:rsidR="00084965">
        <w:t xml:space="preserve">that communication with community pharmacy </w:t>
      </w:r>
      <w:r>
        <w:t>i</w:t>
      </w:r>
      <w:r w:rsidR="00084965">
        <w:t>s critical to the role</w:t>
      </w:r>
      <w:r>
        <w:t>.</w:t>
      </w:r>
      <w:r w:rsidR="00084965">
        <w:t xml:space="preserve"> </w:t>
      </w:r>
      <w:proofErr w:type="gramStart"/>
      <w:r>
        <w:t>I</w:t>
      </w:r>
      <w:r w:rsidR="00084965">
        <w:t xml:space="preserve">n particular </w:t>
      </w:r>
      <w:r w:rsidR="00CE04F1" w:rsidRPr="009402E0">
        <w:rPr>
          <w:iCs/>
        </w:rPr>
        <w:t>the</w:t>
      </w:r>
      <w:proofErr w:type="gramEnd"/>
      <w:r w:rsidR="00CE04F1" w:rsidRPr="009402E0">
        <w:rPr>
          <w:iCs/>
        </w:rPr>
        <w:t xml:space="preserve"> relationship between community pharmacies and GPs</w:t>
      </w:r>
      <w:r w:rsidR="00742C89">
        <w:rPr>
          <w:iCs/>
        </w:rPr>
        <w:t xml:space="preserve">, and that between patients, community pharmacies and GPs </w:t>
      </w:r>
      <w:r w:rsidR="00CE04F1" w:rsidRPr="009402E0">
        <w:rPr>
          <w:iCs/>
        </w:rPr>
        <w:t>must be maintained and strengthened.</w:t>
      </w:r>
      <w:r w:rsidR="00904167">
        <w:rPr>
          <w:rStyle w:val="EndnoteReference"/>
          <w:iCs/>
        </w:rPr>
        <w:endnoteReference w:id="76"/>
      </w:r>
      <w:r w:rsidR="00CE04F1" w:rsidRPr="009402E0">
        <w:rPr>
          <w:iCs/>
        </w:rPr>
        <w:t xml:space="preserve"> </w:t>
      </w:r>
      <w:r w:rsidR="0019319C">
        <w:rPr>
          <w:iCs/>
        </w:rPr>
        <w:t xml:space="preserve">Evaluation </w:t>
      </w:r>
      <w:r>
        <w:rPr>
          <w:iCs/>
        </w:rPr>
        <w:t xml:space="preserve">findings from the IPAC trial </w:t>
      </w:r>
      <w:r w:rsidR="0019319C">
        <w:rPr>
          <w:iCs/>
        </w:rPr>
        <w:t>support</w:t>
      </w:r>
      <w:r w:rsidR="00CE04F1" w:rsidRPr="009402E0">
        <w:rPr>
          <w:iCs/>
        </w:rPr>
        <w:t xml:space="preserve"> </w:t>
      </w:r>
      <w:r w:rsidR="00084965">
        <w:rPr>
          <w:iCs/>
        </w:rPr>
        <w:t xml:space="preserve">the PGA </w:t>
      </w:r>
      <w:r>
        <w:rPr>
          <w:iCs/>
        </w:rPr>
        <w:t xml:space="preserve">as </w:t>
      </w:r>
      <w:r w:rsidR="00CE04F1" w:rsidRPr="009402E0">
        <w:rPr>
          <w:iCs/>
        </w:rPr>
        <w:t>findings clearly demonstrate</w:t>
      </w:r>
      <w:r>
        <w:rPr>
          <w:iCs/>
        </w:rPr>
        <w:t>d</w:t>
      </w:r>
      <w:r w:rsidR="00CE04F1" w:rsidRPr="009402E0">
        <w:rPr>
          <w:iCs/>
        </w:rPr>
        <w:t xml:space="preserve"> the strengthened relationship between community pharmacies and ACCHSs</w:t>
      </w:r>
      <w:r>
        <w:rPr>
          <w:iCs/>
        </w:rPr>
        <w:t xml:space="preserve"> arising from integrated pharmacist roles</w:t>
      </w:r>
      <w:r w:rsidR="00CE04F1" w:rsidRPr="009402E0">
        <w:rPr>
          <w:iCs/>
        </w:rPr>
        <w:t xml:space="preserve">. </w:t>
      </w:r>
      <w:r w:rsidR="0019319C">
        <w:rPr>
          <w:iCs/>
        </w:rPr>
        <w:t xml:space="preserve"> </w:t>
      </w:r>
      <w:r w:rsidR="00084965">
        <w:rPr>
          <w:iCs/>
        </w:rPr>
        <w:t xml:space="preserve">Community pharmacists involved in the qualitative evaluation </w:t>
      </w:r>
      <w:r>
        <w:rPr>
          <w:iCs/>
        </w:rPr>
        <w:t xml:space="preserve">affirmed that </w:t>
      </w:r>
      <w:r w:rsidR="00084965">
        <w:rPr>
          <w:iCs/>
        </w:rPr>
        <w:t>r</w:t>
      </w:r>
      <w:r w:rsidR="00084965">
        <w:rPr>
          <w:rFonts w:cstheme="minorHAnsi"/>
        </w:rPr>
        <w:t xml:space="preserve">elationships between ACCHSs and community pharmacies were further strengthened </w:t>
      </w:r>
      <w:proofErr w:type="gramStart"/>
      <w:r w:rsidR="00084965">
        <w:rPr>
          <w:rFonts w:cstheme="minorHAnsi"/>
        </w:rPr>
        <w:t>as a result of</w:t>
      </w:r>
      <w:proofErr w:type="gramEnd"/>
      <w:r w:rsidR="00084965">
        <w:rPr>
          <w:rFonts w:cstheme="minorHAnsi"/>
        </w:rPr>
        <w:t xml:space="preserve"> the IPAC project, </w:t>
      </w:r>
      <w:r w:rsidR="00084965" w:rsidRPr="00BB4F91">
        <w:rPr>
          <w:rFonts w:cstheme="minorHAnsi"/>
        </w:rPr>
        <w:t>referral</w:t>
      </w:r>
      <w:r w:rsidR="00084965">
        <w:rPr>
          <w:rFonts w:cstheme="minorHAnsi"/>
        </w:rPr>
        <w:t>s for HMRs had increased and there was improved participation by patients in HMRs. They felt that</w:t>
      </w:r>
      <w:r w:rsidR="00084965" w:rsidRPr="00BB4F91">
        <w:rPr>
          <w:rFonts w:cstheme="minorHAnsi"/>
        </w:rPr>
        <w:t xml:space="preserve"> patients </w:t>
      </w:r>
      <w:r w:rsidR="00084965">
        <w:rPr>
          <w:rFonts w:cstheme="minorHAnsi"/>
        </w:rPr>
        <w:t xml:space="preserve">were more </w:t>
      </w:r>
      <w:r w:rsidR="00084965" w:rsidRPr="00BB4F91">
        <w:rPr>
          <w:rFonts w:cstheme="minorHAnsi"/>
        </w:rPr>
        <w:t>interest</w:t>
      </w:r>
      <w:r w:rsidR="00084965">
        <w:rPr>
          <w:rFonts w:cstheme="minorHAnsi"/>
        </w:rPr>
        <w:t>ed</w:t>
      </w:r>
      <w:r w:rsidR="00084965" w:rsidRPr="00BB4F91">
        <w:rPr>
          <w:rFonts w:cstheme="minorHAnsi"/>
        </w:rPr>
        <w:t xml:space="preserve"> </w:t>
      </w:r>
      <w:r w:rsidR="00084965">
        <w:rPr>
          <w:rFonts w:cstheme="minorHAnsi"/>
        </w:rPr>
        <w:t xml:space="preserve">in their medicines and that </w:t>
      </w:r>
      <w:r w:rsidR="00084965" w:rsidRPr="00BB4F91">
        <w:rPr>
          <w:rFonts w:cstheme="minorHAnsi"/>
        </w:rPr>
        <w:t>patient knowledge of their medicines and adherence ha</w:t>
      </w:r>
      <w:r w:rsidR="00084965">
        <w:rPr>
          <w:rFonts w:cstheme="minorHAnsi"/>
        </w:rPr>
        <w:t>d</w:t>
      </w:r>
      <w:r w:rsidR="00084965" w:rsidRPr="00BB4F91">
        <w:rPr>
          <w:rFonts w:cstheme="minorHAnsi"/>
        </w:rPr>
        <w:t xml:space="preserve"> improved since the </w:t>
      </w:r>
      <w:r w:rsidR="00C739F4">
        <w:t xml:space="preserve">integrated </w:t>
      </w:r>
      <w:r w:rsidR="00084965" w:rsidRPr="00BB4F91">
        <w:rPr>
          <w:rFonts w:cstheme="minorHAnsi"/>
        </w:rPr>
        <w:t xml:space="preserve">pharmacists </w:t>
      </w:r>
      <w:r w:rsidR="00084965">
        <w:rPr>
          <w:rFonts w:cstheme="minorHAnsi"/>
        </w:rPr>
        <w:t xml:space="preserve">had </w:t>
      </w:r>
      <w:r w:rsidR="00084965" w:rsidRPr="00BB4F91">
        <w:rPr>
          <w:rFonts w:cstheme="minorHAnsi"/>
        </w:rPr>
        <w:t>commenced</w:t>
      </w:r>
      <w:r w:rsidR="00084965">
        <w:rPr>
          <w:rFonts w:cstheme="minorHAnsi"/>
        </w:rPr>
        <w:t xml:space="preserve"> </w:t>
      </w:r>
      <w:r w:rsidR="00084965" w:rsidRPr="00BB4F91">
        <w:rPr>
          <w:rFonts w:cstheme="minorHAnsi"/>
        </w:rPr>
        <w:t>in the</w:t>
      </w:r>
      <w:r w:rsidR="00084965">
        <w:rPr>
          <w:rFonts w:cstheme="minorHAnsi"/>
        </w:rPr>
        <w:t xml:space="preserve"> ACCHSs.</w:t>
      </w:r>
      <w:r w:rsidR="00084965" w:rsidRPr="00084965">
        <w:rPr>
          <w:rFonts w:cstheme="minorHAnsi"/>
          <w:color w:val="000000"/>
        </w:rPr>
        <w:t xml:space="preserve"> </w:t>
      </w:r>
      <w:r w:rsidR="00C739F4">
        <w:t>Integrated</w:t>
      </w:r>
      <w:r w:rsidR="00C739F4" w:rsidRPr="00305A5F">
        <w:t xml:space="preserve"> </w:t>
      </w:r>
      <w:r w:rsidR="00084965" w:rsidRPr="00BB4F91">
        <w:rPr>
          <w:rFonts w:cstheme="minorHAnsi"/>
          <w:color w:val="000000"/>
        </w:rPr>
        <w:t xml:space="preserve">pharmacists </w:t>
      </w:r>
      <w:r w:rsidR="00084965">
        <w:rPr>
          <w:rFonts w:cstheme="minorHAnsi"/>
          <w:color w:val="000000"/>
        </w:rPr>
        <w:t xml:space="preserve">worked together with community pharmacists </w:t>
      </w:r>
      <w:r w:rsidR="00084965" w:rsidRPr="00BB4F91">
        <w:rPr>
          <w:rFonts w:cstheme="minorHAnsi"/>
          <w:color w:val="000000"/>
        </w:rPr>
        <w:t>to problem solve, access discharge summaries</w:t>
      </w:r>
      <w:r w:rsidR="00084965">
        <w:rPr>
          <w:rFonts w:cstheme="minorHAnsi"/>
          <w:color w:val="000000"/>
        </w:rPr>
        <w:t>,</w:t>
      </w:r>
      <w:r w:rsidR="00084965" w:rsidRPr="00BB4F91">
        <w:rPr>
          <w:rFonts w:cstheme="minorHAnsi"/>
          <w:color w:val="000000"/>
        </w:rPr>
        <w:t xml:space="preserve"> confirm </w:t>
      </w:r>
      <w:r w:rsidR="00084965">
        <w:rPr>
          <w:rFonts w:cstheme="minorHAnsi"/>
          <w:color w:val="000000"/>
        </w:rPr>
        <w:t xml:space="preserve">the patient’s </w:t>
      </w:r>
      <w:r w:rsidR="00084965" w:rsidRPr="00BB4F91">
        <w:rPr>
          <w:rFonts w:cstheme="minorHAnsi"/>
          <w:color w:val="000000"/>
        </w:rPr>
        <w:t xml:space="preserve">medication history, </w:t>
      </w:r>
      <w:r w:rsidR="00084965">
        <w:rPr>
          <w:rFonts w:cstheme="minorHAnsi"/>
          <w:color w:val="000000"/>
        </w:rPr>
        <w:t xml:space="preserve">undertake medication </w:t>
      </w:r>
      <w:r w:rsidR="00084965" w:rsidRPr="00BB4F91">
        <w:rPr>
          <w:rFonts w:cstheme="minorHAnsi"/>
          <w:color w:val="000000"/>
        </w:rPr>
        <w:t xml:space="preserve">reconciliation </w:t>
      </w:r>
      <w:r w:rsidR="00084965">
        <w:rPr>
          <w:rFonts w:cstheme="minorHAnsi"/>
          <w:color w:val="000000"/>
        </w:rPr>
        <w:t xml:space="preserve">by </w:t>
      </w:r>
      <w:r w:rsidR="00084965" w:rsidRPr="00BB4F91">
        <w:rPr>
          <w:rFonts w:cstheme="minorHAnsi"/>
          <w:color w:val="000000"/>
        </w:rPr>
        <w:t>correcting errors</w:t>
      </w:r>
      <w:r w:rsidR="00084965">
        <w:rPr>
          <w:rFonts w:cstheme="minorHAnsi"/>
          <w:color w:val="000000"/>
        </w:rPr>
        <w:t xml:space="preserve"> and medication lists</w:t>
      </w:r>
      <w:r w:rsidR="00084965" w:rsidRPr="00BB4F91">
        <w:rPr>
          <w:rFonts w:cstheme="minorHAnsi"/>
          <w:color w:val="000000"/>
        </w:rPr>
        <w:t xml:space="preserve">, and </w:t>
      </w:r>
      <w:r w:rsidR="00084965">
        <w:rPr>
          <w:rFonts w:cstheme="minorHAnsi"/>
          <w:color w:val="000000"/>
        </w:rPr>
        <w:t>facilitate</w:t>
      </w:r>
      <w:r w:rsidR="00084965" w:rsidRPr="00BB4F91">
        <w:rPr>
          <w:rFonts w:cstheme="minorHAnsi"/>
          <w:color w:val="000000"/>
        </w:rPr>
        <w:t xml:space="preserve"> </w:t>
      </w:r>
      <w:r w:rsidR="00084965">
        <w:rPr>
          <w:rFonts w:cstheme="minorHAnsi"/>
          <w:color w:val="000000"/>
        </w:rPr>
        <w:t xml:space="preserve">provision of dose administration aids </w:t>
      </w:r>
      <w:r w:rsidR="00084965" w:rsidRPr="00BB4F91">
        <w:rPr>
          <w:rFonts w:cstheme="minorHAnsi"/>
          <w:color w:val="000000"/>
        </w:rPr>
        <w:t>for health service patients.  Community p</w:t>
      </w:r>
      <w:r w:rsidR="00084965" w:rsidRPr="00BB4F91">
        <w:rPr>
          <w:rFonts w:cstheme="minorHAnsi"/>
        </w:rPr>
        <w:t xml:space="preserve">harmacists </w:t>
      </w:r>
      <w:r w:rsidR="00084965">
        <w:rPr>
          <w:rFonts w:cstheme="minorHAnsi"/>
        </w:rPr>
        <w:t xml:space="preserve">concluded that the </w:t>
      </w:r>
      <w:r w:rsidR="00C739F4">
        <w:rPr>
          <w:rFonts w:cstheme="minorHAnsi"/>
        </w:rPr>
        <w:t xml:space="preserve">integrated </w:t>
      </w:r>
      <w:r w:rsidR="00084965">
        <w:rPr>
          <w:rFonts w:cstheme="minorHAnsi"/>
        </w:rPr>
        <w:t xml:space="preserve">pharmacist role was </w:t>
      </w:r>
      <w:r w:rsidR="00084965" w:rsidRPr="00BB4F91">
        <w:rPr>
          <w:rFonts w:cstheme="minorHAnsi"/>
        </w:rPr>
        <w:t>very helpful</w:t>
      </w:r>
      <w:r w:rsidR="00084965">
        <w:rPr>
          <w:rFonts w:cstheme="minorHAnsi"/>
        </w:rPr>
        <w:t xml:space="preserve"> and</w:t>
      </w:r>
      <w:r w:rsidR="00084965" w:rsidRPr="00BB4F91">
        <w:rPr>
          <w:rFonts w:cstheme="minorHAnsi"/>
        </w:rPr>
        <w:t xml:space="preserve"> useful</w:t>
      </w:r>
      <w:r w:rsidR="00084965">
        <w:rPr>
          <w:rFonts w:cstheme="minorHAnsi"/>
        </w:rPr>
        <w:t xml:space="preserve"> to </w:t>
      </w:r>
      <w:proofErr w:type="gramStart"/>
      <w:r w:rsidR="00084965">
        <w:rPr>
          <w:rFonts w:cstheme="minorHAnsi"/>
        </w:rPr>
        <w:t>them</w:t>
      </w:r>
      <w:proofErr w:type="gramEnd"/>
      <w:r w:rsidR="00084965">
        <w:rPr>
          <w:rFonts w:cstheme="minorHAnsi"/>
        </w:rPr>
        <w:t xml:space="preserve"> and it facilitated</w:t>
      </w:r>
      <w:r w:rsidR="00084965" w:rsidRPr="00BB4F91">
        <w:rPr>
          <w:rFonts w:cstheme="minorHAnsi"/>
        </w:rPr>
        <w:t xml:space="preserve"> </w:t>
      </w:r>
      <w:r w:rsidR="00084965">
        <w:rPr>
          <w:rFonts w:cstheme="minorHAnsi"/>
        </w:rPr>
        <w:t>communication between the community pharmacy and GPs</w:t>
      </w:r>
      <w:r>
        <w:rPr>
          <w:iCs/>
        </w:rPr>
        <w:t xml:space="preserve">.  </w:t>
      </w:r>
      <w:r>
        <w:rPr>
          <w:rFonts w:cstheme="minorHAnsi"/>
          <w:color w:val="010202"/>
        </w:rPr>
        <w:t xml:space="preserve">Integrated pharmacists were found to have interacted with community pharmacists </w:t>
      </w:r>
      <w:proofErr w:type="gramStart"/>
      <w:r>
        <w:rPr>
          <w:rFonts w:cstheme="minorHAnsi"/>
          <w:color w:val="010202"/>
        </w:rPr>
        <w:t>on a daily basis</w:t>
      </w:r>
      <w:proofErr w:type="gramEnd"/>
      <w:r>
        <w:rPr>
          <w:rFonts w:cstheme="minorHAnsi"/>
          <w:color w:val="010202"/>
        </w:rPr>
        <w:t xml:space="preserve"> with more occasions logged for such interactions than any other IPAC activity undertaken by integrated pharmacists.</w:t>
      </w:r>
      <w:r>
        <w:rPr>
          <w:rStyle w:val="EndnoteReference"/>
          <w:rFonts w:cstheme="minorHAnsi"/>
          <w:color w:val="010202"/>
        </w:rPr>
        <w:endnoteReference w:id="77"/>
      </w:r>
    </w:p>
    <w:p w14:paraId="41D01D15" w14:textId="3FECBD80" w:rsidR="00CE04F1" w:rsidRDefault="004B16BE" w:rsidP="00DA22EF">
      <w:r>
        <w:rPr>
          <w:iCs/>
        </w:rPr>
        <w:t>Several leading Australian leading bodies including th</w:t>
      </w:r>
      <w:r w:rsidR="00CE04F1" w:rsidRPr="009402E0">
        <w:rPr>
          <w:iCs/>
        </w:rPr>
        <w:t xml:space="preserve">e </w:t>
      </w:r>
      <w:r w:rsidR="0077770E">
        <w:rPr>
          <w:iCs/>
        </w:rPr>
        <w:t xml:space="preserve">PGA, </w:t>
      </w:r>
      <w:r>
        <w:rPr>
          <w:iCs/>
        </w:rPr>
        <w:t>RACGP</w:t>
      </w:r>
      <w:r w:rsidR="0077770E">
        <w:rPr>
          <w:iCs/>
        </w:rPr>
        <w:t>,</w:t>
      </w:r>
      <w:r>
        <w:rPr>
          <w:iCs/>
        </w:rPr>
        <w:t xml:space="preserve"> </w:t>
      </w:r>
      <w:r w:rsidR="00CE04F1" w:rsidRPr="009402E0">
        <w:rPr>
          <w:iCs/>
        </w:rPr>
        <w:t xml:space="preserve">AMA </w:t>
      </w:r>
      <w:r w:rsidRPr="009402E0">
        <w:rPr>
          <w:iCs/>
        </w:rPr>
        <w:t xml:space="preserve">support pharmacists </w:t>
      </w:r>
      <w:r>
        <w:rPr>
          <w:iCs/>
        </w:rPr>
        <w:t>in general practices</w:t>
      </w:r>
      <w:r w:rsidR="0077770E">
        <w:rPr>
          <w:iCs/>
        </w:rPr>
        <w:t>.</w:t>
      </w:r>
      <w:r w:rsidR="0077770E">
        <w:rPr>
          <w:rStyle w:val="EndnoteReference"/>
          <w:iCs/>
        </w:rPr>
        <w:endnoteReference w:id="78"/>
      </w:r>
      <w:r w:rsidR="0077770E">
        <w:rPr>
          <w:iCs/>
        </w:rPr>
        <w:t xml:space="preserve"> </w:t>
      </w:r>
      <w:r w:rsidR="0077770E">
        <w:rPr>
          <w:rStyle w:val="EndnoteReference"/>
          <w:iCs/>
        </w:rPr>
        <w:endnoteReference w:id="79"/>
      </w:r>
      <w:r w:rsidR="0077770E">
        <w:rPr>
          <w:iCs/>
        </w:rPr>
        <w:t xml:space="preserve"> </w:t>
      </w:r>
      <w:r w:rsidR="0077770E">
        <w:rPr>
          <w:rStyle w:val="EndnoteReference"/>
          <w:iCs/>
        </w:rPr>
        <w:endnoteReference w:id="80"/>
      </w:r>
      <w:r>
        <w:rPr>
          <w:iCs/>
        </w:rPr>
        <w:t xml:space="preserve"> </w:t>
      </w:r>
      <w:r w:rsidR="0077770E">
        <w:rPr>
          <w:iCs/>
        </w:rPr>
        <w:t>T</w:t>
      </w:r>
      <w:r>
        <w:rPr>
          <w:iCs/>
        </w:rPr>
        <w:t xml:space="preserve">he </w:t>
      </w:r>
      <w:r w:rsidR="00CE04F1" w:rsidRPr="009402E0">
        <w:rPr>
          <w:iCs/>
        </w:rPr>
        <w:t xml:space="preserve">PSA </w:t>
      </w:r>
      <w:r w:rsidR="001D0E41">
        <w:rPr>
          <w:iCs/>
        </w:rPr>
        <w:t>promotes</w:t>
      </w:r>
      <w:r w:rsidR="0077770E">
        <w:rPr>
          <w:iCs/>
        </w:rPr>
        <w:t xml:space="preserve"> pharmacists </w:t>
      </w:r>
      <w:r w:rsidR="001D0E41">
        <w:rPr>
          <w:iCs/>
        </w:rPr>
        <w:t xml:space="preserve">working </w:t>
      </w:r>
      <w:r w:rsidR="0077770E">
        <w:rPr>
          <w:iCs/>
        </w:rPr>
        <w:t>in Aboriginal settings</w:t>
      </w:r>
      <w:r w:rsidR="0077770E">
        <w:rPr>
          <w:rStyle w:val="EndnoteReference"/>
          <w:iCs/>
        </w:rPr>
        <w:endnoteReference w:id="81"/>
      </w:r>
      <w:r w:rsidR="001D0E41" w:rsidRPr="009402E0">
        <w:rPr>
          <w:iCs/>
        </w:rPr>
        <w:t xml:space="preserve"> </w:t>
      </w:r>
      <w:r w:rsidR="00305A5F">
        <w:rPr>
          <w:rStyle w:val="EndnoteReference"/>
          <w:iCs/>
        </w:rPr>
        <w:endnoteReference w:id="82"/>
      </w:r>
      <w:r w:rsidR="00305A5F">
        <w:rPr>
          <w:iCs/>
        </w:rPr>
        <w:t xml:space="preserve"> </w:t>
      </w:r>
      <w:r w:rsidR="00546F57">
        <w:rPr>
          <w:iCs/>
        </w:rPr>
        <w:t xml:space="preserve">and in 2017 the Federal </w:t>
      </w:r>
      <w:r w:rsidR="00546F57">
        <w:rPr>
          <w:iCs/>
        </w:rPr>
        <w:lastRenderedPageBreak/>
        <w:t xml:space="preserve">Health Minister committed to supporting a trial of integrated pharmacists into Aboriginal Health Services </w:t>
      </w:r>
      <w:r w:rsidR="00516321">
        <w:rPr>
          <w:iCs/>
        </w:rPr>
        <w:t>that led to</w:t>
      </w:r>
      <w:r w:rsidR="00546F57">
        <w:rPr>
          <w:iCs/>
        </w:rPr>
        <w:t xml:space="preserve"> the IPAC </w:t>
      </w:r>
      <w:r w:rsidR="00516321">
        <w:rPr>
          <w:iCs/>
        </w:rPr>
        <w:t>trial</w:t>
      </w:r>
      <w:r w:rsidR="00546F57">
        <w:rPr>
          <w:iCs/>
        </w:rPr>
        <w:t>.</w:t>
      </w:r>
      <w:r w:rsidR="001D0E41">
        <w:rPr>
          <w:rStyle w:val="EndnoteReference"/>
          <w:iCs/>
        </w:rPr>
        <w:endnoteReference w:id="83"/>
      </w:r>
      <w:r w:rsidR="00546F57">
        <w:rPr>
          <w:iCs/>
        </w:rPr>
        <w:t xml:space="preserve">  </w:t>
      </w:r>
      <w:r w:rsidR="00FB4422">
        <w:rPr>
          <w:iCs/>
        </w:rPr>
        <w:t>Whilst e</w:t>
      </w:r>
      <w:r w:rsidR="00A93680">
        <w:t xml:space="preserve">ligible </w:t>
      </w:r>
      <w:r w:rsidR="00FB4422" w:rsidRPr="00FB4422">
        <w:t xml:space="preserve">Aboriginal and Torres Strait Islanders living with or at risk of chronic disease </w:t>
      </w:r>
      <w:r w:rsidR="00A93680">
        <w:t xml:space="preserve">can access free or low cost medicines through the </w:t>
      </w:r>
      <w:r w:rsidR="00DF5E70">
        <w:t xml:space="preserve">Section 100 Remote Area Aboriginal Health Services program and </w:t>
      </w:r>
      <w:r w:rsidR="00A93680">
        <w:t>Closing the Gap PBS Co-payment measure,</w:t>
      </w:r>
      <w:r w:rsidR="00A93680">
        <w:rPr>
          <w:rStyle w:val="EndnoteReference"/>
        </w:rPr>
        <w:endnoteReference w:id="84"/>
      </w:r>
      <w:r w:rsidR="00A93680">
        <w:t xml:space="preserve"> </w:t>
      </w:r>
      <w:r w:rsidR="00FB4422">
        <w:t xml:space="preserve">support from an </w:t>
      </w:r>
      <w:r w:rsidR="00A93680">
        <w:t>i</w:t>
      </w:r>
      <w:r w:rsidR="00FB4422">
        <w:t>ntegrated pharmacist</w:t>
      </w:r>
      <w:r w:rsidR="00A93680">
        <w:t xml:space="preserve"> can complement such schemes</w:t>
      </w:r>
      <w:r w:rsidR="003F1C3C">
        <w:t xml:space="preserve"> and </w:t>
      </w:r>
      <w:r w:rsidR="00505956">
        <w:t xml:space="preserve">go further to </w:t>
      </w:r>
      <w:r w:rsidR="003F1C3C">
        <w:t xml:space="preserve">address a multitude of barriers </w:t>
      </w:r>
      <w:r w:rsidR="00CD3717">
        <w:t xml:space="preserve">to the quality use of medicines </w:t>
      </w:r>
      <w:r w:rsidR="003F1C3C">
        <w:t>experienced by Aboriginal and Torres Strait Islanders</w:t>
      </w:r>
      <w:r w:rsidR="00A93680">
        <w:t xml:space="preserve">. </w:t>
      </w:r>
      <w:r w:rsidR="00546F57">
        <w:rPr>
          <w:iCs/>
        </w:rPr>
        <w:t xml:space="preserve">The IPAC </w:t>
      </w:r>
      <w:r w:rsidR="00516321">
        <w:rPr>
          <w:iCs/>
        </w:rPr>
        <w:t xml:space="preserve">trial </w:t>
      </w:r>
      <w:r w:rsidR="00546F57">
        <w:rPr>
          <w:iCs/>
        </w:rPr>
        <w:t xml:space="preserve">has demonstrated </w:t>
      </w:r>
      <w:r w:rsidR="002101F3">
        <w:rPr>
          <w:iCs/>
        </w:rPr>
        <w:t xml:space="preserve">significant </w:t>
      </w:r>
      <w:r w:rsidR="00546F57">
        <w:rPr>
          <w:iCs/>
        </w:rPr>
        <w:t xml:space="preserve">positive impacts of pharmacists </w:t>
      </w:r>
      <w:r w:rsidR="003F1C3C">
        <w:rPr>
          <w:iCs/>
        </w:rPr>
        <w:t xml:space="preserve">being </w:t>
      </w:r>
      <w:r w:rsidR="00546F57">
        <w:rPr>
          <w:iCs/>
        </w:rPr>
        <w:t xml:space="preserve">integrated into primary health care teams </w:t>
      </w:r>
      <w:r w:rsidR="00373947">
        <w:rPr>
          <w:iCs/>
        </w:rPr>
        <w:t xml:space="preserve">of ACCHSs </w:t>
      </w:r>
      <w:r w:rsidR="00546F57">
        <w:rPr>
          <w:iCs/>
        </w:rPr>
        <w:t>on health services staff and internal and external stakeholders</w:t>
      </w:r>
      <w:r w:rsidR="00B25C2C">
        <w:rPr>
          <w:iCs/>
        </w:rPr>
        <w:t>.</w:t>
      </w:r>
    </w:p>
    <w:p w14:paraId="588599AD" w14:textId="712F0425" w:rsidR="008762FD" w:rsidRDefault="008762FD" w:rsidP="008762FD">
      <w:r>
        <w:t xml:space="preserve">Ultimately, funding mechanisms may drive the employment structure of pharmacists </w:t>
      </w:r>
      <w:r w:rsidR="00516321">
        <w:t>and the in</w:t>
      </w:r>
      <w:r w:rsidR="00327632">
        <w:t>t</w:t>
      </w:r>
      <w:r w:rsidR="00516321">
        <w:t xml:space="preserve">egration model to </w:t>
      </w:r>
      <w:r>
        <w:t>pr</w:t>
      </w:r>
      <w:r w:rsidR="00516321">
        <w:t>ovide</w:t>
      </w:r>
      <w:r>
        <w:t xml:space="preserve"> services to ACCHS</w:t>
      </w:r>
      <w:r w:rsidR="00516321">
        <w:t>.</w:t>
      </w:r>
      <w:r>
        <w:t xml:space="preserve"> </w:t>
      </w:r>
      <w:r w:rsidR="00516321">
        <w:t>U</w:t>
      </w:r>
      <w:r>
        <w:t xml:space="preserve">nderpinning any program rules </w:t>
      </w:r>
      <w:r w:rsidR="00516321">
        <w:t xml:space="preserve">for the expansion of integrated pharmacists is the </w:t>
      </w:r>
      <w:r>
        <w:t>acknowledgement of the needs and preferences of individual ACCHSs</w:t>
      </w:r>
      <w:r w:rsidR="00516321">
        <w:t xml:space="preserve"> and their representative bodies to guide the integration model</w:t>
      </w:r>
      <w:r>
        <w:t xml:space="preserve">.  ACCHSs are founded on the </w:t>
      </w:r>
      <w:r w:rsidR="00516321">
        <w:t>principle of ‘</w:t>
      </w:r>
      <w:r>
        <w:t xml:space="preserve">Aboriginal Health in Aboriginal </w:t>
      </w:r>
      <w:r w:rsidR="00516321">
        <w:t>H</w:t>
      </w:r>
      <w:r>
        <w:t>ands</w:t>
      </w:r>
      <w:r w:rsidR="00516321">
        <w:t>’</w:t>
      </w:r>
      <w:r w:rsidR="00305A5F">
        <w:t>.</w:t>
      </w:r>
      <w:r>
        <w:rPr>
          <w:rStyle w:val="EndnoteReference"/>
        </w:rPr>
        <w:endnoteReference w:id="85"/>
      </w:r>
      <w:r w:rsidR="00516321">
        <w:t xml:space="preserve">  Upholding the principle</w:t>
      </w:r>
      <w:r>
        <w:t xml:space="preserve"> of self-determination is necessary to enable a culturally acceptable mode of delivering effective and sustainable primary health care services to Aboriginal peoples and Torres Strait Islanders.  </w:t>
      </w:r>
      <w:r w:rsidR="007F54B7" w:rsidRPr="00BB4F91">
        <w:rPr>
          <w:rFonts w:cstheme="minorHAnsi"/>
        </w:rPr>
        <w:t xml:space="preserve">Having a pharmacist with the right </w:t>
      </w:r>
      <w:r w:rsidR="007F54B7" w:rsidRPr="00BB4F91">
        <w:rPr>
          <w:rFonts w:cstheme="minorHAnsi"/>
          <w:i/>
        </w:rPr>
        <w:t>‘organizational fit’</w:t>
      </w:r>
      <w:r w:rsidR="007F54B7" w:rsidRPr="00BB4F91">
        <w:rPr>
          <w:rFonts w:cstheme="minorHAnsi"/>
        </w:rPr>
        <w:t xml:space="preserve"> and personality was just as important as their skills and </w:t>
      </w:r>
      <w:r w:rsidR="00516321" w:rsidRPr="00BB4F91">
        <w:rPr>
          <w:rFonts w:cstheme="minorHAnsi"/>
        </w:rPr>
        <w:t>experience</w:t>
      </w:r>
      <w:r w:rsidR="00516321">
        <w:rPr>
          <w:rFonts w:cstheme="minorHAnsi"/>
        </w:rPr>
        <w:t xml:space="preserve"> according to qualitative evaluation findings from the IPAC trial</w:t>
      </w:r>
      <w:r w:rsidR="00516321" w:rsidRPr="00BB4F91">
        <w:rPr>
          <w:rFonts w:cstheme="minorHAnsi"/>
        </w:rPr>
        <w:t>.</w:t>
      </w:r>
      <w:r w:rsidR="007F54B7" w:rsidRPr="00BB4F91">
        <w:rPr>
          <w:rFonts w:cstheme="minorHAnsi"/>
        </w:rPr>
        <w:t xml:space="preserve"> </w:t>
      </w:r>
      <w:r w:rsidR="00421043">
        <w:t>ACCHS staff</w:t>
      </w:r>
      <w:r w:rsidR="00F84C43">
        <w:t xml:space="preserve"> </w:t>
      </w:r>
      <w:r w:rsidR="00421043">
        <w:t>made</w:t>
      </w:r>
      <w:r w:rsidR="00F84C43">
        <w:t xml:space="preserve"> the ultimate decision on pharmacist selection for their </w:t>
      </w:r>
      <w:proofErr w:type="gramStart"/>
      <w:r w:rsidR="00F84C43">
        <w:t>service</w:t>
      </w:r>
      <w:proofErr w:type="gramEnd"/>
      <w:r w:rsidR="00F84C43">
        <w:t xml:space="preserve"> and </w:t>
      </w:r>
      <w:r w:rsidR="00FE3D95">
        <w:t xml:space="preserve">it was acknowledged that </w:t>
      </w:r>
      <w:r w:rsidR="00FE3D95" w:rsidRPr="00FE3D95">
        <w:t xml:space="preserve">some </w:t>
      </w:r>
      <w:r>
        <w:t xml:space="preserve">participating </w:t>
      </w:r>
      <w:r w:rsidR="00F84C43" w:rsidRPr="00FE3D95">
        <w:t>service</w:t>
      </w:r>
      <w:r w:rsidR="00FE3D95" w:rsidRPr="00305A5F">
        <w:t>s</w:t>
      </w:r>
      <w:r w:rsidR="00F84C43">
        <w:t xml:space="preserve"> </w:t>
      </w:r>
      <w:r>
        <w:t>had a preference for a particular employment model, highlighting the necessity for this consideration in future programs.</w:t>
      </w:r>
    </w:p>
    <w:p w14:paraId="46CFD1E9" w14:textId="1814C056" w:rsidR="008762FD" w:rsidRDefault="002D7E34" w:rsidP="00DA22EF">
      <w:pPr>
        <w:rPr>
          <w:rFonts w:cstheme="minorHAnsi"/>
        </w:rPr>
      </w:pPr>
      <w:r>
        <w:rPr>
          <w:rFonts w:cstheme="minorHAnsi"/>
        </w:rPr>
        <w:t>Based on the experiences in the IPAC trial, th</w:t>
      </w:r>
      <w:r w:rsidR="00516321">
        <w:rPr>
          <w:rFonts w:cstheme="minorHAnsi"/>
        </w:rPr>
        <w:t xml:space="preserve">is evaluation </w:t>
      </w:r>
      <w:r>
        <w:rPr>
          <w:rFonts w:cstheme="minorHAnsi"/>
        </w:rPr>
        <w:t>recommend</w:t>
      </w:r>
      <w:r w:rsidR="00516321">
        <w:rPr>
          <w:rFonts w:cstheme="minorHAnsi"/>
        </w:rPr>
        <w:t>s</w:t>
      </w:r>
      <w:r>
        <w:rPr>
          <w:rFonts w:cstheme="minorHAnsi"/>
        </w:rPr>
        <w:t xml:space="preserve"> that future programs </w:t>
      </w:r>
      <w:r w:rsidR="00516321">
        <w:rPr>
          <w:rFonts w:cstheme="minorHAnsi"/>
        </w:rPr>
        <w:t>sh</w:t>
      </w:r>
      <w:r>
        <w:rPr>
          <w:rFonts w:cstheme="minorHAnsi"/>
        </w:rPr>
        <w:t xml:space="preserve">ould </w:t>
      </w:r>
      <w:r w:rsidR="00516321">
        <w:rPr>
          <w:rFonts w:cstheme="minorHAnsi"/>
        </w:rPr>
        <w:t xml:space="preserve">consider </w:t>
      </w:r>
      <w:r w:rsidR="00FE3D95">
        <w:rPr>
          <w:rFonts w:cstheme="minorHAnsi"/>
        </w:rPr>
        <w:t xml:space="preserve">adapting </w:t>
      </w:r>
      <w:r>
        <w:rPr>
          <w:rFonts w:cstheme="minorHAnsi"/>
        </w:rPr>
        <w:t xml:space="preserve">the </w:t>
      </w:r>
      <w:r w:rsidR="00087221">
        <w:rPr>
          <w:rFonts w:cstheme="minorHAnsi"/>
        </w:rPr>
        <w:t xml:space="preserve">support </w:t>
      </w:r>
      <w:r w:rsidR="00183C99">
        <w:rPr>
          <w:rFonts w:cstheme="minorHAnsi"/>
        </w:rPr>
        <w:t xml:space="preserve">activities, </w:t>
      </w:r>
      <w:r>
        <w:rPr>
          <w:rFonts w:cstheme="minorHAnsi"/>
        </w:rPr>
        <w:t>resources and tools developed</w:t>
      </w:r>
      <w:r w:rsidR="00516321">
        <w:rPr>
          <w:rFonts w:cstheme="minorHAnsi"/>
        </w:rPr>
        <w:t xml:space="preserve"> </w:t>
      </w:r>
      <w:r w:rsidR="00C65663">
        <w:rPr>
          <w:rFonts w:cstheme="minorHAnsi"/>
        </w:rPr>
        <w:t>from</w:t>
      </w:r>
      <w:r w:rsidR="00516321">
        <w:rPr>
          <w:rFonts w:cstheme="minorHAnsi"/>
        </w:rPr>
        <w:t xml:space="preserve"> the </w:t>
      </w:r>
      <w:r w:rsidR="00C65663">
        <w:rPr>
          <w:rFonts w:cstheme="minorHAnsi"/>
        </w:rPr>
        <w:t xml:space="preserve">IPAC </w:t>
      </w:r>
      <w:r w:rsidR="00305A5F">
        <w:rPr>
          <w:rFonts w:cstheme="minorHAnsi"/>
        </w:rPr>
        <w:t>trial</w:t>
      </w:r>
      <w:r w:rsidR="00EE5FE6">
        <w:rPr>
          <w:rFonts w:cstheme="minorHAnsi"/>
        </w:rPr>
        <w:t>,</w:t>
      </w:r>
      <w:r w:rsidR="00084DE8">
        <w:rPr>
          <w:rFonts w:cstheme="minorHAnsi"/>
        </w:rPr>
        <w:t xml:space="preserve"> </w:t>
      </w:r>
      <w:r w:rsidR="00EE5FE6">
        <w:rPr>
          <w:rFonts w:cstheme="minorHAnsi"/>
        </w:rPr>
        <w:t>which</w:t>
      </w:r>
      <w:r w:rsidR="00183C99">
        <w:rPr>
          <w:rFonts w:cstheme="minorHAnsi"/>
        </w:rPr>
        <w:t xml:space="preserve"> </w:t>
      </w:r>
      <w:r w:rsidR="00802E59">
        <w:rPr>
          <w:rFonts w:cstheme="minorHAnsi"/>
        </w:rPr>
        <w:t>contributed</w:t>
      </w:r>
      <w:r w:rsidR="00183C99">
        <w:rPr>
          <w:rFonts w:cstheme="minorHAnsi"/>
        </w:rPr>
        <w:t xml:space="preserve"> to its effective </w:t>
      </w:r>
      <w:r w:rsidR="00802E59">
        <w:rPr>
          <w:rFonts w:cstheme="minorHAnsi"/>
        </w:rPr>
        <w:t>execution</w:t>
      </w:r>
      <w:r>
        <w:rPr>
          <w:rFonts w:cstheme="minorHAnsi"/>
        </w:rPr>
        <w:t xml:space="preserve">.  The NACCHO </w:t>
      </w:r>
      <w:r w:rsidR="00997352">
        <w:rPr>
          <w:rFonts w:cstheme="minorHAnsi"/>
        </w:rPr>
        <w:t>in collaboration with</w:t>
      </w:r>
      <w:r>
        <w:rPr>
          <w:rFonts w:cstheme="minorHAnsi"/>
        </w:rPr>
        <w:t xml:space="preserve"> its </w:t>
      </w:r>
      <w:r w:rsidR="002A5337">
        <w:rPr>
          <w:rFonts w:cstheme="minorHAnsi"/>
        </w:rPr>
        <w:t>A</w:t>
      </w:r>
      <w:r>
        <w:rPr>
          <w:rFonts w:cstheme="minorHAnsi"/>
        </w:rPr>
        <w:t xml:space="preserve">ffiliates </w:t>
      </w:r>
      <w:r w:rsidR="00836967">
        <w:rPr>
          <w:rFonts w:cstheme="minorHAnsi"/>
        </w:rPr>
        <w:t>demonstrated that they</w:t>
      </w:r>
      <w:r>
        <w:rPr>
          <w:rFonts w:cstheme="minorHAnsi"/>
        </w:rPr>
        <w:t xml:space="preserve"> are well placed to support ACCHSs to introduce the integrated pharmacist role</w:t>
      </w:r>
      <w:r w:rsidR="00516321">
        <w:rPr>
          <w:rFonts w:cstheme="minorHAnsi"/>
        </w:rPr>
        <w:t xml:space="preserve"> within their services</w:t>
      </w:r>
      <w:r>
        <w:rPr>
          <w:rFonts w:cstheme="minorHAnsi"/>
        </w:rPr>
        <w:t xml:space="preserve">.  </w:t>
      </w:r>
      <w:r w:rsidR="0009096A">
        <w:rPr>
          <w:rFonts w:cstheme="minorHAnsi"/>
        </w:rPr>
        <w:t xml:space="preserve">This is evidenced by low site and participant </w:t>
      </w:r>
      <w:r w:rsidR="006A3A95">
        <w:rPr>
          <w:rFonts w:cstheme="minorHAnsi"/>
        </w:rPr>
        <w:t xml:space="preserve">attrition and positive ACCHS feedback in qualitative evaluation.  </w:t>
      </w:r>
      <w:r w:rsidR="00BE6168">
        <w:rPr>
          <w:rFonts w:cstheme="minorHAnsi"/>
        </w:rPr>
        <w:t>While service</w:t>
      </w:r>
      <w:r>
        <w:rPr>
          <w:rFonts w:cstheme="minorHAnsi"/>
        </w:rPr>
        <w:t xml:space="preserve"> readiness for the role was a challenge for some </w:t>
      </w:r>
      <w:r w:rsidR="00516321">
        <w:rPr>
          <w:rFonts w:cstheme="minorHAnsi"/>
        </w:rPr>
        <w:t>ACCHSs</w:t>
      </w:r>
      <w:r>
        <w:rPr>
          <w:rFonts w:cstheme="minorHAnsi"/>
        </w:rPr>
        <w:t xml:space="preserve"> as they’d had little or no experience with non-dispensing pharmacists prior to the project</w:t>
      </w:r>
      <w:r w:rsidR="00011C1C">
        <w:rPr>
          <w:rFonts w:cstheme="minorHAnsi"/>
        </w:rPr>
        <w:t xml:space="preserve">, this was ultimately </w:t>
      </w:r>
      <w:r w:rsidR="00305A5F">
        <w:rPr>
          <w:rFonts w:cstheme="minorHAnsi"/>
        </w:rPr>
        <w:t xml:space="preserve">not </w:t>
      </w:r>
      <w:r w:rsidR="00011C1C">
        <w:rPr>
          <w:rFonts w:cstheme="minorHAnsi"/>
        </w:rPr>
        <w:t>a barrier as</w:t>
      </w:r>
      <w:r>
        <w:rPr>
          <w:rFonts w:cstheme="minorHAnsi"/>
        </w:rPr>
        <w:t xml:space="preserve"> NACCHO </w:t>
      </w:r>
      <w:r w:rsidR="00AC3DBD">
        <w:rPr>
          <w:rFonts w:cstheme="minorHAnsi"/>
        </w:rPr>
        <w:t>supported</w:t>
      </w:r>
      <w:r>
        <w:rPr>
          <w:rFonts w:cstheme="minorHAnsi"/>
        </w:rPr>
        <w:t xml:space="preserve"> ACCHSs</w:t>
      </w:r>
      <w:r w:rsidR="00AC3DBD">
        <w:rPr>
          <w:rFonts w:cstheme="minorHAnsi"/>
        </w:rPr>
        <w:t xml:space="preserve"> </w:t>
      </w:r>
      <w:r w:rsidR="00C65663">
        <w:rPr>
          <w:rFonts w:cstheme="minorHAnsi"/>
        </w:rPr>
        <w:t>to understan</w:t>
      </w:r>
      <w:r w:rsidR="00AC3DBD">
        <w:rPr>
          <w:rFonts w:cstheme="minorHAnsi"/>
        </w:rPr>
        <w:t>d the nature of the role and its potential value</w:t>
      </w:r>
      <w:r>
        <w:rPr>
          <w:rFonts w:cstheme="minorHAnsi"/>
        </w:rPr>
        <w:t xml:space="preserve">.  </w:t>
      </w:r>
      <w:r w:rsidR="00AC3DBD">
        <w:rPr>
          <w:rFonts w:cstheme="minorHAnsi"/>
        </w:rPr>
        <w:t xml:space="preserve">Ongoing support was </w:t>
      </w:r>
      <w:r w:rsidR="00AC724D">
        <w:rPr>
          <w:rFonts w:cstheme="minorHAnsi"/>
        </w:rPr>
        <w:t xml:space="preserve">also </w:t>
      </w:r>
      <w:r w:rsidR="00AC3DBD">
        <w:rPr>
          <w:rFonts w:cstheme="minorHAnsi"/>
        </w:rPr>
        <w:t xml:space="preserve">provided by Affiliates who worked closely with ACCHSs within their jurisdictions. </w:t>
      </w:r>
      <w:r w:rsidR="00033221">
        <w:rPr>
          <w:rFonts w:cstheme="minorHAnsi"/>
        </w:rPr>
        <w:t xml:space="preserve">In addition to direct </w:t>
      </w:r>
      <w:r w:rsidR="00AC3DBD">
        <w:rPr>
          <w:rFonts w:cstheme="minorHAnsi"/>
        </w:rPr>
        <w:t xml:space="preserve">NACCHO facilitated ongoing communication through a peer support network and support from project staff.  The PSA have developed </w:t>
      </w:r>
      <w:r w:rsidR="0053516C">
        <w:rPr>
          <w:rFonts w:cstheme="minorHAnsi"/>
        </w:rPr>
        <w:t xml:space="preserve">processes for recruitment of pharmacists interested in working in </w:t>
      </w:r>
      <w:r w:rsidR="000113A2">
        <w:rPr>
          <w:rFonts w:cstheme="minorHAnsi"/>
        </w:rPr>
        <w:t>ACCHSs</w:t>
      </w:r>
      <w:r w:rsidR="0053516C">
        <w:rPr>
          <w:rFonts w:cstheme="minorHAnsi"/>
        </w:rPr>
        <w:t xml:space="preserve"> and developed</w:t>
      </w:r>
      <w:r w:rsidR="000113A2">
        <w:rPr>
          <w:rFonts w:cstheme="minorHAnsi"/>
        </w:rPr>
        <w:t>/sourced</w:t>
      </w:r>
      <w:r w:rsidR="0053516C">
        <w:rPr>
          <w:rFonts w:cstheme="minorHAnsi"/>
        </w:rPr>
        <w:t xml:space="preserve"> </w:t>
      </w:r>
      <w:r w:rsidR="00AC3DBD">
        <w:rPr>
          <w:rFonts w:cstheme="minorHAnsi"/>
        </w:rPr>
        <w:t xml:space="preserve">resources for training </w:t>
      </w:r>
      <w:r w:rsidR="000113A2">
        <w:rPr>
          <w:rFonts w:cstheme="minorHAnsi"/>
        </w:rPr>
        <w:t>pharmacists to prepare</w:t>
      </w:r>
      <w:r w:rsidR="00AC3DBD">
        <w:rPr>
          <w:rFonts w:cstheme="minorHAnsi"/>
        </w:rPr>
        <w:t xml:space="preserve"> for working in Aboriginal health settings and to upskill them in topics relevant to a non-dispensing clinical role and </w:t>
      </w:r>
      <w:r w:rsidR="00C65663">
        <w:rPr>
          <w:rFonts w:cstheme="minorHAnsi"/>
        </w:rPr>
        <w:t xml:space="preserve">medication management for those with </w:t>
      </w:r>
      <w:r w:rsidR="00AC3DBD">
        <w:rPr>
          <w:rFonts w:cstheme="minorHAnsi"/>
        </w:rPr>
        <w:t>chronic diseases.</w:t>
      </w:r>
      <w:r w:rsidR="00911742">
        <w:rPr>
          <w:rFonts w:cstheme="minorHAnsi"/>
        </w:rPr>
        <w:t xml:space="preserve"> </w:t>
      </w:r>
      <w:proofErr w:type="gramStart"/>
      <w:r w:rsidR="00FE3D95">
        <w:t>Furthermore</w:t>
      </w:r>
      <w:proofErr w:type="gramEnd"/>
      <w:r w:rsidR="00FE3D95">
        <w:t xml:space="preserve"> the PSA developed a comprehensive and multimodal program of support for pharmacists integrated within ACCHSs, acknowledging that placing pharmacists into ACCHSs without adequate support may limit the uptake and effectiveness of this service. </w:t>
      </w:r>
      <w:r w:rsidR="00911742">
        <w:rPr>
          <w:rFonts w:cstheme="minorHAnsi"/>
        </w:rPr>
        <w:t xml:space="preserve">JCU have developed or sourced </w:t>
      </w:r>
      <w:r w:rsidR="00CA2B0F">
        <w:rPr>
          <w:rFonts w:cstheme="minorHAnsi"/>
        </w:rPr>
        <w:t>numerous</w:t>
      </w:r>
      <w:r w:rsidR="00911742">
        <w:rPr>
          <w:rFonts w:cstheme="minorHAnsi"/>
        </w:rPr>
        <w:t xml:space="preserve"> tools to evaluate the IPAC project which can be used or adapted to monitor </w:t>
      </w:r>
      <w:r w:rsidR="00C65663">
        <w:rPr>
          <w:rFonts w:cstheme="minorHAnsi"/>
        </w:rPr>
        <w:t xml:space="preserve">the implementation and </w:t>
      </w:r>
      <w:r w:rsidR="00911742">
        <w:rPr>
          <w:rFonts w:cstheme="minorHAnsi"/>
        </w:rPr>
        <w:t xml:space="preserve">progress of future programs.  </w:t>
      </w:r>
      <w:r w:rsidR="00CA2B0F" w:rsidRPr="002977C1">
        <w:rPr>
          <w:rFonts w:cstheme="minorHAnsi"/>
        </w:rPr>
        <w:t xml:space="preserve">The electronic logbook was </w:t>
      </w:r>
      <w:r w:rsidR="00CA2B0F" w:rsidRPr="00305A5F">
        <w:rPr>
          <w:rFonts w:cstheme="minorHAnsi"/>
        </w:rPr>
        <w:t xml:space="preserve">a </w:t>
      </w:r>
      <w:r w:rsidR="00A5788A" w:rsidRPr="00305A5F">
        <w:rPr>
          <w:rFonts w:cstheme="minorHAnsi"/>
        </w:rPr>
        <w:t>research</w:t>
      </w:r>
      <w:r w:rsidR="00CA2B0F" w:rsidRPr="00305A5F">
        <w:t xml:space="preserve"> </w:t>
      </w:r>
      <w:r w:rsidR="00CA2B0F" w:rsidRPr="00305A5F">
        <w:rPr>
          <w:rFonts w:cstheme="minorHAnsi"/>
        </w:rPr>
        <w:t>tool</w:t>
      </w:r>
      <w:r w:rsidR="00CA2B0F" w:rsidRPr="002977C1">
        <w:rPr>
          <w:rFonts w:cstheme="minorHAnsi"/>
        </w:rPr>
        <w:t xml:space="preserve"> that </w:t>
      </w:r>
      <w:r w:rsidR="00305A5F">
        <w:rPr>
          <w:rFonts w:cstheme="minorHAnsi"/>
        </w:rPr>
        <w:t>effe</w:t>
      </w:r>
      <w:r w:rsidR="002977C1">
        <w:rPr>
          <w:rFonts w:cstheme="minorHAnsi"/>
        </w:rPr>
        <w:t>c</w:t>
      </w:r>
      <w:r w:rsidR="00305A5F">
        <w:rPr>
          <w:rFonts w:cstheme="minorHAnsi"/>
        </w:rPr>
        <w:t>tive</w:t>
      </w:r>
      <w:r w:rsidR="002977C1">
        <w:rPr>
          <w:rFonts w:cstheme="minorHAnsi"/>
        </w:rPr>
        <w:t xml:space="preserve">ly </w:t>
      </w:r>
      <w:r w:rsidR="00CA2B0F" w:rsidRPr="002977C1">
        <w:rPr>
          <w:rFonts w:cstheme="minorHAnsi"/>
        </w:rPr>
        <w:t xml:space="preserve">collected data for the project from participating pharmacists in one central database. </w:t>
      </w:r>
      <w:r w:rsidR="00C65663" w:rsidRPr="002977C1">
        <w:rPr>
          <w:rFonts w:cstheme="minorHAnsi"/>
        </w:rPr>
        <w:t>The o</w:t>
      </w:r>
      <w:r w:rsidR="00911742" w:rsidRPr="002977C1">
        <w:rPr>
          <w:rFonts w:cstheme="minorHAnsi"/>
          <w:color w:val="010202"/>
        </w:rPr>
        <w:t xml:space="preserve">ngoing monitoring and assessment </w:t>
      </w:r>
      <w:r w:rsidR="00C65663" w:rsidRPr="002977C1">
        <w:rPr>
          <w:rFonts w:cstheme="minorHAnsi"/>
          <w:color w:val="010202"/>
        </w:rPr>
        <w:t xml:space="preserve">of a broader integrated pharmacist roll-out within ACCHSs may utilize this type of tool to </w:t>
      </w:r>
      <w:r w:rsidR="00911742" w:rsidRPr="002977C1">
        <w:rPr>
          <w:rFonts w:cstheme="minorHAnsi"/>
          <w:color w:val="010202"/>
        </w:rPr>
        <w:t>ensure that the program is meeting its stated objectives, identify any issues affecting implementation, and address these in a timely manner</w:t>
      </w:r>
      <w:r w:rsidR="00CA2B0F" w:rsidRPr="002977C1">
        <w:rPr>
          <w:rFonts w:cstheme="minorHAnsi"/>
          <w:color w:val="010202"/>
        </w:rPr>
        <w:t>.</w:t>
      </w:r>
      <w:r w:rsidR="00606ACA">
        <w:rPr>
          <w:rFonts w:cstheme="minorHAnsi"/>
          <w:color w:val="010202"/>
        </w:rPr>
        <w:t xml:space="preserve"> However</w:t>
      </w:r>
      <w:r w:rsidR="00606ACA" w:rsidRPr="00305A5F">
        <w:rPr>
          <w:rFonts w:cstheme="minorHAnsi"/>
          <w:color w:val="010202"/>
        </w:rPr>
        <w:t xml:space="preserve">, </w:t>
      </w:r>
      <w:r w:rsidR="00305A5F" w:rsidRPr="00305A5F">
        <w:rPr>
          <w:rFonts w:cstheme="minorHAnsi"/>
          <w:color w:val="010202"/>
        </w:rPr>
        <w:t>administration time for data entry or reporting, should be included in roles, if required</w:t>
      </w:r>
      <w:r w:rsidR="0055297A" w:rsidRPr="00305A5F">
        <w:rPr>
          <w:rFonts w:cstheme="minorHAnsi"/>
          <w:color w:val="010202"/>
        </w:rPr>
        <w:t>.</w:t>
      </w:r>
      <w:r w:rsidR="0055297A">
        <w:rPr>
          <w:rFonts w:cstheme="minorHAnsi"/>
          <w:color w:val="010202"/>
        </w:rPr>
        <w:t xml:space="preserve"> </w:t>
      </w:r>
    </w:p>
    <w:p w14:paraId="2D6F7D67" w14:textId="5145FC81" w:rsidR="00CA2B0F" w:rsidRDefault="00CA2B0F" w:rsidP="00DA22EF">
      <w:r>
        <w:t xml:space="preserve">A fundamental premise of the </w:t>
      </w:r>
      <w:r w:rsidR="00C65663">
        <w:t xml:space="preserve">pragmatic, </w:t>
      </w:r>
      <w:proofErr w:type="gramStart"/>
      <w:r w:rsidR="00C65663">
        <w:t>community-based</w:t>
      </w:r>
      <w:proofErr w:type="gramEnd"/>
      <w:r w:rsidR="00C65663">
        <w:t xml:space="preserve"> and participatory IPAC trial </w:t>
      </w:r>
      <w:r>
        <w:t xml:space="preserve">was that the IPAC intervention would be </w:t>
      </w:r>
      <w:proofErr w:type="spellStart"/>
      <w:r>
        <w:t>generalisable</w:t>
      </w:r>
      <w:proofErr w:type="spellEnd"/>
      <w:r>
        <w:t xml:space="preserve"> to all ACCHSs. The IPAC </w:t>
      </w:r>
      <w:r w:rsidR="00C65663">
        <w:t>trial</w:t>
      </w:r>
      <w:r>
        <w:t xml:space="preserve"> has delivered significant benefits to the 18 participating </w:t>
      </w:r>
      <w:proofErr w:type="gramStart"/>
      <w:r>
        <w:t>ACCHSs</w:t>
      </w:r>
      <w:proofErr w:type="gramEnd"/>
      <w:r>
        <w:t xml:space="preserve"> and it is proposed that this model be extended to all ACCHSs across Australia. A model outlining anticipated costs for 14</w:t>
      </w:r>
      <w:r w:rsidR="002977C1">
        <w:t>0</w:t>
      </w:r>
      <w:r>
        <w:t xml:space="preserve"> ACCHSs across Australia </w:t>
      </w:r>
      <w:r w:rsidR="00915A01" w:rsidRPr="00DF7A7C">
        <w:rPr>
          <w:color w:val="000000" w:themeColor="text1"/>
        </w:rPr>
        <w:t xml:space="preserve">based on </w:t>
      </w:r>
      <w:r w:rsidR="00915A01">
        <w:rPr>
          <w:color w:val="000000" w:themeColor="text1"/>
        </w:rPr>
        <w:t>the integrated model of care for pharmacists investigated in the</w:t>
      </w:r>
      <w:r w:rsidR="00915A01" w:rsidRPr="00DF7A7C">
        <w:rPr>
          <w:color w:val="000000" w:themeColor="text1"/>
        </w:rPr>
        <w:t xml:space="preserve"> IPAC Trial</w:t>
      </w:r>
      <w:r w:rsidR="00915A01">
        <w:rPr>
          <w:color w:val="000000" w:themeColor="text1"/>
        </w:rPr>
        <w:t xml:space="preserve"> is</w:t>
      </w:r>
      <w:r>
        <w:t xml:space="preserve"> presented </w:t>
      </w:r>
      <w:r w:rsidR="00915A01">
        <w:t xml:space="preserve">in the </w:t>
      </w:r>
      <w:r w:rsidR="00915A01" w:rsidRPr="00305A5F">
        <w:t>MSAC Assessment Report – Section E.</w:t>
      </w:r>
      <w:r w:rsidR="007F05BE" w:rsidRPr="007F05BE">
        <w:t xml:space="preserve"> </w:t>
      </w:r>
      <w:r w:rsidR="007F05BE">
        <w:t xml:space="preserve">The </w:t>
      </w:r>
      <w:r w:rsidR="007F05BE">
        <w:lastRenderedPageBreak/>
        <w:t xml:space="preserve">program cost </w:t>
      </w:r>
      <w:r w:rsidR="00796756">
        <w:t xml:space="preserve">incorporates pharmacist training and salary, support for ACCHSs and pharmacists to ensure successful expansion of the intervention, and ongoing program monitoring and evaluation. The cost </w:t>
      </w:r>
      <w:r w:rsidR="007F05BE">
        <w:t xml:space="preserve">per annum </w:t>
      </w:r>
      <w:r w:rsidR="00177206">
        <w:t xml:space="preserve">for five years is estimated to be $13,846,142 for the first year reducing to approximately $13 million </w:t>
      </w:r>
      <w:r w:rsidR="00F1767C">
        <w:t xml:space="preserve">per year </w:t>
      </w:r>
      <w:r w:rsidR="00177206">
        <w:t xml:space="preserve">for the following years, </w:t>
      </w:r>
      <w:r w:rsidR="007F05BE">
        <w:t xml:space="preserve">is comparable with other federally funded Aboriginal and Torres Strait Islander medicines initiatives and </w:t>
      </w:r>
      <w:r w:rsidR="00D4189C">
        <w:t>will</w:t>
      </w:r>
      <w:r w:rsidR="00C65663" w:rsidRPr="00D4189C">
        <w:t xml:space="preserve"> </w:t>
      </w:r>
      <w:r w:rsidR="00C65663">
        <w:t xml:space="preserve">help to close the gap in Aboriginal and Torres Strait Islander underutilization of </w:t>
      </w:r>
      <w:r w:rsidR="007F05BE">
        <w:t xml:space="preserve">nation-wide Australian pharmaceutical measures, such as the PBS and </w:t>
      </w:r>
      <w:r w:rsidR="00C65663">
        <w:t xml:space="preserve">other </w:t>
      </w:r>
      <w:r w:rsidR="007F05BE">
        <w:t>Community Pharmacy Agreement</w:t>
      </w:r>
      <w:r w:rsidR="00C65663">
        <w:t xml:space="preserve"> related programs</w:t>
      </w:r>
      <w:r w:rsidR="007F05BE">
        <w:t xml:space="preserve">.  </w:t>
      </w:r>
      <w:r w:rsidR="00AE5BA0">
        <w:t>Furth</w:t>
      </w:r>
      <w:r w:rsidR="00012264">
        <w:t>er</w:t>
      </w:r>
      <w:r w:rsidR="00AE5BA0">
        <w:t>more</w:t>
      </w:r>
      <w:r w:rsidR="00012264">
        <w:t xml:space="preserve">, this is a timely and impactful intervention to improve medication use for this </w:t>
      </w:r>
      <w:r w:rsidR="001630B0">
        <w:t xml:space="preserve">under-served </w:t>
      </w:r>
      <w:r w:rsidR="00012264">
        <w:t>population, considering the Health Minister’s national prioritization of medicines safety.</w:t>
      </w:r>
      <w:r w:rsidR="002977C1">
        <w:rPr>
          <w:rStyle w:val="EndnoteReference"/>
        </w:rPr>
        <w:endnoteReference w:id="86"/>
      </w:r>
      <w:r w:rsidR="00012264">
        <w:t xml:space="preserve">  </w:t>
      </w:r>
    </w:p>
    <w:p w14:paraId="53D8C805" w14:textId="6CA6DC05" w:rsidR="008C1C4F" w:rsidRDefault="008C1C4F" w:rsidP="008C1C4F">
      <w:pPr>
        <w:rPr>
          <w:lang w:eastAsia="en-AU"/>
        </w:rPr>
      </w:pPr>
      <w:r>
        <w:rPr>
          <w:lang w:eastAsia="en-AU"/>
        </w:rPr>
        <w:t xml:space="preserve">Any challenges related to implementation </w:t>
      </w:r>
      <w:r w:rsidR="00F85A66">
        <w:rPr>
          <w:lang w:eastAsia="en-AU"/>
        </w:rPr>
        <w:t xml:space="preserve">of the IPAC trial </w:t>
      </w:r>
      <w:r>
        <w:rPr>
          <w:lang w:eastAsia="en-AU"/>
        </w:rPr>
        <w:t xml:space="preserve">were not </w:t>
      </w:r>
      <w:proofErr w:type="gramStart"/>
      <w:r>
        <w:rPr>
          <w:lang w:eastAsia="en-AU"/>
        </w:rPr>
        <w:t>insurmountable, and</w:t>
      </w:r>
      <w:proofErr w:type="gramEnd"/>
      <w:r>
        <w:rPr>
          <w:lang w:eastAsia="en-AU"/>
        </w:rPr>
        <w:t xml:space="preserve"> considering the overwhelming support for the integrated pharmacist role,</w:t>
      </w:r>
      <w:r>
        <w:t xml:space="preserve"> successful implementation of the trial in urban, regional and remote settings, the</w:t>
      </w:r>
      <w:r>
        <w:rPr>
          <w:lang w:eastAsia="en-AU"/>
        </w:rPr>
        <w:t xml:space="preserve"> very low patient withdrawal rate and low site attrition observed, the trial demonstrates the feasibility of expansion in Aboriginal health service settings across Australia.  </w:t>
      </w:r>
    </w:p>
    <w:p w14:paraId="7AEC3BFA" w14:textId="77777777" w:rsidR="007327B5" w:rsidRPr="007327B5" w:rsidRDefault="007327B5" w:rsidP="0048683E">
      <w:pPr>
        <w:pStyle w:val="Heading2"/>
      </w:pPr>
      <w:bookmarkStart w:id="230" w:name="_Toc35946614"/>
      <w:bookmarkStart w:id="231" w:name="_Toc40350119"/>
      <w:bookmarkStart w:id="232" w:name="_Toc40441102"/>
      <w:bookmarkStart w:id="233" w:name="_Toc41315644"/>
      <w:bookmarkStart w:id="234" w:name="_Toc138846290"/>
      <w:r>
        <w:t>Highlights</w:t>
      </w:r>
      <w:bookmarkEnd w:id="230"/>
      <w:bookmarkEnd w:id="231"/>
      <w:bookmarkEnd w:id="232"/>
      <w:bookmarkEnd w:id="233"/>
      <w:bookmarkEnd w:id="234"/>
    </w:p>
    <w:p w14:paraId="6FEE5D3A" w14:textId="19B8D63B" w:rsidR="00E04911" w:rsidRDefault="00E04911" w:rsidP="0048683E">
      <w:pPr>
        <w:pStyle w:val="Heading3"/>
      </w:pPr>
      <w:bookmarkStart w:id="235" w:name="_Toc41315645"/>
      <w:bookmarkStart w:id="236" w:name="_Toc138846291"/>
      <w:r>
        <w:t>Su</w:t>
      </w:r>
      <w:r w:rsidR="00E60418">
        <w:t>pport for the integrated pharmacist role</w:t>
      </w:r>
      <w:bookmarkEnd w:id="235"/>
      <w:bookmarkEnd w:id="236"/>
    </w:p>
    <w:p w14:paraId="26997CB2" w14:textId="5C19575F" w:rsidR="003F0F91" w:rsidRDefault="00FE3210" w:rsidP="003F0F91">
      <w:r>
        <w:t>The key highlight from the trial was the o</w:t>
      </w:r>
      <w:r w:rsidR="007327B5">
        <w:t xml:space="preserve">verwhelming support </w:t>
      </w:r>
      <w:r>
        <w:t xml:space="preserve">from nearly every participant involved in the </w:t>
      </w:r>
      <w:r w:rsidR="00F13D8A">
        <w:t>qualitative evaluation of the</w:t>
      </w:r>
      <w:r>
        <w:t xml:space="preserve"> </w:t>
      </w:r>
      <w:r w:rsidR="00461E66">
        <w:t>trial</w:t>
      </w:r>
      <w:r>
        <w:t xml:space="preserve"> </w:t>
      </w:r>
      <w:r w:rsidR="007327B5">
        <w:t xml:space="preserve">for </w:t>
      </w:r>
      <w:r w:rsidR="00D703AF">
        <w:t xml:space="preserve">integrated pharmacist </w:t>
      </w:r>
      <w:r w:rsidR="007327B5">
        <w:t>role</w:t>
      </w:r>
      <w:r w:rsidR="003D7634">
        <w:t>s</w:t>
      </w:r>
      <w:r w:rsidR="007327B5">
        <w:t xml:space="preserve"> </w:t>
      </w:r>
      <w:r>
        <w:t>to continue, and for further expansion into other Aboriginal health services.</w:t>
      </w:r>
      <w:r w:rsidR="00D703AF">
        <w:t xml:space="preserve">  </w:t>
      </w:r>
      <w:r w:rsidR="00071C0D">
        <w:t xml:space="preserve">The majority of participants in the qualitative evaluation strongly supported the intervention and </w:t>
      </w:r>
      <w:proofErr w:type="gramStart"/>
      <w:r w:rsidR="00071C0D">
        <w:t>it’s</w:t>
      </w:r>
      <w:proofErr w:type="gramEnd"/>
      <w:r w:rsidR="00071C0D">
        <w:t xml:space="preserve"> continuation, which was corroborated by feedback received by the NACCHO project </w:t>
      </w:r>
      <w:r w:rsidR="00071C0D" w:rsidRPr="00B5671B">
        <w:t xml:space="preserve">coordinators </w:t>
      </w:r>
      <w:r w:rsidR="003D7634" w:rsidRPr="00B5671B">
        <w:t xml:space="preserve">(Appendix </w:t>
      </w:r>
      <w:r w:rsidR="00B5671B" w:rsidRPr="00B5671B">
        <w:t>22</w:t>
      </w:r>
      <w:r w:rsidR="003D7634" w:rsidRPr="00B5671B">
        <w:t>) and</w:t>
      </w:r>
      <w:r w:rsidR="00071C0D" w:rsidRPr="00B5671B">
        <w:t xml:space="preserve"> unsolicited </w:t>
      </w:r>
      <w:r w:rsidR="00461E66" w:rsidRPr="00B5671B">
        <w:t>comments</w:t>
      </w:r>
      <w:r w:rsidR="00071C0D" w:rsidRPr="00B5671B">
        <w:t xml:space="preserve"> received by PSA project coordinators</w:t>
      </w:r>
      <w:r w:rsidR="003D7634" w:rsidRPr="00B5671B">
        <w:t xml:space="preserve"> (Appendix </w:t>
      </w:r>
      <w:r w:rsidR="00B5671B" w:rsidRPr="00B5671B">
        <w:t>18</w:t>
      </w:r>
      <w:r w:rsidR="003D7634" w:rsidRPr="00B5671B">
        <w:t>)</w:t>
      </w:r>
      <w:r w:rsidR="00071C0D" w:rsidRPr="00B5671B">
        <w:t xml:space="preserve">. </w:t>
      </w:r>
      <w:r w:rsidR="003F0F91" w:rsidRPr="00B5671B">
        <w:t xml:space="preserve"> Upon hearing the integrated pharmacist trial was concluding one patient stated: </w:t>
      </w:r>
      <w:r w:rsidR="003F0F91" w:rsidRPr="00B5671B">
        <w:rPr>
          <w:i/>
        </w:rPr>
        <w:t xml:space="preserve">“you get a </w:t>
      </w:r>
      <w:proofErr w:type="gramStart"/>
      <w:r w:rsidR="003F0F91" w:rsidRPr="00B5671B">
        <w:rPr>
          <w:i/>
        </w:rPr>
        <w:t>program</w:t>
      </w:r>
      <w:proofErr w:type="gramEnd"/>
      <w:r w:rsidR="003F0F91" w:rsidRPr="00B5671B">
        <w:rPr>
          <w:i/>
        </w:rPr>
        <w:t xml:space="preserve"> and it works and bugger me dead if they don't pull the plug on it.”</w:t>
      </w:r>
      <w:r w:rsidR="003F0F91" w:rsidRPr="00B5671B">
        <w:t xml:space="preserve"> </w:t>
      </w:r>
      <w:r w:rsidR="00D53FD3" w:rsidRPr="00B5671B">
        <w:t>(</w:t>
      </w:r>
      <w:proofErr w:type="gramStart"/>
      <w:r w:rsidR="00D53FD3" w:rsidRPr="00B5671B">
        <w:t>focus</w:t>
      </w:r>
      <w:proofErr w:type="gramEnd"/>
      <w:r w:rsidR="00D53FD3" w:rsidRPr="00B5671B">
        <w:t xml:space="preserve"> group, </w:t>
      </w:r>
      <w:r w:rsidR="007470F9" w:rsidRPr="00B5671B">
        <w:t>case study</w:t>
      </w:r>
      <w:r w:rsidR="00D53FD3" w:rsidRPr="00B5671B">
        <w:t xml:space="preserve"> 2, Appendix 1</w:t>
      </w:r>
      <w:r w:rsidR="00392D76">
        <w:t>4</w:t>
      </w:r>
      <w:r w:rsidR="00D53FD3" w:rsidRPr="00B5671B">
        <w:t>)</w:t>
      </w:r>
    </w:p>
    <w:p w14:paraId="00ED9AD7" w14:textId="4DFCC2C4" w:rsidR="00476CF8" w:rsidRDefault="00856543" w:rsidP="00856543">
      <w:r>
        <w:t>Patients reported numerous benefits from their interactions with the integrated pharmacists.</w:t>
      </w:r>
      <w:r w:rsidRPr="00856543">
        <w:t xml:space="preserve"> </w:t>
      </w:r>
      <w:proofErr w:type="gramStart"/>
      <w:r>
        <w:t>The majority of</w:t>
      </w:r>
      <w:proofErr w:type="gramEnd"/>
      <w:r>
        <w:t xml:space="preserve"> p</w:t>
      </w:r>
      <w:r w:rsidRPr="00BB4F91">
        <w:t xml:space="preserve">atients reported that the </w:t>
      </w:r>
      <w:r w:rsidR="00C739F4">
        <w:t xml:space="preserve">integrated </w:t>
      </w:r>
      <w:r w:rsidRPr="00BB4F91">
        <w:t xml:space="preserve">pharmacist had been able to </w:t>
      </w:r>
      <w:r>
        <w:t xml:space="preserve">look at their medications and </w:t>
      </w:r>
      <w:r w:rsidRPr="00BB4F91">
        <w:t>suggest alternative or different combination</w:t>
      </w:r>
      <w:r>
        <w:t>s</w:t>
      </w:r>
      <w:r w:rsidRPr="00BB4F91">
        <w:t xml:space="preserve"> of medications</w:t>
      </w:r>
      <w:r>
        <w:t xml:space="preserve">, or </w:t>
      </w:r>
      <w:r w:rsidR="00D53FD3">
        <w:t>regimes that</w:t>
      </w:r>
      <w:r w:rsidRPr="00BB4F91">
        <w:t xml:space="preserve"> resulted in them </w:t>
      </w:r>
      <w:r w:rsidRPr="00BB4F91">
        <w:rPr>
          <w:i/>
        </w:rPr>
        <w:t>‘feeling better’</w:t>
      </w:r>
      <w:r w:rsidRPr="00BB4F91">
        <w:t xml:space="preserve">.  </w:t>
      </w:r>
      <w:r w:rsidR="00C739F4">
        <w:t xml:space="preserve">Integrated </w:t>
      </w:r>
      <w:r>
        <w:t xml:space="preserve">pharmacists took a holistic approach to patient care, listened to </w:t>
      </w:r>
      <w:proofErr w:type="gramStart"/>
      <w:r>
        <w:t>patients</w:t>
      </w:r>
      <w:proofErr w:type="gramEnd"/>
      <w:r>
        <w:t xml:space="preserve"> and better understood their lives. Some patients reported being more involved in decisions about their care with the support they received from the pharmacists. Pharmacists sometimes sat in on consultations with the patient and their GP. Patients felt they were empowered to better manage their health conditions through better understanding their condition, </w:t>
      </w:r>
      <w:r w:rsidRPr="00BB4F91">
        <w:t>why they needed to take their medication</w:t>
      </w:r>
      <w:r>
        <w:t>s</w:t>
      </w:r>
      <w:r w:rsidRPr="00BB4F91">
        <w:t xml:space="preserve"> and </w:t>
      </w:r>
      <w:r>
        <w:t>how the</w:t>
      </w:r>
      <w:r w:rsidR="002F3834">
        <w:t>se medications</w:t>
      </w:r>
      <w:r>
        <w:t xml:space="preserve"> worked</w:t>
      </w:r>
      <w:r w:rsidRPr="00BB4F91">
        <w:t xml:space="preserve">.  </w:t>
      </w:r>
      <w:r>
        <w:t xml:space="preserve">Many patients indicated they </w:t>
      </w:r>
      <w:r w:rsidRPr="00BB4F91">
        <w:t>were more adherent</w:t>
      </w:r>
      <w:r>
        <w:t xml:space="preserve"> to their medications</w:t>
      </w:r>
      <w:r w:rsidRPr="00BB4F91">
        <w:t xml:space="preserve">.  In addition to feeling better, patients also reported other benefits </w:t>
      </w:r>
      <w:proofErr w:type="gramStart"/>
      <w:r>
        <w:t>as a result of</w:t>
      </w:r>
      <w:proofErr w:type="gramEnd"/>
      <w:r>
        <w:t xml:space="preserve"> medication changes </w:t>
      </w:r>
      <w:r w:rsidRPr="00BB4F91">
        <w:t xml:space="preserve">such as losing weight, </w:t>
      </w:r>
      <w:r>
        <w:t xml:space="preserve">being motivated to </w:t>
      </w:r>
      <w:r w:rsidRPr="00BB4F91">
        <w:t xml:space="preserve">do more exercise and engaging with other support groups </w:t>
      </w:r>
      <w:r>
        <w:t>in</w:t>
      </w:r>
      <w:r w:rsidRPr="00BB4F91">
        <w:t xml:space="preserve"> the community. </w:t>
      </w:r>
      <w:r>
        <w:t xml:space="preserve"> </w:t>
      </w:r>
    </w:p>
    <w:p w14:paraId="24E086B4" w14:textId="726D75D7" w:rsidR="00856543" w:rsidRDefault="00856543" w:rsidP="00856543">
      <w:pPr>
        <w:rPr>
          <w:rFonts w:asciiTheme="majorHAnsi" w:hAnsiTheme="majorHAnsi" w:cstheme="majorHAnsi"/>
        </w:rPr>
      </w:pPr>
      <w:r>
        <w:t xml:space="preserve">The </w:t>
      </w:r>
      <w:r w:rsidR="00C739F4">
        <w:t xml:space="preserve">integrated </w:t>
      </w:r>
      <w:r>
        <w:t>pharmacist</w:t>
      </w:r>
      <w:r w:rsidR="00C739F4">
        <w:t>s</w:t>
      </w:r>
      <w:r>
        <w:t xml:space="preserve"> and other health services staff concurred</w:t>
      </w:r>
      <w:r w:rsidRPr="00BB4F91">
        <w:t xml:space="preserve"> that patients’ management of the health conditions </w:t>
      </w:r>
      <w:r>
        <w:t xml:space="preserve">(and adherence to medications) </w:t>
      </w:r>
      <w:r w:rsidRPr="00BB4F91">
        <w:t>had improved</w:t>
      </w:r>
      <w:r>
        <w:t>,</w:t>
      </w:r>
      <w:r w:rsidRPr="00BB4F91">
        <w:t xml:space="preserve"> as had their biomedical test results</w:t>
      </w:r>
      <w:r>
        <w:t xml:space="preserve">, particularly </w:t>
      </w:r>
      <w:r w:rsidR="00B65B5C">
        <w:t xml:space="preserve">the </w:t>
      </w:r>
      <w:r>
        <w:t>HbA1c</w:t>
      </w:r>
      <w:r w:rsidR="00B65B5C">
        <w:t xml:space="preserve"> level</w:t>
      </w:r>
      <w:r w:rsidRPr="00BB4F91">
        <w:t xml:space="preserve">.  </w:t>
      </w:r>
      <w:r w:rsidR="00476CF8">
        <w:t>This matched the findings of the a</w:t>
      </w:r>
      <w:r>
        <w:t>nalysis of patients</w:t>
      </w:r>
      <w:r w:rsidR="00D53FD3">
        <w:t>’</w:t>
      </w:r>
      <w:r>
        <w:t xml:space="preserve"> biomedical data </w:t>
      </w:r>
      <w:r w:rsidR="00476CF8">
        <w:rPr>
          <w:rFonts w:asciiTheme="majorHAnsi" w:hAnsiTheme="majorHAnsi" w:cstheme="majorHAnsi"/>
        </w:rPr>
        <w:t xml:space="preserve">where </w:t>
      </w:r>
      <w:r>
        <w:rPr>
          <w:rFonts w:asciiTheme="majorHAnsi" w:hAnsiTheme="majorHAnsi" w:cstheme="majorHAnsi"/>
        </w:rPr>
        <w:t xml:space="preserve">a range of intermediate clinical outcomes </w:t>
      </w:r>
      <w:r w:rsidRPr="00E96691">
        <w:rPr>
          <w:rFonts w:asciiTheme="majorHAnsi" w:hAnsiTheme="majorHAnsi" w:cstheme="majorHAnsi"/>
        </w:rPr>
        <w:t xml:space="preserve">for adult Aboriginal and Torres Strait Islander </w:t>
      </w:r>
      <w:r>
        <w:rPr>
          <w:color w:val="000000" w:themeColor="text1"/>
        </w:rPr>
        <w:t>participants</w:t>
      </w:r>
      <w:r w:rsidRPr="00D636F8">
        <w:rPr>
          <w:color w:val="000000" w:themeColor="text1"/>
        </w:rPr>
        <w:t xml:space="preserve"> </w:t>
      </w:r>
      <w:r>
        <w:rPr>
          <w:rFonts w:asciiTheme="majorHAnsi" w:hAnsiTheme="majorHAnsi" w:cstheme="majorHAnsi"/>
        </w:rPr>
        <w:t xml:space="preserve">with chronic disease </w:t>
      </w:r>
      <w:r w:rsidR="00476CF8">
        <w:rPr>
          <w:rFonts w:asciiTheme="majorHAnsi" w:hAnsiTheme="majorHAnsi" w:cstheme="majorHAnsi"/>
        </w:rPr>
        <w:t>had improved</w:t>
      </w:r>
      <w:r w:rsidRPr="00E96691">
        <w:rPr>
          <w:rFonts w:asciiTheme="majorHAnsi" w:hAnsiTheme="majorHAnsi" w:cstheme="majorHAnsi"/>
        </w:rPr>
        <w:t xml:space="preserve">.  </w:t>
      </w:r>
      <w:r>
        <w:rPr>
          <w:rFonts w:asciiTheme="majorHAnsi" w:hAnsiTheme="majorHAnsi" w:cstheme="majorHAnsi"/>
        </w:rPr>
        <w:t>Participants</w:t>
      </w:r>
      <w:r w:rsidRPr="00E96691">
        <w:rPr>
          <w:rFonts w:asciiTheme="majorHAnsi" w:hAnsiTheme="majorHAnsi" w:cstheme="majorHAnsi"/>
        </w:rPr>
        <w:t xml:space="preserve"> had significantly improved control of CVD risk factors, </w:t>
      </w:r>
      <w:proofErr w:type="spellStart"/>
      <w:r w:rsidRPr="00E96691">
        <w:rPr>
          <w:rFonts w:asciiTheme="majorHAnsi" w:hAnsiTheme="majorHAnsi" w:cstheme="majorHAnsi"/>
        </w:rPr>
        <w:t>glycaemic</w:t>
      </w:r>
      <w:proofErr w:type="spellEnd"/>
      <w:r w:rsidRPr="00E96691">
        <w:rPr>
          <w:rFonts w:asciiTheme="majorHAnsi" w:hAnsiTheme="majorHAnsi" w:cstheme="majorHAnsi"/>
        </w:rPr>
        <w:t xml:space="preserve"> control in </w:t>
      </w:r>
      <w:r>
        <w:rPr>
          <w:color w:val="000000" w:themeColor="text1"/>
        </w:rPr>
        <w:t>participants</w:t>
      </w:r>
      <w:r w:rsidRPr="00D636F8">
        <w:rPr>
          <w:color w:val="000000" w:themeColor="text1"/>
        </w:rPr>
        <w:t xml:space="preserve"> </w:t>
      </w:r>
      <w:r w:rsidRPr="00E96691">
        <w:rPr>
          <w:rFonts w:asciiTheme="majorHAnsi" w:hAnsiTheme="majorHAnsi" w:cstheme="majorHAnsi"/>
        </w:rPr>
        <w:t>with T2DM, and reduced absolute CVD risk.</w:t>
      </w:r>
      <w:r w:rsidR="007470F9">
        <w:rPr>
          <w:rFonts w:asciiTheme="majorHAnsi" w:hAnsiTheme="majorHAnsi" w:cstheme="majorHAnsi"/>
        </w:rPr>
        <w:t xml:space="preserve">  One patient explained how the integrated pharmacist had helped them</w:t>
      </w:r>
      <w:r w:rsidR="00C40F88">
        <w:rPr>
          <w:rFonts w:asciiTheme="majorHAnsi" w:hAnsiTheme="majorHAnsi" w:cstheme="majorHAnsi"/>
        </w:rPr>
        <w:t xml:space="preserve"> improve their </w:t>
      </w:r>
      <w:proofErr w:type="spellStart"/>
      <w:r w:rsidR="00C40F88">
        <w:rPr>
          <w:rFonts w:asciiTheme="majorHAnsi" w:hAnsiTheme="majorHAnsi" w:cstheme="majorHAnsi"/>
        </w:rPr>
        <w:t>glycaemic</w:t>
      </w:r>
      <w:proofErr w:type="spellEnd"/>
      <w:r w:rsidR="00C40F88">
        <w:rPr>
          <w:rFonts w:asciiTheme="majorHAnsi" w:hAnsiTheme="majorHAnsi" w:cstheme="majorHAnsi"/>
        </w:rPr>
        <w:t xml:space="preserve"> control</w:t>
      </w:r>
      <w:r w:rsidR="007470F9">
        <w:rPr>
          <w:rFonts w:asciiTheme="majorHAnsi" w:hAnsiTheme="majorHAnsi" w:cstheme="majorHAnsi"/>
        </w:rPr>
        <w:t>:</w:t>
      </w:r>
    </w:p>
    <w:p w14:paraId="09A2EAF0" w14:textId="77777777" w:rsidR="007470F9" w:rsidRPr="007470F9" w:rsidRDefault="007470F9" w:rsidP="007470F9">
      <w:pPr>
        <w:pStyle w:val="ListParagraph"/>
        <w:rPr>
          <w:rFonts w:cstheme="minorHAnsi"/>
          <w:i/>
        </w:rPr>
      </w:pPr>
      <w:r w:rsidRPr="007470F9">
        <w:rPr>
          <w:rFonts w:cstheme="minorHAnsi"/>
          <w:i/>
        </w:rPr>
        <w:t xml:space="preserve">“Before I was on different medications that was just not working at all. And then she [IPAC pharmacist] recommended some medications and I've recently just started the insulin and it's already been life changing. I've gone from having continuous hypers to normal sugar levels for once in my life and </w:t>
      </w:r>
      <w:r w:rsidRPr="007470F9">
        <w:rPr>
          <w:rFonts w:cstheme="minorHAnsi"/>
          <w:i/>
        </w:rPr>
        <w:lastRenderedPageBreak/>
        <w:t xml:space="preserve">everything is just starting to go back on track for me since she's been here, so it's been </w:t>
      </w:r>
      <w:proofErr w:type="gramStart"/>
      <w:r w:rsidRPr="007470F9">
        <w:rPr>
          <w:rFonts w:cstheme="minorHAnsi"/>
          <w:i/>
        </w:rPr>
        <w:t>absolutely helpful</w:t>
      </w:r>
      <w:proofErr w:type="gramEnd"/>
      <w:r w:rsidRPr="007470F9">
        <w:rPr>
          <w:rFonts w:cstheme="minorHAnsi"/>
          <w:i/>
        </w:rPr>
        <w:t>.</w:t>
      </w:r>
    </w:p>
    <w:p w14:paraId="216B7690" w14:textId="4187A4A1" w:rsidR="007470F9" w:rsidRPr="007470F9" w:rsidRDefault="007470F9" w:rsidP="007470F9">
      <w:pPr>
        <w:pStyle w:val="ListParagraph"/>
        <w:rPr>
          <w:rFonts w:cstheme="minorHAnsi"/>
          <w:i/>
        </w:rPr>
      </w:pPr>
      <w:r w:rsidRPr="007470F9">
        <w:rPr>
          <w:rFonts w:cstheme="minorHAnsi"/>
          <w:i/>
        </w:rPr>
        <w:t xml:space="preserve">“She's basically explained everything to me. She will even show me diagrams and she will print out the information and highlight everything, circle what I need to know and any questions that I have she'll answer them spot on, and she explains it so </w:t>
      </w:r>
      <w:proofErr w:type="gramStart"/>
      <w:r w:rsidRPr="007470F9">
        <w:rPr>
          <w:rFonts w:cstheme="minorHAnsi"/>
          <w:i/>
        </w:rPr>
        <w:t>damn</w:t>
      </w:r>
      <w:proofErr w:type="gramEnd"/>
      <w:r w:rsidRPr="007470F9">
        <w:rPr>
          <w:rFonts w:cstheme="minorHAnsi"/>
          <w:i/>
        </w:rPr>
        <w:t xml:space="preserve"> well, that I am just like ‘Oh wow</w:t>
      </w:r>
      <w:r>
        <w:rPr>
          <w:rFonts w:cstheme="minorHAnsi"/>
          <w:i/>
        </w:rPr>
        <w:t>,</w:t>
      </w:r>
      <w:r w:rsidRPr="007470F9">
        <w:rPr>
          <w:rFonts w:cstheme="minorHAnsi"/>
          <w:i/>
        </w:rPr>
        <w:t xml:space="preserve"> I did not know this before’. And the insulin that I was first put on I was actually allergic </w:t>
      </w:r>
      <w:proofErr w:type="gramStart"/>
      <w:r w:rsidRPr="007470F9">
        <w:rPr>
          <w:rFonts w:cstheme="minorHAnsi"/>
          <w:i/>
        </w:rPr>
        <w:t>to</w:t>
      </w:r>
      <w:proofErr w:type="gramEnd"/>
      <w:r w:rsidRPr="007470F9">
        <w:rPr>
          <w:rFonts w:cstheme="minorHAnsi"/>
          <w:i/>
        </w:rPr>
        <w:t xml:space="preserve"> and I did not know that because I was injecting myself and I would get, it was burning sensations, severe bruising and like my stomach would go purple and whatnot and she's like ‘you're allergic to it’. I'm like ‘</w:t>
      </w:r>
      <w:proofErr w:type="gramStart"/>
      <w:r w:rsidRPr="007470F9">
        <w:rPr>
          <w:rFonts w:cstheme="minorHAnsi"/>
          <w:i/>
        </w:rPr>
        <w:t>oh</w:t>
      </w:r>
      <w:proofErr w:type="gramEnd"/>
      <w:r w:rsidRPr="007470F9">
        <w:rPr>
          <w:rFonts w:cstheme="minorHAnsi"/>
          <w:i/>
        </w:rPr>
        <w:t xml:space="preserve"> am I?’. She's like ’yes, we need to start you on something else.’ </w:t>
      </w:r>
      <w:proofErr w:type="gramStart"/>
      <w:r w:rsidRPr="007470F9">
        <w:rPr>
          <w:rFonts w:cstheme="minorHAnsi"/>
          <w:i/>
        </w:rPr>
        <w:t>So</w:t>
      </w:r>
      <w:proofErr w:type="gramEnd"/>
      <w:r w:rsidRPr="007470F9">
        <w:rPr>
          <w:rFonts w:cstheme="minorHAnsi"/>
          <w:i/>
        </w:rPr>
        <w:t xml:space="preserve"> she's helped me so much with changing the medications and adjusting their units to what it needs to be. And I've gone from having high sugar levels from like 30 to 29 every single day, down to ten to eight … It's brilliant.” </w:t>
      </w:r>
      <w:r w:rsidRPr="007470F9">
        <w:rPr>
          <w:rFonts w:cstheme="minorHAnsi"/>
        </w:rPr>
        <w:t>(</w:t>
      </w:r>
      <w:proofErr w:type="gramStart"/>
      <w:r w:rsidRPr="007470F9">
        <w:rPr>
          <w:rFonts w:cstheme="minorHAnsi"/>
        </w:rPr>
        <w:t>patient</w:t>
      </w:r>
      <w:proofErr w:type="gramEnd"/>
      <w:r w:rsidRPr="007470F9">
        <w:rPr>
          <w:rFonts w:cstheme="minorHAnsi"/>
        </w:rPr>
        <w:t xml:space="preserve">, focus group, case study 3, </w:t>
      </w:r>
      <w:r w:rsidR="00392D76" w:rsidRPr="00392D76">
        <w:t>Appendix 1</w:t>
      </w:r>
      <w:r w:rsidR="00392D76">
        <w:t>4</w:t>
      </w:r>
      <w:r w:rsidRPr="007470F9">
        <w:rPr>
          <w:rFonts w:cstheme="minorHAnsi"/>
        </w:rPr>
        <w:t>)</w:t>
      </w:r>
    </w:p>
    <w:p w14:paraId="25EA6DFF" w14:textId="4F87A1F9" w:rsidR="005334DB" w:rsidRDefault="00186ED3" w:rsidP="00D703AF">
      <w:r>
        <w:t xml:space="preserve">Health services staff benefited from having access to an </w:t>
      </w:r>
      <w:r w:rsidRPr="00582A57">
        <w:rPr>
          <w:i/>
        </w:rPr>
        <w:t>‘in-house medicines expert’</w:t>
      </w:r>
      <w:r>
        <w:t xml:space="preserve">.  </w:t>
      </w:r>
      <w:r w:rsidR="00C739F4">
        <w:t xml:space="preserve">Integrated </w:t>
      </w:r>
      <w:r>
        <w:t xml:space="preserve">pharmacists provided support and advice to health services staff informally such as through </w:t>
      </w:r>
      <w:r w:rsidRPr="00A4409D">
        <w:rPr>
          <w:i/>
        </w:rPr>
        <w:t>‘corridor conversations’</w:t>
      </w:r>
      <w:r>
        <w:t xml:space="preserve"> as well as formally through </w:t>
      </w:r>
      <w:proofErr w:type="gramStart"/>
      <w:r w:rsidR="00F13D8A" w:rsidRPr="00B5671B">
        <w:t>team based</w:t>
      </w:r>
      <w:proofErr w:type="gramEnd"/>
      <w:r w:rsidR="00F13D8A" w:rsidRPr="00B5671B">
        <w:t xml:space="preserve"> collaboration</w:t>
      </w:r>
      <w:r w:rsidR="00B5671B">
        <w:t>s and</w:t>
      </w:r>
      <w:r w:rsidR="00F13D8A" w:rsidRPr="00B5671B">
        <w:t xml:space="preserve"> </w:t>
      </w:r>
      <w:r>
        <w:t xml:space="preserve">medication management reviews.  </w:t>
      </w:r>
      <w:r w:rsidRPr="00BB4F91">
        <w:t xml:space="preserve">Both </w:t>
      </w:r>
      <w:r>
        <w:t xml:space="preserve">the </w:t>
      </w:r>
      <w:r w:rsidR="00C739F4">
        <w:t xml:space="preserve">integrated </w:t>
      </w:r>
      <w:r w:rsidRPr="00BB4F91">
        <w:t xml:space="preserve">pharmacists and GPs reported that recommendations were commonly made by the </w:t>
      </w:r>
      <w:r w:rsidR="00C739F4">
        <w:t xml:space="preserve">integrated </w:t>
      </w:r>
      <w:r w:rsidRPr="00BB4F91">
        <w:t xml:space="preserve">pharmacists </w:t>
      </w:r>
      <w:r>
        <w:t xml:space="preserve">following medication </w:t>
      </w:r>
      <w:r w:rsidRPr="00BB4F91">
        <w:t>reviews</w:t>
      </w:r>
      <w:r w:rsidR="005334DB">
        <w:t xml:space="preserve"> that </w:t>
      </w:r>
      <w:r>
        <w:t>were</w:t>
      </w:r>
      <w:r w:rsidRPr="00BB4F91">
        <w:t xml:space="preserve"> perceived to be </w:t>
      </w:r>
      <w:r>
        <w:t xml:space="preserve">of </w:t>
      </w:r>
      <w:r w:rsidRPr="00BB4F91">
        <w:t xml:space="preserve">high </w:t>
      </w:r>
      <w:r>
        <w:t xml:space="preserve">quality </w:t>
      </w:r>
      <w:r w:rsidR="005334DB">
        <w:t xml:space="preserve">with reportedly high </w:t>
      </w:r>
      <w:r>
        <w:t>prescriber up-take of the recommendations.  Provision of education sessions for health services staff, including GPs, nurses and Aboriginal He</w:t>
      </w:r>
      <w:r w:rsidR="001B25B6">
        <w:t>alth Workers and Practitioners</w:t>
      </w:r>
      <w:r>
        <w:t xml:space="preserve"> were perceived as valuable</w:t>
      </w:r>
      <w:r w:rsidR="005334DB">
        <w:t xml:space="preserve">, as was </w:t>
      </w:r>
      <w:proofErr w:type="gramStart"/>
      <w:r w:rsidRPr="00BB4F91">
        <w:t>pharmacists</w:t>
      </w:r>
      <w:proofErr w:type="gramEnd"/>
      <w:r w:rsidRPr="00BB4F91">
        <w:t xml:space="preserve"> input into their clinical team meetings</w:t>
      </w:r>
      <w:r>
        <w:t xml:space="preserve"> and case conferences</w:t>
      </w:r>
      <w:r w:rsidRPr="00BB4F91">
        <w:t xml:space="preserve">.  </w:t>
      </w:r>
      <w:r>
        <w:t xml:space="preserve">GPs reported having the </w:t>
      </w:r>
      <w:r w:rsidR="00C739F4">
        <w:t xml:space="preserve">integrated </w:t>
      </w:r>
      <w:r w:rsidRPr="00BB4F91">
        <w:t xml:space="preserve">pharmacist as part of the </w:t>
      </w:r>
      <w:r>
        <w:t>PHC</w:t>
      </w:r>
      <w:r w:rsidRPr="00BB4F91">
        <w:t xml:space="preserve"> team saved </w:t>
      </w:r>
      <w:r>
        <w:t xml:space="preserve">them </w:t>
      </w:r>
      <w:r w:rsidRPr="00BB4F91">
        <w:t>time</w:t>
      </w:r>
      <w:r>
        <w:t xml:space="preserve"> as medication queries were answered quickly, and they could refer patients to the pharmacist for</w:t>
      </w:r>
      <w:r w:rsidRPr="00BB4F91">
        <w:t xml:space="preserve"> education </w:t>
      </w:r>
      <w:r>
        <w:t xml:space="preserve">about </w:t>
      </w:r>
      <w:r w:rsidRPr="00BB4F91">
        <w:t xml:space="preserve">their </w:t>
      </w:r>
      <w:r>
        <w:t xml:space="preserve">clinical </w:t>
      </w:r>
      <w:r w:rsidRPr="00BB4F91">
        <w:t>conditions</w:t>
      </w:r>
      <w:r w:rsidR="00B74A85">
        <w:t xml:space="preserve"> where it was thought t</w:t>
      </w:r>
      <w:r>
        <w:t>he pharmacists could</w:t>
      </w:r>
      <w:r w:rsidRPr="00BB4F91">
        <w:t xml:space="preserve"> </w:t>
      </w:r>
      <w:r>
        <w:t>better</w:t>
      </w:r>
      <w:r w:rsidRPr="00BB4F91">
        <w:t xml:space="preserve"> </w:t>
      </w:r>
      <w:r>
        <w:t xml:space="preserve">explain to the patient </w:t>
      </w:r>
      <w:r w:rsidRPr="00BB4F91">
        <w:t>how their medications worked.</w:t>
      </w:r>
      <w:r w:rsidRPr="00E053B9">
        <w:t xml:space="preserve"> </w:t>
      </w:r>
      <w:r>
        <w:t xml:space="preserve">Time was also saved for some GPs as they could make referrals for medication reviews to the </w:t>
      </w:r>
      <w:r w:rsidR="00C739F4">
        <w:t xml:space="preserve">integrated </w:t>
      </w:r>
      <w:r>
        <w:t xml:space="preserve">pharmacist.  </w:t>
      </w:r>
    </w:p>
    <w:p w14:paraId="79C1FECA" w14:textId="5CE82859" w:rsidR="003D7634" w:rsidRDefault="00186ED3" w:rsidP="00D703AF">
      <w:r>
        <w:t>One general practitioner commented:</w:t>
      </w:r>
    </w:p>
    <w:p w14:paraId="702066D0" w14:textId="2EAE9F86" w:rsidR="003D7634" w:rsidRPr="003D7634" w:rsidRDefault="003D7634" w:rsidP="003D7634">
      <w:pPr>
        <w:ind w:left="567"/>
      </w:pPr>
      <w:r>
        <w:rPr>
          <w:i/>
        </w:rPr>
        <w:t>“</w:t>
      </w:r>
      <w:r w:rsidRPr="003D7634">
        <w:rPr>
          <w:i/>
        </w:rPr>
        <w:t>As a locum, I feel this service has improved safety for patients around medication management, compliance, and avoidance of medication errors. I feel quite supported in my clinical work</w:t>
      </w:r>
      <w:r>
        <w:rPr>
          <w:i/>
        </w:rPr>
        <w:t xml:space="preserve"> </w:t>
      </w:r>
      <w:r w:rsidRPr="003D7634">
        <w:rPr>
          <w:i/>
        </w:rPr>
        <w:t>wi</w:t>
      </w:r>
      <w:r>
        <w:rPr>
          <w:i/>
        </w:rPr>
        <w:t xml:space="preserve">th this team holistic approach.  </w:t>
      </w:r>
      <w:r w:rsidRPr="00AC7F14">
        <w:rPr>
          <w:i/>
        </w:rPr>
        <w:t>[</w:t>
      </w:r>
      <w:r w:rsidR="007257AC" w:rsidRPr="00AC7F14">
        <w:rPr>
          <w:i/>
        </w:rPr>
        <w:t>integrated</w:t>
      </w:r>
      <w:r w:rsidR="007257AC">
        <w:t xml:space="preserve"> </w:t>
      </w:r>
      <w:r w:rsidRPr="003D7634">
        <w:rPr>
          <w:i/>
        </w:rPr>
        <w:t>pharmacist] is an awesome resource with tricky pharmacological queries and medication interaction</w:t>
      </w:r>
      <w:r w:rsidR="00B74A85">
        <w:rPr>
          <w:i/>
        </w:rPr>
        <w:t>[s]</w:t>
      </w:r>
      <w:r w:rsidRPr="003D7634">
        <w:rPr>
          <w:i/>
        </w:rPr>
        <w:t xml:space="preserve"> particularly in an AMS service with so much chronic disease, where patients are on multiple medications, with m</w:t>
      </w:r>
      <w:r>
        <w:rPr>
          <w:i/>
        </w:rPr>
        <w:t xml:space="preserve">uch potential for interactions.  </w:t>
      </w:r>
      <w:r w:rsidRPr="003D7634">
        <w:rPr>
          <w:i/>
        </w:rPr>
        <w:t xml:space="preserve">In addition, </w:t>
      </w:r>
      <w:r w:rsidRPr="00AC7F14">
        <w:rPr>
          <w:i/>
        </w:rPr>
        <w:t>[</w:t>
      </w:r>
      <w:r w:rsidR="007257AC" w:rsidRPr="00AC7F14">
        <w:rPr>
          <w:i/>
        </w:rPr>
        <w:t>integrated</w:t>
      </w:r>
      <w:r w:rsidR="007257AC">
        <w:t xml:space="preserve"> </w:t>
      </w:r>
      <w:r w:rsidRPr="003D7634">
        <w:rPr>
          <w:i/>
        </w:rPr>
        <w:t>pharmacist] has been able to spend time with the patients fully explaining their medication, and reasons for this, this improves compliance, and clients do seem more interested in the reasons they are taking medications. It sav</w:t>
      </w:r>
      <w:r>
        <w:rPr>
          <w:i/>
        </w:rPr>
        <w:t xml:space="preserve">es the doctor so much time too.  </w:t>
      </w:r>
      <w:r w:rsidRPr="003D7634">
        <w:rPr>
          <w:i/>
        </w:rPr>
        <w:t xml:space="preserve">I really hope this service will continue in the future.” </w:t>
      </w:r>
      <w:r w:rsidRPr="003D7634">
        <w:t>(</w:t>
      </w:r>
      <w:proofErr w:type="gramStart"/>
      <w:r w:rsidRPr="003D7634">
        <w:t>general</w:t>
      </w:r>
      <w:proofErr w:type="gramEnd"/>
      <w:r w:rsidRPr="003D7634">
        <w:t xml:space="preserve"> practitioner</w:t>
      </w:r>
      <w:r w:rsidR="00186ED3" w:rsidRPr="00392D76">
        <w:t xml:space="preserve">, testimonial 10, Appendix </w:t>
      </w:r>
      <w:r w:rsidR="00B5671B" w:rsidRPr="00392D76">
        <w:t>18</w:t>
      </w:r>
      <w:r w:rsidRPr="003D7634">
        <w:t>)</w:t>
      </w:r>
    </w:p>
    <w:p w14:paraId="7D8886DC" w14:textId="5F68B371" w:rsidR="00B74A85" w:rsidRDefault="00B74A85" w:rsidP="00DA22EF">
      <w:r w:rsidRPr="00BB4F91">
        <w:t xml:space="preserve">The pharmacists </w:t>
      </w:r>
      <w:r w:rsidR="0080784D">
        <w:t xml:space="preserve">also </w:t>
      </w:r>
      <w:r w:rsidRPr="00BB4F91">
        <w:t xml:space="preserve">contributed to medicines safety and quality assurance activities by conducting drug </w:t>
      </w:r>
      <w:proofErr w:type="spellStart"/>
      <w:r>
        <w:t>utilisation</w:t>
      </w:r>
      <w:proofErr w:type="spellEnd"/>
      <w:r>
        <w:t xml:space="preserve"> </w:t>
      </w:r>
      <w:r w:rsidRPr="00BB4F91">
        <w:t xml:space="preserve">reviews and assisting in reviewing </w:t>
      </w:r>
      <w:r>
        <w:t xml:space="preserve">ACCHS medication-related </w:t>
      </w:r>
      <w:r w:rsidRPr="00BB4F91">
        <w:t>policies</w:t>
      </w:r>
      <w:r>
        <w:t>.</w:t>
      </w:r>
    </w:p>
    <w:p w14:paraId="5DCB0548" w14:textId="2C223274" w:rsidR="00B74A85" w:rsidRDefault="00EE2981" w:rsidP="00DA22EF">
      <w:pPr>
        <w:rPr>
          <w:rFonts w:cstheme="minorHAnsi"/>
        </w:rPr>
      </w:pPr>
      <w:r>
        <w:rPr>
          <w:rFonts w:cstheme="minorHAnsi"/>
        </w:rPr>
        <w:t xml:space="preserve">Community pharmacists reported the </w:t>
      </w:r>
      <w:r>
        <w:t xml:space="preserve">integrated </w:t>
      </w:r>
      <w:r>
        <w:rPr>
          <w:rFonts w:cstheme="minorHAnsi"/>
        </w:rPr>
        <w:t xml:space="preserve">IPAC pharmacist role was </w:t>
      </w:r>
      <w:r w:rsidRPr="00BB4F91">
        <w:rPr>
          <w:rFonts w:cstheme="minorHAnsi"/>
        </w:rPr>
        <w:t>very helpful</w:t>
      </w:r>
      <w:r>
        <w:rPr>
          <w:rFonts w:cstheme="minorHAnsi"/>
        </w:rPr>
        <w:t xml:space="preserve"> and</w:t>
      </w:r>
      <w:r w:rsidRPr="00BB4F91">
        <w:rPr>
          <w:rFonts w:cstheme="minorHAnsi"/>
        </w:rPr>
        <w:t xml:space="preserve"> useful</w:t>
      </w:r>
      <w:r>
        <w:rPr>
          <w:rFonts w:cstheme="minorHAnsi"/>
        </w:rPr>
        <w:t xml:space="preserve"> to them and it facilitated</w:t>
      </w:r>
      <w:r w:rsidRPr="00BB4F91">
        <w:rPr>
          <w:rFonts w:cstheme="minorHAnsi"/>
        </w:rPr>
        <w:t xml:space="preserve"> </w:t>
      </w:r>
      <w:r>
        <w:rPr>
          <w:rFonts w:cstheme="minorHAnsi"/>
        </w:rPr>
        <w:t xml:space="preserve">communication between the community pharmacy and GPs.  Participating </w:t>
      </w:r>
      <w:r w:rsidRPr="00BB4F91">
        <w:rPr>
          <w:rFonts w:cstheme="minorHAnsi"/>
        </w:rPr>
        <w:t>community pharmacist</w:t>
      </w:r>
      <w:r>
        <w:rPr>
          <w:rFonts w:cstheme="minorHAnsi"/>
        </w:rPr>
        <w:t>s believed that there wa</w:t>
      </w:r>
      <w:r w:rsidRPr="00BB4F91">
        <w:rPr>
          <w:rFonts w:cstheme="minorHAnsi"/>
        </w:rPr>
        <w:t xml:space="preserve">s a role for </w:t>
      </w:r>
      <w:r>
        <w:rPr>
          <w:rFonts w:cstheme="minorHAnsi"/>
        </w:rPr>
        <w:t xml:space="preserve">an </w:t>
      </w:r>
      <w:r w:rsidRPr="00BB4F91">
        <w:rPr>
          <w:rFonts w:cstheme="minorHAnsi"/>
        </w:rPr>
        <w:t>IPAC-type (non-dispensing) pharmacist</w:t>
      </w:r>
      <w:r>
        <w:rPr>
          <w:rFonts w:cstheme="minorHAnsi"/>
        </w:rPr>
        <w:t>s</w:t>
      </w:r>
      <w:r w:rsidRPr="00BB4F91">
        <w:rPr>
          <w:rFonts w:cstheme="minorHAnsi"/>
        </w:rPr>
        <w:t xml:space="preserve"> within ACCHSs. </w:t>
      </w:r>
    </w:p>
    <w:p w14:paraId="2D371411" w14:textId="599351D4" w:rsidR="00AC1381" w:rsidRDefault="00AC1381" w:rsidP="0048683E">
      <w:pPr>
        <w:pStyle w:val="Heading3"/>
      </w:pPr>
      <w:bookmarkStart w:id="237" w:name="_Toc41315646"/>
      <w:bookmarkStart w:id="238" w:name="_Toc138846292"/>
      <w:r>
        <w:t>Support from ACCHSs</w:t>
      </w:r>
      <w:bookmarkEnd w:id="237"/>
      <w:bookmarkEnd w:id="238"/>
    </w:p>
    <w:p w14:paraId="0ED4FC64" w14:textId="00BB1EB3" w:rsidR="00D00FD9" w:rsidRDefault="008F071C" w:rsidP="00DA22EF">
      <w:pPr>
        <w:rPr>
          <w:rFonts w:cstheme="minorHAnsi"/>
        </w:rPr>
      </w:pPr>
      <w:r>
        <w:rPr>
          <w:rFonts w:cstheme="minorHAnsi"/>
        </w:rPr>
        <w:t>ACCHSs supported the integrated pharmacists by allowing them to access their clinical information system</w:t>
      </w:r>
      <w:r w:rsidR="00D00FD9">
        <w:rPr>
          <w:rFonts w:cstheme="minorHAnsi"/>
        </w:rPr>
        <w:t xml:space="preserve">s, </w:t>
      </w:r>
      <w:r>
        <w:rPr>
          <w:rFonts w:cstheme="minorHAnsi"/>
        </w:rPr>
        <w:t xml:space="preserve">which enabled </w:t>
      </w:r>
      <w:r w:rsidR="00D00FD9">
        <w:rPr>
          <w:rFonts w:cstheme="minorHAnsi"/>
        </w:rPr>
        <w:t xml:space="preserve">the pharmacist to conduct </w:t>
      </w:r>
      <w:r>
        <w:rPr>
          <w:rFonts w:cstheme="minorHAnsi"/>
        </w:rPr>
        <w:t xml:space="preserve">clinical assessments </w:t>
      </w:r>
      <w:r w:rsidR="0080784D">
        <w:rPr>
          <w:rFonts w:cstheme="minorHAnsi"/>
        </w:rPr>
        <w:t xml:space="preserve">of </w:t>
      </w:r>
      <w:r w:rsidR="00D00FD9">
        <w:rPr>
          <w:rFonts w:cstheme="minorHAnsi"/>
        </w:rPr>
        <w:t xml:space="preserve">patients and medication reviews </w:t>
      </w:r>
      <w:r w:rsidR="0080784D">
        <w:rPr>
          <w:rFonts w:cstheme="minorHAnsi"/>
        </w:rPr>
        <w:t xml:space="preserve">using </w:t>
      </w:r>
      <w:r>
        <w:rPr>
          <w:rFonts w:cstheme="minorHAnsi"/>
        </w:rPr>
        <w:t xml:space="preserve">comprehensive patient information </w:t>
      </w:r>
      <w:r w:rsidR="0080784D">
        <w:rPr>
          <w:rFonts w:cstheme="minorHAnsi"/>
        </w:rPr>
        <w:t xml:space="preserve">about </w:t>
      </w:r>
      <w:r>
        <w:rPr>
          <w:rFonts w:cstheme="minorHAnsi"/>
        </w:rPr>
        <w:t xml:space="preserve">medications history, </w:t>
      </w:r>
      <w:r w:rsidR="0080784D">
        <w:rPr>
          <w:rFonts w:cstheme="minorHAnsi"/>
        </w:rPr>
        <w:t xml:space="preserve">disease </w:t>
      </w:r>
      <w:r>
        <w:rPr>
          <w:rFonts w:cstheme="minorHAnsi"/>
        </w:rPr>
        <w:t>conditions</w:t>
      </w:r>
      <w:r w:rsidR="002F3834">
        <w:rPr>
          <w:rFonts w:cstheme="minorHAnsi"/>
        </w:rPr>
        <w:t>, pathology results</w:t>
      </w:r>
      <w:r>
        <w:rPr>
          <w:rFonts w:cstheme="minorHAnsi"/>
        </w:rPr>
        <w:t xml:space="preserve"> and </w:t>
      </w:r>
      <w:r>
        <w:rPr>
          <w:rFonts w:cstheme="minorHAnsi"/>
        </w:rPr>
        <w:lastRenderedPageBreak/>
        <w:t xml:space="preserve">other information regarding </w:t>
      </w:r>
      <w:r w:rsidR="0080784D">
        <w:rPr>
          <w:rFonts w:cstheme="minorHAnsi"/>
        </w:rPr>
        <w:t xml:space="preserve">the patient’s </w:t>
      </w:r>
      <w:r>
        <w:rPr>
          <w:rFonts w:cstheme="minorHAnsi"/>
        </w:rPr>
        <w:t xml:space="preserve">social </w:t>
      </w:r>
      <w:r w:rsidR="0080784D">
        <w:rPr>
          <w:rFonts w:cstheme="minorHAnsi"/>
        </w:rPr>
        <w:t>history.</w:t>
      </w:r>
      <w:r>
        <w:rPr>
          <w:rFonts w:cstheme="minorHAnsi"/>
        </w:rPr>
        <w:t xml:space="preserve">  </w:t>
      </w:r>
      <w:r w:rsidR="007257AC">
        <w:rPr>
          <w:rFonts w:cstheme="minorHAnsi"/>
        </w:rPr>
        <w:t>I</w:t>
      </w:r>
      <w:r w:rsidR="007257AC">
        <w:t xml:space="preserve">ntegrated </w:t>
      </w:r>
      <w:r>
        <w:rPr>
          <w:rFonts w:cstheme="minorHAnsi"/>
        </w:rPr>
        <w:t xml:space="preserve">pharmacists </w:t>
      </w:r>
      <w:r w:rsidR="002F3834">
        <w:rPr>
          <w:rFonts w:cstheme="minorHAnsi"/>
        </w:rPr>
        <w:t>documented</w:t>
      </w:r>
      <w:r>
        <w:rPr>
          <w:rFonts w:cstheme="minorHAnsi"/>
        </w:rPr>
        <w:t xml:space="preserve"> their recommendations and interactions with the patient into the CIS</w:t>
      </w:r>
      <w:r w:rsidR="00D00FD9">
        <w:rPr>
          <w:rFonts w:cstheme="minorHAnsi"/>
        </w:rPr>
        <w:t xml:space="preserve"> which enabled their integration into the primary health care team</w:t>
      </w:r>
      <w:r>
        <w:rPr>
          <w:rFonts w:cstheme="minorHAnsi"/>
        </w:rPr>
        <w:t xml:space="preserve">. </w:t>
      </w:r>
    </w:p>
    <w:p w14:paraId="4CD2617D" w14:textId="77E2314D" w:rsidR="00AC1381" w:rsidRDefault="00AC1381" w:rsidP="00DA22EF">
      <w:pPr>
        <w:rPr>
          <w:rFonts w:cstheme="minorHAnsi"/>
        </w:rPr>
      </w:pPr>
      <w:r>
        <w:rPr>
          <w:rFonts w:cstheme="minorHAnsi"/>
        </w:rPr>
        <w:t xml:space="preserve">Most </w:t>
      </w:r>
      <w:r w:rsidR="00BA7D0C">
        <w:rPr>
          <w:rFonts w:cstheme="minorHAnsi"/>
        </w:rPr>
        <w:t xml:space="preserve">integrated </w:t>
      </w:r>
      <w:r>
        <w:rPr>
          <w:rFonts w:cstheme="minorHAnsi"/>
        </w:rPr>
        <w:t xml:space="preserve">pharmacists had a </w:t>
      </w:r>
      <w:r w:rsidR="00B5671B">
        <w:rPr>
          <w:rFonts w:cstheme="minorHAnsi"/>
        </w:rPr>
        <w:t xml:space="preserve">‘go-to person’ or </w:t>
      </w:r>
      <w:r>
        <w:rPr>
          <w:rFonts w:cstheme="minorHAnsi"/>
        </w:rPr>
        <w:t xml:space="preserve">project champion </w:t>
      </w:r>
      <w:r w:rsidR="00FE73BD">
        <w:rPr>
          <w:rFonts w:cstheme="minorHAnsi"/>
        </w:rPr>
        <w:t xml:space="preserve">within their ACCHS </w:t>
      </w:r>
      <w:r>
        <w:rPr>
          <w:rFonts w:cstheme="minorHAnsi"/>
        </w:rPr>
        <w:t xml:space="preserve">who assisted with their integration.  Support from GPs and Aboriginal Health Workers were enablers to the integration of the IPAC pharmacist and </w:t>
      </w:r>
      <w:r w:rsidR="00FE73BD">
        <w:rPr>
          <w:rFonts w:cstheme="minorHAnsi"/>
        </w:rPr>
        <w:t xml:space="preserve">the </w:t>
      </w:r>
      <w:r>
        <w:rPr>
          <w:rFonts w:cstheme="minorHAnsi"/>
        </w:rPr>
        <w:t xml:space="preserve">referral </w:t>
      </w:r>
      <w:r w:rsidR="00FE73BD">
        <w:rPr>
          <w:rFonts w:cstheme="minorHAnsi"/>
        </w:rPr>
        <w:t>of patients</w:t>
      </w:r>
      <w:r>
        <w:rPr>
          <w:rFonts w:cstheme="minorHAnsi"/>
        </w:rPr>
        <w:t xml:space="preserve">.  ACCHSs </w:t>
      </w:r>
      <w:r w:rsidR="0007334C">
        <w:rPr>
          <w:rFonts w:cstheme="minorHAnsi"/>
        </w:rPr>
        <w:t>also supported the integrated pharmacists through</w:t>
      </w:r>
      <w:r>
        <w:rPr>
          <w:rFonts w:cstheme="minorHAnsi"/>
        </w:rPr>
        <w:t xml:space="preserve"> provision of a uniform </w:t>
      </w:r>
      <w:r w:rsidR="00DD0371">
        <w:rPr>
          <w:rFonts w:cstheme="minorHAnsi"/>
        </w:rPr>
        <w:t xml:space="preserve">if available </w:t>
      </w:r>
      <w:r>
        <w:rPr>
          <w:rFonts w:cstheme="minorHAnsi"/>
        </w:rPr>
        <w:t xml:space="preserve">and </w:t>
      </w:r>
      <w:r w:rsidR="0080784D">
        <w:rPr>
          <w:rFonts w:cstheme="minorHAnsi"/>
        </w:rPr>
        <w:t xml:space="preserve">space with a </w:t>
      </w:r>
      <w:r>
        <w:rPr>
          <w:rFonts w:cstheme="minorHAnsi"/>
        </w:rPr>
        <w:t>consulting room, as well as assist</w:t>
      </w:r>
      <w:r w:rsidR="0080784D">
        <w:rPr>
          <w:rFonts w:cstheme="minorHAnsi"/>
        </w:rPr>
        <w:t xml:space="preserve">ing the </w:t>
      </w:r>
      <w:r>
        <w:rPr>
          <w:rFonts w:cstheme="minorHAnsi"/>
        </w:rPr>
        <w:t xml:space="preserve">pharmacist </w:t>
      </w:r>
      <w:r w:rsidR="0080784D">
        <w:rPr>
          <w:rFonts w:cstheme="minorHAnsi"/>
        </w:rPr>
        <w:t xml:space="preserve">to promote their </w:t>
      </w:r>
      <w:r>
        <w:rPr>
          <w:rFonts w:cstheme="minorHAnsi"/>
        </w:rPr>
        <w:t>services.</w:t>
      </w:r>
    </w:p>
    <w:p w14:paraId="36C44577" w14:textId="2DC63C63" w:rsidR="00AC1381" w:rsidRDefault="00AC1381" w:rsidP="0048683E">
      <w:pPr>
        <w:pStyle w:val="Heading3"/>
      </w:pPr>
      <w:bookmarkStart w:id="239" w:name="_Toc41315647"/>
      <w:bookmarkStart w:id="240" w:name="_Toc138846293"/>
      <w:r>
        <w:t>Financial in-kind contributions</w:t>
      </w:r>
      <w:bookmarkEnd w:id="239"/>
      <w:bookmarkEnd w:id="240"/>
    </w:p>
    <w:p w14:paraId="51566DEE" w14:textId="202203D9" w:rsidR="00AC1381" w:rsidRPr="008308AA" w:rsidRDefault="00AC1381" w:rsidP="00145EA7">
      <w:pPr>
        <w:rPr>
          <w:rFonts w:cs="Calibri"/>
        </w:rPr>
      </w:pPr>
      <w:r w:rsidRPr="008308AA">
        <w:rPr>
          <w:rFonts w:cs="Calibri"/>
        </w:rPr>
        <w:t xml:space="preserve">ACCHSs </w:t>
      </w:r>
      <w:r>
        <w:rPr>
          <w:rFonts w:cs="Calibri"/>
        </w:rPr>
        <w:t xml:space="preserve">and </w:t>
      </w:r>
      <w:r w:rsidR="00DD0371">
        <w:rPr>
          <w:rFonts w:cs="Calibri"/>
        </w:rPr>
        <w:t>sub-contracted</w:t>
      </w:r>
      <w:r>
        <w:rPr>
          <w:rFonts w:cs="Calibri"/>
        </w:rPr>
        <w:t xml:space="preserve"> community pharmacies strongly supported the </w:t>
      </w:r>
      <w:proofErr w:type="gramStart"/>
      <w:r>
        <w:rPr>
          <w:rFonts w:cs="Calibri"/>
        </w:rPr>
        <w:t>trial</w:t>
      </w:r>
      <w:proofErr w:type="gramEnd"/>
      <w:r>
        <w:rPr>
          <w:rFonts w:cs="Calibri"/>
        </w:rPr>
        <w:t xml:space="preserve"> and </w:t>
      </w:r>
      <w:r w:rsidR="002721D2">
        <w:rPr>
          <w:rFonts w:cs="Calibri"/>
        </w:rPr>
        <w:t xml:space="preserve">some </w:t>
      </w:r>
      <w:r>
        <w:rPr>
          <w:rFonts w:cs="Calibri"/>
        </w:rPr>
        <w:t>were prepared</w:t>
      </w:r>
      <w:r w:rsidR="002721D2">
        <w:rPr>
          <w:rFonts w:cs="Calibri"/>
        </w:rPr>
        <w:t>, where required,</w:t>
      </w:r>
      <w:r>
        <w:rPr>
          <w:rFonts w:cs="Calibri"/>
        </w:rPr>
        <w:t xml:space="preserve"> to contribute their own</w:t>
      </w:r>
      <w:r w:rsidRPr="008308AA">
        <w:rPr>
          <w:rFonts w:cs="Calibri"/>
        </w:rPr>
        <w:t xml:space="preserve"> funds to support the work of the </w:t>
      </w:r>
      <w:r w:rsidR="002721D2">
        <w:rPr>
          <w:rFonts w:cs="Calibri"/>
        </w:rPr>
        <w:t>integrated</w:t>
      </w:r>
      <w:r w:rsidRPr="008308AA">
        <w:rPr>
          <w:rFonts w:cs="Calibri"/>
        </w:rPr>
        <w:t xml:space="preserve"> pharmacist.  </w:t>
      </w:r>
      <w:r w:rsidR="002721D2">
        <w:rPr>
          <w:rFonts w:cs="Calibri"/>
        </w:rPr>
        <w:t>Costs covered included</w:t>
      </w:r>
      <w:r w:rsidR="00145EA7">
        <w:rPr>
          <w:rFonts w:cs="Calibri"/>
        </w:rPr>
        <w:t xml:space="preserve"> t</w:t>
      </w:r>
      <w:r w:rsidRPr="008308AA">
        <w:rPr>
          <w:rFonts w:cs="Calibri"/>
        </w:rPr>
        <w:t>ravel to and from the IPAC site</w:t>
      </w:r>
      <w:r w:rsidR="00145EA7">
        <w:rPr>
          <w:rFonts w:cs="Calibri"/>
        </w:rPr>
        <w:t>; l</w:t>
      </w:r>
      <w:r w:rsidRPr="008308AA">
        <w:rPr>
          <w:rFonts w:cs="Calibri"/>
        </w:rPr>
        <w:t>ocal travel (air and land) within the IPAC site service area</w:t>
      </w:r>
      <w:r w:rsidR="00145EA7">
        <w:rPr>
          <w:rFonts w:cs="Calibri"/>
        </w:rPr>
        <w:t>; accommodation; r</w:t>
      </w:r>
      <w:r w:rsidRPr="008308AA">
        <w:rPr>
          <w:rFonts w:cs="Calibri"/>
        </w:rPr>
        <w:t xml:space="preserve">esources and equipment </w:t>
      </w:r>
      <w:r w:rsidR="003827F4">
        <w:rPr>
          <w:rFonts w:cs="Calibri"/>
        </w:rPr>
        <w:t>such as</w:t>
      </w:r>
      <w:r w:rsidRPr="008308AA">
        <w:rPr>
          <w:rFonts w:cs="Calibri"/>
        </w:rPr>
        <w:t xml:space="preserve"> </w:t>
      </w:r>
      <w:r w:rsidR="003827F4">
        <w:rPr>
          <w:rFonts w:cs="Calibri"/>
        </w:rPr>
        <w:t>c</w:t>
      </w:r>
      <w:r w:rsidRPr="008308AA">
        <w:rPr>
          <w:rFonts w:cs="Calibri"/>
        </w:rPr>
        <w:t>omputers</w:t>
      </w:r>
      <w:r w:rsidR="00145EA7">
        <w:rPr>
          <w:rFonts w:cs="Calibri"/>
        </w:rPr>
        <w:t>; o</w:t>
      </w:r>
      <w:r w:rsidRPr="008308AA">
        <w:rPr>
          <w:rFonts w:cs="Calibri"/>
        </w:rPr>
        <w:t>ther staff members</w:t>
      </w:r>
      <w:r w:rsidR="00C64D6B">
        <w:rPr>
          <w:rFonts w:cs="Calibri"/>
        </w:rPr>
        <w:t>’</w:t>
      </w:r>
      <w:r w:rsidRPr="008308AA">
        <w:rPr>
          <w:rFonts w:cs="Calibri"/>
        </w:rPr>
        <w:t xml:space="preserve"> time (salary), </w:t>
      </w:r>
      <w:r w:rsidR="002721D2">
        <w:rPr>
          <w:rFonts w:cs="Calibri"/>
        </w:rPr>
        <w:t>to</w:t>
      </w:r>
      <w:r w:rsidRPr="008308AA">
        <w:rPr>
          <w:rFonts w:cs="Calibri"/>
        </w:rPr>
        <w:t xml:space="preserve"> work with the pharmacist</w:t>
      </w:r>
      <w:r w:rsidR="003827F4">
        <w:rPr>
          <w:rFonts w:cs="Calibri"/>
        </w:rPr>
        <w:t>; and</w:t>
      </w:r>
      <w:r w:rsidR="00145EA7">
        <w:rPr>
          <w:rFonts w:cs="Calibri"/>
        </w:rPr>
        <w:t xml:space="preserve"> </w:t>
      </w:r>
      <w:r w:rsidR="003827F4">
        <w:rPr>
          <w:rFonts w:cs="Calibri"/>
        </w:rPr>
        <w:t>other</w:t>
      </w:r>
      <w:r>
        <w:rPr>
          <w:rFonts w:cs="Calibri"/>
        </w:rPr>
        <w:t xml:space="preserve"> expenses</w:t>
      </w:r>
      <w:r w:rsidR="00145EA7">
        <w:rPr>
          <w:rFonts w:cs="Calibri"/>
        </w:rPr>
        <w:t>.</w:t>
      </w:r>
    </w:p>
    <w:p w14:paraId="262DEE2D" w14:textId="5B87555C" w:rsidR="004E5299" w:rsidRDefault="004E5299" w:rsidP="00DA22EF">
      <w:pPr>
        <w:rPr>
          <w:rFonts w:cstheme="minorHAnsi"/>
        </w:rPr>
      </w:pPr>
      <w:r>
        <w:rPr>
          <w:rFonts w:cstheme="minorHAnsi"/>
        </w:rPr>
        <w:t xml:space="preserve">These </w:t>
      </w:r>
      <w:r w:rsidR="00B06A3D">
        <w:rPr>
          <w:rFonts w:cstheme="minorHAnsi"/>
        </w:rPr>
        <w:t xml:space="preserve">financial </w:t>
      </w:r>
      <w:r w:rsidR="00BA7D0C">
        <w:rPr>
          <w:rFonts w:cstheme="minorHAnsi"/>
        </w:rPr>
        <w:t xml:space="preserve">in-kind contributions </w:t>
      </w:r>
      <w:r>
        <w:rPr>
          <w:rFonts w:cstheme="minorHAnsi"/>
        </w:rPr>
        <w:t xml:space="preserve">were tracked, collected through the health system </w:t>
      </w:r>
      <w:proofErr w:type="gramStart"/>
      <w:r>
        <w:rPr>
          <w:rFonts w:cstheme="minorHAnsi"/>
        </w:rPr>
        <w:t>assessment</w:t>
      </w:r>
      <w:proofErr w:type="gramEnd"/>
      <w:r>
        <w:rPr>
          <w:rFonts w:cstheme="minorHAnsi"/>
        </w:rPr>
        <w:t xml:space="preserve"> and incorporated into the economic analysis of the trial.</w:t>
      </w:r>
    </w:p>
    <w:p w14:paraId="6FBBFAFC" w14:textId="3352AEAD" w:rsidR="008762FD" w:rsidRPr="00E04911" w:rsidRDefault="008762FD" w:rsidP="0048683E">
      <w:pPr>
        <w:pStyle w:val="Heading3"/>
      </w:pPr>
      <w:bookmarkStart w:id="241" w:name="_Toc41315648"/>
      <w:bookmarkStart w:id="242" w:name="_Toc138846294"/>
      <w:r w:rsidRPr="00E04911">
        <w:t>Working with community pharmacy</w:t>
      </w:r>
      <w:bookmarkEnd w:id="241"/>
      <w:bookmarkEnd w:id="242"/>
    </w:p>
    <w:p w14:paraId="6FEFA1B8" w14:textId="77777777" w:rsidR="004006DB" w:rsidRDefault="004006DB" w:rsidP="008762FD">
      <w:pPr>
        <w:rPr>
          <w:rFonts w:cstheme="minorHAnsi"/>
        </w:rPr>
      </w:pPr>
      <w:r>
        <w:t>The health systems assessment of participating ACCHSs found that m</w:t>
      </w:r>
      <w:r w:rsidRPr="005A4F50">
        <w:t xml:space="preserve">any already had strong relationships with their local community pharmacies </w:t>
      </w:r>
      <w:r>
        <w:rPr>
          <w:rFonts w:cstheme="minorHAnsi"/>
          <w:color w:val="000000"/>
        </w:rPr>
        <w:t>at the commencement of the project,</w:t>
      </w:r>
      <w:r w:rsidRPr="005A4F50">
        <w:t xml:space="preserve"> particularly through </w:t>
      </w:r>
      <w:r>
        <w:t xml:space="preserve">the </w:t>
      </w:r>
      <w:r>
        <w:rPr>
          <w:rFonts w:cstheme="minorHAnsi"/>
          <w:color w:val="000000"/>
        </w:rPr>
        <w:t xml:space="preserve">Section 100 arrangements for remote-area Aboriginal Health Services and the </w:t>
      </w:r>
      <w:r w:rsidRPr="005A4F50">
        <w:t xml:space="preserve">Quality Use of Medicines </w:t>
      </w:r>
      <w:proofErr w:type="spellStart"/>
      <w:r w:rsidRPr="005A4F50">
        <w:t>Maximised</w:t>
      </w:r>
      <w:proofErr w:type="spellEnd"/>
      <w:r w:rsidRPr="005A4F50">
        <w:t xml:space="preserve"> for Aboriginal and Torres Strait Islander People (QUMAX)</w:t>
      </w:r>
      <w:r>
        <w:rPr>
          <w:rFonts w:cstheme="minorHAnsi"/>
          <w:color w:val="000000"/>
        </w:rPr>
        <w:t xml:space="preserve"> program.  </w:t>
      </w:r>
      <w:r>
        <w:rPr>
          <w:rFonts w:cstheme="minorHAnsi"/>
        </w:rPr>
        <w:t xml:space="preserve">Relationships between ACCHSs and community pharmacies were further strengthened </w:t>
      </w:r>
      <w:proofErr w:type="gramStart"/>
      <w:r>
        <w:rPr>
          <w:rFonts w:cstheme="minorHAnsi"/>
        </w:rPr>
        <w:t>as a result of</w:t>
      </w:r>
      <w:proofErr w:type="gramEnd"/>
      <w:r>
        <w:rPr>
          <w:rFonts w:cstheme="minorHAnsi"/>
        </w:rPr>
        <w:t xml:space="preserve"> the IPAC project.</w:t>
      </w:r>
    </w:p>
    <w:p w14:paraId="78FDBEFF" w14:textId="782E9BE8" w:rsidR="008762FD" w:rsidRDefault="008762FD" w:rsidP="008762FD">
      <w:r>
        <w:t xml:space="preserve">While there are documented concerns </w:t>
      </w:r>
      <w:r w:rsidR="00262028">
        <w:t>that general practice pharmacists may</w:t>
      </w:r>
      <w:r>
        <w:t xml:space="preserve"> reduc</w:t>
      </w:r>
      <w:r w:rsidR="00262028">
        <w:t>e</w:t>
      </w:r>
      <w:r>
        <w:t xml:space="preserve"> the supply of </w:t>
      </w:r>
      <w:r w:rsidR="00CC237A">
        <w:t xml:space="preserve">dispensing </w:t>
      </w:r>
      <w:r>
        <w:t>pharmacists in regional and remote areas</w:t>
      </w:r>
      <w:r w:rsidR="00262028">
        <w:t>,</w:t>
      </w:r>
      <w:r>
        <w:rPr>
          <w:rStyle w:val="EndnoteReference"/>
        </w:rPr>
        <w:endnoteReference w:id="87"/>
      </w:r>
      <w:r>
        <w:t xml:space="preserve"> the experience within the IPAC Project suggests this is not </w:t>
      </w:r>
      <w:r w:rsidR="00E768D6">
        <w:t xml:space="preserve">necessarily </w:t>
      </w:r>
      <w:r>
        <w:t xml:space="preserve">the case. The project identified a cohort of pharmacists who </w:t>
      </w:r>
      <w:r w:rsidR="00763975">
        <w:t>we</w:t>
      </w:r>
      <w:r>
        <w:t xml:space="preserve">re seeking alternate career pathways and willing to relocate to regional and remote locations for these positions.  </w:t>
      </w:r>
      <w:proofErr w:type="gramStart"/>
      <w:r w:rsidR="00F35FE2">
        <w:t>Therefore</w:t>
      </w:r>
      <w:proofErr w:type="gramEnd"/>
      <w:r w:rsidR="00F35FE2">
        <w:t xml:space="preserve"> r</w:t>
      </w:r>
      <w:r>
        <w:t xml:space="preserve">ather than perceiving these roles as a drain on stretched staffing models, </w:t>
      </w:r>
      <w:r w:rsidR="00763975">
        <w:t xml:space="preserve">opportunities could be </w:t>
      </w:r>
      <w:r>
        <w:t>create</w:t>
      </w:r>
      <w:r w:rsidR="00763975">
        <w:t>d</w:t>
      </w:r>
      <w:r>
        <w:t xml:space="preserve"> for more pharmacists to be employed within discrete geographical locations, thereby increasing opportunities for professional support, collaboration and additional workforce capacity to staff </w:t>
      </w:r>
      <w:r w:rsidR="00E768D6">
        <w:t xml:space="preserve">community </w:t>
      </w:r>
      <w:r>
        <w:t xml:space="preserve">pharmacies </w:t>
      </w:r>
      <w:r w:rsidR="00D53FD3">
        <w:t>‘</w:t>
      </w:r>
      <w:r>
        <w:t>after hours</w:t>
      </w:r>
      <w:r w:rsidR="00D53FD3">
        <w:t>’</w:t>
      </w:r>
      <w:r>
        <w:t xml:space="preserve"> </w:t>
      </w:r>
      <w:r w:rsidR="00D53FD3">
        <w:t xml:space="preserve">on </w:t>
      </w:r>
      <w:r>
        <w:t xml:space="preserve">evenings and weekends.  </w:t>
      </w:r>
      <w:r w:rsidR="00763975">
        <w:t>S</w:t>
      </w:r>
      <w:r>
        <w:t xml:space="preserve">ome of the pharmacists who worked full time hours within the IPAC project elected to work additional hours within community pharmacies where they were located.  In multiple locations, community pharmacies </w:t>
      </w:r>
      <w:r w:rsidR="00285077">
        <w:t xml:space="preserve">that </w:t>
      </w:r>
      <w:r>
        <w:t xml:space="preserve">did not have capacity to provide pharmacists to undertake the roles advised PSA </w:t>
      </w:r>
      <w:r w:rsidR="00B5671B">
        <w:t>project c</w:t>
      </w:r>
      <w:r>
        <w:t>oordinators that they could offer hours of employment to supplement the integrated pharmacist’s role.</w:t>
      </w:r>
      <w:r w:rsidR="00262028">
        <w:t xml:space="preserve"> Where integrated pharmacists worked part-time</w:t>
      </w:r>
      <w:r w:rsidR="0015049A">
        <w:t xml:space="preserve"> in the IPAC project</w:t>
      </w:r>
      <w:r w:rsidR="00262028">
        <w:t>, the remaining time could be used to support community pharmacy.</w:t>
      </w:r>
      <w:r w:rsidR="00F35FE2">
        <w:t xml:space="preserve"> </w:t>
      </w:r>
    </w:p>
    <w:p w14:paraId="25C8BBFA" w14:textId="7DC5EDB7" w:rsidR="00EE2981" w:rsidRPr="00D636F8" w:rsidRDefault="00EE2981" w:rsidP="00EE2981">
      <w:pPr>
        <w:rPr>
          <w:color w:val="000000" w:themeColor="text1"/>
        </w:rPr>
      </w:pPr>
      <w:r w:rsidRPr="00D636F8">
        <w:rPr>
          <w:color w:val="000000" w:themeColor="text1"/>
        </w:rPr>
        <w:t xml:space="preserve">Community pharmacists reported </w:t>
      </w:r>
      <w:r>
        <w:rPr>
          <w:color w:val="000000" w:themeColor="text1"/>
        </w:rPr>
        <w:t xml:space="preserve">many </w:t>
      </w:r>
      <w:r w:rsidRPr="00D636F8">
        <w:rPr>
          <w:color w:val="000000" w:themeColor="text1"/>
        </w:rPr>
        <w:t xml:space="preserve">benefits from </w:t>
      </w:r>
      <w:r>
        <w:rPr>
          <w:color w:val="000000" w:themeColor="text1"/>
        </w:rPr>
        <w:t xml:space="preserve">working with </w:t>
      </w:r>
      <w:r w:rsidRPr="00D636F8">
        <w:rPr>
          <w:color w:val="000000" w:themeColor="text1"/>
        </w:rPr>
        <w:t xml:space="preserve">the </w:t>
      </w:r>
      <w:r>
        <w:rPr>
          <w:color w:val="000000" w:themeColor="text1"/>
        </w:rPr>
        <w:t>integrated pharmacist and</w:t>
      </w:r>
      <w:r w:rsidRPr="00D636F8">
        <w:rPr>
          <w:color w:val="000000" w:themeColor="text1"/>
        </w:rPr>
        <w:t xml:space="preserve"> </w:t>
      </w:r>
      <w:r>
        <w:rPr>
          <w:color w:val="000000" w:themeColor="text1"/>
        </w:rPr>
        <w:t xml:space="preserve">commented that the </w:t>
      </w:r>
      <w:r w:rsidRPr="00D636F8">
        <w:rPr>
          <w:color w:val="000000" w:themeColor="text1"/>
        </w:rPr>
        <w:t>role was very helpful and useful to them</w:t>
      </w:r>
      <w:r>
        <w:rPr>
          <w:color w:val="000000" w:themeColor="text1"/>
        </w:rPr>
        <w:t xml:space="preserve">. </w:t>
      </w:r>
      <w:r w:rsidRPr="00D636F8">
        <w:rPr>
          <w:color w:val="000000" w:themeColor="text1"/>
        </w:rPr>
        <w:t xml:space="preserve"> All </w:t>
      </w:r>
      <w:r>
        <w:rPr>
          <w:color w:val="000000" w:themeColor="text1"/>
        </w:rPr>
        <w:t xml:space="preserve">participating </w:t>
      </w:r>
      <w:r w:rsidRPr="00D636F8">
        <w:rPr>
          <w:color w:val="000000" w:themeColor="text1"/>
        </w:rPr>
        <w:t xml:space="preserve">community pharmacists </w:t>
      </w:r>
      <w:r>
        <w:rPr>
          <w:color w:val="000000" w:themeColor="text1"/>
        </w:rPr>
        <w:t xml:space="preserve">felt </w:t>
      </w:r>
      <w:r w:rsidRPr="00D636F8">
        <w:rPr>
          <w:color w:val="000000" w:themeColor="text1"/>
        </w:rPr>
        <w:t>there was a role for an IPAC-type (non-dispensing) integrated pharmacist within ACCHSs.</w:t>
      </w:r>
    </w:p>
    <w:p w14:paraId="0E1E85AB" w14:textId="65B2BFE5" w:rsidR="0015049A" w:rsidRDefault="00244E77" w:rsidP="006C152D">
      <w:pPr>
        <w:pStyle w:val="Heading3"/>
        <w:widowControl/>
      </w:pPr>
      <w:bookmarkStart w:id="243" w:name="_Toc41315649"/>
      <w:bookmarkStart w:id="244" w:name="_Toc138846295"/>
      <w:r>
        <w:lastRenderedPageBreak/>
        <w:t>Proportion of p</w:t>
      </w:r>
      <w:r w:rsidR="0015049A">
        <w:t>atient-level activities</w:t>
      </w:r>
      <w:bookmarkEnd w:id="243"/>
      <w:bookmarkEnd w:id="244"/>
    </w:p>
    <w:p w14:paraId="02CE24A5" w14:textId="26C52A3A" w:rsidR="0015049A" w:rsidRPr="006C152D" w:rsidRDefault="0015049A" w:rsidP="006C152D">
      <w:pPr>
        <w:keepNext/>
        <w:widowControl/>
        <w:rPr>
          <w:lang w:eastAsia="en-AU"/>
        </w:rPr>
      </w:pPr>
      <w:r>
        <w:rPr>
          <w:lang w:eastAsia="en-AU"/>
        </w:rPr>
        <w:t xml:space="preserve">A core requirement from the funding body was that integrated pharmacists spend 75% </w:t>
      </w:r>
      <w:r>
        <w:rPr>
          <w:rFonts w:cstheme="minorHAnsi"/>
          <w:color w:val="010202"/>
        </w:rPr>
        <w:t xml:space="preserve">of their time </w:t>
      </w:r>
      <w:r>
        <w:rPr>
          <w:lang w:eastAsia="en-AU"/>
        </w:rPr>
        <w:t xml:space="preserve">directed towards patient-level activities (defined </w:t>
      </w:r>
      <w:r w:rsidR="00EE2981">
        <w:rPr>
          <w:lang w:eastAsia="en-AU"/>
        </w:rPr>
        <w:t xml:space="preserve">in the funding agreement </w:t>
      </w:r>
      <w:r>
        <w:rPr>
          <w:lang w:eastAsia="en-AU"/>
        </w:rPr>
        <w:t>as medication management reviews and assessments of adherence and appropriateness).</w:t>
      </w:r>
      <w:r>
        <w:rPr>
          <w:rStyle w:val="EndnoteReference"/>
          <w:lang w:eastAsia="en-AU"/>
        </w:rPr>
        <w:endnoteReference w:id="88"/>
      </w:r>
      <w:r>
        <w:rPr>
          <w:lang w:eastAsia="en-AU"/>
        </w:rPr>
        <w:t xml:space="preserve">  Patient-level activities in this project comprised </w:t>
      </w:r>
      <w:r w:rsidRPr="00187A64">
        <w:rPr>
          <w:rFonts w:cstheme="minorHAnsi"/>
          <w:color w:val="010202"/>
        </w:rPr>
        <w:t>6</w:t>
      </w:r>
      <w:r>
        <w:rPr>
          <w:rFonts w:cstheme="minorHAnsi"/>
          <w:color w:val="010202"/>
        </w:rPr>
        <w:t>2</w:t>
      </w:r>
      <w:r w:rsidRPr="00187A64">
        <w:rPr>
          <w:rFonts w:cstheme="minorHAnsi"/>
          <w:color w:val="010202"/>
        </w:rPr>
        <w:t xml:space="preserve">.5% </w:t>
      </w:r>
      <w:r>
        <w:rPr>
          <w:rFonts w:cstheme="minorHAnsi"/>
          <w:color w:val="010202"/>
        </w:rPr>
        <w:t>of activities recorded</w:t>
      </w:r>
      <w:r w:rsidDel="00814C79">
        <w:rPr>
          <w:rFonts w:cstheme="minorHAnsi"/>
          <w:color w:val="010202"/>
        </w:rPr>
        <w:t xml:space="preserve"> </w:t>
      </w:r>
      <w:r>
        <w:rPr>
          <w:lang w:eastAsia="en-AU"/>
        </w:rPr>
        <w:t xml:space="preserve">including medication reviews and assessments, </w:t>
      </w:r>
      <w:r w:rsidR="005F1959">
        <w:rPr>
          <w:lang w:eastAsia="en-AU"/>
        </w:rPr>
        <w:t xml:space="preserve">but also included </w:t>
      </w:r>
      <w:r>
        <w:rPr>
          <w:lang w:eastAsia="en-AU"/>
        </w:rPr>
        <w:t>direct service delivery to patients through education and preventive health care, and team-based collaborations ident</w:t>
      </w:r>
      <w:r w:rsidR="00392D76">
        <w:rPr>
          <w:lang w:eastAsia="en-AU"/>
        </w:rPr>
        <w:t xml:space="preserve">ified as being patient-related </w:t>
      </w:r>
      <w:r>
        <w:rPr>
          <w:lang w:eastAsia="en-AU"/>
        </w:rPr>
        <w:t xml:space="preserve">as defined in the Logic Model for Evaluation </w:t>
      </w:r>
      <w:r w:rsidR="00392D76">
        <w:rPr>
          <w:lang w:eastAsia="en-AU"/>
        </w:rPr>
        <w:t>(</w:t>
      </w:r>
      <w:r>
        <w:rPr>
          <w:lang w:eastAsia="en-AU"/>
        </w:rPr>
        <w:t xml:space="preserve">Appendix </w:t>
      </w:r>
      <w:r w:rsidR="00392D76">
        <w:rPr>
          <w:lang w:eastAsia="en-AU"/>
        </w:rPr>
        <w:t>4</w:t>
      </w:r>
      <w:r>
        <w:rPr>
          <w:lang w:eastAsia="en-AU"/>
        </w:rPr>
        <w:t>). This approximates the expected division of pharmacist roles, especially given that significant underreporting of actual patient-related activity occurred</w:t>
      </w:r>
      <w:r w:rsidR="005F1959" w:rsidRPr="00EE2981">
        <w:rPr>
          <w:lang w:eastAsia="en-AU"/>
        </w:rPr>
        <w:t xml:space="preserve"> as consequence of project requirements for data collection</w:t>
      </w:r>
      <w:r w:rsidRPr="007030C0">
        <w:rPr>
          <w:lang w:eastAsia="en-AU"/>
        </w:rPr>
        <w:t>.</w:t>
      </w:r>
      <w:r>
        <w:rPr>
          <w:lang w:eastAsia="en-AU"/>
        </w:rPr>
        <w:t xml:space="preserve">  For example, patient education and team-based collaboration activities (such as case conferences) although </w:t>
      </w:r>
      <w:proofErr w:type="spellStart"/>
      <w:r>
        <w:rPr>
          <w:lang w:eastAsia="en-AU"/>
        </w:rPr>
        <w:t>categorised</w:t>
      </w:r>
      <w:proofErr w:type="spellEnd"/>
      <w:r>
        <w:rPr>
          <w:lang w:eastAsia="en-AU"/>
        </w:rPr>
        <w:t xml:space="preserve"> for the purpose of the evaluation as practice-based activities, were critical to direct patient care as well as to the practice.  Furthermore, transitional care occasions and a proportion of contacts with community pharmacy were also expected to have been related to the care of individual patients. However, the </w:t>
      </w:r>
      <w:proofErr w:type="spellStart"/>
      <w:r>
        <w:rPr>
          <w:lang w:eastAsia="en-AU"/>
        </w:rPr>
        <w:t>categorisation</w:t>
      </w:r>
      <w:proofErr w:type="spellEnd"/>
      <w:r>
        <w:rPr>
          <w:lang w:eastAsia="en-AU"/>
        </w:rPr>
        <w:t xml:space="preserve"> of this activity as purely practice-based also underestimated the proportion of time that pharmacists spent delivering patient-based care.  In addition, time taken for patient-based activities may have been underestimated as the time able to be recorded in the logbook for these activities was limited to 180 minutes.  In all, the activities undertaken by integrated pharmacists during the IPAC project closely approximated the division of core roles that were expected by the funding body.   </w:t>
      </w:r>
    </w:p>
    <w:p w14:paraId="45746181" w14:textId="7814F762" w:rsidR="0015049A" w:rsidRPr="006C152D" w:rsidRDefault="0015049A" w:rsidP="0015049A">
      <w:pPr>
        <w:rPr>
          <w:sz w:val="24"/>
          <w:szCs w:val="24"/>
        </w:rPr>
      </w:pPr>
      <w:r w:rsidRPr="0031163D">
        <w:rPr>
          <w:rFonts w:cstheme="minorHAnsi"/>
          <w:color w:val="010202"/>
        </w:rPr>
        <w:t>It is important to note that w</w:t>
      </w:r>
      <w:r w:rsidRPr="00B62AAD">
        <w:rPr>
          <w:rFonts w:eastAsiaTheme="minorEastAsia"/>
        </w:rPr>
        <w:t xml:space="preserve">hilst the project </w:t>
      </w:r>
      <w:r>
        <w:rPr>
          <w:rFonts w:eastAsiaTheme="minorEastAsia"/>
        </w:rPr>
        <w:t xml:space="preserve">protocol </w:t>
      </w:r>
      <w:r w:rsidRPr="00B62AAD">
        <w:rPr>
          <w:rFonts w:eastAsiaTheme="minorEastAsia"/>
        </w:rPr>
        <w:t>de</w:t>
      </w:r>
      <w:r>
        <w:rPr>
          <w:rFonts w:eastAsiaTheme="minorEastAsia"/>
        </w:rPr>
        <w:t>fined</w:t>
      </w:r>
      <w:r w:rsidRPr="00B62AAD">
        <w:rPr>
          <w:rFonts w:eastAsiaTheme="minorEastAsia"/>
        </w:rPr>
        <w:t xml:space="preserve"> 10 core roles </w:t>
      </w:r>
      <w:r>
        <w:rPr>
          <w:rFonts w:eastAsiaTheme="minorEastAsia"/>
        </w:rPr>
        <w:t xml:space="preserve">for pharmacists </w:t>
      </w:r>
      <w:r w:rsidRPr="00B62AAD">
        <w:rPr>
          <w:rFonts w:eastAsiaTheme="minorEastAsia"/>
        </w:rPr>
        <w:t>which form</w:t>
      </w:r>
      <w:r>
        <w:rPr>
          <w:rFonts w:eastAsiaTheme="minorEastAsia"/>
        </w:rPr>
        <w:t>ed</w:t>
      </w:r>
      <w:r w:rsidRPr="00B62AAD">
        <w:rPr>
          <w:rFonts w:eastAsiaTheme="minorEastAsia"/>
        </w:rPr>
        <w:t xml:space="preserve"> the foundation for the </w:t>
      </w:r>
      <w:r>
        <w:rPr>
          <w:rFonts w:eastAsiaTheme="minorEastAsia"/>
        </w:rPr>
        <w:t xml:space="preserve">project and the </w:t>
      </w:r>
      <w:r w:rsidRPr="00B62AAD">
        <w:rPr>
          <w:rFonts w:eastAsiaTheme="minorEastAsia"/>
        </w:rPr>
        <w:t xml:space="preserve">evaluation, </w:t>
      </w:r>
      <w:r>
        <w:rPr>
          <w:rFonts w:eastAsiaTheme="minorEastAsia"/>
        </w:rPr>
        <w:t xml:space="preserve">in line with community-based participatory research principles, </w:t>
      </w:r>
      <w:r w:rsidRPr="00B62AAD">
        <w:rPr>
          <w:rFonts w:eastAsiaTheme="minorEastAsia"/>
        </w:rPr>
        <w:t xml:space="preserve">each participating ACCHS </w:t>
      </w:r>
      <w:r>
        <w:rPr>
          <w:rFonts w:eastAsiaTheme="minorEastAsia"/>
        </w:rPr>
        <w:t xml:space="preserve">also </w:t>
      </w:r>
      <w:r w:rsidRPr="00B62AAD">
        <w:rPr>
          <w:rFonts w:eastAsiaTheme="minorEastAsia"/>
        </w:rPr>
        <w:t xml:space="preserve">had the flexibility to </w:t>
      </w:r>
      <w:proofErr w:type="spellStart"/>
      <w:r w:rsidRPr="00B62AAD">
        <w:rPr>
          <w:rFonts w:eastAsiaTheme="minorEastAsia"/>
        </w:rPr>
        <w:t>utilise</w:t>
      </w:r>
      <w:proofErr w:type="spellEnd"/>
      <w:r w:rsidRPr="00B62AAD">
        <w:rPr>
          <w:rFonts w:eastAsiaTheme="minorEastAsia"/>
        </w:rPr>
        <w:t xml:space="preserve"> the services of the pharmacist according to service and client priorities at the local level.</w:t>
      </w:r>
      <w:r>
        <w:rPr>
          <w:rFonts w:eastAsiaTheme="minorEastAsia"/>
        </w:rPr>
        <w:t xml:space="preserve">  </w:t>
      </w:r>
    </w:p>
    <w:p w14:paraId="11E1294D" w14:textId="77777777" w:rsidR="007327B5" w:rsidRDefault="007327B5" w:rsidP="0048683E">
      <w:pPr>
        <w:pStyle w:val="Heading3"/>
      </w:pPr>
      <w:bookmarkStart w:id="245" w:name="_Toc35513606"/>
      <w:bookmarkStart w:id="246" w:name="_Toc16171378"/>
      <w:bookmarkStart w:id="247" w:name="_Toc35946611"/>
      <w:bookmarkStart w:id="248" w:name="_Toc40350120"/>
      <w:bookmarkStart w:id="249" w:name="_Toc40441103"/>
      <w:bookmarkStart w:id="250" w:name="_Toc41315650"/>
      <w:bookmarkStart w:id="251" w:name="_Toc138846296"/>
      <w:r>
        <w:t>Involvement of Aboriginal people and Torres Strait Islander</w:t>
      </w:r>
      <w:bookmarkEnd w:id="245"/>
      <w:bookmarkEnd w:id="246"/>
      <w:r>
        <w:t>s</w:t>
      </w:r>
      <w:bookmarkEnd w:id="247"/>
      <w:bookmarkEnd w:id="248"/>
      <w:bookmarkEnd w:id="249"/>
      <w:bookmarkEnd w:id="250"/>
      <w:bookmarkEnd w:id="251"/>
    </w:p>
    <w:p w14:paraId="67FCE7F7" w14:textId="5CF4472E" w:rsidR="0080720A" w:rsidRPr="0080720A" w:rsidRDefault="007327B5" w:rsidP="00DA22EF">
      <w:pPr>
        <w:rPr>
          <w:rFonts w:asciiTheme="minorHAnsi" w:eastAsiaTheme="minorEastAsia" w:hAnsiTheme="minorHAnsi" w:cstheme="minorHAnsi"/>
          <w:bCs/>
        </w:rPr>
      </w:pPr>
      <w:r w:rsidRPr="0080720A">
        <w:t>The project adopted a community-based participatory research (CBPR) design, to ensure clear benefits to project sites and ensure acceptability and sustainability of the intervention within ACCHSs and ultimately, transferability to other PHC services</w:t>
      </w:r>
      <w:r w:rsidR="00F960D3" w:rsidRPr="0080720A">
        <w:t xml:space="preserve">.  </w:t>
      </w:r>
      <w:r w:rsidR="0080720A" w:rsidRPr="0080720A">
        <w:t xml:space="preserve">The </w:t>
      </w:r>
      <w:r w:rsidR="0080720A" w:rsidRPr="0080720A">
        <w:rPr>
          <w:rFonts w:asciiTheme="minorHAnsi" w:eastAsiaTheme="minorEastAsia" w:hAnsiTheme="minorHAnsi" w:cstheme="minorHAnsi"/>
          <w:bCs/>
        </w:rPr>
        <w:t xml:space="preserve">CBPR model is defined as: </w:t>
      </w:r>
      <w:r w:rsidR="0080720A" w:rsidRPr="0080720A">
        <w:rPr>
          <w:rFonts w:asciiTheme="minorHAnsi" w:eastAsiaTheme="minorEastAsia" w:hAnsiTheme="minorHAnsi" w:cstheme="minorHAnsi"/>
          <w:bCs/>
          <w:i/>
        </w:rPr>
        <w:t>“a partnership approach to research that equitably involves, for example, community members, organizational representatives, and researchers in all aspects of the research process and in which all partners contribute expertise and share decision making and ownership</w:t>
      </w:r>
      <w:r w:rsidR="0080720A" w:rsidRPr="0080720A">
        <w:rPr>
          <w:rFonts w:asciiTheme="minorHAnsi" w:eastAsiaTheme="minorEastAsia" w:hAnsiTheme="minorHAnsi" w:cstheme="minorHAnsi"/>
          <w:bCs/>
        </w:rPr>
        <w:t>”.</w:t>
      </w:r>
      <w:r w:rsidR="0080720A" w:rsidRPr="0080720A">
        <w:rPr>
          <w:rFonts w:asciiTheme="minorHAnsi" w:eastAsiaTheme="minorEastAsia" w:hAnsiTheme="minorHAnsi" w:cstheme="minorHAnsi"/>
          <w:bCs/>
          <w:vertAlign w:val="superscript"/>
        </w:rPr>
        <w:endnoteReference w:id="89"/>
      </w:r>
      <w:r w:rsidR="0080720A" w:rsidRPr="0080720A">
        <w:rPr>
          <w:rFonts w:asciiTheme="minorHAnsi" w:eastAsiaTheme="minorEastAsia" w:hAnsiTheme="minorHAnsi" w:cstheme="minorHAnsi"/>
          <w:bCs/>
        </w:rPr>
        <w:t xml:space="preserve">  </w:t>
      </w:r>
    </w:p>
    <w:p w14:paraId="1A917F0A" w14:textId="4B668BFC" w:rsidR="007327B5" w:rsidRPr="0080720A" w:rsidRDefault="007327B5" w:rsidP="00DA22EF">
      <w:r w:rsidRPr="0080720A">
        <w:t xml:space="preserve">Aboriginal people and Torres Strait Islanders </w:t>
      </w:r>
      <w:r w:rsidR="00525180">
        <w:t xml:space="preserve">and their representative bodies </w:t>
      </w:r>
      <w:r w:rsidRPr="0080720A">
        <w:t xml:space="preserve">were involved throughout the design, </w:t>
      </w:r>
      <w:r w:rsidR="005F1959">
        <w:t xml:space="preserve">establishment, </w:t>
      </w:r>
      <w:proofErr w:type="gramStart"/>
      <w:r w:rsidRPr="0080720A">
        <w:t>implementation</w:t>
      </w:r>
      <w:proofErr w:type="gramEnd"/>
      <w:r w:rsidRPr="0080720A">
        <w:t xml:space="preserve"> and analysis stages of the IPAC Project.  The project protocol was developed through input from project </w:t>
      </w:r>
      <w:r w:rsidR="00453634" w:rsidRPr="0080720A">
        <w:t>partners including the NACCHO who were</w:t>
      </w:r>
      <w:r w:rsidR="00F960D3" w:rsidRPr="0080720A">
        <w:t xml:space="preserve"> a key partner in the </w:t>
      </w:r>
      <w:r w:rsidR="006C537C" w:rsidRPr="0080720A">
        <w:t>project and</w:t>
      </w:r>
      <w:r w:rsidR="00F960D3" w:rsidRPr="0080720A">
        <w:t xml:space="preserve"> </w:t>
      </w:r>
      <w:r w:rsidRPr="0080720A">
        <w:t>provided Aboriginal governance</w:t>
      </w:r>
      <w:r w:rsidR="006C537C">
        <w:t>,</w:t>
      </w:r>
      <w:r w:rsidRPr="0080720A">
        <w:t xml:space="preserve"> leadership</w:t>
      </w:r>
      <w:r w:rsidR="006C537C">
        <w:t>,</w:t>
      </w:r>
      <w:r w:rsidRPr="0080720A">
        <w:t xml:space="preserve"> and coordinated communication with the NACCHO Board, Affiliates and ACCHSs.</w:t>
      </w:r>
    </w:p>
    <w:p w14:paraId="53B9EDFB" w14:textId="772A1898" w:rsidR="00CA071C" w:rsidRDefault="00CA071C" w:rsidP="00CA071C">
      <w:r w:rsidRPr="00121796">
        <w:rPr>
          <w:rFonts w:cstheme="minorHAnsi"/>
        </w:rPr>
        <w:t xml:space="preserve">The NACCHO project coordinators facilitated a Project Reference Group (PRG), which </w:t>
      </w:r>
      <w:r w:rsidRPr="00121796">
        <w:t xml:space="preserve">was the primary governance body </w:t>
      </w:r>
      <w:r w:rsidR="007030C0" w:rsidRPr="00121796">
        <w:t xml:space="preserve">representing participating Aboriginal and Torres Strait Islander </w:t>
      </w:r>
      <w:proofErr w:type="spellStart"/>
      <w:r w:rsidR="007030C0" w:rsidRPr="00121796">
        <w:t>organisations</w:t>
      </w:r>
      <w:proofErr w:type="spellEnd"/>
      <w:r w:rsidR="007030C0" w:rsidRPr="00121796">
        <w:t xml:space="preserve">, </w:t>
      </w:r>
      <w:proofErr w:type="gramStart"/>
      <w:r w:rsidR="007030C0" w:rsidRPr="00121796">
        <w:t>leaders</w:t>
      </w:r>
      <w:proofErr w:type="gramEnd"/>
      <w:r w:rsidR="007030C0" w:rsidRPr="00121796">
        <w:t xml:space="preserve"> and patients</w:t>
      </w:r>
      <w:r w:rsidR="00EE2981" w:rsidRPr="00121796">
        <w:t>. The PRG</w:t>
      </w:r>
      <w:r w:rsidRPr="00121796">
        <w:t xml:space="preserve"> comprised</w:t>
      </w:r>
      <w:r w:rsidRPr="00121796">
        <w:rPr>
          <w:rFonts w:cstheme="minorHAnsi"/>
        </w:rPr>
        <w:t xml:space="preserve"> representatives from NACCHO, the Affiliates, representatives from all participating ACCHSs, and the project coordinators. The PRG </w:t>
      </w:r>
      <w:r w:rsidRPr="00121796">
        <w:t>provided oversight and feedback to the project operation team. PRG teleconferences were held approximately three</w:t>
      </w:r>
      <w:r w:rsidR="00EE6C0E" w:rsidRPr="00121796">
        <w:t>-</w:t>
      </w:r>
      <w:r w:rsidRPr="00121796">
        <w:t>monthly; forums were convened at the 2018 and 2019 NACCHO national conferences; electronic updates were circulated; and numerous instances of ad hoc communication occurred between NACCHO project coordinators and PRG members via phone or email.</w:t>
      </w:r>
    </w:p>
    <w:p w14:paraId="5AC3561B" w14:textId="65DCE757" w:rsidR="007327B5" w:rsidRDefault="00F960D3" w:rsidP="006C152D">
      <w:pPr>
        <w:widowControl/>
      </w:pPr>
      <w:r>
        <w:lastRenderedPageBreak/>
        <w:t>T</w:t>
      </w:r>
      <w:r w:rsidR="007327B5" w:rsidRPr="000D7CF2">
        <w:t xml:space="preserve">he </w:t>
      </w:r>
      <w:r w:rsidR="007327B5" w:rsidRPr="006C152D">
        <w:t>evaluation</w:t>
      </w:r>
      <w:r w:rsidR="007327B5" w:rsidRPr="000D7CF2">
        <w:t xml:space="preserve"> team</w:t>
      </w:r>
      <w:r w:rsidR="00CA071C">
        <w:t xml:space="preserve"> led by JCU,</w:t>
      </w:r>
      <w:r w:rsidR="007327B5" w:rsidRPr="000D7CF2">
        <w:t xml:space="preserve"> </w:t>
      </w:r>
      <w:r w:rsidR="007327B5">
        <w:t>comprised</w:t>
      </w:r>
      <w:r w:rsidR="007327B5" w:rsidRPr="000D7CF2">
        <w:t xml:space="preserve"> project partners, researchers, </w:t>
      </w:r>
      <w:r w:rsidR="007327B5">
        <w:t xml:space="preserve">expert advisors, Aboriginal </w:t>
      </w:r>
      <w:proofErr w:type="gramStart"/>
      <w:r w:rsidR="007327B5">
        <w:t>Academics</w:t>
      </w:r>
      <w:proofErr w:type="gramEnd"/>
      <w:r w:rsidR="007327B5">
        <w:t xml:space="preserve"> and </w:t>
      </w:r>
      <w:r w:rsidR="007327B5" w:rsidRPr="000D7CF2">
        <w:t xml:space="preserve">representatives from the NACCHO Affiliates </w:t>
      </w:r>
      <w:r w:rsidR="00453634" w:rsidRPr="00453634">
        <w:t xml:space="preserve">- the Victorian Aboriginal Community Controlled Health </w:t>
      </w:r>
      <w:proofErr w:type="spellStart"/>
      <w:r w:rsidR="00453634" w:rsidRPr="00453634">
        <w:t>Organisation</w:t>
      </w:r>
      <w:proofErr w:type="spellEnd"/>
      <w:r w:rsidR="00453634" w:rsidRPr="00453634">
        <w:t xml:space="preserve"> (VACCHO); the Queensland Aboriginal and Islander Health Council (QAIHC), and the Aboriginal Medical Services Alliance in the Northern Territory (AMSANT), </w:t>
      </w:r>
      <w:r w:rsidR="007327B5" w:rsidRPr="000D7CF2">
        <w:t xml:space="preserve">and </w:t>
      </w:r>
      <w:r w:rsidR="007327B5">
        <w:t xml:space="preserve">a representative from </w:t>
      </w:r>
      <w:r w:rsidR="007327B5" w:rsidRPr="000D7CF2">
        <w:t xml:space="preserve">an </w:t>
      </w:r>
      <w:r w:rsidR="007327B5">
        <w:t>ACCHS</w:t>
      </w:r>
      <w:r w:rsidR="007327B5" w:rsidRPr="000D7CF2">
        <w:t xml:space="preserve">.  </w:t>
      </w:r>
    </w:p>
    <w:p w14:paraId="0057CA27" w14:textId="5BD062D6" w:rsidR="0080720A" w:rsidRDefault="00CF4048" w:rsidP="006C152D">
      <w:pPr>
        <w:kinsoku w:val="0"/>
        <w:overflowPunct w:val="0"/>
        <w:autoSpaceDE w:val="0"/>
        <w:autoSpaceDN w:val="0"/>
        <w:adjustRightInd w:val="0"/>
        <w:rPr>
          <w:rFonts w:cstheme="minorHAnsi"/>
        </w:rPr>
      </w:pPr>
      <w:r>
        <w:rPr>
          <w:rFonts w:cstheme="minorHAnsi"/>
        </w:rPr>
        <w:t xml:space="preserve">An example of a change grounded in community-based participatory research principles was the simplification of the four-page Patient Information Brief. </w:t>
      </w:r>
      <w:r w:rsidR="00CA071C">
        <w:rPr>
          <w:rFonts w:cstheme="minorHAnsi"/>
        </w:rPr>
        <w:t xml:space="preserve">Following the commencement of </w:t>
      </w:r>
      <w:r>
        <w:rPr>
          <w:rFonts w:cstheme="minorHAnsi"/>
        </w:rPr>
        <w:t xml:space="preserve">the integrated </w:t>
      </w:r>
      <w:r w:rsidR="00CA071C">
        <w:rPr>
          <w:rFonts w:cstheme="minorHAnsi"/>
        </w:rPr>
        <w:t xml:space="preserve">pharmacists, feedback was provided that ACCHS staff </w:t>
      </w:r>
      <w:r>
        <w:rPr>
          <w:rFonts w:cstheme="minorHAnsi"/>
        </w:rPr>
        <w:t xml:space="preserve">felt </w:t>
      </w:r>
      <w:r w:rsidR="00CA071C">
        <w:rPr>
          <w:rFonts w:cstheme="minorHAnsi"/>
        </w:rPr>
        <w:t xml:space="preserve">the 4-page </w:t>
      </w:r>
      <w:r>
        <w:rPr>
          <w:rFonts w:cstheme="minorHAnsi"/>
        </w:rPr>
        <w:t>b</w:t>
      </w:r>
      <w:r w:rsidR="00CA071C">
        <w:rPr>
          <w:rFonts w:cstheme="minorHAnsi"/>
        </w:rPr>
        <w:t>rief was too long and needed to be simplified</w:t>
      </w:r>
      <w:r>
        <w:rPr>
          <w:rFonts w:cstheme="minorHAnsi"/>
        </w:rPr>
        <w:t xml:space="preserve"> so that patients could better understand it</w:t>
      </w:r>
      <w:r w:rsidR="00CA071C">
        <w:rPr>
          <w:rFonts w:cstheme="minorHAnsi"/>
        </w:rPr>
        <w:t>.  The JCU Team acted upon this feedback and simplified the document</w:t>
      </w:r>
      <w:r w:rsidR="005F1959">
        <w:rPr>
          <w:rFonts w:cstheme="minorHAnsi"/>
        </w:rPr>
        <w:t>,</w:t>
      </w:r>
      <w:r w:rsidR="00CA071C">
        <w:rPr>
          <w:rFonts w:cstheme="minorHAnsi"/>
        </w:rPr>
        <w:t xml:space="preserve"> reducing its length to 2-pages.  The edited document was approved by the HRECs.</w:t>
      </w:r>
      <w:r w:rsidR="007C4880">
        <w:rPr>
          <w:rFonts w:cstheme="minorHAnsi"/>
        </w:rPr>
        <w:t xml:space="preserve">  In addition, t</w:t>
      </w:r>
      <w:r w:rsidR="0080720A">
        <w:rPr>
          <w:rFonts w:cstheme="minorHAnsi"/>
        </w:rPr>
        <w:t>ools and questionnaires developed for collecting quantitative and qualitative data for the IPAC project were reviewed by members of the operational and evaluation teams</w:t>
      </w:r>
      <w:r w:rsidR="00CA071C">
        <w:rPr>
          <w:rFonts w:cstheme="minorHAnsi"/>
        </w:rPr>
        <w:t>.</w:t>
      </w:r>
      <w:r w:rsidR="0080720A">
        <w:rPr>
          <w:rFonts w:cstheme="minorHAnsi"/>
        </w:rPr>
        <w:t xml:space="preserve"> The </w:t>
      </w:r>
      <w:r w:rsidR="00CA071C">
        <w:rPr>
          <w:rFonts w:cstheme="minorHAnsi"/>
        </w:rPr>
        <w:t xml:space="preserve">interview and focus group </w:t>
      </w:r>
      <w:r w:rsidR="0080720A">
        <w:rPr>
          <w:rFonts w:cstheme="minorHAnsi"/>
        </w:rPr>
        <w:t xml:space="preserve">proformas for </w:t>
      </w:r>
      <w:r w:rsidR="00CA071C">
        <w:rPr>
          <w:rFonts w:cstheme="minorHAnsi"/>
        </w:rPr>
        <w:t xml:space="preserve">patient </w:t>
      </w:r>
      <w:r w:rsidR="004A178E">
        <w:rPr>
          <w:color w:val="000000" w:themeColor="text1"/>
        </w:rPr>
        <w:t>participants</w:t>
      </w:r>
      <w:r w:rsidR="004A178E" w:rsidRPr="00D636F8">
        <w:rPr>
          <w:color w:val="000000" w:themeColor="text1"/>
        </w:rPr>
        <w:t xml:space="preserve"> </w:t>
      </w:r>
      <w:r w:rsidR="0080720A">
        <w:rPr>
          <w:rFonts w:cstheme="minorHAnsi"/>
        </w:rPr>
        <w:t>and ACCHS staff as part of the qualitative evaluation were also distributed to PRG members</w:t>
      </w:r>
      <w:r w:rsidR="007C4880">
        <w:rPr>
          <w:rFonts w:cstheme="minorHAnsi"/>
        </w:rPr>
        <w:t xml:space="preserve"> to ensure they were appropriate for research with Aboriginal patients and staff</w:t>
      </w:r>
      <w:r w:rsidR="0080720A">
        <w:rPr>
          <w:rFonts w:cstheme="minorHAnsi"/>
        </w:rPr>
        <w:t xml:space="preserve">. </w:t>
      </w:r>
      <w:r w:rsidR="0080720A" w:rsidRPr="008040EF">
        <w:rPr>
          <w:rFonts w:cstheme="minorHAnsi"/>
        </w:rPr>
        <w:t>P</w:t>
      </w:r>
      <w:r w:rsidR="0080720A">
        <w:rPr>
          <w:rFonts w:cstheme="minorHAnsi"/>
        </w:rPr>
        <w:t>RG</w:t>
      </w:r>
      <w:r w:rsidR="0080720A" w:rsidRPr="008040EF">
        <w:rPr>
          <w:rFonts w:cstheme="minorHAnsi"/>
        </w:rPr>
        <w:t xml:space="preserve"> </w:t>
      </w:r>
      <w:r w:rsidR="00CA071C">
        <w:rPr>
          <w:rFonts w:cstheme="minorHAnsi"/>
        </w:rPr>
        <w:t xml:space="preserve">members </w:t>
      </w:r>
      <w:r w:rsidR="0080720A" w:rsidRPr="008040EF">
        <w:rPr>
          <w:rFonts w:cstheme="minorHAnsi"/>
        </w:rPr>
        <w:t xml:space="preserve">provided </w:t>
      </w:r>
      <w:r w:rsidR="0080720A">
        <w:rPr>
          <w:rFonts w:cstheme="minorHAnsi"/>
        </w:rPr>
        <w:t>comments</w:t>
      </w:r>
      <w:r w:rsidR="0080720A" w:rsidRPr="008040EF">
        <w:rPr>
          <w:rFonts w:cstheme="minorHAnsi"/>
        </w:rPr>
        <w:t xml:space="preserve"> </w:t>
      </w:r>
      <w:r w:rsidR="007C4880">
        <w:rPr>
          <w:rFonts w:cstheme="minorHAnsi"/>
        </w:rPr>
        <w:t>and</w:t>
      </w:r>
      <w:r w:rsidR="0080720A" w:rsidRPr="008040EF">
        <w:rPr>
          <w:rFonts w:cstheme="minorHAnsi"/>
        </w:rPr>
        <w:t xml:space="preserve"> </w:t>
      </w:r>
      <w:r w:rsidR="007C4880">
        <w:rPr>
          <w:rFonts w:cstheme="minorHAnsi"/>
        </w:rPr>
        <w:t xml:space="preserve">endorsed </w:t>
      </w:r>
      <w:r w:rsidR="0080720A" w:rsidRPr="008040EF">
        <w:rPr>
          <w:rFonts w:cstheme="minorHAnsi"/>
        </w:rPr>
        <w:t>the</w:t>
      </w:r>
      <w:r w:rsidR="001C630E">
        <w:rPr>
          <w:rFonts w:cstheme="minorHAnsi"/>
        </w:rPr>
        <w:t>se</w:t>
      </w:r>
      <w:r w:rsidR="0080720A" w:rsidRPr="008040EF">
        <w:rPr>
          <w:rFonts w:cstheme="minorHAnsi"/>
        </w:rPr>
        <w:t xml:space="preserve"> tools.  </w:t>
      </w:r>
    </w:p>
    <w:p w14:paraId="1FB0C8F3" w14:textId="34EAE7A4" w:rsidR="0080720A" w:rsidRDefault="00C6669A" w:rsidP="00DA22EF">
      <w:pPr>
        <w:kinsoku w:val="0"/>
        <w:overflowPunct w:val="0"/>
        <w:autoSpaceDE w:val="0"/>
        <w:autoSpaceDN w:val="0"/>
        <w:adjustRightInd w:val="0"/>
        <w:rPr>
          <w:rFonts w:cstheme="minorHAnsi"/>
        </w:rPr>
      </w:pPr>
      <w:r>
        <w:rPr>
          <w:rFonts w:cstheme="minorHAnsi"/>
        </w:rPr>
        <w:t>For the qualitative evaluation t</w:t>
      </w:r>
      <w:r w:rsidR="0080720A">
        <w:rPr>
          <w:rFonts w:cstheme="minorHAnsi"/>
        </w:rPr>
        <w:t xml:space="preserve">he JCU Team liaised with ACCHS site staff (after introduction from the NACCHO </w:t>
      </w:r>
      <w:r w:rsidR="00CA448C">
        <w:rPr>
          <w:rFonts w:cstheme="minorHAnsi"/>
        </w:rPr>
        <w:t>project c</w:t>
      </w:r>
      <w:r w:rsidR="0080720A">
        <w:rPr>
          <w:rFonts w:cstheme="minorHAnsi"/>
        </w:rPr>
        <w:t xml:space="preserve">oordinators) and the </w:t>
      </w:r>
      <w:r w:rsidR="007257AC">
        <w:t xml:space="preserve">integrated </w:t>
      </w:r>
      <w:r w:rsidR="0080720A">
        <w:rPr>
          <w:rFonts w:cstheme="minorHAnsi"/>
        </w:rPr>
        <w:t xml:space="preserve">pharmacists to plan and conduct the site visits.  Staff advised on the timing of the visits, recruitment of participants and scheduling of activities to </w:t>
      </w:r>
      <w:proofErr w:type="spellStart"/>
      <w:r w:rsidR="0080720A">
        <w:rPr>
          <w:rFonts w:cstheme="minorHAnsi"/>
        </w:rPr>
        <w:t>minimise</w:t>
      </w:r>
      <w:proofErr w:type="spellEnd"/>
      <w:r w:rsidR="0080720A">
        <w:rPr>
          <w:rFonts w:cstheme="minorHAnsi"/>
        </w:rPr>
        <w:t xml:space="preserve"> disruption to the health service.  Through the site visits, Aboriginal and Torres Strait Islander staff and </w:t>
      </w:r>
      <w:r w:rsidR="004A178E">
        <w:rPr>
          <w:color w:val="000000" w:themeColor="text1"/>
        </w:rPr>
        <w:t>participants</w:t>
      </w:r>
      <w:r w:rsidR="004A178E" w:rsidRPr="00D636F8">
        <w:rPr>
          <w:color w:val="000000" w:themeColor="text1"/>
        </w:rPr>
        <w:t xml:space="preserve"> </w:t>
      </w:r>
      <w:r w:rsidR="0080720A">
        <w:rPr>
          <w:rFonts w:cstheme="minorHAnsi"/>
        </w:rPr>
        <w:t xml:space="preserve">have provided feedback on the project and interactions with the </w:t>
      </w:r>
      <w:r w:rsidR="007257AC">
        <w:t xml:space="preserve">integrated </w:t>
      </w:r>
      <w:r w:rsidR="0080720A">
        <w:rPr>
          <w:rFonts w:cstheme="minorHAnsi"/>
        </w:rPr>
        <w:t>pharmacist.</w:t>
      </w:r>
    </w:p>
    <w:p w14:paraId="42839ECE" w14:textId="2D3AD9AA" w:rsidR="007327B5" w:rsidRDefault="0080720A" w:rsidP="00DA22EF">
      <w:pPr>
        <w:rPr>
          <w:rFonts w:cstheme="minorHAnsi"/>
        </w:rPr>
      </w:pPr>
      <w:r>
        <w:rPr>
          <w:rFonts w:cstheme="minorHAnsi"/>
        </w:rPr>
        <w:t>All reports were sent to members of the operational and evaluation teams for feedback.</w:t>
      </w:r>
      <w:r w:rsidR="00C6669A">
        <w:rPr>
          <w:rFonts w:cstheme="minorHAnsi"/>
        </w:rPr>
        <w:t xml:space="preserve">  A plain language summary of the results from the trial will be available to participants, with the permission of the funding body.</w:t>
      </w:r>
    </w:p>
    <w:p w14:paraId="50C764C8" w14:textId="28487F33" w:rsidR="007327B5" w:rsidRPr="006C152D" w:rsidRDefault="007327B5" w:rsidP="00DA22EF">
      <w:pPr>
        <w:pStyle w:val="Heading2"/>
      </w:pPr>
      <w:bookmarkStart w:id="252" w:name="_Toc35946615"/>
      <w:bookmarkStart w:id="253" w:name="_Toc40350121"/>
      <w:bookmarkStart w:id="254" w:name="_Toc40441104"/>
      <w:bookmarkStart w:id="255" w:name="_Toc41315651"/>
      <w:bookmarkStart w:id="256" w:name="_Toc138846297"/>
      <w:r>
        <w:t>Difficulties</w:t>
      </w:r>
      <w:bookmarkEnd w:id="252"/>
      <w:bookmarkEnd w:id="253"/>
      <w:bookmarkEnd w:id="254"/>
      <w:bookmarkEnd w:id="255"/>
      <w:bookmarkEnd w:id="256"/>
    </w:p>
    <w:p w14:paraId="0C723869" w14:textId="63262DDF" w:rsidR="007327B5" w:rsidRPr="00482E9F" w:rsidRDefault="0080720A" w:rsidP="0048683E">
      <w:pPr>
        <w:pStyle w:val="Heading3"/>
        <w:rPr>
          <w:rFonts w:cstheme="majorBidi"/>
        </w:rPr>
      </w:pPr>
      <w:bookmarkStart w:id="257" w:name="_Toc35946616"/>
      <w:bookmarkStart w:id="258" w:name="_Toc40350122"/>
      <w:bookmarkStart w:id="259" w:name="_Toc40441105"/>
      <w:bookmarkStart w:id="260" w:name="_Toc41315652"/>
      <w:bookmarkStart w:id="261" w:name="_Toc138846298"/>
      <w:r>
        <w:t xml:space="preserve">ACCHS </w:t>
      </w:r>
      <w:bookmarkEnd w:id="257"/>
      <w:bookmarkEnd w:id="258"/>
      <w:bookmarkEnd w:id="259"/>
      <w:bookmarkEnd w:id="260"/>
      <w:r w:rsidR="006C152D">
        <w:t>c</w:t>
      </w:r>
      <w:r w:rsidR="002D0A21">
        <w:t>hallenges</w:t>
      </w:r>
      <w:bookmarkEnd w:id="261"/>
    </w:p>
    <w:p w14:paraId="154F3F8F" w14:textId="5235E1C7" w:rsidR="005E432E" w:rsidRPr="006C152D" w:rsidRDefault="005E20B6" w:rsidP="00D61FCC">
      <w:r>
        <w:t>In the initial project stages,</w:t>
      </w:r>
      <w:r w:rsidR="00D15B0A">
        <w:t xml:space="preserve"> </w:t>
      </w:r>
      <w:r w:rsidR="009C41BE">
        <w:t xml:space="preserve">ACCHS staff experienced </w:t>
      </w:r>
      <w:r w:rsidR="00D15B0A">
        <w:t xml:space="preserve">some confusion </w:t>
      </w:r>
      <w:r w:rsidR="005E432E">
        <w:t xml:space="preserve">regarding who would </w:t>
      </w:r>
      <w:r w:rsidR="004A248A">
        <w:t>manage</w:t>
      </w:r>
      <w:r w:rsidR="005E432E">
        <w:t xml:space="preserve"> </w:t>
      </w:r>
      <w:r w:rsidR="00D11C13">
        <w:t>the</w:t>
      </w:r>
      <w:r w:rsidR="005E432E">
        <w:t xml:space="preserve"> </w:t>
      </w:r>
      <w:r w:rsidR="00482E9F">
        <w:t xml:space="preserve">integrated </w:t>
      </w:r>
      <w:r w:rsidR="005E432E">
        <w:t>pharmacist</w:t>
      </w:r>
      <w:r w:rsidR="009C41BE">
        <w:t>s</w:t>
      </w:r>
      <w:r w:rsidR="00482E9F">
        <w:t>, as they were not their employees</w:t>
      </w:r>
      <w:r w:rsidR="00D11C13">
        <w:t xml:space="preserve">. </w:t>
      </w:r>
      <w:r w:rsidR="005E432E" w:rsidRPr="005C6BBB">
        <w:t xml:space="preserve"> </w:t>
      </w:r>
      <w:r w:rsidR="00D11C13">
        <w:t>This issue was largely overcome by regular communication between ACCHS representatives and project coordinators from NACCHO and PSA.</w:t>
      </w:r>
      <w:r w:rsidR="005E432E" w:rsidRPr="005C6BBB">
        <w:t xml:space="preserve"> </w:t>
      </w:r>
      <w:r w:rsidR="00482E9F">
        <w:t xml:space="preserve"> </w:t>
      </w:r>
      <w:r w:rsidR="00482E9F">
        <w:rPr>
          <w:rFonts w:cs="Calibri"/>
          <w:color w:val="000000"/>
          <w:lang w:eastAsia="en-GB"/>
        </w:rPr>
        <w:t>F</w:t>
      </w:r>
      <w:r w:rsidR="00482E9F" w:rsidRPr="00482E9F">
        <w:rPr>
          <w:rFonts w:cs="Calibri"/>
          <w:color w:val="000000"/>
          <w:lang w:eastAsia="en-GB"/>
        </w:rPr>
        <w:t xml:space="preserve">or </w:t>
      </w:r>
      <w:r w:rsidR="00482E9F">
        <w:rPr>
          <w:rFonts w:cs="Calibri"/>
          <w:color w:val="000000"/>
          <w:lang w:eastAsia="en-GB"/>
        </w:rPr>
        <w:t xml:space="preserve">a </w:t>
      </w:r>
      <w:r w:rsidR="00482E9F" w:rsidRPr="00482E9F">
        <w:rPr>
          <w:rFonts w:cs="Calibri"/>
          <w:color w:val="000000"/>
          <w:lang w:eastAsia="en-GB"/>
        </w:rPr>
        <w:t xml:space="preserve">broader program roll-out </w:t>
      </w:r>
      <w:r w:rsidR="00482E9F">
        <w:rPr>
          <w:rFonts w:cs="Calibri"/>
          <w:color w:val="000000"/>
          <w:lang w:eastAsia="en-GB"/>
        </w:rPr>
        <w:t>p</w:t>
      </w:r>
      <w:r w:rsidR="00D11C13" w:rsidRPr="00482E9F">
        <w:rPr>
          <w:rFonts w:cs="Calibri"/>
          <w:color w:val="000000"/>
          <w:lang w:eastAsia="en-GB"/>
        </w:rPr>
        <w:t xml:space="preserve">harmacist recruitment to integrated roles within ACCHSs will be influenced by the financing models. The employment of pharmacists by the PSA (which was the dominant model used in the IPAC trial) will not be applicable for </w:t>
      </w:r>
      <w:r w:rsidR="00482E9F">
        <w:rPr>
          <w:rFonts w:cs="Calibri"/>
          <w:color w:val="000000"/>
          <w:lang w:eastAsia="en-GB"/>
        </w:rPr>
        <w:t>future</w:t>
      </w:r>
      <w:r w:rsidR="00D11C13" w:rsidRPr="00482E9F">
        <w:rPr>
          <w:rFonts w:cs="Calibri"/>
          <w:color w:val="000000"/>
          <w:lang w:eastAsia="en-GB"/>
        </w:rPr>
        <w:t xml:space="preserve"> program </w:t>
      </w:r>
      <w:r w:rsidR="00482E9F">
        <w:rPr>
          <w:rFonts w:cs="Calibri"/>
          <w:color w:val="000000"/>
          <w:lang w:eastAsia="en-GB"/>
        </w:rPr>
        <w:t>expansion</w:t>
      </w:r>
      <w:r w:rsidR="00D11C13" w:rsidRPr="00482E9F">
        <w:rPr>
          <w:rFonts w:cs="Calibri"/>
          <w:color w:val="000000"/>
          <w:lang w:eastAsia="en-GB"/>
        </w:rPr>
        <w:t>.</w:t>
      </w:r>
    </w:p>
    <w:p w14:paraId="0D7B24CE" w14:textId="2AFC143D" w:rsidR="005E432E" w:rsidRPr="006C152D" w:rsidRDefault="002D0A21" w:rsidP="006C152D">
      <w:pPr>
        <w:tabs>
          <w:tab w:val="left" w:pos="7371"/>
        </w:tabs>
        <w:rPr>
          <w:strike/>
        </w:rPr>
      </w:pPr>
      <w:r>
        <w:t>The qualitative evaluation found s</w:t>
      </w:r>
      <w:r w:rsidR="0080482E">
        <w:t xml:space="preserve">taff turnover </w:t>
      </w:r>
      <w:r>
        <w:t>wa</w:t>
      </w:r>
      <w:r w:rsidR="0080482E">
        <w:t xml:space="preserve">s a challenge faced by </w:t>
      </w:r>
      <w:r w:rsidR="0080482E" w:rsidRPr="005C6BBB">
        <w:t>ACCHS</w:t>
      </w:r>
      <w:r w:rsidR="0080482E">
        <w:t>s</w:t>
      </w:r>
      <w:r>
        <w:t>, and consequently the integrated pharmacists</w:t>
      </w:r>
      <w:r w:rsidR="0080482E">
        <w:t xml:space="preserve">. </w:t>
      </w:r>
      <w:r>
        <w:t xml:space="preserve">NACCHO project coordinators were dedicated to supporting the continuity of the project in services and assisted to inform new ACCHS staff about the project and the role. </w:t>
      </w:r>
      <w:r w:rsidR="0027609D">
        <w:t>A</w:t>
      </w:r>
      <w:r w:rsidR="00E14873">
        <w:t xml:space="preserve"> </w:t>
      </w:r>
      <w:r w:rsidR="008A49DD">
        <w:t xml:space="preserve">PRG was established to facilitate communication </w:t>
      </w:r>
      <w:r w:rsidR="004A248A">
        <w:t xml:space="preserve">with participating ACCHSs </w:t>
      </w:r>
      <w:r w:rsidR="008A49DD">
        <w:t xml:space="preserve">at key times in the project (at the request of members, rather than regularly) </w:t>
      </w:r>
      <w:r w:rsidR="004A248A">
        <w:t>through</w:t>
      </w:r>
      <w:r w:rsidR="008A49DD">
        <w:t xml:space="preserve"> information updates </w:t>
      </w:r>
      <w:r w:rsidR="004A248A">
        <w:t xml:space="preserve">by email </w:t>
      </w:r>
      <w:r w:rsidR="008A49DD">
        <w:t xml:space="preserve">and meetings </w:t>
      </w:r>
      <w:r w:rsidR="0027609D">
        <w:t xml:space="preserve">of project participants </w:t>
      </w:r>
      <w:r w:rsidR="008A49DD">
        <w:t xml:space="preserve">at conferences.  Participation by ACCHS staff in PRG meetings was </w:t>
      </w:r>
      <w:r w:rsidR="004A248A">
        <w:t>infrequent, although</w:t>
      </w:r>
      <w:r w:rsidR="008A49DD">
        <w:t xml:space="preserve"> there were no </w:t>
      </w:r>
      <w:r w:rsidR="00971663">
        <w:t>specific criticism</w:t>
      </w:r>
      <w:r w:rsidR="008A49DD">
        <w:t>s</w:t>
      </w:r>
      <w:r w:rsidR="00971663">
        <w:t xml:space="preserve"> of</w:t>
      </w:r>
      <w:r w:rsidR="00B06097">
        <w:t xml:space="preserve"> the meeting format or methods.</w:t>
      </w:r>
    </w:p>
    <w:p w14:paraId="0CD0DDC2" w14:textId="36836520" w:rsidR="007327B5" w:rsidRDefault="007534F9" w:rsidP="0048683E">
      <w:pPr>
        <w:pStyle w:val="Heading3"/>
      </w:pPr>
      <w:bookmarkStart w:id="262" w:name="_Toc41315653"/>
      <w:bookmarkStart w:id="263" w:name="_Toc138846299"/>
      <w:r>
        <w:lastRenderedPageBreak/>
        <w:t>Pharmacist</w:t>
      </w:r>
      <w:bookmarkEnd w:id="262"/>
      <w:r w:rsidR="00401A4C">
        <w:t xml:space="preserve"> </w:t>
      </w:r>
      <w:r w:rsidR="006C152D" w:rsidRPr="00121796">
        <w:t>service delivery</w:t>
      </w:r>
      <w:bookmarkEnd w:id="263"/>
    </w:p>
    <w:p w14:paraId="64984BEF" w14:textId="5ADD8041" w:rsidR="00587388" w:rsidRDefault="006C152D" w:rsidP="0048683E">
      <w:pPr>
        <w:pStyle w:val="Heading4"/>
      </w:pPr>
      <w:r>
        <w:t>Community pharmacy challenges</w:t>
      </w:r>
    </w:p>
    <w:p w14:paraId="14676B41" w14:textId="53E55AF5" w:rsidR="004C6969" w:rsidRDefault="008762FD" w:rsidP="008762FD">
      <w:r>
        <w:t xml:space="preserve">Some challenges </w:t>
      </w:r>
      <w:r w:rsidR="007534F9">
        <w:t xml:space="preserve">were </w:t>
      </w:r>
      <w:r>
        <w:t xml:space="preserve">experienced by community pharmacy in delivering their subcontracted hours </w:t>
      </w:r>
      <w:r w:rsidR="006364AB">
        <w:t>due to</w:t>
      </w:r>
      <w:r>
        <w:t xml:space="preserve"> competing interests in ensuring community pharmacies remained adequately staffed</w:t>
      </w:r>
      <w:r w:rsidR="006364AB" w:rsidRPr="006364AB">
        <w:t xml:space="preserve"> </w:t>
      </w:r>
      <w:r w:rsidR="00401A4C">
        <w:t>including</w:t>
      </w:r>
      <w:r w:rsidR="008E5E03">
        <w:t xml:space="preserve"> </w:t>
      </w:r>
      <w:r w:rsidR="006364AB">
        <w:t>a</w:t>
      </w:r>
      <w:r w:rsidR="00A37731">
        <w:t>t</w:t>
      </w:r>
      <w:r w:rsidR="006364AB">
        <w:t xml:space="preserve"> times of ill health.  </w:t>
      </w:r>
      <w:r>
        <w:t xml:space="preserve">In recognition of the need for pharmacists to build rapport and trust with ACCHS </w:t>
      </w:r>
      <w:r w:rsidR="004C6969">
        <w:t>patients</w:t>
      </w:r>
      <w:r>
        <w:t xml:space="preserve"> and to integrate effectively into the primary health</w:t>
      </w:r>
      <w:r w:rsidR="004C6969">
        <w:t xml:space="preserve"> </w:t>
      </w:r>
      <w:r>
        <w:t xml:space="preserve">care team, the subcontracts specified participation by individual pharmacists rather than a service that could be delivered by any pharmacist employed within the community pharmacy.  This restricted the community pharmacy from covering times of pharmacist absence with another staff member. </w:t>
      </w:r>
      <w:r w:rsidR="00401A4C">
        <w:t>Some of the participating pharmacists were long term employees of community pharmacy, and as such backfilling the</w:t>
      </w:r>
      <w:r w:rsidR="00121796">
        <w:t>se staff members</w:t>
      </w:r>
      <w:r w:rsidR="00401A4C">
        <w:t xml:space="preserve"> with replacement staff required additional effort from the community pharmacy owner to maintain their core operation.</w:t>
      </w:r>
      <w:r>
        <w:t xml:space="preserve"> Despite these challenges</w:t>
      </w:r>
      <w:r w:rsidR="00A37731">
        <w:t>,</w:t>
      </w:r>
      <w:r>
        <w:t xml:space="preserve"> community pharmacy participants were able to deliver 89% of their contracted hours, demonstrating their ongoing commitment to the project. </w:t>
      </w:r>
      <w:r w:rsidRPr="00B6172A">
        <w:t xml:space="preserve">Community pharmacies who have well developed and respectful relationships with ACCHSs are well placed to </w:t>
      </w:r>
      <w:r w:rsidR="00C7105A">
        <w:t>identify</w:t>
      </w:r>
      <w:r w:rsidR="00C7105A" w:rsidRPr="00B6172A">
        <w:t xml:space="preserve"> </w:t>
      </w:r>
      <w:r w:rsidRPr="00B6172A">
        <w:t xml:space="preserve">pharmacists to perform integrated roles.  </w:t>
      </w:r>
    </w:p>
    <w:p w14:paraId="2A8847B2" w14:textId="3838E70F" w:rsidR="00587388" w:rsidRDefault="000C0B5D" w:rsidP="0048683E">
      <w:pPr>
        <w:pStyle w:val="Heading4"/>
      </w:pPr>
      <w:r>
        <w:t>Remoteness</w:t>
      </w:r>
    </w:p>
    <w:p w14:paraId="2AFB9980" w14:textId="0E1F0ADF" w:rsidR="0080720A" w:rsidRPr="006C152D" w:rsidRDefault="008762FD" w:rsidP="00DA22EF">
      <w:r>
        <w:t xml:space="preserve">To accommodate challenges involved in delivering part time roles in remote locations in the IPAC Project, blocks of activity were conducted in </w:t>
      </w:r>
      <w:r w:rsidR="007534F9">
        <w:t>six</w:t>
      </w:r>
      <w:r>
        <w:t xml:space="preserve"> ACCHSs. At one ACCHS, a pharmacist appointed to a 0.4 FTE position delivered a </w:t>
      </w:r>
      <w:r w:rsidR="00A37731">
        <w:t>2-week</w:t>
      </w:r>
      <w:r>
        <w:t xml:space="preserve"> block of activity at regular intervals, rather than 2 days per week, while in another setting the pharmacist spent </w:t>
      </w:r>
      <w:proofErr w:type="gramStart"/>
      <w:r>
        <w:t>2 week</w:t>
      </w:r>
      <w:proofErr w:type="gramEnd"/>
      <w:r>
        <w:t xml:space="preserve"> blocks at one of the clinics that involved charter flights for access.  Based upon this experience, blocks of activity should be considered in future programs as an appropriate method of delivering integrated pharmacist services to ensure that smaller and more remote ACCHS are not excluded.  </w:t>
      </w:r>
      <w:r w:rsidR="004C6969">
        <w:t xml:space="preserve">Another challenge due to the location of a few ACCHSs was </w:t>
      </w:r>
      <w:r w:rsidR="00757C8D">
        <w:t xml:space="preserve">road conditions and </w:t>
      </w:r>
      <w:r w:rsidR="004C6969">
        <w:t xml:space="preserve">difficulty travelling to clinic sites during </w:t>
      </w:r>
      <w:r w:rsidR="00A37731">
        <w:t xml:space="preserve">the </w:t>
      </w:r>
      <w:r w:rsidR="004C6969">
        <w:t>wet season.</w:t>
      </w:r>
      <w:r w:rsidR="004C6969" w:rsidRPr="004C6969">
        <w:t xml:space="preserve"> </w:t>
      </w:r>
    </w:p>
    <w:p w14:paraId="22CBB826" w14:textId="1D2B6AA1" w:rsidR="004C6969" w:rsidRDefault="004C6969" w:rsidP="0048683E">
      <w:pPr>
        <w:pStyle w:val="Heading4"/>
      </w:pPr>
      <w:r>
        <w:t>Salary</w:t>
      </w:r>
    </w:p>
    <w:p w14:paraId="7EF6A202" w14:textId="4364FEEF" w:rsidR="003B3F0B" w:rsidRDefault="00D07145" w:rsidP="008762FD">
      <w:r>
        <w:t xml:space="preserve">Pharmacist </w:t>
      </w:r>
      <w:r w:rsidR="008762FD">
        <w:t xml:space="preserve">salary </w:t>
      </w:r>
      <w:r>
        <w:t xml:space="preserve">for the IPAC project was budgeted at </w:t>
      </w:r>
      <w:r w:rsidR="008762FD">
        <w:t xml:space="preserve">$50 per hour </w:t>
      </w:r>
      <w:r>
        <w:t xml:space="preserve">based on the study design </w:t>
      </w:r>
      <w:r w:rsidRPr="00121796">
        <w:t xml:space="preserve">and </w:t>
      </w:r>
      <w:r w:rsidR="00523B0F" w:rsidRPr="00121796">
        <w:t>project budget</w:t>
      </w:r>
      <w:r w:rsidR="008762FD">
        <w:t xml:space="preserve">.  For some pharmacists this rate was an increase on what they had been receiving prior to IPAC, while for others the rate was lower than the pay rate in their role immediately prior to IPAC.  Hourly rates for employment within community pharmacy vary significantly depending on the market forces in place for specific </w:t>
      </w:r>
      <w:r w:rsidR="00DA79F5">
        <w:t>roles</w:t>
      </w:r>
      <w:r w:rsidR="00963004">
        <w:t xml:space="preserve"> and </w:t>
      </w:r>
      <w:r w:rsidR="008762FD">
        <w:t>geographic areas</w:t>
      </w:r>
      <w:r w:rsidR="00523B0F">
        <w:t xml:space="preserve">, while </w:t>
      </w:r>
      <w:r w:rsidR="00121796">
        <w:t>salary</w:t>
      </w:r>
      <w:r w:rsidR="00106D5A">
        <w:t xml:space="preserve"> </w:t>
      </w:r>
      <w:r w:rsidR="00121796">
        <w:t>rates</w:t>
      </w:r>
      <w:r w:rsidR="00106D5A">
        <w:t xml:space="preserve"> </w:t>
      </w:r>
      <w:r w:rsidR="00121796">
        <w:t>within</w:t>
      </w:r>
      <w:r w:rsidR="00106D5A">
        <w:t xml:space="preserve"> public health systems can influence </w:t>
      </w:r>
      <w:r w:rsidR="00121796">
        <w:t xml:space="preserve">pay conditions </w:t>
      </w:r>
      <w:r w:rsidR="00106D5A">
        <w:t>within ACCHSs in the same jurisdictions.  For example, comparative rates within the NT public hospital system NT at the time of the project were $45 - $59/hour with 6 weeks’ annual leave provisions</w:t>
      </w:r>
      <w:r w:rsidR="00106D5A">
        <w:rPr>
          <w:rStyle w:val="EndnoteReference"/>
        </w:rPr>
        <w:endnoteReference w:id="90"/>
      </w:r>
      <w:r w:rsidR="00106D5A">
        <w:t xml:space="preserve">.  </w:t>
      </w:r>
      <w:r w:rsidR="0037130A">
        <w:t xml:space="preserve">These comparative rates highlight </w:t>
      </w:r>
      <w:proofErr w:type="gramStart"/>
      <w:r w:rsidR="0037130A">
        <w:t xml:space="preserve">that </w:t>
      </w:r>
      <w:r w:rsidR="00523B0F">
        <w:t xml:space="preserve">participating </w:t>
      </w:r>
      <w:r w:rsidR="0037130A">
        <w:t>pharmacists</w:t>
      </w:r>
      <w:proofErr w:type="gramEnd"/>
      <w:r w:rsidR="00523B0F">
        <w:t xml:space="preserve"> were </w:t>
      </w:r>
      <w:r w:rsidR="00F61197">
        <w:t>commit</w:t>
      </w:r>
      <w:r w:rsidR="00523B0F">
        <w:t>ted</w:t>
      </w:r>
      <w:r w:rsidR="00F61197">
        <w:t xml:space="preserve"> to supporting</w:t>
      </w:r>
      <w:r w:rsidR="0037130A">
        <w:t xml:space="preserve"> the project’s aims and objectives </w:t>
      </w:r>
      <w:r w:rsidR="00121796">
        <w:t xml:space="preserve">and </w:t>
      </w:r>
      <w:r w:rsidR="00D40942">
        <w:t xml:space="preserve">was </w:t>
      </w:r>
      <w:r w:rsidR="00C05E7C">
        <w:t xml:space="preserve">primary motivation for participating in IPAC, </w:t>
      </w:r>
      <w:r w:rsidR="0037130A">
        <w:t xml:space="preserve">rather than seeking high levels of remuneration. </w:t>
      </w:r>
    </w:p>
    <w:p w14:paraId="760178A8" w14:textId="60D179D7" w:rsidR="008762FD" w:rsidRDefault="00106D5A" w:rsidP="008762FD">
      <w:r>
        <w:t xml:space="preserve">Patient population size and remoteness are factors </w:t>
      </w:r>
      <w:r w:rsidR="007105F5">
        <w:t>that also need</w:t>
      </w:r>
      <w:r>
        <w:t xml:space="preserve"> to be considered</w:t>
      </w:r>
      <w:r w:rsidR="00523B0F">
        <w:t xml:space="preserve"> with pharmacist FTE allocation and salary</w:t>
      </w:r>
      <w:r>
        <w:t>. Studies have demonstrated that health costs increase with decreasing population size.</w:t>
      </w:r>
      <w:r>
        <w:rPr>
          <w:rStyle w:val="EndnoteReference"/>
        </w:rPr>
        <w:endnoteReference w:id="91"/>
      </w:r>
      <w:r>
        <w:t xml:space="preserve">  For this reason, the </w:t>
      </w:r>
      <w:r w:rsidR="0037130A">
        <w:t>proposed methodology</w:t>
      </w:r>
      <w:r>
        <w:t xml:space="preserve"> for future expansion of the </w:t>
      </w:r>
      <w:r w:rsidR="00523B0F">
        <w:t xml:space="preserve">IPAC </w:t>
      </w:r>
      <w:r>
        <w:t xml:space="preserve">model provides a baseline 0.2FTE for all ACCHSs, regardless of their size, before allowing for the estimated </w:t>
      </w:r>
      <w:r w:rsidR="00523B0F">
        <w:t xml:space="preserve">patient </w:t>
      </w:r>
      <w:r>
        <w:t xml:space="preserve">population.  </w:t>
      </w:r>
      <w:r w:rsidR="008762FD">
        <w:t xml:space="preserve">The Workforce Incentive Program </w:t>
      </w:r>
      <w:r w:rsidR="007105F5">
        <w:t xml:space="preserve">(WIP) </w:t>
      </w:r>
      <w:r w:rsidR="003B3F0B">
        <w:t xml:space="preserve">Practice Scheme </w:t>
      </w:r>
      <w:r w:rsidR="008762FD">
        <w:t>incorporates</w:t>
      </w:r>
      <w:r w:rsidR="008762FD" w:rsidRPr="008E3E02">
        <w:t xml:space="preserve"> rural loading</w:t>
      </w:r>
      <w:r w:rsidR="008762FD">
        <w:t>s</w:t>
      </w:r>
      <w:r w:rsidR="008762FD" w:rsidRPr="008E3E02">
        <w:t xml:space="preserve"> of </w:t>
      </w:r>
      <w:r w:rsidR="008762FD">
        <w:t xml:space="preserve">between </w:t>
      </w:r>
      <w:r w:rsidR="008762FD" w:rsidRPr="008E3E02">
        <w:t xml:space="preserve">20-50% to incentive payments to practices located in </w:t>
      </w:r>
      <w:r w:rsidR="008762FD">
        <w:t>M</w:t>
      </w:r>
      <w:r w:rsidR="008762FD" w:rsidRPr="008E3E02">
        <w:t>MM 3-7</w:t>
      </w:r>
      <w:r w:rsidR="008762FD">
        <w:t>, with the greater loading skewed to more remote locations.</w:t>
      </w:r>
      <w:r w:rsidR="003B3F0B">
        <w:rPr>
          <w:rStyle w:val="EndnoteReference"/>
        </w:rPr>
        <w:endnoteReference w:id="92"/>
      </w:r>
      <w:r w:rsidR="008762FD">
        <w:t xml:space="preserve">  In the IPAC Project, integrated pharmacists </w:t>
      </w:r>
      <w:r w:rsidR="007105F5">
        <w:t>were supported in some remote ACCHSs with</w:t>
      </w:r>
      <w:r w:rsidR="008762FD">
        <w:t xml:space="preserve"> </w:t>
      </w:r>
      <w:r w:rsidR="008762FD">
        <w:lastRenderedPageBreak/>
        <w:t>additional funding sourced from the project budget, ACCHSs in-kind support</w:t>
      </w:r>
      <w:r w:rsidR="008A5161">
        <w:t>,</w:t>
      </w:r>
      <w:r w:rsidR="008762FD">
        <w:t xml:space="preserve"> and community pharmacy contributions towards travel, </w:t>
      </w:r>
      <w:proofErr w:type="gramStart"/>
      <w:r w:rsidR="008762FD">
        <w:t>housing</w:t>
      </w:r>
      <w:proofErr w:type="gramEnd"/>
      <w:r w:rsidR="008762FD">
        <w:t xml:space="preserve"> and allowances.  </w:t>
      </w:r>
    </w:p>
    <w:p w14:paraId="524F11F6" w14:textId="1DE03835" w:rsidR="008762FD" w:rsidRDefault="008762FD" w:rsidP="0048683E">
      <w:pPr>
        <w:pStyle w:val="Heading4"/>
      </w:pPr>
      <w:r>
        <w:t xml:space="preserve">Scope of </w:t>
      </w:r>
      <w:r w:rsidR="006C152D">
        <w:t>p</w:t>
      </w:r>
      <w:r>
        <w:t>ractice</w:t>
      </w:r>
    </w:p>
    <w:p w14:paraId="113C9BD8" w14:textId="55AB60BD" w:rsidR="007327B5" w:rsidRPr="006C152D" w:rsidRDefault="008762FD" w:rsidP="00DA22EF">
      <w:r w:rsidRPr="00453FAA">
        <w:t xml:space="preserve">Pharmacists’ ability to work to their full scope of practice within an ACCHS can be limited by legislative barriers at a State or Territory level.  </w:t>
      </w:r>
      <w:r>
        <w:t>An e</w:t>
      </w:r>
      <w:r w:rsidRPr="00453FAA">
        <w:t xml:space="preserve">xample of these legislative barriers identified through the IPAC project included pharmacists in the Northern Territory being able to provide an </w:t>
      </w:r>
      <w:proofErr w:type="spellStart"/>
      <w:r w:rsidRPr="00453FAA">
        <w:t>immunisation</w:t>
      </w:r>
      <w:proofErr w:type="spellEnd"/>
      <w:r w:rsidRPr="00453FAA">
        <w:t xml:space="preserve"> service when working within the community pharmacy</w:t>
      </w:r>
      <w:r w:rsidR="00613F28">
        <w:t>,</w:t>
      </w:r>
      <w:r w:rsidRPr="00453FAA">
        <w:t xml:space="preserve"> however </w:t>
      </w:r>
      <w:r w:rsidR="00613F28">
        <w:t>they were</w:t>
      </w:r>
      <w:r w:rsidR="00613F28" w:rsidRPr="00453FAA">
        <w:t xml:space="preserve"> </w:t>
      </w:r>
      <w:r w:rsidRPr="00453FAA">
        <w:t xml:space="preserve">unable to </w:t>
      </w:r>
      <w:proofErr w:type="spellStart"/>
      <w:r w:rsidRPr="00453FAA">
        <w:t>immunise</w:t>
      </w:r>
      <w:proofErr w:type="spellEnd"/>
      <w:r w:rsidRPr="00453FAA">
        <w:t xml:space="preserve"> when working as a pharmacist (employed by the community pharmacy) within the ACCHS.  Ongoing efforts need to be undertaken by peak bodies such as PSA</w:t>
      </w:r>
      <w:r w:rsidR="00DB64DB">
        <w:t>,</w:t>
      </w:r>
      <w:r w:rsidRPr="00453FAA">
        <w:t xml:space="preserve"> to identify and advocate for changes to legislation to enable pharmacists to work to their full scope of practice within an ACCHS.</w:t>
      </w:r>
    </w:p>
    <w:p w14:paraId="5D3366DD" w14:textId="0BBFE786" w:rsidR="007327B5" w:rsidRDefault="004C6969" w:rsidP="0048683E">
      <w:pPr>
        <w:pStyle w:val="Heading3"/>
        <w:rPr>
          <w:rFonts w:cstheme="majorBidi"/>
        </w:rPr>
      </w:pPr>
      <w:bookmarkStart w:id="264" w:name="_Toc41315654"/>
      <w:bookmarkStart w:id="265" w:name="_Toc138846300"/>
      <w:bookmarkStart w:id="266" w:name="_Toc35946618"/>
      <w:bookmarkStart w:id="267" w:name="_Toc40350124"/>
      <w:bookmarkStart w:id="268" w:name="_Toc40441107"/>
      <w:r>
        <w:t xml:space="preserve">Role </w:t>
      </w:r>
      <w:r w:rsidR="006C152D">
        <w:t>implementation c</w:t>
      </w:r>
      <w:r w:rsidR="0080720A">
        <w:t>hallenges</w:t>
      </w:r>
      <w:bookmarkEnd w:id="264"/>
      <w:bookmarkEnd w:id="265"/>
      <w:r w:rsidR="0080720A">
        <w:t xml:space="preserve"> </w:t>
      </w:r>
      <w:bookmarkEnd w:id="266"/>
      <w:bookmarkEnd w:id="267"/>
      <w:bookmarkEnd w:id="268"/>
    </w:p>
    <w:p w14:paraId="0807023F" w14:textId="70F1648D" w:rsidR="007327B5" w:rsidRDefault="00D15B0A" w:rsidP="00DA22EF">
      <w:pPr>
        <w:rPr>
          <w:rFonts w:cstheme="minorHAnsi"/>
        </w:rPr>
      </w:pPr>
      <w:r>
        <w:rPr>
          <w:rFonts w:cstheme="minorHAnsi"/>
        </w:rPr>
        <w:t>Practical c</w:t>
      </w:r>
      <w:r w:rsidR="007327B5">
        <w:rPr>
          <w:rFonts w:cstheme="minorHAnsi"/>
        </w:rPr>
        <w:t>hallenges to integrating a pharmacist within the PHC team were identified through the qualitative evaluation. Prior to the IPAC project there were few pharmacists working in general practices or ACCHSs nationally</w:t>
      </w:r>
      <w:r w:rsidR="00613F28">
        <w:rPr>
          <w:rFonts w:cstheme="minorHAnsi"/>
        </w:rPr>
        <w:t>,</w:t>
      </w:r>
      <w:r w:rsidR="007327B5">
        <w:rPr>
          <w:rFonts w:cstheme="minorHAnsi"/>
        </w:rPr>
        <w:t xml:space="preserve"> and there was very little understanding of the role of </w:t>
      </w:r>
      <w:r w:rsidR="007327B5" w:rsidRPr="003A7ECB">
        <w:rPr>
          <w:rFonts w:cstheme="minorHAnsi"/>
        </w:rPr>
        <w:t>a</w:t>
      </w:r>
      <w:r w:rsidR="003A7ECB" w:rsidRPr="003A7ECB">
        <w:rPr>
          <w:rFonts w:cstheme="minorHAnsi"/>
        </w:rPr>
        <w:t>n integrated</w:t>
      </w:r>
      <w:r w:rsidR="007327B5">
        <w:rPr>
          <w:rFonts w:cstheme="minorHAnsi"/>
        </w:rPr>
        <w:t xml:space="preserve"> pharmacist in the primary </w:t>
      </w:r>
      <w:r w:rsidR="00AC1381">
        <w:rPr>
          <w:rFonts w:cstheme="minorHAnsi"/>
        </w:rPr>
        <w:t xml:space="preserve">health </w:t>
      </w:r>
      <w:r w:rsidR="007327B5">
        <w:rPr>
          <w:rFonts w:cstheme="minorHAnsi"/>
        </w:rPr>
        <w:t xml:space="preserve">care </w:t>
      </w:r>
      <w:r w:rsidR="003A7ECB">
        <w:rPr>
          <w:rFonts w:cstheme="minorHAnsi"/>
        </w:rPr>
        <w:t xml:space="preserve">practice </w:t>
      </w:r>
      <w:r w:rsidR="007327B5">
        <w:rPr>
          <w:rFonts w:cstheme="minorHAnsi"/>
        </w:rPr>
        <w:t>setting.  At commencement</w:t>
      </w:r>
      <w:r w:rsidR="00613F28">
        <w:rPr>
          <w:rFonts w:cstheme="minorHAnsi"/>
        </w:rPr>
        <w:t>,</w:t>
      </w:r>
      <w:r w:rsidR="007327B5">
        <w:rPr>
          <w:rFonts w:cstheme="minorHAnsi"/>
        </w:rPr>
        <w:t xml:space="preserve"> an initial lack of understanding of the </w:t>
      </w:r>
      <w:r w:rsidR="007257AC">
        <w:t xml:space="preserve">integrated </w:t>
      </w:r>
      <w:r w:rsidR="007327B5">
        <w:rPr>
          <w:rFonts w:cstheme="minorHAnsi"/>
        </w:rPr>
        <w:t xml:space="preserve">pharmacist role led to some </w:t>
      </w:r>
      <w:r w:rsidR="00523B0F">
        <w:rPr>
          <w:rFonts w:cstheme="minorHAnsi"/>
        </w:rPr>
        <w:t xml:space="preserve">pharmacists </w:t>
      </w:r>
      <w:r w:rsidR="007327B5">
        <w:rPr>
          <w:rFonts w:cstheme="minorHAnsi"/>
        </w:rPr>
        <w:t xml:space="preserve">being </w:t>
      </w:r>
      <w:proofErr w:type="spellStart"/>
      <w:r w:rsidR="007327B5">
        <w:rPr>
          <w:rFonts w:cstheme="minorHAnsi"/>
        </w:rPr>
        <w:t>underutilised</w:t>
      </w:r>
      <w:proofErr w:type="spellEnd"/>
      <w:r w:rsidR="007327B5">
        <w:rPr>
          <w:rFonts w:cstheme="minorHAnsi"/>
        </w:rPr>
        <w:t xml:space="preserve">, </w:t>
      </w:r>
      <w:r w:rsidR="00523B0F">
        <w:rPr>
          <w:rFonts w:cstheme="minorHAnsi"/>
        </w:rPr>
        <w:t>with</w:t>
      </w:r>
      <w:r w:rsidR="007327B5">
        <w:rPr>
          <w:rFonts w:cstheme="minorHAnsi"/>
        </w:rPr>
        <w:t xml:space="preserve"> referrals to the pharmacists from other ACCHS health professionals </w:t>
      </w:r>
      <w:r w:rsidR="00121796">
        <w:rPr>
          <w:rFonts w:cstheme="minorHAnsi"/>
        </w:rPr>
        <w:t xml:space="preserve">being </w:t>
      </w:r>
      <w:r w:rsidR="007327B5">
        <w:rPr>
          <w:rFonts w:cstheme="minorHAnsi"/>
        </w:rPr>
        <w:t xml:space="preserve">low. </w:t>
      </w:r>
    </w:p>
    <w:p w14:paraId="03DA0F9E" w14:textId="2638A5A3" w:rsidR="00F94680" w:rsidRPr="006C152D" w:rsidRDefault="007327B5" w:rsidP="00DA22EF">
      <w:pPr>
        <w:rPr>
          <w:rFonts w:asciiTheme="majorHAnsi" w:hAnsiTheme="majorHAnsi"/>
        </w:rPr>
      </w:pPr>
      <w:r>
        <w:rPr>
          <w:rFonts w:cstheme="minorHAnsi"/>
        </w:rPr>
        <w:t xml:space="preserve">A few ACCHSs in the project had worked closely with pharmacists providing HMRs for </w:t>
      </w:r>
      <w:r w:rsidR="00121796">
        <w:rPr>
          <w:rFonts w:cstheme="minorHAnsi"/>
        </w:rPr>
        <w:t xml:space="preserve">their </w:t>
      </w:r>
      <w:r>
        <w:rPr>
          <w:rFonts w:cstheme="minorHAnsi"/>
        </w:rPr>
        <w:t xml:space="preserve">patients, and staff </w:t>
      </w:r>
      <w:r w:rsidR="003A7ECB" w:rsidRPr="00107373">
        <w:rPr>
          <w:rFonts w:cstheme="minorHAnsi"/>
        </w:rPr>
        <w:t>at these</w:t>
      </w:r>
      <w:r w:rsidR="003A7ECB">
        <w:rPr>
          <w:rFonts w:cstheme="minorHAnsi"/>
        </w:rPr>
        <w:t xml:space="preserve"> services </w:t>
      </w:r>
      <w:r>
        <w:rPr>
          <w:rFonts w:cstheme="minorHAnsi"/>
        </w:rPr>
        <w:t xml:space="preserve">had a slightly better understanding of the value a pharmacist could add to patient care.  However, service readiness for the project was a challenge for some services.  All ACCHSs received support and a site visit </w:t>
      </w:r>
      <w:r w:rsidR="00523B0F">
        <w:rPr>
          <w:rFonts w:cstheme="minorHAnsi"/>
        </w:rPr>
        <w:t xml:space="preserve">by NACCHO </w:t>
      </w:r>
      <w:r w:rsidR="00121796">
        <w:rPr>
          <w:rFonts w:cstheme="minorHAnsi"/>
        </w:rPr>
        <w:t>project c</w:t>
      </w:r>
      <w:r w:rsidR="00523B0F">
        <w:rPr>
          <w:rFonts w:cstheme="minorHAnsi"/>
        </w:rPr>
        <w:t xml:space="preserve">oordinators </w:t>
      </w:r>
      <w:r>
        <w:rPr>
          <w:rFonts w:cstheme="minorHAnsi"/>
        </w:rPr>
        <w:t>as part of the recruitment process</w:t>
      </w:r>
      <w:r w:rsidR="00107373">
        <w:rPr>
          <w:rFonts w:cstheme="minorHAnsi"/>
        </w:rPr>
        <w:t>. S</w:t>
      </w:r>
      <w:r>
        <w:rPr>
          <w:rFonts w:cstheme="minorHAnsi"/>
        </w:rPr>
        <w:t>ome services were well prepared for the pharmacist</w:t>
      </w:r>
      <w:r w:rsidR="00121796">
        <w:rPr>
          <w:rFonts w:cstheme="minorHAnsi"/>
        </w:rPr>
        <w:t xml:space="preserve"> </w:t>
      </w:r>
      <w:r>
        <w:rPr>
          <w:rFonts w:cstheme="minorHAnsi"/>
        </w:rPr>
        <w:t xml:space="preserve">and understood the nature of the role and its potential value. However, staff in other services needed time to fully understand the role and learn how to </w:t>
      </w:r>
      <w:proofErr w:type="spellStart"/>
      <w:r>
        <w:rPr>
          <w:rFonts w:cstheme="minorHAnsi"/>
        </w:rPr>
        <w:t>utilise</w:t>
      </w:r>
      <w:proofErr w:type="spellEnd"/>
      <w:r>
        <w:rPr>
          <w:rFonts w:cstheme="minorHAnsi"/>
        </w:rPr>
        <w:t xml:space="preserve"> the pharmacists’ expertise.  </w:t>
      </w:r>
      <w:r>
        <w:t xml:space="preserve">More discussion </w:t>
      </w:r>
      <w:r w:rsidR="00350A03">
        <w:t>and education with</w:t>
      </w:r>
      <w:r>
        <w:t xml:space="preserve"> ACCHS staff may have assisted </w:t>
      </w:r>
      <w:r w:rsidR="00107373">
        <w:t xml:space="preserve">with </w:t>
      </w:r>
      <w:r>
        <w:t>prepar</w:t>
      </w:r>
      <w:r w:rsidR="00107373">
        <w:t>ation of</w:t>
      </w:r>
      <w:r>
        <w:t xml:space="preserve"> service</w:t>
      </w:r>
      <w:r w:rsidR="00350A03">
        <w:t>s</w:t>
      </w:r>
      <w:r>
        <w:t xml:space="preserve"> before the pharmacist commenced.</w:t>
      </w:r>
      <w:r>
        <w:rPr>
          <w:rFonts w:cstheme="minorHAnsi"/>
        </w:rPr>
        <w:t xml:space="preserve"> </w:t>
      </w:r>
      <w:r w:rsidR="00107373">
        <w:rPr>
          <w:rFonts w:asciiTheme="majorHAnsi" w:hAnsiTheme="majorHAnsi"/>
        </w:rPr>
        <w:t>It is</w:t>
      </w:r>
      <w:r w:rsidR="00107373" w:rsidRPr="00350A03">
        <w:rPr>
          <w:rFonts w:asciiTheme="majorHAnsi" w:hAnsiTheme="majorHAnsi"/>
        </w:rPr>
        <w:t xml:space="preserve"> expected that over time</w:t>
      </w:r>
      <w:r w:rsidR="00107373">
        <w:rPr>
          <w:rFonts w:asciiTheme="majorHAnsi" w:hAnsiTheme="majorHAnsi"/>
        </w:rPr>
        <w:t>,</w:t>
      </w:r>
      <w:r w:rsidR="00107373" w:rsidRPr="00350A03">
        <w:rPr>
          <w:rFonts w:asciiTheme="majorHAnsi" w:hAnsiTheme="majorHAnsi"/>
        </w:rPr>
        <w:t xml:space="preserve"> with increased awareness of what the role can achieve</w:t>
      </w:r>
      <w:r w:rsidR="00107373">
        <w:rPr>
          <w:rFonts w:asciiTheme="majorHAnsi" w:hAnsiTheme="majorHAnsi"/>
        </w:rPr>
        <w:t>, the</w:t>
      </w:r>
      <w:r w:rsidR="00107373" w:rsidRPr="00350A03">
        <w:rPr>
          <w:rFonts w:asciiTheme="majorHAnsi" w:hAnsiTheme="majorHAnsi"/>
        </w:rPr>
        <w:t xml:space="preserve"> need </w:t>
      </w:r>
      <w:r w:rsidR="00107373">
        <w:rPr>
          <w:rFonts w:asciiTheme="majorHAnsi" w:hAnsiTheme="majorHAnsi"/>
        </w:rPr>
        <w:t xml:space="preserve">for this education and support </w:t>
      </w:r>
      <w:r w:rsidR="00107373" w:rsidRPr="00350A03">
        <w:rPr>
          <w:rFonts w:asciiTheme="majorHAnsi" w:hAnsiTheme="majorHAnsi"/>
        </w:rPr>
        <w:t>will diminish</w:t>
      </w:r>
      <w:r w:rsidR="00107373">
        <w:rPr>
          <w:rFonts w:asciiTheme="majorHAnsi" w:hAnsiTheme="majorHAnsi"/>
        </w:rPr>
        <w:t xml:space="preserve">. </w:t>
      </w:r>
    </w:p>
    <w:p w14:paraId="362A486B" w14:textId="76865B76" w:rsidR="007327B5" w:rsidRDefault="007327B5" w:rsidP="00DA22EF">
      <w:pPr>
        <w:rPr>
          <w:rFonts w:cstheme="minorHAnsi"/>
        </w:rPr>
      </w:pPr>
      <w:r>
        <w:rPr>
          <w:rFonts w:cstheme="minorHAnsi"/>
        </w:rPr>
        <w:t xml:space="preserve">Some services needed to develop policies and procedures </w:t>
      </w:r>
      <w:proofErr w:type="gramStart"/>
      <w:r>
        <w:rPr>
          <w:rFonts w:cstheme="minorHAnsi"/>
        </w:rPr>
        <w:t>in order to</w:t>
      </w:r>
      <w:proofErr w:type="gramEnd"/>
      <w:r>
        <w:rPr>
          <w:rFonts w:cstheme="minorHAnsi"/>
        </w:rPr>
        <w:t xml:space="preserve"> guide ACCHS medicine-related activity so that the </w:t>
      </w:r>
      <w:r w:rsidR="00F94680">
        <w:rPr>
          <w:rFonts w:cstheme="minorHAnsi"/>
        </w:rPr>
        <w:t xml:space="preserve">integrated </w:t>
      </w:r>
      <w:r>
        <w:rPr>
          <w:rFonts w:cstheme="minorHAnsi"/>
        </w:rPr>
        <w:t xml:space="preserve">pharmacist could assist with these activities and establish their role within the service. This was burdensome for some ACCHSs. In addition, the need for pharmacist induction into the service, the </w:t>
      </w:r>
      <w:r w:rsidR="00107373">
        <w:rPr>
          <w:rFonts w:cstheme="minorHAnsi"/>
        </w:rPr>
        <w:t xml:space="preserve">reality </w:t>
      </w:r>
      <w:r>
        <w:rPr>
          <w:rFonts w:cstheme="minorHAnsi"/>
        </w:rPr>
        <w:t xml:space="preserve">of staff turnover, and other service priorities were challenges.  </w:t>
      </w:r>
    </w:p>
    <w:p w14:paraId="35BD6C15" w14:textId="77BA79DF" w:rsidR="007327B5" w:rsidRDefault="007327B5" w:rsidP="00DA22EF">
      <w:pPr>
        <w:rPr>
          <w:rFonts w:cstheme="minorHAnsi"/>
        </w:rPr>
      </w:pPr>
      <w:r>
        <w:rPr>
          <w:rFonts w:cstheme="minorHAnsi"/>
        </w:rPr>
        <w:t xml:space="preserve">At the time of their qualitative interview (after approximately six months of practice in their service) </w:t>
      </w:r>
      <w:proofErr w:type="gramStart"/>
      <w:r>
        <w:rPr>
          <w:rFonts w:cstheme="minorHAnsi"/>
        </w:rPr>
        <w:t>the majority of</w:t>
      </w:r>
      <w:proofErr w:type="gramEnd"/>
      <w:r>
        <w:rPr>
          <w:rFonts w:cstheme="minorHAnsi"/>
        </w:rPr>
        <w:t xml:space="preserve"> the </w:t>
      </w:r>
      <w:r w:rsidR="007257AC">
        <w:t xml:space="preserve">integrated </w:t>
      </w:r>
      <w:r>
        <w:rPr>
          <w:rFonts w:cstheme="minorHAnsi"/>
        </w:rPr>
        <w:t xml:space="preserve">pharmacists felt accepted and well-integrated within the PHC team. The provision of education to staff on how </w:t>
      </w:r>
      <w:r w:rsidR="00582A1A">
        <w:rPr>
          <w:rFonts w:cstheme="minorHAnsi"/>
        </w:rPr>
        <w:t>an integrated pharmacist</w:t>
      </w:r>
      <w:r w:rsidR="008E4643">
        <w:rPr>
          <w:rFonts w:cstheme="minorHAnsi"/>
        </w:rPr>
        <w:t xml:space="preserve"> </w:t>
      </w:r>
      <w:r>
        <w:rPr>
          <w:rFonts w:cstheme="minorHAnsi"/>
        </w:rPr>
        <w:t xml:space="preserve">could contribute to the PHC team and their ability to improve health outcomes for </w:t>
      </w:r>
      <w:proofErr w:type="gramStart"/>
      <w:r w:rsidR="004A178E">
        <w:rPr>
          <w:color w:val="000000" w:themeColor="text1"/>
        </w:rPr>
        <w:t>participants</w:t>
      </w:r>
      <w:r w:rsidR="00582A1A">
        <w:rPr>
          <w:color w:val="000000" w:themeColor="text1"/>
        </w:rPr>
        <w:t>’</w:t>
      </w:r>
      <w:proofErr w:type="gramEnd"/>
      <w:r>
        <w:rPr>
          <w:rFonts w:cstheme="minorHAnsi"/>
        </w:rPr>
        <w:t xml:space="preserve"> facilitated better understanding of their role, developed relationships</w:t>
      </w:r>
      <w:r w:rsidR="005355FA">
        <w:rPr>
          <w:rFonts w:cstheme="minorHAnsi"/>
        </w:rPr>
        <w:t>,</w:t>
      </w:r>
      <w:r>
        <w:rPr>
          <w:rFonts w:cstheme="minorHAnsi"/>
        </w:rPr>
        <w:t xml:space="preserve"> and helped the pharmacist to integrate into the team.  Over time, these factors contributed to more patients being referred to the pharmacist.  </w:t>
      </w:r>
    </w:p>
    <w:p w14:paraId="6BF3D6A5" w14:textId="02B320E6" w:rsidR="007327B5" w:rsidRDefault="007327B5" w:rsidP="00DA22E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cstheme="minorHAnsi"/>
        </w:rPr>
      </w:pPr>
      <w:r>
        <w:rPr>
          <w:rFonts w:cstheme="minorHAnsi"/>
        </w:rPr>
        <w:t xml:space="preserve">Many of the pharmacists and health services staff reported that the irregular attendance of </w:t>
      </w:r>
      <w:r w:rsidR="004A178E">
        <w:rPr>
          <w:color w:val="000000" w:themeColor="text1"/>
        </w:rPr>
        <w:t>participants</w:t>
      </w:r>
      <w:r w:rsidR="004A178E" w:rsidRPr="00D636F8">
        <w:rPr>
          <w:color w:val="000000" w:themeColor="text1"/>
        </w:rPr>
        <w:t xml:space="preserve"> </w:t>
      </w:r>
      <w:r>
        <w:rPr>
          <w:rFonts w:cstheme="minorHAnsi"/>
        </w:rPr>
        <w:t xml:space="preserve">at ACCHSs presented challenges.  </w:t>
      </w:r>
      <w:r w:rsidR="00B362B4">
        <w:rPr>
          <w:rFonts w:cstheme="minorHAnsi"/>
        </w:rPr>
        <w:t>When participants did present, t</w:t>
      </w:r>
      <w:r>
        <w:rPr>
          <w:rFonts w:cstheme="minorHAnsi"/>
        </w:rPr>
        <w:t xml:space="preserve">his often resulted in </w:t>
      </w:r>
      <w:r w:rsidR="00B362B4">
        <w:rPr>
          <w:rFonts w:cstheme="minorHAnsi"/>
        </w:rPr>
        <w:t>them</w:t>
      </w:r>
      <w:r w:rsidR="004A178E" w:rsidRPr="00D636F8">
        <w:rPr>
          <w:color w:val="000000" w:themeColor="text1"/>
        </w:rPr>
        <w:t xml:space="preserve"> </w:t>
      </w:r>
      <w:r>
        <w:rPr>
          <w:rFonts w:cstheme="minorHAnsi"/>
        </w:rPr>
        <w:t xml:space="preserve">being seen by many health professionals </w:t>
      </w:r>
      <w:r w:rsidR="00B362B4">
        <w:rPr>
          <w:rFonts w:cstheme="minorHAnsi"/>
        </w:rPr>
        <w:t>within the one visit</w:t>
      </w:r>
      <w:r>
        <w:rPr>
          <w:rFonts w:cstheme="minorHAnsi"/>
        </w:rPr>
        <w:t xml:space="preserve"> </w:t>
      </w:r>
      <w:proofErr w:type="gramStart"/>
      <w:r>
        <w:rPr>
          <w:rFonts w:cstheme="minorHAnsi"/>
        </w:rPr>
        <w:t>in order to</w:t>
      </w:r>
      <w:proofErr w:type="gramEnd"/>
      <w:r>
        <w:rPr>
          <w:rFonts w:cstheme="minorHAnsi"/>
        </w:rPr>
        <w:t xml:space="preserve"> deliver opportunistic care.  </w:t>
      </w:r>
      <w:r w:rsidR="004A178E">
        <w:rPr>
          <w:color w:val="000000" w:themeColor="text1"/>
        </w:rPr>
        <w:t>Participants</w:t>
      </w:r>
      <w:r w:rsidR="004A178E" w:rsidRPr="00D636F8">
        <w:rPr>
          <w:color w:val="000000" w:themeColor="text1"/>
        </w:rPr>
        <w:t xml:space="preserve"> </w:t>
      </w:r>
      <w:r>
        <w:rPr>
          <w:rFonts w:cstheme="minorHAnsi"/>
        </w:rPr>
        <w:t xml:space="preserve">with chronic disease, especially </w:t>
      </w:r>
      <w:r w:rsidR="004A178E">
        <w:rPr>
          <w:rFonts w:cstheme="minorHAnsi"/>
        </w:rPr>
        <w:t>those</w:t>
      </w:r>
      <w:r>
        <w:rPr>
          <w:rFonts w:cstheme="minorHAnsi"/>
        </w:rPr>
        <w:t xml:space="preserve"> with kidney disease also had many appointments with clinical staff and were often overwhelmed</w:t>
      </w:r>
      <w:r w:rsidR="00B362B4">
        <w:rPr>
          <w:rFonts w:cstheme="minorHAnsi"/>
        </w:rPr>
        <w:t xml:space="preserve">, meaning they may not have </w:t>
      </w:r>
      <w:r w:rsidR="003334BA">
        <w:rPr>
          <w:rFonts w:cstheme="minorHAnsi"/>
        </w:rPr>
        <w:t xml:space="preserve">wanted to spend </w:t>
      </w:r>
      <w:r w:rsidR="00B362B4">
        <w:rPr>
          <w:rFonts w:cstheme="minorHAnsi"/>
        </w:rPr>
        <w:t>additional time for a pharmacist consultation</w:t>
      </w:r>
      <w:r>
        <w:rPr>
          <w:rFonts w:cstheme="minorHAnsi"/>
        </w:rPr>
        <w:t xml:space="preserve">.  Other issues that presented challenges for the pharmacists to </w:t>
      </w:r>
      <w:proofErr w:type="spellStart"/>
      <w:r>
        <w:rPr>
          <w:rFonts w:cstheme="minorHAnsi"/>
        </w:rPr>
        <w:t>organise</w:t>
      </w:r>
      <w:proofErr w:type="spellEnd"/>
      <w:r>
        <w:rPr>
          <w:rFonts w:cstheme="minorHAnsi"/>
        </w:rPr>
        <w:t xml:space="preserve"> follow-up appointments with </w:t>
      </w:r>
      <w:r w:rsidR="004A178E">
        <w:rPr>
          <w:color w:val="000000" w:themeColor="text1"/>
        </w:rPr>
        <w:lastRenderedPageBreak/>
        <w:t>participants</w:t>
      </w:r>
      <w:r w:rsidR="004A178E" w:rsidRPr="00D636F8">
        <w:rPr>
          <w:color w:val="000000" w:themeColor="text1"/>
        </w:rPr>
        <w:t xml:space="preserve"> </w:t>
      </w:r>
      <w:r>
        <w:rPr>
          <w:rFonts w:cstheme="minorHAnsi"/>
        </w:rPr>
        <w:t xml:space="preserve">included transience, </w:t>
      </w:r>
      <w:r w:rsidR="00B362B4">
        <w:rPr>
          <w:rFonts w:cstheme="minorHAnsi"/>
        </w:rPr>
        <w:t xml:space="preserve">difficulty contacting patients, </w:t>
      </w:r>
      <w:r>
        <w:rPr>
          <w:rFonts w:cstheme="minorHAnsi"/>
        </w:rPr>
        <w:t xml:space="preserve">language barriers and ‘sorry </w:t>
      </w:r>
      <w:proofErr w:type="gramStart"/>
      <w:r>
        <w:rPr>
          <w:rFonts w:cstheme="minorHAnsi"/>
        </w:rPr>
        <w:t>business’</w:t>
      </w:r>
      <w:proofErr w:type="gramEnd"/>
      <w:r>
        <w:rPr>
          <w:rFonts w:cstheme="minorHAnsi"/>
        </w:rPr>
        <w:t xml:space="preserve">.  Several </w:t>
      </w:r>
      <w:r w:rsidR="007257AC">
        <w:t xml:space="preserve">integrated </w:t>
      </w:r>
      <w:r>
        <w:rPr>
          <w:rFonts w:cstheme="minorHAnsi"/>
        </w:rPr>
        <w:t xml:space="preserve">pharmacists commented that </w:t>
      </w:r>
      <w:r w:rsidR="004A178E">
        <w:rPr>
          <w:color w:val="000000" w:themeColor="text1"/>
        </w:rPr>
        <w:t>participants</w:t>
      </w:r>
      <w:r>
        <w:rPr>
          <w:rFonts w:cstheme="minorHAnsi"/>
        </w:rPr>
        <w:t xml:space="preserve"> often visited their homelands or family</w:t>
      </w:r>
      <w:r w:rsidR="005355FA">
        <w:rPr>
          <w:rFonts w:cstheme="minorHAnsi"/>
        </w:rPr>
        <w:t>,</w:t>
      </w:r>
      <w:r>
        <w:rPr>
          <w:rFonts w:cstheme="minorHAnsi"/>
        </w:rPr>
        <w:t xml:space="preserve"> meaning they were not readily available for follow up.</w:t>
      </w:r>
    </w:p>
    <w:p w14:paraId="4A1E2873" w14:textId="06CB760E" w:rsidR="00982BC0" w:rsidRDefault="00982BC0" w:rsidP="0048683E">
      <w:pPr>
        <w:pStyle w:val="Heading3"/>
      </w:pPr>
      <w:bookmarkStart w:id="269" w:name="_Toc41315655"/>
      <w:bookmarkStart w:id="270" w:name="_Toc138846301"/>
      <w:r>
        <w:t xml:space="preserve">Research-related </w:t>
      </w:r>
      <w:r w:rsidR="00067CF9">
        <w:t>c</w:t>
      </w:r>
      <w:r>
        <w:t>hallenges</w:t>
      </w:r>
      <w:bookmarkEnd w:id="269"/>
      <w:bookmarkEnd w:id="270"/>
    </w:p>
    <w:p w14:paraId="7436DBDD" w14:textId="7469A5FA" w:rsidR="002A11D0" w:rsidRPr="006C152D" w:rsidRDefault="002A11D0" w:rsidP="006C15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cstheme="minorHAnsi"/>
        </w:rPr>
      </w:pPr>
      <w:r>
        <w:rPr>
          <w:rFonts w:cstheme="minorHAnsi"/>
        </w:rPr>
        <w:t>The NACCHO reported that a few ACCHSs expressed concern about data extraction processes.  Other r</w:t>
      </w:r>
      <w:r w:rsidR="00982BC0">
        <w:rPr>
          <w:rFonts w:cstheme="minorHAnsi"/>
        </w:rPr>
        <w:t>esearch</w:t>
      </w:r>
      <w:r w:rsidR="007327B5">
        <w:rPr>
          <w:rFonts w:cstheme="minorHAnsi"/>
        </w:rPr>
        <w:t xml:space="preserve">-related challenges </w:t>
      </w:r>
      <w:r w:rsidR="00F94680">
        <w:rPr>
          <w:rFonts w:cstheme="minorHAnsi"/>
        </w:rPr>
        <w:t>included</w:t>
      </w:r>
      <w:r w:rsidR="007327B5">
        <w:rPr>
          <w:rFonts w:cstheme="minorHAnsi"/>
        </w:rPr>
        <w:t xml:space="preserve"> the complexity of the participant consent process and the need for written consent from the patient</w:t>
      </w:r>
      <w:r w:rsidR="000C0B5D">
        <w:rPr>
          <w:rFonts w:cstheme="minorHAnsi"/>
        </w:rPr>
        <w:t xml:space="preserve"> which </w:t>
      </w:r>
      <w:r w:rsidR="007327B5">
        <w:rPr>
          <w:rFonts w:cstheme="minorHAnsi"/>
        </w:rPr>
        <w:t xml:space="preserve">was </w:t>
      </w:r>
      <w:r>
        <w:rPr>
          <w:rFonts w:cstheme="minorHAnsi"/>
        </w:rPr>
        <w:t>an issue</w:t>
      </w:r>
      <w:r w:rsidR="007327B5">
        <w:rPr>
          <w:rFonts w:cstheme="minorHAnsi"/>
        </w:rPr>
        <w:t xml:space="preserve"> where </w:t>
      </w:r>
      <w:r>
        <w:rPr>
          <w:color w:val="000000" w:themeColor="text1"/>
        </w:rPr>
        <w:t>patients</w:t>
      </w:r>
      <w:r w:rsidR="004A178E" w:rsidRPr="00D636F8">
        <w:rPr>
          <w:color w:val="000000" w:themeColor="text1"/>
        </w:rPr>
        <w:t xml:space="preserve"> </w:t>
      </w:r>
      <w:r w:rsidR="007327B5">
        <w:rPr>
          <w:rFonts w:cstheme="minorHAnsi"/>
        </w:rPr>
        <w:t xml:space="preserve">had low health literacy or where English was not their first language.  </w:t>
      </w:r>
      <w:r>
        <w:rPr>
          <w:rFonts w:cstheme="minorHAnsi"/>
        </w:rPr>
        <w:t>Some p</w:t>
      </w:r>
      <w:r w:rsidR="007327B5">
        <w:rPr>
          <w:rFonts w:cstheme="minorHAnsi"/>
        </w:rPr>
        <w:t xml:space="preserve">harmacists </w:t>
      </w:r>
      <w:r>
        <w:rPr>
          <w:rFonts w:cstheme="minorHAnsi"/>
        </w:rPr>
        <w:t xml:space="preserve">reported </w:t>
      </w:r>
      <w:r w:rsidR="007327B5">
        <w:rPr>
          <w:rFonts w:cstheme="minorHAnsi"/>
        </w:rPr>
        <w:t>enter</w:t>
      </w:r>
      <w:r w:rsidR="003334BA">
        <w:rPr>
          <w:rFonts w:cstheme="minorHAnsi"/>
        </w:rPr>
        <w:t>ing</w:t>
      </w:r>
      <w:r w:rsidR="007327B5">
        <w:rPr>
          <w:rFonts w:cstheme="minorHAnsi"/>
        </w:rPr>
        <w:t xml:space="preserve"> research </w:t>
      </w:r>
      <w:r w:rsidR="007327B5" w:rsidRPr="002A11D0">
        <w:rPr>
          <w:rFonts w:cstheme="minorHAnsi"/>
        </w:rPr>
        <w:t>data for the quantitative analysis</w:t>
      </w:r>
      <w:r w:rsidRPr="002A11D0">
        <w:rPr>
          <w:rFonts w:cstheme="minorHAnsi"/>
        </w:rPr>
        <w:t xml:space="preserve"> was</w:t>
      </w:r>
      <w:r w:rsidR="007327B5" w:rsidRPr="002A11D0">
        <w:rPr>
          <w:rFonts w:cstheme="minorHAnsi"/>
        </w:rPr>
        <w:t xml:space="preserve"> quite time-consuming.</w:t>
      </w:r>
    </w:p>
    <w:p w14:paraId="3167620A" w14:textId="49C541B2" w:rsidR="00F17710" w:rsidRDefault="0083191C" w:rsidP="002A11D0">
      <w:pPr>
        <w:rPr>
          <w:lang w:eastAsia="en-AU"/>
        </w:rPr>
      </w:pPr>
      <w:r w:rsidRPr="002A11D0">
        <w:rPr>
          <w:lang w:eastAsia="en-AU"/>
        </w:rPr>
        <w:t>Generally, ACCHSs were accepting that research projects have inherent additional requirements beyond a health</w:t>
      </w:r>
      <w:r w:rsidR="002A11D0" w:rsidRPr="002A11D0">
        <w:rPr>
          <w:lang w:eastAsia="en-AU"/>
        </w:rPr>
        <w:t xml:space="preserve"> </w:t>
      </w:r>
      <w:r w:rsidRPr="002A11D0">
        <w:rPr>
          <w:lang w:eastAsia="en-AU"/>
        </w:rPr>
        <w:t>care program</w:t>
      </w:r>
      <w:r w:rsidR="002A11D0" w:rsidRPr="002A11D0">
        <w:rPr>
          <w:lang w:eastAsia="en-AU"/>
        </w:rPr>
        <w:t xml:space="preserve"> or intervention</w:t>
      </w:r>
      <w:r w:rsidR="00B9772A">
        <w:rPr>
          <w:lang w:eastAsia="en-AU"/>
        </w:rPr>
        <w:t>,</w:t>
      </w:r>
      <w:r w:rsidR="002A11D0" w:rsidRPr="002A11D0">
        <w:rPr>
          <w:lang w:eastAsia="en-AU"/>
        </w:rPr>
        <w:t xml:space="preserve"> and</w:t>
      </w:r>
      <w:r w:rsidRPr="002A11D0">
        <w:rPr>
          <w:lang w:eastAsia="en-AU"/>
        </w:rPr>
        <w:t xml:space="preserve"> </w:t>
      </w:r>
      <w:r w:rsidR="000C0B5D">
        <w:rPr>
          <w:lang w:eastAsia="en-AU"/>
        </w:rPr>
        <w:t>ACCHSs</w:t>
      </w:r>
      <w:r w:rsidRPr="002A11D0">
        <w:rPr>
          <w:lang w:eastAsia="en-AU"/>
        </w:rPr>
        <w:t xml:space="preserve"> and </w:t>
      </w:r>
      <w:r w:rsidR="002A11D0" w:rsidRPr="002A11D0">
        <w:rPr>
          <w:lang w:eastAsia="en-AU"/>
        </w:rPr>
        <w:t xml:space="preserve">the integrated </w:t>
      </w:r>
      <w:r w:rsidRPr="002A11D0">
        <w:rPr>
          <w:lang w:eastAsia="en-AU"/>
        </w:rPr>
        <w:t xml:space="preserve">pharmacists were accommodating of these challenges. </w:t>
      </w:r>
      <w:r w:rsidR="00067CF9">
        <w:rPr>
          <w:lang w:eastAsia="en-AU"/>
        </w:rPr>
        <w:t xml:space="preserve"> In an expansion of the integrated pharmacist role more broadly research challenges would be eliminated</w:t>
      </w:r>
      <w:r w:rsidR="00B9772A">
        <w:rPr>
          <w:lang w:eastAsia="en-AU"/>
        </w:rPr>
        <w:t>, with reporting limited to the monitoring requirements of the funding body</w:t>
      </w:r>
      <w:r w:rsidR="00067CF9">
        <w:rPr>
          <w:lang w:eastAsia="en-AU"/>
        </w:rPr>
        <w:t>.</w:t>
      </w:r>
    </w:p>
    <w:p w14:paraId="4B8AEA6F" w14:textId="732BFF0B" w:rsidR="0083191C" w:rsidRDefault="00F17710" w:rsidP="002A11D0">
      <w:proofErr w:type="gramStart"/>
      <w:r>
        <w:t>The majority of</w:t>
      </w:r>
      <w:proofErr w:type="gramEnd"/>
      <w:r>
        <w:t xml:space="preserve"> participants in the qualitative evaluation strongly su</w:t>
      </w:r>
      <w:r w:rsidR="007C6CD7">
        <w:t>pported the intervention and it</w:t>
      </w:r>
      <w:r>
        <w:t xml:space="preserve">s continuation, which was corroborated by feedback received by the NACCHO </w:t>
      </w:r>
      <w:r w:rsidR="007C6CD7">
        <w:t xml:space="preserve">and PSA </w:t>
      </w:r>
      <w:r>
        <w:t xml:space="preserve">project coordinators. Upon hearing the integrated pharmacist trial was concluding one patient stated: </w:t>
      </w:r>
      <w:r w:rsidRPr="00BB4F91">
        <w:rPr>
          <w:i/>
        </w:rPr>
        <w:t xml:space="preserve">“you get a </w:t>
      </w:r>
      <w:proofErr w:type="gramStart"/>
      <w:r w:rsidRPr="00BB4F91">
        <w:rPr>
          <w:i/>
        </w:rPr>
        <w:t>program</w:t>
      </w:r>
      <w:proofErr w:type="gramEnd"/>
      <w:r w:rsidRPr="00BB4F91">
        <w:rPr>
          <w:i/>
        </w:rPr>
        <w:t xml:space="preserve"> and it works and bugger me dead if they don't pull the plug on </w:t>
      </w:r>
      <w:r w:rsidRPr="00057AFE">
        <w:rPr>
          <w:i/>
        </w:rPr>
        <w:t>it.”</w:t>
      </w:r>
      <w:r w:rsidRPr="00057AFE">
        <w:t xml:space="preserve"> </w:t>
      </w:r>
      <w:r w:rsidR="00370CA6" w:rsidRPr="00057AFE">
        <w:t>(</w:t>
      </w:r>
      <w:proofErr w:type="gramStart"/>
      <w:r w:rsidR="00370CA6" w:rsidRPr="00057AFE">
        <w:t>focus</w:t>
      </w:r>
      <w:proofErr w:type="gramEnd"/>
      <w:r w:rsidR="00370CA6" w:rsidRPr="00057AFE">
        <w:t xml:space="preserve"> group, case study</w:t>
      </w:r>
      <w:r w:rsidR="00392D76">
        <w:t xml:space="preserve"> 2, Appendix 14</w:t>
      </w:r>
      <w:r w:rsidR="00370CA6" w:rsidRPr="00057AFE">
        <w:t>)</w:t>
      </w:r>
      <w:r w:rsidR="00062B74" w:rsidRPr="00057AFE">
        <w:t xml:space="preserve">.  </w:t>
      </w:r>
      <w:r w:rsidR="00156C5D" w:rsidRPr="00057AFE">
        <w:t xml:space="preserve">Research </w:t>
      </w:r>
      <w:r w:rsidR="00E52172" w:rsidRPr="00057AFE">
        <w:t xml:space="preserve">projects </w:t>
      </w:r>
      <w:r w:rsidR="00156C5D" w:rsidRPr="00057AFE">
        <w:t xml:space="preserve">such as </w:t>
      </w:r>
      <w:r w:rsidR="00E52172" w:rsidRPr="00057AFE">
        <w:t>the I</w:t>
      </w:r>
      <w:r w:rsidR="00156C5D" w:rsidRPr="00057AFE">
        <w:t>PAC</w:t>
      </w:r>
      <w:r w:rsidR="00156C5D">
        <w:t xml:space="preserve"> </w:t>
      </w:r>
      <w:r w:rsidR="00E52172">
        <w:t xml:space="preserve">trial </w:t>
      </w:r>
      <w:r w:rsidR="00156C5D">
        <w:t xml:space="preserve">which are considered by participating ACCHSs and patients to be acceptable, culturally safe and effective, </w:t>
      </w:r>
      <w:r w:rsidR="00E52172">
        <w:t>but which are</w:t>
      </w:r>
      <w:r w:rsidR="00156C5D">
        <w:t xml:space="preserve"> completed without ongoing funding to maintain the new service throughout analysis and evaluation</w:t>
      </w:r>
      <w:r w:rsidR="00E52172">
        <w:t xml:space="preserve"> phase</w:t>
      </w:r>
      <w:r w:rsidR="00156C5D">
        <w:t>, contribute to the existing research fatigue</w:t>
      </w:r>
      <w:r w:rsidR="00057AFE">
        <w:t xml:space="preserve"> reported by Aboriginal people</w:t>
      </w:r>
      <w:r w:rsidR="00156C5D">
        <w:t xml:space="preserve"> and Torres Strait Islanders.</w:t>
      </w:r>
      <w:r w:rsidR="007C6CD7">
        <w:rPr>
          <w:rStyle w:val="EndnoteReference"/>
        </w:rPr>
        <w:endnoteReference w:id="93"/>
      </w:r>
      <w:r w:rsidR="00156C5D">
        <w:t xml:space="preserve"> F</w:t>
      </w:r>
      <w:r>
        <w:t xml:space="preserve">uture </w:t>
      </w:r>
      <w:r w:rsidR="00156C5D">
        <w:t>trials</w:t>
      </w:r>
      <w:r>
        <w:t xml:space="preserve"> involving </w:t>
      </w:r>
      <w:r w:rsidR="00057AFE">
        <w:t>Aboriginal people</w:t>
      </w:r>
      <w:r>
        <w:t xml:space="preserve"> and Torres Strait Islanders </w:t>
      </w:r>
      <w:r w:rsidR="00156C5D">
        <w:t>should</w:t>
      </w:r>
      <w:r w:rsidR="00370CA6">
        <w:t xml:space="preserve"> consider inclusion of </w:t>
      </w:r>
      <w:r>
        <w:t>a contingency for continuance</w:t>
      </w:r>
      <w:r w:rsidR="00057AFE">
        <w:t xml:space="preserve"> of successful services and programs</w:t>
      </w:r>
      <w:r w:rsidR="00370CA6">
        <w:t>.</w:t>
      </w:r>
      <w:r w:rsidR="00156C5D">
        <w:t xml:space="preserve"> </w:t>
      </w:r>
      <w:r>
        <w:t xml:space="preserve"> </w:t>
      </w:r>
    </w:p>
    <w:p w14:paraId="74ED9EA8" w14:textId="77777777" w:rsidR="00FC5566" w:rsidRPr="006C152D" w:rsidRDefault="00FC5566" w:rsidP="006C152D">
      <w:bookmarkStart w:id="271" w:name="_Toc525901996"/>
      <w:bookmarkStart w:id="272" w:name="_Toc35946620"/>
      <w:r w:rsidRPr="006C152D">
        <w:br w:type="page"/>
      </w:r>
    </w:p>
    <w:p w14:paraId="41CD8B7A" w14:textId="1751E5A9" w:rsidR="006145E5" w:rsidRDefault="006E2309" w:rsidP="006C152D">
      <w:pPr>
        <w:pStyle w:val="Heading1"/>
      </w:pPr>
      <w:bookmarkStart w:id="273" w:name="_Toc40350125"/>
      <w:bookmarkStart w:id="274" w:name="_Toc40441108"/>
      <w:bookmarkStart w:id="275" w:name="_Toc41315656"/>
      <w:bookmarkStart w:id="276" w:name="_Toc138846302"/>
      <w:r>
        <w:lastRenderedPageBreak/>
        <w:t xml:space="preserve">Conclusion and </w:t>
      </w:r>
      <w:r w:rsidR="006C152D">
        <w:t>r</w:t>
      </w:r>
      <w:r w:rsidR="006145E5">
        <w:t>ecommendations</w:t>
      </w:r>
      <w:bookmarkEnd w:id="273"/>
      <w:bookmarkEnd w:id="274"/>
      <w:bookmarkEnd w:id="275"/>
      <w:bookmarkEnd w:id="276"/>
    </w:p>
    <w:p w14:paraId="457E04DE" w14:textId="4FA73C78" w:rsidR="00525180" w:rsidRDefault="00525180" w:rsidP="00525180">
      <w:pPr>
        <w:rPr>
          <w:rFonts w:cstheme="minorHAnsi"/>
        </w:rPr>
      </w:pPr>
      <w:r>
        <w:rPr>
          <w:rFonts w:cstheme="minorHAnsi"/>
        </w:rPr>
        <w:t xml:space="preserve">The IPAC trial </w:t>
      </w:r>
      <w:r w:rsidR="00A638D8">
        <w:rPr>
          <w:rFonts w:cstheme="minorHAnsi"/>
        </w:rPr>
        <w:t xml:space="preserve">provided evidence that integrated pharmacists in ACCHSs </w:t>
      </w:r>
      <w:r w:rsidR="00C028DA">
        <w:rPr>
          <w:rFonts w:cstheme="minorHAnsi"/>
        </w:rPr>
        <w:t xml:space="preserve">significantly </w:t>
      </w:r>
      <w:r>
        <w:rPr>
          <w:rFonts w:cstheme="minorHAnsi"/>
        </w:rPr>
        <w:t>improve</w:t>
      </w:r>
      <w:r w:rsidR="00A638D8">
        <w:rPr>
          <w:rFonts w:cstheme="minorHAnsi"/>
        </w:rPr>
        <w:t>d</w:t>
      </w:r>
      <w:r>
        <w:rPr>
          <w:rFonts w:cstheme="minorHAnsi"/>
        </w:rPr>
        <w:t xml:space="preserve"> quality of care outcomes for adult Aboriginal </w:t>
      </w:r>
      <w:r w:rsidR="00F17710">
        <w:rPr>
          <w:rFonts w:cstheme="minorHAnsi"/>
        </w:rPr>
        <w:t xml:space="preserve">and Torres Strait Islander </w:t>
      </w:r>
      <w:r>
        <w:rPr>
          <w:rFonts w:cstheme="minorHAnsi"/>
        </w:rPr>
        <w:t xml:space="preserve">patients with chronic disease </w:t>
      </w:r>
      <w:r w:rsidR="00A638D8">
        <w:rPr>
          <w:rFonts w:cstheme="minorHAnsi"/>
        </w:rPr>
        <w:t>through the provision of</w:t>
      </w:r>
      <w:r w:rsidRPr="00D703AF">
        <w:t xml:space="preserve"> </w:t>
      </w:r>
      <w:r w:rsidRPr="0098236D">
        <w:t>superior</w:t>
      </w:r>
      <w:r>
        <w:t xml:space="preserve"> quality of care </w:t>
      </w:r>
      <w:r w:rsidR="00A638D8">
        <w:t xml:space="preserve">when </w:t>
      </w:r>
      <w:r>
        <w:t xml:space="preserve">compared </w:t>
      </w:r>
      <w:r w:rsidRPr="00D703AF">
        <w:t xml:space="preserve">to </w:t>
      </w:r>
      <w:r w:rsidR="00A638D8">
        <w:t>pre-intervention</w:t>
      </w:r>
      <w:r w:rsidR="00B2302B">
        <w:t>.  The t</w:t>
      </w:r>
      <w:r w:rsidR="00C028DA">
        <w:t>rial</w:t>
      </w:r>
      <w:r>
        <w:t xml:space="preserve"> </w:t>
      </w:r>
      <w:r w:rsidR="00A638D8">
        <w:t>demonstrated</w:t>
      </w:r>
      <w:r w:rsidRPr="00D703AF">
        <w:t xml:space="preserve"> </w:t>
      </w:r>
      <w:r>
        <w:t>that a</w:t>
      </w:r>
      <w:r w:rsidRPr="00D703AF">
        <w:t xml:space="preserve">ppropriate funding for </w:t>
      </w:r>
      <w:r w:rsidR="00A638D8">
        <w:t xml:space="preserve">integrated </w:t>
      </w:r>
      <w:r w:rsidR="00C028DA">
        <w:t>pharmacist</w:t>
      </w:r>
      <w:r w:rsidRPr="00D703AF">
        <w:t xml:space="preserve"> </w:t>
      </w:r>
      <w:r w:rsidR="004B6A53" w:rsidRPr="00D703AF">
        <w:t xml:space="preserve">services </w:t>
      </w:r>
      <w:r w:rsidRPr="00D703AF">
        <w:t>within ACCHSs lead</w:t>
      </w:r>
      <w:r w:rsidR="008C1C4F">
        <w:t>s</w:t>
      </w:r>
      <w:r w:rsidRPr="00D703AF">
        <w:t xml:space="preserve"> to </w:t>
      </w:r>
      <w:r w:rsidRPr="0098236D">
        <w:t>superior</w:t>
      </w:r>
      <w:r w:rsidRPr="00D703AF">
        <w:t xml:space="preserve"> health service </w:t>
      </w:r>
      <w:proofErr w:type="spellStart"/>
      <w:r w:rsidRPr="00D703AF">
        <w:t>utilisation</w:t>
      </w:r>
      <w:proofErr w:type="spellEnd"/>
      <w:r w:rsidRPr="00D703AF">
        <w:t xml:space="preserve"> (towards equity)</w:t>
      </w:r>
      <w:r>
        <w:t xml:space="preserve"> compared </w:t>
      </w:r>
      <w:r w:rsidRPr="00D703AF">
        <w:t xml:space="preserve">to </w:t>
      </w:r>
      <w:proofErr w:type="spellStart"/>
      <w:r w:rsidRPr="00D703AF">
        <w:t>utilisation</w:t>
      </w:r>
      <w:proofErr w:type="spellEnd"/>
      <w:r w:rsidRPr="00D703AF">
        <w:t xml:space="preserve"> pre-intervention.</w:t>
      </w:r>
      <w:r>
        <w:t xml:space="preserve"> </w:t>
      </w:r>
      <w:r>
        <w:rPr>
          <w:rFonts w:cstheme="minorHAnsi"/>
        </w:rPr>
        <w:t xml:space="preserve">This report has summarized the outcomes of the IPAC trial and clearly demonstrates that both clinical claims were achieved. </w:t>
      </w:r>
    </w:p>
    <w:p w14:paraId="775AB4D9" w14:textId="4127437C" w:rsidR="004B6A53" w:rsidRDefault="004B6A53" w:rsidP="004B6A53">
      <w:pPr>
        <w:rPr>
          <w:rFonts w:asciiTheme="majorHAnsi" w:hAnsiTheme="majorHAnsi" w:cstheme="majorHAnsi"/>
          <w:lang w:val="en-AU"/>
        </w:rPr>
      </w:pPr>
      <w:r w:rsidRPr="00E96691">
        <w:rPr>
          <w:rFonts w:asciiTheme="majorHAnsi" w:hAnsiTheme="majorHAnsi" w:cstheme="majorHAnsi"/>
        </w:rPr>
        <w:t xml:space="preserve">Analysis of </w:t>
      </w:r>
      <w:r>
        <w:rPr>
          <w:rFonts w:asciiTheme="majorHAnsi" w:hAnsiTheme="majorHAnsi" w:cstheme="majorHAnsi"/>
        </w:rPr>
        <w:t>participant</w:t>
      </w:r>
      <w:r w:rsidRPr="00E96691">
        <w:rPr>
          <w:rFonts w:asciiTheme="majorHAnsi" w:hAnsiTheme="majorHAnsi" w:cstheme="majorHAnsi"/>
        </w:rPr>
        <w:t xml:space="preserve"> </w:t>
      </w:r>
      <w:r>
        <w:rPr>
          <w:rFonts w:asciiTheme="majorHAnsi" w:hAnsiTheme="majorHAnsi" w:cstheme="majorHAnsi"/>
        </w:rPr>
        <w:t xml:space="preserve">data </w:t>
      </w:r>
      <w:r w:rsidRPr="00E96691">
        <w:rPr>
          <w:rFonts w:asciiTheme="majorHAnsi" w:hAnsiTheme="majorHAnsi" w:cstheme="majorHAnsi"/>
        </w:rPr>
        <w:t xml:space="preserve">and </w:t>
      </w:r>
      <w:r>
        <w:rPr>
          <w:rFonts w:asciiTheme="majorHAnsi" w:hAnsiTheme="majorHAnsi" w:cstheme="majorHAnsi"/>
        </w:rPr>
        <w:t xml:space="preserve">integrated pharmacist </w:t>
      </w:r>
      <w:r w:rsidRPr="00E96691">
        <w:rPr>
          <w:rFonts w:asciiTheme="majorHAnsi" w:hAnsiTheme="majorHAnsi" w:cstheme="majorHAnsi"/>
        </w:rPr>
        <w:t>activit</w:t>
      </w:r>
      <w:r>
        <w:rPr>
          <w:rFonts w:asciiTheme="majorHAnsi" w:hAnsiTheme="majorHAnsi" w:cstheme="majorHAnsi"/>
        </w:rPr>
        <w:t>ies</w:t>
      </w:r>
      <w:r w:rsidRPr="00E96691">
        <w:rPr>
          <w:rFonts w:asciiTheme="majorHAnsi" w:hAnsiTheme="majorHAnsi" w:cstheme="majorHAnsi"/>
        </w:rPr>
        <w:t xml:space="preserve"> collected through the IPAC </w:t>
      </w:r>
      <w:r>
        <w:rPr>
          <w:rFonts w:asciiTheme="majorHAnsi" w:hAnsiTheme="majorHAnsi" w:cstheme="majorHAnsi"/>
        </w:rPr>
        <w:t>trial</w:t>
      </w:r>
      <w:r w:rsidRPr="00E96691">
        <w:rPr>
          <w:rFonts w:asciiTheme="majorHAnsi" w:hAnsiTheme="majorHAnsi" w:cstheme="majorHAnsi"/>
        </w:rPr>
        <w:t xml:space="preserve"> demonstrated that integrated pharmacists </w:t>
      </w:r>
      <w:r>
        <w:rPr>
          <w:rFonts w:asciiTheme="majorHAnsi" w:hAnsiTheme="majorHAnsi" w:cstheme="majorHAnsi"/>
        </w:rPr>
        <w:t xml:space="preserve">significantly improved a range of intermediate clinical outcomes </w:t>
      </w:r>
      <w:r w:rsidRPr="00E96691">
        <w:rPr>
          <w:rFonts w:asciiTheme="majorHAnsi" w:hAnsiTheme="majorHAnsi" w:cstheme="majorHAnsi"/>
        </w:rPr>
        <w:t xml:space="preserve">for adult Aboriginal and Torres Strait Islander </w:t>
      </w:r>
      <w:r>
        <w:rPr>
          <w:color w:val="000000" w:themeColor="text1"/>
        </w:rPr>
        <w:t>participants</w:t>
      </w:r>
      <w:r w:rsidRPr="00D636F8">
        <w:rPr>
          <w:color w:val="000000" w:themeColor="text1"/>
        </w:rPr>
        <w:t xml:space="preserve"> </w:t>
      </w:r>
      <w:r>
        <w:rPr>
          <w:rFonts w:asciiTheme="majorHAnsi" w:hAnsiTheme="majorHAnsi" w:cstheme="majorHAnsi"/>
        </w:rPr>
        <w:t>with chronic disease</w:t>
      </w:r>
      <w:r w:rsidR="00C028DA">
        <w:rPr>
          <w:rFonts w:asciiTheme="majorHAnsi" w:hAnsiTheme="majorHAnsi" w:cstheme="majorHAnsi"/>
        </w:rPr>
        <w:t>.</w:t>
      </w:r>
      <w:r>
        <w:rPr>
          <w:rFonts w:asciiTheme="majorHAnsi" w:hAnsiTheme="majorHAnsi" w:cstheme="majorHAnsi"/>
        </w:rPr>
        <w:t xml:space="preserve"> </w:t>
      </w:r>
      <w:r w:rsidR="00C028DA">
        <w:rPr>
          <w:rFonts w:asciiTheme="majorHAnsi" w:hAnsiTheme="majorHAnsi" w:cstheme="majorHAnsi"/>
        </w:rPr>
        <w:t>S</w:t>
      </w:r>
      <w:r>
        <w:rPr>
          <w:rFonts w:asciiTheme="majorHAnsi" w:hAnsiTheme="majorHAnsi" w:cstheme="majorHAnsi"/>
        </w:rPr>
        <w:t>ignificant improvements in</w:t>
      </w:r>
      <w:r w:rsidRPr="00E96691">
        <w:rPr>
          <w:rFonts w:asciiTheme="majorHAnsi" w:hAnsiTheme="majorHAnsi" w:cstheme="majorHAnsi"/>
        </w:rPr>
        <w:t xml:space="preserve"> </w:t>
      </w:r>
      <w:r w:rsidR="00C028DA">
        <w:rPr>
          <w:rFonts w:asciiTheme="majorHAnsi" w:hAnsiTheme="majorHAnsi" w:cstheme="majorHAnsi"/>
        </w:rPr>
        <w:t xml:space="preserve">the </w:t>
      </w:r>
      <w:r w:rsidRPr="00E96691">
        <w:rPr>
          <w:rFonts w:asciiTheme="majorHAnsi" w:hAnsiTheme="majorHAnsi" w:cstheme="majorHAnsi"/>
        </w:rPr>
        <w:t xml:space="preserve">control of CVD risk factors, </w:t>
      </w:r>
      <w:proofErr w:type="spellStart"/>
      <w:r w:rsidRPr="00E96691">
        <w:rPr>
          <w:rFonts w:asciiTheme="majorHAnsi" w:hAnsiTheme="majorHAnsi" w:cstheme="majorHAnsi"/>
        </w:rPr>
        <w:t>glycaemic</w:t>
      </w:r>
      <w:proofErr w:type="spellEnd"/>
      <w:r w:rsidRPr="00E96691">
        <w:rPr>
          <w:rFonts w:asciiTheme="majorHAnsi" w:hAnsiTheme="majorHAnsi" w:cstheme="majorHAnsi"/>
        </w:rPr>
        <w:t xml:space="preserve"> control in </w:t>
      </w:r>
      <w:r>
        <w:rPr>
          <w:color w:val="000000" w:themeColor="text1"/>
        </w:rPr>
        <w:t>participants</w:t>
      </w:r>
      <w:r w:rsidRPr="00D636F8">
        <w:rPr>
          <w:color w:val="000000" w:themeColor="text1"/>
        </w:rPr>
        <w:t xml:space="preserve"> </w:t>
      </w:r>
      <w:r w:rsidRPr="00E96691">
        <w:rPr>
          <w:rFonts w:asciiTheme="majorHAnsi" w:hAnsiTheme="majorHAnsi" w:cstheme="majorHAnsi"/>
        </w:rPr>
        <w:t>with T2DM, and reduced absolute CVD risk</w:t>
      </w:r>
      <w:r w:rsidR="00C028DA">
        <w:rPr>
          <w:rFonts w:asciiTheme="majorHAnsi" w:hAnsiTheme="majorHAnsi" w:cstheme="majorHAnsi"/>
        </w:rPr>
        <w:t xml:space="preserve"> were observed in participants attending ACCHSs</w:t>
      </w:r>
      <w:r w:rsidRPr="00E96691">
        <w:rPr>
          <w:rFonts w:asciiTheme="majorHAnsi" w:hAnsiTheme="majorHAnsi" w:cstheme="majorHAnsi"/>
        </w:rPr>
        <w:t xml:space="preserve">. </w:t>
      </w:r>
      <w:r w:rsidRPr="00E96691">
        <w:rPr>
          <w:rFonts w:asciiTheme="majorHAnsi" w:hAnsiTheme="majorHAnsi" w:cstheme="majorHAnsi"/>
          <w:lang w:val="en-AU"/>
        </w:rPr>
        <w:t xml:space="preserve"> </w:t>
      </w:r>
      <w:r>
        <w:rPr>
          <w:rFonts w:asciiTheme="majorHAnsi" w:hAnsiTheme="majorHAnsi" w:cstheme="majorHAnsi"/>
        </w:rPr>
        <w:t>Medication adherence and self-assessed health status improved significantly indicating that integrated pharmacists can help to overcome the barriers Aboriginal patients face with taking medications.</w:t>
      </w:r>
    </w:p>
    <w:p w14:paraId="17450DC7" w14:textId="4F4CAF53" w:rsidR="004B6A53" w:rsidRDefault="004B6A53" w:rsidP="006C152D">
      <w:pPr>
        <w:widowControl/>
        <w:autoSpaceDE w:val="0"/>
        <w:autoSpaceDN w:val="0"/>
        <w:adjustRightInd w:val="0"/>
        <w:rPr>
          <w:rFonts w:asciiTheme="majorHAnsi" w:hAnsiTheme="majorHAnsi" w:cstheme="majorHAnsi"/>
        </w:rPr>
      </w:pPr>
      <w:r w:rsidRPr="004B6A53">
        <w:rPr>
          <w:rFonts w:asciiTheme="majorHAnsi" w:hAnsiTheme="majorHAnsi" w:cstheme="majorHAnsi"/>
          <w:lang w:val="en-AU"/>
        </w:rPr>
        <w:t xml:space="preserve">Prescribing quality improved significantly for participants following assessments of medication appropriateness and underutilisation, </w:t>
      </w:r>
      <w:proofErr w:type="gramStart"/>
      <w:r w:rsidRPr="004B6A53">
        <w:rPr>
          <w:rFonts w:asciiTheme="majorHAnsi" w:hAnsiTheme="majorHAnsi" w:cstheme="majorHAnsi"/>
          <w:lang w:val="en-AU"/>
        </w:rPr>
        <w:t>in particular for</w:t>
      </w:r>
      <w:proofErr w:type="gramEnd"/>
      <w:r w:rsidRPr="004B6A53">
        <w:rPr>
          <w:rFonts w:asciiTheme="majorHAnsi" w:hAnsiTheme="majorHAnsi" w:cstheme="majorHAnsi"/>
          <w:lang w:val="en-AU"/>
        </w:rPr>
        <w:t xml:space="preserve"> participants taking medications for hypertension, diabetes and/or dyslipidaemia.  At</w:t>
      </w:r>
      <w:r>
        <w:rPr>
          <w:rFonts w:asciiTheme="majorHAnsi" w:hAnsiTheme="majorHAnsi" w:cstheme="majorHAnsi"/>
          <w:lang w:val="en-AU"/>
        </w:rPr>
        <w:t xml:space="preserve"> the end of the study</w:t>
      </w:r>
      <w:r w:rsidRPr="004B6A53">
        <w:rPr>
          <w:rFonts w:asciiTheme="majorHAnsi" w:hAnsiTheme="majorHAnsi" w:cstheme="majorHAnsi"/>
          <w:lang w:val="en-AU"/>
        </w:rPr>
        <w:t xml:space="preserve"> there was a significant reduction in the number of participants with potential prescription-based medication underutilisation, and a significant relative reduction in the mean </w:t>
      </w:r>
      <w:r>
        <w:rPr>
          <w:rFonts w:asciiTheme="majorHAnsi" w:hAnsiTheme="majorHAnsi" w:cstheme="majorHAnsi"/>
          <w:lang w:val="en-AU"/>
        </w:rPr>
        <w:t>number of PPOs per participant</w:t>
      </w:r>
      <w:r w:rsidRPr="004B6A53">
        <w:rPr>
          <w:rFonts w:asciiTheme="majorHAnsi" w:hAnsiTheme="majorHAnsi" w:cstheme="majorHAnsi"/>
          <w:lang w:val="en-AU"/>
        </w:rPr>
        <w:t xml:space="preserve">. </w:t>
      </w:r>
      <w:r>
        <w:rPr>
          <w:rFonts w:asciiTheme="majorHAnsi" w:hAnsiTheme="majorHAnsi" w:cstheme="majorHAnsi"/>
          <w:lang w:val="en-AU"/>
        </w:rPr>
        <w:t>Potential omissions</w:t>
      </w:r>
      <w:r w:rsidRPr="009402E0">
        <w:rPr>
          <w:rFonts w:asciiTheme="majorHAnsi" w:hAnsiTheme="majorHAnsi" w:cstheme="majorHAnsi"/>
          <w:lang w:val="en-AU"/>
        </w:rPr>
        <w:t xml:space="preserve"> prevented were for pneumococcal vaccination, BP and/or lipid lowering medication in those clinically at high primary CVD risk, ACEI or ARB for participants with T2DM and albuminuria, and metformin for those with T2DM.</w:t>
      </w:r>
    </w:p>
    <w:p w14:paraId="0A80CC1D" w14:textId="11A75659" w:rsidR="008B4580" w:rsidRDefault="008B4580" w:rsidP="008B4580">
      <w:pPr>
        <w:rPr>
          <w:rFonts w:asciiTheme="majorHAnsi" w:hAnsiTheme="majorHAnsi" w:cstheme="majorHAnsi"/>
          <w:lang w:val="en-AU"/>
        </w:rPr>
      </w:pPr>
      <w:r>
        <w:rPr>
          <w:rFonts w:asciiTheme="majorHAnsi" w:hAnsiTheme="majorHAnsi" w:cstheme="majorHAnsi"/>
          <w:lang w:val="en-AU"/>
        </w:rPr>
        <w:t xml:space="preserve">A nearly four-fold increase in </w:t>
      </w:r>
      <w:r w:rsidRPr="008B7C4A">
        <w:rPr>
          <w:rFonts w:asciiTheme="majorHAnsi" w:hAnsiTheme="majorHAnsi" w:cstheme="majorHAnsi"/>
          <w:lang w:val="en-AU"/>
        </w:rPr>
        <w:t xml:space="preserve">HMRs </w:t>
      </w:r>
      <w:r w:rsidR="00A85C43" w:rsidRPr="008B7C4A">
        <w:rPr>
          <w:rFonts w:cs="Calibri"/>
        </w:rPr>
        <w:t xml:space="preserve">and significant uptake of the non-HMR model by both accredited and non-accredited pharmacists </w:t>
      </w:r>
      <w:r>
        <w:rPr>
          <w:rFonts w:asciiTheme="majorHAnsi" w:hAnsiTheme="majorHAnsi" w:cstheme="majorHAnsi"/>
          <w:lang w:val="en-AU"/>
        </w:rPr>
        <w:t>indicates that p</w:t>
      </w:r>
      <w:r w:rsidRPr="00E96691">
        <w:rPr>
          <w:rFonts w:asciiTheme="majorHAnsi" w:hAnsiTheme="majorHAnsi" w:cstheme="majorHAnsi"/>
          <w:lang w:val="en-AU"/>
        </w:rPr>
        <w:t xml:space="preserve">harmacists integrated within ACCHSs are well placed to deliver medication management reviews to </w:t>
      </w:r>
      <w:r>
        <w:rPr>
          <w:color w:val="000000" w:themeColor="text1"/>
        </w:rPr>
        <w:t>participants</w:t>
      </w:r>
      <w:r w:rsidRPr="00D636F8">
        <w:rPr>
          <w:color w:val="000000" w:themeColor="text1"/>
        </w:rPr>
        <w:t xml:space="preserve"> </w:t>
      </w:r>
      <w:r w:rsidRPr="00E96691">
        <w:rPr>
          <w:rFonts w:asciiTheme="majorHAnsi" w:hAnsiTheme="majorHAnsi" w:cstheme="majorHAnsi"/>
          <w:lang w:val="en-AU"/>
        </w:rPr>
        <w:t xml:space="preserve">who experience </w:t>
      </w:r>
      <w:r>
        <w:rPr>
          <w:rFonts w:asciiTheme="majorHAnsi" w:hAnsiTheme="majorHAnsi" w:cstheme="majorHAnsi"/>
          <w:lang w:val="en-AU"/>
        </w:rPr>
        <w:t xml:space="preserve">substantial </w:t>
      </w:r>
      <w:r w:rsidRPr="00E96691">
        <w:rPr>
          <w:rFonts w:asciiTheme="majorHAnsi" w:hAnsiTheme="majorHAnsi" w:cstheme="majorHAnsi"/>
          <w:lang w:val="en-AU"/>
        </w:rPr>
        <w:t xml:space="preserve">barriers in accessing HMRs under current program rules, especially for </w:t>
      </w:r>
      <w:r>
        <w:rPr>
          <w:color w:val="000000" w:themeColor="text1"/>
        </w:rPr>
        <w:t>participants</w:t>
      </w:r>
      <w:r w:rsidRPr="00D636F8">
        <w:rPr>
          <w:color w:val="000000" w:themeColor="text1"/>
        </w:rPr>
        <w:t xml:space="preserve"> </w:t>
      </w:r>
      <w:r w:rsidRPr="00E96691">
        <w:rPr>
          <w:rFonts w:asciiTheme="majorHAnsi" w:hAnsiTheme="majorHAnsi" w:cstheme="majorHAnsi"/>
          <w:lang w:val="en-AU"/>
        </w:rPr>
        <w:t xml:space="preserve">who would otherwise forgo a medication </w:t>
      </w:r>
      <w:r w:rsidRPr="008B7C4A">
        <w:rPr>
          <w:rFonts w:asciiTheme="majorHAnsi" w:hAnsiTheme="majorHAnsi" w:cstheme="majorHAnsi"/>
          <w:lang w:val="en-AU"/>
        </w:rPr>
        <w:t>review</w:t>
      </w:r>
      <w:r w:rsidR="00A85C43" w:rsidRPr="008B7C4A">
        <w:rPr>
          <w:rFonts w:asciiTheme="majorHAnsi" w:hAnsiTheme="majorHAnsi" w:cstheme="majorHAnsi"/>
          <w:lang w:val="en-AU"/>
        </w:rPr>
        <w:t xml:space="preserve"> </w:t>
      </w:r>
      <w:r w:rsidR="00A85C43" w:rsidRPr="008B7C4A">
        <w:rPr>
          <w:rFonts w:asciiTheme="majorHAnsi" w:hAnsiTheme="majorHAnsi" w:cstheme="majorHAnsi"/>
        </w:rPr>
        <w:t>if not conducted opportunistically</w:t>
      </w:r>
      <w:r w:rsidRPr="008B7C4A">
        <w:rPr>
          <w:rFonts w:asciiTheme="majorHAnsi" w:hAnsiTheme="majorHAnsi" w:cstheme="majorHAnsi"/>
          <w:lang w:val="en-AU"/>
        </w:rPr>
        <w:t xml:space="preserve">.  </w:t>
      </w:r>
    </w:p>
    <w:p w14:paraId="056C9BB2" w14:textId="1C83F498" w:rsidR="006145E5" w:rsidRPr="006C152D" w:rsidRDefault="000E1218" w:rsidP="00CD3717">
      <w:r>
        <w:rPr>
          <w:rFonts w:cstheme="minorHAnsi"/>
        </w:rPr>
        <w:t>The IPAC trial has demonstrated improved quality of care outcomes for patients</w:t>
      </w:r>
      <w:r w:rsidR="00510994">
        <w:rPr>
          <w:rFonts w:cstheme="minorHAnsi"/>
        </w:rPr>
        <w:t xml:space="preserve"> and</w:t>
      </w:r>
      <w:r>
        <w:rPr>
          <w:rFonts w:cstheme="minorHAnsi"/>
        </w:rPr>
        <w:t xml:space="preserve"> more </w:t>
      </w:r>
      <w:r>
        <w:t>equitable</w:t>
      </w:r>
      <w:r>
        <w:rPr>
          <w:rFonts w:cstheme="minorHAnsi"/>
        </w:rPr>
        <w:t xml:space="preserve"> </w:t>
      </w:r>
      <w:r w:rsidRPr="00D703AF">
        <w:t xml:space="preserve">health </w:t>
      </w:r>
      <w:r w:rsidR="00510994">
        <w:t xml:space="preserve">service </w:t>
      </w:r>
      <w:proofErr w:type="spellStart"/>
      <w:r w:rsidR="00510994">
        <w:t>utilisation</w:t>
      </w:r>
      <w:proofErr w:type="spellEnd"/>
      <w:r w:rsidR="00510994">
        <w:t xml:space="preserve"> through </w:t>
      </w:r>
      <w:r>
        <w:rPr>
          <w:rFonts w:cstheme="minorHAnsi"/>
        </w:rPr>
        <w:t>t</w:t>
      </w:r>
      <w:r w:rsidR="006E2309">
        <w:t xml:space="preserve">he successful implementation of </w:t>
      </w:r>
      <w:r>
        <w:t xml:space="preserve">integrated pharmacists </w:t>
      </w:r>
      <w:r w:rsidR="006E2309">
        <w:t xml:space="preserve">in 18 ACCHSs located </w:t>
      </w:r>
      <w:r w:rsidR="00510994">
        <w:t>in</w:t>
      </w:r>
      <w:r w:rsidR="006E2309">
        <w:t xml:space="preserve"> </w:t>
      </w:r>
      <w:r w:rsidR="00510994">
        <w:t xml:space="preserve">urban, </w:t>
      </w:r>
      <w:proofErr w:type="gramStart"/>
      <w:r w:rsidR="00510994">
        <w:t>regional</w:t>
      </w:r>
      <w:proofErr w:type="gramEnd"/>
      <w:r w:rsidR="00510994">
        <w:t xml:space="preserve"> and remote settings</w:t>
      </w:r>
      <w:r>
        <w:t xml:space="preserve"> across three jurisdictions within Australia.  </w:t>
      </w:r>
      <w:r w:rsidR="002101F3">
        <w:t xml:space="preserve">Data collected through the health systems assessment found there were few other changes within </w:t>
      </w:r>
      <w:r w:rsidR="005C1CD3">
        <w:t xml:space="preserve">health </w:t>
      </w:r>
      <w:r w:rsidR="002101F3">
        <w:t xml:space="preserve">services during the implementation phase, which </w:t>
      </w:r>
      <w:r w:rsidR="005C1CD3">
        <w:t xml:space="preserve">supports </w:t>
      </w:r>
      <w:r w:rsidR="00134FFE">
        <w:t xml:space="preserve">attribution of </w:t>
      </w:r>
      <w:r w:rsidR="002101F3">
        <w:t>trial results</w:t>
      </w:r>
      <w:r w:rsidR="005C1CD3">
        <w:t xml:space="preserve"> to the integrated pharmacist</w:t>
      </w:r>
      <w:r w:rsidR="00134FFE">
        <w:t xml:space="preserve"> intervention</w:t>
      </w:r>
      <w:r w:rsidR="002101F3">
        <w:t xml:space="preserve">. </w:t>
      </w:r>
    </w:p>
    <w:p w14:paraId="30BC1125" w14:textId="1C27F387" w:rsidR="00CD3717" w:rsidRPr="006C152D" w:rsidRDefault="00CD3717" w:rsidP="00DA22EF">
      <w:pPr>
        <w:rPr>
          <w:rFonts w:asciiTheme="majorHAnsi" w:hAnsiTheme="majorHAnsi" w:cstheme="majorHAnsi"/>
        </w:rPr>
      </w:pPr>
      <w:r w:rsidRPr="00CD3717">
        <w:rPr>
          <w:rFonts w:asciiTheme="majorHAnsi" w:hAnsiTheme="majorHAnsi" w:cstheme="majorHAnsi"/>
        </w:rPr>
        <w:t xml:space="preserve">The outcomes from the intervention are </w:t>
      </w:r>
      <w:proofErr w:type="spellStart"/>
      <w:r w:rsidRPr="00CD3717">
        <w:rPr>
          <w:rFonts w:asciiTheme="majorHAnsi" w:hAnsiTheme="majorHAnsi" w:cstheme="majorHAnsi"/>
        </w:rPr>
        <w:t>generalisable</w:t>
      </w:r>
      <w:proofErr w:type="spellEnd"/>
      <w:r w:rsidRPr="00CD3717">
        <w:rPr>
          <w:rFonts w:asciiTheme="majorHAnsi" w:hAnsiTheme="majorHAnsi" w:cstheme="majorHAnsi"/>
        </w:rPr>
        <w:t xml:space="preserve"> to the broader adult Aboriginal and Torres Strait Islander patient population with chronic disease who are at risk of developing medication related problems and attending ACCHSs in urban, </w:t>
      </w:r>
      <w:proofErr w:type="gramStart"/>
      <w:r w:rsidRPr="00CD3717">
        <w:rPr>
          <w:rFonts w:asciiTheme="majorHAnsi" w:hAnsiTheme="majorHAnsi" w:cstheme="majorHAnsi"/>
        </w:rPr>
        <w:t>rural</w:t>
      </w:r>
      <w:proofErr w:type="gramEnd"/>
      <w:r w:rsidRPr="00CD3717">
        <w:rPr>
          <w:rFonts w:asciiTheme="majorHAnsi" w:hAnsiTheme="majorHAnsi" w:cstheme="majorHAnsi"/>
        </w:rPr>
        <w:t xml:space="preserve"> and remote geographical locations.  The evidence for </w:t>
      </w:r>
      <w:proofErr w:type="spellStart"/>
      <w:r w:rsidRPr="00CD3717">
        <w:rPr>
          <w:rFonts w:asciiTheme="majorHAnsi" w:hAnsiTheme="majorHAnsi" w:cstheme="majorHAnsi"/>
        </w:rPr>
        <w:t>generalisability</w:t>
      </w:r>
      <w:proofErr w:type="spellEnd"/>
      <w:r w:rsidRPr="00CD3717">
        <w:rPr>
          <w:rFonts w:asciiTheme="majorHAnsi" w:hAnsiTheme="majorHAnsi" w:cstheme="majorHAnsi"/>
        </w:rPr>
        <w:t xml:space="preserve"> was demonstrated for all outcome measure investigated in the project (see </w:t>
      </w:r>
      <w:r w:rsidRPr="00CD3717">
        <w:rPr>
          <w:rFonts w:asciiTheme="majorHAnsi" w:hAnsiTheme="majorHAnsi" w:cstheme="majorHAnsi"/>
          <w:bCs/>
        </w:rPr>
        <w:t>Appendices 9-14, and the MSAC Assessment Report - Section C</w:t>
      </w:r>
      <w:r w:rsidRPr="00CD3717">
        <w:rPr>
          <w:rFonts w:asciiTheme="majorHAnsi" w:hAnsiTheme="majorHAnsi" w:cstheme="majorHAnsi"/>
        </w:rPr>
        <w:t>). The IPAC participants were usual patients accessing ACCHSs, and the intervention was tested within usual clinical settings involving the ACCHS sector.  IPAC participants were identified using methods identical to those that would be used under usual conditions within the proposed health services, which is consistent with the pragmatic study design.</w:t>
      </w:r>
      <w:r w:rsidR="00DF5E70">
        <w:rPr>
          <w:rStyle w:val="EndnoteReference"/>
          <w:rFonts w:cstheme="majorHAnsi"/>
        </w:rPr>
        <w:endnoteReference w:id="94"/>
      </w:r>
      <w:r w:rsidRPr="00CD3717">
        <w:rPr>
          <w:rFonts w:asciiTheme="majorHAnsi" w:hAnsiTheme="majorHAnsi" w:cstheme="majorHAnsi"/>
        </w:rPr>
        <w:t xml:space="preserve"> The delivery of the intervention was also flexible, and follow-up reflected the usual mechanisms in healthcare settings which are also hallmarks of pragmatic study design.</w:t>
      </w:r>
    </w:p>
    <w:p w14:paraId="5AA672A8" w14:textId="476514B6" w:rsidR="00087295" w:rsidRPr="006C152D" w:rsidRDefault="00087295" w:rsidP="00DA22EF">
      <w:pPr>
        <w:rPr>
          <w:bCs/>
        </w:rPr>
      </w:pPr>
      <w:r w:rsidRPr="00E03BF0">
        <w:rPr>
          <w:bCs/>
        </w:rPr>
        <w:t xml:space="preserve">Given the relative </w:t>
      </w:r>
      <w:r w:rsidR="009745E3" w:rsidRPr="009745E3">
        <w:rPr>
          <w:bCs/>
        </w:rPr>
        <w:t>novelty</w:t>
      </w:r>
      <w:r w:rsidRPr="00E03BF0">
        <w:rPr>
          <w:bCs/>
        </w:rPr>
        <w:t xml:space="preserve"> of the </w:t>
      </w:r>
      <w:r w:rsidR="00510994">
        <w:rPr>
          <w:bCs/>
        </w:rPr>
        <w:t xml:space="preserve">integrated </w:t>
      </w:r>
      <w:r w:rsidRPr="00E03BF0">
        <w:rPr>
          <w:bCs/>
        </w:rPr>
        <w:t xml:space="preserve">pharmacist role </w:t>
      </w:r>
      <w:r w:rsidR="00510994">
        <w:rPr>
          <w:bCs/>
        </w:rPr>
        <w:t xml:space="preserve">in Aboriginal health settings </w:t>
      </w:r>
      <w:r w:rsidRPr="00E03BF0">
        <w:rPr>
          <w:bCs/>
        </w:rPr>
        <w:t xml:space="preserve">in Australia, </w:t>
      </w:r>
      <w:r w:rsidR="00510994">
        <w:rPr>
          <w:bCs/>
        </w:rPr>
        <w:t>future roll-out or expansion of programs</w:t>
      </w:r>
      <w:r w:rsidR="00F5769E">
        <w:rPr>
          <w:bCs/>
        </w:rPr>
        <w:t xml:space="preserve"> should be supported with strategies </w:t>
      </w:r>
      <w:proofErr w:type="gramStart"/>
      <w:r w:rsidR="00F5769E">
        <w:rPr>
          <w:bCs/>
        </w:rPr>
        <w:t>similar to</w:t>
      </w:r>
      <w:proofErr w:type="gramEnd"/>
      <w:r w:rsidR="00F5769E">
        <w:rPr>
          <w:bCs/>
        </w:rPr>
        <w:t xml:space="preserve"> those used in the IPAC trial.</w:t>
      </w:r>
      <w:r w:rsidR="002C0D15">
        <w:rPr>
          <w:bCs/>
        </w:rPr>
        <w:t xml:space="preserve">  </w:t>
      </w:r>
      <w:r w:rsidR="002C0D15">
        <w:rPr>
          <w:bCs/>
        </w:rPr>
        <w:lastRenderedPageBreak/>
        <w:t>S</w:t>
      </w:r>
      <w:r w:rsidRPr="00E03BF0">
        <w:rPr>
          <w:bCs/>
        </w:rPr>
        <w:t xml:space="preserve">ector-specific training is important for integrated pharmacists to understand the </w:t>
      </w:r>
      <w:r w:rsidR="002C0D15" w:rsidRPr="00E03BF0">
        <w:rPr>
          <w:bCs/>
        </w:rPr>
        <w:t xml:space="preserve">nature </w:t>
      </w:r>
      <w:r w:rsidR="002C0D15">
        <w:rPr>
          <w:bCs/>
        </w:rPr>
        <w:t xml:space="preserve">of </w:t>
      </w:r>
      <w:r w:rsidRPr="00E03BF0">
        <w:rPr>
          <w:bCs/>
        </w:rPr>
        <w:t xml:space="preserve">holistic care delivered by ACCHSs and how the pharmacist can best integrate into the primary health care team to improve chronic disease management and </w:t>
      </w:r>
      <w:proofErr w:type="spellStart"/>
      <w:r w:rsidRPr="00E03BF0">
        <w:rPr>
          <w:bCs/>
        </w:rPr>
        <w:t>optimise</w:t>
      </w:r>
      <w:proofErr w:type="spellEnd"/>
      <w:r w:rsidRPr="00E03BF0">
        <w:rPr>
          <w:bCs/>
        </w:rPr>
        <w:t xml:space="preserve"> quality of care outcomes for Aboriginal Australians and Torres Strait Islanders.  As evidenced in the IPAC Project, training must be comprehensive and include integrated pharmacist core roles as well as an understanding of contributors to the disparity in health outcomes experienced by Aboriginal </w:t>
      </w:r>
      <w:r w:rsidR="002C0D15" w:rsidRPr="00E03BF0">
        <w:rPr>
          <w:bCs/>
        </w:rPr>
        <w:t xml:space="preserve">Australians </w:t>
      </w:r>
      <w:r w:rsidRPr="00E03BF0">
        <w:rPr>
          <w:bCs/>
        </w:rPr>
        <w:t>and Torres Strait Islander</w:t>
      </w:r>
      <w:r w:rsidR="002C0D15">
        <w:rPr>
          <w:bCs/>
        </w:rPr>
        <w:t>s</w:t>
      </w:r>
      <w:r w:rsidRPr="00E03BF0">
        <w:rPr>
          <w:bCs/>
        </w:rPr>
        <w:t xml:space="preserve">, including social determinants of health. </w:t>
      </w:r>
    </w:p>
    <w:p w14:paraId="5995AFD2" w14:textId="15A79B3B" w:rsidR="002C0D15" w:rsidRDefault="002C0D15" w:rsidP="00DA22EF">
      <w:r>
        <w:t>Ongoing s</w:t>
      </w:r>
      <w:r w:rsidR="00A60C12">
        <w:t xml:space="preserve">upport for integrated pharmacists </w:t>
      </w:r>
      <w:r w:rsidR="00B9772A">
        <w:t xml:space="preserve">is essential and </w:t>
      </w:r>
      <w:r w:rsidR="00A60C12">
        <w:t xml:space="preserve">should involve multi-modal strategies to </w:t>
      </w:r>
      <w:proofErr w:type="gramStart"/>
      <w:r w:rsidR="00A60C12">
        <w:t>take into account</w:t>
      </w:r>
      <w:proofErr w:type="gramEnd"/>
      <w:r w:rsidR="00A60C12">
        <w:t xml:space="preserve"> accessibility, ease of </w:t>
      </w:r>
      <w:proofErr w:type="spellStart"/>
      <w:r w:rsidR="00A60C12">
        <w:t>utilisation</w:t>
      </w:r>
      <w:proofErr w:type="spellEnd"/>
      <w:r w:rsidR="00A60C12">
        <w:t xml:space="preserve"> and responsiveness</w:t>
      </w:r>
      <w:r w:rsidR="00B9772A">
        <w:t xml:space="preserve"> of available platforms</w:t>
      </w:r>
      <w:r w:rsidR="00A60C12">
        <w:t xml:space="preserve">. </w:t>
      </w:r>
      <w:r>
        <w:t>P</w:t>
      </w:r>
      <w:r w:rsidR="00A60C12">
        <w:t xml:space="preserve">rovision of adequate training and support, along with the creation of a community of practice for pharmacists working with Aboriginal </w:t>
      </w:r>
      <w:r>
        <w:t xml:space="preserve">people </w:t>
      </w:r>
      <w:r w:rsidR="00A60C12">
        <w:t>and Torres Strait Islander</w:t>
      </w:r>
      <w:r>
        <w:t>s</w:t>
      </w:r>
      <w:r w:rsidR="00A60C12">
        <w:t xml:space="preserve"> will enable sharing of sector knowledge and </w:t>
      </w:r>
      <w:r w:rsidR="00A60C12" w:rsidRPr="00A86125">
        <w:t xml:space="preserve">expertise </w:t>
      </w:r>
      <w:r w:rsidR="00A60C12" w:rsidRPr="00A86125">
        <w:rPr>
          <w:rFonts w:eastAsia="Times New Roman" w:cstheme="minorHAnsi"/>
          <w:lang w:eastAsia="en-AU"/>
        </w:rPr>
        <w:t xml:space="preserve">with </w:t>
      </w:r>
      <w:r w:rsidR="00A60C12">
        <w:rPr>
          <w:rFonts w:eastAsia="Times New Roman" w:cstheme="minorHAnsi"/>
          <w:lang w:eastAsia="en-AU"/>
        </w:rPr>
        <w:t xml:space="preserve">the aim of </w:t>
      </w:r>
      <w:r w:rsidR="00A60C12" w:rsidRPr="00A86125">
        <w:rPr>
          <w:rFonts w:eastAsia="Times New Roman" w:cstheme="minorHAnsi"/>
          <w:lang w:eastAsia="en-AU"/>
        </w:rPr>
        <w:t>increased uptake, up-skilling and retention of pharmacists working in the ACCHS sector</w:t>
      </w:r>
      <w:r w:rsidR="0056035D">
        <w:t>.</w:t>
      </w:r>
    </w:p>
    <w:p w14:paraId="7A7968FD" w14:textId="24B83EB4" w:rsidR="007E095A" w:rsidRPr="006C152D" w:rsidRDefault="009D1C44" w:rsidP="00982BC0">
      <w:r>
        <w:t xml:space="preserve">NACCHO and their Affiliates are well placed to support ACCHSs to promote readiness for the integrated pharmacist role, to ensure </w:t>
      </w:r>
      <w:r>
        <w:rPr>
          <w:rFonts w:cstheme="minorHAnsi"/>
        </w:rPr>
        <w:t xml:space="preserve">staff fully understand the value of the role and learn how to </w:t>
      </w:r>
      <w:proofErr w:type="spellStart"/>
      <w:r>
        <w:rPr>
          <w:rFonts w:cstheme="minorHAnsi"/>
        </w:rPr>
        <w:t>utilise</w:t>
      </w:r>
      <w:proofErr w:type="spellEnd"/>
      <w:r>
        <w:rPr>
          <w:rFonts w:cstheme="minorHAnsi"/>
        </w:rPr>
        <w:t xml:space="preserve"> the pharmacists’ expertise to best suit the needs of the service and their patients.  </w:t>
      </w:r>
      <w:r w:rsidR="001B7A7E">
        <w:rPr>
          <w:rFonts w:cstheme="minorHAnsi"/>
        </w:rPr>
        <w:t>Based on experiences in the IPAC trial, su</w:t>
      </w:r>
      <w:r w:rsidR="007E095A">
        <w:t xml:space="preserve">bstantive and considered program support is needed for ACCHS staff to </w:t>
      </w:r>
      <w:r w:rsidR="001B7A7E">
        <w:t xml:space="preserve">undertake a change management process to introduce the role, </w:t>
      </w:r>
      <w:r w:rsidR="007E095A">
        <w:t xml:space="preserve">develop work plans, and adapt </w:t>
      </w:r>
      <w:r w:rsidR="001B7A7E">
        <w:t xml:space="preserve">workflow </w:t>
      </w:r>
      <w:r w:rsidR="007E095A">
        <w:t xml:space="preserve">to </w:t>
      </w:r>
      <w:r w:rsidR="00905399">
        <w:t>incorporate</w:t>
      </w:r>
      <w:r w:rsidR="001B7A7E">
        <w:t xml:space="preserve"> the </w:t>
      </w:r>
      <w:r w:rsidR="007E095A">
        <w:t xml:space="preserve">new </w:t>
      </w:r>
      <w:r w:rsidR="009745E3" w:rsidRPr="009745E3">
        <w:t xml:space="preserve">integrated </w:t>
      </w:r>
      <w:r w:rsidR="001B7A7E" w:rsidRPr="009745E3">
        <w:t>pharmac</w:t>
      </w:r>
      <w:r w:rsidR="009745E3" w:rsidRPr="00305A5F">
        <w:t>ist</w:t>
      </w:r>
      <w:r w:rsidR="001B7A7E">
        <w:t xml:space="preserve"> services</w:t>
      </w:r>
      <w:r w:rsidR="007E095A">
        <w:t xml:space="preserve">. There is a risk that integrating pharmacists into ACCHSs without adequate support may limit uptake and effectiveness of an integrated pharmacist program.  </w:t>
      </w:r>
    </w:p>
    <w:p w14:paraId="15E8CC4B" w14:textId="77777777" w:rsidR="00B52A97" w:rsidRDefault="001B7A7E" w:rsidP="001B7A7E">
      <w:r>
        <w:t xml:space="preserve">Principles of self-determination must enable ACCHSs to lead, or be actively involved, in the design of the integrated pharmacist model of care for their service, to ensure a culturally acceptable mode of delivering effective and sustainable services to Aboriginal peoples and Torres Strait Islanders is achieved.  </w:t>
      </w:r>
      <w:r w:rsidR="00B52A97">
        <w:t>ACCHSs must also make the ultimate decision on pharmacist selection for their service and consider preferences for employment models.</w:t>
      </w:r>
    </w:p>
    <w:p w14:paraId="6C926FD8" w14:textId="21783931" w:rsidR="00B52A97" w:rsidRDefault="00B52A97" w:rsidP="00147AAC">
      <w:r>
        <w:rPr>
          <w:rFonts w:cstheme="minorHAnsi"/>
          <w:color w:val="010202"/>
        </w:rPr>
        <w:t xml:space="preserve">Ongoing monitoring and assessment </w:t>
      </w:r>
      <w:proofErr w:type="gramStart"/>
      <w:r>
        <w:rPr>
          <w:rFonts w:cstheme="minorHAnsi"/>
          <w:color w:val="010202"/>
        </w:rPr>
        <w:t>is</w:t>
      </w:r>
      <w:proofErr w:type="gramEnd"/>
      <w:r>
        <w:rPr>
          <w:rFonts w:cstheme="minorHAnsi"/>
          <w:color w:val="010202"/>
        </w:rPr>
        <w:t xml:space="preserve"> essential</w:t>
      </w:r>
      <w:r>
        <w:rPr>
          <w:rFonts w:cstheme="minorHAnsi"/>
          <w:sz w:val="24"/>
          <w:szCs w:val="24"/>
          <w:lang w:eastAsia="en-AU"/>
        </w:rPr>
        <w:t xml:space="preserve"> for any future expansion of an integrated pharmacist program more broadly </w:t>
      </w:r>
      <w:r>
        <w:rPr>
          <w:rFonts w:cstheme="minorHAnsi"/>
          <w:color w:val="010202"/>
        </w:rPr>
        <w:t xml:space="preserve">to ensure that the program is meeting its stated objectives, identify any issues affecting implementation, and address these in a timely manner.  </w:t>
      </w:r>
      <w:r w:rsidRPr="00AC7F14">
        <w:t xml:space="preserve">As JCU led the evaluation of the IPAC trial, it would be well placed to collaborate with the Australian Department of Health, NACCHO, the PSA and other stakeholders to design </w:t>
      </w:r>
      <w:r>
        <w:t>an</w:t>
      </w:r>
      <w:r w:rsidR="009745E3">
        <w:t xml:space="preserve">d implement </w:t>
      </w:r>
      <w:r w:rsidRPr="00AC7F14">
        <w:t>an</w:t>
      </w:r>
      <w:r w:rsidR="009745E3">
        <w:t xml:space="preserve"> </w:t>
      </w:r>
      <w:r w:rsidRPr="00AC7F14">
        <w:t xml:space="preserve">evaluation framework for broader program rollout.  </w:t>
      </w:r>
      <w:r w:rsidRPr="00AC7F14">
        <w:rPr>
          <w:rFonts w:cstheme="minorHAnsi"/>
          <w:color w:val="010202"/>
        </w:rPr>
        <w:t>The pharmacist logbook used in the trial could</w:t>
      </w:r>
      <w:r w:rsidRPr="00AC7F14">
        <w:t xml:space="preserve"> be adapted and tailored to report on key pharmacist activity measures (such as medication reviews, follow-up assessments, contact with community pharmacy, </w:t>
      </w:r>
      <w:proofErr w:type="spellStart"/>
      <w:r w:rsidRPr="00AC7F14">
        <w:t>etc</w:t>
      </w:r>
      <w:proofErr w:type="spellEnd"/>
      <w:r w:rsidRPr="00AC7F14">
        <w:t xml:space="preserve">), as agreed to by the business rules for the program.  </w:t>
      </w:r>
    </w:p>
    <w:p w14:paraId="20888590" w14:textId="59B6BEAA" w:rsidR="00982BC0" w:rsidRPr="006C152D" w:rsidRDefault="00B52A97" w:rsidP="00DA22EF">
      <w:pPr>
        <w:rPr>
          <w:rFonts w:cstheme="minorHAnsi"/>
          <w:sz w:val="24"/>
          <w:szCs w:val="24"/>
          <w:lang w:eastAsia="en-AU"/>
        </w:rPr>
      </w:pPr>
      <w:r>
        <w:t xml:space="preserve">The IPAC Project has delivered significant benefits to patients, health services staff, community pharmacists and other stakeholders across the 18 ACCHSs participating in the IPAC trial. </w:t>
      </w:r>
      <w:r w:rsidR="00EB2B49">
        <w:t xml:space="preserve">The economic cost of implementing the program across 140 ACCHSs is comparable with other federally funded Aboriginal and Torres Strait Islander medicines initiatives and </w:t>
      </w:r>
      <w:r w:rsidR="0017226C">
        <w:t>may help to close the gap in Aboriginal and Torres Strait Islander underutilization of nation-wide Australian pharmaceutical measures, such as the PBS and other Community Pharmacy Agreement related programs.</w:t>
      </w:r>
      <w:r w:rsidR="00EB2B49">
        <w:t xml:space="preserve">  </w:t>
      </w:r>
      <w:r>
        <w:t xml:space="preserve">It is </w:t>
      </w:r>
      <w:r w:rsidR="0017226C">
        <w:t xml:space="preserve">therefore </w:t>
      </w:r>
      <w:r>
        <w:t>proposed that this model be extended to all ACCHSs across Australia.</w:t>
      </w:r>
    </w:p>
    <w:p w14:paraId="26310C9A" w14:textId="6DCCDB00" w:rsidR="0082142E" w:rsidRDefault="0082142E" w:rsidP="0054645F">
      <w:pPr>
        <w:spacing w:line="240" w:lineRule="auto"/>
      </w:pPr>
      <w:r>
        <w:t>T</w:t>
      </w:r>
      <w:r w:rsidR="0054645F">
        <w:t xml:space="preserve">able </w:t>
      </w:r>
      <w:r w:rsidR="00164471">
        <w:t>7</w:t>
      </w:r>
      <w:r>
        <w:t xml:space="preserve"> </w:t>
      </w:r>
      <w:proofErr w:type="spellStart"/>
      <w:r w:rsidR="007E3114">
        <w:t>summarises</w:t>
      </w:r>
      <w:proofErr w:type="spellEnd"/>
      <w:r w:rsidR="0054645F">
        <w:t xml:space="preserve"> </w:t>
      </w:r>
      <w:r w:rsidR="0056035D">
        <w:t>recommendations</w:t>
      </w:r>
      <w:r>
        <w:t xml:space="preserve"> for </w:t>
      </w:r>
      <w:r w:rsidR="0054645F">
        <w:t>future policy and implementation of integrated pharmacists in ACCHSs.</w:t>
      </w:r>
    </w:p>
    <w:p w14:paraId="047A535F" w14:textId="39693AC6" w:rsidR="0082142E" w:rsidRPr="0082142E" w:rsidRDefault="0082142E" w:rsidP="006C152D">
      <w:pPr>
        <w:pStyle w:val="TableParagraph"/>
      </w:pPr>
      <w:bookmarkStart w:id="277" w:name="_Toc43820210"/>
      <w:r w:rsidRPr="0082142E">
        <w:lastRenderedPageBreak/>
        <w:t xml:space="preserve">Table </w:t>
      </w:r>
      <w:r w:rsidR="00164471">
        <w:t>7</w:t>
      </w:r>
      <w:r w:rsidRPr="0082142E">
        <w:t>. Recommendations for future policy and implementation of integrated pharmacists in ACCHSs.</w:t>
      </w:r>
      <w:bookmarkEnd w:id="277"/>
    </w:p>
    <w:tbl>
      <w:tblPr>
        <w:tblStyle w:val="TableGrid"/>
        <w:tblW w:w="5000" w:type="pct"/>
        <w:tblLook w:val="04A0" w:firstRow="1" w:lastRow="0" w:firstColumn="1" w:lastColumn="0" w:noHBand="0" w:noVBand="1"/>
      </w:tblPr>
      <w:tblGrid>
        <w:gridCol w:w="1881"/>
        <w:gridCol w:w="1288"/>
        <w:gridCol w:w="3488"/>
        <w:gridCol w:w="2972"/>
      </w:tblGrid>
      <w:tr w:rsidR="00EF0691" w:rsidRPr="0071606F" w14:paraId="1405A0E8" w14:textId="77777777" w:rsidTr="00FD63FC">
        <w:trPr>
          <w:trHeight w:val="567"/>
          <w:tblHeader/>
        </w:trPr>
        <w:tc>
          <w:tcPr>
            <w:tcW w:w="977" w:type="pct"/>
            <w:shd w:val="clear" w:color="auto" w:fill="auto"/>
          </w:tcPr>
          <w:p w14:paraId="2BCD6878" w14:textId="77777777" w:rsidR="0054645F" w:rsidRPr="0071606F" w:rsidRDefault="0054645F" w:rsidP="00AC1C1A">
            <w:pPr>
              <w:spacing w:before="0" w:line="240" w:lineRule="auto"/>
              <w:jc w:val="left"/>
              <w:rPr>
                <w:rFonts w:eastAsia="Times New Roman" w:cstheme="minorHAnsi"/>
                <w:color w:val="333333"/>
                <w:sz w:val="18"/>
                <w:szCs w:val="18"/>
              </w:rPr>
            </w:pPr>
            <w:r>
              <w:rPr>
                <w:rFonts w:cstheme="minorHAnsi"/>
                <w:b/>
                <w:sz w:val="18"/>
                <w:szCs w:val="18"/>
              </w:rPr>
              <w:t>Suggested</w:t>
            </w:r>
            <w:r w:rsidRPr="0071606F">
              <w:rPr>
                <w:rFonts w:cstheme="minorHAnsi"/>
                <w:b/>
                <w:sz w:val="18"/>
                <w:szCs w:val="18"/>
              </w:rPr>
              <w:t xml:space="preserve"> actions for sector development</w:t>
            </w:r>
          </w:p>
        </w:tc>
        <w:tc>
          <w:tcPr>
            <w:tcW w:w="669" w:type="pct"/>
            <w:shd w:val="clear" w:color="auto" w:fill="auto"/>
          </w:tcPr>
          <w:p w14:paraId="022D7B1F" w14:textId="77777777" w:rsidR="0054645F" w:rsidRPr="009F1D68" w:rsidRDefault="0054645F" w:rsidP="00AC1C1A">
            <w:pPr>
              <w:spacing w:before="0" w:line="240" w:lineRule="auto"/>
              <w:jc w:val="left"/>
              <w:rPr>
                <w:rFonts w:cstheme="minorHAnsi"/>
                <w:b/>
                <w:sz w:val="18"/>
                <w:szCs w:val="18"/>
              </w:rPr>
            </w:pPr>
            <w:r>
              <w:rPr>
                <w:rFonts w:cstheme="minorHAnsi"/>
                <w:b/>
                <w:sz w:val="18"/>
                <w:szCs w:val="18"/>
              </w:rPr>
              <w:t>Owner and key partners</w:t>
            </w:r>
          </w:p>
        </w:tc>
        <w:tc>
          <w:tcPr>
            <w:tcW w:w="1811" w:type="pct"/>
            <w:shd w:val="clear" w:color="auto" w:fill="auto"/>
          </w:tcPr>
          <w:p w14:paraId="25D8F83B" w14:textId="77777777" w:rsidR="0054645F" w:rsidRPr="009F1D68" w:rsidRDefault="0054645F" w:rsidP="00AC1C1A">
            <w:pPr>
              <w:spacing w:before="0" w:line="240" w:lineRule="auto"/>
              <w:jc w:val="left"/>
              <w:rPr>
                <w:rFonts w:cstheme="minorHAnsi"/>
                <w:b/>
                <w:sz w:val="18"/>
                <w:szCs w:val="18"/>
              </w:rPr>
            </w:pPr>
            <w:r w:rsidRPr="0071606F">
              <w:rPr>
                <w:rFonts w:cstheme="minorHAnsi"/>
                <w:b/>
                <w:sz w:val="18"/>
                <w:szCs w:val="18"/>
              </w:rPr>
              <w:t>P</w:t>
            </w:r>
            <w:r>
              <w:rPr>
                <w:rFonts w:cstheme="minorHAnsi"/>
                <w:b/>
                <w:sz w:val="18"/>
                <w:szCs w:val="18"/>
              </w:rPr>
              <w:t>otential p</w:t>
            </w:r>
            <w:r w:rsidRPr="0071606F">
              <w:rPr>
                <w:rFonts w:cstheme="minorHAnsi"/>
                <w:b/>
                <w:sz w:val="18"/>
                <w:szCs w:val="18"/>
              </w:rPr>
              <w:t>athways</w:t>
            </w:r>
            <w:r>
              <w:rPr>
                <w:rFonts w:cstheme="minorHAnsi"/>
                <w:b/>
                <w:sz w:val="18"/>
                <w:szCs w:val="18"/>
              </w:rPr>
              <w:t xml:space="preserve"> to implementation</w:t>
            </w:r>
          </w:p>
        </w:tc>
        <w:tc>
          <w:tcPr>
            <w:tcW w:w="1543" w:type="pct"/>
            <w:shd w:val="clear" w:color="auto" w:fill="auto"/>
          </w:tcPr>
          <w:p w14:paraId="0FB7AA1C" w14:textId="483AE56F" w:rsidR="0054645F" w:rsidRPr="009F1D68" w:rsidRDefault="0054645F" w:rsidP="00AC1C1A">
            <w:pPr>
              <w:spacing w:before="0" w:line="240" w:lineRule="auto"/>
              <w:jc w:val="left"/>
              <w:rPr>
                <w:rFonts w:cstheme="minorHAnsi"/>
                <w:b/>
                <w:sz w:val="18"/>
                <w:szCs w:val="18"/>
              </w:rPr>
            </w:pPr>
            <w:r w:rsidRPr="0071606F">
              <w:rPr>
                <w:rFonts w:cstheme="minorHAnsi"/>
                <w:b/>
                <w:sz w:val="18"/>
                <w:szCs w:val="18"/>
              </w:rPr>
              <w:t>Intended industr</w:t>
            </w:r>
            <w:r>
              <w:rPr>
                <w:rFonts w:cstheme="minorHAnsi"/>
                <w:b/>
                <w:sz w:val="18"/>
                <w:szCs w:val="18"/>
              </w:rPr>
              <w:t>y impacts</w:t>
            </w:r>
            <w:r w:rsidR="007A31E0" w:rsidRPr="0071606F">
              <w:rPr>
                <w:rFonts w:eastAsia="Times New Roman" w:cstheme="minorHAnsi"/>
                <w:color w:val="333333"/>
                <w:sz w:val="18"/>
                <w:szCs w:val="18"/>
              </w:rPr>
              <w:t xml:space="preserve"> Implemen</w:t>
            </w:r>
            <w:r w:rsidR="007A31E0">
              <w:rPr>
                <w:rFonts w:eastAsia="Times New Roman" w:cstheme="minorHAnsi"/>
                <w:color w:val="333333"/>
                <w:sz w:val="18"/>
                <w:szCs w:val="18"/>
              </w:rPr>
              <w:t>ting the</w:t>
            </w:r>
            <w:r w:rsidR="007A31E0" w:rsidRPr="0071606F">
              <w:rPr>
                <w:rFonts w:eastAsia="Times New Roman" w:cstheme="minorHAnsi"/>
                <w:color w:val="333333"/>
                <w:sz w:val="18"/>
                <w:szCs w:val="18"/>
              </w:rPr>
              <w:t xml:space="preserve"> recommendation will</w:t>
            </w:r>
            <w:r w:rsidR="007A31E0">
              <w:rPr>
                <w:rFonts w:eastAsia="Times New Roman" w:cstheme="minorHAnsi"/>
                <w:color w:val="333333"/>
                <w:sz w:val="18"/>
                <w:szCs w:val="18"/>
              </w:rPr>
              <w:t xml:space="preserve"> lead to</w:t>
            </w:r>
            <w:r w:rsidR="007A31E0" w:rsidRPr="0071606F">
              <w:rPr>
                <w:rFonts w:eastAsia="Times New Roman" w:cstheme="minorHAnsi"/>
                <w:color w:val="333333"/>
                <w:sz w:val="18"/>
                <w:szCs w:val="18"/>
              </w:rPr>
              <w:t>:</w:t>
            </w:r>
          </w:p>
        </w:tc>
      </w:tr>
      <w:tr w:rsidR="00EF0691" w:rsidRPr="0071606F" w14:paraId="233B2728" w14:textId="77777777" w:rsidTr="00147AAC">
        <w:tc>
          <w:tcPr>
            <w:tcW w:w="977" w:type="pct"/>
          </w:tcPr>
          <w:p w14:paraId="4923820D" w14:textId="7591A9F7" w:rsidR="0054645F" w:rsidRPr="0071606F" w:rsidRDefault="0054645F" w:rsidP="00AC1C1A">
            <w:pPr>
              <w:pStyle w:val="ListParagraph"/>
              <w:widowControl/>
              <w:numPr>
                <w:ilvl w:val="0"/>
                <w:numId w:val="29"/>
              </w:numPr>
              <w:spacing w:before="0" w:line="240" w:lineRule="auto"/>
              <w:jc w:val="left"/>
              <w:rPr>
                <w:rFonts w:eastAsia="Times New Roman" w:cstheme="minorHAnsi"/>
                <w:color w:val="333333"/>
                <w:sz w:val="18"/>
                <w:szCs w:val="18"/>
              </w:rPr>
            </w:pPr>
            <w:r w:rsidRPr="0071606F">
              <w:rPr>
                <w:rFonts w:cstheme="minorHAnsi"/>
                <w:b/>
                <w:bCs/>
                <w:sz w:val="18"/>
                <w:szCs w:val="18"/>
              </w:rPr>
              <w:t>Support policy to integrate the role of a</w:t>
            </w:r>
            <w:r w:rsidR="00246A5C">
              <w:rPr>
                <w:rFonts w:cstheme="minorHAnsi"/>
                <w:b/>
                <w:bCs/>
                <w:sz w:val="18"/>
                <w:szCs w:val="18"/>
              </w:rPr>
              <w:t>n integrated</w:t>
            </w:r>
            <w:r w:rsidRPr="0071606F">
              <w:rPr>
                <w:rFonts w:cstheme="minorHAnsi"/>
                <w:b/>
                <w:bCs/>
                <w:sz w:val="18"/>
                <w:szCs w:val="18"/>
              </w:rPr>
              <w:t xml:space="preserve"> pharmacist within ACCHSs</w:t>
            </w:r>
            <w:r w:rsidR="0098236D">
              <w:rPr>
                <w:rFonts w:cstheme="minorHAnsi"/>
                <w:b/>
                <w:bCs/>
                <w:sz w:val="18"/>
                <w:szCs w:val="18"/>
              </w:rPr>
              <w:t xml:space="preserve"> across Australia</w:t>
            </w:r>
            <w:r w:rsidRPr="0071606F">
              <w:rPr>
                <w:rFonts w:cstheme="minorHAnsi"/>
                <w:b/>
                <w:bCs/>
                <w:sz w:val="18"/>
                <w:szCs w:val="18"/>
              </w:rPr>
              <w:t xml:space="preserve">.  </w:t>
            </w:r>
          </w:p>
        </w:tc>
        <w:tc>
          <w:tcPr>
            <w:tcW w:w="669" w:type="pct"/>
          </w:tcPr>
          <w:p w14:paraId="7240FF97" w14:textId="77777777" w:rsidR="0054645F" w:rsidRPr="00E865B1" w:rsidRDefault="0054645F" w:rsidP="00AC1C1A">
            <w:pPr>
              <w:spacing w:before="0" w:line="240" w:lineRule="auto"/>
              <w:jc w:val="left"/>
              <w:rPr>
                <w:rFonts w:eastAsia="Times New Roman" w:cstheme="minorHAnsi"/>
                <w:b/>
                <w:color w:val="333333"/>
                <w:sz w:val="18"/>
                <w:szCs w:val="18"/>
              </w:rPr>
            </w:pPr>
            <w:r w:rsidRPr="00E865B1">
              <w:rPr>
                <w:rFonts w:eastAsia="Times New Roman" w:cstheme="minorHAnsi"/>
                <w:b/>
                <w:color w:val="333333"/>
                <w:sz w:val="18"/>
                <w:szCs w:val="18"/>
              </w:rPr>
              <w:t>Federal Government</w:t>
            </w:r>
          </w:p>
        </w:tc>
        <w:tc>
          <w:tcPr>
            <w:tcW w:w="1811" w:type="pct"/>
          </w:tcPr>
          <w:p w14:paraId="76B72248" w14:textId="3999F86F" w:rsidR="00471EA6" w:rsidRDefault="002B66B4" w:rsidP="00AC1C1A">
            <w:pPr>
              <w:pStyle w:val="ListParagraph"/>
              <w:widowControl/>
              <w:numPr>
                <w:ilvl w:val="1"/>
                <w:numId w:val="29"/>
              </w:numPr>
              <w:spacing w:line="240" w:lineRule="auto"/>
              <w:jc w:val="left"/>
              <w:rPr>
                <w:rFonts w:cstheme="minorHAnsi"/>
                <w:sz w:val="18"/>
                <w:szCs w:val="18"/>
              </w:rPr>
            </w:pPr>
            <w:r>
              <w:rPr>
                <w:rFonts w:cstheme="minorHAnsi"/>
                <w:sz w:val="18"/>
                <w:szCs w:val="18"/>
              </w:rPr>
              <w:t>F</w:t>
            </w:r>
            <w:r w:rsidR="0054645F" w:rsidRPr="002B66B4">
              <w:rPr>
                <w:rFonts w:cstheme="minorHAnsi"/>
                <w:sz w:val="18"/>
                <w:szCs w:val="18"/>
              </w:rPr>
              <w:t xml:space="preserve">unding </w:t>
            </w:r>
            <w:r w:rsidR="0054645F" w:rsidRPr="00471EA6">
              <w:rPr>
                <w:rFonts w:cstheme="minorHAnsi"/>
                <w:sz w:val="18"/>
                <w:szCs w:val="18"/>
              </w:rPr>
              <w:t xml:space="preserve">to enable ACCHSs to implement the </w:t>
            </w:r>
            <w:r w:rsidR="00147AAC" w:rsidRPr="00471EA6">
              <w:rPr>
                <w:rFonts w:cstheme="minorHAnsi"/>
                <w:sz w:val="18"/>
                <w:szCs w:val="18"/>
              </w:rPr>
              <w:t xml:space="preserve">integrated pharmacist </w:t>
            </w:r>
            <w:r w:rsidR="0054645F" w:rsidRPr="00471EA6">
              <w:rPr>
                <w:rFonts w:cstheme="minorHAnsi"/>
                <w:sz w:val="18"/>
                <w:szCs w:val="18"/>
              </w:rPr>
              <w:t>role</w:t>
            </w:r>
            <w:r w:rsidR="00110F86" w:rsidRPr="00471EA6">
              <w:rPr>
                <w:rFonts w:cstheme="minorHAnsi"/>
                <w:sz w:val="18"/>
                <w:szCs w:val="18"/>
              </w:rPr>
              <w:t xml:space="preserve"> within </w:t>
            </w:r>
            <w:r w:rsidR="0057267E" w:rsidRPr="00471EA6">
              <w:rPr>
                <w:rFonts w:cstheme="minorHAnsi"/>
                <w:sz w:val="18"/>
                <w:szCs w:val="18"/>
              </w:rPr>
              <w:t>their service</w:t>
            </w:r>
            <w:r w:rsidR="00C028DA">
              <w:rPr>
                <w:rFonts w:cstheme="minorHAnsi"/>
                <w:sz w:val="18"/>
                <w:szCs w:val="18"/>
              </w:rPr>
              <w:t xml:space="preserve"> is recommended</w:t>
            </w:r>
            <w:r w:rsidR="0054645F" w:rsidRPr="00471EA6">
              <w:rPr>
                <w:rFonts w:cstheme="minorHAnsi"/>
                <w:sz w:val="18"/>
                <w:szCs w:val="18"/>
              </w:rPr>
              <w:t xml:space="preserve">.  </w:t>
            </w:r>
          </w:p>
          <w:p w14:paraId="56B3A241" w14:textId="3C14BE4E" w:rsidR="00471EA6" w:rsidRPr="00471EA6" w:rsidRDefault="00E8545F" w:rsidP="00AC1C1A">
            <w:pPr>
              <w:pStyle w:val="ListParagraph"/>
              <w:widowControl/>
              <w:numPr>
                <w:ilvl w:val="1"/>
                <w:numId w:val="29"/>
              </w:numPr>
              <w:spacing w:line="240" w:lineRule="auto"/>
              <w:jc w:val="left"/>
              <w:rPr>
                <w:rFonts w:cstheme="minorHAnsi"/>
                <w:sz w:val="18"/>
                <w:szCs w:val="18"/>
              </w:rPr>
            </w:pPr>
            <w:r w:rsidRPr="00471EA6">
              <w:rPr>
                <w:rFonts w:eastAsiaTheme="majorEastAsia" w:cstheme="minorHAnsi"/>
                <w:sz w:val="18"/>
                <w:szCs w:val="18"/>
              </w:rPr>
              <w:t xml:space="preserve">The program must be patient-focused </w:t>
            </w:r>
            <w:r w:rsidR="00087D29">
              <w:rPr>
                <w:rFonts w:eastAsiaTheme="majorEastAsia" w:cstheme="minorHAnsi"/>
                <w:sz w:val="18"/>
                <w:szCs w:val="18"/>
              </w:rPr>
              <w:t>to</w:t>
            </w:r>
            <w:r w:rsidRPr="00471EA6">
              <w:rPr>
                <w:rFonts w:eastAsiaTheme="majorEastAsia" w:cstheme="minorHAnsi"/>
                <w:sz w:val="18"/>
                <w:szCs w:val="18"/>
              </w:rPr>
              <w:t xml:space="preserve"> </w:t>
            </w:r>
            <w:proofErr w:type="spellStart"/>
            <w:r w:rsidRPr="00087D29">
              <w:rPr>
                <w:rFonts w:eastAsiaTheme="majorEastAsia" w:cstheme="minorHAnsi"/>
                <w:sz w:val="18"/>
                <w:szCs w:val="18"/>
              </w:rPr>
              <w:t>synergise</w:t>
            </w:r>
            <w:proofErr w:type="spellEnd"/>
            <w:r w:rsidR="00087D29">
              <w:rPr>
                <w:rFonts w:eastAsiaTheme="majorEastAsia" w:cstheme="minorHAnsi"/>
                <w:sz w:val="18"/>
                <w:szCs w:val="18"/>
              </w:rPr>
              <w:t xml:space="preserve"> </w:t>
            </w:r>
            <w:r w:rsidRPr="00471EA6">
              <w:rPr>
                <w:rFonts w:eastAsiaTheme="majorEastAsia" w:cstheme="minorHAnsi"/>
                <w:sz w:val="18"/>
                <w:szCs w:val="18"/>
              </w:rPr>
              <w:t>with other pharmacy acti</w:t>
            </w:r>
            <w:r w:rsidR="00471EA6" w:rsidRPr="00471EA6">
              <w:rPr>
                <w:rFonts w:eastAsiaTheme="majorEastAsia" w:cstheme="minorHAnsi"/>
                <w:sz w:val="18"/>
                <w:szCs w:val="18"/>
              </w:rPr>
              <w:t>vities and medicines programs such as</w:t>
            </w:r>
            <w:r w:rsidRPr="00471EA6">
              <w:rPr>
                <w:rFonts w:eastAsiaTheme="majorEastAsia" w:cstheme="minorHAnsi"/>
                <w:sz w:val="18"/>
                <w:szCs w:val="18"/>
              </w:rPr>
              <w:t xml:space="preserve"> relevant community pharmacy programs</w:t>
            </w:r>
            <w:r w:rsidR="00471EA6" w:rsidRPr="00471EA6">
              <w:rPr>
                <w:rFonts w:eastAsiaTheme="majorEastAsia" w:cstheme="minorHAnsi"/>
                <w:sz w:val="18"/>
                <w:szCs w:val="18"/>
              </w:rPr>
              <w:t>, Home Medicines</w:t>
            </w:r>
            <w:r w:rsidRPr="00471EA6">
              <w:rPr>
                <w:rFonts w:eastAsiaTheme="majorEastAsia" w:cstheme="minorHAnsi"/>
                <w:sz w:val="18"/>
                <w:szCs w:val="18"/>
              </w:rPr>
              <w:t xml:space="preserve"> Review</w:t>
            </w:r>
            <w:r w:rsidR="00471EA6" w:rsidRPr="00471EA6">
              <w:rPr>
                <w:rFonts w:eastAsiaTheme="majorEastAsia" w:cstheme="minorHAnsi"/>
                <w:sz w:val="18"/>
                <w:szCs w:val="18"/>
              </w:rPr>
              <w:t>s</w:t>
            </w:r>
            <w:r w:rsidRPr="00471EA6">
              <w:rPr>
                <w:rFonts w:eastAsiaTheme="majorEastAsia" w:cstheme="minorHAnsi"/>
                <w:sz w:val="18"/>
                <w:szCs w:val="18"/>
              </w:rPr>
              <w:t>, QUMAX</w:t>
            </w:r>
            <w:r w:rsidR="00B2349A">
              <w:rPr>
                <w:rFonts w:eastAsiaTheme="majorEastAsia" w:cstheme="minorHAnsi"/>
                <w:sz w:val="18"/>
                <w:szCs w:val="18"/>
              </w:rPr>
              <w:t xml:space="preserve"> and</w:t>
            </w:r>
            <w:r w:rsidRPr="00471EA6">
              <w:rPr>
                <w:rFonts w:eastAsiaTheme="majorEastAsia" w:cstheme="minorHAnsi"/>
                <w:sz w:val="18"/>
                <w:szCs w:val="18"/>
              </w:rPr>
              <w:t xml:space="preserve"> s100 Support Allowance.</w:t>
            </w:r>
          </w:p>
          <w:p w14:paraId="530D6361" w14:textId="56B4737C" w:rsidR="002F3EDC" w:rsidRPr="00471EA6" w:rsidRDefault="00087D29" w:rsidP="00AC1C1A">
            <w:pPr>
              <w:pStyle w:val="ListParagraph"/>
              <w:widowControl/>
              <w:numPr>
                <w:ilvl w:val="1"/>
                <w:numId w:val="29"/>
              </w:numPr>
              <w:spacing w:line="240" w:lineRule="auto"/>
              <w:jc w:val="left"/>
              <w:rPr>
                <w:rFonts w:cstheme="minorHAnsi"/>
                <w:sz w:val="18"/>
                <w:szCs w:val="18"/>
              </w:rPr>
            </w:pPr>
            <w:r>
              <w:rPr>
                <w:rFonts w:eastAsiaTheme="majorEastAsia" w:cstheme="minorHAnsi"/>
                <w:sz w:val="18"/>
                <w:szCs w:val="18"/>
              </w:rPr>
              <w:t>The s</w:t>
            </w:r>
            <w:r w:rsidR="002F3EDC" w:rsidRPr="00471EA6">
              <w:rPr>
                <w:rFonts w:eastAsiaTheme="majorEastAsia" w:cstheme="minorHAnsi"/>
                <w:sz w:val="18"/>
                <w:szCs w:val="18"/>
              </w:rPr>
              <w:t xml:space="preserve">pecific challenges related to remoteness must be considered in </w:t>
            </w:r>
            <w:r w:rsidR="002F3EDC">
              <w:rPr>
                <w:rFonts w:eastAsiaTheme="majorEastAsia" w:cstheme="minorHAnsi"/>
                <w:sz w:val="18"/>
                <w:szCs w:val="18"/>
              </w:rPr>
              <w:t>a</w:t>
            </w:r>
            <w:r w:rsidR="002F3EDC" w:rsidRPr="00471EA6">
              <w:rPr>
                <w:rFonts w:eastAsiaTheme="majorEastAsia" w:cstheme="minorHAnsi"/>
                <w:sz w:val="18"/>
                <w:szCs w:val="18"/>
              </w:rPr>
              <w:t xml:space="preserve"> national program, </w:t>
            </w:r>
            <w:proofErr w:type="gramStart"/>
            <w:r w:rsidR="002F3EDC" w:rsidRPr="00471EA6">
              <w:rPr>
                <w:rFonts w:eastAsiaTheme="majorEastAsia" w:cstheme="minorHAnsi"/>
                <w:sz w:val="18"/>
                <w:szCs w:val="18"/>
              </w:rPr>
              <w:t>e.g.</w:t>
            </w:r>
            <w:proofErr w:type="gramEnd"/>
            <w:r w:rsidR="002F3EDC" w:rsidRPr="00471EA6">
              <w:rPr>
                <w:rFonts w:eastAsiaTheme="majorEastAsia" w:cstheme="minorHAnsi"/>
                <w:sz w:val="18"/>
                <w:szCs w:val="18"/>
              </w:rPr>
              <w:t xml:space="preserve"> remote ACCHSs require a higher level of funding for additional implementat</w:t>
            </w:r>
            <w:r w:rsidR="002F3EDC">
              <w:rPr>
                <w:rFonts w:eastAsiaTheme="majorEastAsia" w:cstheme="minorHAnsi"/>
                <w:sz w:val="18"/>
                <w:szCs w:val="18"/>
              </w:rPr>
              <w:t>ion costs such</w:t>
            </w:r>
            <w:r w:rsidR="002F3EDC" w:rsidRPr="00471EA6">
              <w:rPr>
                <w:rFonts w:eastAsiaTheme="majorEastAsia" w:cstheme="minorHAnsi"/>
                <w:sz w:val="18"/>
                <w:szCs w:val="18"/>
              </w:rPr>
              <w:t xml:space="preserve"> as salary loading, travel and accommodation. </w:t>
            </w:r>
          </w:p>
          <w:p w14:paraId="7FDEA9F1" w14:textId="66466F65" w:rsidR="0054645F" w:rsidRPr="00277736" w:rsidRDefault="00E8545F" w:rsidP="00AC1C1A">
            <w:pPr>
              <w:pStyle w:val="ListParagraph"/>
              <w:widowControl/>
              <w:numPr>
                <w:ilvl w:val="1"/>
                <w:numId w:val="29"/>
              </w:numPr>
              <w:spacing w:line="240" w:lineRule="auto"/>
              <w:jc w:val="left"/>
              <w:rPr>
                <w:rFonts w:cstheme="minorHAnsi"/>
                <w:sz w:val="18"/>
                <w:szCs w:val="18"/>
              </w:rPr>
            </w:pPr>
            <w:r w:rsidRPr="00471EA6">
              <w:rPr>
                <w:sz w:val="18"/>
                <w:szCs w:val="18"/>
              </w:rPr>
              <w:t xml:space="preserve">Legislative barriers </w:t>
            </w:r>
            <w:r w:rsidR="00A24452">
              <w:rPr>
                <w:sz w:val="18"/>
                <w:szCs w:val="18"/>
              </w:rPr>
              <w:t>(</w:t>
            </w:r>
            <w:proofErr w:type="gramStart"/>
            <w:r w:rsidR="00A24452">
              <w:rPr>
                <w:sz w:val="18"/>
                <w:szCs w:val="18"/>
              </w:rPr>
              <w:t>i.e.</w:t>
            </w:r>
            <w:proofErr w:type="gramEnd"/>
            <w:r w:rsidR="00A24452">
              <w:rPr>
                <w:sz w:val="18"/>
                <w:szCs w:val="18"/>
              </w:rPr>
              <w:t xml:space="preserve"> immunization)</w:t>
            </w:r>
            <w:r w:rsidR="00A24452" w:rsidRPr="00471EA6">
              <w:rPr>
                <w:sz w:val="18"/>
                <w:szCs w:val="18"/>
              </w:rPr>
              <w:t xml:space="preserve"> </w:t>
            </w:r>
            <w:r w:rsidRPr="00471EA6">
              <w:rPr>
                <w:sz w:val="18"/>
                <w:szCs w:val="18"/>
              </w:rPr>
              <w:t>that inhibit an integrated pharmacist from practicing to their full scope of practice within an ACCHS should be identified and overcome</w:t>
            </w:r>
            <w:r w:rsidR="003479A2">
              <w:rPr>
                <w:sz w:val="18"/>
                <w:szCs w:val="18"/>
              </w:rPr>
              <w:t>.</w:t>
            </w:r>
          </w:p>
        </w:tc>
        <w:tc>
          <w:tcPr>
            <w:tcW w:w="1543" w:type="pct"/>
          </w:tcPr>
          <w:p w14:paraId="22BF3C47" w14:textId="76346F61" w:rsidR="0054645F" w:rsidRPr="0071606F" w:rsidRDefault="0054645F" w:rsidP="00AC1C1A">
            <w:pPr>
              <w:pStyle w:val="ListParagraph"/>
              <w:widowControl/>
              <w:numPr>
                <w:ilvl w:val="0"/>
                <w:numId w:val="27"/>
              </w:numPr>
              <w:spacing w:before="0" w:line="240" w:lineRule="auto"/>
              <w:jc w:val="left"/>
              <w:rPr>
                <w:rFonts w:eastAsia="Times New Roman" w:cstheme="minorHAnsi"/>
                <w:color w:val="333333"/>
                <w:sz w:val="18"/>
                <w:szCs w:val="18"/>
              </w:rPr>
            </w:pPr>
            <w:r w:rsidRPr="0071606F">
              <w:rPr>
                <w:rFonts w:eastAsia="Times New Roman" w:cstheme="minorHAnsi"/>
                <w:color w:val="333333"/>
                <w:sz w:val="18"/>
                <w:szCs w:val="18"/>
              </w:rPr>
              <w:t>Enhance</w:t>
            </w:r>
            <w:r w:rsidR="00246A5C">
              <w:rPr>
                <w:rFonts w:eastAsia="Times New Roman" w:cstheme="minorHAnsi"/>
                <w:color w:val="333333"/>
                <w:sz w:val="18"/>
                <w:szCs w:val="18"/>
              </w:rPr>
              <w:t>d</w:t>
            </w:r>
            <w:r w:rsidRPr="0071606F">
              <w:rPr>
                <w:rFonts w:eastAsia="Times New Roman" w:cstheme="minorHAnsi"/>
                <w:color w:val="333333"/>
                <w:sz w:val="18"/>
                <w:szCs w:val="18"/>
              </w:rPr>
              <w:t xml:space="preserve"> quality of care outcomes for Aboriginal </w:t>
            </w:r>
            <w:r w:rsidR="00246A5C">
              <w:rPr>
                <w:rFonts w:eastAsia="Times New Roman" w:cstheme="minorHAnsi"/>
                <w:color w:val="333333"/>
                <w:sz w:val="18"/>
                <w:szCs w:val="18"/>
              </w:rPr>
              <w:t xml:space="preserve">Australians </w:t>
            </w:r>
            <w:r w:rsidRPr="0071606F">
              <w:rPr>
                <w:rFonts w:eastAsia="Times New Roman" w:cstheme="minorHAnsi"/>
                <w:color w:val="333333"/>
                <w:sz w:val="18"/>
                <w:szCs w:val="18"/>
              </w:rPr>
              <w:t>and T</w:t>
            </w:r>
            <w:r>
              <w:rPr>
                <w:rFonts w:eastAsia="Times New Roman" w:cstheme="minorHAnsi"/>
                <w:color w:val="333333"/>
                <w:sz w:val="18"/>
                <w:szCs w:val="18"/>
              </w:rPr>
              <w:t xml:space="preserve">orres </w:t>
            </w:r>
            <w:r w:rsidRPr="0071606F">
              <w:rPr>
                <w:rFonts w:eastAsia="Times New Roman" w:cstheme="minorHAnsi"/>
                <w:color w:val="333333"/>
                <w:sz w:val="18"/>
                <w:szCs w:val="18"/>
              </w:rPr>
              <w:t>S</w:t>
            </w:r>
            <w:r>
              <w:rPr>
                <w:rFonts w:eastAsia="Times New Roman" w:cstheme="minorHAnsi"/>
                <w:color w:val="333333"/>
                <w:sz w:val="18"/>
                <w:szCs w:val="18"/>
              </w:rPr>
              <w:t>trait Islander</w:t>
            </w:r>
            <w:r w:rsidR="00246A5C">
              <w:rPr>
                <w:rFonts w:eastAsia="Times New Roman" w:cstheme="minorHAnsi"/>
                <w:color w:val="333333"/>
                <w:sz w:val="18"/>
                <w:szCs w:val="18"/>
              </w:rPr>
              <w:t>s</w:t>
            </w:r>
            <w:r w:rsidRPr="0071606F">
              <w:rPr>
                <w:rFonts w:eastAsia="Times New Roman" w:cstheme="minorHAnsi"/>
                <w:color w:val="333333"/>
                <w:sz w:val="18"/>
                <w:szCs w:val="18"/>
              </w:rPr>
              <w:t xml:space="preserve"> with chronic disease</w:t>
            </w:r>
          </w:p>
          <w:p w14:paraId="1D7837E0" w14:textId="77777777" w:rsidR="0054645F" w:rsidRDefault="0054645F" w:rsidP="00AC1C1A">
            <w:pPr>
              <w:pStyle w:val="ListParagraph"/>
              <w:widowControl/>
              <w:numPr>
                <w:ilvl w:val="0"/>
                <w:numId w:val="27"/>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Continuity of care provided by pharmacists integrated into the team</w:t>
            </w:r>
          </w:p>
          <w:p w14:paraId="28045C2D" w14:textId="77777777" w:rsidR="0054645F" w:rsidRDefault="0054645F" w:rsidP="00AC1C1A">
            <w:pPr>
              <w:pStyle w:val="ListParagraph"/>
              <w:widowControl/>
              <w:numPr>
                <w:ilvl w:val="0"/>
                <w:numId w:val="27"/>
              </w:numPr>
              <w:spacing w:before="0" w:line="240" w:lineRule="auto"/>
              <w:jc w:val="left"/>
              <w:rPr>
                <w:rFonts w:eastAsia="Times New Roman" w:cstheme="minorHAnsi"/>
                <w:color w:val="333333"/>
                <w:sz w:val="18"/>
                <w:szCs w:val="18"/>
              </w:rPr>
            </w:pPr>
            <w:r w:rsidRPr="00E865B1">
              <w:rPr>
                <w:rFonts w:eastAsia="Times New Roman" w:cstheme="minorHAnsi"/>
                <w:color w:val="333333"/>
                <w:sz w:val="18"/>
                <w:szCs w:val="18"/>
              </w:rPr>
              <w:t xml:space="preserve">Improved prescribing quality </w:t>
            </w:r>
          </w:p>
          <w:p w14:paraId="4A50EEFB" w14:textId="77777777" w:rsidR="0054645F" w:rsidRPr="00E865B1" w:rsidRDefault="0054645F" w:rsidP="00AC1C1A">
            <w:pPr>
              <w:pStyle w:val="ListParagraph"/>
              <w:widowControl/>
              <w:numPr>
                <w:ilvl w:val="0"/>
                <w:numId w:val="27"/>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I</w:t>
            </w:r>
            <w:r w:rsidRPr="00E865B1">
              <w:rPr>
                <w:rFonts w:eastAsia="Times New Roman" w:cstheme="minorHAnsi"/>
                <w:color w:val="333333"/>
                <w:sz w:val="18"/>
                <w:szCs w:val="18"/>
              </w:rPr>
              <w:t>mproved cost effectiveness</w:t>
            </w:r>
          </w:p>
          <w:p w14:paraId="0FEE2759" w14:textId="5115A09F" w:rsidR="0054645F" w:rsidRDefault="0054645F" w:rsidP="00AC1C1A">
            <w:pPr>
              <w:pStyle w:val="ListParagraph"/>
              <w:widowControl/>
              <w:numPr>
                <w:ilvl w:val="0"/>
                <w:numId w:val="27"/>
              </w:numPr>
              <w:spacing w:before="0" w:line="240" w:lineRule="auto"/>
              <w:jc w:val="left"/>
              <w:rPr>
                <w:rFonts w:eastAsia="Times New Roman" w:cstheme="minorHAnsi"/>
                <w:color w:val="333333"/>
                <w:sz w:val="18"/>
                <w:szCs w:val="18"/>
              </w:rPr>
            </w:pPr>
            <w:r w:rsidRPr="00E865B1">
              <w:rPr>
                <w:rFonts w:eastAsia="Times New Roman" w:cstheme="minorHAnsi"/>
                <w:color w:val="333333"/>
                <w:sz w:val="18"/>
                <w:szCs w:val="18"/>
              </w:rPr>
              <w:t>Improved medication adherence</w:t>
            </w:r>
          </w:p>
          <w:p w14:paraId="45BFC9EE" w14:textId="60E8D510" w:rsidR="0094159D" w:rsidRDefault="0094159D" w:rsidP="00AC1C1A">
            <w:pPr>
              <w:pStyle w:val="ListParagraph"/>
              <w:widowControl/>
              <w:numPr>
                <w:ilvl w:val="0"/>
                <w:numId w:val="27"/>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Increased Home Medicines Reviews</w:t>
            </w:r>
          </w:p>
          <w:p w14:paraId="27813781" w14:textId="62E2D12B" w:rsidR="00BE2E2F" w:rsidRPr="00277736" w:rsidRDefault="00BE2E2F" w:rsidP="00AC1C1A">
            <w:pPr>
              <w:pStyle w:val="ListParagraph"/>
              <w:widowControl/>
              <w:numPr>
                <w:ilvl w:val="0"/>
                <w:numId w:val="27"/>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Improved self-assessed health status</w:t>
            </w:r>
          </w:p>
        </w:tc>
      </w:tr>
      <w:tr w:rsidR="00EF0691" w:rsidRPr="0071606F" w14:paraId="7F017BF1" w14:textId="77777777" w:rsidTr="00147AAC">
        <w:tc>
          <w:tcPr>
            <w:tcW w:w="977" w:type="pct"/>
          </w:tcPr>
          <w:p w14:paraId="29041EEC" w14:textId="633DB383" w:rsidR="00BE1B29" w:rsidRPr="0071606F" w:rsidRDefault="0054645F" w:rsidP="00AC1C1A">
            <w:pPr>
              <w:pStyle w:val="ListParagraph"/>
              <w:widowControl/>
              <w:numPr>
                <w:ilvl w:val="0"/>
                <w:numId w:val="29"/>
              </w:numPr>
              <w:spacing w:before="0" w:line="240" w:lineRule="auto"/>
              <w:jc w:val="left"/>
              <w:rPr>
                <w:rFonts w:cstheme="minorHAnsi"/>
                <w:b/>
                <w:bCs/>
                <w:sz w:val="18"/>
                <w:szCs w:val="18"/>
              </w:rPr>
            </w:pPr>
            <w:r w:rsidRPr="0071606F">
              <w:rPr>
                <w:b/>
                <w:sz w:val="18"/>
                <w:szCs w:val="18"/>
              </w:rPr>
              <w:t xml:space="preserve">Advocacy and support to ACCHSs to facilitate processes for </w:t>
            </w:r>
            <w:r>
              <w:rPr>
                <w:b/>
                <w:sz w:val="18"/>
                <w:szCs w:val="18"/>
              </w:rPr>
              <w:t>integrating</w:t>
            </w:r>
            <w:r w:rsidRPr="0071606F">
              <w:rPr>
                <w:b/>
                <w:sz w:val="18"/>
                <w:szCs w:val="18"/>
              </w:rPr>
              <w:t xml:space="preserve"> pharmacists</w:t>
            </w:r>
          </w:p>
        </w:tc>
        <w:tc>
          <w:tcPr>
            <w:tcW w:w="669" w:type="pct"/>
          </w:tcPr>
          <w:p w14:paraId="1E230539" w14:textId="77777777" w:rsidR="0054645F" w:rsidRPr="00300558" w:rsidRDefault="0054645F" w:rsidP="00AC1C1A">
            <w:pPr>
              <w:spacing w:before="0" w:line="240" w:lineRule="auto"/>
              <w:jc w:val="left"/>
              <w:rPr>
                <w:rFonts w:eastAsia="Times New Roman" w:cstheme="minorHAnsi"/>
                <w:b/>
                <w:color w:val="333333"/>
                <w:sz w:val="18"/>
                <w:szCs w:val="18"/>
              </w:rPr>
            </w:pPr>
            <w:r w:rsidRPr="00300558">
              <w:rPr>
                <w:rFonts w:eastAsia="Times New Roman" w:cstheme="minorHAnsi"/>
                <w:b/>
                <w:color w:val="333333"/>
                <w:sz w:val="18"/>
                <w:szCs w:val="18"/>
              </w:rPr>
              <w:t>NACCHO</w:t>
            </w:r>
            <w:r>
              <w:rPr>
                <w:rFonts w:eastAsia="Times New Roman" w:cstheme="minorHAnsi"/>
                <w:b/>
                <w:color w:val="333333"/>
                <w:sz w:val="18"/>
                <w:szCs w:val="18"/>
              </w:rPr>
              <w:t xml:space="preserve"> and Affiliates</w:t>
            </w:r>
          </w:p>
        </w:tc>
        <w:tc>
          <w:tcPr>
            <w:tcW w:w="1811" w:type="pct"/>
          </w:tcPr>
          <w:p w14:paraId="53DF830C" w14:textId="5E01C829" w:rsidR="003479A2" w:rsidRPr="003479A2" w:rsidRDefault="0054645F" w:rsidP="00AC1C1A">
            <w:pPr>
              <w:pStyle w:val="ListParagraph"/>
              <w:widowControl/>
              <w:numPr>
                <w:ilvl w:val="1"/>
                <w:numId w:val="29"/>
              </w:numPr>
              <w:spacing w:line="240" w:lineRule="auto"/>
              <w:jc w:val="left"/>
              <w:rPr>
                <w:rFonts w:cstheme="minorHAnsi"/>
                <w:sz w:val="18"/>
                <w:szCs w:val="18"/>
              </w:rPr>
            </w:pPr>
            <w:r w:rsidRPr="0051533E">
              <w:rPr>
                <w:rFonts w:cstheme="minorHAnsi"/>
                <w:sz w:val="18"/>
                <w:szCs w:val="18"/>
              </w:rPr>
              <w:t>NACCHO</w:t>
            </w:r>
            <w:r>
              <w:rPr>
                <w:rFonts w:cstheme="minorHAnsi"/>
                <w:sz w:val="18"/>
                <w:szCs w:val="18"/>
              </w:rPr>
              <w:t xml:space="preserve"> and Affiliates</w:t>
            </w:r>
            <w:r w:rsidRPr="0051533E">
              <w:rPr>
                <w:rFonts w:cstheme="minorHAnsi"/>
                <w:sz w:val="18"/>
                <w:szCs w:val="18"/>
              </w:rPr>
              <w:t xml:space="preserve"> </w:t>
            </w:r>
            <w:r w:rsidR="007456BE">
              <w:rPr>
                <w:rFonts w:cstheme="minorHAnsi"/>
                <w:sz w:val="18"/>
                <w:szCs w:val="18"/>
              </w:rPr>
              <w:t xml:space="preserve">should </w:t>
            </w:r>
            <w:r w:rsidR="00C028DA">
              <w:rPr>
                <w:rFonts w:cstheme="minorHAnsi"/>
                <w:sz w:val="18"/>
                <w:szCs w:val="18"/>
              </w:rPr>
              <w:t xml:space="preserve">be </w:t>
            </w:r>
            <w:r>
              <w:rPr>
                <w:rFonts w:cstheme="minorHAnsi"/>
                <w:sz w:val="18"/>
                <w:szCs w:val="18"/>
              </w:rPr>
              <w:t>support</w:t>
            </w:r>
            <w:r w:rsidR="00C028DA">
              <w:rPr>
                <w:rFonts w:cstheme="minorHAnsi"/>
                <w:sz w:val="18"/>
                <w:szCs w:val="18"/>
              </w:rPr>
              <w:t xml:space="preserve">ed to assist </w:t>
            </w:r>
            <w:r w:rsidR="00905399" w:rsidRPr="0051533E">
              <w:rPr>
                <w:rFonts w:cstheme="minorHAnsi"/>
                <w:sz w:val="18"/>
                <w:szCs w:val="18"/>
              </w:rPr>
              <w:t>ACCHSs</w:t>
            </w:r>
            <w:r w:rsidR="00905399">
              <w:rPr>
                <w:rFonts w:cstheme="minorHAnsi"/>
                <w:sz w:val="18"/>
                <w:szCs w:val="18"/>
              </w:rPr>
              <w:t xml:space="preserve"> and </w:t>
            </w:r>
            <w:r>
              <w:rPr>
                <w:rFonts w:cstheme="minorHAnsi"/>
                <w:sz w:val="18"/>
                <w:szCs w:val="18"/>
              </w:rPr>
              <w:t>s</w:t>
            </w:r>
            <w:r w:rsidRPr="0051533E">
              <w:rPr>
                <w:rFonts w:cstheme="minorHAnsi"/>
                <w:sz w:val="18"/>
                <w:szCs w:val="18"/>
              </w:rPr>
              <w:t xml:space="preserve">taff to </w:t>
            </w:r>
            <w:r w:rsidR="00905399">
              <w:rPr>
                <w:rFonts w:cstheme="minorHAnsi"/>
                <w:sz w:val="18"/>
                <w:szCs w:val="18"/>
              </w:rPr>
              <w:t>be informed of</w:t>
            </w:r>
            <w:r w:rsidRPr="0051533E">
              <w:rPr>
                <w:rFonts w:cstheme="minorHAnsi"/>
                <w:sz w:val="18"/>
                <w:szCs w:val="18"/>
              </w:rPr>
              <w:t xml:space="preserve"> the value of having a pharmacist </w:t>
            </w:r>
            <w:r w:rsidR="00905399">
              <w:rPr>
                <w:rFonts w:cstheme="minorHAnsi"/>
                <w:sz w:val="18"/>
                <w:szCs w:val="18"/>
              </w:rPr>
              <w:t xml:space="preserve">as part of their primary health care </w:t>
            </w:r>
            <w:r w:rsidRPr="0051533E">
              <w:rPr>
                <w:rFonts w:cstheme="minorHAnsi"/>
                <w:sz w:val="18"/>
                <w:szCs w:val="18"/>
              </w:rPr>
              <w:t>team</w:t>
            </w:r>
            <w:r>
              <w:rPr>
                <w:rFonts w:cstheme="minorHAnsi"/>
                <w:sz w:val="18"/>
                <w:szCs w:val="18"/>
              </w:rPr>
              <w:t xml:space="preserve">, </w:t>
            </w:r>
            <w:r w:rsidR="00905399">
              <w:rPr>
                <w:rFonts w:cstheme="minorHAnsi"/>
                <w:sz w:val="18"/>
                <w:szCs w:val="18"/>
              </w:rPr>
              <w:t>support</w:t>
            </w:r>
            <w:r w:rsidRPr="0051533E">
              <w:rPr>
                <w:rFonts w:cstheme="minorHAnsi"/>
                <w:sz w:val="18"/>
                <w:szCs w:val="18"/>
              </w:rPr>
              <w:t xml:space="preserve"> change management process</w:t>
            </w:r>
            <w:r>
              <w:rPr>
                <w:rFonts w:cstheme="minorHAnsi"/>
                <w:sz w:val="18"/>
                <w:szCs w:val="18"/>
              </w:rPr>
              <w:t>es</w:t>
            </w:r>
            <w:r w:rsidRPr="0051533E">
              <w:rPr>
                <w:rFonts w:cstheme="minorHAnsi"/>
                <w:sz w:val="18"/>
                <w:szCs w:val="18"/>
              </w:rPr>
              <w:t xml:space="preserve"> to introduce and embed the pharmacist</w:t>
            </w:r>
            <w:r w:rsidR="00FA6BD7">
              <w:rPr>
                <w:rFonts w:cstheme="minorHAnsi"/>
                <w:sz w:val="18"/>
                <w:szCs w:val="18"/>
              </w:rPr>
              <w:t xml:space="preserve"> within the service,</w:t>
            </w:r>
            <w:r>
              <w:rPr>
                <w:rFonts w:cstheme="minorHAnsi"/>
                <w:sz w:val="18"/>
                <w:szCs w:val="18"/>
              </w:rPr>
              <w:t xml:space="preserve"> develop referral processes</w:t>
            </w:r>
            <w:r w:rsidR="00033634">
              <w:rPr>
                <w:rFonts w:cstheme="minorHAnsi"/>
                <w:sz w:val="18"/>
                <w:szCs w:val="18"/>
              </w:rPr>
              <w:t>,</w:t>
            </w:r>
            <w:r w:rsidR="00905399">
              <w:rPr>
                <w:rFonts w:cstheme="minorHAnsi"/>
                <w:sz w:val="18"/>
                <w:szCs w:val="18"/>
              </w:rPr>
              <w:t xml:space="preserve"> and </w:t>
            </w:r>
            <w:r w:rsidR="00905399" w:rsidRPr="00905399">
              <w:rPr>
                <w:rFonts w:cstheme="minorHAnsi"/>
                <w:sz w:val="18"/>
                <w:szCs w:val="18"/>
              </w:rPr>
              <w:t>adapt workflow to incorporate the new service</w:t>
            </w:r>
            <w:r w:rsidRPr="0051533E">
              <w:rPr>
                <w:rFonts w:cstheme="minorHAnsi"/>
                <w:sz w:val="18"/>
                <w:szCs w:val="18"/>
              </w:rPr>
              <w:t>.</w:t>
            </w:r>
            <w:r w:rsidR="003479A2">
              <w:rPr>
                <w:sz w:val="18"/>
                <w:szCs w:val="18"/>
              </w:rPr>
              <w:t xml:space="preserve"> </w:t>
            </w:r>
          </w:p>
          <w:p w14:paraId="0F18433E" w14:textId="3CEC85F5" w:rsidR="0054645F" w:rsidRPr="003479A2" w:rsidRDefault="005C3BF9" w:rsidP="00C028DA">
            <w:pPr>
              <w:pStyle w:val="ListParagraph"/>
              <w:widowControl/>
              <w:numPr>
                <w:ilvl w:val="1"/>
                <w:numId w:val="29"/>
              </w:numPr>
              <w:spacing w:line="240" w:lineRule="auto"/>
              <w:jc w:val="left"/>
              <w:rPr>
                <w:rFonts w:cstheme="minorHAnsi"/>
                <w:sz w:val="18"/>
                <w:szCs w:val="18"/>
              </w:rPr>
            </w:pPr>
            <w:r w:rsidRPr="005C3BF9">
              <w:rPr>
                <w:rFonts w:cstheme="minorHAnsi"/>
                <w:sz w:val="18"/>
                <w:szCs w:val="18"/>
              </w:rPr>
              <w:t xml:space="preserve">NACCHO and Affiliates </w:t>
            </w:r>
            <w:r w:rsidR="00C028DA">
              <w:rPr>
                <w:rFonts w:cstheme="minorHAnsi"/>
                <w:sz w:val="18"/>
                <w:szCs w:val="18"/>
              </w:rPr>
              <w:t xml:space="preserve">should be </w:t>
            </w:r>
            <w:r w:rsidRPr="005C3BF9">
              <w:rPr>
                <w:rFonts w:cstheme="minorHAnsi"/>
                <w:sz w:val="18"/>
                <w:szCs w:val="18"/>
              </w:rPr>
              <w:t>support</w:t>
            </w:r>
            <w:r w:rsidR="00C028DA">
              <w:rPr>
                <w:rFonts w:cstheme="minorHAnsi"/>
                <w:sz w:val="18"/>
                <w:szCs w:val="18"/>
              </w:rPr>
              <w:t>ed to develop</w:t>
            </w:r>
            <w:r w:rsidRPr="005C3BF9">
              <w:rPr>
                <w:rFonts w:cstheme="minorHAnsi"/>
                <w:sz w:val="18"/>
                <w:szCs w:val="18"/>
              </w:rPr>
              <w:t xml:space="preserve"> processes and resources for ACCHSs </w:t>
            </w:r>
            <w:r>
              <w:rPr>
                <w:rFonts w:cstheme="minorHAnsi"/>
                <w:sz w:val="18"/>
                <w:szCs w:val="18"/>
              </w:rPr>
              <w:t xml:space="preserve">considering the ten core roles of the IPAC </w:t>
            </w:r>
            <w:r w:rsidR="00FF71CB">
              <w:rPr>
                <w:rFonts w:cstheme="minorHAnsi"/>
                <w:sz w:val="18"/>
                <w:szCs w:val="18"/>
              </w:rPr>
              <w:t>project</w:t>
            </w:r>
            <w:r>
              <w:rPr>
                <w:rFonts w:cstheme="minorHAnsi"/>
                <w:sz w:val="18"/>
                <w:szCs w:val="18"/>
              </w:rPr>
              <w:t xml:space="preserve"> and the </w:t>
            </w:r>
            <w:r w:rsidR="00FE6C6D">
              <w:rPr>
                <w:rFonts w:cstheme="minorHAnsi"/>
                <w:sz w:val="18"/>
                <w:szCs w:val="18"/>
              </w:rPr>
              <w:t xml:space="preserve">six domains of the </w:t>
            </w:r>
            <w:r w:rsidR="00FE6C6D" w:rsidRPr="00FE6C6D">
              <w:rPr>
                <w:rFonts w:cstheme="minorHAnsi"/>
                <w:sz w:val="18"/>
                <w:szCs w:val="18"/>
              </w:rPr>
              <w:t>Integrating Models of Pharmacists across Care Teams (IMPACT)</w:t>
            </w:r>
            <w:r w:rsidR="00FE6C6D" w:rsidRPr="00064774">
              <w:rPr>
                <w:rFonts w:cstheme="minorHAnsi"/>
              </w:rPr>
              <w:t xml:space="preserve"> </w:t>
            </w:r>
            <w:r w:rsidR="003479A2" w:rsidRPr="005C3BF9">
              <w:rPr>
                <w:rFonts w:cstheme="minorHAnsi"/>
                <w:sz w:val="18"/>
                <w:szCs w:val="18"/>
              </w:rPr>
              <w:t>Framework</w:t>
            </w:r>
            <w:r w:rsidRPr="005C3BF9">
              <w:rPr>
                <w:rFonts w:cstheme="minorHAnsi"/>
                <w:sz w:val="18"/>
                <w:szCs w:val="18"/>
                <w:vertAlign w:val="superscript"/>
              </w:rPr>
              <w:t>55</w:t>
            </w:r>
            <w:r w:rsidR="003479A2" w:rsidRPr="005C3BF9">
              <w:rPr>
                <w:sz w:val="18"/>
                <w:szCs w:val="18"/>
              </w:rPr>
              <w:t xml:space="preserve"> </w:t>
            </w:r>
            <w:r>
              <w:rPr>
                <w:sz w:val="18"/>
                <w:szCs w:val="18"/>
              </w:rPr>
              <w:t>to</w:t>
            </w:r>
            <w:r w:rsidR="003479A2" w:rsidRPr="005C3BF9">
              <w:rPr>
                <w:sz w:val="18"/>
                <w:szCs w:val="18"/>
              </w:rPr>
              <w:t xml:space="preserve"> assist ACCHSs </w:t>
            </w:r>
            <w:r>
              <w:rPr>
                <w:sz w:val="18"/>
                <w:szCs w:val="18"/>
              </w:rPr>
              <w:t xml:space="preserve">prepare </w:t>
            </w:r>
            <w:r w:rsidR="003479A2" w:rsidRPr="005C3BF9">
              <w:rPr>
                <w:sz w:val="18"/>
                <w:szCs w:val="18"/>
              </w:rPr>
              <w:t xml:space="preserve">for the </w:t>
            </w:r>
            <w:r>
              <w:rPr>
                <w:sz w:val="18"/>
                <w:szCs w:val="18"/>
              </w:rPr>
              <w:t xml:space="preserve">integrated </w:t>
            </w:r>
            <w:r w:rsidR="003479A2" w:rsidRPr="005C3BF9">
              <w:rPr>
                <w:sz w:val="18"/>
                <w:szCs w:val="18"/>
              </w:rPr>
              <w:t>pharmacist role</w:t>
            </w:r>
            <w:r w:rsidR="003479A2" w:rsidRPr="005C3BF9">
              <w:rPr>
                <w:rFonts w:cstheme="minorHAnsi"/>
                <w:sz w:val="18"/>
                <w:szCs w:val="18"/>
              </w:rPr>
              <w:t xml:space="preserve">. </w:t>
            </w:r>
          </w:p>
        </w:tc>
        <w:tc>
          <w:tcPr>
            <w:tcW w:w="1543" w:type="pct"/>
          </w:tcPr>
          <w:p w14:paraId="672AF11A" w14:textId="2CC79F7B" w:rsidR="00905399" w:rsidRDefault="0094159D" w:rsidP="00AC1C1A">
            <w:pPr>
              <w:pStyle w:val="ListParagraph"/>
              <w:widowControl/>
              <w:numPr>
                <w:ilvl w:val="0"/>
                <w:numId w:val="26"/>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 xml:space="preserve">Improved staff awareness </w:t>
            </w:r>
            <w:r w:rsidR="00905399" w:rsidRPr="0051533E">
              <w:rPr>
                <w:rFonts w:eastAsia="Times New Roman" w:cstheme="minorHAnsi"/>
                <w:color w:val="333333"/>
                <w:sz w:val="18"/>
                <w:szCs w:val="18"/>
              </w:rPr>
              <w:t xml:space="preserve">of value and benefits of the role </w:t>
            </w:r>
            <w:r>
              <w:rPr>
                <w:rFonts w:eastAsia="Times New Roman" w:cstheme="minorHAnsi"/>
                <w:color w:val="333333"/>
                <w:sz w:val="18"/>
                <w:szCs w:val="18"/>
              </w:rPr>
              <w:t xml:space="preserve">to </w:t>
            </w:r>
            <w:r w:rsidR="00905399" w:rsidRPr="0051533E">
              <w:rPr>
                <w:rFonts w:eastAsia="Times New Roman" w:cstheme="minorHAnsi"/>
                <w:color w:val="333333"/>
                <w:sz w:val="18"/>
                <w:szCs w:val="18"/>
              </w:rPr>
              <w:t xml:space="preserve">facilitate </w:t>
            </w:r>
            <w:r w:rsidR="00033634">
              <w:rPr>
                <w:rFonts w:eastAsia="Times New Roman" w:cstheme="minorHAnsi"/>
                <w:color w:val="333333"/>
                <w:sz w:val="18"/>
                <w:szCs w:val="18"/>
              </w:rPr>
              <w:t xml:space="preserve">the </w:t>
            </w:r>
            <w:r w:rsidR="00905399" w:rsidRPr="0051533E">
              <w:rPr>
                <w:rFonts w:eastAsia="Times New Roman" w:cstheme="minorHAnsi"/>
                <w:color w:val="333333"/>
                <w:sz w:val="18"/>
                <w:szCs w:val="18"/>
              </w:rPr>
              <w:t>integration</w:t>
            </w:r>
            <w:r w:rsidR="00033634">
              <w:rPr>
                <w:rFonts w:eastAsia="Times New Roman" w:cstheme="minorHAnsi"/>
                <w:color w:val="333333"/>
                <w:sz w:val="18"/>
                <w:szCs w:val="18"/>
              </w:rPr>
              <w:t xml:space="preserve"> of the pharmacist</w:t>
            </w:r>
            <w:r w:rsidR="00905399" w:rsidRPr="0051533E">
              <w:rPr>
                <w:rFonts w:eastAsia="Times New Roman" w:cstheme="minorHAnsi"/>
                <w:color w:val="333333"/>
                <w:sz w:val="18"/>
                <w:szCs w:val="18"/>
              </w:rPr>
              <w:t xml:space="preserve"> into the primary health care team</w:t>
            </w:r>
            <w:r w:rsidR="00905399">
              <w:rPr>
                <w:rFonts w:eastAsia="Times New Roman" w:cstheme="minorHAnsi"/>
                <w:color w:val="333333"/>
                <w:sz w:val="18"/>
                <w:szCs w:val="18"/>
              </w:rPr>
              <w:t xml:space="preserve"> </w:t>
            </w:r>
          </w:p>
          <w:p w14:paraId="30D849FC" w14:textId="7F9D0472" w:rsidR="0054645F" w:rsidRPr="0051533E" w:rsidRDefault="0054645F" w:rsidP="00AC1C1A">
            <w:pPr>
              <w:pStyle w:val="ListParagraph"/>
              <w:widowControl/>
              <w:numPr>
                <w:ilvl w:val="0"/>
                <w:numId w:val="26"/>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ACCHSs</w:t>
            </w:r>
            <w:r w:rsidRPr="0051533E">
              <w:rPr>
                <w:rFonts w:eastAsia="Times New Roman" w:cstheme="minorHAnsi"/>
                <w:color w:val="333333"/>
                <w:sz w:val="18"/>
                <w:szCs w:val="18"/>
              </w:rPr>
              <w:t xml:space="preserve"> are prepared for the </w:t>
            </w:r>
            <w:r w:rsidR="00033634">
              <w:rPr>
                <w:rFonts w:eastAsia="Times New Roman" w:cstheme="minorHAnsi"/>
                <w:color w:val="333333"/>
                <w:sz w:val="18"/>
                <w:szCs w:val="18"/>
              </w:rPr>
              <w:t xml:space="preserve">integrated </w:t>
            </w:r>
            <w:r>
              <w:rPr>
                <w:rFonts w:eastAsia="Times New Roman" w:cstheme="minorHAnsi"/>
                <w:color w:val="333333"/>
                <w:sz w:val="18"/>
                <w:szCs w:val="18"/>
              </w:rPr>
              <w:t xml:space="preserve">pharmacist </w:t>
            </w:r>
            <w:r w:rsidRPr="0051533E">
              <w:rPr>
                <w:rFonts w:eastAsia="Times New Roman" w:cstheme="minorHAnsi"/>
                <w:color w:val="333333"/>
                <w:sz w:val="18"/>
                <w:szCs w:val="18"/>
              </w:rPr>
              <w:t>role</w:t>
            </w:r>
          </w:p>
          <w:p w14:paraId="749B25AE" w14:textId="4D7006A8" w:rsidR="0054645F" w:rsidRPr="0051533E" w:rsidRDefault="0054645F" w:rsidP="00AC1C1A">
            <w:pPr>
              <w:pStyle w:val="ListParagraph"/>
              <w:widowControl/>
              <w:spacing w:before="0" w:line="240" w:lineRule="auto"/>
              <w:ind w:left="360"/>
              <w:jc w:val="left"/>
              <w:rPr>
                <w:rFonts w:eastAsia="Times New Roman" w:cstheme="minorHAnsi"/>
                <w:color w:val="333333"/>
                <w:sz w:val="18"/>
                <w:szCs w:val="18"/>
              </w:rPr>
            </w:pPr>
          </w:p>
        </w:tc>
      </w:tr>
      <w:tr w:rsidR="00EF0691" w:rsidRPr="0071606F" w14:paraId="65CE16B9" w14:textId="77777777" w:rsidTr="00147AAC">
        <w:tc>
          <w:tcPr>
            <w:tcW w:w="977" w:type="pct"/>
          </w:tcPr>
          <w:p w14:paraId="5CCEC845" w14:textId="34635DF6" w:rsidR="0054645F" w:rsidRPr="00277736" w:rsidRDefault="00905399" w:rsidP="00AC1C1A">
            <w:pPr>
              <w:pStyle w:val="ListParagraph"/>
              <w:widowControl/>
              <w:numPr>
                <w:ilvl w:val="0"/>
                <w:numId w:val="29"/>
              </w:numPr>
              <w:spacing w:before="0" w:line="240" w:lineRule="auto"/>
              <w:jc w:val="left"/>
              <w:rPr>
                <w:rFonts w:cstheme="minorHAnsi"/>
                <w:b/>
                <w:bCs/>
                <w:sz w:val="18"/>
                <w:szCs w:val="18"/>
              </w:rPr>
            </w:pPr>
            <w:r>
              <w:rPr>
                <w:b/>
                <w:sz w:val="18"/>
                <w:szCs w:val="18"/>
              </w:rPr>
              <w:t>ACCHSs lead</w:t>
            </w:r>
            <w:r w:rsidRPr="0051533E">
              <w:rPr>
                <w:b/>
                <w:sz w:val="18"/>
                <w:szCs w:val="18"/>
              </w:rPr>
              <w:t xml:space="preserve"> </w:t>
            </w:r>
            <w:r>
              <w:rPr>
                <w:b/>
                <w:sz w:val="18"/>
                <w:szCs w:val="18"/>
              </w:rPr>
              <w:t>c</w:t>
            </w:r>
            <w:r w:rsidR="0054645F" w:rsidRPr="0051533E">
              <w:rPr>
                <w:b/>
                <w:sz w:val="18"/>
                <w:szCs w:val="18"/>
              </w:rPr>
              <w:t xml:space="preserve">o-design of the </w:t>
            </w:r>
            <w:r>
              <w:rPr>
                <w:b/>
                <w:sz w:val="18"/>
                <w:szCs w:val="18"/>
              </w:rPr>
              <w:t xml:space="preserve">integrated </w:t>
            </w:r>
            <w:r w:rsidR="0054645F" w:rsidRPr="0051533E">
              <w:rPr>
                <w:b/>
                <w:sz w:val="18"/>
                <w:szCs w:val="18"/>
              </w:rPr>
              <w:t xml:space="preserve">pharmacist role to ensure </w:t>
            </w:r>
            <w:r w:rsidR="0054645F">
              <w:rPr>
                <w:b/>
                <w:sz w:val="18"/>
                <w:szCs w:val="18"/>
              </w:rPr>
              <w:t xml:space="preserve">it </w:t>
            </w:r>
            <w:r w:rsidR="0054645F" w:rsidRPr="0051533E">
              <w:rPr>
                <w:b/>
                <w:sz w:val="18"/>
                <w:szCs w:val="18"/>
              </w:rPr>
              <w:t xml:space="preserve">meets </w:t>
            </w:r>
            <w:r>
              <w:rPr>
                <w:b/>
                <w:sz w:val="18"/>
                <w:szCs w:val="18"/>
              </w:rPr>
              <w:t>the</w:t>
            </w:r>
            <w:r w:rsidR="0054645F" w:rsidRPr="0051533E">
              <w:rPr>
                <w:b/>
                <w:sz w:val="18"/>
                <w:szCs w:val="18"/>
              </w:rPr>
              <w:t xml:space="preserve"> need</w:t>
            </w:r>
            <w:r w:rsidR="0054645F">
              <w:rPr>
                <w:b/>
                <w:sz w:val="18"/>
                <w:szCs w:val="18"/>
              </w:rPr>
              <w:t>s</w:t>
            </w:r>
            <w:r>
              <w:rPr>
                <w:b/>
                <w:sz w:val="18"/>
                <w:szCs w:val="18"/>
              </w:rPr>
              <w:t xml:space="preserve"> of </w:t>
            </w:r>
            <w:proofErr w:type="gramStart"/>
            <w:r>
              <w:rPr>
                <w:b/>
                <w:sz w:val="18"/>
                <w:szCs w:val="18"/>
              </w:rPr>
              <w:t xml:space="preserve">the </w:t>
            </w:r>
            <w:r w:rsidR="00EE372C">
              <w:rPr>
                <w:b/>
                <w:sz w:val="18"/>
                <w:szCs w:val="18"/>
              </w:rPr>
              <w:t>their</w:t>
            </w:r>
            <w:proofErr w:type="gramEnd"/>
            <w:r>
              <w:rPr>
                <w:b/>
                <w:sz w:val="18"/>
                <w:szCs w:val="18"/>
              </w:rPr>
              <w:t xml:space="preserve"> patients</w:t>
            </w:r>
          </w:p>
        </w:tc>
        <w:tc>
          <w:tcPr>
            <w:tcW w:w="669" w:type="pct"/>
          </w:tcPr>
          <w:p w14:paraId="03E5EE7D" w14:textId="4EA515CC" w:rsidR="0054645F" w:rsidRPr="0071606F" w:rsidRDefault="0054645F" w:rsidP="00BF26A4">
            <w:pPr>
              <w:spacing w:before="0" w:line="240" w:lineRule="auto"/>
              <w:jc w:val="left"/>
              <w:rPr>
                <w:rFonts w:eastAsia="Times New Roman" w:cstheme="minorHAnsi"/>
                <w:color w:val="333333"/>
                <w:sz w:val="18"/>
                <w:szCs w:val="18"/>
              </w:rPr>
            </w:pPr>
            <w:r w:rsidRPr="00300558">
              <w:rPr>
                <w:rFonts w:eastAsia="Times New Roman" w:cstheme="minorHAnsi"/>
                <w:b/>
                <w:color w:val="333333"/>
                <w:sz w:val="18"/>
                <w:szCs w:val="18"/>
              </w:rPr>
              <w:t>ACCHSs</w:t>
            </w:r>
            <w:r w:rsidR="00905399">
              <w:rPr>
                <w:rFonts w:eastAsia="Times New Roman" w:cstheme="minorHAnsi"/>
                <w:b/>
                <w:color w:val="333333"/>
                <w:sz w:val="18"/>
                <w:szCs w:val="18"/>
              </w:rPr>
              <w:t>,</w:t>
            </w:r>
            <w:r>
              <w:rPr>
                <w:rFonts w:eastAsia="Times New Roman" w:cstheme="minorHAnsi"/>
                <w:color w:val="333333"/>
                <w:sz w:val="18"/>
                <w:szCs w:val="18"/>
              </w:rPr>
              <w:t xml:space="preserve"> </w:t>
            </w:r>
            <w:r w:rsidR="00905399">
              <w:rPr>
                <w:rFonts w:eastAsia="Times New Roman" w:cstheme="minorHAnsi"/>
                <w:color w:val="333333"/>
                <w:sz w:val="18"/>
                <w:szCs w:val="18"/>
              </w:rPr>
              <w:t xml:space="preserve">NACCHO </w:t>
            </w:r>
            <w:r>
              <w:rPr>
                <w:rFonts w:eastAsia="Times New Roman" w:cstheme="minorHAnsi"/>
                <w:color w:val="333333"/>
                <w:sz w:val="18"/>
                <w:szCs w:val="18"/>
              </w:rPr>
              <w:t>and PSA</w:t>
            </w:r>
            <w:r w:rsidR="002F5505">
              <w:rPr>
                <w:rFonts w:eastAsia="Times New Roman" w:cstheme="minorHAnsi"/>
                <w:color w:val="333333"/>
                <w:sz w:val="18"/>
                <w:szCs w:val="18"/>
              </w:rPr>
              <w:t xml:space="preserve">, </w:t>
            </w:r>
            <w:r w:rsidR="00BF26A4" w:rsidRPr="00285077">
              <w:rPr>
                <w:rFonts w:eastAsia="Times New Roman" w:cstheme="minorHAnsi"/>
                <w:color w:val="333333"/>
                <w:sz w:val="18"/>
                <w:szCs w:val="18"/>
              </w:rPr>
              <w:t>PGA</w:t>
            </w:r>
          </w:p>
        </w:tc>
        <w:tc>
          <w:tcPr>
            <w:tcW w:w="1811" w:type="pct"/>
          </w:tcPr>
          <w:p w14:paraId="26FAE8B6" w14:textId="122BCCA8" w:rsidR="0054645F" w:rsidRDefault="0054645F" w:rsidP="00AC1C1A">
            <w:pPr>
              <w:pStyle w:val="ListParagraph"/>
              <w:widowControl/>
              <w:numPr>
                <w:ilvl w:val="1"/>
                <w:numId w:val="29"/>
              </w:numPr>
              <w:spacing w:before="0" w:line="240" w:lineRule="auto"/>
              <w:ind w:left="406" w:hanging="374"/>
              <w:jc w:val="left"/>
              <w:rPr>
                <w:rFonts w:cstheme="minorHAnsi"/>
                <w:sz w:val="18"/>
                <w:szCs w:val="18"/>
              </w:rPr>
            </w:pPr>
            <w:r w:rsidRPr="00C764F2">
              <w:rPr>
                <w:rFonts w:cstheme="minorHAnsi"/>
                <w:sz w:val="18"/>
                <w:szCs w:val="18"/>
              </w:rPr>
              <w:t xml:space="preserve">Policy guiding the implementation of the </w:t>
            </w:r>
            <w:r w:rsidR="0019313F">
              <w:rPr>
                <w:rFonts w:cstheme="minorHAnsi"/>
                <w:sz w:val="18"/>
                <w:szCs w:val="18"/>
              </w:rPr>
              <w:t xml:space="preserve">integrated </w:t>
            </w:r>
            <w:r w:rsidRPr="00C764F2">
              <w:rPr>
                <w:rFonts w:cstheme="minorHAnsi"/>
                <w:sz w:val="18"/>
                <w:szCs w:val="18"/>
              </w:rPr>
              <w:t xml:space="preserve">pharmacist role should allow </w:t>
            </w:r>
            <w:r w:rsidR="000A19EF">
              <w:rPr>
                <w:rFonts w:cstheme="minorHAnsi"/>
                <w:sz w:val="18"/>
                <w:szCs w:val="18"/>
              </w:rPr>
              <w:t>ACCHSs</w:t>
            </w:r>
            <w:r w:rsidR="000A19EF" w:rsidRPr="00C764F2">
              <w:rPr>
                <w:rFonts w:cstheme="minorHAnsi"/>
                <w:sz w:val="18"/>
                <w:szCs w:val="18"/>
              </w:rPr>
              <w:t xml:space="preserve"> </w:t>
            </w:r>
            <w:r w:rsidR="0019313F">
              <w:rPr>
                <w:rFonts w:cstheme="minorHAnsi"/>
                <w:sz w:val="18"/>
                <w:szCs w:val="18"/>
              </w:rPr>
              <w:t xml:space="preserve">the </w:t>
            </w:r>
            <w:r w:rsidRPr="00C764F2">
              <w:rPr>
                <w:rFonts w:cstheme="minorHAnsi"/>
                <w:sz w:val="18"/>
                <w:szCs w:val="18"/>
              </w:rPr>
              <w:t>flexibility to use the role to best meet the needs of the health service.</w:t>
            </w:r>
          </w:p>
          <w:p w14:paraId="02BE438C" w14:textId="029B4EB4" w:rsidR="0054645F" w:rsidRPr="00300558" w:rsidRDefault="0054645F" w:rsidP="00AC1C1A">
            <w:pPr>
              <w:pStyle w:val="ListParagraph"/>
              <w:widowControl/>
              <w:numPr>
                <w:ilvl w:val="1"/>
                <w:numId w:val="29"/>
              </w:numPr>
              <w:spacing w:before="0" w:line="240" w:lineRule="auto"/>
              <w:ind w:left="406" w:hanging="374"/>
              <w:jc w:val="left"/>
              <w:rPr>
                <w:rFonts w:cstheme="minorHAnsi"/>
                <w:sz w:val="18"/>
                <w:szCs w:val="18"/>
              </w:rPr>
            </w:pPr>
            <w:r>
              <w:rPr>
                <w:sz w:val="18"/>
                <w:szCs w:val="18"/>
              </w:rPr>
              <w:t>ACCHSs</w:t>
            </w:r>
            <w:r w:rsidRPr="00C764F2">
              <w:rPr>
                <w:sz w:val="18"/>
                <w:szCs w:val="18"/>
              </w:rPr>
              <w:t xml:space="preserve"> should be actively involved in the co-design of the </w:t>
            </w:r>
            <w:r>
              <w:rPr>
                <w:sz w:val="18"/>
                <w:szCs w:val="18"/>
              </w:rPr>
              <w:t xml:space="preserve">integrated pharmacist </w:t>
            </w:r>
            <w:r w:rsidRPr="00C764F2">
              <w:rPr>
                <w:sz w:val="18"/>
                <w:szCs w:val="18"/>
              </w:rPr>
              <w:t>role to ensure it suits their needs and seek support from NACCHO and t</w:t>
            </w:r>
            <w:r>
              <w:rPr>
                <w:sz w:val="18"/>
                <w:szCs w:val="18"/>
              </w:rPr>
              <w:t>heir Affiliate where necessary.</w:t>
            </w:r>
          </w:p>
          <w:p w14:paraId="0F320661" w14:textId="20959431" w:rsidR="0054645F" w:rsidRPr="00EF0691" w:rsidRDefault="00B51906" w:rsidP="00AC1C1A">
            <w:pPr>
              <w:pStyle w:val="ListParagraph"/>
              <w:widowControl/>
              <w:numPr>
                <w:ilvl w:val="1"/>
                <w:numId w:val="29"/>
              </w:numPr>
              <w:spacing w:before="0" w:line="240" w:lineRule="auto"/>
              <w:ind w:left="406" w:hanging="374"/>
              <w:jc w:val="left"/>
              <w:rPr>
                <w:rFonts w:cstheme="minorHAnsi"/>
                <w:sz w:val="18"/>
                <w:szCs w:val="18"/>
              </w:rPr>
            </w:pPr>
            <w:r>
              <w:rPr>
                <w:sz w:val="18"/>
                <w:szCs w:val="18"/>
              </w:rPr>
              <w:t>I</w:t>
            </w:r>
            <w:r w:rsidR="009C7532">
              <w:rPr>
                <w:sz w:val="18"/>
                <w:szCs w:val="18"/>
              </w:rPr>
              <w:t xml:space="preserve">ntegrated </w:t>
            </w:r>
            <w:r w:rsidR="0054645F" w:rsidRPr="00300558">
              <w:rPr>
                <w:sz w:val="18"/>
                <w:szCs w:val="18"/>
              </w:rPr>
              <w:t>pharmacist</w:t>
            </w:r>
            <w:r w:rsidR="0054645F">
              <w:rPr>
                <w:sz w:val="18"/>
                <w:szCs w:val="18"/>
              </w:rPr>
              <w:t xml:space="preserve"> </w:t>
            </w:r>
            <w:r>
              <w:rPr>
                <w:sz w:val="18"/>
                <w:szCs w:val="18"/>
              </w:rPr>
              <w:t>r</w:t>
            </w:r>
            <w:r w:rsidRPr="00300558">
              <w:rPr>
                <w:sz w:val="18"/>
                <w:szCs w:val="18"/>
              </w:rPr>
              <w:t>ecruit</w:t>
            </w:r>
            <w:r>
              <w:rPr>
                <w:sz w:val="18"/>
                <w:szCs w:val="18"/>
              </w:rPr>
              <w:t xml:space="preserve">ment </w:t>
            </w:r>
            <w:r w:rsidR="0054645F">
              <w:rPr>
                <w:sz w:val="18"/>
                <w:szCs w:val="18"/>
              </w:rPr>
              <w:t xml:space="preserve">should be flexible </w:t>
            </w:r>
            <w:r>
              <w:rPr>
                <w:sz w:val="18"/>
                <w:szCs w:val="18"/>
              </w:rPr>
              <w:t>and be led by</w:t>
            </w:r>
            <w:r w:rsidR="0054645F" w:rsidRPr="00B821F2">
              <w:rPr>
                <w:sz w:val="18"/>
                <w:szCs w:val="18"/>
              </w:rPr>
              <w:t xml:space="preserve"> </w:t>
            </w:r>
            <w:r w:rsidR="0054645F" w:rsidRPr="00B821F2">
              <w:rPr>
                <w:sz w:val="18"/>
                <w:szCs w:val="18"/>
              </w:rPr>
              <w:lastRenderedPageBreak/>
              <w:t>ACCHSs so that</w:t>
            </w:r>
            <w:r w:rsidR="0054645F">
              <w:rPr>
                <w:sz w:val="18"/>
                <w:szCs w:val="18"/>
              </w:rPr>
              <w:t xml:space="preserve"> pharmacists have the </w:t>
            </w:r>
            <w:r>
              <w:rPr>
                <w:sz w:val="18"/>
                <w:szCs w:val="18"/>
              </w:rPr>
              <w:t xml:space="preserve">‘right </w:t>
            </w:r>
            <w:proofErr w:type="spellStart"/>
            <w:r>
              <w:rPr>
                <w:sz w:val="18"/>
                <w:szCs w:val="18"/>
              </w:rPr>
              <w:t>organisational</w:t>
            </w:r>
            <w:proofErr w:type="spellEnd"/>
            <w:r>
              <w:rPr>
                <w:sz w:val="18"/>
                <w:szCs w:val="18"/>
              </w:rPr>
              <w:t xml:space="preserve"> fit’.</w:t>
            </w:r>
          </w:p>
          <w:p w14:paraId="16AC799B" w14:textId="1851CFD9" w:rsidR="0054645F" w:rsidRPr="00471EA6" w:rsidRDefault="00413B6C" w:rsidP="00AC1C1A">
            <w:pPr>
              <w:pStyle w:val="ListParagraph"/>
              <w:widowControl/>
              <w:numPr>
                <w:ilvl w:val="1"/>
                <w:numId w:val="29"/>
              </w:numPr>
              <w:spacing w:before="0" w:line="240" w:lineRule="auto"/>
              <w:ind w:left="406" w:hanging="374"/>
              <w:jc w:val="left"/>
              <w:rPr>
                <w:rFonts w:eastAsia="Times New Roman" w:cstheme="minorHAnsi"/>
                <w:color w:val="333333"/>
                <w:sz w:val="18"/>
                <w:szCs w:val="18"/>
              </w:rPr>
            </w:pPr>
            <w:r>
              <w:rPr>
                <w:sz w:val="18"/>
                <w:szCs w:val="18"/>
              </w:rPr>
              <w:t xml:space="preserve">ACCHSs </w:t>
            </w:r>
            <w:r w:rsidR="00C028DA">
              <w:rPr>
                <w:sz w:val="18"/>
                <w:szCs w:val="18"/>
              </w:rPr>
              <w:t>should be</w:t>
            </w:r>
            <w:r w:rsidR="00AA0E49">
              <w:rPr>
                <w:sz w:val="18"/>
                <w:szCs w:val="18"/>
              </w:rPr>
              <w:t xml:space="preserve"> </w:t>
            </w:r>
            <w:r>
              <w:rPr>
                <w:sz w:val="18"/>
                <w:szCs w:val="18"/>
              </w:rPr>
              <w:t>supported to p</w:t>
            </w:r>
            <w:r w:rsidRPr="00300558">
              <w:rPr>
                <w:sz w:val="18"/>
                <w:szCs w:val="18"/>
              </w:rPr>
              <w:t xml:space="preserve">rovide </w:t>
            </w:r>
            <w:r>
              <w:rPr>
                <w:sz w:val="18"/>
                <w:szCs w:val="18"/>
              </w:rPr>
              <w:t xml:space="preserve">pharmacists with </w:t>
            </w:r>
            <w:r w:rsidRPr="00300558">
              <w:rPr>
                <w:sz w:val="18"/>
                <w:szCs w:val="18"/>
              </w:rPr>
              <w:t xml:space="preserve">induction to the </w:t>
            </w:r>
            <w:r>
              <w:rPr>
                <w:sz w:val="18"/>
                <w:szCs w:val="18"/>
              </w:rPr>
              <w:t xml:space="preserve">service </w:t>
            </w:r>
            <w:r w:rsidRPr="00300558">
              <w:rPr>
                <w:sz w:val="18"/>
                <w:szCs w:val="18"/>
              </w:rPr>
              <w:t xml:space="preserve">and the </w:t>
            </w:r>
            <w:r>
              <w:rPr>
                <w:sz w:val="18"/>
                <w:szCs w:val="18"/>
              </w:rPr>
              <w:t xml:space="preserve">local </w:t>
            </w:r>
            <w:r w:rsidRPr="00300558">
              <w:rPr>
                <w:sz w:val="18"/>
                <w:szCs w:val="18"/>
              </w:rPr>
              <w:t xml:space="preserve">community </w:t>
            </w:r>
            <w:r w:rsidRPr="00E075CF">
              <w:rPr>
                <w:sz w:val="18"/>
                <w:szCs w:val="18"/>
              </w:rPr>
              <w:t>including introduction to staff members in key roles and cultural orientation</w:t>
            </w:r>
            <w:r w:rsidRPr="002D708D">
              <w:rPr>
                <w:sz w:val="18"/>
                <w:szCs w:val="18"/>
              </w:rPr>
              <w:t xml:space="preserve"> to the local population</w:t>
            </w:r>
            <w:r w:rsidRPr="00300558">
              <w:rPr>
                <w:rFonts w:cstheme="minorHAnsi"/>
                <w:sz w:val="18"/>
                <w:szCs w:val="18"/>
              </w:rPr>
              <w:t xml:space="preserve">. </w:t>
            </w:r>
          </w:p>
          <w:p w14:paraId="0D2B7FD9" w14:textId="48665C08" w:rsidR="00471EA6" w:rsidRPr="00277736" w:rsidRDefault="00087D29" w:rsidP="00C028DA">
            <w:pPr>
              <w:pStyle w:val="ListParagraph"/>
              <w:widowControl/>
              <w:numPr>
                <w:ilvl w:val="1"/>
                <w:numId w:val="29"/>
              </w:numPr>
              <w:spacing w:before="0" w:line="240" w:lineRule="auto"/>
              <w:ind w:left="406" w:hanging="374"/>
              <w:jc w:val="left"/>
              <w:rPr>
                <w:rFonts w:eastAsia="Times New Roman" w:cstheme="minorHAnsi"/>
                <w:color w:val="333333"/>
                <w:sz w:val="18"/>
                <w:szCs w:val="18"/>
              </w:rPr>
            </w:pPr>
            <w:r>
              <w:rPr>
                <w:rFonts w:cstheme="minorHAnsi"/>
                <w:sz w:val="18"/>
                <w:szCs w:val="18"/>
              </w:rPr>
              <w:t xml:space="preserve">ACCHSs </w:t>
            </w:r>
            <w:r w:rsidR="00C028DA">
              <w:rPr>
                <w:rFonts w:cstheme="minorHAnsi"/>
                <w:sz w:val="18"/>
                <w:szCs w:val="18"/>
              </w:rPr>
              <w:t xml:space="preserve">should be supported </w:t>
            </w:r>
            <w:r>
              <w:rPr>
                <w:rFonts w:cstheme="minorHAnsi"/>
                <w:sz w:val="18"/>
                <w:szCs w:val="18"/>
              </w:rPr>
              <w:t>to d</w:t>
            </w:r>
            <w:r w:rsidR="00471EA6" w:rsidRPr="007F2ABF">
              <w:rPr>
                <w:rFonts w:cstheme="minorHAnsi"/>
                <w:sz w:val="18"/>
                <w:szCs w:val="18"/>
              </w:rPr>
              <w:t>evelop the capacity of Aboriginal Health Workers</w:t>
            </w:r>
            <w:r w:rsidR="00A24452">
              <w:rPr>
                <w:rFonts w:cstheme="minorHAnsi"/>
                <w:sz w:val="18"/>
                <w:szCs w:val="18"/>
              </w:rPr>
              <w:t xml:space="preserve">, </w:t>
            </w:r>
            <w:r w:rsidR="00471EA6">
              <w:rPr>
                <w:rFonts w:cstheme="minorHAnsi"/>
                <w:sz w:val="18"/>
                <w:szCs w:val="18"/>
              </w:rPr>
              <w:t>Practitioners</w:t>
            </w:r>
            <w:r w:rsidR="00471EA6" w:rsidRPr="007F2ABF">
              <w:rPr>
                <w:rFonts w:cstheme="minorHAnsi"/>
                <w:sz w:val="18"/>
                <w:szCs w:val="18"/>
              </w:rPr>
              <w:t xml:space="preserve"> </w:t>
            </w:r>
            <w:r w:rsidR="00471EA6">
              <w:rPr>
                <w:rFonts w:cstheme="minorHAnsi"/>
                <w:sz w:val="18"/>
                <w:szCs w:val="18"/>
              </w:rPr>
              <w:t xml:space="preserve">and Outreach Workers </w:t>
            </w:r>
            <w:r w:rsidR="00471EA6" w:rsidRPr="007F2ABF">
              <w:rPr>
                <w:rFonts w:cstheme="minorHAnsi"/>
                <w:sz w:val="18"/>
                <w:szCs w:val="18"/>
              </w:rPr>
              <w:t xml:space="preserve">to </w:t>
            </w:r>
            <w:r w:rsidR="00471EA6">
              <w:rPr>
                <w:rFonts w:cstheme="minorHAnsi"/>
                <w:sz w:val="18"/>
                <w:szCs w:val="18"/>
              </w:rPr>
              <w:t>facilitate</w:t>
            </w:r>
            <w:r w:rsidR="00471EA6" w:rsidRPr="007F2ABF">
              <w:rPr>
                <w:rFonts w:cstheme="minorHAnsi"/>
                <w:sz w:val="18"/>
                <w:szCs w:val="18"/>
              </w:rPr>
              <w:t xml:space="preserve"> </w:t>
            </w:r>
            <w:r w:rsidR="00471EA6">
              <w:rPr>
                <w:rFonts w:cstheme="minorHAnsi"/>
                <w:sz w:val="18"/>
                <w:szCs w:val="18"/>
              </w:rPr>
              <w:t>referral for patients needing support from the integrated pharmacist.</w:t>
            </w:r>
          </w:p>
        </w:tc>
        <w:tc>
          <w:tcPr>
            <w:tcW w:w="1543" w:type="pct"/>
          </w:tcPr>
          <w:p w14:paraId="58D45BAE" w14:textId="1DC7C0BF" w:rsidR="0054645F" w:rsidRPr="0051533E" w:rsidRDefault="00905399" w:rsidP="00AC1C1A">
            <w:pPr>
              <w:pStyle w:val="ListParagraph"/>
              <w:widowControl/>
              <w:numPr>
                <w:ilvl w:val="0"/>
                <w:numId w:val="28"/>
              </w:numPr>
              <w:spacing w:before="0" w:line="240" w:lineRule="auto"/>
              <w:jc w:val="left"/>
              <w:rPr>
                <w:rFonts w:eastAsia="Times New Roman" w:cstheme="minorHAnsi"/>
                <w:color w:val="333333"/>
                <w:sz w:val="18"/>
                <w:szCs w:val="18"/>
              </w:rPr>
            </w:pPr>
            <w:r>
              <w:rPr>
                <w:rFonts w:eastAsia="Times New Roman" w:cstheme="minorHAnsi"/>
                <w:color w:val="333333"/>
                <w:sz w:val="18"/>
                <w:szCs w:val="18"/>
              </w:rPr>
              <w:lastRenderedPageBreak/>
              <w:t>Integrated p</w:t>
            </w:r>
            <w:r w:rsidR="0054645F" w:rsidRPr="0051533E">
              <w:rPr>
                <w:rFonts w:eastAsia="Times New Roman" w:cstheme="minorHAnsi"/>
                <w:color w:val="333333"/>
                <w:sz w:val="18"/>
                <w:szCs w:val="18"/>
              </w:rPr>
              <w:t xml:space="preserve">harmacist services are tailored to </w:t>
            </w:r>
            <w:r w:rsidRPr="0051533E">
              <w:rPr>
                <w:rFonts w:eastAsia="Times New Roman" w:cstheme="minorHAnsi"/>
                <w:color w:val="333333"/>
                <w:sz w:val="18"/>
                <w:szCs w:val="18"/>
              </w:rPr>
              <w:t>meet</w:t>
            </w:r>
            <w:r>
              <w:rPr>
                <w:rFonts w:eastAsia="Times New Roman" w:cstheme="minorHAnsi"/>
                <w:color w:val="333333"/>
                <w:sz w:val="18"/>
                <w:szCs w:val="18"/>
              </w:rPr>
              <w:t xml:space="preserve"> the</w:t>
            </w:r>
            <w:r w:rsidRPr="0051533E">
              <w:rPr>
                <w:rFonts w:eastAsia="Times New Roman" w:cstheme="minorHAnsi"/>
                <w:color w:val="333333"/>
                <w:sz w:val="18"/>
                <w:szCs w:val="18"/>
              </w:rPr>
              <w:t xml:space="preserve"> needs </w:t>
            </w:r>
            <w:r>
              <w:rPr>
                <w:rFonts w:eastAsia="Times New Roman" w:cstheme="minorHAnsi"/>
                <w:color w:val="333333"/>
                <w:sz w:val="18"/>
                <w:szCs w:val="18"/>
              </w:rPr>
              <w:t xml:space="preserve">of </w:t>
            </w:r>
            <w:r w:rsidR="0054645F" w:rsidRPr="0051533E">
              <w:rPr>
                <w:rFonts w:eastAsia="Times New Roman" w:cstheme="minorHAnsi"/>
                <w:color w:val="333333"/>
                <w:sz w:val="18"/>
                <w:szCs w:val="18"/>
              </w:rPr>
              <w:t xml:space="preserve">the local ACCHS and </w:t>
            </w:r>
            <w:r w:rsidR="0019313F">
              <w:rPr>
                <w:rFonts w:eastAsia="Times New Roman" w:cstheme="minorHAnsi"/>
                <w:color w:val="333333"/>
                <w:sz w:val="18"/>
                <w:szCs w:val="18"/>
              </w:rPr>
              <w:t xml:space="preserve">their </w:t>
            </w:r>
            <w:r>
              <w:rPr>
                <w:rFonts w:eastAsia="Times New Roman" w:cstheme="minorHAnsi"/>
                <w:color w:val="333333"/>
                <w:sz w:val="18"/>
                <w:szCs w:val="18"/>
              </w:rPr>
              <w:t>patients</w:t>
            </w:r>
          </w:p>
        </w:tc>
      </w:tr>
      <w:tr w:rsidR="00EF0691" w:rsidRPr="0071606F" w14:paraId="4AF2FF31" w14:textId="77777777" w:rsidTr="00147AAC">
        <w:tc>
          <w:tcPr>
            <w:tcW w:w="977" w:type="pct"/>
          </w:tcPr>
          <w:p w14:paraId="2E4AA25B" w14:textId="77777777" w:rsidR="0054645F" w:rsidRPr="00300558" w:rsidRDefault="0054645F" w:rsidP="00AC1C1A">
            <w:pPr>
              <w:pStyle w:val="ListParagraph"/>
              <w:widowControl/>
              <w:numPr>
                <w:ilvl w:val="0"/>
                <w:numId w:val="29"/>
              </w:numPr>
              <w:spacing w:before="0" w:line="240" w:lineRule="auto"/>
              <w:jc w:val="left"/>
              <w:rPr>
                <w:rFonts w:cstheme="minorHAnsi"/>
                <w:b/>
                <w:bCs/>
                <w:sz w:val="18"/>
                <w:szCs w:val="18"/>
              </w:rPr>
            </w:pPr>
            <w:r w:rsidRPr="00300558">
              <w:rPr>
                <w:b/>
                <w:sz w:val="18"/>
                <w:szCs w:val="18"/>
              </w:rPr>
              <w:t>Training and support</w:t>
            </w:r>
            <w:r>
              <w:rPr>
                <w:b/>
                <w:sz w:val="18"/>
                <w:szCs w:val="18"/>
              </w:rPr>
              <w:t xml:space="preserve"> to prepare pharmacists for a non-dispensing, integrated role within ACCHSs</w:t>
            </w:r>
          </w:p>
        </w:tc>
        <w:tc>
          <w:tcPr>
            <w:tcW w:w="669" w:type="pct"/>
          </w:tcPr>
          <w:p w14:paraId="00434D29" w14:textId="5AF737E3" w:rsidR="0054645F" w:rsidRPr="0035561E" w:rsidRDefault="0054645F" w:rsidP="00BF26A4">
            <w:pPr>
              <w:spacing w:before="0" w:line="240" w:lineRule="auto"/>
              <w:jc w:val="left"/>
              <w:rPr>
                <w:rFonts w:eastAsia="Times New Roman" w:cstheme="minorHAnsi"/>
                <w:color w:val="333333"/>
                <w:sz w:val="18"/>
                <w:szCs w:val="18"/>
              </w:rPr>
            </w:pPr>
            <w:r w:rsidRPr="00FD77E0">
              <w:rPr>
                <w:rFonts w:eastAsia="Times New Roman" w:cstheme="minorHAnsi"/>
                <w:b/>
                <w:color w:val="333333"/>
                <w:sz w:val="18"/>
                <w:szCs w:val="18"/>
              </w:rPr>
              <w:t>PSA,</w:t>
            </w:r>
            <w:r>
              <w:rPr>
                <w:rFonts w:eastAsia="Times New Roman" w:cstheme="minorHAnsi"/>
                <w:color w:val="333333"/>
                <w:sz w:val="18"/>
                <w:szCs w:val="18"/>
              </w:rPr>
              <w:t xml:space="preserve"> NACCHO, and </w:t>
            </w:r>
            <w:r w:rsidRPr="00FD77E0">
              <w:rPr>
                <w:rFonts w:eastAsia="Times New Roman" w:cstheme="minorHAnsi"/>
                <w:color w:val="333333"/>
                <w:sz w:val="18"/>
                <w:szCs w:val="18"/>
              </w:rPr>
              <w:t>ACCHS</w:t>
            </w:r>
            <w:r w:rsidR="00BF26A4">
              <w:rPr>
                <w:rFonts w:eastAsia="Times New Roman" w:cstheme="minorHAnsi"/>
                <w:color w:val="333333"/>
                <w:sz w:val="18"/>
                <w:szCs w:val="18"/>
              </w:rPr>
              <w:t xml:space="preserve">, pharmacist training providers, </w:t>
            </w:r>
            <w:r w:rsidR="00BF26A4" w:rsidRPr="00285077">
              <w:rPr>
                <w:rFonts w:eastAsia="Times New Roman" w:cstheme="minorHAnsi"/>
                <w:color w:val="333333"/>
                <w:sz w:val="18"/>
                <w:szCs w:val="18"/>
              </w:rPr>
              <w:t>PGA</w:t>
            </w:r>
          </w:p>
        </w:tc>
        <w:tc>
          <w:tcPr>
            <w:tcW w:w="1811" w:type="pct"/>
          </w:tcPr>
          <w:p w14:paraId="4CD7FD06" w14:textId="0314275D" w:rsidR="00A24452" w:rsidRPr="00A24452" w:rsidRDefault="00C028DA" w:rsidP="00AC1C1A">
            <w:pPr>
              <w:pStyle w:val="ListParagraph"/>
              <w:widowControl/>
              <w:numPr>
                <w:ilvl w:val="1"/>
                <w:numId w:val="29"/>
              </w:numPr>
              <w:spacing w:before="0" w:line="240" w:lineRule="auto"/>
              <w:ind w:left="406" w:hanging="374"/>
              <w:jc w:val="left"/>
              <w:rPr>
                <w:rFonts w:eastAsia="Times New Roman" w:cstheme="minorHAnsi"/>
                <w:color w:val="333333"/>
                <w:sz w:val="18"/>
                <w:szCs w:val="18"/>
              </w:rPr>
            </w:pPr>
            <w:r>
              <w:rPr>
                <w:sz w:val="18"/>
                <w:szCs w:val="18"/>
              </w:rPr>
              <w:t>P</w:t>
            </w:r>
            <w:r w:rsidR="0054645F" w:rsidRPr="00300558">
              <w:rPr>
                <w:sz w:val="18"/>
                <w:szCs w:val="18"/>
              </w:rPr>
              <w:t xml:space="preserve">harmacists </w:t>
            </w:r>
            <w:r>
              <w:rPr>
                <w:sz w:val="18"/>
                <w:szCs w:val="18"/>
              </w:rPr>
              <w:t xml:space="preserve">should be supported </w:t>
            </w:r>
            <w:r w:rsidR="0054645F">
              <w:rPr>
                <w:sz w:val="18"/>
                <w:szCs w:val="18"/>
              </w:rPr>
              <w:t>to develop</w:t>
            </w:r>
            <w:r w:rsidR="0054645F" w:rsidRPr="00E075CF">
              <w:rPr>
                <w:sz w:val="18"/>
                <w:szCs w:val="18"/>
              </w:rPr>
              <w:t xml:space="preserve"> career pathway</w:t>
            </w:r>
            <w:r w:rsidR="0054645F">
              <w:rPr>
                <w:sz w:val="18"/>
                <w:szCs w:val="18"/>
              </w:rPr>
              <w:t>s</w:t>
            </w:r>
            <w:r w:rsidR="0054645F" w:rsidRPr="00E075CF">
              <w:rPr>
                <w:sz w:val="18"/>
                <w:szCs w:val="18"/>
              </w:rPr>
              <w:t xml:space="preserve"> for </w:t>
            </w:r>
            <w:r w:rsidR="0054645F">
              <w:rPr>
                <w:sz w:val="18"/>
                <w:szCs w:val="18"/>
              </w:rPr>
              <w:t xml:space="preserve">integrated pharmacist roles. </w:t>
            </w:r>
          </w:p>
          <w:p w14:paraId="5F724A54" w14:textId="6A4312A6" w:rsidR="00E8545F" w:rsidRPr="00471EA6" w:rsidRDefault="00E8545F" w:rsidP="00AC1C1A">
            <w:pPr>
              <w:pStyle w:val="ListParagraph"/>
              <w:widowControl/>
              <w:numPr>
                <w:ilvl w:val="1"/>
                <w:numId w:val="29"/>
              </w:numPr>
              <w:spacing w:before="0" w:line="240" w:lineRule="auto"/>
              <w:ind w:left="406" w:hanging="374"/>
              <w:jc w:val="left"/>
              <w:rPr>
                <w:rFonts w:eastAsia="Times New Roman" w:cstheme="minorHAnsi"/>
                <w:color w:val="333333"/>
                <w:sz w:val="18"/>
                <w:szCs w:val="18"/>
              </w:rPr>
            </w:pPr>
            <w:r w:rsidRPr="00471EA6">
              <w:rPr>
                <w:rFonts w:eastAsia="Times New Roman" w:cstheme="minorHAnsi"/>
                <w:color w:val="333333"/>
                <w:sz w:val="18"/>
                <w:szCs w:val="18"/>
              </w:rPr>
              <w:t xml:space="preserve">Strategies </w:t>
            </w:r>
            <w:r w:rsidR="00C028DA">
              <w:rPr>
                <w:rFonts w:eastAsia="Times New Roman" w:cstheme="minorHAnsi"/>
                <w:color w:val="333333"/>
                <w:sz w:val="18"/>
                <w:szCs w:val="18"/>
              </w:rPr>
              <w:t xml:space="preserve">are required </w:t>
            </w:r>
            <w:r w:rsidRPr="00471EA6">
              <w:rPr>
                <w:rFonts w:eastAsia="Times New Roman" w:cstheme="minorHAnsi"/>
                <w:color w:val="333333"/>
                <w:sz w:val="18"/>
                <w:szCs w:val="18"/>
              </w:rPr>
              <w:t xml:space="preserve">to assist </w:t>
            </w:r>
            <w:r w:rsidR="00C028DA">
              <w:rPr>
                <w:rFonts w:eastAsia="Times New Roman" w:cstheme="minorHAnsi"/>
                <w:color w:val="333333"/>
                <w:sz w:val="18"/>
                <w:szCs w:val="18"/>
              </w:rPr>
              <w:t xml:space="preserve">with the </w:t>
            </w:r>
            <w:r w:rsidRPr="00471EA6">
              <w:rPr>
                <w:rFonts w:eastAsia="Times New Roman" w:cstheme="minorHAnsi"/>
                <w:color w:val="333333"/>
                <w:sz w:val="18"/>
                <w:szCs w:val="18"/>
              </w:rPr>
              <w:t>recruitment</w:t>
            </w:r>
            <w:r w:rsidR="00C028DA">
              <w:rPr>
                <w:rFonts w:eastAsia="Times New Roman" w:cstheme="minorHAnsi"/>
                <w:color w:val="333333"/>
                <w:sz w:val="18"/>
                <w:szCs w:val="18"/>
              </w:rPr>
              <w:t xml:space="preserve"> of integrated pharmacists</w:t>
            </w:r>
            <w:r w:rsidRPr="00471EA6">
              <w:rPr>
                <w:rFonts w:eastAsia="Times New Roman" w:cstheme="minorHAnsi"/>
                <w:color w:val="333333"/>
                <w:sz w:val="18"/>
                <w:szCs w:val="18"/>
              </w:rPr>
              <w:t xml:space="preserve"> </w:t>
            </w:r>
            <w:r w:rsidR="00C028DA">
              <w:rPr>
                <w:rFonts w:eastAsia="Times New Roman" w:cstheme="minorHAnsi"/>
                <w:color w:val="333333"/>
                <w:sz w:val="18"/>
                <w:szCs w:val="18"/>
              </w:rPr>
              <w:t>that include</w:t>
            </w:r>
            <w:r w:rsidR="003D4024">
              <w:rPr>
                <w:rFonts w:eastAsia="Times New Roman" w:cstheme="minorHAnsi"/>
                <w:color w:val="333333"/>
                <w:sz w:val="18"/>
                <w:szCs w:val="18"/>
              </w:rPr>
              <w:t>s</w:t>
            </w:r>
            <w:r w:rsidR="00C028DA">
              <w:rPr>
                <w:rFonts w:eastAsia="Times New Roman" w:cstheme="minorHAnsi"/>
                <w:color w:val="333333"/>
                <w:sz w:val="18"/>
                <w:szCs w:val="18"/>
              </w:rPr>
              <w:t xml:space="preserve"> the </w:t>
            </w:r>
            <w:r w:rsidRPr="00471EA6">
              <w:rPr>
                <w:rFonts w:eastAsia="Times New Roman" w:cstheme="minorHAnsi"/>
                <w:color w:val="333333"/>
                <w:sz w:val="18"/>
                <w:szCs w:val="18"/>
              </w:rPr>
              <w:t>maintenance of a</w:t>
            </w:r>
            <w:r w:rsidRPr="00471EA6">
              <w:rPr>
                <w:sz w:val="18"/>
                <w:szCs w:val="18"/>
              </w:rPr>
              <w:t xml:space="preserve"> </w:t>
            </w:r>
            <w:r w:rsidRPr="00471EA6">
              <w:rPr>
                <w:rFonts w:eastAsia="Times New Roman" w:cstheme="minorHAnsi"/>
                <w:color w:val="333333"/>
                <w:sz w:val="18"/>
                <w:szCs w:val="18"/>
              </w:rPr>
              <w:t>register of pharmacists interested in working within the ACCHS sector and generic templates for position descriptions</w:t>
            </w:r>
            <w:r w:rsidR="002F3EDC">
              <w:rPr>
                <w:rFonts w:eastAsia="Times New Roman" w:cstheme="minorHAnsi"/>
                <w:color w:val="333333"/>
                <w:sz w:val="18"/>
                <w:szCs w:val="18"/>
              </w:rPr>
              <w:t xml:space="preserve"> including the ten core roles from the IPAC trial</w:t>
            </w:r>
            <w:r w:rsidR="00C028DA">
              <w:rPr>
                <w:rFonts w:eastAsia="Times New Roman" w:cstheme="minorHAnsi"/>
                <w:color w:val="333333"/>
                <w:sz w:val="18"/>
                <w:szCs w:val="18"/>
              </w:rPr>
              <w:t>.</w:t>
            </w:r>
          </w:p>
          <w:p w14:paraId="15B3CFAE" w14:textId="0E92DCB7" w:rsidR="0054645F" w:rsidRPr="00E075CF" w:rsidRDefault="0054645F" w:rsidP="00AC1C1A">
            <w:pPr>
              <w:pStyle w:val="ListParagraph"/>
              <w:widowControl/>
              <w:numPr>
                <w:ilvl w:val="1"/>
                <w:numId w:val="29"/>
              </w:numPr>
              <w:spacing w:before="0" w:line="240" w:lineRule="auto"/>
              <w:ind w:left="406" w:hanging="374"/>
              <w:jc w:val="left"/>
              <w:rPr>
                <w:sz w:val="18"/>
                <w:szCs w:val="18"/>
              </w:rPr>
            </w:pPr>
            <w:r>
              <w:rPr>
                <w:sz w:val="18"/>
                <w:szCs w:val="18"/>
              </w:rPr>
              <w:t xml:space="preserve">Prepare pharmacists for integrative roles within ACCHSs through the development of a </w:t>
            </w:r>
            <w:r w:rsidR="00413B6C">
              <w:rPr>
                <w:sz w:val="18"/>
                <w:szCs w:val="18"/>
              </w:rPr>
              <w:t xml:space="preserve">tailored induction </w:t>
            </w:r>
            <w:r w:rsidR="004B1EF6">
              <w:rPr>
                <w:sz w:val="18"/>
                <w:szCs w:val="18"/>
              </w:rPr>
              <w:t xml:space="preserve">training </w:t>
            </w:r>
            <w:r>
              <w:rPr>
                <w:sz w:val="18"/>
                <w:szCs w:val="18"/>
              </w:rPr>
              <w:t>program</w:t>
            </w:r>
            <w:r>
              <w:rPr>
                <w:rFonts w:cstheme="minorHAnsi"/>
                <w:sz w:val="18"/>
                <w:szCs w:val="18"/>
              </w:rPr>
              <w:t>.</w:t>
            </w:r>
          </w:p>
          <w:p w14:paraId="2E32F21F" w14:textId="14144BF4" w:rsidR="0054645F" w:rsidRDefault="00413B6C" w:rsidP="00AC1C1A">
            <w:pPr>
              <w:pStyle w:val="ListParagraph"/>
              <w:widowControl/>
              <w:numPr>
                <w:ilvl w:val="1"/>
                <w:numId w:val="29"/>
              </w:numPr>
              <w:spacing w:before="0" w:line="240" w:lineRule="auto"/>
              <w:ind w:left="406" w:hanging="374"/>
              <w:jc w:val="left"/>
              <w:rPr>
                <w:sz w:val="18"/>
                <w:szCs w:val="18"/>
              </w:rPr>
            </w:pPr>
            <w:r>
              <w:rPr>
                <w:sz w:val="18"/>
                <w:szCs w:val="18"/>
              </w:rPr>
              <w:t xml:space="preserve">Facilitate </w:t>
            </w:r>
            <w:r w:rsidR="0054645F">
              <w:rPr>
                <w:sz w:val="18"/>
                <w:szCs w:val="18"/>
              </w:rPr>
              <w:t>opportunities for</w:t>
            </w:r>
            <w:r w:rsidR="0054645F" w:rsidRPr="002D708D">
              <w:rPr>
                <w:sz w:val="18"/>
                <w:szCs w:val="18"/>
              </w:rPr>
              <w:t xml:space="preserve"> pharmacists </w:t>
            </w:r>
            <w:r w:rsidR="0054645F">
              <w:rPr>
                <w:sz w:val="18"/>
                <w:szCs w:val="18"/>
              </w:rPr>
              <w:t xml:space="preserve">to undertake </w:t>
            </w:r>
            <w:r w:rsidR="0054645F" w:rsidRPr="002D708D">
              <w:rPr>
                <w:sz w:val="18"/>
                <w:szCs w:val="18"/>
              </w:rPr>
              <w:t xml:space="preserve">cultural safety training </w:t>
            </w:r>
            <w:r w:rsidR="0054645F">
              <w:rPr>
                <w:sz w:val="18"/>
                <w:szCs w:val="18"/>
              </w:rPr>
              <w:t xml:space="preserve">responsive to their place of practice </w:t>
            </w:r>
            <w:r w:rsidR="0054645F" w:rsidRPr="002D708D">
              <w:rPr>
                <w:sz w:val="18"/>
                <w:szCs w:val="18"/>
              </w:rPr>
              <w:t>prior to commencing activity within ACCHSs.</w:t>
            </w:r>
          </w:p>
          <w:p w14:paraId="69B27C12" w14:textId="1FC9CE7A" w:rsidR="00E8545F" w:rsidRPr="00471EA6" w:rsidRDefault="00E8545F" w:rsidP="00AC1C1A">
            <w:pPr>
              <w:pStyle w:val="ListParagraph"/>
              <w:widowControl/>
              <w:numPr>
                <w:ilvl w:val="1"/>
                <w:numId w:val="29"/>
              </w:numPr>
              <w:spacing w:before="0" w:line="240" w:lineRule="auto"/>
              <w:ind w:left="406" w:hanging="374"/>
              <w:jc w:val="left"/>
              <w:rPr>
                <w:sz w:val="18"/>
                <w:szCs w:val="18"/>
              </w:rPr>
            </w:pPr>
            <w:r w:rsidRPr="00471EA6">
              <w:rPr>
                <w:rFonts w:cstheme="minorHAnsi"/>
                <w:bCs/>
                <w:sz w:val="18"/>
                <w:szCs w:val="18"/>
              </w:rPr>
              <w:t>Facilitate relevant continuing professional development for pharmacists working in the ACCHS sector</w:t>
            </w:r>
            <w:r w:rsidR="00D95686">
              <w:rPr>
                <w:rFonts w:cstheme="minorHAnsi"/>
                <w:bCs/>
                <w:sz w:val="18"/>
                <w:szCs w:val="18"/>
              </w:rPr>
              <w:t>.</w:t>
            </w:r>
          </w:p>
          <w:p w14:paraId="76B9C11A" w14:textId="473AF632" w:rsidR="0054645F" w:rsidRPr="007F2ABF" w:rsidRDefault="0054645F" w:rsidP="00AC1C1A">
            <w:pPr>
              <w:pStyle w:val="ListParagraph"/>
              <w:widowControl/>
              <w:numPr>
                <w:ilvl w:val="1"/>
                <w:numId w:val="29"/>
              </w:numPr>
              <w:spacing w:before="0" w:line="240" w:lineRule="auto"/>
              <w:ind w:left="406" w:hanging="374"/>
              <w:jc w:val="left"/>
              <w:rPr>
                <w:rFonts w:cstheme="minorHAnsi"/>
                <w:sz w:val="18"/>
                <w:szCs w:val="18"/>
              </w:rPr>
            </w:pPr>
            <w:r w:rsidRPr="00300558">
              <w:rPr>
                <w:sz w:val="18"/>
                <w:szCs w:val="18"/>
              </w:rPr>
              <w:t xml:space="preserve">Facilitate </w:t>
            </w:r>
            <w:r>
              <w:rPr>
                <w:sz w:val="18"/>
                <w:szCs w:val="18"/>
              </w:rPr>
              <w:t xml:space="preserve">a </w:t>
            </w:r>
            <w:r w:rsidR="00350E54">
              <w:rPr>
                <w:sz w:val="18"/>
                <w:szCs w:val="18"/>
              </w:rPr>
              <w:t xml:space="preserve">program of ongoing support and a </w:t>
            </w:r>
            <w:r>
              <w:rPr>
                <w:sz w:val="18"/>
                <w:szCs w:val="18"/>
              </w:rPr>
              <w:t>community of practice network to enable knowledge sharing and peer support</w:t>
            </w:r>
            <w:r w:rsidR="00EF0928">
              <w:rPr>
                <w:sz w:val="18"/>
                <w:szCs w:val="18"/>
              </w:rPr>
              <w:t xml:space="preserve"> amongst integrated pharmacists</w:t>
            </w:r>
            <w:r>
              <w:rPr>
                <w:sz w:val="18"/>
                <w:szCs w:val="18"/>
              </w:rPr>
              <w:t>. M</w:t>
            </w:r>
            <w:r w:rsidRPr="00300558">
              <w:rPr>
                <w:sz w:val="18"/>
                <w:szCs w:val="18"/>
              </w:rPr>
              <w:t xml:space="preserve">entors </w:t>
            </w:r>
            <w:r>
              <w:rPr>
                <w:sz w:val="18"/>
                <w:szCs w:val="18"/>
              </w:rPr>
              <w:t>can</w:t>
            </w:r>
            <w:r w:rsidRPr="00300558">
              <w:rPr>
                <w:rFonts w:cstheme="minorHAnsi"/>
                <w:sz w:val="18"/>
                <w:szCs w:val="18"/>
              </w:rPr>
              <w:t xml:space="preserve"> assist with clinical and/or cultural aspects</w:t>
            </w:r>
            <w:r>
              <w:rPr>
                <w:rFonts w:cstheme="minorHAnsi"/>
                <w:sz w:val="18"/>
                <w:szCs w:val="18"/>
              </w:rPr>
              <w:t xml:space="preserve"> of integrated practice and development of career pathways</w:t>
            </w:r>
            <w:r w:rsidRPr="00300558">
              <w:rPr>
                <w:rFonts w:cstheme="minorHAnsi"/>
                <w:sz w:val="18"/>
                <w:szCs w:val="18"/>
              </w:rPr>
              <w:t xml:space="preserve">.  </w:t>
            </w:r>
          </w:p>
        </w:tc>
        <w:tc>
          <w:tcPr>
            <w:tcW w:w="1543" w:type="pct"/>
          </w:tcPr>
          <w:p w14:paraId="1B10B08A" w14:textId="281053AB" w:rsidR="0054645F" w:rsidRDefault="0054645F" w:rsidP="00AC1C1A">
            <w:pPr>
              <w:pStyle w:val="ListParagraph"/>
              <w:widowControl/>
              <w:numPr>
                <w:ilvl w:val="0"/>
                <w:numId w:val="28"/>
              </w:numPr>
              <w:spacing w:before="0" w:line="240" w:lineRule="auto"/>
              <w:jc w:val="left"/>
              <w:rPr>
                <w:rFonts w:eastAsia="Times New Roman" w:cstheme="minorHAnsi"/>
                <w:color w:val="333333"/>
                <w:sz w:val="18"/>
                <w:szCs w:val="18"/>
              </w:rPr>
            </w:pPr>
            <w:r w:rsidRPr="00300558">
              <w:rPr>
                <w:rFonts w:eastAsia="Times New Roman" w:cstheme="minorHAnsi"/>
                <w:color w:val="333333"/>
                <w:sz w:val="18"/>
                <w:szCs w:val="18"/>
              </w:rPr>
              <w:t>Pharmacists are prepared and effectively deliver patient-</w:t>
            </w:r>
            <w:proofErr w:type="spellStart"/>
            <w:r w:rsidRPr="00300558">
              <w:rPr>
                <w:rFonts w:eastAsia="Times New Roman" w:cstheme="minorHAnsi"/>
                <w:color w:val="333333"/>
                <w:sz w:val="18"/>
                <w:szCs w:val="18"/>
              </w:rPr>
              <w:t>centred</w:t>
            </w:r>
            <w:proofErr w:type="spellEnd"/>
            <w:r w:rsidRPr="00300558">
              <w:rPr>
                <w:rFonts w:eastAsia="Times New Roman" w:cstheme="minorHAnsi"/>
                <w:color w:val="333333"/>
                <w:sz w:val="18"/>
                <w:szCs w:val="18"/>
              </w:rPr>
              <w:t xml:space="preserve"> care</w:t>
            </w:r>
            <w:r w:rsidR="00C5700D">
              <w:rPr>
                <w:rFonts w:eastAsia="Times New Roman" w:cstheme="minorHAnsi"/>
                <w:color w:val="333333"/>
                <w:sz w:val="18"/>
                <w:szCs w:val="18"/>
              </w:rPr>
              <w:t xml:space="preserve"> to Aboriginal </w:t>
            </w:r>
            <w:r w:rsidR="00EF0928">
              <w:rPr>
                <w:rFonts w:eastAsia="Times New Roman" w:cstheme="minorHAnsi"/>
                <w:color w:val="333333"/>
                <w:sz w:val="18"/>
                <w:szCs w:val="18"/>
              </w:rPr>
              <w:t xml:space="preserve">peoples </w:t>
            </w:r>
            <w:r w:rsidR="00C5700D">
              <w:rPr>
                <w:rFonts w:eastAsia="Times New Roman" w:cstheme="minorHAnsi"/>
                <w:color w:val="333333"/>
                <w:sz w:val="18"/>
                <w:szCs w:val="18"/>
              </w:rPr>
              <w:t>and Torres Strait Islanders</w:t>
            </w:r>
          </w:p>
          <w:p w14:paraId="4F31F78F" w14:textId="73439103" w:rsidR="002D0C04" w:rsidRPr="00300558" w:rsidRDefault="002D0C04" w:rsidP="00AC1C1A">
            <w:pPr>
              <w:pStyle w:val="ListParagraph"/>
              <w:widowControl/>
              <w:numPr>
                <w:ilvl w:val="0"/>
                <w:numId w:val="28"/>
              </w:numPr>
              <w:spacing w:before="0" w:line="240" w:lineRule="auto"/>
              <w:jc w:val="left"/>
              <w:rPr>
                <w:rFonts w:eastAsia="Times New Roman" w:cstheme="minorHAnsi"/>
                <w:color w:val="333333"/>
                <w:sz w:val="18"/>
                <w:szCs w:val="18"/>
              </w:rPr>
            </w:pPr>
            <w:r>
              <w:rPr>
                <w:rFonts w:eastAsia="Times New Roman" w:cstheme="minorHAnsi"/>
                <w:color w:val="333333"/>
                <w:sz w:val="18"/>
                <w:szCs w:val="18"/>
              </w:rPr>
              <w:t>Pharmacists receive ongoing support from mentors</w:t>
            </w:r>
            <w:r w:rsidR="00AF3C5A">
              <w:rPr>
                <w:rFonts w:eastAsia="Times New Roman" w:cstheme="minorHAnsi"/>
                <w:color w:val="333333"/>
                <w:sz w:val="18"/>
                <w:szCs w:val="18"/>
              </w:rPr>
              <w:t xml:space="preserve">, professional </w:t>
            </w:r>
            <w:proofErr w:type="gramStart"/>
            <w:r w:rsidR="00AF3C5A">
              <w:rPr>
                <w:rFonts w:eastAsia="Times New Roman" w:cstheme="minorHAnsi"/>
                <w:color w:val="333333"/>
                <w:sz w:val="18"/>
                <w:szCs w:val="18"/>
              </w:rPr>
              <w:t>development</w:t>
            </w:r>
            <w:proofErr w:type="gramEnd"/>
            <w:r>
              <w:rPr>
                <w:rFonts w:eastAsia="Times New Roman" w:cstheme="minorHAnsi"/>
                <w:color w:val="333333"/>
                <w:sz w:val="18"/>
                <w:szCs w:val="18"/>
              </w:rPr>
              <w:t xml:space="preserve"> and </w:t>
            </w:r>
            <w:r w:rsidR="00AF3C5A">
              <w:rPr>
                <w:rFonts w:eastAsia="Times New Roman" w:cstheme="minorHAnsi"/>
                <w:color w:val="333333"/>
                <w:sz w:val="18"/>
                <w:szCs w:val="18"/>
              </w:rPr>
              <w:t xml:space="preserve">peer support </w:t>
            </w:r>
            <w:r>
              <w:rPr>
                <w:rFonts w:eastAsia="Times New Roman" w:cstheme="minorHAnsi"/>
                <w:color w:val="333333"/>
                <w:sz w:val="18"/>
                <w:szCs w:val="18"/>
              </w:rPr>
              <w:t>through a community o</w:t>
            </w:r>
            <w:r w:rsidR="00AF3C5A">
              <w:rPr>
                <w:rFonts w:eastAsia="Times New Roman" w:cstheme="minorHAnsi"/>
                <w:color w:val="333333"/>
                <w:sz w:val="18"/>
                <w:szCs w:val="18"/>
              </w:rPr>
              <w:t>f</w:t>
            </w:r>
            <w:r>
              <w:rPr>
                <w:rFonts w:eastAsia="Times New Roman" w:cstheme="minorHAnsi"/>
                <w:color w:val="333333"/>
                <w:sz w:val="18"/>
                <w:szCs w:val="18"/>
              </w:rPr>
              <w:t xml:space="preserve"> practice network </w:t>
            </w:r>
          </w:p>
        </w:tc>
      </w:tr>
      <w:tr w:rsidR="003334BA" w:rsidRPr="0071606F" w14:paraId="5681B0F7" w14:textId="77777777" w:rsidTr="003334BA">
        <w:tc>
          <w:tcPr>
            <w:tcW w:w="977" w:type="pct"/>
          </w:tcPr>
          <w:p w14:paraId="4110D54A" w14:textId="2C3C9B9E" w:rsidR="003334BA" w:rsidRPr="00B51906" w:rsidRDefault="003334BA" w:rsidP="0001176F">
            <w:pPr>
              <w:pStyle w:val="ListParagraph"/>
              <w:widowControl/>
              <w:numPr>
                <w:ilvl w:val="0"/>
                <w:numId w:val="29"/>
              </w:numPr>
              <w:spacing w:before="0" w:line="240" w:lineRule="auto"/>
              <w:jc w:val="left"/>
              <w:rPr>
                <w:b/>
                <w:sz w:val="18"/>
                <w:szCs w:val="18"/>
              </w:rPr>
            </w:pPr>
            <w:r>
              <w:rPr>
                <w:rFonts w:cstheme="minorHAnsi"/>
                <w:b/>
                <w:sz w:val="18"/>
                <w:szCs w:val="18"/>
              </w:rPr>
              <w:t xml:space="preserve">Funding for </w:t>
            </w:r>
            <w:r w:rsidR="0001176F">
              <w:rPr>
                <w:rFonts w:cstheme="minorHAnsi"/>
                <w:b/>
                <w:sz w:val="18"/>
                <w:szCs w:val="18"/>
              </w:rPr>
              <w:t xml:space="preserve">evaluation of integrated pharmacist </w:t>
            </w:r>
            <w:r w:rsidRPr="00B51906">
              <w:rPr>
                <w:rFonts w:cstheme="minorHAnsi"/>
                <w:b/>
                <w:sz w:val="18"/>
                <w:szCs w:val="18"/>
              </w:rPr>
              <w:t>program</w:t>
            </w:r>
            <w:r w:rsidR="0001176F">
              <w:rPr>
                <w:rFonts w:cstheme="minorHAnsi"/>
                <w:b/>
                <w:sz w:val="18"/>
                <w:szCs w:val="18"/>
              </w:rPr>
              <w:t>s</w:t>
            </w:r>
            <w:r w:rsidRPr="00B51906">
              <w:rPr>
                <w:rFonts w:cstheme="minorHAnsi"/>
                <w:b/>
                <w:sz w:val="18"/>
                <w:szCs w:val="18"/>
              </w:rPr>
              <w:t xml:space="preserve"> to enhance </w:t>
            </w:r>
            <w:r>
              <w:rPr>
                <w:rFonts w:cstheme="minorHAnsi"/>
                <w:b/>
                <w:sz w:val="18"/>
                <w:szCs w:val="18"/>
              </w:rPr>
              <w:t>roll-out across Australia</w:t>
            </w:r>
          </w:p>
        </w:tc>
        <w:tc>
          <w:tcPr>
            <w:tcW w:w="669" w:type="pct"/>
          </w:tcPr>
          <w:p w14:paraId="3DD3449C" w14:textId="11203FB3" w:rsidR="003334BA" w:rsidRPr="007F2ABF" w:rsidRDefault="003334BA" w:rsidP="00B3462F">
            <w:pPr>
              <w:spacing w:before="0" w:line="240" w:lineRule="auto"/>
              <w:rPr>
                <w:rFonts w:eastAsia="Times New Roman" w:cstheme="minorHAnsi"/>
                <w:b/>
                <w:color w:val="333333"/>
                <w:sz w:val="18"/>
                <w:szCs w:val="18"/>
              </w:rPr>
            </w:pPr>
            <w:r w:rsidRPr="007F2ABF">
              <w:rPr>
                <w:rFonts w:eastAsia="Times New Roman" w:cstheme="minorHAnsi"/>
                <w:b/>
                <w:color w:val="333333"/>
                <w:sz w:val="18"/>
                <w:szCs w:val="18"/>
              </w:rPr>
              <w:t>Federal Government</w:t>
            </w:r>
            <w:r>
              <w:rPr>
                <w:rFonts w:eastAsia="Times New Roman" w:cstheme="minorHAnsi"/>
                <w:b/>
                <w:color w:val="333333"/>
                <w:sz w:val="18"/>
                <w:szCs w:val="18"/>
              </w:rPr>
              <w:t xml:space="preserve">, </w:t>
            </w:r>
            <w:r w:rsidRPr="007F2ABF">
              <w:rPr>
                <w:rFonts w:eastAsia="Times New Roman" w:cstheme="minorHAnsi"/>
                <w:color w:val="333333"/>
                <w:sz w:val="18"/>
                <w:szCs w:val="18"/>
              </w:rPr>
              <w:t>Academic Institutions</w:t>
            </w:r>
            <w:r>
              <w:rPr>
                <w:rFonts w:eastAsia="Times New Roman" w:cstheme="minorHAnsi"/>
                <w:color w:val="333333"/>
                <w:sz w:val="18"/>
                <w:szCs w:val="18"/>
              </w:rPr>
              <w:t>, NACCHO, and affiliates, ACCHSs</w:t>
            </w:r>
            <w:r w:rsidR="00285077">
              <w:rPr>
                <w:rFonts w:eastAsia="Times New Roman" w:cstheme="minorHAnsi"/>
                <w:color w:val="333333"/>
                <w:sz w:val="18"/>
                <w:szCs w:val="18"/>
              </w:rPr>
              <w:t>, PGA</w:t>
            </w:r>
          </w:p>
        </w:tc>
        <w:tc>
          <w:tcPr>
            <w:tcW w:w="1811" w:type="pct"/>
          </w:tcPr>
          <w:p w14:paraId="6CFBEE82" w14:textId="2CCE4041" w:rsidR="003334BA" w:rsidRPr="00F80B8E" w:rsidRDefault="003334BA" w:rsidP="00B3462F">
            <w:pPr>
              <w:pStyle w:val="ListParagraph"/>
              <w:widowControl/>
              <w:numPr>
                <w:ilvl w:val="1"/>
                <w:numId w:val="29"/>
              </w:numPr>
              <w:spacing w:before="0" w:line="240" w:lineRule="auto"/>
              <w:jc w:val="left"/>
              <w:rPr>
                <w:rFonts w:cstheme="minorHAnsi"/>
                <w:sz w:val="18"/>
                <w:szCs w:val="18"/>
              </w:rPr>
            </w:pPr>
            <w:r>
              <w:rPr>
                <w:rFonts w:cstheme="minorHAnsi"/>
                <w:sz w:val="18"/>
                <w:szCs w:val="18"/>
              </w:rPr>
              <w:t>Funding of a</w:t>
            </w:r>
            <w:r w:rsidRPr="00F80B8E">
              <w:rPr>
                <w:rFonts w:cstheme="minorHAnsi"/>
                <w:sz w:val="18"/>
                <w:szCs w:val="18"/>
              </w:rPr>
              <w:t xml:space="preserve"> program </w:t>
            </w:r>
            <w:r>
              <w:rPr>
                <w:rFonts w:cstheme="minorHAnsi"/>
                <w:sz w:val="18"/>
                <w:szCs w:val="18"/>
              </w:rPr>
              <w:t xml:space="preserve">is needed </w:t>
            </w:r>
            <w:r w:rsidRPr="00F80B8E">
              <w:rPr>
                <w:rFonts w:cstheme="minorHAnsi"/>
                <w:sz w:val="18"/>
                <w:szCs w:val="18"/>
              </w:rPr>
              <w:t xml:space="preserve">to monitor </w:t>
            </w:r>
            <w:r>
              <w:rPr>
                <w:rFonts w:cstheme="minorHAnsi"/>
                <w:sz w:val="18"/>
                <w:szCs w:val="18"/>
              </w:rPr>
              <w:t xml:space="preserve">the </w:t>
            </w:r>
            <w:r w:rsidRPr="00F80B8E">
              <w:rPr>
                <w:rFonts w:cstheme="minorHAnsi"/>
                <w:sz w:val="18"/>
                <w:szCs w:val="18"/>
              </w:rPr>
              <w:t xml:space="preserve">implementation of integrated pharmacist programs to facilitate </w:t>
            </w:r>
            <w:r>
              <w:rPr>
                <w:rFonts w:cstheme="minorHAnsi"/>
                <w:sz w:val="18"/>
                <w:szCs w:val="18"/>
              </w:rPr>
              <w:t xml:space="preserve">the </w:t>
            </w:r>
            <w:r w:rsidRPr="00F80B8E">
              <w:rPr>
                <w:rFonts w:cstheme="minorHAnsi"/>
                <w:sz w:val="18"/>
                <w:szCs w:val="18"/>
              </w:rPr>
              <w:t>continuous quality improvement</w:t>
            </w:r>
            <w:r>
              <w:rPr>
                <w:rFonts w:cstheme="minorHAnsi"/>
                <w:sz w:val="18"/>
                <w:szCs w:val="18"/>
              </w:rPr>
              <w:t xml:space="preserve"> of prescribing quality and the quality use of medicines within ACCHSs</w:t>
            </w:r>
            <w:r w:rsidRPr="00F80B8E">
              <w:rPr>
                <w:rFonts w:cstheme="minorHAnsi"/>
                <w:sz w:val="18"/>
                <w:szCs w:val="18"/>
              </w:rPr>
              <w:t xml:space="preserve">. </w:t>
            </w:r>
          </w:p>
          <w:p w14:paraId="697688E0" w14:textId="77777777" w:rsidR="003334BA" w:rsidRPr="00432684" w:rsidRDefault="003334BA" w:rsidP="00B3462F">
            <w:pPr>
              <w:pStyle w:val="ListParagraph"/>
              <w:widowControl/>
              <w:numPr>
                <w:ilvl w:val="1"/>
                <w:numId w:val="29"/>
              </w:numPr>
              <w:spacing w:line="240" w:lineRule="auto"/>
              <w:jc w:val="left"/>
              <w:rPr>
                <w:sz w:val="18"/>
                <w:szCs w:val="18"/>
              </w:rPr>
            </w:pPr>
            <w:r>
              <w:rPr>
                <w:sz w:val="18"/>
                <w:szCs w:val="18"/>
              </w:rPr>
              <w:t>Quality improvement</w:t>
            </w:r>
            <w:r w:rsidRPr="00941872">
              <w:rPr>
                <w:sz w:val="18"/>
                <w:szCs w:val="18"/>
              </w:rPr>
              <w:t xml:space="preserve"> programs</w:t>
            </w:r>
            <w:r>
              <w:rPr>
                <w:sz w:val="18"/>
                <w:szCs w:val="18"/>
              </w:rPr>
              <w:t xml:space="preserve"> involving integrated pharmacists</w:t>
            </w:r>
            <w:r w:rsidRPr="00941872">
              <w:rPr>
                <w:sz w:val="18"/>
                <w:szCs w:val="18"/>
              </w:rPr>
              <w:t xml:space="preserve"> need to allow a lead-in time to enable </w:t>
            </w:r>
            <w:r w:rsidRPr="00941872">
              <w:rPr>
                <w:sz w:val="18"/>
                <w:szCs w:val="18"/>
              </w:rPr>
              <w:lastRenderedPageBreak/>
              <w:t xml:space="preserve">integrated pharmacists to develop relationships with staff and patients </w:t>
            </w:r>
            <w:r w:rsidRPr="00941872">
              <w:rPr>
                <w:rFonts w:cstheme="minorHAnsi"/>
                <w:sz w:val="18"/>
                <w:szCs w:val="18"/>
              </w:rPr>
              <w:t xml:space="preserve">and develop a deeper understanding of the local community and health service culture.  </w:t>
            </w:r>
          </w:p>
          <w:p w14:paraId="036DFBE7" w14:textId="4A6B5D38" w:rsidR="003334BA" w:rsidRPr="00941872" w:rsidRDefault="003334BA" w:rsidP="0001176F">
            <w:pPr>
              <w:pStyle w:val="ListParagraph"/>
              <w:widowControl/>
              <w:numPr>
                <w:ilvl w:val="1"/>
                <w:numId w:val="29"/>
              </w:numPr>
              <w:spacing w:line="240" w:lineRule="auto"/>
              <w:jc w:val="left"/>
              <w:rPr>
                <w:sz w:val="18"/>
                <w:szCs w:val="18"/>
              </w:rPr>
            </w:pPr>
            <w:r>
              <w:rPr>
                <w:rFonts w:cstheme="minorHAnsi"/>
                <w:sz w:val="18"/>
                <w:szCs w:val="18"/>
              </w:rPr>
              <w:t>Some tools and resources created from the IPAC project such as the PSA templates used to guide stakeholder liaison plan development and promotional materials commissioned by NACCHO may be adapted for use by program developers to support future roll-out.</w:t>
            </w:r>
          </w:p>
        </w:tc>
        <w:tc>
          <w:tcPr>
            <w:tcW w:w="1543" w:type="pct"/>
          </w:tcPr>
          <w:p w14:paraId="2D65906E" w14:textId="77777777" w:rsidR="003334BA" w:rsidRDefault="003334BA" w:rsidP="00B3462F">
            <w:pPr>
              <w:pStyle w:val="ListParagraph"/>
              <w:widowControl/>
              <w:numPr>
                <w:ilvl w:val="0"/>
                <w:numId w:val="28"/>
              </w:numPr>
              <w:spacing w:before="0" w:line="240" w:lineRule="auto"/>
              <w:jc w:val="left"/>
              <w:rPr>
                <w:rFonts w:eastAsia="Times New Roman" w:cstheme="minorHAnsi"/>
                <w:color w:val="333333"/>
                <w:sz w:val="18"/>
                <w:szCs w:val="18"/>
              </w:rPr>
            </w:pPr>
            <w:r>
              <w:rPr>
                <w:rFonts w:eastAsia="Times New Roman" w:cstheme="minorHAnsi"/>
                <w:color w:val="333333"/>
                <w:sz w:val="18"/>
                <w:szCs w:val="18"/>
              </w:rPr>
              <w:lastRenderedPageBreak/>
              <w:t xml:space="preserve">Monitoring of the quality of the integrated pharmacist </w:t>
            </w:r>
            <w:r w:rsidRPr="007F2ABF">
              <w:rPr>
                <w:rFonts w:eastAsia="Times New Roman" w:cstheme="minorHAnsi"/>
                <w:color w:val="333333"/>
                <w:sz w:val="18"/>
                <w:szCs w:val="18"/>
              </w:rPr>
              <w:t>role</w:t>
            </w:r>
            <w:r>
              <w:rPr>
                <w:rFonts w:eastAsia="Times New Roman" w:cstheme="minorHAnsi"/>
                <w:color w:val="333333"/>
                <w:sz w:val="18"/>
                <w:szCs w:val="18"/>
              </w:rPr>
              <w:t xml:space="preserve"> within ACCHSs</w:t>
            </w:r>
            <w:r w:rsidRPr="007F2ABF">
              <w:rPr>
                <w:rFonts w:eastAsia="Times New Roman" w:cstheme="minorHAnsi"/>
                <w:color w:val="333333"/>
                <w:sz w:val="18"/>
                <w:szCs w:val="18"/>
              </w:rPr>
              <w:t xml:space="preserve"> </w:t>
            </w:r>
          </w:p>
          <w:p w14:paraId="2C6298B0" w14:textId="77777777" w:rsidR="003334BA" w:rsidRDefault="003334BA" w:rsidP="00B3462F">
            <w:pPr>
              <w:pStyle w:val="ListParagraph"/>
              <w:widowControl/>
              <w:numPr>
                <w:ilvl w:val="0"/>
                <w:numId w:val="28"/>
              </w:numPr>
              <w:spacing w:before="0" w:line="240" w:lineRule="auto"/>
              <w:jc w:val="left"/>
              <w:rPr>
                <w:rFonts w:eastAsia="Times New Roman" w:cstheme="minorHAnsi"/>
                <w:color w:val="333333"/>
                <w:sz w:val="18"/>
                <w:szCs w:val="18"/>
              </w:rPr>
            </w:pPr>
            <w:r w:rsidRPr="007F2ABF">
              <w:rPr>
                <w:rFonts w:eastAsia="Times New Roman" w:cstheme="minorHAnsi"/>
                <w:color w:val="333333"/>
                <w:sz w:val="18"/>
                <w:szCs w:val="18"/>
              </w:rPr>
              <w:t>Improve</w:t>
            </w:r>
            <w:r>
              <w:rPr>
                <w:rFonts w:eastAsia="Times New Roman" w:cstheme="minorHAnsi"/>
                <w:color w:val="333333"/>
                <w:sz w:val="18"/>
                <w:szCs w:val="18"/>
              </w:rPr>
              <w:t>d</w:t>
            </w:r>
            <w:r w:rsidRPr="007F2ABF">
              <w:rPr>
                <w:rFonts w:eastAsia="Times New Roman" w:cstheme="minorHAnsi"/>
                <w:color w:val="333333"/>
                <w:sz w:val="18"/>
                <w:szCs w:val="18"/>
              </w:rPr>
              <w:t xml:space="preserve"> evidence base </w:t>
            </w:r>
            <w:r>
              <w:rPr>
                <w:rFonts w:eastAsia="Times New Roman" w:cstheme="minorHAnsi"/>
                <w:color w:val="333333"/>
                <w:sz w:val="18"/>
                <w:szCs w:val="18"/>
              </w:rPr>
              <w:t>around the integrated pharmacist role in Aboriginal health settings</w:t>
            </w:r>
          </w:p>
          <w:p w14:paraId="5D8871C6" w14:textId="77777777" w:rsidR="003334BA" w:rsidRPr="008226F8" w:rsidRDefault="003334BA" w:rsidP="00B3462F">
            <w:pPr>
              <w:widowControl/>
              <w:spacing w:line="240" w:lineRule="auto"/>
              <w:jc w:val="left"/>
              <w:rPr>
                <w:rFonts w:eastAsia="Times New Roman" w:cstheme="minorHAnsi"/>
                <w:color w:val="333333"/>
                <w:sz w:val="18"/>
                <w:szCs w:val="18"/>
              </w:rPr>
            </w:pPr>
          </w:p>
        </w:tc>
      </w:tr>
    </w:tbl>
    <w:p w14:paraId="7010436E" w14:textId="4B6D5132" w:rsidR="008D628C" w:rsidRPr="008D628C" w:rsidRDefault="008D628C" w:rsidP="008D628C">
      <w:pPr>
        <w:widowControl/>
        <w:spacing w:line="240" w:lineRule="auto"/>
        <w:rPr>
          <w:sz w:val="16"/>
          <w:szCs w:val="16"/>
        </w:rPr>
      </w:pPr>
      <w:r w:rsidRPr="008D628C">
        <w:rPr>
          <w:sz w:val="16"/>
          <w:szCs w:val="16"/>
        </w:rPr>
        <w:t>ACCHS – Aboriginal Community Controlled Health Services</w:t>
      </w:r>
    </w:p>
    <w:p w14:paraId="03F74024" w14:textId="2FC6935E" w:rsidR="008D628C" w:rsidRPr="008D628C" w:rsidRDefault="008D628C" w:rsidP="008D628C">
      <w:pPr>
        <w:widowControl/>
        <w:spacing w:line="240" w:lineRule="auto"/>
        <w:rPr>
          <w:sz w:val="16"/>
          <w:szCs w:val="16"/>
        </w:rPr>
      </w:pPr>
      <w:r w:rsidRPr="008D628C">
        <w:rPr>
          <w:sz w:val="16"/>
          <w:szCs w:val="16"/>
        </w:rPr>
        <w:t xml:space="preserve">NACCHO – National Aboriginal Community Controlled Health </w:t>
      </w:r>
      <w:proofErr w:type="spellStart"/>
      <w:r w:rsidRPr="008D628C">
        <w:rPr>
          <w:sz w:val="16"/>
          <w:szCs w:val="16"/>
        </w:rPr>
        <w:t>Organisation</w:t>
      </w:r>
      <w:proofErr w:type="spellEnd"/>
    </w:p>
    <w:p w14:paraId="3895AAFA" w14:textId="597347FA" w:rsidR="008D628C" w:rsidRPr="008D628C" w:rsidRDefault="008D628C" w:rsidP="008D628C">
      <w:pPr>
        <w:widowControl/>
        <w:spacing w:line="240" w:lineRule="auto"/>
        <w:rPr>
          <w:sz w:val="16"/>
          <w:szCs w:val="16"/>
        </w:rPr>
      </w:pPr>
      <w:r w:rsidRPr="008D628C">
        <w:rPr>
          <w:sz w:val="16"/>
          <w:szCs w:val="16"/>
        </w:rPr>
        <w:t xml:space="preserve">PGA – Pharmacy Guild of Australia </w:t>
      </w:r>
    </w:p>
    <w:p w14:paraId="65C76AEC" w14:textId="088A9083" w:rsidR="008D628C" w:rsidRPr="008D628C" w:rsidRDefault="008D628C" w:rsidP="008D628C">
      <w:pPr>
        <w:widowControl/>
        <w:spacing w:line="240" w:lineRule="auto"/>
        <w:rPr>
          <w:sz w:val="16"/>
          <w:szCs w:val="16"/>
        </w:rPr>
      </w:pPr>
      <w:r w:rsidRPr="008D628C">
        <w:rPr>
          <w:sz w:val="16"/>
          <w:szCs w:val="16"/>
        </w:rPr>
        <w:t>PSA – Pharmaceutical Society of Australia</w:t>
      </w:r>
    </w:p>
    <w:p w14:paraId="43C24A0D" w14:textId="7F7E0BCF" w:rsidR="006145E5" w:rsidRPr="00FD63FC" w:rsidRDefault="008D628C" w:rsidP="008B7C4A">
      <w:pPr>
        <w:widowControl/>
        <w:spacing w:line="240" w:lineRule="auto"/>
      </w:pPr>
      <w:r w:rsidRPr="008D628C">
        <w:rPr>
          <w:rFonts w:eastAsiaTheme="majorEastAsia" w:cstheme="minorHAnsi"/>
          <w:sz w:val="16"/>
          <w:szCs w:val="16"/>
        </w:rPr>
        <w:t xml:space="preserve">QUMAX - </w:t>
      </w:r>
      <w:r w:rsidRPr="008D628C">
        <w:rPr>
          <w:sz w:val="16"/>
          <w:szCs w:val="16"/>
        </w:rPr>
        <w:t xml:space="preserve">Quality Use of Medicines </w:t>
      </w:r>
      <w:proofErr w:type="spellStart"/>
      <w:r w:rsidRPr="008D628C">
        <w:rPr>
          <w:sz w:val="16"/>
          <w:szCs w:val="16"/>
        </w:rPr>
        <w:t>Maximised</w:t>
      </w:r>
      <w:proofErr w:type="spellEnd"/>
      <w:r w:rsidRPr="008D628C">
        <w:rPr>
          <w:sz w:val="16"/>
          <w:szCs w:val="16"/>
        </w:rPr>
        <w:t xml:space="preserve"> for Aboriginal and Torres Strait Islander People (QUMAX)</w:t>
      </w:r>
      <w:r w:rsidRPr="008D628C">
        <w:rPr>
          <w:rFonts w:cstheme="minorHAnsi"/>
          <w:color w:val="000000"/>
          <w:sz w:val="16"/>
          <w:szCs w:val="16"/>
        </w:rPr>
        <w:t xml:space="preserve"> program</w:t>
      </w:r>
      <w:r w:rsidR="006145E5" w:rsidRPr="00FD63FC">
        <w:br w:type="page"/>
      </w:r>
    </w:p>
    <w:p w14:paraId="0F9F9D55" w14:textId="0F6D8C4D" w:rsidR="006B44E7" w:rsidRPr="00BF1EA1" w:rsidRDefault="006B44E7" w:rsidP="0048683E">
      <w:pPr>
        <w:pStyle w:val="Heading1"/>
      </w:pPr>
      <w:bookmarkStart w:id="278" w:name="_Toc40350126"/>
      <w:bookmarkStart w:id="279" w:name="_Toc40441109"/>
      <w:bookmarkStart w:id="280" w:name="_Toc41315657"/>
      <w:bookmarkStart w:id="281" w:name="_Toc138846303"/>
      <w:r w:rsidRPr="00BF1EA1">
        <w:lastRenderedPageBreak/>
        <w:t xml:space="preserve">Media, </w:t>
      </w:r>
      <w:proofErr w:type="gramStart"/>
      <w:r w:rsidR="00FD63FC">
        <w:t>c</w:t>
      </w:r>
      <w:r w:rsidRPr="00BF1EA1">
        <w:t>onference</w:t>
      </w:r>
      <w:proofErr w:type="gramEnd"/>
      <w:r w:rsidRPr="00BF1EA1">
        <w:t xml:space="preserve"> or </w:t>
      </w:r>
      <w:r w:rsidR="00FD63FC">
        <w:t>p</w:t>
      </w:r>
      <w:r w:rsidRPr="00BF1EA1">
        <w:t xml:space="preserve">romotional </w:t>
      </w:r>
      <w:r w:rsidR="00FD63FC">
        <w:t>m</w:t>
      </w:r>
      <w:r w:rsidRPr="00BF1EA1">
        <w:t>aterial</w:t>
      </w:r>
      <w:bookmarkEnd w:id="271"/>
      <w:bookmarkEnd w:id="272"/>
      <w:bookmarkEnd w:id="278"/>
      <w:bookmarkEnd w:id="279"/>
      <w:bookmarkEnd w:id="280"/>
      <w:bookmarkEnd w:id="281"/>
    </w:p>
    <w:p w14:paraId="0ECC15DB" w14:textId="77777777" w:rsidR="00BC0E88" w:rsidRPr="00721826" w:rsidRDefault="00BC0E88" w:rsidP="00FD63FC">
      <w:pPr>
        <w:pStyle w:val="ListBullet"/>
      </w:pPr>
      <w:r w:rsidRPr="00721826">
        <w:t>IPAC Poster for use within ACCHS</w:t>
      </w:r>
    </w:p>
    <w:p w14:paraId="466F2356" w14:textId="09594C58" w:rsidR="00BC0E88" w:rsidRPr="00721826" w:rsidRDefault="00BC0E88" w:rsidP="00FD63FC">
      <w:pPr>
        <w:pStyle w:val="ListBullet"/>
      </w:pPr>
      <w:r w:rsidRPr="00721826">
        <w:t xml:space="preserve">IPAC </w:t>
      </w:r>
      <w:r w:rsidR="00721826">
        <w:t>Brochure</w:t>
      </w:r>
      <w:r w:rsidRPr="00721826">
        <w:t xml:space="preserve"> for use within ACCHS</w:t>
      </w:r>
    </w:p>
    <w:p w14:paraId="30AB7D99" w14:textId="77777777" w:rsidR="00BC0E88" w:rsidRPr="00721826" w:rsidRDefault="00BC0E88" w:rsidP="00FD63FC">
      <w:pPr>
        <w:pStyle w:val="ListBullet"/>
      </w:pPr>
      <w:r w:rsidRPr="00721826">
        <w:t>IPAC Promotional Video’s for use within ACCHS (Feb 2019)</w:t>
      </w:r>
    </w:p>
    <w:p w14:paraId="3DFE2AE0" w14:textId="77777777" w:rsidR="00BC0E88" w:rsidRPr="00721826" w:rsidRDefault="00BC0E88" w:rsidP="00FD63FC">
      <w:pPr>
        <w:pStyle w:val="ListBullet"/>
      </w:pPr>
      <w:r w:rsidRPr="00721826">
        <w:t>Conference Presentation – PSA July 18 Conference</w:t>
      </w:r>
    </w:p>
    <w:p w14:paraId="5ABFBA7A" w14:textId="77777777" w:rsidR="00BC0E88" w:rsidRPr="00721826" w:rsidRDefault="00BC0E88" w:rsidP="00FD63FC">
      <w:pPr>
        <w:pStyle w:val="ListBullet"/>
      </w:pPr>
      <w:r w:rsidRPr="00721826">
        <w:t>Conference Presentation - Are You Remotely Interested (July 18)</w:t>
      </w:r>
    </w:p>
    <w:p w14:paraId="0861B1C4" w14:textId="77777777" w:rsidR="00BC0E88" w:rsidRPr="00721826" w:rsidRDefault="00BC0E88" w:rsidP="00FD63FC">
      <w:pPr>
        <w:pStyle w:val="ListBullet"/>
      </w:pPr>
      <w:r w:rsidRPr="00721826">
        <w:t>Conference Presentation – Community Pharmacy Stakeholder Forum (Sept 2018)</w:t>
      </w:r>
    </w:p>
    <w:p w14:paraId="26ED5EB5" w14:textId="77777777" w:rsidR="00BC0E88" w:rsidRPr="00721826" w:rsidRDefault="00BC0E88" w:rsidP="00FD63FC">
      <w:pPr>
        <w:pStyle w:val="ListBullet"/>
      </w:pPr>
      <w:r w:rsidRPr="00721826">
        <w:t xml:space="preserve">Conference Presentation – NACCHO Annual </w:t>
      </w:r>
      <w:proofErr w:type="gramStart"/>
      <w:r w:rsidRPr="00721826">
        <w:t>Conference  (</w:t>
      </w:r>
      <w:proofErr w:type="gramEnd"/>
      <w:r w:rsidRPr="00721826">
        <w:t>Nov 18)</w:t>
      </w:r>
    </w:p>
    <w:p w14:paraId="7B570990" w14:textId="77777777" w:rsidR="00BC0E88" w:rsidRPr="00721826" w:rsidRDefault="00BC0E88" w:rsidP="00FD63FC">
      <w:pPr>
        <w:pStyle w:val="ListBullet"/>
      </w:pPr>
      <w:r w:rsidRPr="00721826">
        <w:t>Conference Presentation – Hot North Workshop (13 June 2019)</w:t>
      </w:r>
    </w:p>
    <w:p w14:paraId="5516C1E9" w14:textId="77777777" w:rsidR="00BC0E88" w:rsidRPr="00721826" w:rsidRDefault="00BC0E88" w:rsidP="00FD63FC">
      <w:pPr>
        <w:pStyle w:val="ListBullet"/>
      </w:pPr>
      <w:r w:rsidRPr="00721826">
        <w:t>Conference Presentation – PSA 19 Conference (26 July 2019)</w:t>
      </w:r>
    </w:p>
    <w:p w14:paraId="6519F75C" w14:textId="77777777" w:rsidR="00BC0E88" w:rsidRPr="00721826" w:rsidRDefault="00BC0E88" w:rsidP="00FD63FC">
      <w:pPr>
        <w:pStyle w:val="ListBullet"/>
      </w:pPr>
      <w:r w:rsidRPr="00721826">
        <w:t>Conference Presentation – NACCHO Annual Conference (Nov 19) (video link provided at the time)</w:t>
      </w:r>
    </w:p>
    <w:p w14:paraId="30337DF5" w14:textId="77777777" w:rsidR="00BC0E88" w:rsidRPr="00721826" w:rsidRDefault="00BC0E88" w:rsidP="00FD63FC">
      <w:pPr>
        <w:pStyle w:val="ListBullet"/>
      </w:pPr>
      <w:r w:rsidRPr="00721826">
        <w:t>Conference Presentation – PSA/SHPA Collaborative Research Showcase (15 Feb 2020)</w:t>
      </w:r>
    </w:p>
    <w:p w14:paraId="4273EB4F" w14:textId="77777777" w:rsidR="00BC0E88" w:rsidRPr="00721826" w:rsidRDefault="00754ED6" w:rsidP="00FD63FC">
      <w:pPr>
        <w:pStyle w:val="ListBullet"/>
      </w:pPr>
      <w:hyperlink r:id="rId20" w:history="1">
        <w:r w:rsidR="00BC0E88" w:rsidRPr="00721826">
          <w:rPr>
            <w:rStyle w:val="Hyperlink"/>
            <w:rFonts w:asciiTheme="majorHAnsi" w:hAnsiTheme="majorHAnsi" w:cstheme="majorHAnsi"/>
            <w:sz w:val="22"/>
          </w:rPr>
          <w:t>Media Release –</w:t>
        </w:r>
      </w:hyperlink>
      <w:r w:rsidR="00BC0E88" w:rsidRPr="00721826">
        <w:t xml:space="preserve"> Enlisting pharmacists to Close the Gap (5 Sept 2018)</w:t>
      </w:r>
    </w:p>
    <w:p w14:paraId="7416FE3A" w14:textId="77777777" w:rsidR="00BC0E88" w:rsidRPr="00721826" w:rsidRDefault="00BC0E88" w:rsidP="00FD63FC">
      <w:pPr>
        <w:pStyle w:val="ListBullet"/>
      </w:pPr>
      <w:r w:rsidRPr="00721826">
        <w:rPr>
          <w:i/>
        </w:rPr>
        <w:t>Media Release</w:t>
      </w:r>
      <w:r w:rsidRPr="00721826">
        <w:t xml:space="preserve"> – Pharmacists can help to Close the Gap (9 Feb 2018)</w:t>
      </w:r>
    </w:p>
    <w:p w14:paraId="3123F0AE" w14:textId="77777777" w:rsidR="00BC0E88" w:rsidRPr="00721826" w:rsidRDefault="00BC0E88" w:rsidP="00FD63FC">
      <w:pPr>
        <w:pStyle w:val="ListBullet"/>
      </w:pPr>
      <w:r w:rsidRPr="00721826">
        <w:t>Annual Report – PSA 17/18</w:t>
      </w:r>
    </w:p>
    <w:p w14:paraId="4AD5158F" w14:textId="77777777" w:rsidR="00BC0E88" w:rsidRPr="00721826" w:rsidRDefault="00BC0E88" w:rsidP="00FD63FC">
      <w:pPr>
        <w:pStyle w:val="ListBullet"/>
      </w:pPr>
      <w:r w:rsidRPr="00721826">
        <w:t>Annual Report – PSA 18/19</w:t>
      </w:r>
    </w:p>
    <w:p w14:paraId="6BA8DA53" w14:textId="77777777" w:rsidR="00BC0E88" w:rsidRPr="00721826" w:rsidRDefault="00BC0E88" w:rsidP="00FD63FC">
      <w:pPr>
        <w:pStyle w:val="ListBullet"/>
      </w:pPr>
      <w:r w:rsidRPr="00721826">
        <w:t>Annual Report – NACCHO 17/18</w:t>
      </w:r>
    </w:p>
    <w:p w14:paraId="47CC9804" w14:textId="77777777" w:rsidR="00BC0E88" w:rsidRPr="00721826" w:rsidRDefault="00BC0E88" w:rsidP="00FD63FC">
      <w:pPr>
        <w:pStyle w:val="ListBullet"/>
      </w:pPr>
      <w:r w:rsidRPr="00721826">
        <w:t>Annual Report – NACCHO 18/19</w:t>
      </w:r>
    </w:p>
    <w:p w14:paraId="0EF0A0A8" w14:textId="3CDBB459" w:rsidR="00630C93" w:rsidRPr="00721826" w:rsidRDefault="00630C93" w:rsidP="00FD63FC">
      <w:pPr>
        <w:pStyle w:val="ListBullet"/>
        <w:rPr>
          <w:i/>
        </w:rPr>
      </w:pPr>
      <w:r w:rsidRPr="00721826">
        <w:t xml:space="preserve">ABC Interview – RN Interview Medicines Week 22/8/2019 – Angela Madden Danila </w:t>
      </w:r>
      <w:proofErr w:type="spellStart"/>
      <w:r w:rsidRPr="00721826">
        <w:t>Dilba</w:t>
      </w:r>
      <w:proofErr w:type="spellEnd"/>
      <w:r w:rsidRPr="00721826">
        <w:rPr>
          <w:i/>
        </w:rPr>
        <w:t xml:space="preserve">  Available at: </w:t>
      </w:r>
      <w:hyperlink r:id="rId21" w:history="1">
        <w:r w:rsidRPr="00721826">
          <w:rPr>
            <w:rStyle w:val="Hyperlink"/>
            <w:rFonts w:asciiTheme="majorHAnsi" w:hAnsiTheme="majorHAnsi" w:cstheme="majorHAnsi"/>
            <w:i w:val="0"/>
            <w:sz w:val="22"/>
          </w:rPr>
          <w:t>https://www.abc.net.au/radionational/programs/lifematters/tackling-aboriginal-chronic-disease-through-grass-roots-pharmacy/11435412</w:t>
        </w:r>
      </w:hyperlink>
      <w:r w:rsidRPr="00721826">
        <w:rPr>
          <w:i/>
        </w:rPr>
        <w:t xml:space="preserve"> </w:t>
      </w:r>
    </w:p>
    <w:p w14:paraId="40500048" w14:textId="1D1B84AE" w:rsidR="00630C93" w:rsidRPr="00721826" w:rsidRDefault="00630C93" w:rsidP="00FD63FC">
      <w:pPr>
        <w:pStyle w:val="ListBullet"/>
        <w:rPr>
          <w:rStyle w:val="Hyperlink"/>
          <w:rFonts w:asciiTheme="majorHAnsi" w:hAnsiTheme="majorHAnsi" w:cstheme="majorHAnsi"/>
          <w:i w:val="0"/>
          <w:sz w:val="22"/>
        </w:rPr>
      </w:pPr>
      <w:r w:rsidRPr="00721826">
        <w:t>Australian Pharmacist article – June 2019.</w:t>
      </w:r>
      <w:r w:rsidRPr="00721826">
        <w:rPr>
          <w:i/>
        </w:rPr>
        <w:t xml:space="preserve"> </w:t>
      </w:r>
      <w:r w:rsidRPr="00721826">
        <w:rPr>
          <w:rStyle w:val="Hyperlink"/>
          <w:rFonts w:asciiTheme="majorHAnsi" w:hAnsiTheme="majorHAnsi" w:cstheme="majorHAnsi"/>
          <w:i w:val="0"/>
          <w:sz w:val="22"/>
        </w:rPr>
        <w:t xml:space="preserve"> Available at: </w:t>
      </w:r>
      <w:hyperlink r:id="rId22" w:history="1">
        <w:r w:rsidRPr="00721826">
          <w:rPr>
            <w:rStyle w:val="Hyperlink"/>
            <w:rFonts w:asciiTheme="majorHAnsi" w:hAnsiTheme="majorHAnsi" w:cstheme="majorHAnsi"/>
            <w:i w:val="0"/>
            <w:sz w:val="22"/>
          </w:rPr>
          <w:t>https://www.australianpharmacist.com.au/rural-health-pharmacist/</w:t>
        </w:r>
      </w:hyperlink>
    </w:p>
    <w:p w14:paraId="052FAF47" w14:textId="77777777" w:rsidR="00F91514" w:rsidRPr="00721826" w:rsidRDefault="00F91514" w:rsidP="00721826">
      <w:pPr>
        <w:widowControl/>
        <w:contextualSpacing/>
        <w:jc w:val="left"/>
        <w:rPr>
          <w:rFonts w:asciiTheme="majorHAnsi" w:hAnsiTheme="majorHAnsi" w:cstheme="majorHAnsi"/>
        </w:rPr>
      </w:pPr>
      <w:r w:rsidRPr="00721826">
        <w:rPr>
          <w:rFonts w:asciiTheme="majorHAnsi" w:hAnsiTheme="majorHAnsi" w:cstheme="majorHAnsi"/>
        </w:rPr>
        <w:t xml:space="preserve">The presentations given during the trial period were </w:t>
      </w:r>
      <w:proofErr w:type="gramStart"/>
      <w:r w:rsidRPr="00721826">
        <w:rPr>
          <w:rFonts w:asciiTheme="majorHAnsi" w:hAnsiTheme="majorHAnsi" w:cstheme="majorHAnsi"/>
        </w:rPr>
        <w:t>small in number</w:t>
      </w:r>
      <w:proofErr w:type="gramEnd"/>
      <w:r w:rsidRPr="00721826">
        <w:rPr>
          <w:rFonts w:asciiTheme="majorHAnsi" w:hAnsiTheme="majorHAnsi" w:cstheme="majorHAnsi"/>
        </w:rPr>
        <w:t xml:space="preserve"> in keeping with the contractual obligations of the project.</w:t>
      </w:r>
    </w:p>
    <w:p w14:paraId="5E58747A" w14:textId="0889B19B" w:rsidR="00CF0B58" w:rsidRPr="00721826" w:rsidRDefault="00561FE0" w:rsidP="001D258D">
      <w:pPr>
        <w:pStyle w:val="Heading2"/>
      </w:pPr>
      <w:bookmarkStart w:id="282" w:name="_Toc138846304"/>
      <w:r w:rsidRPr="00721826">
        <w:t>Publications</w:t>
      </w:r>
      <w:bookmarkEnd w:id="282"/>
    </w:p>
    <w:sdt>
      <w:sdtPr>
        <w:rPr>
          <w:rFonts w:asciiTheme="majorHAnsi" w:hAnsiTheme="majorHAnsi" w:cstheme="majorHAnsi"/>
          <w:sz w:val="22"/>
          <w:szCs w:val="22"/>
        </w:rPr>
        <w:id w:val="-562023958"/>
        <w:placeholder>
          <w:docPart w:val="0D92039FB7C74F039642A8BBBFD0509D"/>
        </w:placeholder>
      </w:sdtPr>
      <w:sdtEndPr/>
      <w:sdtContent>
        <w:p w14:paraId="02794F4E" w14:textId="77777777" w:rsidR="00CF0B58" w:rsidRPr="00721826" w:rsidRDefault="00CF0B58" w:rsidP="00721826">
          <w:pPr>
            <w:pStyle w:val="BodyText"/>
            <w:spacing w:after="0" w:line="240" w:lineRule="auto"/>
            <w:rPr>
              <w:rFonts w:asciiTheme="majorHAnsi" w:hAnsiTheme="majorHAnsi" w:cstheme="majorHAnsi"/>
              <w:sz w:val="22"/>
              <w:szCs w:val="22"/>
            </w:rPr>
          </w:pPr>
          <w:proofErr w:type="spellStart"/>
          <w:r w:rsidRPr="00721826">
            <w:rPr>
              <w:rFonts w:asciiTheme="majorHAnsi" w:eastAsiaTheme="minorHAnsi" w:hAnsiTheme="majorHAnsi" w:cstheme="majorHAnsi"/>
              <w:sz w:val="22"/>
              <w:szCs w:val="22"/>
            </w:rPr>
            <w:t>Couzos</w:t>
          </w:r>
          <w:proofErr w:type="spellEnd"/>
          <w:r w:rsidRPr="00721826">
            <w:rPr>
              <w:rFonts w:asciiTheme="majorHAnsi" w:eastAsiaTheme="minorHAnsi" w:hAnsiTheme="majorHAnsi" w:cstheme="majorHAnsi"/>
              <w:sz w:val="22"/>
              <w:szCs w:val="22"/>
            </w:rPr>
            <w:t xml:space="preserve"> S, Smith D, Stephens M, Preston R, Hendrie D, Loller H, Tremlett M, Nugent A, Vaughan F, Crowther S, Boyle D, Bu</w:t>
          </w:r>
          <w:r w:rsidR="00561FE0" w:rsidRPr="00721826">
            <w:rPr>
              <w:rFonts w:asciiTheme="majorHAnsi" w:eastAsiaTheme="minorHAnsi" w:hAnsiTheme="majorHAnsi" w:cstheme="majorHAnsi"/>
              <w:sz w:val="22"/>
              <w:szCs w:val="22"/>
            </w:rPr>
            <w:t>e</w:t>
          </w:r>
          <w:r w:rsidRPr="00721826">
            <w:rPr>
              <w:rFonts w:asciiTheme="majorHAnsi" w:eastAsiaTheme="minorHAnsi" w:hAnsiTheme="majorHAnsi" w:cstheme="majorHAnsi"/>
              <w:sz w:val="22"/>
              <w:szCs w:val="22"/>
            </w:rPr>
            <w:t xml:space="preserve">ttner P, Biros E. Integrating pharmacists into Aboriginal </w:t>
          </w:r>
          <w:proofErr w:type="gramStart"/>
          <w:r w:rsidRPr="00721826">
            <w:rPr>
              <w:rFonts w:asciiTheme="majorHAnsi" w:eastAsiaTheme="minorHAnsi" w:hAnsiTheme="majorHAnsi" w:cstheme="majorHAnsi"/>
              <w:sz w:val="22"/>
              <w:szCs w:val="22"/>
            </w:rPr>
            <w:t>community controlled</w:t>
          </w:r>
          <w:proofErr w:type="gramEnd"/>
          <w:r w:rsidRPr="00721826">
            <w:rPr>
              <w:rFonts w:asciiTheme="majorHAnsi" w:eastAsiaTheme="minorHAnsi" w:hAnsiTheme="majorHAnsi" w:cstheme="majorHAnsi"/>
              <w:sz w:val="22"/>
              <w:szCs w:val="22"/>
            </w:rPr>
            <w:t xml:space="preserve"> health se</w:t>
          </w:r>
          <w:r w:rsidR="00561FE0" w:rsidRPr="00721826">
            <w:rPr>
              <w:rFonts w:asciiTheme="majorHAnsi" w:eastAsiaTheme="minorHAnsi" w:hAnsiTheme="majorHAnsi" w:cstheme="majorHAnsi"/>
              <w:sz w:val="22"/>
              <w:szCs w:val="22"/>
            </w:rPr>
            <w:t>r</w:t>
          </w:r>
          <w:r w:rsidRPr="00721826">
            <w:rPr>
              <w:rFonts w:asciiTheme="majorHAnsi" w:eastAsiaTheme="minorHAnsi" w:hAnsiTheme="majorHAnsi" w:cstheme="majorHAnsi"/>
              <w:sz w:val="22"/>
              <w:szCs w:val="22"/>
            </w:rPr>
            <w:t xml:space="preserve">vices (IPAC Project): Protocol for an interventional, non-randomised study to improve chronic disease outcomes.  Research into Social and Administrative Pharmacy, 2020. In Press. </w:t>
          </w:r>
          <w:hyperlink r:id="rId23" w:history="1">
            <w:r w:rsidRPr="00721826">
              <w:rPr>
                <w:rFonts w:asciiTheme="majorHAnsi" w:eastAsiaTheme="minorHAnsi" w:hAnsiTheme="majorHAnsi" w:cstheme="majorHAnsi"/>
                <w:sz w:val="22"/>
                <w:szCs w:val="22"/>
              </w:rPr>
              <w:t>https://doi.org/10.1016/j.sapharm.2019.12.022</w:t>
            </w:r>
          </w:hyperlink>
        </w:p>
      </w:sdtContent>
    </w:sdt>
    <w:p w14:paraId="4E4A027F" w14:textId="77777777" w:rsidR="00F557F0" w:rsidRPr="00C65225" w:rsidRDefault="00F557F0" w:rsidP="00C65225">
      <w:bookmarkStart w:id="283" w:name="_Toc35946619"/>
      <w:r w:rsidRPr="00C65225">
        <w:br w:type="page"/>
      </w:r>
    </w:p>
    <w:p w14:paraId="3974D55A" w14:textId="6150BC5E" w:rsidR="00346145" w:rsidRPr="00A729A4" w:rsidRDefault="00346145" w:rsidP="0048683E">
      <w:pPr>
        <w:pStyle w:val="Heading1"/>
      </w:pPr>
      <w:bookmarkStart w:id="284" w:name="_Toc138846305"/>
      <w:bookmarkStart w:id="285" w:name="_Toc40350127"/>
      <w:bookmarkStart w:id="286" w:name="_Toc40441110"/>
      <w:bookmarkStart w:id="287" w:name="_Toc41315658"/>
      <w:bookmarkEnd w:id="283"/>
      <w:r w:rsidRPr="00A729A4">
        <w:lastRenderedPageBreak/>
        <w:t>Appendices</w:t>
      </w:r>
      <w:bookmarkEnd w:id="284"/>
    </w:p>
    <w:p w14:paraId="5229A16E" w14:textId="4A0AC6DD" w:rsidR="00346145" w:rsidRPr="006862EE" w:rsidRDefault="00346145" w:rsidP="00CE78AA">
      <w:pPr>
        <w:pStyle w:val="Heading3"/>
        <w:tabs>
          <w:tab w:val="left" w:pos="1560"/>
        </w:tabs>
      </w:pPr>
      <w:bookmarkStart w:id="288" w:name="_Ref352745383"/>
      <w:bookmarkStart w:id="289" w:name="_Toc352254677"/>
      <w:bookmarkStart w:id="290" w:name="_Toc352672949"/>
      <w:bookmarkStart w:id="291" w:name="_Toc355274740"/>
      <w:bookmarkStart w:id="292" w:name="_Toc379118097"/>
      <w:bookmarkStart w:id="293" w:name="_Toc381796496"/>
      <w:bookmarkStart w:id="294" w:name="_Toc34230619"/>
      <w:bookmarkStart w:id="295" w:name="_Toc41995077"/>
      <w:bookmarkStart w:id="296" w:name="_Toc138846306"/>
      <w:bookmarkStart w:id="297" w:name="_Ref237760111"/>
      <w:r w:rsidRPr="006862EE">
        <w:t xml:space="preserve">Appendix </w:t>
      </w:r>
      <w:bookmarkEnd w:id="288"/>
      <w:bookmarkEnd w:id="289"/>
      <w:bookmarkEnd w:id="290"/>
      <w:r w:rsidRPr="006862EE">
        <w:t>1</w:t>
      </w:r>
      <w:r w:rsidRPr="006862EE">
        <w:tab/>
      </w:r>
      <w:bookmarkEnd w:id="291"/>
      <w:bookmarkEnd w:id="292"/>
      <w:bookmarkEnd w:id="293"/>
      <w:r>
        <w:t>P</w:t>
      </w:r>
      <w:r w:rsidRPr="006862EE">
        <w:t xml:space="preserve">ublished </w:t>
      </w:r>
      <w:r>
        <w:t>IPAC</w:t>
      </w:r>
      <w:r w:rsidRPr="006862EE">
        <w:t xml:space="preserve"> Protocol</w:t>
      </w:r>
      <w:bookmarkEnd w:id="294"/>
      <w:bookmarkEnd w:id="295"/>
      <w:bookmarkEnd w:id="296"/>
      <w:r>
        <w:t xml:space="preserve"> </w:t>
      </w:r>
    </w:p>
    <w:p w14:paraId="2222DA98" w14:textId="77777777" w:rsidR="00346145" w:rsidRPr="00183E4D" w:rsidRDefault="00346145" w:rsidP="00CE78AA">
      <w:pPr>
        <w:pStyle w:val="Heading3"/>
        <w:tabs>
          <w:tab w:val="left" w:pos="1560"/>
        </w:tabs>
      </w:pPr>
      <w:bookmarkStart w:id="298" w:name="_Toc379118100"/>
      <w:bookmarkStart w:id="299" w:name="_Toc381796499"/>
      <w:bookmarkStart w:id="300" w:name="_Toc34230620"/>
      <w:bookmarkStart w:id="301" w:name="_Toc41995078"/>
      <w:bookmarkStart w:id="302" w:name="_Toc138846307"/>
      <w:bookmarkEnd w:id="297"/>
      <w:r w:rsidRPr="00183E4D">
        <w:t xml:space="preserve">Appendix </w:t>
      </w:r>
      <w:r>
        <w:t>2</w:t>
      </w:r>
      <w:r w:rsidRPr="00183E4D">
        <w:tab/>
      </w:r>
      <w:bookmarkEnd w:id="298"/>
      <w:bookmarkEnd w:id="299"/>
      <w:r>
        <w:t>Full IPAC Protocol</w:t>
      </w:r>
      <w:bookmarkEnd w:id="300"/>
      <w:bookmarkEnd w:id="301"/>
      <w:bookmarkEnd w:id="302"/>
    </w:p>
    <w:p w14:paraId="2E28C6B2" w14:textId="77777777" w:rsidR="00346145" w:rsidRPr="00183E4D" w:rsidRDefault="00346145" w:rsidP="00CE78AA">
      <w:pPr>
        <w:pStyle w:val="Heading3"/>
        <w:tabs>
          <w:tab w:val="left" w:pos="1560"/>
        </w:tabs>
      </w:pPr>
      <w:bookmarkStart w:id="303" w:name="_Ref364237249"/>
      <w:bookmarkStart w:id="304" w:name="_Toc460813781"/>
      <w:bookmarkStart w:id="305" w:name="_Ref170792604"/>
      <w:bookmarkStart w:id="306" w:name="_Ref190841600"/>
      <w:bookmarkStart w:id="307" w:name="_Toc379118101"/>
      <w:bookmarkStart w:id="308" w:name="_Toc381796504"/>
      <w:bookmarkStart w:id="309" w:name="_Toc34230621"/>
      <w:bookmarkStart w:id="310" w:name="_Toc41995079"/>
      <w:bookmarkStart w:id="311" w:name="_Toc138846308"/>
      <w:r w:rsidRPr="00183E4D">
        <w:t xml:space="preserve">Appendix </w:t>
      </w:r>
      <w:bookmarkEnd w:id="303"/>
      <w:r>
        <w:t>3</w:t>
      </w:r>
      <w:r w:rsidRPr="00183E4D">
        <w:tab/>
      </w:r>
      <w:bookmarkEnd w:id="304"/>
      <w:bookmarkEnd w:id="305"/>
      <w:bookmarkEnd w:id="306"/>
      <w:bookmarkEnd w:id="307"/>
      <w:bookmarkEnd w:id="308"/>
      <w:r>
        <w:t>IPAC Trial Theory of Change</w:t>
      </w:r>
      <w:bookmarkEnd w:id="309"/>
      <w:bookmarkEnd w:id="310"/>
      <w:bookmarkEnd w:id="311"/>
      <w:r w:rsidRPr="00183E4D">
        <w:t xml:space="preserve"> </w:t>
      </w:r>
    </w:p>
    <w:p w14:paraId="6D5B6D75" w14:textId="77777777" w:rsidR="00346145" w:rsidRPr="00A869F4" w:rsidRDefault="00346145" w:rsidP="00CE78AA">
      <w:pPr>
        <w:pStyle w:val="Heading3"/>
        <w:tabs>
          <w:tab w:val="left" w:pos="1560"/>
        </w:tabs>
      </w:pPr>
      <w:bookmarkStart w:id="312" w:name="_Ref421611175"/>
      <w:bookmarkStart w:id="313" w:name="_Toc34230622"/>
      <w:bookmarkStart w:id="314" w:name="_Toc41995080"/>
      <w:bookmarkStart w:id="315" w:name="_Toc138846309"/>
      <w:bookmarkStart w:id="316" w:name="_Ref192056948"/>
      <w:bookmarkStart w:id="317" w:name="_Ref169423889"/>
      <w:r>
        <w:t xml:space="preserve">Appendix </w:t>
      </w:r>
      <w:bookmarkEnd w:id="312"/>
      <w:r>
        <w:t>4</w:t>
      </w:r>
      <w:r>
        <w:tab/>
        <w:t>IPAC Trial Logic Model</w:t>
      </w:r>
      <w:bookmarkEnd w:id="313"/>
      <w:bookmarkEnd w:id="314"/>
      <w:bookmarkEnd w:id="315"/>
    </w:p>
    <w:p w14:paraId="678316B1" w14:textId="77777777" w:rsidR="00346145" w:rsidRPr="00183E4D" w:rsidRDefault="00346145" w:rsidP="00CE78AA">
      <w:pPr>
        <w:pStyle w:val="Heading3"/>
        <w:tabs>
          <w:tab w:val="left" w:pos="1560"/>
        </w:tabs>
      </w:pPr>
      <w:bookmarkStart w:id="318" w:name="_Ref364237293"/>
      <w:bookmarkStart w:id="319" w:name="_Ref363131580"/>
      <w:bookmarkStart w:id="320" w:name="_Toc379118102"/>
      <w:bookmarkStart w:id="321" w:name="_Toc381796506"/>
      <w:bookmarkStart w:id="322" w:name="_Toc34230623"/>
      <w:bookmarkStart w:id="323" w:name="_Toc41995081"/>
      <w:bookmarkStart w:id="324" w:name="_Toc138846310"/>
      <w:r w:rsidRPr="00183E4D">
        <w:t xml:space="preserve">Appendix </w:t>
      </w:r>
      <w:bookmarkEnd w:id="318"/>
      <w:r>
        <w:t>5</w:t>
      </w:r>
      <w:r w:rsidRPr="00183E4D">
        <w:tab/>
      </w:r>
      <w:bookmarkEnd w:id="316"/>
      <w:bookmarkEnd w:id="319"/>
      <w:bookmarkEnd w:id="320"/>
      <w:bookmarkEnd w:id="321"/>
      <w:r>
        <w:t>Clinical Algorithm 1 - Proposed Service</w:t>
      </w:r>
      <w:bookmarkEnd w:id="322"/>
      <w:bookmarkEnd w:id="323"/>
      <w:bookmarkEnd w:id="324"/>
    </w:p>
    <w:p w14:paraId="2B0A6170" w14:textId="77777777" w:rsidR="00346145" w:rsidRPr="00183E4D" w:rsidRDefault="00346145" w:rsidP="00CE78AA">
      <w:pPr>
        <w:pStyle w:val="Heading3"/>
        <w:tabs>
          <w:tab w:val="left" w:pos="1560"/>
        </w:tabs>
      </w:pPr>
      <w:bookmarkStart w:id="325" w:name="_Toc34230624"/>
      <w:bookmarkStart w:id="326" w:name="_Toc41995082"/>
      <w:bookmarkStart w:id="327" w:name="_Toc138846311"/>
      <w:bookmarkEnd w:id="317"/>
      <w:r w:rsidRPr="00183E4D">
        <w:t xml:space="preserve">Appendix </w:t>
      </w:r>
      <w:r>
        <w:t>6</w:t>
      </w:r>
      <w:r w:rsidRPr="00183E4D">
        <w:tab/>
      </w:r>
      <w:r>
        <w:t xml:space="preserve">Clinical Algorithm 2 - </w:t>
      </w:r>
      <w:bookmarkEnd w:id="325"/>
      <w:r>
        <w:t>Usual Care Service</w:t>
      </w:r>
      <w:bookmarkEnd w:id="326"/>
      <w:bookmarkEnd w:id="327"/>
    </w:p>
    <w:p w14:paraId="4848D70F" w14:textId="77777777" w:rsidR="00346145" w:rsidRPr="00183E4D" w:rsidRDefault="00346145" w:rsidP="00CE78AA">
      <w:pPr>
        <w:pStyle w:val="Heading3"/>
        <w:tabs>
          <w:tab w:val="left" w:pos="1560"/>
        </w:tabs>
      </w:pPr>
      <w:bookmarkStart w:id="328" w:name="_Toc34230625"/>
      <w:bookmarkStart w:id="329" w:name="_Toc41995083"/>
      <w:bookmarkStart w:id="330" w:name="_Toc138846312"/>
      <w:r w:rsidRPr="00183E4D">
        <w:t xml:space="preserve">Appendix </w:t>
      </w:r>
      <w:r>
        <w:t>7</w:t>
      </w:r>
      <w:r w:rsidRPr="00183E4D">
        <w:tab/>
      </w:r>
      <w:r>
        <w:t>Literature Review- Cost Effectiveness Analysis</w:t>
      </w:r>
      <w:bookmarkEnd w:id="328"/>
      <w:bookmarkEnd w:id="329"/>
      <w:bookmarkEnd w:id="330"/>
      <w:r>
        <w:t xml:space="preserve"> </w:t>
      </w:r>
    </w:p>
    <w:p w14:paraId="2D6F3E55" w14:textId="77777777" w:rsidR="00346145" w:rsidRPr="00183E4D" w:rsidRDefault="00346145" w:rsidP="00CE78AA">
      <w:pPr>
        <w:pStyle w:val="Heading3"/>
        <w:tabs>
          <w:tab w:val="left" w:pos="1560"/>
        </w:tabs>
      </w:pPr>
      <w:bookmarkStart w:id="331" w:name="_Toc34230626"/>
      <w:bookmarkStart w:id="332" w:name="_Toc41995084"/>
      <w:bookmarkStart w:id="333" w:name="_Toc138846313"/>
      <w:r w:rsidRPr="00183E4D">
        <w:t xml:space="preserve">Appendix </w:t>
      </w:r>
      <w:r>
        <w:t>8</w:t>
      </w:r>
      <w:r w:rsidRPr="00183E4D">
        <w:tab/>
      </w:r>
      <w:r>
        <w:t>Umbrella Review- Integrated Pharmacists (Primary Health Care)</w:t>
      </w:r>
      <w:bookmarkEnd w:id="331"/>
      <w:bookmarkEnd w:id="332"/>
      <w:bookmarkEnd w:id="333"/>
    </w:p>
    <w:p w14:paraId="1FB6FB3A" w14:textId="77777777" w:rsidR="00346145" w:rsidRPr="009D5845" w:rsidRDefault="00346145" w:rsidP="00CE78AA">
      <w:pPr>
        <w:pStyle w:val="Heading3"/>
        <w:tabs>
          <w:tab w:val="left" w:pos="1560"/>
        </w:tabs>
        <w:rPr>
          <w:lang w:bidi="en-AU"/>
        </w:rPr>
      </w:pPr>
      <w:bookmarkStart w:id="334" w:name="_Toc41995085"/>
      <w:bookmarkStart w:id="335" w:name="_Toc138846314"/>
      <w:bookmarkStart w:id="336" w:name="_Toc34230627"/>
      <w:r w:rsidRPr="009D5845">
        <w:rPr>
          <w:lang w:bidi="en-AU"/>
        </w:rPr>
        <w:t xml:space="preserve">Appendix 9 </w:t>
      </w:r>
      <w:r>
        <w:rPr>
          <w:lang w:bidi="en-AU"/>
        </w:rPr>
        <w:tab/>
      </w:r>
      <w:r w:rsidRPr="009D5845">
        <w:rPr>
          <w:lang w:bidi="en-AU"/>
        </w:rPr>
        <w:t>Assessment of clinical endpoints report</w:t>
      </w:r>
      <w:bookmarkEnd w:id="334"/>
      <w:bookmarkEnd w:id="335"/>
    </w:p>
    <w:p w14:paraId="49D0AA53" w14:textId="77777777" w:rsidR="00346145" w:rsidRPr="00183E4D" w:rsidRDefault="00346145" w:rsidP="00CE78AA">
      <w:pPr>
        <w:pStyle w:val="Heading3"/>
        <w:tabs>
          <w:tab w:val="left" w:pos="1560"/>
        </w:tabs>
      </w:pPr>
      <w:bookmarkStart w:id="337" w:name="_Toc41995086"/>
      <w:bookmarkStart w:id="338" w:name="_Toc138846315"/>
      <w:r w:rsidRPr="00183E4D">
        <w:t xml:space="preserve">Appendix </w:t>
      </w:r>
      <w:r>
        <w:t>10</w:t>
      </w:r>
      <w:r w:rsidRPr="00183E4D">
        <w:tab/>
      </w:r>
      <w:r>
        <w:t xml:space="preserve">Assessment of Medication Appropriateness Index </w:t>
      </w:r>
      <w:bookmarkEnd w:id="336"/>
      <w:r>
        <w:t>Report</w:t>
      </w:r>
      <w:bookmarkEnd w:id="337"/>
      <w:bookmarkEnd w:id="338"/>
    </w:p>
    <w:p w14:paraId="65230C37" w14:textId="77777777" w:rsidR="00346145" w:rsidRPr="00183E4D" w:rsidRDefault="00346145" w:rsidP="00CE78AA">
      <w:pPr>
        <w:pStyle w:val="Heading3"/>
        <w:tabs>
          <w:tab w:val="left" w:pos="1560"/>
        </w:tabs>
      </w:pPr>
      <w:bookmarkStart w:id="339" w:name="_Toc34230628"/>
      <w:bookmarkStart w:id="340" w:name="_Toc41995087"/>
      <w:bookmarkStart w:id="341" w:name="_Toc138846316"/>
      <w:r w:rsidRPr="00183E4D">
        <w:t xml:space="preserve">Appendix </w:t>
      </w:r>
      <w:r>
        <w:t>11</w:t>
      </w:r>
      <w:r w:rsidRPr="00183E4D">
        <w:tab/>
      </w:r>
      <w:r>
        <w:t>Assessment of Medication Underutilisation</w:t>
      </w:r>
      <w:bookmarkEnd w:id="339"/>
      <w:r>
        <w:t xml:space="preserve"> Report</w:t>
      </w:r>
      <w:bookmarkEnd w:id="340"/>
      <w:bookmarkEnd w:id="341"/>
    </w:p>
    <w:p w14:paraId="0C988090" w14:textId="77777777" w:rsidR="00346145" w:rsidRDefault="00346145" w:rsidP="00CE78AA">
      <w:pPr>
        <w:pStyle w:val="Heading3"/>
        <w:tabs>
          <w:tab w:val="left" w:pos="1560"/>
        </w:tabs>
      </w:pPr>
      <w:bookmarkStart w:id="342" w:name="_Toc34230629"/>
      <w:bookmarkStart w:id="343" w:name="_Toc41995088"/>
      <w:bookmarkStart w:id="344" w:name="_Toc138846317"/>
      <w:r w:rsidRPr="00183E4D">
        <w:t xml:space="preserve">Appendix </w:t>
      </w:r>
      <w:r>
        <w:t>12</w:t>
      </w:r>
      <w:r w:rsidRPr="00183E4D">
        <w:tab/>
      </w:r>
      <w:r>
        <w:t>Assessment of Home Medicines Review and Non-Home Medicines Reviews</w:t>
      </w:r>
      <w:bookmarkEnd w:id="342"/>
      <w:bookmarkEnd w:id="343"/>
      <w:bookmarkEnd w:id="344"/>
    </w:p>
    <w:p w14:paraId="5188BAFA" w14:textId="77777777" w:rsidR="00346145" w:rsidRPr="009D5845" w:rsidRDefault="00346145" w:rsidP="00CE78AA">
      <w:pPr>
        <w:pStyle w:val="Heading3"/>
        <w:tabs>
          <w:tab w:val="left" w:pos="1560"/>
        </w:tabs>
        <w:rPr>
          <w:lang w:bidi="en-AU"/>
        </w:rPr>
      </w:pPr>
      <w:bookmarkStart w:id="345" w:name="_Toc41995089"/>
      <w:bookmarkStart w:id="346" w:name="_Toc138846318"/>
      <w:r w:rsidRPr="009D5845">
        <w:rPr>
          <w:lang w:bidi="en-AU"/>
        </w:rPr>
        <w:t>Appendix 13</w:t>
      </w:r>
      <w:r>
        <w:rPr>
          <w:lang w:bidi="en-AU"/>
        </w:rPr>
        <w:tab/>
      </w:r>
      <w:r w:rsidRPr="009D5845">
        <w:rPr>
          <w:lang w:bidi="en-AU"/>
        </w:rPr>
        <w:t>Assessment of Medication Adherence and Self-Reported Health Status Report</w:t>
      </w:r>
      <w:bookmarkEnd w:id="345"/>
      <w:bookmarkEnd w:id="346"/>
    </w:p>
    <w:p w14:paraId="0579D82C" w14:textId="77777777" w:rsidR="00346145" w:rsidRDefault="00346145" w:rsidP="00CE78AA">
      <w:pPr>
        <w:pStyle w:val="Heading3"/>
        <w:tabs>
          <w:tab w:val="left" w:pos="1560"/>
        </w:tabs>
      </w:pPr>
      <w:bookmarkStart w:id="347" w:name="_Toc41995090"/>
      <w:bookmarkStart w:id="348" w:name="_Toc138846319"/>
      <w:bookmarkStart w:id="349" w:name="_Toc34230630"/>
      <w:r w:rsidRPr="00183E4D">
        <w:t xml:space="preserve">Appendix </w:t>
      </w:r>
      <w:r>
        <w:t>14a</w:t>
      </w:r>
      <w:r w:rsidRPr="00183E4D">
        <w:tab/>
      </w:r>
      <w:r>
        <w:t>Qualitative Evaluation Report</w:t>
      </w:r>
      <w:bookmarkEnd w:id="347"/>
      <w:bookmarkEnd w:id="348"/>
      <w:r>
        <w:t xml:space="preserve"> </w:t>
      </w:r>
      <w:bookmarkEnd w:id="349"/>
    </w:p>
    <w:p w14:paraId="2E66D12C" w14:textId="77777777" w:rsidR="00346145" w:rsidRPr="00CA778E" w:rsidRDefault="00346145" w:rsidP="00CE78AA">
      <w:pPr>
        <w:pStyle w:val="Heading3"/>
        <w:tabs>
          <w:tab w:val="left" w:pos="1560"/>
        </w:tabs>
      </w:pPr>
      <w:bookmarkStart w:id="350" w:name="_Toc41995091"/>
      <w:bookmarkStart w:id="351" w:name="_Toc138846320"/>
      <w:r w:rsidRPr="00CA778E">
        <w:t>Appendix 1</w:t>
      </w:r>
      <w:r>
        <w:t>4b</w:t>
      </w:r>
      <w:r>
        <w:tab/>
      </w:r>
      <w:r w:rsidRPr="00CA778E">
        <w:t xml:space="preserve">Qualitative </w:t>
      </w:r>
      <w:r>
        <w:t xml:space="preserve">Evaluation </w:t>
      </w:r>
      <w:r w:rsidRPr="00CA778E">
        <w:t>Report</w:t>
      </w:r>
      <w:r>
        <w:t xml:space="preserve"> Appendices</w:t>
      </w:r>
      <w:bookmarkEnd w:id="350"/>
      <w:bookmarkEnd w:id="351"/>
    </w:p>
    <w:p w14:paraId="39735FE0" w14:textId="77777777" w:rsidR="00346145" w:rsidRPr="00183E4D" w:rsidRDefault="00346145" w:rsidP="00CE78AA">
      <w:pPr>
        <w:pStyle w:val="Heading3"/>
        <w:tabs>
          <w:tab w:val="left" w:pos="1560"/>
        </w:tabs>
      </w:pPr>
      <w:bookmarkStart w:id="352" w:name="_Toc34230631"/>
      <w:bookmarkStart w:id="353" w:name="_Toc41995092"/>
      <w:bookmarkStart w:id="354" w:name="_Toc138846321"/>
      <w:r w:rsidRPr="00183E4D">
        <w:t xml:space="preserve">Appendix </w:t>
      </w:r>
      <w:r>
        <w:t>15</w:t>
      </w:r>
      <w:r w:rsidRPr="00183E4D">
        <w:tab/>
      </w:r>
      <w:r>
        <w:t>Net Cost to the PBS of Medication Changes from the IPAC Trial</w:t>
      </w:r>
      <w:bookmarkEnd w:id="352"/>
      <w:bookmarkEnd w:id="353"/>
      <w:bookmarkEnd w:id="354"/>
      <w:r>
        <w:t xml:space="preserve"> </w:t>
      </w:r>
    </w:p>
    <w:p w14:paraId="1A31D484" w14:textId="77777777" w:rsidR="00346145" w:rsidRPr="009D5845" w:rsidRDefault="00346145" w:rsidP="00CE78AA">
      <w:pPr>
        <w:pStyle w:val="Heading3"/>
        <w:tabs>
          <w:tab w:val="left" w:pos="1560"/>
        </w:tabs>
        <w:rPr>
          <w:lang w:bidi="en-AU"/>
        </w:rPr>
      </w:pPr>
      <w:bookmarkStart w:id="355" w:name="_Toc41995093"/>
      <w:bookmarkStart w:id="356" w:name="_Toc138846322"/>
      <w:r>
        <w:rPr>
          <w:lang w:bidi="en-AU"/>
        </w:rPr>
        <w:t>Appendix 16</w:t>
      </w:r>
      <w:r>
        <w:rPr>
          <w:lang w:bidi="en-AU"/>
        </w:rPr>
        <w:tab/>
      </w:r>
      <w:r w:rsidRPr="009D5845">
        <w:rPr>
          <w:lang w:bidi="en-AU"/>
        </w:rPr>
        <w:t>Support for practice-based activities report</w:t>
      </w:r>
      <w:bookmarkEnd w:id="355"/>
      <w:bookmarkEnd w:id="356"/>
    </w:p>
    <w:p w14:paraId="04B29204" w14:textId="77777777" w:rsidR="00346145" w:rsidRPr="009D5845" w:rsidRDefault="00346145" w:rsidP="00CE78AA">
      <w:pPr>
        <w:pStyle w:val="Heading3"/>
        <w:tabs>
          <w:tab w:val="left" w:pos="1560"/>
        </w:tabs>
        <w:rPr>
          <w:rFonts w:eastAsia="Arial"/>
          <w:lang w:bidi="en-AU"/>
        </w:rPr>
      </w:pPr>
      <w:bookmarkStart w:id="357" w:name="_Toc41995094"/>
      <w:bookmarkStart w:id="358" w:name="_Toc138846323"/>
      <w:r w:rsidRPr="009D5845">
        <w:rPr>
          <w:rFonts w:eastAsia="Arial"/>
          <w:lang w:bidi="en-AU"/>
        </w:rPr>
        <w:t>Appendix 17</w:t>
      </w:r>
      <w:r>
        <w:rPr>
          <w:rFonts w:eastAsia="Arial"/>
          <w:lang w:bidi="en-AU"/>
        </w:rPr>
        <w:tab/>
      </w:r>
      <w:r w:rsidRPr="009D5845">
        <w:rPr>
          <w:rFonts w:eastAsia="Arial"/>
          <w:lang w:bidi="en-AU"/>
        </w:rPr>
        <w:t xml:space="preserve">Methodology </w:t>
      </w:r>
      <w:r w:rsidRPr="009D5845">
        <w:t>for a model for extending a program</w:t>
      </w:r>
      <w:bookmarkEnd w:id="357"/>
      <w:bookmarkEnd w:id="358"/>
      <w:r w:rsidRPr="009D5845">
        <w:t xml:space="preserve"> </w:t>
      </w:r>
    </w:p>
    <w:p w14:paraId="5198508F" w14:textId="77777777" w:rsidR="00346145" w:rsidRPr="009D5845" w:rsidRDefault="00346145" w:rsidP="00CE78AA">
      <w:pPr>
        <w:pStyle w:val="Heading3"/>
        <w:tabs>
          <w:tab w:val="left" w:pos="1560"/>
        </w:tabs>
        <w:rPr>
          <w:lang w:bidi="en-AU"/>
        </w:rPr>
      </w:pPr>
      <w:bookmarkStart w:id="359" w:name="_Toc41995095"/>
      <w:bookmarkStart w:id="360" w:name="_Toc138846324"/>
      <w:r w:rsidRPr="009D5845">
        <w:rPr>
          <w:lang w:bidi="en-AU"/>
        </w:rPr>
        <w:t>Appendix 18</w:t>
      </w:r>
      <w:r>
        <w:rPr>
          <w:lang w:bidi="en-AU"/>
        </w:rPr>
        <w:tab/>
      </w:r>
      <w:r w:rsidRPr="009D5845">
        <w:rPr>
          <w:lang w:bidi="en-AU"/>
        </w:rPr>
        <w:t>Feedback received by PSA coordinators (PSA)</w:t>
      </w:r>
      <w:bookmarkEnd w:id="359"/>
      <w:bookmarkEnd w:id="360"/>
      <w:r w:rsidRPr="009D5845">
        <w:rPr>
          <w:lang w:bidi="en-AU"/>
        </w:rPr>
        <w:t xml:space="preserve"> </w:t>
      </w:r>
    </w:p>
    <w:p w14:paraId="5B576520" w14:textId="77777777" w:rsidR="00346145" w:rsidRPr="009D5845" w:rsidRDefault="00346145" w:rsidP="00CE78AA">
      <w:pPr>
        <w:pStyle w:val="Heading3"/>
        <w:tabs>
          <w:tab w:val="left" w:pos="1560"/>
        </w:tabs>
        <w:rPr>
          <w:lang w:bidi="en-AU"/>
        </w:rPr>
      </w:pPr>
      <w:bookmarkStart w:id="361" w:name="_Toc41995096"/>
      <w:bookmarkStart w:id="362" w:name="_Toc138846325"/>
      <w:r w:rsidRPr="009D5845">
        <w:rPr>
          <w:lang w:bidi="en-AU"/>
        </w:rPr>
        <w:t>Appendix 19</w:t>
      </w:r>
      <w:r>
        <w:rPr>
          <w:lang w:bidi="en-AU"/>
        </w:rPr>
        <w:tab/>
      </w:r>
      <w:r w:rsidRPr="009D5845">
        <w:rPr>
          <w:lang w:bidi="en-AU"/>
        </w:rPr>
        <w:t>Pharmacist recruitment report (PSA)</w:t>
      </w:r>
      <w:bookmarkEnd w:id="361"/>
      <w:bookmarkEnd w:id="362"/>
    </w:p>
    <w:p w14:paraId="42CF5B09" w14:textId="77777777" w:rsidR="00346145" w:rsidRDefault="00346145" w:rsidP="00CE78AA">
      <w:pPr>
        <w:pStyle w:val="Heading3"/>
        <w:tabs>
          <w:tab w:val="left" w:pos="1560"/>
        </w:tabs>
        <w:rPr>
          <w:lang w:bidi="en-AU"/>
        </w:rPr>
      </w:pPr>
      <w:bookmarkStart w:id="363" w:name="_Toc41995097"/>
      <w:bookmarkStart w:id="364" w:name="_Toc138846326"/>
      <w:r w:rsidRPr="009D5845">
        <w:rPr>
          <w:lang w:bidi="en-AU"/>
        </w:rPr>
        <w:t>Appendix 20</w:t>
      </w:r>
      <w:r>
        <w:rPr>
          <w:lang w:bidi="en-AU"/>
        </w:rPr>
        <w:t>a</w:t>
      </w:r>
      <w:r>
        <w:rPr>
          <w:lang w:bidi="en-AU"/>
        </w:rPr>
        <w:tab/>
      </w:r>
      <w:r w:rsidRPr="009D5845">
        <w:rPr>
          <w:lang w:bidi="en-AU"/>
        </w:rPr>
        <w:t>Pharmacist induction training (PSA)</w:t>
      </w:r>
      <w:bookmarkEnd w:id="363"/>
      <w:bookmarkEnd w:id="364"/>
    </w:p>
    <w:p w14:paraId="27E43D04" w14:textId="77777777" w:rsidR="00346145" w:rsidRPr="009D5845" w:rsidRDefault="00346145" w:rsidP="00CE78AA">
      <w:pPr>
        <w:pStyle w:val="Heading3"/>
        <w:tabs>
          <w:tab w:val="left" w:pos="1560"/>
        </w:tabs>
        <w:rPr>
          <w:lang w:bidi="en-AU"/>
        </w:rPr>
      </w:pPr>
      <w:bookmarkStart w:id="365" w:name="_Toc41995098"/>
      <w:bookmarkStart w:id="366" w:name="_Toc138846327"/>
      <w:r w:rsidRPr="009D5845">
        <w:rPr>
          <w:lang w:bidi="en-AU"/>
        </w:rPr>
        <w:t>Appendix 20</w:t>
      </w:r>
      <w:r>
        <w:rPr>
          <w:lang w:bidi="en-AU"/>
        </w:rPr>
        <w:t>b</w:t>
      </w:r>
      <w:r>
        <w:rPr>
          <w:lang w:bidi="en-AU"/>
        </w:rPr>
        <w:tab/>
      </w:r>
      <w:r w:rsidRPr="009D5845">
        <w:rPr>
          <w:lang w:bidi="en-AU"/>
        </w:rPr>
        <w:t>Pharmacist induction training (PSA)</w:t>
      </w:r>
      <w:r>
        <w:rPr>
          <w:lang w:bidi="en-AU"/>
        </w:rPr>
        <w:t xml:space="preserve"> Appendices</w:t>
      </w:r>
      <w:bookmarkEnd w:id="365"/>
      <w:bookmarkEnd w:id="366"/>
    </w:p>
    <w:p w14:paraId="7A0586A2" w14:textId="77777777" w:rsidR="00346145" w:rsidRPr="009D5845" w:rsidRDefault="00346145" w:rsidP="00CE78AA">
      <w:pPr>
        <w:pStyle w:val="Heading3"/>
        <w:tabs>
          <w:tab w:val="left" w:pos="1560"/>
        </w:tabs>
        <w:rPr>
          <w:lang w:bidi="en-AU"/>
        </w:rPr>
      </w:pPr>
      <w:bookmarkStart w:id="367" w:name="_Toc41995099"/>
      <w:bookmarkStart w:id="368" w:name="_Toc138846328"/>
      <w:r w:rsidRPr="009D5845">
        <w:rPr>
          <w:lang w:bidi="en-AU"/>
        </w:rPr>
        <w:t>Appendix 21</w:t>
      </w:r>
      <w:r>
        <w:rPr>
          <w:lang w:bidi="en-AU"/>
        </w:rPr>
        <w:tab/>
      </w:r>
      <w:r w:rsidRPr="009D5845">
        <w:rPr>
          <w:lang w:bidi="en-AU"/>
        </w:rPr>
        <w:t xml:space="preserve">Support for </w:t>
      </w:r>
      <w:proofErr w:type="gramStart"/>
      <w:r w:rsidRPr="009D5845">
        <w:rPr>
          <w:lang w:bidi="en-AU"/>
        </w:rPr>
        <w:t>pharmacists</w:t>
      </w:r>
      <w:proofErr w:type="gramEnd"/>
      <w:r w:rsidRPr="009D5845">
        <w:rPr>
          <w:lang w:bidi="en-AU"/>
        </w:rPr>
        <w:t xml:space="preserve"> report (PSA)</w:t>
      </w:r>
      <w:bookmarkEnd w:id="367"/>
      <w:bookmarkEnd w:id="368"/>
    </w:p>
    <w:p w14:paraId="410B004B" w14:textId="77777777" w:rsidR="00346145" w:rsidRPr="009D5845" w:rsidRDefault="00346145" w:rsidP="00CE78AA">
      <w:pPr>
        <w:pStyle w:val="Heading3"/>
        <w:tabs>
          <w:tab w:val="left" w:pos="1560"/>
        </w:tabs>
      </w:pPr>
      <w:bookmarkStart w:id="369" w:name="_Toc41995100"/>
      <w:bookmarkStart w:id="370" w:name="_Toc138846329"/>
      <w:r w:rsidRPr="009D5845">
        <w:lastRenderedPageBreak/>
        <w:t>Appendix 22</w:t>
      </w:r>
      <w:r>
        <w:tab/>
      </w:r>
      <w:r w:rsidRPr="009D5845">
        <w:t>ACCHS Support (NACCHO)</w:t>
      </w:r>
      <w:bookmarkEnd w:id="369"/>
      <w:bookmarkEnd w:id="370"/>
    </w:p>
    <w:p w14:paraId="5E17186F" w14:textId="77777777" w:rsidR="00346145" w:rsidRPr="009D5845" w:rsidRDefault="00346145" w:rsidP="00CE78AA">
      <w:pPr>
        <w:pStyle w:val="Heading3"/>
        <w:tabs>
          <w:tab w:val="left" w:pos="1560"/>
        </w:tabs>
      </w:pPr>
      <w:bookmarkStart w:id="371" w:name="_Toc41995101"/>
      <w:bookmarkStart w:id="372" w:name="_Toc138846330"/>
      <w:r w:rsidRPr="009D5845">
        <w:t>Appendix 23</w:t>
      </w:r>
      <w:r>
        <w:tab/>
      </w:r>
      <w:r w:rsidRPr="009D5845">
        <w:t>List of People Involved in the Assessment Report</w:t>
      </w:r>
      <w:bookmarkEnd w:id="371"/>
      <w:bookmarkEnd w:id="372"/>
    </w:p>
    <w:p w14:paraId="37113656" w14:textId="2E651EDA" w:rsidR="00346145" w:rsidRDefault="00346145" w:rsidP="00CE78AA">
      <w:pPr>
        <w:pStyle w:val="Heading3"/>
        <w:tabs>
          <w:tab w:val="left" w:pos="1560"/>
        </w:tabs>
      </w:pPr>
      <w:bookmarkStart w:id="373" w:name="_Toc138846331"/>
      <w:bookmarkStart w:id="374" w:name="_Toc41995102"/>
      <w:r>
        <w:t>Appendix 24</w:t>
      </w:r>
      <w:r>
        <w:tab/>
        <w:t>Information Brief</w:t>
      </w:r>
      <w:r w:rsidR="001135FE">
        <w:t>s</w:t>
      </w:r>
      <w:r>
        <w:t xml:space="preserve"> and Consent Form</w:t>
      </w:r>
      <w:r w:rsidR="001135FE">
        <w:t>s</w:t>
      </w:r>
      <w:bookmarkEnd w:id="373"/>
    </w:p>
    <w:p w14:paraId="2A5E5D2E" w14:textId="77777777" w:rsidR="00346145" w:rsidRPr="009D5845" w:rsidRDefault="00346145" w:rsidP="00CE78AA">
      <w:pPr>
        <w:pStyle w:val="Heading3"/>
        <w:tabs>
          <w:tab w:val="left" w:pos="1560"/>
        </w:tabs>
      </w:pPr>
      <w:bookmarkStart w:id="375" w:name="_Toc138846332"/>
      <w:r>
        <w:t>Appendix 25</w:t>
      </w:r>
      <w:r>
        <w:tab/>
      </w:r>
      <w:r w:rsidRPr="009D5845">
        <w:t xml:space="preserve">Economic </w:t>
      </w:r>
      <w:bookmarkEnd w:id="374"/>
      <w:r>
        <w:t>Analysis (Stand-alone) Report</w:t>
      </w:r>
      <w:bookmarkEnd w:id="375"/>
    </w:p>
    <w:bookmarkEnd w:id="285"/>
    <w:bookmarkEnd w:id="286"/>
    <w:bookmarkEnd w:id="287"/>
    <w:sectPr w:rsidR="00346145" w:rsidRPr="009D5845" w:rsidSect="0007601A">
      <w:headerReference w:type="even" r:id="rId24"/>
      <w:headerReference w:type="default" r:id="rId25"/>
      <w:footerReference w:type="default" r:id="rId26"/>
      <w:headerReference w:type="first" r:id="rId27"/>
      <w:footerReference w:type="first" r:id="rId28"/>
      <w:endnotePr>
        <w:numFmt w:val="decimal"/>
      </w:end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DF49" w14:textId="77777777" w:rsidR="00994601" w:rsidRDefault="00994601" w:rsidP="00F7746E">
      <w:r>
        <w:separator/>
      </w:r>
    </w:p>
  </w:endnote>
  <w:endnote w:type="continuationSeparator" w:id="0">
    <w:p w14:paraId="2AF5DD17" w14:textId="77777777" w:rsidR="00994601" w:rsidRDefault="00994601" w:rsidP="00F7746E">
      <w:r>
        <w:continuationSeparator/>
      </w:r>
    </w:p>
  </w:endnote>
  <w:endnote w:type="continuationNotice" w:id="1">
    <w:p w14:paraId="7DB7CE1E" w14:textId="77777777" w:rsidR="00994601" w:rsidRDefault="00994601">
      <w:pPr>
        <w:spacing w:line="240" w:lineRule="auto"/>
      </w:pPr>
    </w:p>
  </w:endnote>
  <w:endnote w:id="2">
    <w:p w14:paraId="28840284"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Australian Health Ministers’ Advisory Council. Aboriginal and Torres Strait Islander Health Performance Framework 2017 Report, AHMAC, Canberra, 2017.</w:t>
      </w:r>
    </w:p>
  </w:endnote>
  <w:endnote w:id="3">
    <w:p w14:paraId="6B615D10"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bCs/>
          <w:sz w:val="20"/>
          <w:szCs w:val="20"/>
        </w:rPr>
        <w:t xml:space="preserve">Page A, Hyde Z, Smith K, et al. Potentially suboptimal prescribing of medicines for older Aboriginal Australians in remote areas. Med J Aust. 2019 211(3):119-125. doi: 10.5694/mja2.50226. </w:t>
      </w:r>
      <w:r w:rsidRPr="008B7C4A">
        <w:rPr>
          <w:rFonts w:asciiTheme="majorHAnsi" w:hAnsiTheme="majorHAnsi" w:cstheme="majorHAnsi"/>
          <w:sz w:val="20"/>
          <w:szCs w:val="20"/>
        </w:rPr>
        <w:t xml:space="preserve"> </w:t>
      </w:r>
    </w:p>
  </w:endnote>
  <w:endnote w:id="4">
    <w:p w14:paraId="113C2A39"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Heeley, E. L., Peiris, D. P., Patel, A. A., Cass, A. , Weekes, A. , Morgan, C. , Anderson, C. S. and Chalmers, J. P. (2010), Cardiovascular risk perception and evidence–practice gaps in Australian general practice (the AusHEART study). Medical Journal of Australia, 192: 254-259. doi:</w:t>
      </w:r>
      <w:hyperlink r:id="rId1" w:history="1">
        <w:r w:rsidRPr="008B7C4A">
          <w:rPr>
            <w:rStyle w:val="Hyperlink"/>
            <w:rFonts w:asciiTheme="majorHAnsi" w:hAnsiTheme="majorHAnsi" w:cstheme="majorHAnsi"/>
            <w:szCs w:val="20"/>
            <w:shd w:val="clear" w:color="auto" w:fill="FFFFFF"/>
          </w:rPr>
          <w:t>10.5694/j.1326-5377.2010.tb03502.x</w:t>
        </w:r>
      </w:hyperlink>
    </w:p>
  </w:endnote>
  <w:endnote w:id="5">
    <w:p w14:paraId="4C2C867A"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Australian Health Ministers’ Advisory Council. Op. Cit. </w:t>
      </w:r>
    </w:p>
  </w:endnote>
  <w:endnote w:id="6">
    <w:p w14:paraId="632FD1E2"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Swain L, Barclay L. Medication reviews are useful, but the model needs to be changed: Perspectives of Aboriginal Health Service health professionals on Home Medicines Reviews. BMC Health Serv Res. 2015;15:366-.</w:t>
      </w:r>
    </w:p>
  </w:endnote>
  <w:endnote w:id="7">
    <w:p w14:paraId="3C93A398"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Thompson SC, Haynes E, Woods JA, et al. Improving cardiovascular outcomes among Aboriginal Australians: Lessons from research for primary care. SAGE Open Med. 2016;4:2050312116681224. Published 2016 Nov 29. doi:10.1177/2050312116681224</w:t>
      </w:r>
    </w:p>
  </w:endnote>
  <w:endnote w:id="8">
    <w:p w14:paraId="06F7C58E"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PBS medications. Improving access for Aboriginal and Torres Strait Islander peoples. Aust Fam Physician. 2005; 34 (10):841-4.</w:t>
      </w:r>
    </w:p>
  </w:endnote>
  <w:endnote w:id="9">
    <w:p w14:paraId="6A628910" w14:textId="77777777" w:rsidR="0063029B" w:rsidRPr="008B7C4A" w:rsidRDefault="0063029B" w:rsidP="001135FE">
      <w:pPr>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hyperlink r:id="rId2" w:history="1">
        <w:r w:rsidRPr="008B7C4A">
          <w:rPr>
            <w:rFonts w:asciiTheme="majorHAnsi" w:hAnsiTheme="majorHAnsi" w:cstheme="majorHAnsi"/>
            <w:sz w:val="20"/>
            <w:szCs w:val="20"/>
          </w:rPr>
          <w:t>Peiris DP</w:t>
        </w:r>
      </w:hyperlink>
      <w:r w:rsidRPr="008B7C4A">
        <w:rPr>
          <w:rFonts w:asciiTheme="majorHAnsi" w:hAnsiTheme="majorHAnsi" w:cstheme="majorHAnsi"/>
          <w:sz w:val="20"/>
          <w:szCs w:val="20"/>
        </w:rPr>
        <w:t xml:space="preserve">, </w:t>
      </w:r>
      <w:hyperlink r:id="rId3" w:history="1">
        <w:r w:rsidRPr="008B7C4A">
          <w:rPr>
            <w:rFonts w:asciiTheme="majorHAnsi" w:hAnsiTheme="majorHAnsi" w:cstheme="majorHAnsi"/>
            <w:sz w:val="20"/>
            <w:szCs w:val="20"/>
          </w:rPr>
          <w:t>Patel AA</w:t>
        </w:r>
      </w:hyperlink>
      <w:r w:rsidRPr="008B7C4A">
        <w:rPr>
          <w:rFonts w:asciiTheme="majorHAnsi" w:hAnsiTheme="majorHAnsi" w:cstheme="majorHAnsi"/>
          <w:sz w:val="20"/>
          <w:szCs w:val="20"/>
        </w:rPr>
        <w:t xml:space="preserve">, </w:t>
      </w:r>
      <w:hyperlink r:id="rId4" w:history="1">
        <w:r w:rsidRPr="008B7C4A">
          <w:rPr>
            <w:rFonts w:asciiTheme="majorHAnsi" w:hAnsiTheme="majorHAnsi" w:cstheme="majorHAnsi"/>
            <w:sz w:val="20"/>
            <w:szCs w:val="20"/>
          </w:rPr>
          <w:t>Cass A</w:t>
        </w:r>
      </w:hyperlink>
      <w:r w:rsidRPr="008B7C4A">
        <w:rPr>
          <w:rFonts w:asciiTheme="majorHAnsi" w:hAnsiTheme="majorHAnsi" w:cstheme="majorHAnsi"/>
          <w:sz w:val="20"/>
          <w:szCs w:val="20"/>
        </w:rPr>
        <w:t xml:space="preserve">,et al. </w:t>
      </w:r>
      <w:r w:rsidRPr="008B7C4A">
        <w:rPr>
          <w:rFonts w:asciiTheme="majorHAnsi" w:hAnsiTheme="majorHAnsi" w:cstheme="majorHAnsi"/>
          <w:bCs/>
          <w:sz w:val="20"/>
          <w:szCs w:val="20"/>
        </w:rPr>
        <w:t xml:space="preserve">Cardiovascular disease risk management for Aboriginal and Torres Strait Islander peoples in primary health care settings: findings from the Kanyini Audit. </w:t>
      </w:r>
      <w:r w:rsidRPr="008B7C4A">
        <w:rPr>
          <w:rFonts w:asciiTheme="majorHAnsi" w:hAnsiTheme="majorHAnsi" w:cstheme="majorHAnsi"/>
          <w:sz w:val="20"/>
          <w:szCs w:val="20"/>
        </w:rPr>
        <w:t xml:space="preserve">Med J Aust. 2009 21;191(6):304-9. </w:t>
      </w:r>
    </w:p>
  </w:endnote>
  <w:endnote w:id="10">
    <w:p w14:paraId="613118A8"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Rheault H, Coyer F, Jones L, Bonner A. Health literacy in Indigenous people with chronic disease living in remote Australia [published correction appears in BMC Health Serv Res. 2019 Aug 14;19(1):566]. BMC Health Serv Res. 2019;19(1):523. Published 2019 Jul 26. doi:10.1186/s12913-019-4335-3</w:t>
      </w:r>
    </w:p>
  </w:endnote>
  <w:endnote w:id="11">
    <w:p w14:paraId="338BC9D0"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Hamrosi K, Taylor S, Aslani P.  Issues with prescribed medications in Aboriginal communities: Aboriginal Health Workers' perspectives. Rural and Remote Health 2006; 6: 557. Available: www.rrh.org.au/journal/article/557</w:t>
      </w:r>
    </w:p>
  </w:endnote>
  <w:endnote w:id="12">
    <w:p w14:paraId="14C9EFCE"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Kingsley J, Townsend M, Henderson-Wilson C, Bolam B. Developing an exploratory framework linking Australian Aboriginal peoples' connection to country and concepts of wellbeing.</w:t>
      </w:r>
      <w:r w:rsidRPr="008B7C4A">
        <w:rPr>
          <w:rStyle w:val="apple-converted-space"/>
          <w:rFonts w:asciiTheme="majorHAnsi" w:hAnsiTheme="majorHAnsi" w:cstheme="majorHAnsi"/>
          <w:sz w:val="20"/>
          <w:szCs w:val="20"/>
          <w:shd w:val="clear" w:color="auto" w:fill="FFFFFF"/>
        </w:rPr>
        <w:t> </w:t>
      </w:r>
      <w:r w:rsidRPr="008B7C4A">
        <w:rPr>
          <w:rFonts w:asciiTheme="majorHAnsi" w:hAnsiTheme="majorHAnsi" w:cstheme="majorHAnsi"/>
          <w:iCs/>
          <w:sz w:val="20"/>
          <w:szCs w:val="20"/>
        </w:rPr>
        <w:t>Int J Environ Res Public Health</w:t>
      </w:r>
      <w:r w:rsidRPr="008B7C4A">
        <w:rPr>
          <w:rFonts w:asciiTheme="majorHAnsi" w:hAnsiTheme="majorHAnsi" w:cstheme="majorHAnsi"/>
          <w:sz w:val="20"/>
          <w:szCs w:val="20"/>
          <w:shd w:val="clear" w:color="auto" w:fill="FFFFFF"/>
        </w:rPr>
        <w:t>. 2013;10(2):678-98. Published 2013 Feb 7. doi:10.3390/ijerph10020678</w:t>
      </w:r>
    </w:p>
  </w:endnote>
  <w:endnote w:id="13">
    <w:p w14:paraId="22017101"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Senior K, Chenhall R. Health Beliefs and Behavior. Medical Anthropology Quarterly 2013 27: 155-174. doi:</w:t>
      </w:r>
      <w:hyperlink r:id="rId5" w:history="1">
        <w:r w:rsidRPr="008B7C4A">
          <w:rPr>
            <w:rFonts w:asciiTheme="majorHAnsi" w:hAnsiTheme="majorHAnsi" w:cstheme="majorHAnsi"/>
            <w:color w:val="auto"/>
            <w:sz w:val="20"/>
            <w:szCs w:val="20"/>
          </w:rPr>
          <w:t>10.1111/maq.12021</w:t>
        </w:r>
      </w:hyperlink>
    </w:p>
  </w:endnote>
  <w:endnote w:id="14">
    <w:p w14:paraId="2C58EB90"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bCs/>
          <w:sz w:val="20"/>
          <w:szCs w:val="20"/>
        </w:rPr>
        <w:t>Randall DA, Lujic S, Havard A, Eades SJ, Jorm L. Multimorbidity among Aboriginal people in New South Wales contributes significantly to their higher mortality. Medical Journal of Australia, 2018 209: 19-23. doi:</w:t>
      </w:r>
      <w:hyperlink r:id="rId6" w:history="1">
        <w:r w:rsidRPr="008B7C4A">
          <w:rPr>
            <w:rFonts w:asciiTheme="majorHAnsi" w:hAnsiTheme="majorHAnsi" w:cstheme="majorHAnsi"/>
            <w:bCs/>
            <w:sz w:val="20"/>
            <w:szCs w:val="20"/>
          </w:rPr>
          <w:t>10.5694/mja17.00878</w:t>
        </w:r>
      </w:hyperlink>
    </w:p>
  </w:endnote>
  <w:endnote w:id="15">
    <w:p w14:paraId="6A51AFA1"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hyperlink r:id="rId7" w:history="1">
        <w:r w:rsidRPr="008B7C4A">
          <w:rPr>
            <w:rFonts w:asciiTheme="majorHAnsi" w:hAnsiTheme="majorHAnsi" w:cstheme="majorHAnsi"/>
            <w:color w:val="auto"/>
            <w:sz w:val="20"/>
            <w:szCs w:val="20"/>
          </w:rPr>
          <w:t>de Dassel JL</w:t>
        </w:r>
      </w:hyperlink>
      <w:r w:rsidRPr="008B7C4A">
        <w:rPr>
          <w:rFonts w:asciiTheme="majorHAnsi" w:hAnsiTheme="majorHAnsi" w:cstheme="majorHAnsi"/>
          <w:color w:val="auto"/>
          <w:sz w:val="20"/>
          <w:szCs w:val="20"/>
        </w:rPr>
        <w:t xml:space="preserve">, </w:t>
      </w:r>
      <w:hyperlink r:id="rId8" w:history="1">
        <w:r w:rsidRPr="008B7C4A">
          <w:rPr>
            <w:rFonts w:asciiTheme="majorHAnsi" w:hAnsiTheme="majorHAnsi" w:cstheme="majorHAnsi"/>
            <w:color w:val="auto"/>
            <w:sz w:val="20"/>
            <w:szCs w:val="20"/>
          </w:rPr>
          <w:t>Ralph AP</w:t>
        </w:r>
      </w:hyperlink>
      <w:r w:rsidRPr="008B7C4A">
        <w:rPr>
          <w:rFonts w:asciiTheme="majorHAnsi" w:hAnsiTheme="majorHAnsi" w:cstheme="majorHAnsi"/>
          <w:color w:val="auto"/>
          <w:sz w:val="20"/>
          <w:szCs w:val="20"/>
        </w:rPr>
        <w:t xml:space="preserve">, </w:t>
      </w:r>
      <w:hyperlink r:id="rId9" w:history="1">
        <w:r w:rsidRPr="008B7C4A">
          <w:rPr>
            <w:rFonts w:asciiTheme="majorHAnsi" w:hAnsiTheme="majorHAnsi" w:cstheme="majorHAnsi"/>
            <w:color w:val="auto"/>
            <w:sz w:val="20"/>
            <w:szCs w:val="20"/>
          </w:rPr>
          <w:t>Cass A</w:t>
        </w:r>
      </w:hyperlink>
      <w:r w:rsidRPr="008B7C4A">
        <w:rPr>
          <w:rFonts w:asciiTheme="majorHAnsi" w:hAnsiTheme="majorHAnsi" w:cstheme="majorHAnsi"/>
          <w:bCs/>
          <w:color w:val="auto"/>
          <w:sz w:val="20"/>
          <w:szCs w:val="20"/>
        </w:rPr>
        <w:t>A. systematic review of adherence in Indigenous Australians: an opportunity to improve chronic condition management.</w:t>
      </w:r>
      <w:r w:rsidRPr="008B7C4A">
        <w:rPr>
          <w:rFonts w:asciiTheme="majorHAnsi" w:hAnsiTheme="majorHAnsi" w:cstheme="majorHAnsi"/>
          <w:color w:val="auto"/>
          <w:sz w:val="20"/>
          <w:szCs w:val="20"/>
        </w:rPr>
        <w:t xml:space="preserve"> BMC Health Serv Res. 2017 Dec 27;17(1):845. doi: 10.1186/s12913-017-2794-y.</w:t>
      </w:r>
    </w:p>
  </w:endnote>
  <w:endnote w:id="16">
    <w:p w14:paraId="5ACB95CB" w14:textId="77777777" w:rsidR="0063029B" w:rsidRPr="008B7C4A" w:rsidRDefault="0063029B" w:rsidP="00113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Clyne B, Fitzgerald C, Quinlan A, Hardy C, Galvin R, Fahey T, et al. Interventions to address potentially inappropriate prescribing in community dwelling older adults: a systematic review of randomized controlled trials. J Am Geriatr Soc. 2016,  64: 1210–1222. doi: 10.1111/jgs.14133</w:t>
      </w:r>
    </w:p>
  </w:endnote>
  <w:endnote w:id="17">
    <w:p w14:paraId="4F3E7293"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Martínez-Mardones F, Fernandez-Llimos F, Benrimoj SI, et al. Systematic Review and Meta-Analysis of Medication Reviews Conducted by Pharmacists on Cardiovascular Diseases Risk Factors in Ambulatory Care. </w:t>
      </w:r>
      <w:r w:rsidRPr="008B7C4A">
        <w:rPr>
          <w:rFonts w:asciiTheme="majorHAnsi" w:hAnsiTheme="majorHAnsi" w:cstheme="majorHAnsi"/>
          <w:i/>
          <w:iCs/>
          <w:sz w:val="20"/>
          <w:szCs w:val="20"/>
        </w:rPr>
        <w:t>J Am Heart Assoc</w:t>
      </w:r>
      <w:r w:rsidRPr="008B7C4A">
        <w:rPr>
          <w:rFonts w:asciiTheme="majorHAnsi" w:hAnsiTheme="majorHAnsi" w:cstheme="majorHAnsi"/>
          <w:sz w:val="20"/>
          <w:szCs w:val="20"/>
          <w:shd w:val="clear" w:color="auto" w:fill="FFFFFF"/>
        </w:rPr>
        <w:t>. 2019;8(22):e013627. doi:10.1161/JAHA.119.013627</w:t>
      </w:r>
      <w:r w:rsidRPr="008B7C4A">
        <w:rPr>
          <w:rFonts w:asciiTheme="majorHAnsi" w:hAnsiTheme="majorHAnsi" w:cstheme="majorHAnsi"/>
          <w:sz w:val="20"/>
          <w:szCs w:val="20"/>
        </w:rPr>
        <w:t xml:space="preserve"> </w:t>
      </w:r>
    </w:p>
  </w:endnote>
  <w:endnote w:id="18">
    <w:p w14:paraId="29BE4579"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Pousinho S, Morgado M, Falcão A, Alves G.Pharmacist Interventions in the Management of Type 2 Diabetes Mellitus: A Systematic Review of Randomized Controlled Trials. J Manag Care Spec Pharm. 2016 22:5: 493-515</w:t>
      </w:r>
    </w:p>
  </w:endnote>
  <w:endnote w:id="19">
    <w:p w14:paraId="037C0528"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Gillespie U, Alassaad A, Hammarlund-Udenaes M, et al. Effects of pharmacists' interventions on appropriateness of prescribing and evaluation of the instruments' (MAI, STOPP and STARTs') ability to predict hospitalization--analyses from a randomized controlled trial. </w:t>
      </w:r>
      <w:r w:rsidRPr="008B7C4A">
        <w:rPr>
          <w:rFonts w:asciiTheme="majorHAnsi" w:hAnsiTheme="majorHAnsi" w:cstheme="majorHAnsi"/>
          <w:i/>
          <w:iCs/>
          <w:sz w:val="20"/>
          <w:szCs w:val="20"/>
          <w:shd w:val="clear" w:color="auto" w:fill="FFFFFF"/>
        </w:rPr>
        <w:t>PLoS One</w:t>
      </w:r>
      <w:r w:rsidRPr="008B7C4A">
        <w:rPr>
          <w:rFonts w:asciiTheme="majorHAnsi" w:hAnsiTheme="majorHAnsi" w:cstheme="majorHAnsi"/>
          <w:sz w:val="20"/>
          <w:szCs w:val="20"/>
          <w:shd w:val="clear" w:color="auto" w:fill="FFFFFF"/>
        </w:rPr>
        <w:t>. 2013;8(5):e62401. Published 2013 May 17. doi:10.1371/journal.pone.0062401</w:t>
      </w:r>
    </w:p>
  </w:endnote>
  <w:endnote w:id="20">
    <w:p w14:paraId="47DE8CF9"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 xml:space="preserve">Milosavljevic A, Aspden T, Harrison J. Community pharmacist‐led interventions and their impact on patients’ medication adherence and other health outcomes: a systematic review. </w:t>
      </w:r>
      <w:r w:rsidRPr="008B7C4A">
        <w:rPr>
          <w:rFonts w:asciiTheme="majorHAnsi" w:hAnsiTheme="majorHAnsi" w:cstheme="majorHAnsi"/>
          <w:i/>
          <w:iCs/>
          <w:sz w:val="20"/>
          <w:szCs w:val="20"/>
          <w:shd w:val="clear" w:color="auto" w:fill="FFFFFF"/>
        </w:rPr>
        <w:t>Int J Pharm Pract</w:t>
      </w:r>
      <w:r w:rsidRPr="008B7C4A">
        <w:rPr>
          <w:rFonts w:asciiTheme="majorHAnsi" w:hAnsiTheme="majorHAnsi" w:cstheme="majorHAnsi"/>
          <w:sz w:val="20"/>
          <w:szCs w:val="20"/>
          <w:shd w:val="clear" w:color="auto" w:fill="FFFFFF"/>
        </w:rPr>
        <w:t>. 2018; 26: 387-397. doi:</w:t>
      </w:r>
      <w:r w:rsidRPr="008B7C4A">
        <w:rPr>
          <w:rFonts w:asciiTheme="majorHAnsi" w:hAnsiTheme="majorHAnsi" w:cstheme="majorHAnsi"/>
          <w:sz w:val="20"/>
          <w:szCs w:val="20"/>
        </w:rPr>
        <w:t xml:space="preserve">10.1111/ijpp.12462. </w:t>
      </w:r>
    </w:p>
  </w:endnote>
  <w:endnote w:id="21">
    <w:p w14:paraId="3FD30433"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Tan ECK, Stewart K, Elliott RA, George J. Integration of pharmacists into general practice clinics in Australia: the views of general practitioners and pharmacists. Int J Pharm Pract 2014;22(1):28–37. </w:t>
      </w:r>
    </w:p>
  </w:endnote>
  <w:endnote w:id="22">
    <w:p w14:paraId="1D54E6E8"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Stephens M, Preston R, Hendrie D, Loller H, Tremlett M, Nugent A, Vaughan F, Crowther S, Boyle D, Buettner P, Biros E. Integrating pharmacists into Aboriginal community controlled health services (IPAC Project): Protocol for an interventional, non-randomised study to improve chronic disease outcomes.  Res Social Adm Pharm. 2019 Dec 26. pii: S1551-7411(19)30791-0. doi: 10.1016/j.sapharm.2019.12.022. </w:t>
      </w:r>
    </w:p>
  </w:endnote>
  <w:endnote w:id="23">
    <w:p w14:paraId="5D2B059B"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imes New Roman" w:hAnsiTheme="majorHAnsi" w:cstheme="majorHAnsi"/>
          <w:sz w:val="20"/>
          <w:szCs w:val="20"/>
          <w:lang w:val="en-AU"/>
        </w:rPr>
        <w:t>Integrating Pharmacists within ACCHSs to Improve Chronic Disease Management (IPAC) Project Protocol Version 1.6.</w:t>
      </w:r>
    </w:p>
  </w:endnote>
  <w:endnote w:id="24">
    <w:p w14:paraId="5682F568"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World Health Organisation. Indigenous peoples and participatory health research. World Health Organisation, Geneva, Switzerland, 2003. http://www.who.int/ethics/indigenous_peoples/en/index1.html</w:t>
      </w:r>
      <w:r w:rsidRPr="008B7C4A">
        <w:rPr>
          <w:rStyle w:val="Hyperlink"/>
          <w:rFonts w:asciiTheme="majorHAnsi" w:hAnsiTheme="majorHAnsi" w:cstheme="majorHAnsi"/>
          <w:i w:val="0"/>
          <w:szCs w:val="20"/>
        </w:rPr>
        <w:t xml:space="preserve"> </w:t>
      </w:r>
      <w:r w:rsidRPr="008B7C4A">
        <w:rPr>
          <w:rFonts w:asciiTheme="majorHAnsi" w:hAnsiTheme="majorHAnsi" w:cstheme="majorHAnsi"/>
          <w:color w:val="auto"/>
          <w:sz w:val="20"/>
          <w:szCs w:val="20"/>
        </w:rPr>
        <w:t>(accessed Nov 2017)</w:t>
      </w:r>
    </w:p>
  </w:endnote>
  <w:endnote w:id="25">
    <w:p w14:paraId="790D7869" w14:textId="77777777" w:rsidR="0063029B" w:rsidRPr="008B7C4A" w:rsidRDefault="0063029B" w:rsidP="001135FE">
      <w:pPr>
        <w:pStyle w:val="EndnoteText"/>
        <w:spacing w:after="120"/>
        <w:rPr>
          <w:rFonts w:asciiTheme="majorHAnsi" w:eastAsiaTheme="min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hyperlink r:id="rId10" w:history="1">
        <w:r w:rsidRPr="008B7C4A">
          <w:rPr>
            <w:rStyle w:val="Hyperlink"/>
            <w:rFonts w:asciiTheme="majorHAnsi" w:eastAsiaTheme="minorHAnsi" w:hAnsiTheme="majorHAnsi" w:cstheme="majorHAnsi"/>
            <w:szCs w:val="20"/>
          </w:rPr>
          <w:t>Couzos S</w:t>
        </w:r>
      </w:hyperlink>
      <w:r w:rsidRPr="008B7C4A">
        <w:rPr>
          <w:rFonts w:asciiTheme="majorHAnsi" w:eastAsiaTheme="minorHAnsi" w:hAnsiTheme="majorHAnsi" w:cstheme="majorHAnsi"/>
          <w:color w:val="auto"/>
          <w:sz w:val="20"/>
          <w:szCs w:val="20"/>
        </w:rPr>
        <w:t xml:space="preserve">, </w:t>
      </w:r>
      <w:hyperlink r:id="rId11" w:history="1">
        <w:r w:rsidRPr="008B7C4A">
          <w:rPr>
            <w:rStyle w:val="Hyperlink"/>
            <w:rFonts w:asciiTheme="majorHAnsi" w:eastAsiaTheme="minorHAnsi" w:hAnsiTheme="majorHAnsi" w:cstheme="majorHAnsi"/>
            <w:szCs w:val="20"/>
          </w:rPr>
          <w:t>Nicholson AK</w:t>
        </w:r>
      </w:hyperlink>
      <w:r w:rsidRPr="008B7C4A">
        <w:rPr>
          <w:rFonts w:asciiTheme="majorHAnsi" w:eastAsiaTheme="minorHAnsi" w:hAnsiTheme="majorHAnsi" w:cstheme="majorHAnsi"/>
          <w:color w:val="auto"/>
          <w:sz w:val="20"/>
          <w:szCs w:val="20"/>
        </w:rPr>
        <w:t xml:space="preserve">, </w:t>
      </w:r>
      <w:hyperlink r:id="rId12" w:history="1">
        <w:r w:rsidRPr="008B7C4A">
          <w:rPr>
            <w:rStyle w:val="Hyperlink"/>
            <w:rFonts w:asciiTheme="majorHAnsi" w:eastAsiaTheme="minorHAnsi" w:hAnsiTheme="majorHAnsi" w:cstheme="majorHAnsi"/>
            <w:szCs w:val="20"/>
          </w:rPr>
          <w:t>Hunt JM</w:t>
        </w:r>
      </w:hyperlink>
      <w:r w:rsidRPr="008B7C4A">
        <w:rPr>
          <w:rFonts w:asciiTheme="majorHAnsi" w:eastAsiaTheme="minorHAnsi" w:hAnsiTheme="majorHAnsi" w:cstheme="majorHAnsi"/>
          <w:color w:val="auto"/>
          <w:sz w:val="20"/>
          <w:szCs w:val="20"/>
        </w:rPr>
        <w:t xml:space="preserve">, </w:t>
      </w:r>
      <w:hyperlink r:id="rId13" w:history="1">
        <w:r w:rsidRPr="008B7C4A">
          <w:rPr>
            <w:rStyle w:val="Hyperlink"/>
            <w:rFonts w:asciiTheme="majorHAnsi" w:eastAsiaTheme="minorHAnsi" w:hAnsiTheme="majorHAnsi" w:cstheme="majorHAnsi"/>
            <w:szCs w:val="20"/>
          </w:rPr>
          <w:t>Davey ME</w:t>
        </w:r>
      </w:hyperlink>
      <w:r w:rsidRPr="008B7C4A">
        <w:rPr>
          <w:rFonts w:asciiTheme="majorHAnsi" w:eastAsiaTheme="minorHAnsi" w:hAnsiTheme="majorHAnsi" w:cstheme="majorHAnsi"/>
          <w:color w:val="auto"/>
          <w:sz w:val="20"/>
          <w:szCs w:val="20"/>
        </w:rPr>
        <w:t xml:space="preserve">, </w:t>
      </w:r>
      <w:hyperlink r:id="rId14" w:history="1">
        <w:r w:rsidRPr="008B7C4A">
          <w:rPr>
            <w:rStyle w:val="Hyperlink"/>
            <w:rFonts w:asciiTheme="majorHAnsi" w:eastAsiaTheme="minorHAnsi" w:hAnsiTheme="majorHAnsi" w:cstheme="majorHAnsi"/>
            <w:szCs w:val="20"/>
          </w:rPr>
          <w:t>May JK</w:t>
        </w:r>
      </w:hyperlink>
      <w:r w:rsidRPr="008B7C4A">
        <w:rPr>
          <w:rFonts w:asciiTheme="majorHAnsi" w:eastAsiaTheme="minorHAnsi" w:hAnsiTheme="majorHAnsi" w:cstheme="majorHAnsi"/>
          <w:color w:val="auto"/>
          <w:sz w:val="20"/>
          <w:szCs w:val="20"/>
        </w:rPr>
        <w:t xml:space="preserve">, </w:t>
      </w:r>
      <w:hyperlink r:id="rId15" w:history="1">
        <w:r w:rsidRPr="008B7C4A">
          <w:rPr>
            <w:rStyle w:val="Hyperlink"/>
            <w:rFonts w:asciiTheme="majorHAnsi" w:eastAsiaTheme="minorHAnsi" w:hAnsiTheme="majorHAnsi" w:cstheme="majorHAnsi"/>
            <w:szCs w:val="20"/>
          </w:rPr>
          <w:t>Bennet PT</w:t>
        </w:r>
      </w:hyperlink>
      <w:r w:rsidRPr="008B7C4A">
        <w:rPr>
          <w:rFonts w:asciiTheme="majorHAnsi" w:eastAsiaTheme="minorHAnsi" w:hAnsiTheme="majorHAnsi" w:cstheme="majorHAnsi"/>
          <w:color w:val="auto"/>
          <w:sz w:val="20"/>
          <w:szCs w:val="20"/>
        </w:rPr>
        <w:t xml:space="preserve">, </w:t>
      </w:r>
      <w:hyperlink r:id="rId16" w:history="1">
        <w:r w:rsidRPr="008B7C4A">
          <w:rPr>
            <w:rStyle w:val="Hyperlink"/>
            <w:rFonts w:asciiTheme="majorHAnsi" w:eastAsiaTheme="minorHAnsi" w:hAnsiTheme="majorHAnsi" w:cstheme="majorHAnsi"/>
            <w:szCs w:val="20"/>
          </w:rPr>
          <w:t>Westphal DW</w:t>
        </w:r>
      </w:hyperlink>
      <w:r w:rsidRPr="008B7C4A">
        <w:rPr>
          <w:rFonts w:asciiTheme="majorHAnsi" w:eastAsiaTheme="minorHAnsi" w:hAnsiTheme="majorHAnsi" w:cstheme="majorHAnsi"/>
          <w:color w:val="auto"/>
          <w:sz w:val="20"/>
          <w:szCs w:val="20"/>
        </w:rPr>
        <w:t xml:space="preserve">, </w:t>
      </w:r>
      <w:hyperlink r:id="rId17" w:history="1">
        <w:r w:rsidRPr="008B7C4A">
          <w:rPr>
            <w:rStyle w:val="Hyperlink"/>
            <w:rFonts w:asciiTheme="majorHAnsi" w:eastAsiaTheme="minorHAnsi" w:hAnsiTheme="majorHAnsi" w:cstheme="majorHAnsi"/>
            <w:szCs w:val="20"/>
          </w:rPr>
          <w:t>Thomas DP</w:t>
        </w:r>
      </w:hyperlink>
      <w:r w:rsidRPr="008B7C4A">
        <w:rPr>
          <w:rFonts w:asciiTheme="majorHAnsi" w:eastAsiaTheme="minorHAnsi" w:hAnsiTheme="majorHAnsi" w:cstheme="majorHAnsi"/>
          <w:color w:val="auto"/>
          <w:sz w:val="20"/>
          <w:szCs w:val="20"/>
        </w:rPr>
        <w:t>. Talking About The Smokes: a large-scale, community-based participatory research project. Med J Aust. 2015 Jun 1;202(10):S13-9.</w:t>
      </w:r>
    </w:p>
  </w:endnote>
  <w:endnote w:id="26">
    <w:p w14:paraId="08088B0A"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Stephens M, Preston R, Hendrie D, Loller H, Tremlett M, Nugent A, Vaughan F, Crowther S, Boyle D, Buettner P, Biros E. Integrating pharmacists into Aboriginal community controlled health services (IPAC Project): Protocol for an interventional, non-randomised study to improve chronic disease outcomes.  Res Social Adm Pharm. 2019 Dec 26. pii: S1551-7411(19)30791-0. doi: 10.1016/j.sapharm.2019.12.022. </w:t>
      </w:r>
    </w:p>
  </w:endnote>
  <w:endnote w:id="27">
    <w:p w14:paraId="627E6108" w14:textId="77777777"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lang w:val="en-AU"/>
        </w:rPr>
        <w:t xml:space="preserve">The University of Melbourne. </w:t>
      </w:r>
      <w:hyperlink r:id="rId18" w:history="1">
        <w:r w:rsidRPr="008B7C4A">
          <w:rPr>
            <w:rFonts w:asciiTheme="majorHAnsi" w:hAnsiTheme="majorHAnsi" w:cstheme="majorHAnsi"/>
            <w:i/>
            <w:sz w:val="20"/>
            <w:szCs w:val="20"/>
          </w:rPr>
          <w:t>GRHANITE™ Health Informatics Unit</w:t>
        </w:r>
      </w:hyperlink>
      <w:r w:rsidRPr="008B7C4A">
        <w:rPr>
          <w:rFonts w:asciiTheme="majorHAnsi" w:hAnsiTheme="majorHAnsi" w:cstheme="majorHAnsi"/>
          <w:sz w:val="20"/>
          <w:szCs w:val="20"/>
        </w:rPr>
        <w:t xml:space="preserve">.  Available from:  </w:t>
      </w:r>
      <w:hyperlink r:id="rId19" w:history="1">
        <w:r w:rsidRPr="008B7C4A">
          <w:rPr>
            <w:rStyle w:val="Hyperlink"/>
            <w:rFonts w:asciiTheme="majorHAnsi" w:hAnsiTheme="majorHAnsi" w:cstheme="majorHAnsi"/>
            <w:szCs w:val="20"/>
          </w:rPr>
          <w:t>https://www.grhanite.com/technologies</w:t>
        </w:r>
      </w:hyperlink>
      <w:r w:rsidRPr="008B7C4A">
        <w:rPr>
          <w:rFonts w:asciiTheme="majorHAnsi" w:hAnsiTheme="majorHAnsi" w:cstheme="majorHAnsi"/>
          <w:sz w:val="20"/>
          <w:szCs w:val="20"/>
        </w:rPr>
        <w:t xml:space="preserve">    Access date:  24 March 2020.</w:t>
      </w:r>
    </w:p>
  </w:endnote>
  <w:endnote w:id="28">
    <w:p w14:paraId="0E395E8E" w14:textId="726B7A06"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Drummond M, Sculpher M, Torrance G, O’Brien B, Stoddart G. Methods for the economic evaluation of health care programmes. Oxford University Press;2005.</w:t>
      </w:r>
    </w:p>
  </w:endnote>
  <w:endnote w:id="29">
    <w:p w14:paraId="71F3E1EE" w14:textId="4DA4DF3A"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National Institute for Health and Care Excellence. Medical technologies evaluation programme methods guide: process and methods [PMG33]. </w:t>
      </w:r>
      <w:hyperlink r:id="rId20" w:history="1">
        <w:r w:rsidRPr="008B7C4A">
          <w:rPr>
            <w:rFonts w:asciiTheme="majorHAnsi" w:hAnsiTheme="majorHAnsi" w:cstheme="majorHAnsi"/>
            <w:color w:val="auto"/>
            <w:sz w:val="20"/>
            <w:szCs w:val="20"/>
            <w:u w:val="single"/>
          </w:rPr>
          <w:t>https://www.nice.org.uk/process/pmg33/resources/medical-technologies-evaluation-programme-methods-guide-pdf-72286774205893</w:t>
        </w:r>
      </w:hyperlink>
    </w:p>
  </w:endnote>
  <w:endnote w:id="30">
    <w:p w14:paraId="53B588F6"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Hua X, Lung TW, Palmer A Si L, Herman, WH, Clarke, P. How consistent is the relationship between improved glucose control and modelled health outcomes for people with Type 2 Diabetes Mellitus? a systematic review. Pharmacoeconomics. 2017; 35(3):319-329</w:t>
      </w:r>
    </w:p>
  </w:endnote>
  <w:endnote w:id="31">
    <w:p w14:paraId="2DEEF693"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Biros E. Final analysis of the assessment of medication appropriateness using the Medication Appropriateness Index (MAI). Draft Report to the PSA, Feb 2020.</w:t>
      </w:r>
    </w:p>
  </w:endnote>
  <w:endnote w:id="32">
    <w:p w14:paraId="21284A86" w14:textId="643CF6C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Wagner EH et al. Quality Improvement in Chronic Illness Care: A Collaborative Approach. Journal on Quality Improvement 2001 27(2):68 -18</w:t>
      </w:r>
    </w:p>
  </w:endnote>
  <w:endnote w:id="33">
    <w:p w14:paraId="43764144"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Hanlon J, et al. A method for assessing drug therapy appropriateness. J Clin Epidemiol. 1992 45:10: 1045-51.</w:t>
      </w:r>
    </w:p>
  </w:endnote>
  <w:endnote w:id="34">
    <w:p w14:paraId="2AB29BB5" w14:textId="77777777" w:rsidR="0063029B" w:rsidRPr="008B7C4A" w:rsidRDefault="0063029B" w:rsidP="001135FE">
      <w:pPr>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Hanlon JT, Schmader KE. The medication appropriateness index at 20: where it started, where it has been, and where it may be going. Drugs Aging. 2013 Nov;30(11):893-900. doi: 10.1007/s40266-013-0118-4.</w:t>
      </w:r>
    </w:p>
  </w:endnote>
  <w:endnote w:id="35">
    <w:p w14:paraId="311F16F6" w14:textId="77777777" w:rsidR="0063029B" w:rsidRPr="008B7C4A" w:rsidRDefault="0063029B" w:rsidP="001135FE">
      <w:pPr>
        <w:widowControl/>
        <w:autoSpaceDE w:val="0"/>
        <w:autoSpaceDN w:val="0"/>
        <w:adjustRightInd w:val="0"/>
        <w:jc w:val="left"/>
        <w:rPr>
          <w:rFonts w:asciiTheme="majorHAnsi" w:eastAsia="MS Mincho" w:hAnsiTheme="majorHAnsi" w:cstheme="majorHAnsi"/>
          <w:sz w:val="20"/>
          <w:szCs w:val="20"/>
          <w:lang w:val="en-AU"/>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MS Mincho" w:hAnsiTheme="majorHAnsi" w:cstheme="majorHAnsi"/>
          <w:sz w:val="20"/>
          <w:szCs w:val="20"/>
          <w:lang w:val="en-AU"/>
        </w:rPr>
        <w:t>Australian Health Ministers’ Advisory Council. Aboriginal and Torres Strait Islander Health Performance</w:t>
      </w:r>
    </w:p>
    <w:p w14:paraId="10C096CA"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Fonts w:asciiTheme="majorHAnsi" w:eastAsia="MS Mincho" w:hAnsiTheme="majorHAnsi" w:cstheme="majorHAnsi"/>
          <w:color w:val="auto"/>
          <w:sz w:val="20"/>
          <w:szCs w:val="20"/>
        </w:rPr>
        <w:t>Framework 2017 Report, AHMAC, Canberra, 2017.</w:t>
      </w:r>
    </w:p>
  </w:endnote>
  <w:endnote w:id="36">
    <w:p w14:paraId="772A0537" w14:textId="77777777" w:rsidR="0063029B" w:rsidRPr="008B7C4A" w:rsidRDefault="0063029B" w:rsidP="001135FE">
      <w:pPr>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Vrijens B, De Geest S ,Hughes D A, Kardas P, Demonceau J, Ruppar T,etal. A new taxonomy for describing and defining adherence to medications. Brit J ClinPharmacol. 2012,73, 691–705.doi: 10.1111/j.1365-2125.2012.04167.x</w:t>
      </w:r>
    </w:p>
  </w:endnote>
  <w:endnote w:id="37">
    <w:p w14:paraId="01CF1853"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World Health Organisation.  Essential Medicines and Health Products Information PortalA World Health Organization resource. Available from: </w:t>
      </w:r>
      <w:hyperlink r:id="rId21" w:history="1">
        <w:r w:rsidRPr="008B7C4A">
          <w:rPr>
            <w:rFonts w:asciiTheme="majorHAnsi" w:hAnsiTheme="majorHAnsi" w:cstheme="majorHAnsi"/>
            <w:color w:val="auto"/>
            <w:sz w:val="20"/>
            <w:szCs w:val="20"/>
          </w:rPr>
          <w:t>https://apps.who.int/medicinedocs/en/d/Js4882e/8.5.html</w:t>
        </w:r>
      </w:hyperlink>
      <w:r w:rsidRPr="008B7C4A">
        <w:rPr>
          <w:rFonts w:asciiTheme="majorHAnsi" w:hAnsiTheme="majorHAnsi" w:cstheme="majorHAnsi"/>
          <w:color w:val="auto"/>
          <w:sz w:val="20"/>
          <w:szCs w:val="20"/>
        </w:rPr>
        <w:t xml:space="preserve">    Access date: 3 April 2020.</w:t>
      </w:r>
    </w:p>
  </w:endnote>
  <w:endnote w:id="38">
    <w:p w14:paraId="679C57B8"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Biros E. Integrated pharmacists in ACCHSs- Analysis of the assessment of clinical endpoints in Aboriginal and Torres Strait Islander patients with chronic disease (IPAC study). Draft Report to the PSA, April 2020.</w:t>
      </w:r>
    </w:p>
  </w:endnote>
  <w:endnote w:id="39">
    <w:p w14:paraId="5C5685EF" w14:textId="77777777" w:rsidR="0063029B" w:rsidRPr="008B7C4A" w:rsidRDefault="0063029B" w:rsidP="00817CCB">
      <w:pPr>
        <w:rPr>
          <w:rFonts w:asciiTheme="majorHAnsi" w:eastAsia="Times New Roman"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Stratton IM, Adler AI, Neil HAW, Matthews DR, Manley SE, Cull CA, Hadden D, Turner RC, Holman RR. Association of glycaemia with macrovascular and microvascular complications of type 2 diabetes (UKPDS 35): Prospective observational study. BMJ 2000; 321:7258: 405-412.</w:t>
      </w:r>
    </w:p>
  </w:endnote>
  <w:endnote w:id="40">
    <w:p w14:paraId="7E5D0121" w14:textId="77777777" w:rsidR="0063029B" w:rsidRPr="008B7C4A" w:rsidRDefault="0063029B" w:rsidP="00817CCB">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Pousinho S, Morgado M, Falcão A, Alves G. Pharmacist Interventions in the Management of Type 2 Diabetes Mellitus: A Systematic Review of Randomized Controlled Trials. J Manag Care Spec Pharm. 2016 22:5: 493-515 </w:t>
      </w:r>
    </w:p>
  </w:endnote>
  <w:endnote w:id="41">
    <w:p w14:paraId="510150FD" w14:textId="77777777" w:rsidR="0063029B" w:rsidRPr="008B7C4A" w:rsidRDefault="0063029B" w:rsidP="00817CCB">
      <w:pPr>
        <w:rPr>
          <w:rFonts w:asciiTheme="majorHAnsi" w:eastAsia="Times New Roman"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Hardy ST, Loehr LR, Butler KR, et al. Reducing the Blood Pressure-Related Burden of Cardiovascular Disease: Impact of Achievable Improvements in Blood Pressure Prevention and Control.</w:t>
      </w:r>
      <w:r w:rsidRPr="008B7C4A">
        <w:rPr>
          <w:rStyle w:val="apple-converted-space"/>
          <w:rFonts w:asciiTheme="majorHAnsi" w:hAnsiTheme="majorHAnsi" w:cstheme="majorHAnsi"/>
          <w:sz w:val="20"/>
          <w:szCs w:val="20"/>
          <w:shd w:val="clear" w:color="auto" w:fill="FFFFFF"/>
        </w:rPr>
        <w:t> </w:t>
      </w:r>
      <w:r w:rsidRPr="008B7C4A">
        <w:rPr>
          <w:rFonts w:asciiTheme="majorHAnsi" w:hAnsiTheme="majorHAnsi" w:cstheme="majorHAnsi"/>
          <w:i/>
          <w:iCs/>
          <w:sz w:val="20"/>
          <w:szCs w:val="20"/>
        </w:rPr>
        <w:t>J Am Heart Assoc</w:t>
      </w:r>
      <w:r w:rsidRPr="008B7C4A">
        <w:rPr>
          <w:rFonts w:asciiTheme="majorHAnsi" w:hAnsiTheme="majorHAnsi" w:cstheme="majorHAnsi"/>
          <w:sz w:val="20"/>
          <w:szCs w:val="20"/>
          <w:shd w:val="clear" w:color="auto" w:fill="FFFFFF"/>
        </w:rPr>
        <w:t>. 2015;4(10):e002276. Published 2015 Oct 27. doi:10.1161/JAHA.115.002276</w:t>
      </w:r>
    </w:p>
  </w:endnote>
  <w:endnote w:id="42">
    <w:p w14:paraId="3A8CD972" w14:textId="77777777" w:rsidR="0063029B" w:rsidRPr="008B7C4A" w:rsidRDefault="0063029B" w:rsidP="00817CCB">
      <w:pPr>
        <w:autoSpaceDE w:val="0"/>
        <w:autoSpaceDN w:val="0"/>
        <w:adjustRightInd w:val="0"/>
        <w:rPr>
          <w:rFonts w:asciiTheme="majorHAnsi" w:eastAsia="Times New Roman"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lang w:val="en-GB"/>
        </w:rPr>
        <w:t>Cook NR, Cohen J, Hebert PR, Taylor JO, Hennekens CH. Implications of small reductions in diastolic blood pressure for primary prevention. Arch Intern Med. 1995;155:701–709.</w:t>
      </w:r>
    </w:p>
  </w:endnote>
  <w:endnote w:id="43">
    <w:p w14:paraId="487EB498" w14:textId="77777777" w:rsidR="0063029B" w:rsidRPr="008B7C4A" w:rsidRDefault="0063029B" w:rsidP="00817CCB">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hAnsiTheme="majorHAnsi" w:cstheme="majorHAnsi"/>
          <w:color w:val="auto"/>
          <w:sz w:val="20"/>
          <w:szCs w:val="20"/>
          <w:shd w:val="clear" w:color="auto" w:fill="FFFFFF"/>
        </w:rPr>
        <w:t>Hardy ST, Loehr LR, Butler KR, et al. Op. Cit.</w:t>
      </w:r>
    </w:p>
  </w:endnote>
  <w:endnote w:id="44">
    <w:p w14:paraId="3FE2FE51" w14:textId="77777777" w:rsidR="0063029B" w:rsidRPr="008B7C4A" w:rsidRDefault="0063029B" w:rsidP="00817CCB">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Cholesterol Treatment Trialists’ (CTT) Collaboration. Efficacy and safety of more intensive lowering of LDL cholesterol: a meta-analysis of data from 170 000 participants in 26 randomised trials. Lancet 2010; 376: 1670–81.</w:t>
      </w:r>
    </w:p>
  </w:endnote>
  <w:endnote w:id="45">
    <w:p w14:paraId="02432DC4" w14:textId="77777777" w:rsidR="0063029B" w:rsidRPr="008B7C4A" w:rsidRDefault="0063029B" w:rsidP="00817CCB">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Collins R, Reith C, Emberson J, et al. Interpretation of the evidence for the efficacy and safety of statin therapy. Lancet 2016; 388: 2532–2561.</w:t>
      </w:r>
    </w:p>
  </w:endnote>
  <w:endnote w:id="46">
    <w:p w14:paraId="44EDD3EA" w14:textId="77777777" w:rsidR="0063029B" w:rsidRPr="008B7C4A" w:rsidRDefault="0063029B" w:rsidP="00CD3717">
      <w:pPr>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Ku E, Xie D, Shlipak M, et al. Change in Measured GFR Versus eGFR and CKD Outcomes.</w:t>
      </w:r>
      <w:r w:rsidRPr="008B7C4A">
        <w:rPr>
          <w:rStyle w:val="apple-converted-space"/>
          <w:rFonts w:asciiTheme="majorHAnsi" w:hAnsiTheme="majorHAnsi" w:cstheme="majorHAnsi"/>
          <w:sz w:val="20"/>
          <w:szCs w:val="20"/>
          <w:shd w:val="clear" w:color="auto" w:fill="FFFFFF"/>
        </w:rPr>
        <w:t> </w:t>
      </w:r>
      <w:r w:rsidRPr="008B7C4A">
        <w:rPr>
          <w:rFonts w:asciiTheme="majorHAnsi" w:hAnsiTheme="majorHAnsi" w:cstheme="majorHAnsi"/>
          <w:sz w:val="20"/>
          <w:szCs w:val="20"/>
        </w:rPr>
        <w:t>J Am Soc Nephrol</w:t>
      </w:r>
      <w:r w:rsidRPr="008B7C4A">
        <w:rPr>
          <w:rFonts w:asciiTheme="majorHAnsi" w:hAnsiTheme="majorHAnsi" w:cstheme="majorHAnsi"/>
          <w:sz w:val="20"/>
          <w:szCs w:val="20"/>
          <w:shd w:val="clear" w:color="auto" w:fill="FFFFFF"/>
        </w:rPr>
        <w:t>. 2016;27(7):2196–2204. doi:10.1681/ASN.2015040341</w:t>
      </w:r>
    </w:p>
  </w:endnote>
  <w:endnote w:id="47">
    <w:p w14:paraId="72E7A03B" w14:textId="77777777" w:rsidR="0063029B" w:rsidRPr="008B7C4A" w:rsidRDefault="0063029B" w:rsidP="00CD3717">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hyperlink r:id="rId22" w:history="1">
        <w:r w:rsidRPr="008B7C4A">
          <w:rPr>
            <w:rFonts w:asciiTheme="majorHAnsi" w:eastAsiaTheme="minorEastAsia" w:hAnsiTheme="majorHAnsi" w:cstheme="majorHAnsi"/>
            <w:color w:val="auto"/>
            <w:sz w:val="20"/>
            <w:szCs w:val="20"/>
          </w:rPr>
          <w:t>Maple-Brown LJ</w:t>
        </w:r>
      </w:hyperlink>
      <w:r w:rsidRPr="008B7C4A">
        <w:rPr>
          <w:rFonts w:asciiTheme="majorHAnsi" w:eastAsiaTheme="minorEastAsia" w:hAnsiTheme="majorHAnsi" w:cstheme="majorHAnsi"/>
          <w:color w:val="auto"/>
          <w:sz w:val="20"/>
          <w:szCs w:val="20"/>
        </w:rPr>
        <w:t xml:space="preserve">, </w:t>
      </w:r>
      <w:hyperlink r:id="rId23" w:history="1">
        <w:r w:rsidRPr="008B7C4A">
          <w:rPr>
            <w:rFonts w:asciiTheme="majorHAnsi" w:eastAsiaTheme="minorEastAsia" w:hAnsiTheme="majorHAnsi" w:cstheme="majorHAnsi"/>
            <w:color w:val="auto"/>
            <w:sz w:val="20"/>
            <w:szCs w:val="20"/>
          </w:rPr>
          <w:t>Hughes JT</w:t>
        </w:r>
      </w:hyperlink>
      <w:r w:rsidRPr="008B7C4A">
        <w:rPr>
          <w:rFonts w:asciiTheme="majorHAnsi" w:eastAsiaTheme="minorEastAsia" w:hAnsiTheme="majorHAnsi" w:cstheme="majorHAnsi"/>
          <w:color w:val="auto"/>
          <w:sz w:val="20"/>
          <w:szCs w:val="20"/>
        </w:rPr>
        <w:t xml:space="preserve">, </w:t>
      </w:r>
      <w:hyperlink r:id="rId24" w:history="1">
        <w:r w:rsidRPr="008B7C4A">
          <w:rPr>
            <w:rFonts w:asciiTheme="majorHAnsi" w:eastAsiaTheme="minorEastAsia" w:hAnsiTheme="majorHAnsi" w:cstheme="majorHAnsi"/>
            <w:color w:val="auto"/>
            <w:sz w:val="20"/>
            <w:szCs w:val="20"/>
          </w:rPr>
          <w:t>Ritte R</w:t>
        </w:r>
      </w:hyperlink>
      <w:r w:rsidRPr="008B7C4A">
        <w:rPr>
          <w:rFonts w:asciiTheme="majorHAnsi" w:eastAsiaTheme="minorEastAsia" w:hAnsiTheme="majorHAnsi" w:cstheme="majorHAnsi"/>
          <w:color w:val="auto"/>
          <w:sz w:val="20"/>
          <w:szCs w:val="20"/>
        </w:rPr>
        <w:t xml:space="preserve">, </w:t>
      </w:r>
      <w:hyperlink r:id="rId25" w:history="1">
        <w:r w:rsidRPr="008B7C4A">
          <w:rPr>
            <w:rFonts w:asciiTheme="majorHAnsi" w:eastAsiaTheme="minorEastAsia" w:hAnsiTheme="majorHAnsi" w:cstheme="majorHAnsi"/>
            <w:color w:val="auto"/>
            <w:sz w:val="20"/>
            <w:szCs w:val="20"/>
          </w:rPr>
          <w:t>Barzi F</w:t>
        </w:r>
      </w:hyperlink>
      <w:r w:rsidRPr="008B7C4A">
        <w:rPr>
          <w:rFonts w:asciiTheme="majorHAnsi" w:eastAsiaTheme="minorEastAsia" w:hAnsiTheme="majorHAnsi" w:cstheme="majorHAnsi"/>
          <w:color w:val="auto"/>
          <w:sz w:val="20"/>
          <w:szCs w:val="20"/>
        </w:rPr>
        <w:t>, et al. Op. cit.</w:t>
      </w:r>
      <w:r w:rsidRPr="008B7C4A">
        <w:rPr>
          <w:rFonts w:asciiTheme="majorHAnsi" w:hAnsiTheme="majorHAnsi" w:cstheme="majorHAnsi"/>
          <w:color w:val="auto"/>
          <w:sz w:val="20"/>
          <w:szCs w:val="20"/>
        </w:rPr>
        <w:t xml:space="preserve"> </w:t>
      </w:r>
    </w:p>
  </w:endnote>
  <w:endnote w:id="48">
    <w:p w14:paraId="3AFAEAAD" w14:textId="77777777" w:rsidR="0063029B" w:rsidRPr="008B7C4A" w:rsidRDefault="0063029B" w:rsidP="00CD3717">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Buttner P, Biros E. Assessment of medicines underutilisation in Aboriginal and Torres Strait Islander patients with chronic disease receiving integrated pharmacist support within Aboriginal Community -Controlled Health Services (IPAC project). Op. Cit. </w:t>
      </w:r>
    </w:p>
  </w:endnote>
  <w:endnote w:id="49">
    <w:p w14:paraId="4709B069" w14:textId="77777777" w:rsidR="0063029B" w:rsidRPr="008B7C4A" w:rsidRDefault="0063029B" w:rsidP="00CD3717">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Buttner P, Biros E. Assessment of medicines underutilisation in Aboriginal and Torres Strait Islander patients with chronic disease receiving integrated pharmacist support within Aboriginal Community -Controlled Health Services (IPAC project). Op. Cit. </w:t>
      </w:r>
    </w:p>
  </w:endnote>
  <w:endnote w:id="50">
    <w:p w14:paraId="59C18382" w14:textId="77777777" w:rsidR="0063029B" w:rsidRPr="008B7C4A" w:rsidRDefault="0063029B" w:rsidP="00CD3717">
      <w:pPr>
        <w:pStyle w:val="EndnoteText"/>
        <w:spacing w:before="120"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Buttner P, Biros E.  Assessment of change in medication adherence and self-assessed health status in Aboriginal and Torres Strait Islander patients with chronic disease receiving integrated pharmacist support within Aboriginal community -controlled health services (IPAC Project): Report to the Pharmaceutical Society of Australia.  Draft Report, May 2020.</w:t>
      </w:r>
    </w:p>
  </w:endnote>
  <w:endnote w:id="51">
    <w:p w14:paraId="71F784B4" w14:textId="69173DD1"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Buttner P, Biros E. Final analysis of the assessment of medicines underutilization in patients assessed for the Medication Appropriateness Index. Final report to the Pharmaceutical Society of Australis for the IPAC Project, February 2020.</w:t>
      </w:r>
    </w:p>
  </w:endnote>
  <w:endnote w:id="52">
    <w:p w14:paraId="4D702DCE" w14:textId="58723055"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Little RR, Rohlfing C. The long and winding road to optimal HbA1c measurement. Clinica Chimica Acta. 2013;418(xx):63-71. doi: 10.1016/j.cca.2012.12.026.</w:t>
      </w:r>
    </w:p>
  </w:endnote>
  <w:endnote w:id="53">
    <w:p w14:paraId="1E2308E4" w14:textId="3CF4EA56" w:rsidR="0063029B" w:rsidRPr="008B7C4A" w:rsidRDefault="0063029B" w:rsidP="001135FE">
      <w:pPr>
        <w:pStyle w:val="EndnoteText"/>
        <w:spacing w:after="120"/>
        <w:rPr>
          <w:rFonts w:asciiTheme="majorHAnsi" w:eastAsiaTheme="min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lang w:val="en-US"/>
        </w:rPr>
        <w:t>Hua X, Lung TW, Palmer A Si L, Herman, WH, Clarke, P. How consistent is the relationship between improved glucose control and modelled health outcomes for people with Type 2 Diabetes Mellitus? a systematic review. Pharmacoeconomics. 2017; 35(3):319-329</w:t>
      </w:r>
    </w:p>
  </w:endnote>
  <w:endnote w:id="54">
    <w:p w14:paraId="1FAC6536" w14:textId="77777777" w:rsidR="0063029B" w:rsidRPr="008B7C4A" w:rsidRDefault="0063029B" w:rsidP="001135FE">
      <w:pPr>
        <w:widowControl/>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Preston R, Smith D, Drovandi A, Morris L, Page P, Swain L, Couzos S. Integrating Pharmacists within Aboriginal Community Controlled Health Services (ACCHSs) to improve Chronic Disease Management (IPAC) Project: Draft Qualitative Evaluation Report to the PSA. February 2020.</w:t>
      </w:r>
    </w:p>
  </w:endnote>
  <w:endnote w:id="55">
    <w:p w14:paraId="7FBF3930"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Preston R. Op Cit.</w:t>
      </w:r>
    </w:p>
  </w:endnote>
  <w:endnote w:id="56">
    <w:p w14:paraId="57E7F21A"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Cheung NW, Crampton M, Nesire V, Hng TM, Chow CK. Model for integrated care for chronic disease in the Australian context: Western Sydney Integrated Care Program. 2019;43(5):565-571.</w:t>
      </w:r>
    </w:p>
  </w:endnote>
  <w:endnote w:id="57">
    <w:p w14:paraId="783FB9C4"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Damery S, Flanagan S, Combes G. Does integrated care reduce hospital activity for patients with chronic diseases? An umbrella review of systematic reviews. BMJ Open. 2016; 6e011952.  </w:t>
      </w:r>
    </w:p>
  </w:endnote>
  <w:endnote w:id="58">
    <w:p w14:paraId="002A2CCC"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Tan ECK, Stewart K, Elliott RA, George J. Pharmacist services provided in general practice clinics: A systematic review and meta-analysis. Res Social Adm Pharm 2014;10(4):608–22. doi: 10.1016/j.sapharm.2013.08.006.</w:t>
      </w:r>
    </w:p>
  </w:endnote>
  <w:endnote w:id="59">
    <w:p w14:paraId="6D0550B8" w14:textId="77777777" w:rsidR="0063029B" w:rsidRPr="008B7C4A" w:rsidRDefault="0063029B" w:rsidP="001135FE">
      <w:pPr>
        <w:autoSpaceDE w:val="0"/>
        <w:autoSpaceDN w:val="0"/>
        <w:adjustRightInd w:val="0"/>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Freeman C, Cottrell N, Rigby D, Williams I, Nissan L. The Australian practice pharmacist. Journal of Pharmacy Practice and Research (2014) 44, 240–248. doi: 10.1002/jppr.1027</w:t>
      </w:r>
    </w:p>
  </w:endnote>
  <w:endnote w:id="60">
    <w:p w14:paraId="7FF68F0A" w14:textId="77777777" w:rsidR="0063029B" w:rsidRPr="008B7C4A" w:rsidRDefault="0063029B" w:rsidP="001135FE">
      <w:pPr>
        <w:autoSpaceDE w:val="0"/>
        <w:autoSpaceDN w:val="0"/>
        <w:adjustRightInd w:val="0"/>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Tan ECK, Stewart K, Elliott RA, George J. Pharmacist services provided in general practice clinics: A systematic review and meta-analysis. Res Social Adm Pharm 2014;10(4):608–22. doi: 10.1016/j.sapharm.2013.08.006.</w:t>
      </w:r>
    </w:p>
  </w:endnote>
  <w:endnote w:id="61">
    <w:p w14:paraId="30DA65F3" w14:textId="77777777" w:rsidR="0063029B" w:rsidRPr="008B7C4A" w:rsidRDefault="0063029B" w:rsidP="001135FE">
      <w:pPr>
        <w:pStyle w:val="EndnoteText"/>
        <w:spacing w:after="120"/>
        <w:rPr>
          <w:rFonts w:asciiTheme="majorHAnsi" w:eastAsiaTheme="min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rPr>
        <w:t>Brown JB, Lewis L, Ellis K, Stewart M, Freeman TR, Kasperski MJ. Mechanisms for communicating within primary health care teams. Can Fam Physician. 2009;55(12):1216–1222.</w:t>
      </w:r>
    </w:p>
  </w:endnote>
  <w:endnote w:id="62">
    <w:p w14:paraId="4738A773" w14:textId="77777777" w:rsidR="0063029B" w:rsidRPr="008B7C4A" w:rsidRDefault="0063029B" w:rsidP="001135FE">
      <w:pPr>
        <w:pStyle w:val="EndnoteText"/>
        <w:spacing w:after="120"/>
        <w:rPr>
          <w:rFonts w:asciiTheme="majorHAnsi" w:eastAsiaTheme="min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rPr>
        <w:t>Baker S, Lee YP, Hattingh HL.  An evaluation of the role of practice pharmacists in Australia: a mixed methods study.  International Journal of Clinical Pharmacy (2019) 41:504–515.  https://doi.org/10.1007/s11096-019-00807-5</w:t>
      </w:r>
    </w:p>
  </w:endnote>
  <w:endnote w:id="63">
    <w:p w14:paraId="5DC03B17" w14:textId="61EEA2BE" w:rsidR="0063029B" w:rsidRPr="008B7C4A" w:rsidRDefault="0063029B" w:rsidP="001135FE">
      <w:pPr>
        <w:widowControl/>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MS Mincho" w:hAnsiTheme="majorHAnsi" w:cstheme="majorHAnsi"/>
          <w:sz w:val="20"/>
          <w:szCs w:val="20"/>
          <w:lang w:val="en-AU"/>
        </w:rPr>
        <w:t xml:space="preserve">Wheeler AJ, Spinks J, Kelly F, </w:t>
      </w:r>
      <w:r w:rsidRPr="008B7C4A">
        <w:rPr>
          <w:rFonts w:asciiTheme="majorHAnsi" w:eastAsia="MS Mincho" w:hAnsiTheme="majorHAnsi" w:cstheme="majorHAnsi"/>
          <w:i/>
          <w:iCs/>
          <w:sz w:val="20"/>
          <w:szCs w:val="20"/>
          <w:lang w:val="en-AU"/>
        </w:rPr>
        <w:t>et al</w:t>
      </w:r>
      <w:r w:rsidRPr="008B7C4A">
        <w:rPr>
          <w:rFonts w:asciiTheme="majorHAnsi" w:eastAsia="MS Mincho" w:hAnsiTheme="majorHAnsi" w:cstheme="majorHAnsi"/>
          <w:sz w:val="20"/>
          <w:szCs w:val="20"/>
          <w:lang w:val="en-AU"/>
        </w:rPr>
        <w:t xml:space="preserve">. Protocol for a feasibility study of an Indigenous Medication Review Service (IMeRSe) in Australia. </w:t>
      </w:r>
      <w:r w:rsidRPr="008B7C4A">
        <w:rPr>
          <w:rFonts w:asciiTheme="majorHAnsi" w:eastAsia="MS Mincho" w:hAnsiTheme="majorHAnsi" w:cstheme="majorHAnsi"/>
          <w:i/>
          <w:iCs/>
          <w:sz w:val="20"/>
          <w:szCs w:val="20"/>
          <w:lang w:val="en-AU"/>
        </w:rPr>
        <w:t xml:space="preserve">BMJ Open </w:t>
      </w:r>
      <w:r w:rsidRPr="008B7C4A">
        <w:rPr>
          <w:rFonts w:asciiTheme="majorHAnsi" w:eastAsia="MS Mincho" w:hAnsiTheme="majorHAnsi" w:cstheme="majorHAnsi"/>
          <w:sz w:val="20"/>
          <w:szCs w:val="20"/>
          <w:lang w:val="en-AU"/>
        </w:rPr>
        <w:t>2018;8:e026462. doi:10.1136/bmjopen-2018-026462</w:t>
      </w:r>
    </w:p>
  </w:endnote>
  <w:endnote w:id="64">
    <w:p w14:paraId="1C720C3D" w14:textId="77777777" w:rsidR="0063029B" w:rsidRPr="008B7C4A" w:rsidRDefault="0063029B" w:rsidP="001135FE">
      <w:pPr>
        <w:pStyle w:val="desc"/>
        <w:shd w:val="clear" w:color="auto" w:fill="FFFFFF"/>
        <w:spacing w:before="0" w:beforeAutospacing="0" w:after="120" w:afterAutospacing="0" w:line="276" w:lineRule="auto"/>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heme="minorHAnsi" w:hAnsiTheme="majorHAnsi" w:cstheme="majorHAnsi"/>
          <w:sz w:val="20"/>
          <w:szCs w:val="20"/>
          <w:lang w:eastAsia="en-US"/>
        </w:rPr>
        <w:t xml:space="preserve">Benson H, Lucas C, Benrimoj SI, Williams KA. </w:t>
      </w:r>
      <w:hyperlink r:id="rId26" w:history="1">
        <w:r w:rsidRPr="008B7C4A">
          <w:rPr>
            <w:rFonts w:asciiTheme="majorHAnsi" w:eastAsiaTheme="minorHAnsi" w:hAnsiTheme="majorHAnsi" w:cstheme="majorHAnsi"/>
            <w:sz w:val="20"/>
            <w:szCs w:val="20"/>
            <w:lang w:eastAsia="en-US"/>
          </w:rPr>
          <w:t>The development of a role description and competency map for pharmacists in an interprofessional care setting.</w:t>
        </w:r>
      </w:hyperlink>
      <w:r w:rsidRPr="008B7C4A">
        <w:rPr>
          <w:rFonts w:asciiTheme="majorHAnsi" w:eastAsiaTheme="minorHAnsi" w:hAnsiTheme="majorHAnsi" w:cstheme="majorHAnsi"/>
          <w:sz w:val="20"/>
          <w:szCs w:val="20"/>
          <w:lang w:eastAsia="en-US"/>
        </w:rPr>
        <w:t xml:space="preserve"> Int J Clin Pharm. 2019 Apr;41(2):391-407. doi: 10.1007/s11096-019-00808-4. Epub 2019 Mar 16. Review.</w:t>
      </w:r>
    </w:p>
  </w:endnote>
  <w:endnote w:id="65">
    <w:p w14:paraId="637CBE4B" w14:textId="77777777" w:rsidR="0063029B" w:rsidRPr="008B7C4A" w:rsidRDefault="0063029B" w:rsidP="001135FE">
      <w:pPr>
        <w:pStyle w:val="desc"/>
        <w:shd w:val="clear" w:color="auto" w:fill="FFFFFF"/>
        <w:spacing w:before="0" w:beforeAutospacing="0" w:after="120" w:afterAutospacing="0" w:line="276" w:lineRule="auto"/>
        <w:rPr>
          <w:rFonts w:asciiTheme="majorHAnsi" w:eastAsiaTheme="minorHAnsi" w:hAnsiTheme="majorHAnsi" w:cstheme="majorHAnsi"/>
          <w:sz w:val="20"/>
          <w:szCs w:val="20"/>
          <w:lang w:eastAsia="en-US"/>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heme="minorHAnsi" w:hAnsiTheme="majorHAnsi" w:cstheme="majorHAnsi"/>
          <w:sz w:val="20"/>
          <w:szCs w:val="20"/>
          <w:lang w:eastAsia="en-US"/>
        </w:rPr>
        <w:t xml:space="preserve">Deeks LS, Naunton M, Tay GH, Peterson GM, Kyle G, Davey R, Dawda P, Goss J, Cooper GM, Porritt J, Kosari S.  </w:t>
      </w:r>
      <w:hyperlink r:id="rId27" w:history="1">
        <w:r w:rsidRPr="008B7C4A">
          <w:rPr>
            <w:rFonts w:asciiTheme="majorHAnsi" w:eastAsiaTheme="minorHAnsi" w:hAnsiTheme="majorHAnsi" w:cstheme="majorHAnsi"/>
            <w:sz w:val="20"/>
            <w:szCs w:val="20"/>
            <w:lang w:eastAsia="en-US"/>
          </w:rPr>
          <w:t>What can pharmacists do in general practice? A pilot trial.</w:t>
        </w:r>
      </w:hyperlink>
      <w:r w:rsidRPr="008B7C4A">
        <w:rPr>
          <w:rFonts w:asciiTheme="majorHAnsi" w:eastAsiaTheme="minorHAnsi" w:hAnsiTheme="majorHAnsi" w:cstheme="majorHAnsi"/>
          <w:sz w:val="20"/>
          <w:szCs w:val="20"/>
          <w:lang w:eastAsia="en-US"/>
        </w:rPr>
        <w:t xml:space="preserve">  Aust J Gen Pract. 2018 Aug;47(8):545-549. doi: 10.31128/AJGP-03-18-4520.</w:t>
      </w:r>
    </w:p>
  </w:endnote>
  <w:endnote w:id="66">
    <w:p w14:paraId="439D2314" w14:textId="77777777" w:rsidR="0063029B" w:rsidRPr="008B7C4A" w:rsidRDefault="0063029B" w:rsidP="001135FE">
      <w:pPr>
        <w:pStyle w:val="desc"/>
        <w:shd w:val="clear" w:color="auto" w:fill="FFFFFF"/>
        <w:spacing w:before="0" w:beforeAutospacing="0" w:after="120" w:afterAutospacing="0" w:line="276" w:lineRule="auto"/>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heme="minorHAnsi" w:hAnsiTheme="majorHAnsi" w:cstheme="majorHAnsi"/>
          <w:sz w:val="20"/>
          <w:szCs w:val="20"/>
          <w:lang w:eastAsia="en-US"/>
        </w:rPr>
        <w:t xml:space="preserve">Benson H, Lucas C, Benrimoj SI, Williams KA. </w:t>
      </w:r>
      <w:hyperlink r:id="rId28" w:history="1">
        <w:r w:rsidRPr="008B7C4A">
          <w:rPr>
            <w:rFonts w:asciiTheme="majorHAnsi" w:eastAsiaTheme="minorHAnsi" w:hAnsiTheme="majorHAnsi" w:cstheme="majorHAnsi"/>
            <w:sz w:val="20"/>
            <w:szCs w:val="20"/>
            <w:lang w:eastAsia="en-US"/>
          </w:rPr>
          <w:t>The development of a role description and competency map for pharmacists in an interprofessional care setting.</w:t>
        </w:r>
      </w:hyperlink>
      <w:r w:rsidRPr="008B7C4A">
        <w:rPr>
          <w:rFonts w:asciiTheme="majorHAnsi" w:eastAsiaTheme="minorHAnsi" w:hAnsiTheme="majorHAnsi" w:cstheme="majorHAnsi"/>
          <w:sz w:val="20"/>
          <w:szCs w:val="20"/>
          <w:lang w:eastAsia="en-US"/>
        </w:rPr>
        <w:t xml:space="preserve"> Int J Clin Pharm. 2019 Apr;41(2):391-407. doi: 10.1007/s11096-019-00808-4. Epub 2019 Mar 16. Review.</w:t>
      </w:r>
    </w:p>
  </w:endnote>
  <w:endnote w:id="67">
    <w:p w14:paraId="14456121" w14:textId="4B87CDD3"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rPr>
        <w:t xml:space="preserve">Benson H, Lucas C, Benrimoj SI, Williams KA. </w:t>
      </w:r>
      <w:hyperlink r:id="rId29" w:history="1">
        <w:r w:rsidRPr="008B7C4A">
          <w:rPr>
            <w:rFonts w:asciiTheme="majorHAnsi" w:eastAsiaTheme="minorHAnsi" w:hAnsiTheme="majorHAnsi" w:cstheme="majorHAnsi"/>
            <w:color w:val="auto"/>
            <w:sz w:val="20"/>
            <w:szCs w:val="20"/>
          </w:rPr>
          <w:t>The development of a role description and competency map for pharmacists in an interprofessional care setting.</w:t>
        </w:r>
      </w:hyperlink>
      <w:r w:rsidRPr="008B7C4A">
        <w:rPr>
          <w:rFonts w:asciiTheme="majorHAnsi" w:eastAsiaTheme="minorHAnsi" w:hAnsiTheme="majorHAnsi" w:cstheme="majorHAnsi"/>
          <w:color w:val="auto"/>
          <w:sz w:val="20"/>
          <w:szCs w:val="20"/>
        </w:rPr>
        <w:t xml:space="preserve"> Int J Clin Pharm. 2019 Apr;41(2):391-407. doi: 10.1007/s11096-019-00808-4. Epub 2019 Mar 16. Review.</w:t>
      </w:r>
    </w:p>
  </w:endnote>
  <w:endnote w:id="68">
    <w:p w14:paraId="7665075D"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Northern Territory PHN and Northern Territory Government Top End Health Service. </w:t>
      </w:r>
      <w:r w:rsidRPr="008B7C4A">
        <w:rPr>
          <w:rFonts w:asciiTheme="majorHAnsi" w:hAnsiTheme="majorHAnsi" w:cstheme="majorHAnsi"/>
          <w:i/>
          <w:color w:val="auto"/>
          <w:sz w:val="20"/>
          <w:szCs w:val="20"/>
        </w:rPr>
        <w:t>IMPACT Framework - A Framework to Guide the Integration of Pharmacists into Primary Health Care Teams</w:t>
      </w:r>
      <w:r w:rsidRPr="008B7C4A">
        <w:rPr>
          <w:rFonts w:asciiTheme="majorHAnsi" w:hAnsiTheme="majorHAnsi" w:cstheme="majorHAnsi"/>
          <w:color w:val="auto"/>
          <w:sz w:val="20"/>
          <w:szCs w:val="20"/>
        </w:rPr>
        <w:t xml:space="preserve">. 2018 18 Dec 2018 25 February 2020]; Available from: </w:t>
      </w:r>
      <w:hyperlink r:id="rId30" w:history="1">
        <w:r w:rsidRPr="008B7C4A">
          <w:rPr>
            <w:rStyle w:val="Hyperlink"/>
            <w:rFonts w:asciiTheme="majorHAnsi" w:eastAsia="Arial Unicode MS" w:hAnsiTheme="majorHAnsi" w:cstheme="majorHAnsi"/>
            <w:szCs w:val="20"/>
          </w:rPr>
          <w:t>https://www.ntphn.org.au/web_images/IMPACT%20Framework.pdf</w:t>
        </w:r>
      </w:hyperlink>
      <w:r w:rsidRPr="008B7C4A">
        <w:rPr>
          <w:rFonts w:asciiTheme="majorHAnsi" w:hAnsiTheme="majorHAnsi" w:cstheme="majorHAnsi"/>
          <w:color w:val="auto"/>
          <w:sz w:val="20"/>
          <w:szCs w:val="20"/>
        </w:rPr>
        <w:t>.</w:t>
      </w:r>
    </w:p>
  </w:endnote>
  <w:endnote w:id="69">
    <w:p w14:paraId="1CD87585"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Stephens M, Preston R, Hendrie D, Loller H, Tremlett M, Nugent A, Vaughan F, Crowther S, Boyle D, Buettner P, Biros E. Integrating pharmacists into Aboriginal community controlled health services (IPAC Project): Protocol for an interventional, non-randomised study to improve chronic disease outcomes.  Res Social Adm Pharm. 2019 Dec 26. pii: S1551-7411(19)30791-0. doi: 10.1016/j.sapharm.2019.12.022.</w:t>
      </w:r>
    </w:p>
  </w:endnote>
  <w:endnote w:id="70">
    <w:p w14:paraId="29A0CAB8" w14:textId="77777777" w:rsidR="0063029B" w:rsidRPr="008B7C4A" w:rsidRDefault="0063029B" w:rsidP="001135FE">
      <w:pPr>
        <w:pStyle w:val="EndnoteText"/>
        <w:spacing w:after="120"/>
        <w:rPr>
          <w:rFonts w:asciiTheme="majorHAnsi" w:eastAsiaTheme="min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rPr>
        <w:t>Baker S, Lee YP, Hattingh HL.  An evaluation of the role of practice pharmacists in Australia: a mixed methods study.  International Journal of Clinical Pharmacy (2019) 41:504–515.  https://doi.org/10.1007/s11096-019-00807-5</w:t>
      </w:r>
    </w:p>
  </w:endnote>
  <w:endnote w:id="71">
    <w:p w14:paraId="188DC9BE" w14:textId="77777777" w:rsidR="0063029B" w:rsidRPr="008B7C4A" w:rsidRDefault="0063029B" w:rsidP="001135FE">
      <w:pPr>
        <w:pStyle w:val="desc"/>
        <w:shd w:val="clear" w:color="auto" w:fill="FFFFFF"/>
        <w:spacing w:before="0" w:beforeAutospacing="0" w:after="120" w:afterAutospacing="0" w:line="276" w:lineRule="auto"/>
        <w:rPr>
          <w:rFonts w:asciiTheme="majorHAnsi" w:eastAsiaTheme="minorHAnsi" w:hAnsiTheme="majorHAnsi" w:cstheme="majorHAnsi"/>
          <w:sz w:val="20"/>
          <w:szCs w:val="20"/>
          <w:lang w:eastAsia="en-US"/>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heme="minorHAnsi" w:hAnsiTheme="majorHAnsi" w:cstheme="majorHAnsi"/>
          <w:sz w:val="20"/>
          <w:szCs w:val="20"/>
          <w:lang w:eastAsia="en-US"/>
        </w:rPr>
        <w:t xml:space="preserve">Deeks LS, Naunton M, Tay GH, Peterson GM, Kyle G, Davey R, Dawda P, Goss J, Cooper GM, Porritt J, Kosari S.  </w:t>
      </w:r>
      <w:hyperlink r:id="rId31" w:history="1">
        <w:r w:rsidRPr="008B7C4A">
          <w:rPr>
            <w:rFonts w:asciiTheme="majorHAnsi" w:eastAsiaTheme="minorHAnsi" w:hAnsiTheme="majorHAnsi" w:cstheme="majorHAnsi"/>
            <w:sz w:val="20"/>
            <w:szCs w:val="20"/>
            <w:lang w:eastAsia="en-US"/>
          </w:rPr>
          <w:t>What can pharmacists do in general practice? A pilot trial.</w:t>
        </w:r>
      </w:hyperlink>
      <w:r w:rsidRPr="008B7C4A">
        <w:rPr>
          <w:rFonts w:asciiTheme="majorHAnsi" w:eastAsiaTheme="minorHAnsi" w:hAnsiTheme="majorHAnsi" w:cstheme="majorHAnsi"/>
          <w:sz w:val="20"/>
          <w:szCs w:val="20"/>
          <w:lang w:eastAsia="en-US"/>
        </w:rPr>
        <w:t xml:space="preserve">  Aust J Gen Pract. 2018 Aug;47(8):545-549. doi: 10.31128/AJGP-03-18-4520.</w:t>
      </w:r>
    </w:p>
  </w:endnote>
  <w:endnote w:id="72">
    <w:p w14:paraId="128129C9" w14:textId="77777777" w:rsidR="0063029B" w:rsidRPr="008B7C4A" w:rsidRDefault="0063029B" w:rsidP="001135FE">
      <w:pPr>
        <w:pStyle w:val="desc"/>
        <w:shd w:val="clear" w:color="auto" w:fill="FFFFFF"/>
        <w:spacing w:before="0" w:beforeAutospacing="0" w:after="120" w:afterAutospacing="0" w:line="276" w:lineRule="auto"/>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eastAsiaTheme="minorHAnsi" w:hAnsiTheme="majorHAnsi" w:cstheme="majorHAnsi"/>
          <w:sz w:val="20"/>
          <w:szCs w:val="20"/>
          <w:lang w:eastAsia="en-US"/>
        </w:rPr>
        <w:t xml:space="preserve">Benson H, Lucas C, Benrimoj SI, Williams KA. </w:t>
      </w:r>
      <w:hyperlink r:id="rId32" w:history="1">
        <w:r w:rsidRPr="008B7C4A">
          <w:rPr>
            <w:rFonts w:asciiTheme="majorHAnsi" w:eastAsiaTheme="minorHAnsi" w:hAnsiTheme="majorHAnsi" w:cstheme="majorHAnsi"/>
            <w:sz w:val="20"/>
            <w:szCs w:val="20"/>
            <w:lang w:eastAsia="en-US"/>
          </w:rPr>
          <w:t>The development of a role description and competency map for pharmacists in an interprofessional care setting.</w:t>
        </w:r>
      </w:hyperlink>
      <w:r w:rsidRPr="008B7C4A">
        <w:rPr>
          <w:rFonts w:asciiTheme="majorHAnsi" w:eastAsiaTheme="minorHAnsi" w:hAnsiTheme="majorHAnsi" w:cstheme="majorHAnsi"/>
          <w:sz w:val="20"/>
          <w:szCs w:val="20"/>
          <w:lang w:eastAsia="en-US"/>
        </w:rPr>
        <w:t xml:space="preserve"> Int J Clin Pharm. 2019 Apr;41(2):391-407. doi: 10.1007/s11096-019-00808-4. Epub 2019 Mar 16. Review.</w:t>
      </w:r>
    </w:p>
  </w:endnote>
  <w:endnote w:id="73">
    <w:p w14:paraId="58A1C7AF"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Preston R. Op Cit.</w:t>
      </w:r>
    </w:p>
  </w:endnote>
  <w:endnote w:id="74">
    <w:p w14:paraId="0C2D6EF6" w14:textId="77777777" w:rsidR="0063029B" w:rsidRPr="008B7C4A" w:rsidRDefault="0063029B" w:rsidP="001135FE">
      <w:pPr>
        <w:pStyle w:val="ListParagraph"/>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Mann C, Anderson C, Avery A, Waring J, Boyd M. Clinical pharmacists in general practice: pilot scheme evaluation. The University of Nottingham 2018. </w:t>
      </w:r>
      <w:hyperlink r:id="rId33" w:history="1">
        <w:r w:rsidRPr="008B7C4A">
          <w:rPr>
            <w:rFonts w:asciiTheme="majorHAnsi" w:hAnsiTheme="majorHAnsi" w:cstheme="majorHAnsi"/>
            <w:sz w:val="20"/>
            <w:szCs w:val="20"/>
            <w:u w:val="single"/>
          </w:rPr>
          <w:t>https://www.nottingham.ac.uk/pharmacy/documents/generalpracticeyearfwdrev/clinical-pharmacists-in-general-practice-pilot-scheme-full-report.pdf</w:t>
        </w:r>
      </w:hyperlink>
    </w:p>
  </w:endnote>
  <w:endnote w:id="75">
    <w:p w14:paraId="301EF044" w14:textId="3A572576"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Tremlett M, Loller H. </w:t>
      </w:r>
      <w:r w:rsidRPr="008B7C4A">
        <w:rPr>
          <w:rFonts w:asciiTheme="majorHAnsi" w:hAnsiTheme="majorHAnsi" w:cstheme="majorHAnsi"/>
          <w:bCs/>
          <w:iCs/>
          <w:color w:val="auto"/>
          <w:sz w:val="20"/>
          <w:szCs w:val="20"/>
        </w:rPr>
        <w:t xml:space="preserve">IPAC Project: Thematic Analysis of </w:t>
      </w:r>
      <w:r w:rsidRPr="008B7C4A">
        <w:rPr>
          <w:rFonts w:asciiTheme="majorHAnsi" w:hAnsiTheme="majorHAnsi" w:cstheme="majorHAnsi"/>
          <w:color w:val="auto"/>
          <w:sz w:val="20"/>
          <w:szCs w:val="20"/>
        </w:rPr>
        <w:t xml:space="preserve">Feedback received by the Pharmaceutical Society of Australia IPAC Project Co-Ordinators. </w:t>
      </w:r>
      <w:r w:rsidRPr="008B7C4A">
        <w:rPr>
          <w:rFonts w:asciiTheme="majorHAnsi" w:hAnsiTheme="majorHAnsi" w:cstheme="majorHAnsi"/>
          <w:bCs/>
          <w:color w:val="auto"/>
          <w:sz w:val="20"/>
          <w:szCs w:val="20"/>
        </w:rPr>
        <w:t>Draft Report April 2020.</w:t>
      </w:r>
    </w:p>
  </w:endnote>
  <w:endnote w:id="76">
    <w:p w14:paraId="4C3847B7" w14:textId="77777777" w:rsidR="0063029B" w:rsidRPr="008B7C4A" w:rsidRDefault="0063029B" w:rsidP="001135FE">
      <w:pPr>
        <w:pStyle w:val="Default"/>
        <w:spacing w:after="120" w:line="276" w:lineRule="auto"/>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The Pharmacy Guild of Australia. Position Statement: Pharmacists in General Practice. </w:t>
      </w:r>
      <w:r w:rsidRPr="008B7C4A">
        <w:rPr>
          <w:rFonts w:asciiTheme="majorHAnsi" w:eastAsia="MS Mincho" w:hAnsiTheme="majorHAnsi" w:cstheme="majorHAnsi"/>
          <w:b/>
          <w:bCs/>
          <w:color w:val="auto"/>
          <w:sz w:val="20"/>
          <w:szCs w:val="20"/>
          <w:lang w:val="en-AU"/>
        </w:rPr>
        <w:t xml:space="preserve">Endorsed </w:t>
      </w:r>
      <w:r w:rsidRPr="008B7C4A">
        <w:rPr>
          <w:rFonts w:asciiTheme="majorHAnsi" w:eastAsia="MS Mincho" w:hAnsiTheme="majorHAnsi" w:cstheme="majorHAnsi"/>
          <w:color w:val="auto"/>
          <w:sz w:val="20"/>
          <w:szCs w:val="20"/>
        </w:rPr>
        <w:t xml:space="preserve">National Council – May 2019. Available online: </w:t>
      </w:r>
      <w:hyperlink r:id="rId34" w:history="1">
        <w:r w:rsidRPr="008B7C4A">
          <w:rPr>
            <w:rStyle w:val="Hyperlink"/>
            <w:rFonts w:asciiTheme="majorHAnsi" w:hAnsiTheme="majorHAnsi" w:cstheme="majorHAnsi"/>
            <w:szCs w:val="20"/>
          </w:rPr>
          <w:t>https://www.guild.org.au/__data/assets/pdf_file/0009/6120/Pharmacists-in-General-Practice-May-2019.pdf</w:t>
        </w:r>
      </w:hyperlink>
    </w:p>
  </w:endnote>
  <w:endnote w:id="77">
    <w:p w14:paraId="366687B8" w14:textId="733D33B7" w:rsidR="0063029B" w:rsidRPr="008B7C4A" w:rsidRDefault="0063029B" w:rsidP="001135FE">
      <w:pPr>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Smith D, Couzos S, Biros E.  Integrated pharmacists within ACCHSs: Support for practice-based activities. Report to the Pharmaceutical Society of Australia for the IPAC Project.  Draft Report, April 2020.</w:t>
      </w:r>
    </w:p>
  </w:endnote>
  <w:endnote w:id="78">
    <w:p w14:paraId="503A5E9D" w14:textId="2652BA7D"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The Pharmacy Guild of Australia. Position Statement: Pharmacists in General Practice. </w:t>
      </w:r>
      <w:r w:rsidRPr="008B7C4A">
        <w:rPr>
          <w:rFonts w:asciiTheme="majorHAnsi" w:eastAsia="MS Mincho" w:hAnsiTheme="majorHAnsi" w:cstheme="majorHAnsi"/>
          <w:b/>
          <w:bCs/>
          <w:color w:val="auto"/>
          <w:sz w:val="20"/>
          <w:szCs w:val="20"/>
        </w:rPr>
        <w:t xml:space="preserve">Endorsed </w:t>
      </w:r>
      <w:r w:rsidRPr="008B7C4A">
        <w:rPr>
          <w:rFonts w:asciiTheme="majorHAnsi" w:eastAsia="MS Mincho" w:hAnsiTheme="majorHAnsi" w:cstheme="majorHAnsi"/>
          <w:color w:val="auto"/>
          <w:sz w:val="20"/>
          <w:szCs w:val="20"/>
        </w:rPr>
        <w:t xml:space="preserve">National Council – May 2019. Available online: </w:t>
      </w:r>
      <w:hyperlink r:id="rId35" w:history="1">
        <w:r w:rsidRPr="008B7C4A">
          <w:rPr>
            <w:rStyle w:val="Hyperlink"/>
            <w:rFonts w:asciiTheme="majorHAnsi" w:hAnsiTheme="majorHAnsi" w:cstheme="majorHAnsi"/>
            <w:szCs w:val="20"/>
          </w:rPr>
          <w:t>https://www.guild.org.au/__data/assets/pdf_file/0009/6120/Pharmacists-in-General-Practice-May-2019.pdf</w:t>
        </w:r>
      </w:hyperlink>
    </w:p>
  </w:endnote>
  <w:endnote w:id="79">
    <w:p w14:paraId="2B626297"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AMA. General Practice Pharmacists – Improving Patient Care, May 2015. Available from: https://ama.com.au/article/general-practice-pharmacists-improving-patient-care</w:t>
      </w:r>
    </w:p>
  </w:endnote>
  <w:endnote w:id="80">
    <w:p w14:paraId="786CF9F1" w14:textId="5E5F7471"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Royal Australian College of General Practitioners. General practice–based pharmacists Position statement April 2019. Available from:  </w:t>
      </w:r>
      <w:hyperlink r:id="rId36" w:history="1">
        <w:r w:rsidRPr="008B7C4A">
          <w:rPr>
            <w:rStyle w:val="Hyperlink"/>
            <w:rFonts w:asciiTheme="majorHAnsi" w:hAnsiTheme="majorHAnsi" w:cstheme="majorHAnsi"/>
            <w:szCs w:val="20"/>
          </w:rPr>
          <w:t>https://www.racgp.org.au/FSDEDEV/media/documents/RACGP/Position%20statements/General-practice-based-pharmacists.pdf</w:t>
        </w:r>
      </w:hyperlink>
    </w:p>
  </w:endnote>
  <w:endnote w:id="81">
    <w:p w14:paraId="1EF95A11" w14:textId="0627D0CC" w:rsidR="0063029B" w:rsidRPr="008B7C4A" w:rsidRDefault="0063029B" w:rsidP="001135FE">
      <w:pPr>
        <w:widowControl/>
        <w:autoSpaceDE w:val="0"/>
        <w:autoSpaceDN w:val="0"/>
        <w:adjustRightInd w:val="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Pharmaceutical Society of Australia.  </w:t>
      </w:r>
      <w:r w:rsidRPr="008B7C4A">
        <w:rPr>
          <w:rFonts w:asciiTheme="majorHAnsi" w:eastAsia="MS Mincho" w:hAnsiTheme="majorHAnsi" w:cstheme="majorHAnsi"/>
          <w:sz w:val="20"/>
          <w:szCs w:val="20"/>
          <w:lang w:val="en-AU"/>
        </w:rPr>
        <w:t xml:space="preserve">Guide to providing pharmacy services to Aboriginal and Torres Strait Islander people. July 2014. Available from:  </w:t>
      </w:r>
      <w:hyperlink r:id="rId37" w:history="1">
        <w:r w:rsidRPr="008B7C4A">
          <w:rPr>
            <w:rStyle w:val="Hyperlink"/>
            <w:rFonts w:asciiTheme="majorHAnsi" w:hAnsiTheme="majorHAnsi" w:cstheme="majorHAnsi"/>
            <w:szCs w:val="20"/>
          </w:rPr>
          <w:t>https://aodknowledgecentre.ecu.edu.au/key-resources/resources/28083/</w:t>
        </w:r>
      </w:hyperlink>
    </w:p>
  </w:endnote>
  <w:endnote w:id="82">
    <w:p w14:paraId="7A710F6E" w14:textId="154BE5FE" w:rsidR="0063029B" w:rsidRPr="008B7C4A" w:rsidRDefault="0063029B" w:rsidP="001135FE">
      <w:pPr>
        <w:pStyle w:val="CommentText"/>
        <w:spacing w:after="120"/>
        <w:rPr>
          <w:rFonts w:asciiTheme="majorHAnsi" w:eastAsiaTheme="min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lang w:val="en-US"/>
        </w:rPr>
        <w:t xml:space="preserve">Pharmaceutical Society of Australia. Pharmacists in 2023: Roles and Remuneration. July 2019. Canberra:PSA. Available from: </w:t>
      </w:r>
      <w:hyperlink r:id="rId38" w:history="1">
        <w:r w:rsidRPr="008B7C4A">
          <w:rPr>
            <w:rFonts w:asciiTheme="majorHAnsi" w:eastAsiaTheme="minorHAnsi" w:hAnsiTheme="majorHAnsi" w:cstheme="majorHAnsi"/>
            <w:i/>
            <w:color w:val="auto"/>
            <w:sz w:val="20"/>
            <w:szCs w:val="20"/>
            <w:lang w:val="en-US"/>
          </w:rPr>
          <w:t>https://www.psa.org.au/wp-content/uploads/2019/07/PSA-Roles-Remuneration-in-2023-V3_FINAL.pdf</w:t>
        </w:r>
      </w:hyperlink>
      <w:r w:rsidRPr="008B7C4A">
        <w:rPr>
          <w:rFonts w:asciiTheme="majorHAnsi" w:eastAsiaTheme="minorHAnsi" w:hAnsiTheme="majorHAnsi" w:cstheme="majorHAnsi"/>
          <w:color w:val="auto"/>
          <w:sz w:val="20"/>
          <w:szCs w:val="20"/>
          <w:lang w:val="en-US"/>
        </w:rPr>
        <w:t xml:space="preserve"> </w:t>
      </w:r>
    </w:p>
  </w:endnote>
  <w:endnote w:id="83">
    <w:p w14:paraId="03F7B3A6" w14:textId="48EB128B" w:rsidR="0063029B" w:rsidRPr="008B7C4A" w:rsidRDefault="0063029B" w:rsidP="001135FE">
      <w:pPr>
        <w:rPr>
          <w:rFonts w:asciiTheme="majorHAnsi" w:hAnsiTheme="majorHAnsi" w:cstheme="majorHAnsi"/>
          <w:sz w:val="20"/>
          <w:szCs w:val="20"/>
        </w:rPr>
      </w:pPr>
      <w:r w:rsidRPr="008B7C4A">
        <w:rPr>
          <w:rStyle w:val="EndnoteReference"/>
          <w:rFonts w:asciiTheme="majorHAnsi" w:hAnsiTheme="majorHAnsi" w:cstheme="majorHAnsi"/>
          <w:b/>
          <w:sz w:val="20"/>
          <w:szCs w:val="20"/>
        </w:rPr>
        <w:endnoteRef/>
      </w:r>
      <w:r w:rsidRPr="008B7C4A">
        <w:rPr>
          <w:rFonts w:asciiTheme="majorHAnsi" w:hAnsiTheme="majorHAnsi" w:cstheme="majorHAnsi"/>
          <w:sz w:val="20"/>
          <w:szCs w:val="20"/>
        </w:rPr>
        <w:t xml:space="preserve"> Australian Pharmacist. Closing the gap: Pharmacists in Aboriginal health. 1 October 2017. Available from: </w:t>
      </w:r>
      <w:hyperlink r:id="rId39" w:history="1">
        <w:r w:rsidRPr="008B7C4A">
          <w:rPr>
            <w:rFonts w:asciiTheme="majorHAnsi" w:hAnsiTheme="majorHAnsi" w:cstheme="majorHAnsi"/>
            <w:sz w:val="20"/>
            <w:szCs w:val="20"/>
          </w:rPr>
          <w:t>https://www.australianpharmacist.com.au/closing-the-gap-pharmacists-in-aboriginal-health/</w:t>
        </w:r>
      </w:hyperlink>
    </w:p>
  </w:endnote>
  <w:endnote w:id="84">
    <w:p w14:paraId="2656628B" w14:textId="77777777" w:rsidR="0063029B" w:rsidRPr="008B7C4A" w:rsidRDefault="0063029B" w:rsidP="00A93680">
      <w:pPr>
        <w:pStyle w:val="EndnoteText"/>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Australian Government Services Australia. Closing the Gap – PBS Co-payment Measure. Accessed on 19/06/20 from: </w:t>
      </w:r>
      <w:hyperlink r:id="rId40" w:history="1">
        <w:r w:rsidRPr="008B7C4A">
          <w:rPr>
            <w:rStyle w:val="Hyperlink"/>
            <w:rFonts w:asciiTheme="majorHAnsi" w:hAnsiTheme="majorHAnsi" w:cstheme="majorHAnsi"/>
            <w:i w:val="0"/>
            <w:szCs w:val="20"/>
          </w:rPr>
          <w:t>https://www.servicesaustralia.gov.au/organisations/health-professionals/services/medicare/closing-gap-pbs-co-payment-measure</w:t>
        </w:r>
      </w:hyperlink>
    </w:p>
  </w:endnote>
  <w:endnote w:id="85">
    <w:p w14:paraId="18656B46" w14:textId="09362D42" w:rsidR="0063029B" w:rsidRPr="008B7C4A" w:rsidRDefault="0063029B" w:rsidP="001135FE">
      <w:pPr>
        <w:pStyle w:val="ListParagraph"/>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National Aboriginal Community Controlled Health Organisation.  NACCHO Vision Statement. Available from: </w:t>
      </w:r>
      <w:hyperlink r:id="rId41" w:history="1">
        <w:r w:rsidRPr="008B7C4A">
          <w:rPr>
            <w:rStyle w:val="Hyperlink"/>
            <w:rFonts w:asciiTheme="majorHAnsi" w:hAnsiTheme="majorHAnsi" w:cstheme="majorHAnsi"/>
            <w:szCs w:val="20"/>
          </w:rPr>
          <w:t>https://www.naccho.org.au/</w:t>
        </w:r>
      </w:hyperlink>
    </w:p>
  </w:endnote>
  <w:endnote w:id="86">
    <w:p w14:paraId="4032776D" w14:textId="34773BF7" w:rsidR="0063029B" w:rsidRPr="008B7C4A" w:rsidRDefault="0063029B" w:rsidP="001135FE">
      <w:pPr>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Cook J, Chalmers J. Medicine safety announced as a National Health Priority Area. Australian Pharmacist.  Available from: </w:t>
      </w:r>
      <w:hyperlink r:id="rId42" w:history="1">
        <w:r w:rsidRPr="008B7C4A">
          <w:rPr>
            <w:rStyle w:val="Hyperlink"/>
            <w:rFonts w:asciiTheme="majorHAnsi" w:hAnsiTheme="majorHAnsi" w:cstheme="majorHAnsi"/>
            <w:szCs w:val="20"/>
          </w:rPr>
          <w:t>https://www.australianpharmacist.com.au/medicine-safety-announced-national-health-priority-area/</w:t>
        </w:r>
      </w:hyperlink>
    </w:p>
  </w:endnote>
  <w:endnote w:id="87">
    <w:p w14:paraId="39952B62" w14:textId="77777777" w:rsidR="0063029B" w:rsidRPr="008B7C4A" w:rsidRDefault="0063029B" w:rsidP="001135FE">
      <w:pPr>
        <w:pStyle w:val="ListParagraph"/>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Tassone A: Could GP pharmacists worsen rural shortage. AJP 2018 </w:t>
      </w:r>
      <w:hyperlink r:id="rId43" w:history="1">
        <w:r w:rsidRPr="008B7C4A">
          <w:rPr>
            <w:rStyle w:val="Hyperlink"/>
            <w:rFonts w:asciiTheme="majorHAnsi" w:hAnsiTheme="majorHAnsi" w:cstheme="majorHAnsi"/>
            <w:szCs w:val="20"/>
          </w:rPr>
          <w:t>https://ajp.com.au/columns/talking-heads/could-gp-pharmacists-worsen-rural-shortage/</w:t>
        </w:r>
      </w:hyperlink>
    </w:p>
  </w:endnote>
  <w:endnote w:id="88">
    <w:p w14:paraId="1DA21616" w14:textId="77777777" w:rsidR="0063029B" w:rsidRPr="008B7C4A" w:rsidRDefault="0063029B" w:rsidP="001135FE">
      <w:pPr>
        <w:pStyle w:val="EndnoteText"/>
        <w:spacing w:after="120"/>
        <w:rPr>
          <w:rFonts w:asciiTheme="majorHAnsi" w:eastAsiaTheme="min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rPr>
        <w:t>Standard Funding Agreement Schedule between the Australian Government Department of Health and the Pharmaceutical Society of Australia.</w:t>
      </w:r>
    </w:p>
  </w:endnote>
  <w:endnote w:id="89">
    <w:p w14:paraId="33B37AE5" w14:textId="77777777" w:rsidR="0063029B" w:rsidRPr="008B7C4A" w:rsidRDefault="0063029B"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Israel, B. A., Schulz, A. J., Parker, E. A., &amp; Becker, A. B. (1998). Review of community-based research: assessing partnership approaches to improve public health. </w:t>
      </w:r>
      <w:r w:rsidRPr="008B7C4A">
        <w:rPr>
          <w:rFonts w:asciiTheme="majorHAnsi" w:hAnsiTheme="majorHAnsi" w:cstheme="majorHAnsi"/>
          <w:i/>
          <w:iCs/>
          <w:color w:val="auto"/>
          <w:sz w:val="20"/>
          <w:szCs w:val="20"/>
        </w:rPr>
        <w:t>Annual review of public health</w:t>
      </w:r>
      <w:r w:rsidRPr="008B7C4A">
        <w:rPr>
          <w:rFonts w:asciiTheme="majorHAnsi" w:hAnsiTheme="majorHAnsi" w:cstheme="majorHAnsi"/>
          <w:color w:val="auto"/>
          <w:sz w:val="20"/>
          <w:szCs w:val="20"/>
        </w:rPr>
        <w:t xml:space="preserve">, </w:t>
      </w:r>
      <w:r w:rsidRPr="008B7C4A">
        <w:rPr>
          <w:rFonts w:asciiTheme="majorHAnsi" w:hAnsiTheme="majorHAnsi" w:cstheme="majorHAnsi"/>
          <w:i/>
          <w:iCs/>
          <w:color w:val="auto"/>
          <w:sz w:val="20"/>
          <w:szCs w:val="20"/>
        </w:rPr>
        <w:t>19</w:t>
      </w:r>
      <w:r w:rsidRPr="008B7C4A">
        <w:rPr>
          <w:rFonts w:asciiTheme="majorHAnsi" w:hAnsiTheme="majorHAnsi" w:cstheme="majorHAnsi"/>
          <w:color w:val="auto"/>
          <w:sz w:val="20"/>
          <w:szCs w:val="20"/>
        </w:rPr>
        <w:t>(1), 173-202.</w:t>
      </w:r>
    </w:p>
  </w:endnote>
  <w:endnote w:id="90">
    <w:p w14:paraId="2C07C72C" w14:textId="45413F4E" w:rsidR="0063029B" w:rsidRPr="008B7C4A" w:rsidRDefault="0063029B" w:rsidP="001135FE">
      <w:pPr>
        <w:pStyle w:val="ListParagraph"/>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Northern Territory Government: Public Sector Enterprise Award 2016</w:t>
      </w:r>
    </w:p>
  </w:endnote>
  <w:endnote w:id="91">
    <w:p w14:paraId="16DD5E25" w14:textId="77777777"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Wakerman J, Sparrow L, Thomas SL, Humphreys JS, Jones M. Equitable resourcing of primary health care in remote communities in Australia’s Northern Territory: a pilot study. BMC Family Practice. 2017;18(1):75.</w:t>
      </w:r>
    </w:p>
  </w:endnote>
  <w:endnote w:id="92">
    <w:p w14:paraId="5AB204C7" w14:textId="607F0B9E" w:rsidR="0063029B" w:rsidRPr="008B7C4A" w:rsidRDefault="0063029B" w:rsidP="001135FE">
      <w:pPr>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Australian Government Services Australia. Workforce Incentive Program (WIP) – Practice Stream. Available from: </w:t>
      </w:r>
      <w:hyperlink r:id="rId44" w:history="1">
        <w:r w:rsidRPr="008B7C4A">
          <w:rPr>
            <w:rStyle w:val="Hyperlink"/>
            <w:rFonts w:asciiTheme="majorHAnsi" w:hAnsiTheme="majorHAnsi" w:cstheme="majorHAnsi"/>
            <w:szCs w:val="20"/>
          </w:rPr>
          <w:t>https://www.servicesaustralia.gov.au/organisations/health-professionals/services/medicare/workforce-incentive-program-wip-practice-stream</w:t>
        </w:r>
      </w:hyperlink>
    </w:p>
  </w:endnote>
  <w:endnote w:id="93">
    <w:p w14:paraId="0D65EFAF" w14:textId="69D58CE3" w:rsidR="0063029B" w:rsidRPr="008B7C4A" w:rsidRDefault="0063029B" w:rsidP="001135FE">
      <w:pPr>
        <w:pStyle w:val="EndnoteText"/>
        <w:spacing w:after="120"/>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King R, Brown A. Next Steps for Aboriginal Health Research: Exploring how research can improve the health and wellbeing of Aboriginal people in South Australia. 2015.  Aboriginal Health Council of South Australia, Adelaide.  Available from:  </w:t>
      </w:r>
      <w:hyperlink r:id="rId45" w:history="1">
        <w:r w:rsidRPr="008B7C4A">
          <w:rPr>
            <w:rStyle w:val="Hyperlink"/>
            <w:rFonts w:asciiTheme="majorHAnsi" w:hAnsiTheme="majorHAnsi" w:cstheme="majorHAnsi"/>
            <w:szCs w:val="20"/>
          </w:rPr>
          <w:t>https://ahcsa.org.au/app/uploads/2014/11/AHCSA_Next_Steps_2015.pdf</w:t>
        </w:r>
      </w:hyperlink>
    </w:p>
  </w:endnote>
  <w:endnote w:id="94">
    <w:p w14:paraId="47EF48DE" w14:textId="0F61A262" w:rsidR="00DF5E70" w:rsidRPr="002433EF" w:rsidRDefault="00DF5E70">
      <w:pPr>
        <w:pStyle w:val="EndnoteText"/>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hAnsiTheme="majorHAnsi" w:cstheme="majorHAnsi"/>
          <w:color w:val="auto"/>
          <w:sz w:val="20"/>
          <w:szCs w:val="20"/>
          <w:lang w:val="en-GB"/>
        </w:rPr>
        <w:t>Ford I, Norrie J. Pragmatic Trials. N Engl J Med 2016; 375:454-463.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F21" w14:textId="62C13AA6" w:rsidR="0063029B" w:rsidRDefault="0063029B">
    <w:pPr>
      <w:pStyle w:val="Footer"/>
    </w:pPr>
    <w:r w:rsidRPr="00B0730B">
      <w:rPr>
        <w:noProof/>
        <w:lang w:eastAsia="en-AU"/>
      </w:rPr>
      <w:drawing>
        <wp:anchor distT="0" distB="0" distL="114300" distR="114300" simplePos="0" relativeHeight="251658240" behindDoc="0" locked="0" layoutInCell="1" allowOverlap="1" wp14:anchorId="42902A2C" wp14:editId="7D745D14">
          <wp:simplePos x="0" y="0"/>
          <wp:positionH relativeFrom="page">
            <wp:align>right</wp:align>
          </wp:positionH>
          <wp:positionV relativeFrom="paragraph">
            <wp:posOffset>434051</wp:posOffset>
          </wp:positionV>
          <wp:extent cx="7740000" cy="294130"/>
          <wp:effectExtent l="0" t="0" r="0" b="0"/>
          <wp:wrapNone/>
          <wp:docPr id="5" name="Picture 6">
            <a:extLst xmlns:a="http://schemas.openxmlformats.org/drawingml/2006/main">
              <a:ext uri="{FF2B5EF4-FFF2-40B4-BE49-F238E27FC236}">
                <a16:creationId xmlns:a16="http://schemas.microsoft.com/office/drawing/2014/main" id="{5BD5AD65-BFC5-4744-8917-96B0085159D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5BD5AD65-BFC5-4744-8917-96B0085159DD}"/>
                      </a:ex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1884" b="11460"/>
                  <a:stretch/>
                </pic:blipFill>
                <pic:spPr>
                  <a:xfrm>
                    <a:off x="0" y="0"/>
                    <a:ext cx="7740000" cy="2941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38909865"/>
      <w:docPartObj>
        <w:docPartGallery w:val="Page Numbers (Bottom of Page)"/>
        <w:docPartUnique/>
      </w:docPartObj>
    </w:sdtPr>
    <w:sdtEndPr>
      <w:rPr>
        <w:noProof/>
      </w:rPr>
    </w:sdtEndPr>
    <w:sdtContent>
      <w:p w14:paraId="68DCA3EE" w14:textId="1B8522D2" w:rsidR="0063029B" w:rsidRPr="0007601A" w:rsidRDefault="0063029B" w:rsidP="0007601A">
        <w:pPr>
          <w:tabs>
            <w:tab w:val="right" w:pos="9498"/>
          </w:tabs>
          <w:spacing w:line="240" w:lineRule="auto"/>
          <w:jc w:val="left"/>
          <w:rPr>
            <w:sz w:val="16"/>
            <w:szCs w:val="16"/>
          </w:rPr>
        </w:pPr>
        <w:r w:rsidRPr="0007601A">
          <w:rPr>
            <w:rFonts w:asciiTheme="majorHAnsi" w:hAnsiTheme="majorHAnsi" w:cstheme="majorHAnsi"/>
            <w:bCs/>
            <w:iCs/>
            <w:sz w:val="16"/>
            <w:szCs w:val="16"/>
          </w:rPr>
          <w:t>IPAC Project: Executive Summary (Final Report - Part A)</w:t>
        </w:r>
        <w:r w:rsidRPr="0007601A">
          <w:rPr>
            <w:rFonts w:asciiTheme="majorHAnsi" w:hAnsiTheme="majorHAnsi" w:cstheme="majorHAnsi"/>
            <w:bCs/>
            <w:iCs/>
            <w:sz w:val="16"/>
            <w:szCs w:val="16"/>
          </w:rPr>
          <w:tab/>
        </w:r>
        <w:r w:rsidRPr="0007601A">
          <w:rPr>
            <w:sz w:val="16"/>
            <w:szCs w:val="16"/>
          </w:rPr>
          <w:fldChar w:fldCharType="begin"/>
        </w:r>
        <w:r w:rsidRPr="0007601A">
          <w:rPr>
            <w:sz w:val="16"/>
            <w:szCs w:val="16"/>
          </w:rPr>
          <w:instrText xml:space="preserve"> PAGE   \* MERGEFORMAT </w:instrText>
        </w:r>
        <w:r w:rsidRPr="0007601A">
          <w:rPr>
            <w:sz w:val="16"/>
            <w:szCs w:val="16"/>
          </w:rPr>
          <w:fldChar w:fldCharType="separate"/>
        </w:r>
        <w:r w:rsidR="002C2839">
          <w:rPr>
            <w:noProof/>
            <w:sz w:val="16"/>
            <w:szCs w:val="16"/>
          </w:rPr>
          <w:t>2</w:t>
        </w:r>
        <w:r w:rsidRPr="0007601A">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A60" w14:textId="023EB5CE" w:rsidR="0063029B" w:rsidRDefault="0063029B">
    <w:pPr>
      <w:pStyle w:val="Footer"/>
    </w:pPr>
    <w:r w:rsidRPr="00DD2EA9">
      <w:rPr>
        <w:noProof/>
        <w:lang w:eastAsia="en-AU"/>
      </w:rPr>
      <w:drawing>
        <wp:anchor distT="0" distB="0" distL="114300" distR="114300" simplePos="0" relativeHeight="251653120" behindDoc="1" locked="0" layoutInCell="1" allowOverlap="1" wp14:anchorId="6C8BF92B" wp14:editId="060B4ACE">
          <wp:simplePos x="0" y="0"/>
          <wp:positionH relativeFrom="page">
            <wp:posOffset>-6985</wp:posOffset>
          </wp:positionH>
          <wp:positionV relativeFrom="page">
            <wp:posOffset>2809875</wp:posOffset>
          </wp:positionV>
          <wp:extent cx="7562850" cy="3846830"/>
          <wp:effectExtent l="19050" t="0" r="0" b="0"/>
          <wp:wrapNone/>
          <wp:docPr id="4" name="Picture 16" descr="Figure 3 is a flow chart showing the pharmacist recrui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Figure 3 is a flow chart showing the pharmacist recruitment algorithm"/>
                  <pic:cNvPicPr/>
                </pic:nvPicPr>
                <pic:blipFill>
                  <a:blip r:embed="rId1">
                    <a:extLst>
                      <a:ext uri="{28A0092B-C50C-407E-A947-70E740481C1C}">
                        <a14:useLocalDpi xmlns:a14="http://schemas.microsoft.com/office/drawing/2010/main" val="0"/>
                      </a:ext>
                    </a:extLst>
                  </a:blip>
                  <a:stretch>
                    <a:fillRect/>
                  </a:stretch>
                </pic:blipFill>
                <pic:spPr>
                  <a:xfrm>
                    <a:off x="0" y="0"/>
                    <a:ext cx="7560000" cy="3850048"/>
                  </a:xfrm>
                  <a:prstGeom prst="rect">
                    <a:avLst/>
                  </a:prstGeom>
                </pic:spPr>
              </pic:pic>
            </a:graphicData>
          </a:graphic>
        </wp:anchor>
      </w:drawing>
    </w:r>
    <w:r>
      <w:rPr>
        <w:noProof/>
        <w:lang w:eastAsia="en-AU"/>
      </w:rPr>
      <w:drawing>
        <wp:anchor distT="0" distB="0" distL="114300" distR="114300" simplePos="0" relativeHeight="251652096" behindDoc="0" locked="0" layoutInCell="1" allowOverlap="1" wp14:anchorId="26ECD5F5" wp14:editId="00C3D9C4">
          <wp:simplePos x="0" y="0"/>
          <wp:positionH relativeFrom="page">
            <wp:posOffset>5278120</wp:posOffset>
          </wp:positionH>
          <wp:positionV relativeFrom="page">
            <wp:posOffset>9796780</wp:posOffset>
          </wp:positionV>
          <wp:extent cx="1791335" cy="299720"/>
          <wp:effectExtent l="19050" t="0" r="0" b="0"/>
          <wp:wrapNone/>
          <wp:docPr id="7" name="Picture 18" descr="Description: Description: psa_logo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psa_logo_ma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335" cy="2997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9942" w14:textId="77777777" w:rsidR="00994601" w:rsidRDefault="00994601" w:rsidP="00F7746E">
      <w:r>
        <w:separator/>
      </w:r>
    </w:p>
  </w:footnote>
  <w:footnote w:type="continuationSeparator" w:id="0">
    <w:p w14:paraId="277E47C8" w14:textId="77777777" w:rsidR="00994601" w:rsidRDefault="00994601" w:rsidP="00F7746E">
      <w:r>
        <w:continuationSeparator/>
      </w:r>
    </w:p>
  </w:footnote>
  <w:footnote w:type="continuationNotice" w:id="1">
    <w:p w14:paraId="058E3AD0" w14:textId="77777777" w:rsidR="00994601" w:rsidRDefault="009946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0D4D" w14:textId="0CA89B27" w:rsidR="0063029B" w:rsidRDefault="0063029B" w:rsidP="007D3906">
    <w:pPr>
      <w:pStyle w:val="Header"/>
      <w:pBdr>
        <w:bottom w:val="none" w:sz="0" w:space="0" w:color="auto"/>
      </w:pBdr>
      <w:spacing w:before="240"/>
    </w:pPr>
    <w:r>
      <w:rPr>
        <w:noProof/>
        <w:lang w:eastAsia="en-AU"/>
      </w:rPr>
      <mc:AlternateContent>
        <mc:Choice Requires="wps">
          <w:drawing>
            <wp:anchor distT="0" distB="0" distL="114300" distR="114300" simplePos="0" relativeHeight="251674624" behindDoc="0" locked="0" layoutInCell="1" allowOverlap="1" wp14:anchorId="7A46466D" wp14:editId="1FC35F56">
              <wp:simplePos x="0" y="0"/>
              <wp:positionH relativeFrom="column">
                <wp:posOffset>5300341</wp:posOffset>
              </wp:positionH>
              <wp:positionV relativeFrom="paragraph">
                <wp:posOffset>2313681</wp:posOffset>
              </wp:positionV>
              <wp:extent cx="599790" cy="210"/>
              <wp:effectExtent l="0" t="0" r="10160" b="19050"/>
              <wp:wrapNone/>
              <wp:docPr id="8"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90" cy="210"/>
                      </a:xfrm>
                      <a:custGeom>
                        <a:avLst/>
                        <a:gdLst>
                          <a:gd name="T0" fmla="*/ 0 w 856"/>
                          <a:gd name="T1" fmla="*/ 0 h 635"/>
                          <a:gd name="T2" fmla="*/ 543560 w 856"/>
                          <a:gd name="T3" fmla="*/ 0 h 635"/>
                          <a:gd name="T4" fmla="*/ 0 60000 65536"/>
                          <a:gd name="T5" fmla="*/ 0 60000 65536"/>
                        </a:gdLst>
                        <a:ahLst/>
                        <a:cxnLst>
                          <a:cxn ang="T4">
                            <a:pos x="T0" y="T1"/>
                          </a:cxn>
                          <a:cxn ang="T5">
                            <a:pos x="T2" y="T3"/>
                          </a:cxn>
                        </a:cxnLst>
                        <a:rect l="0" t="0" r="r" b="b"/>
                        <a:pathLst>
                          <a:path w="856" h="635">
                            <a:moveTo>
                              <a:pt x="0" y="0"/>
                            </a:moveTo>
                            <a:lnTo>
                              <a:pt x="856" y="0"/>
                            </a:lnTo>
                          </a:path>
                        </a:pathLst>
                      </a:custGeom>
                      <a:noFill/>
                      <a:ln w="10160">
                        <a:solidFill>
                          <a:srgbClr val="FFFFFF"/>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197A8FB" id="Freeform 10" o:spid="_x0000_s1026" alt="&quot;&quot;" style="position:absolute;margin-left:417.35pt;margin-top:182.2pt;width:47.25pt;height:0;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85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" path="m,l856,e" filled="f" strokecolor="white" strokeweight=".8pt">
              <v:stroke miterlimit="10" joinstyle="miter"/>
              <v:path o:connecttype="custom" o:connectlocs="0,0;380866650,0" o:connectangles="0,0"/>
            </v:shape>
          </w:pict>
        </mc:Fallback>
      </mc:AlternateContent>
    </w:r>
    <w:r w:rsidRPr="001956E0">
      <w:rPr>
        <w:noProof/>
        <w:lang w:eastAsia="en-AU"/>
      </w:rPr>
      <w:drawing>
        <wp:anchor distT="0" distB="0" distL="114300" distR="114300" simplePos="0" relativeHeight="251685888" behindDoc="0" locked="0" layoutInCell="1" allowOverlap="1" wp14:anchorId="37BF9F6F" wp14:editId="2923AB40">
          <wp:simplePos x="0" y="0"/>
          <wp:positionH relativeFrom="column">
            <wp:posOffset>-1140106</wp:posOffset>
          </wp:positionH>
          <wp:positionV relativeFrom="paragraph">
            <wp:posOffset>-521496</wp:posOffset>
          </wp:positionV>
          <wp:extent cx="7740000" cy="979291"/>
          <wp:effectExtent l="0" t="0" r="0" b="0"/>
          <wp:wrapNone/>
          <wp:docPr id="26" name="Content Placeholder 2">
            <a:extLst xmlns:a="http://schemas.openxmlformats.org/drawingml/2006/main">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Content Placeholder 2">
                    <a:extLst>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pic:cNvPr>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979291"/>
                  </a:xfrm>
                  <a:prstGeom prst="rect">
                    <a:avLst/>
                  </a:prstGeom>
                </pic:spPr>
              </pic:pic>
            </a:graphicData>
          </a:graphic>
          <wp14:sizeRelH relativeFrom="page">
            <wp14:pctWidth>0</wp14:pctWidth>
          </wp14:sizeRelH>
          <wp14:sizeRelV relativeFrom="page">
            <wp14:pctHeight>0</wp14:pctHeight>
          </wp14:sizeRelV>
        </wp:anchor>
      </w:drawing>
    </w:r>
    <w:r w:rsidRPr="001956E0">
      <w:rPr>
        <w:noProof/>
        <w:lang w:eastAsia="en-AU"/>
      </w:rPr>
      <w:drawing>
        <wp:anchor distT="0" distB="0" distL="114300" distR="114300" simplePos="0" relativeHeight="251657216" behindDoc="0" locked="0" layoutInCell="1" allowOverlap="1" wp14:anchorId="37BF9F6F" wp14:editId="586D8AD8">
          <wp:simplePos x="0" y="0"/>
          <wp:positionH relativeFrom="column">
            <wp:posOffset>-1140106</wp:posOffset>
          </wp:positionH>
          <wp:positionV relativeFrom="paragraph">
            <wp:posOffset>-521496</wp:posOffset>
          </wp:positionV>
          <wp:extent cx="7740000" cy="979291"/>
          <wp:effectExtent l="0" t="0" r="0" b="0"/>
          <wp:wrapNone/>
          <wp:docPr id="3" name="Content Placeholder 2">
            <a:extLst xmlns:a="http://schemas.openxmlformats.org/drawingml/2006/main">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a:extLst>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pic:cNvPr>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9792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8040" w14:textId="2990F6AB" w:rsidR="0063029B" w:rsidRDefault="00630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E21" w14:textId="3953C9F3" w:rsidR="0063029B" w:rsidRPr="00523C52" w:rsidRDefault="0063029B" w:rsidP="00523C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6177" w14:textId="4CDF3214" w:rsidR="0063029B" w:rsidRPr="00CB54AC" w:rsidRDefault="0063029B" w:rsidP="00CB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524"/>
    <w:multiLevelType w:val="hybridMultilevel"/>
    <w:tmpl w:val="A3E4FE4C"/>
    <w:lvl w:ilvl="0" w:tplc="74E4D38E">
      <w:start w:val="1"/>
      <w:numFmt w:val="bullet"/>
      <w:pStyle w:val="TableListBullet2"/>
      <w:lvlText w:val=""/>
      <w:lvlJc w:val="left"/>
      <w:pPr>
        <w:tabs>
          <w:tab w:val="num" w:pos="680"/>
        </w:tabs>
        <w:ind w:left="680" w:hanging="340"/>
      </w:pPr>
      <w:rPr>
        <w:rFonts w:ascii="Wingdings" w:hAnsi="Wingdings"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50DA3"/>
    <w:multiLevelType w:val="hybridMultilevel"/>
    <w:tmpl w:val="FE40A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52BE6"/>
    <w:multiLevelType w:val="hybridMultilevel"/>
    <w:tmpl w:val="A01E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5077E"/>
    <w:multiLevelType w:val="hybridMultilevel"/>
    <w:tmpl w:val="998E5B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F03986"/>
    <w:multiLevelType w:val="hybridMultilevel"/>
    <w:tmpl w:val="42C02D04"/>
    <w:lvl w:ilvl="0" w:tplc="4A867984">
      <w:start w:val="1"/>
      <w:numFmt w:val="bullet"/>
      <w:pStyle w:val="TableListBullet3"/>
      <w:lvlText w:val=""/>
      <w:lvlJc w:val="left"/>
      <w:pPr>
        <w:tabs>
          <w:tab w:val="num" w:pos="1021"/>
        </w:tabs>
        <w:ind w:left="1021" w:hanging="341"/>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FB6767"/>
    <w:multiLevelType w:val="multilevel"/>
    <w:tmpl w:val="3E8CEDCE"/>
    <w:styleLink w:val="ListNumbers"/>
    <w:lvl w:ilvl="0">
      <w:start w:val="1"/>
      <w:numFmt w:val="decimal"/>
      <w:lvlText w:val="%1."/>
      <w:lvlJc w:val="left"/>
      <w:pPr>
        <w:tabs>
          <w:tab w:val="num" w:pos="567"/>
        </w:tabs>
        <w:ind w:left="567" w:hanging="567"/>
      </w:pPr>
      <w:rPr>
        <w:rFonts w:ascii="Arial" w:hAnsi="Arial" w:hint="default"/>
        <w:dstrike w:val="0"/>
        <w:sz w:val="18"/>
        <w:vertAlign w:val="baseline"/>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lvlText w:val=""/>
      <w:lvlJc w:val="left"/>
      <w:pPr>
        <w:tabs>
          <w:tab w:val="num" w:pos="2835"/>
        </w:tabs>
        <w:ind w:left="3402" w:hanging="567"/>
      </w:pPr>
      <w:rPr>
        <w:rFonts w:hint="default"/>
      </w:rPr>
    </w:lvl>
    <w:lvl w:ilvl="6">
      <w:start w:val="1"/>
      <w:numFmt w:val="none"/>
      <w:lvlText w:val=""/>
      <w:lvlJc w:val="left"/>
      <w:pPr>
        <w:tabs>
          <w:tab w:val="num" w:pos="3402"/>
        </w:tabs>
        <w:ind w:left="3969" w:hanging="567"/>
      </w:pPr>
      <w:rPr>
        <w:rFonts w:hint="default"/>
      </w:rPr>
    </w:lvl>
    <w:lvl w:ilvl="7">
      <w:start w:val="1"/>
      <w:numFmt w:val="none"/>
      <w:lvlText w:val=""/>
      <w:lvlJc w:val="left"/>
      <w:pPr>
        <w:tabs>
          <w:tab w:val="num" w:pos="3969"/>
        </w:tabs>
        <w:ind w:left="4536" w:hanging="567"/>
      </w:pPr>
      <w:rPr>
        <w:rFonts w:hint="default"/>
      </w:rPr>
    </w:lvl>
    <w:lvl w:ilvl="8">
      <w:start w:val="1"/>
      <w:numFmt w:val="none"/>
      <w:lvlText w:val=""/>
      <w:lvlJc w:val="left"/>
      <w:pPr>
        <w:tabs>
          <w:tab w:val="num" w:pos="4536"/>
        </w:tabs>
        <w:ind w:left="5103" w:hanging="567"/>
      </w:pPr>
      <w:rPr>
        <w:rFonts w:hint="default"/>
      </w:rPr>
    </w:lvl>
  </w:abstractNum>
  <w:abstractNum w:abstractNumId="7" w15:restartNumberingAfterBreak="0">
    <w:nsid w:val="0FEC7BFE"/>
    <w:multiLevelType w:val="hybridMultilevel"/>
    <w:tmpl w:val="84BEC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9" w15:restartNumberingAfterBreak="0">
    <w:nsid w:val="190875E0"/>
    <w:multiLevelType w:val="hybridMultilevel"/>
    <w:tmpl w:val="E1065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D47418"/>
    <w:multiLevelType w:val="hybridMultilevel"/>
    <w:tmpl w:val="36E44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BD72D1"/>
    <w:multiLevelType w:val="hybridMultilevel"/>
    <w:tmpl w:val="C146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F0F34"/>
    <w:multiLevelType w:val="hybridMultilevel"/>
    <w:tmpl w:val="020845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C9178F"/>
    <w:multiLevelType w:val="hybridMultilevel"/>
    <w:tmpl w:val="1EFAE052"/>
    <w:lvl w:ilvl="0" w:tplc="85F8E0A0">
      <w:start w:val="1"/>
      <w:numFmt w:val="bullet"/>
      <w:pStyle w:val="TableListBullet"/>
      <w:lvlText w:val=""/>
      <w:lvlJc w:val="left"/>
      <w:pPr>
        <w:tabs>
          <w:tab w:val="num" w:pos="340"/>
        </w:tabs>
        <w:ind w:left="340" w:hanging="34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72A5C"/>
    <w:multiLevelType w:val="hybridMultilevel"/>
    <w:tmpl w:val="AB66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EB2219"/>
    <w:multiLevelType w:val="multilevel"/>
    <w:tmpl w:val="78D4B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F52415"/>
    <w:multiLevelType w:val="hybridMultilevel"/>
    <w:tmpl w:val="D0142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5C46D1"/>
    <w:multiLevelType w:val="hybridMultilevel"/>
    <w:tmpl w:val="DF545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153A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330E84"/>
    <w:multiLevelType w:val="multilevel"/>
    <w:tmpl w:val="0ABC3114"/>
    <w:lvl w:ilvl="0">
      <w:start w:val="1"/>
      <w:numFmt w:val="none"/>
      <w:pStyle w:val="Note"/>
      <w:lvlText w:val="Note"/>
      <w:lvlJc w:val="left"/>
      <w:pPr>
        <w:tabs>
          <w:tab w:val="num" w:pos="567"/>
        </w:tabs>
        <w:ind w:left="567" w:hanging="567"/>
      </w:pPr>
      <w:rPr>
        <w:rFonts w:ascii="Arial" w:hAnsi="Arial" w:hint="default"/>
        <w:b/>
        <w:i w:val="0"/>
        <w:sz w:val="21"/>
      </w:rPr>
    </w:lvl>
    <w:lvl w:ilvl="1">
      <w:start w:val="1"/>
      <w:numFmt w:val="none"/>
      <w:pStyle w:val="Note2"/>
      <w:lvlText w:val="Note"/>
      <w:lvlJc w:val="left"/>
      <w:pPr>
        <w:tabs>
          <w:tab w:val="num" w:pos="1134"/>
        </w:tabs>
        <w:ind w:left="1134" w:hanging="567"/>
      </w:pPr>
      <w:rPr>
        <w:rFonts w:ascii="Arial" w:hAnsi="Arial" w:hint="default"/>
        <w:b/>
        <w:i w:val="0"/>
        <w:sz w:val="2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32CFB"/>
    <w:multiLevelType w:val="multilevel"/>
    <w:tmpl w:val="5406D448"/>
    <w:lvl w:ilvl="0">
      <w:start w:val="1"/>
      <w:numFmt w:val="decimal"/>
      <w:pStyle w:val="TableListNumber"/>
      <w:lvlText w:val="%1."/>
      <w:lvlJc w:val="left"/>
      <w:pPr>
        <w:tabs>
          <w:tab w:val="num" w:pos="340"/>
        </w:tabs>
        <w:ind w:left="340" w:hanging="340"/>
      </w:pPr>
      <w:rPr>
        <w:rFonts w:ascii="Arial" w:hAnsi="Arial" w:hint="default"/>
        <w:b w:val="0"/>
        <w:i w:val="0"/>
        <w:sz w:val="18"/>
      </w:rPr>
    </w:lvl>
    <w:lvl w:ilvl="1">
      <w:start w:val="1"/>
      <w:numFmt w:val="lowerLetter"/>
      <w:pStyle w:val="TableListNumber2"/>
      <w:lvlText w:val="%2)"/>
      <w:lvlJc w:val="left"/>
      <w:pPr>
        <w:ind w:left="680" w:hanging="340"/>
      </w:pPr>
      <w:rPr>
        <w:rFonts w:hint="default"/>
        <w:b w:val="0"/>
        <w:i w:val="0"/>
        <w:sz w:val="18"/>
      </w:rPr>
    </w:lvl>
    <w:lvl w:ilvl="2">
      <w:start w:val="1"/>
      <w:numFmt w:val="lowerRoman"/>
      <w:pStyle w:val="TableListNumber3"/>
      <w:lvlText w:val="%3."/>
      <w:lvlJc w:val="left"/>
      <w:pPr>
        <w:ind w:left="1021" w:hanging="341"/>
      </w:pPr>
      <w:rPr>
        <w:rFonts w:hint="default"/>
        <w:b w:val="0"/>
        <w:i w:val="0"/>
        <w:sz w:val="18"/>
      </w:rPr>
    </w:lvl>
    <w:lvl w:ilvl="3">
      <w:start w:val="1"/>
      <w:numFmt w:val="none"/>
      <w:lvlText w:val=""/>
      <w:lvlJc w:val="left"/>
      <w:pPr>
        <w:ind w:left="1361" w:hanging="340"/>
      </w:pPr>
      <w:rPr>
        <w:rFonts w:hint="default"/>
      </w:rPr>
    </w:lvl>
    <w:lvl w:ilvl="4">
      <w:start w:val="1"/>
      <w:numFmt w:val="none"/>
      <w:lvlText w:val=""/>
      <w:lvlJc w:val="left"/>
      <w:pPr>
        <w:ind w:left="1701" w:hanging="340"/>
      </w:pPr>
      <w:rPr>
        <w:rFonts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341E11FD"/>
    <w:multiLevelType w:val="hybridMultilevel"/>
    <w:tmpl w:val="9A4E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C0DC2"/>
    <w:multiLevelType w:val="hybridMultilevel"/>
    <w:tmpl w:val="0B922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4D1335"/>
    <w:multiLevelType w:val="multilevel"/>
    <w:tmpl w:val="D0C47154"/>
    <w:lvl w:ilvl="0">
      <w:start w:val="1"/>
      <w:numFmt w:val="decimal"/>
      <w:lvlText w:val="%1."/>
      <w:lvlJc w:val="left"/>
      <w:pPr>
        <w:ind w:left="360" w:hanging="360"/>
      </w:pPr>
      <w:rPr>
        <w:rFonts w:hint="default"/>
      </w:rPr>
    </w:lvl>
    <w:lvl w:ilvl="1">
      <w:start w:val="1"/>
      <w:numFmt w:val="decimal"/>
      <w:isLgl/>
      <w:lvlText w:val="%1.%2"/>
      <w:lvlJc w:val="left"/>
      <w:pPr>
        <w:ind w:left="462" w:hanging="430"/>
      </w:pPr>
      <w:rPr>
        <w:rFonts w:hint="default"/>
      </w:rPr>
    </w:lvl>
    <w:lvl w:ilvl="2">
      <w:start w:val="1"/>
      <w:numFmt w:val="decimal"/>
      <w:isLgl/>
      <w:lvlText w:val="%1.%2.%3"/>
      <w:lvlJc w:val="left"/>
      <w:pPr>
        <w:ind w:left="494" w:hanging="43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848" w:hanging="720"/>
      </w:pPr>
      <w:rPr>
        <w:rFonts w:hint="default"/>
      </w:rPr>
    </w:lvl>
    <w:lvl w:ilvl="5">
      <w:start w:val="1"/>
      <w:numFmt w:val="decimal"/>
      <w:isLgl/>
      <w:lvlText w:val="%1.%2.%3.%4.%5.%6"/>
      <w:lvlJc w:val="left"/>
      <w:pPr>
        <w:ind w:left="1240" w:hanging="1080"/>
      </w:pPr>
      <w:rPr>
        <w:rFonts w:hint="default"/>
      </w:rPr>
    </w:lvl>
    <w:lvl w:ilvl="6">
      <w:start w:val="1"/>
      <w:numFmt w:val="decimal"/>
      <w:isLgl/>
      <w:lvlText w:val="%1.%2.%3.%4.%5.%6.%7"/>
      <w:lvlJc w:val="left"/>
      <w:pPr>
        <w:ind w:left="1272" w:hanging="1080"/>
      </w:pPr>
      <w:rPr>
        <w:rFonts w:hint="default"/>
      </w:rPr>
    </w:lvl>
    <w:lvl w:ilvl="7">
      <w:start w:val="1"/>
      <w:numFmt w:val="decimal"/>
      <w:isLgl/>
      <w:lvlText w:val="%1.%2.%3.%4.%5.%6.%7.%8"/>
      <w:lvlJc w:val="left"/>
      <w:pPr>
        <w:ind w:left="1304" w:hanging="1080"/>
      </w:pPr>
      <w:rPr>
        <w:rFonts w:hint="default"/>
      </w:rPr>
    </w:lvl>
    <w:lvl w:ilvl="8">
      <w:start w:val="1"/>
      <w:numFmt w:val="decimal"/>
      <w:isLgl/>
      <w:lvlText w:val="%1.%2.%3.%4.%5.%6.%7.%8.%9"/>
      <w:lvlJc w:val="left"/>
      <w:pPr>
        <w:ind w:left="1696" w:hanging="1440"/>
      </w:pPr>
      <w:rPr>
        <w:rFonts w:hint="default"/>
      </w:rPr>
    </w:lvl>
  </w:abstractNum>
  <w:abstractNum w:abstractNumId="24" w15:restartNumberingAfterBreak="0">
    <w:nsid w:val="4231034C"/>
    <w:multiLevelType w:val="hybridMultilevel"/>
    <w:tmpl w:val="39E0BC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363061"/>
    <w:multiLevelType w:val="hybridMultilevel"/>
    <w:tmpl w:val="7DCED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D02BEA"/>
    <w:multiLevelType w:val="multilevel"/>
    <w:tmpl w:val="78D4B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BE5F54"/>
    <w:multiLevelType w:val="hybridMultilevel"/>
    <w:tmpl w:val="B0483A50"/>
    <w:lvl w:ilvl="0" w:tplc="0C09000F">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54BB5E3D"/>
    <w:multiLevelType w:val="hybridMultilevel"/>
    <w:tmpl w:val="F42CC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5283D"/>
    <w:multiLevelType w:val="multilevel"/>
    <w:tmpl w:val="BB2657EC"/>
    <w:lvl w:ilvl="0">
      <w:start w:val="1"/>
      <w:numFmt w:val="decimal"/>
      <w:pStyle w:val="ListNumber"/>
      <w:lvlText w:val="%1."/>
      <w:lvlJc w:val="left"/>
      <w:pPr>
        <w:tabs>
          <w:tab w:val="num" w:pos="567"/>
        </w:tabs>
        <w:ind w:left="567" w:hanging="567"/>
      </w:pPr>
      <w:rPr>
        <w:rFonts w:ascii="Arial" w:hAnsi="Arial" w:hint="default"/>
        <w:b w:val="0"/>
        <w:i w:val="0"/>
        <w:dstrike w:val="0"/>
        <w:color w:val="000000" w:themeColor="text1"/>
        <w:sz w:val="21"/>
        <w:vertAlign w:val="baseline"/>
      </w:rPr>
    </w:lvl>
    <w:lvl w:ilvl="1">
      <w:start w:val="1"/>
      <w:numFmt w:val="lowerLetter"/>
      <w:pStyle w:val="ListNumber2"/>
      <w:lvlText w:val="%2)"/>
      <w:lvlJc w:val="left"/>
      <w:pPr>
        <w:tabs>
          <w:tab w:val="num" w:pos="1134"/>
        </w:tabs>
        <w:ind w:left="1134" w:hanging="567"/>
      </w:pPr>
      <w:rPr>
        <w:rFonts w:hint="default"/>
        <w:b w:val="0"/>
        <w:i w:val="0"/>
        <w:sz w:val="21"/>
      </w:rPr>
    </w:lvl>
    <w:lvl w:ilvl="2">
      <w:start w:val="1"/>
      <w:numFmt w:val="lowerRoman"/>
      <w:pStyle w:val="ListNumber3"/>
      <w:lvlText w:val="%3."/>
      <w:lvlJc w:val="left"/>
      <w:pPr>
        <w:tabs>
          <w:tab w:val="num" w:pos="1701"/>
        </w:tabs>
        <w:ind w:left="1701" w:hanging="567"/>
      </w:pPr>
      <w:rPr>
        <w:rFonts w:hint="default"/>
        <w:sz w:val="21"/>
      </w:rPr>
    </w:lvl>
    <w:lvl w:ilvl="3">
      <w:start w:val="1"/>
      <w:numFmt w:val="upperLetter"/>
      <w:pStyle w:val="ListNumber4"/>
      <w:lvlText w:val="%4)"/>
      <w:lvlJc w:val="left"/>
      <w:pPr>
        <w:tabs>
          <w:tab w:val="num" w:pos="2268"/>
        </w:tabs>
        <w:ind w:left="2268" w:hanging="567"/>
      </w:pPr>
      <w:rPr>
        <w:rFonts w:hint="default"/>
      </w:rPr>
    </w:lvl>
    <w:lvl w:ilvl="4">
      <w:start w:val="1"/>
      <w:numFmt w:val="upperRoman"/>
      <w:pStyle w:val="ListNumber5"/>
      <w:lvlText w:val="%5."/>
      <w:lvlJc w:val="left"/>
      <w:pPr>
        <w:tabs>
          <w:tab w:val="num" w:pos="2835"/>
        </w:tabs>
        <w:ind w:left="2835" w:hanging="567"/>
      </w:pPr>
      <w:rPr>
        <w:rFonts w:hint="default"/>
      </w:rPr>
    </w:lvl>
    <w:lvl w:ilvl="5">
      <w:start w:val="1"/>
      <w:numFmt w:val="none"/>
      <w:lvlText w:val=""/>
      <w:lvlJc w:val="left"/>
      <w:pPr>
        <w:tabs>
          <w:tab w:val="num" w:pos="2835"/>
        </w:tabs>
        <w:ind w:left="3402" w:hanging="567"/>
      </w:pPr>
      <w:rPr>
        <w:rFonts w:hint="default"/>
      </w:rPr>
    </w:lvl>
    <w:lvl w:ilvl="6">
      <w:start w:val="1"/>
      <w:numFmt w:val="none"/>
      <w:lvlText w:val=""/>
      <w:lvlJc w:val="left"/>
      <w:pPr>
        <w:tabs>
          <w:tab w:val="num" w:pos="3402"/>
        </w:tabs>
        <w:ind w:left="3969" w:hanging="567"/>
      </w:pPr>
      <w:rPr>
        <w:rFonts w:hint="default"/>
      </w:rPr>
    </w:lvl>
    <w:lvl w:ilvl="7">
      <w:start w:val="1"/>
      <w:numFmt w:val="none"/>
      <w:lvlText w:val=""/>
      <w:lvlJc w:val="left"/>
      <w:pPr>
        <w:tabs>
          <w:tab w:val="num" w:pos="3969"/>
        </w:tabs>
        <w:ind w:left="4536" w:hanging="567"/>
      </w:pPr>
      <w:rPr>
        <w:rFonts w:hint="default"/>
      </w:rPr>
    </w:lvl>
    <w:lvl w:ilvl="8">
      <w:start w:val="1"/>
      <w:numFmt w:val="none"/>
      <w:lvlText w:val=""/>
      <w:lvlJc w:val="left"/>
      <w:pPr>
        <w:tabs>
          <w:tab w:val="num" w:pos="4536"/>
        </w:tabs>
        <w:ind w:left="5103" w:hanging="567"/>
      </w:pPr>
      <w:rPr>
        <w:rFonts w:hint="default"/>
      </w:rPr>
    </w:lvl>
  </w:abstractNum>
  <w:abstractNum w:abstractNumId="30" w15:restartNumberingAfterBreak="0">
    <w:nsid w:val="5C09187A"/>
    <w:multiLevelType w:val="hybridMultilevel"/>
    <w:tmpl w:val="DC66E4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12106E7"/>
    <w:multiLevelType w:val="multilevel"/>
    <w:tmpl w:val="2F96079A"/>
    <w:lvl w:ilvl="0">
      <w:start w:val="1"/>
      <w:numFmt w:val="bullet"/>
      <w:pStyle w:val="ListBullet"/>
      <w:lvlText w:val=""/>
      <w:lvlJc w:val="left"/>
      <w:pPr>
        <w:tabs>
          <w:tab w:val="num" w:pos="567"/>
        </w:tabs>
        <w:ind w:left="567" w:hanging="567"/>
      </w:pPr>
      <w:rPr>
        <w:rFonts w:ascii="Wingdings" w:hAnsi="Wingdings" w:hint="default"/>
        <w:color w:val="auto"/>
        <w:sz w:val="24"/>
      </w:rPr>
    </w:lvl>
    <w:lvl w:ilvl="1">
      <w:start w:val="1"/>
      <w:numFmt w:val="bullet"/>
      <w:lvlRestart w:val="0"/>
      <w:pStyle w:val="ListBullet2"/>
      <w:lvlText w:val=""/>
      <w:lvlJc w:val="left"/>
      <w:pPr>
        <w:tabs>
          <w:tab w:val="num" w:pos="1134"/>
        </w:tabs>
        <w:ind w:left="1134" w:hanging="567"/>
      </w:pPr>
      <w:rPr>
        <w:rFonts w:ascii="Wingdings" w:hAnsi="Wingdings" w:hint="default"/>
        <w:sz w:val="20"/>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w:hAnsi="Wingdings"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762713"/>
    <w:multiLevelType w:val="hybridMultilevel"/>
    <w:tmpl w:val="60566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180BE7"/>
    <w:multiLevelType w:val="hybridMultilevel"/>
    <w:tmpl w:val="A0381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A272DA"/>
    <w:multiLevelType w:val="hybridMultilevel"/>
    <w:tmpl w:val="16308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D8226E"/>
    <w:multiLevelType w:val="multilevel"/>
    <w:tmpl w:val="85C4318C"/>
    <w:lvl w:ilvl="0">
      <w:start w:val="1"/>
      <w:numFmt w:val="none"/>
      <w:suff w:val="nothing"/>
      <w:lvlText w:val="%1"/>
      <w:lvlJc w:val="left"/>
      <w:pPr>
        <w:ind w:left="0" w:firstLine="0"/>
      </w:pPr>
      <w:rPr>
        <w:rFonts w:hint="default"/>
      </w:rPr>
    </w:lvl>
    <w:lvl w:ilvl="1">
      <w:start w:val="1"/>
      <w:numFmt w:val="none"/>
      <w:lvlRestart w:val="0"/>
      <w:pStyle w:val="Heading2"/>
      <w:suff w:val="nothing"/>
      <w:lvlText w:val="%1"/>
      <w:lvlJc w:val="left"/>
      <w:pPr>
        <w:ind w:left="0" w:firstLine="0"/>
      </w:pPr>
      <w:rPr>
        <w:rFonts w:hint="default"/>
      </w:rPr>
    </w:lvl>
    <w:lvl w:ilvl="2">
      <w:start w:val="1"/>
      <w:numFmt w:val="none"/>
      <w:lvlRestart w:val="0"/>
      <w:pStyle w:val="Heading3"/>
      <w:suff w:val="nothing"/>
      <w:lvlText w:val="%1"/>
      <w:lvlJc w:val="left"/>
      <w:pPr>
        <w:ind w:left="0" w:firstLine="0"/>
      </w:pPr>
      <w:rPr>
        <w:rFonts w:hint="default"/>
      </w:rPr>
    </w:lvl>
    <w:lvl w:ilvl="3">
      <w:start w:val="1"/>
      <w:numFmt w:val="none"/>
      <w:lvlRestart w:val="0"/>
      <w:pStyle w:val="Heading4"/>
      <w:suff w:val="nothing"/>
      <w:lvlText w:val="%1"/>
      <w:lvlJc w:val="left"/>
      <w:pPr>
        <w:ind w:left="0" w:firstLine="0"/>
      </w:pPr>
      <w:rPr>
        <w:rFonts w:hint="default"/>
      </w:rPr>
    </w:lvl>
    <w:lvl w:ilvl="4">
      <w:start w:val="1"/>
      <w:numFmt w:val="none"/>
      <w:lvlRestart w:val="0"/>
      <w:pStyle w:val="Heading5"/>
      <w:suff w:val="nothing"/>
      <w:lvlText w:val="%1"/>
      <w:lvlJc w:val="left"/>
      <w:pPr>
        <w:ind w:left="0" w:firstLine="0"/>
      </w:pPr>
      <w:rPr>
        <w:rFonts w:hint="default"/>
      </w:rPr>
    </w:lvl>
    <w:lvl w:ilvl="5">
      <w:start w:val="1"/>
      <w:numFmt w:val="none"/>
      <w:lvlRestart w:val="0"/>
      <w:pStyle w:val="Heading6"/>
      <w:suff w:val="nothing"/>
      <w:lvlText w:val=""/>
      <w:lvlJc w:val="left"/>
      <w:pPr>
        <w:ind w:left="0" w:firstLine="0"/>
      </w:pPr>
      <w:rPr>
        <w:rFonts w:ascii="Verdana" w:hAnsi="Verdana" w:hint="default"/>
        <w:b/>
        <w:i w:val="0"/>
        <w:sz w:val="20"/>
      </w:rPr>
    </w:lvl>
    <w:lvl w:ilvl="6">
      <w:start w:val="1"/>
      <w:numFmt w:val="none"/>
      <w:lvlRestart w:val="0"/>
      <w:pStyle w:val="Heading7"/>
      <w:suff w:val="nothing"/>
      <w:lvlText w:val=""/>
      <w:lvlJc w:val="left"/>
      <w:pPr>
        <w:ind w:left="0" w:firstLine="0"/>
      </w:pPr>
      <w:rPr>
        <w:rFonts w:ascii="Verdana" w:hAnsi="Verdana" w:hint="default"/>
        <w:b w:val="0"/>
        <w:i/>
        <w:sz w:val="20"/>
      </w:rPr>
    </w:lvl>
    <w:lvl w:ilvl="7">
      <w:start w:val="1"/>
      <w:numFmt w:val="none"/>
      <w:lvlRestart w:val="0"/>
      <w:pStyle w:val="Heading8"/>
      <w:suff w:val="nothing"/>
      <w:lvlText w:val=""/>
      <w:lvlJc w:val="left"/>
      <w:pPr>
        <w:ind w:left="0" w:firstLine="0"/>
      </w:pPr>
      <w:rPr>
        <w:rFonts w:ascii="Verdana" w:hAnsi="Verdana" w:hint="default"/>
        <w:b/>
        <w:i w:val="0"/>
        <w:sz w:val="18"/>
      </w:rPr>
    </w:lvl>
    <w:lvl w:ilvl="8">
      <w:start w:val="1"/>
      <w:numFmt w:val="none"/>
      <w:lvlRestart w:val="0"/>
      <w:pStyle w:val="Heading9"/>
      <w:suff w:val="nothing"/>
      <w:lvlText w:val=""/>
      <w:lvlJc w:val="left"/>
      <w:pPr>
        <w:ind w:left="0" w:firstLine="0"/>
      </w:pPr>
      <w:rPr>
        <w:rFonts w:ascii="Verdana" w:hAnsi="Verdana" w:hint="default"/>
        <w:b/>
        <w:i/>
        <w:sz w:val="18"/>
      </w:rPr>
    </w:lvl>
  </w:abstractNum>
  <w:num w:numId="1">
    <w:abstractNumId w:val="35"/>
  </w:num>
  <w:num w:numId="2">
    <w:abstractNumId w:val="31"/>
  </w:num>
  <w:num w:numId="3">
    <w:abstractNumId w:val="6"/>
  </w:num>
  <w:num w:numId="4">
    <w:abstractNumId w:val="19"/>
  </w:num>
  <w:num w:numId="5">
    <w:abstractNumId w:val="13"/>
  </w:num>
  <w:num w:numId="6">
    <w:abstractNumId w:val="1"/>
  </w:num>
  <w:num w:numId="7">
    <w:abstractNumId w:val="5"/>
  </w:num>
  <w:num w:numId="8">
    <w:abstractNumId w:val="20"/>
  </w:num>
  <w:num w:numId="9">
    <w:abstractNumId w:val="29"/>
  </w:num>
  <w:num w:numId="10">
    <w:abstractNumId w:val="34"/>
  </w:num>
  <w:num w:numId="11">
    <w:abstractNumId w:val="2"/>
  </w:num>
  <w:num w:numId="12">
    <w:abstractNumId w:val="16"/>
  </w:num>
  <w:num w:numId="13">
    <w:abstractNumId w:val="9"/>
  </w:num>
  <w:num w:numId="14">
    <w:abstractNumId w:val="22"/>
  </w:num>
  <w:num w:numId="15">
    <w:abstractNumId w:val="17"/>
  </w:num>
  <w:num w:numId="16">
    <w:abstractNumId w:val="4"/>
  </w:num>
  <w:num w:numId="17">
    <w:abstractNumId w:val="12"/>
  </w:num>
  <w:num w:numId="18">
    <w:abstractNumId w:val="25"/>
  </w:num>
  <w:num w:numId="19">
    <w:abstractNumId w:val="33"/>
  </w:num>
  <w:num w:numId="20">
    <w:abstractNumId w:val="3"/>
  </w:num>
  <w:num w:numId="21">
    <w:abstractNumId w:val="35"/>
  </w:num>
  <w:num w:numId="22">
    <w:abstractNumId w:val="8"/>
  </w:num>
  <w:num w:numId="23">
    <w:abstractNumId w:val="27"/>
  </w:num>
  <w:num w:numId="24">
    <w:abstractNumId w:val="28"/>
  </w:num>
  <w:num w:numId="25">
    <w:abstractNumId w:val="0"/>
  </w:num>
  <w:num w:numId="26">
    <w:abstractNumId w:val="7"/>
  </w:num>
  <w:num w:numId="27">
    <w:abstractNumId w:val="11"/>
  </w:num>
  <w:num w:numId="28">
    <w:abstractNumId w:val="32"/>
  </w:num>
  <w:num w:numId="29">
    <w:abstractNumId w:val="23"/>
  </w:num>
  <w:num w:numId="30">
    <w:abstractNumId w:val="18"/>
  </w:num>
  <w:num w:numId="31">
    <w:abstractNumId w:val="26"/>
  </w:num>
  <w:num w:numId="32">
    <w:abstractNumId w:val="21"/>
  </w:num>
  <w:num w:numId="33">
    <w:abstractNumId w:val="30"/>
  </w:num>
  <w:num w:numId="34">
    <w:abstractNumId w:val="10"/>
  </w:num>
  <w:num w:numId="35">
    <w:abstractNumId w:val="15"/>
  </w:num>
  <w:num w:numId="36">
    <w:abstractNumId w:val="14"/>
  </w:num>
  <w:num w:numId="37">
    <w:abstractNumId w:val="2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橄ㄴ弈ؔͧ찔㈇"/>
    <w:docVar w:name="ShowDynamicGuides" w:val="w:docVa"/>
    <w:docVar w:name="ShowMarginGuides" w:val="栜ㄴͧ哐ґӤင뺘㈇Ɇ`Ѐ譀͸谀͸"/>
    <w:docVar w:name="ShowStaticGuides" w:val="&lt;"/>
  </w:docVars>
  <w:rsids>
    <w:rsidRoot w:val="00995BB3"/>
    <w:rsid w:val="0000003F"/>
    <w:rsid w:val="00000F0D"/>
    <w:rsid w:val="0000160F"/>
    <w:rsid w:val="00002085"/>
    <w:rsid w:val="000032EC"/>
    <w:rsid w:val="00003B03"/>
    <w:rsid w:val="00004680"/>
    <w:rsid w:val="00004E74"/>
    <w:rsid w:val="00005100"/>
    <w:rsid w:val="000051B5"/>
    <w:rsid w:val="0000601D"/>
    <w:rsid w:val="00010DC7"/>
    <w:rsid w:val="000113A2"/>
    <w:rsid w:val="0001176F"/>
    <w:rsid w:val="00011C1C"/>
    <w:rsid w:val="00012264"/>
    <w:rsid w:val="00012973"/>
    <w:rsid w:val="000132CC"/>
    <w:rsid w:val="000145DD"/>
    <w:rsid w:val="00015022"/>
    <w:rsid w:val="00015145"/>
    <w:rsid w:val="00016C1F"/>
    <w:rsid w:val="00016D63"/>
    <w:rsid w:val="00017063"/>
    <w:rsid w:val="0001760F"/>
    <w:rsid w:val="000179F1"/>
    <w:rsid w:val="0002162A"/>
    <w:rsid w:val="00023648"/>
    <w:rsid w:val="0002420F"/>
    <w:rsid w:val="00025BA3"/>
    <w:rsid w:val="00026F2B"/>
    <w:rsid w:val="00027E66"/>
    <w:rsid w:val="00032230"/>
    <w:rsid w:val="0003249E"/>
    <w:rsid w:val="00032741"/>
    <w:rsid w:val="00033221"/>
    <w:rsid w:val="00033239"/>
    <w:rsid w:val="00033634"/>
    <w:rsid w:val="000344A0"/>
    <w:rsid w:val="0003468F"/>
    <w:rsid w:val="00036E69"/>
    <w:rsid w:val="00037237"/>
    <w:rsid w:val="000414E5"/>
    <w:rsid w:val="00041642"/>
    <w:rsid w:val="000417D1"/>
    <w:rsid w:val="00041EA4"/>
    <w:rsid w:val="0004201C"/>
    <w:rsid w:val="0004210C"/>
    <w:rsid w:val="00042839"/>
    <w:rsid w:val="00042C9B"/>
    <w:rsid w:val="000435A2"/>
    <w:rsid w:val="00044F39"/>
    <w:rsid w:val="00044FAB"/>
    <w:rsid w:val="00045B08"/>
    <w:rsid w:val="00050115"/>
    <w:rsid w:val="00050BB7"/>
    <w:rsid w:val="00053370"/>
    <w:rsid w:val="000543F7"/>
    <w:rsid w:val="000555BA"/>
    <w:rsid w:val="00055F0D"/>
    <w:rsid w:val="0005678A"/>
    <w:rsid w:val="0005690F"/>
    <w:rsid w:val="00057971"/>
    <w:rsid w:val="00057AFE"/>
    <w:rsid w:val="00057E36"/>
    <w:rsid w:val="00060A9F"/>
    <w:rsid w:val="00061272"/>
    <w:rsid w:val="00061394"/>
    <w:rsid w:val="00061894"/>
    <w:rsid w:val="00062B74"/>
    <w:rsid w:val="000631BF"/>
    <w:rsid w:val="0006448D"/>
    <w:rsid w:val="0006454B"/>
    <w:rsid w:val="000649A8"/>
    <w:rsid w:val="0006523F"/>
    <w:rsid w:val="000660C1"/>
    <w:rsid w:val="00066E90"/>
    <w:rsid w:val="00067772"/>
    <w:rsid w:val="00067CF9"/>
    <w:rsid w:val="00070645"/>
    <w:rsid w:val="00070DDB"/>
    <w:rsid w:val="00071C0D"/>
    <w:rsid w:val="00072F1C"/>
    <w:rsid w:val="000731E6"/>
    <w:rsid w:val="0007334C"/>
    <w:rsid w:val="0007601A"/>
    <w:rsid w:val="000766D6"/>
    <w:rsid w:val="000772E3"/>
    <w:rsid w:val="00083769"/>
    <w:rsid w:val="00084965"/>
    <w:rsid w:val="00084DE8"/>
    <w:rsid w:val="00085169"/>
    <w:rsid w:val="00085DC2"/>
    <w:rsid w:val="000869D0"/>
    <w:rsid w:val="00087221"/>
    <w:rsid w:val="00087295"/>
    <w:rsid w:val="00087B28"/>
    <w:rsid w:val="00087D29"/>
    <w:rsid w:val="0009096A"/>
    <w:rsid w:val="0009101C"/>
    <w:rsid w:val="00092A7B"/>
    <w:rsid w:val="00092B04"/>
    <w:rsid w:val="00093625"/>
    <w:rsid w:val="0009548A"/>
    <w:rsid w:val="0009617A"/>
    <w:rsid w:val="000968CC"/>
    <w:rsid w:val="00097C9E"/>
    <w:rsid w:val="000A19EF"/>
    <w:rsid w:val="000A1A2B"/>
    <w:rsid w:val="000B0281"/>
    <w:rsid w:val="000B1244"/>
    <w:rsid w:val="000B2593"/>
    <w:rsid w:val="000B263C"/>
    <w:rsid w:val="000B376C"/>
    <w:rsid w:val="000B5198"/>
    <w:rsid w:val="000B6D64"/>
    <w:rsid w:val="000B7851"/>
    <w:rsid w:val="000B7A52"/>
    <w:rsid w:val="000C0B5D"/>
    <w:rsid w:val="000C1B6E"/>
    <w:rsid w:val="000C2D39"/>
    <w:rsid w:val="000C2FBE"/>
    <w:rsid w:val="000C47AC"/>
    <w:rsid w:val="000C5861"/>
    <w:rsid w:val="000C5AD2"/>
    <w:rsid w:val="000D1558"/>
    <w:rsid w:val="000D18A9"/>
    <w:rsid w:val="000D27DA"/>
    <w:rsid w:val="000D2828"/>
    <w:rsid w:val="000D3155"/>
    <w:rsid w:val="000D3454"/>
    <w:rsid w:val="000D5C4E"/>
    <w:rsid w:val="000D5FFC"/>
    <w:rsid w:val="000D6606"/>
    <w:rsid w:val="000D6D45"/>
    <w:rsid w:val="000D7CF2"/>
    <w:rsid w:val="000E0A4E"/>
    <w:rsid w:val="000E1218"/>
    <w:rsid w:val="000E123C"/>
    <w:rsid w:val="000E13AA"/>
    <w:rsid w:val="000E1CCC"/>
    <w:rsid w:val="000E3A94"/>
    <w:rsid w:val="000E7024"/>
    <w:rsid w:val="000E71DB"/>
    <w:rsid w:val="000F1441"/>
    <w:rsid w:val="000F14BD"/>
    <w:rsid w:val="000F265F"/>
    <w:rsid w:val="000F3B33"/>
    <w:rsid w:val="000F5121"/>
    <w:rsid w:val="000F6DF9"/>
    <w:rsid w:val="000F6FF0"/>
    <w:rsid w:val="000F71F0"/>
    <w:rsid w:val="000F74E5"/>
    <w:rsid w:val="000F7CA0"/>
    <w:rsid w:val="001004F4"/>
    <w:rsid w:val="00101E75"/>
    <w:rsid w:val="001021BB"/>
    <w:rsid w:val="00102880"/>
    <w:rsid w:val="00102AA9"/>
    <w:rsid w:val="00102B4C"/>
    <w:rsid w:val="001055DA"/>
    <w:rsid w:val="001069E6"/>
    <w:rsid w:val="00106B4F"/>
    <w:rsid w:val="00106D5A"/>
    <w:rsid w:val="00107373"/>
    <w:rsid w:val="00107E2E"/>
    <w:rsid w:val="00110580"/>
    <w:rsid w:val="00110F86"/>
    <w:rsid w:val="001116C7"/>
    <w:rsid w:val="00112229"/>
    <w:rsid w:val="001135FE"/>
    <w:rsid w:val="001137A2"/>
    <w:rsid w:val="001139E9"/>
    <w:rsid w:val="001145FF"/>
    <w:rsid w:val="0011491D"/>
    <w:rsid w:val="001156A1"/>
    <w:rsid w:val="00115AD2"/>
    <w:rsid w:val="00116330"/>
    <w:rsid w:val="00116AF6"/>
    <w:rsid w:val="00116FF6"/>
    <w:rsid w:val="0011797B"/>
    <w:rsid w:val="001215D3"/>
    <w:rsid w:val="00121774"/>
    <w:rsid w:val="00121796"/>
    <w:rsid w:val="00121948"/>
    <w:rsid w:val="001223E8"/>
    <w:rsid w:val="00122D05"/>
    <w:rsid w:val="001246E9"/>
    <w:rsid w:val="00125440"/>
    <w:rsid w:val="001300D2"/>
    <w:rsid w:val="001301B7"/>
    <w:rsid w:val="00130A22"/>
    <w:rsid w:val="001313E7"/>
    <w:rsid w:val="001331DD"/>
    <w:rsid w:val="001332D5"/>
    <w:rsid w:val="00134CCE"/>
    <w:rsid w:val="00134FFE"/>
    <w:rsid w:val="001353B7"/>
    <w:rsid w:val="00135DAD"/>
    <w:rsid w:val="00136B2B"/>
    <w:rsid w:val="00140205"/>
    <w:rsid w:val="00141E12"/>
    <w:rsid w:val="00141F1B"/>
    <w:rsid w:val="001428A4"/>
    <w:rsid w:val="00143783"/>
    <w:rsid w:val="00145C11"/>
    <w:rsid w:val="00145EA7"/>
    <w:rsid w:val="00146A25"/>
    <w:rsid w:val="00146AC6"/>
    <w:rsid w:val="00147AAC"/>
    <w:rsid w:val="0015049A"/>
    <w:rsid w:val="00150F18"/>
    <w:rsid w:val="00151AAA"/>
    <w:rsid w:val="00152054"/>
    <w:rsid w:val="00152288"/>
    <w:rsid w:val="00153318"/>
    <w:rsid w:val="001555DB"/>
    <w:rsid w:val="00155C70"/>
    <w:rsid w:val="00156C5D"/>
    <w:rsid w:val="00156F73"/>
    <w:rsid w:val="00161184"/>
    <w:rsid w:val="00161BA5"/>
    <w:rsid w:val="00161E32"/>
    <w:rsid w:val="001630B0"/>
    <w:rsid w:val="001634C8"/>
    <w:rsid w:val="00164471"/>
    <w:rsid w:val="0016694E"/>
    <w:rsid w:val="0016745D"/>
    <w:rsid w:val="00167A70"/>
    <w:rsid w:val="001702EE"/>
    <w:rsid w:val="00170AB3"/>
    <w:rsid w:val="00171784"/>
    <w:rsid w:val="0017226C"/>
    <w:rsid w:val="00173329"/>
    <w:rsid w:val="0017375D"/>
    <w:rsid w:val="0017473D"/>
    <w:rsid w:val="0017711E"/>
    <w:rsid w:val="00177206"/>
    <w:rsid w:val="00177481"/>
    <w:rsid w:val="0018139E"/>
    <w:rsid w:val="00181FF2"/>
    <w:rsid w:val="0018223F"/>
    <w:rsid w:val="00183739"/>
    <w:rsid w:val="00183C99"/>
    <w:rsid w:val="00186D3F"/>
    <w:rsid w:val="00186ED3"/>
    <w:rsid w:val="00187838"/>
    <w:rsid w:val="00190707"/>
    <w:rsid w:val="001924DA"/>
    <w:rsid w:val="0019313F"/>
    <w:rsid w:val="0019319C"/>
    <w:rsid w:val="00195555"/>
    <w:rsid w:val="00196A6F"/>
    <w:rsid w:val="001A0373"/>
    <w:rsid w:val="001A0960"/>
    <w:rsid w:val="001A14C3"/>
    <w:rsid w:val="001A2447"/>
    <w:rsid w:val="001A7BC9"/>
    <w:rsid w:val="001B20EA"/>
    <w:rsid w:val="001B25B6"/>
    <w:rsid w:val="001B3809"/>
    <w:rsid w:val="001B3B2F"/>
    <w:rsid w:val="001B4B7D"/>
    <w:rsid w:val="001B7769"/>
    <w:rsid w:val="001B7A7E"/>
    <w:rsid w:val="001B7E10"/>
    <w:rsid w:val="001B7F26"/>
    <w:rsid w:val="001C020C"/>
    <w:rsid w:val="001C1568"/>
    <w:rsid w:val="001C18FB"/>
    <w:rsid w:val="001C2C8E"/>
    <w:rsid w:val="001C377E"/>
    <w:rsid w:val="001C4D19"/>
    <w:rsid w:val="001C4EA0"/>
    <w:rsid w:val="001C512E"/>
    <w:rsid w:val="001C630E"/>
    <w:rsid w:val="001D0D00"/>
    <w:rsid w:val="001D0E41"/>
    <w:rsid w:val="001D1A95"/>
    <w:rsid w:val="001D258D"/>
    <w:rsid w:val="001D4DF7"/>
    <w:rsid w:val="001D529E"/>
    <w:rsid w:val="001D5D84"/>
    <w:rsid w:val="001D6755"/>
    <w:rsid w:val="001D734D"/>
    <w:rsid w:val="001D7F60"/>
    <w:rsid w:val="001E085D"/>
    <w:rsid w:val="001E0F82"/>
    <w:rsid w:val="001E31AD"/>
    <w:rsid w:val="001E48B8"/>
    <w:rsid w:val="001E67CA"/>
    <w:rsid w:val="001E795F"/>
    <w:rsid w:val="001F08A4"/>
    <w:rsid w:val="001F1389"/>
    <w:rsid w:val="001F19CC"/>
    <w:rsid w:val="001F26F8"/>
    <w:rsid w:val="001F33D3"/>
    <w:rsid w:val="001F4331"/>
    <w:rsid w:val="001F4C53"/>
    <w:rsid w:val="001F5AEF"/>
    <w:rsid w:val="001F6036"/>
    <w:rsid w:val="001F649A"/>
    <w:rsid w:val="001F652B"/>
    <w:rsid w:val="001F7166"/>
    <w:rsid w:val="001F73F3"/>
    <w:rsid w:val="001F77FC"/>
    <w:rsid w:val="0020028A"/>
    <w:rsid w:val="002006B1"/>
    <w:rsid w:val="002016A4"/>
    <w:rsid w:val="00201A57"/>
    <w:rsid w:val="00203232"/>
    <w:rsid w:val="00204394"/>
    <w:rsid w:val="002101F3"/>
    <w:rsid w:val="00210778"/>
    <w:rsid w:val="002121E6"/>
    <w:rsid w:val="0021370F"/>
    <w:rsid w:val="00213D30"/>
    <w:rsid w:val="002143DE"/>
    <w:rsid w:val="002143E2"/>
    <w:rsid w:val="00214D48"/>
    <w:rsid w:val="00214F50"/>
    <w:rsid w:val="002157BC"/>
    <w:rsid w:val="00220A2D"/>
    <w:rsid w:val="00220AFA"/>
    <w:rsid w:val="00220D51"/>
    <w:rsid w:val="00221F26"/>
    <w:rsid w:val="00223A21"/>
    <w:rsid w:val="002248A3"/>
    <w:rsid w:val="00225538"/>
    <w:rsid w:val="00226920"/>
    <w:rsid w:val="00227137"/>
    <w:rsid w:val="002279D0"/>
    <w:rsid w:val="002324F4"/>
    <w:rsid w:val="002339AF"/>
    <w:rsid w:val="00234DD1"/>
    <w:rsid w:val="00234DE3"/>
    <w:rsid w:val="002359A5"/>
    <w:rsid w:val="00235B2E"/>
    <w:rsid w:val="00235C40"/>
    <w:rsid w:val="00236A10"/>
    <w:rsid w:val="00240AA2"/>
    <w:rsid w:val="0024324D"/>
    <w:rsid w:val="00243343"/>
    <w:rsid w:val="002433EF"/>
    <w:rsid w:val="00244E77"/>
    <w:rsid w:val="00245417"/>
    <w:rsid w:val="002467AF"/>
    <w:rsid w:val="00246A5C"/>
    <w:rsid w:val="00246FEC"/>
    <w:rsid w:val="0024770E"/>
    <w:rsid w:val="002477C6"/>
    <w:rsid w:val="00250108"/>
    <w:rsid w:val="0025249C"/>
    <w:rsid w:val="0026067A"/>
    <w:rsid w:val="00261260"/>
    <w:rsid w:val="00262028"/>
    <w:rsid w:val="00262DF9"/>
    <w:rsid w:val="0026419C"/>
    <w:rsid w:val="00264BC0"/>
    <w:rsid w:val="002653C1"/>
    <w:rsid w:val="00265800"/>
    <w:rsid w:val="00265C6B"/>
    <w:rsid w:val="00265E17"/>
    <w:rsid w:val="00265F92"/>
    <w:rsid w:val="002669DE"/>
    <w:rsid w:val="00270C9C"/>
    <w:rsid w:val="00271602"/>
    <w:rsid w:val="002721D2"/>
    <w:rsid w:val="0027226E"/>
    <w:rsid w:val="00273884"/>
    <w:rsid w:val="00274E34"/>
    <w:rsid w:val="00274EF6"/>
    <w:rsid w:val="0027609D"/>
    <w:rsid w:val="00276FC3"/>
    <w:rsid w:val="00277407"/>
    <w:rsid w:val="00277514"/>
    <w:rsid w:val="00277696"/>
    <w:rsid w:val="002805D1"/>
    <w:rsid w:val="002812DD"/>
    <w:rsid w:val="002823C5"/>
    <w:rsid w:val="00285077"/>
    <w:rsid w:val="00286811"/>
    <w:rsid w:val="00286EA0"/>
    <w:rsid w:val="00287741"/>
    <w:rsid w:val="00287D15"/>
    <w:rsid w:val="002934B9"/>
    <w:rsid w:val="00293A2C"/>
    <w:rsid w:val="00293E6D"/>
    <w:rsid w:val="002950B6"/>
    <w:rsid w:val="002977C1"/>
    <w:rsid w:val="00297D36"/>
    <w:rsid w:val="002A06CE"/>
    <w:rsid w:val="002A09C7"/>
    <w:rsid w:val="002A11D0"/>
    <w:rsid w:val="002A2484"/>
    <w:rsid w:val="002A3587"/>
    <w:rsid w:val="002A461B"/>
    <w:rsid w:val="002A5337"/>
    <w:rsid w:val="002A53F7"/>
    <w:rsid w:val="002A5EBE"/>
    <w:rsid w:val="002A7EF7"/>
    <w:rsid w:val="002B07B8"/>
    <w:rsid w:val="002B0C97"/>
    <w:rsid w:val="002B1BB2"/>
    <w:rsid w:val="002B1DED"/>
    <w:rsid w:val="002B4477"/>
    <w:rsid w:val="002B509C"/>
    <w:rsid w:val="002B54D3"/>
    <w:rsid w:val="002B589B"/>
    <w:rsid w:val="002B5922"/>
    <w:rsid w:val="002B5FB9"/>
    <w:rsid w:val="002B5FE0"/>
    <w:rsid w:val="002B66B4"/>
    <w:rsid w:val="002B6790"/>
    <w:rsid w:val="002B6A99"/>
    <w:rsid w:val="002B6D35"/>
    <w:rsid w:val="002C0A2E"/>
    <w:rsid w:val="002C0C72"/>
    <w:rsid w:val="002C0D15"/>
    <w:rsid w:val="002C12C7"/>
    <w:rsid w:val="002C2839"/>
    <w:rsid w:val="002C2DF2"/>
    <w:rsid w:val="002C597E"/>
    <w:rsid w:val="002C6485"/>
    <w:rsid w:val="002C78AD"/>
    <w:rsid w:val="002D018D"/>
    <w:rsid w:val="002D0A21"/>
    <w:rsid w:val="002D0B4C"/>
    <w:rsid w:val="002D0C04"/>
    <w:rsid w:val="002D12AD"/>
    <w:rsid w:val="002D2F61"/>
    <w:rsid w:val="002D31E0"/>
    <w:rsid w:val="002D33DC"/>
    <w:rsid w:val="002D39F0"/>
    <w:rsid w:val="002D3EC5"/>
    <w:rsid w:val="002D4DA8"/>
    <w:rsid w:val="002D512B"/>
    <w:rsid w:val="002D5732"/>
    <w:rsid w:val="002D63D8"/>
    <w:rsid w:val="002D724D"/>
    <w:rsid w:val="002D7E34"/>
    <w:rsid w:val="002E0BDF"/>
    <w:rsid w:val="002E1896"/>
    <w:rsid w:val="002E2B39"/>
    <w:rsid w:val="002E41C8"/>
    <w:rsid w:val="002E63EC"/>
    <w:rsid w:val="002E7AB7"/>
    <w:rsid w:val="002F046B"/>
    <w:rsid w:val="002F19F9"/>
    <w:rsid w:val="002F21EF"/>
    <w:rsid w:val="002F3834"/>
    <w:rsid w:val="002F3EDC"/>
    <w:rsid w:val="002F3FDA"/>
    <w:rsid w:val="002F41B6"/>
    <w:rsid w:val="002F42C6"/>
    <w:rsid w:val="002F465C"/>
    <w:rsid w:val="002F4D07"/>
    <w:rsid w:val="002F4FB1"/>
    <w:rsid w:val="002F5505"/>
    <w:rsid w:val="002F5DDB"/>
    <w:rsid w:val="002F6792"/>
    <w:rsid w:val="002F68CE"/>
    <w:rsid w:val="002F6C28"/>
    <w:rsid w:val="002F6D68"/>
    <w:rsid w:val="002F6D82"/>
    <w:rsid w:val="002F77B7"/>
    <w:rsid w:val="002F7B31"/>
    <w:rsid w:val="00300CFD"/>
    <w:rsid w:val="003018C5"/>
    <w:rsid w:val="00302DE4"/>
    <w:rsid w:val="00303A2D"/>
    <w:rsid w:val="003041F2"/>
    <w:rsid w:val="003043BD"/>
    <w:rsid w:val="003057F6"/>
    <w:rsid w:val="00305A5F"/>
    <w:rsid w:val="00306F16"/>
    <w:rsid w:val="003072F4"/>
    <w:rsid w:val="00310043"/>
    <w:rsid w:val="00314BE5"/>
    <w:rsid w:val="00314ED1"/>
    <w:rsid w:val="00315DD9"/>
    <w:rsid w:val="00320350"/>
    <w:rsid w:val="00321654"/>
    <w:rsid w:val="00321884"/>
    <w:rsid w:val="00324362"/>
    <w:rsid w:val="00326DAA"/>
    <w:rsid w:val="00327632"/>
    <w:rsid w:val="00331214"/>
    <w:rsid w:val="00332D51"/>
    <w:rsid w:val="0033336A"/>
    <w:rsid w:val="003334BA"/>
    <w:rsid w:val="00333CA0"/>
    <w:rsid w:val="0033443E"/>
    <w:rsid w:val="00335F19"/>
    <w:rsid w:val="003376E9"/>
    <w:rsid w:val="003377A1"/>
    <w:rsid w:val="00337F21"/>
    <w:rsid w:val="00340C7D"/>
    <w:rsid w:val="0034105A"/>
    <w:rsid w:val="003428A7"/>
    <w:rsid w:val="00342FA4"/>
    <w:rsid w:val="00343077"/>
    <w:rsid w:val="0034318C"/>
    <w:rsid w:val="00343516"/>
    <w:rsid w:val="00345064"/>
    <w:rsid w:val="00345C74"/>
    <w:rsid w:val="00346145"/>
    <w:rsid w:val="00346D56"/>
    <w:rsid w:val="003479A2"/>
    <w:rsid w:val="003507C6"/>
    <w:rsid w:val="00350928"/>
    <w:rsid w:val="00350A03"/>
    <w:rsid w:val="00350E54"/>
    <w:rsid w:val="003516DD"/>
    <w:rsid w:val="00351A07"/>
    <w:rsid w:val="003521EA"/>
    <w:rsid w:val="003528C5"/>
    <w:rsid w:val="0035472B"/>
    <w:rsid w:val="00354751"/>
    <w:rsid w:val="00356673"/>
    <w:rsid w:val="00361852"/>
    <w:rsid w:val="00362A9A"/>
    <w:rsid w:val="00364BDF"/>
    <w:rsid w:val="003651B3"/>
    <w:rsid w:val="00365BF9"/>
    <w:rsid w:val="00366B7F"/>
    <w:rsid w:val="00367EF9"/>
    <w:rsid w:val="0037090F"/>
    <w:rsid w:val="00370CA6"/>
    <w:rsid w:val="0037130A"/>
    <w:rsid w:val="0037253A"/>
    <w:rsid w:val="003728AB"/>
    <w:rsid w:val="00372B3D"/>
    <w:rsid w:val="00373729"/>
    <w:rsid w:val="00373947"/>
    <w:rsid w:val="0037417F"/>
    <w:rsid w:val="00374523"/>
    <w:rsid w:val="00374DF9"/>
    <w:rsid w:val="00375790"/>
    <w:rsid w:val="003771FC"/>
    <w:rsid w:val="00377B23"/>
    <w:rsid w:val="003804D2"/>
    <w:rsid w:val="0038096E"/>
    <w:rsid w:val="00380B75"/>
    <w:rsid w:val="003820B3"/>
    <w:rsid w:val="003824DC"/>
    <w:rsid w:val="003827F4"/>
    <w:rsid w:val="00383AB3"/>
    <w:rsid w:val="00383DCC"/>
    <w:rsid w:val="00387C70"/>
    <w:rsid w:val="00392D76"/>
    <w:rsid w:val="00393BA3"/>
    <w:rsid w:val="00396351"/>
    <w:rsid w:val="00396B5E"/>
    <w:rsid w:val="00397E07"/>
    <w:rsid w:val="003A2F61"/>
    <w:rsid w:val="003A3B7F"/>
    <w:rsid w:val="003A4525"/>
    <w:rsid w:val="003A4541"/>
    <w:rsid w:val="003A7ECB"/>
    <w:rsid w:val="003B1F7E"/>
    <w:rsid w:val="003B25D4"/>
    <w:rsid w:val="003B3F0B"/>
    <w:rsid w:val="003B4D84"/>
    <w:rsid w:val="003B7675"/>
    <w:rsid w:val="003C0CAE"/>
    <w:rsid w:val="003C1524"/>
    <w:rsid w:val="003C25D4"/>
    <w:rsid w:val="003C2C78"/>
    <w:rsid w:val="003C2C79"/>
    <w:rsid w:val="003C32C4"/>
    <w:rsid w:val="003C3E94"/>
    <w:rsid w:val="003C48E4"/>
    <w:rsid w:val="003C6F4D"/>
    <w:rsid w:val="003D1E8F"/>
    <w:rsid w:val="003D31F5"/>
    <w:rsid w:val="003D37D2"/>
    <w:rsid w:val="003D4024"/>
    <w:rsid w:val="003D4461"/>
    <w:rsid w:val="003D5E6D"/>
    <w:rsid w:val="003D5F98"/>
    <w:rsid w:val="003D60A8"/>
    <w:rsid w:val="003D6EE7"/>
    <w:rsid w:val="003D7634"/>
    <w:rsid w:val="003D7795"/>
    <w:rsid w:val="003D7C34"/>
    <w:rsid w:val="003E0F6C"/>
    <w:rsid w:val="003E1715"/>
    <w:rsid w:val="003E2F87"/>
    <w:rsid w:val="003E36EE"/>
    <w:rsid w:val="003E69FA"/>
    <w:rsid w:val="003E730E"/>
    <w:rsid w:val="003F03B1"/>
    <w:rsid w:val="003F06E7"/>
    <w:rsid w:val="003F0F91"/>
    <w:rsid w:val="003F1C3C"/>
    <w:rsid w:val="003F1C5B"/>
    <w:rsid w:val="003F29F0"/>
    <w:rsid w:val="003F49C5"/>
    <w:rsid w:val="003F518D"/>
    <w:rsid w:val="003F6E83"/>
    <w:rsid w:val="003F746E"/>
    <w:rsid w:val="003F776F"/>
    <w:rsid w:val="003F7CA4"/>
    <w:rsid w:val="004006DB"/>
    <w:rsid w:val="00401A4C"/>
    <w:rsid w:val="00402855"/>
    <w:rsid w:val="00403595"/>
    <w:rsid w:val="00403AC5"/>
    <w:rsid w:val="00403BD2"/>
    <w:rsid w:val="00404D47"/>
    <w:rsid w:val="00405024"/>
    <w:rsid w:val="00406085"/>
    <w:rsid w:val="00406671"/>
    <w:rsid w:val="00407502"/>
    <w:rsid w:val="00413B6C"/>
    <w:rsid w:val="00415E3A"/>
    <w:rsid w:val="00416CCF"/>
    <w:rsid w:val="00416CFA"/>
    <w:rsid w:val="00416D0E"/>
    <w:rsid w:val="00417493"/>
    <w:rsid w:val="00421043"/>
    <w:rsid w:val="004215D9"/>
    <w:rsid w:val="00422D97"/>
    <w:rsid w:val="00424B59"/>
    <w:rsid w:val="00424F40"/>
    <w:rsid w:val="00425AFD"/>
    <w:rsid w:val="00426541"/>
    <w:rsid w:val="00426BE7"/>
    <w:rsid w:val="00430093"/>
    <w:rsid w:val="00430439"/>
    <w:rsid w:val="00431011"/>
    <w:rsid w:val="00432684"/>
    <w:rsid w:val="00432859"/>
    <w:rsid w:val="004331B8"/>
    <w:rsid w:val="0043424E"/>
    <w:rsid w:val="00437CD0"/>
    <w:rsid w:val="00441253"/>
    <w:rsid w:val="00441D5C"/>
    <w:rsid w:val="004425EB"/>
    <w:rsid w:val="00446BE5"/>
    <w:rsid w:val="004471FA"/>
    <w:rsid w:val="00447360"/>
    <w:rsid w:val="00447EC5"/>
    <w:rsid w:val="00450E0D"/>
    <w:rsid w:val="00450FA2"/>
    <w:rsid w:val="00450FBA"/>
    <w:rsid w:val="00451301"/>
    <w:rsid w:val="00451EAC"/>
    <w:rsid w:val="0045257A"/>
    <w:rsid w:val="00453634"/>
    <w:rsid w:val="00453E00"/>
    <w:rsid w:val="00455675"/>
    <w:rsid w:val="0045688C"/>
    <w:rsid w:val="00457877"/>
    <w:rsid w:val="004607D3"/>
    <w:rsid w:val="00461E66"/>
    <w:rsid w:val="00461EB9"/>
    <w:rsid w:val="0046364E"/>
    <w:rsid w:val="00465390"/>
    <w:rsid w:val="00465CEC"/>
    <w:rsid w:val="0046658E"/>
    <w:rsid w:val="004666D3"/>
    <w:rsid w:val="00467B31"/>
    <w:rsid w:val="004708A3"/>
    <w:rsid w:val="00470A58"/>
    <w:rsid w:val="00471EA6"/>
    <w:rsid w:val="0047341E"/>
    <w:rsid w:val="004765EF"/>
    <w:rsid w:val="00476BFA"/>
    <w:rsid w:val="00476CF8"/>
    <w:rsid w:val="004771BF"/>
    <w:rsid w:val="00477324"/>
    <w:rsid w:val="00480223"/>
    <w:rsid w:val="00480C5A"/>
    <w:rsid w:val="00480EFD"/>
    <w:rsid w:val="00481CD3"/>
    <w:rsid w:val="00482E9F"/>
    <w:rsid w:val="00483A9F"/>
    <w:rsid w:val="00484441"/>
    <w:rsid w:val="0048683E"/>
    <w:rsid w:val="004871DC"/>
    <w:rsid w:val="00487898"/>
    <w:rsid w:val="00487925"/>
    <w:rsid w:val="00490828"/>
    <w:rsid w:val="00491911"/>
    <w:rsid w:val="004919F6"/>
    <w:rsid w:val="00492092"/>
    <w:rsid w:val="004921B5"/>
    <w:rsid w:val="004925B9"/>
    <w:rsid w:val="00492A9F"/>
    <w:rsid w:val="00493992"/>
    <w:rsid w:val="004945BC"/>
    <w:rsid w:val="00495D60"/>
    <w:rsid w:val="004972A5"/>
    <w:rsid w:val="004A0405"/>
    <w:rsid w:val="004A05D2"/>
    <w:rsid w:val="004A06AC"/>
    <w:rsid w:val="004A0DC8"/>
    <w:rsid w:val="004A15E2"/>
    <w:rsid w:val="004A178E"/>
    <w:rsid w:val="004A248A"/>
    <w:rsid w:val="004A29C9"/>
    <w:rsid w:val="004A3D95"/>
    <w:rsid w:val="004A4BD1"/>
    <w:rsid w:val="004A5981"/>
    <w:rsid w:val="004A7250"/>
    <w:rsid w:val="004A7AF7"/>
    <w:rsid w:val="004B0F5E"/>
    <w:rsid w:val="004B16BE"/>
    <w:rsid w:val="004B18BD"/>
    <w:rsid w:val="004B1EF6"/>
    <w:rsid w:val="004B28BA"/>
    <w:rsid w:val="004B34C5"/>
    <w:rsid w:val="004B6A53"/>
    <w:rsid w:val="004B7E5D"/>
    <w:rsid w:val="004C0EE9"/>
    <w:rsid w:val="004C2D26"/>
    <w:rsid w:val="004C5415"/>
    <w:rsid w:val="004C6361"/>
    <w:rsid w:val="004C641F"/>
    <w:rsid w:val="004C6969"/>
    <w:rsid w:val="004D0B34"/>
    <w:rsid w:val="004D0EBE"/>
    <w:rsid w:val="004D1E8B"/>
    <w:rsid w:val="004D1F24"/>
    <w:rsid w:val="004D2901"/>
    <w:rsid w:val="004D2AC3"/>
    <w:rsid w:val="004D3450"/>
    <w:rsid w:val="004D4941"/>
    <w:rsid w:val="004D50FA"/>
    <w:rsid w:val="004D7AA4"/>
    <w:rsid w:val="004E5299"/>
    <w:rsid w:val="004E5474"/>
    <w:rsid w:val="004E65DA"/>
    <w:rsid w:val="004E7256"/>
    <w:rsid w:val="004E73B3"/>
    <w:rsid w:val="004F078F"/>
    <w:rsid w:val="004F087A"/>
    <w:rsid w:val="004F18FF"/>
    <w:rsid w:val="004F238E"/>
    <w:rsid w:val="004F27B1"/>
    <w:rsid w:val="004F4AB1"/>
    <w:rsid w:val="004F4FE3"/>
    <w:rsid w:val="004F63A3"/>
    <w:rsid w:val="004F73C2"/>
    <w:rsid w:val="00501F5A"/>
    <w:rsid w:val="0050302B"/>
    <w:rsid w:val="0050377C"/>
    <w:rsid w:val="005039AD"/>
    <w:rsid w:val="00504940"/>
    <w:rsid w:val="00505527"/>
    <w:rsid w:val="0050583F"/>
    <w:rsid w:val="00505956"/>
    <w:rsid w:val="00507A37"/>
    <w:rsid w:val="005108C9"/>
    <w:rsid w:val="0051092A"/>
    <w:rsid w:val="00510994"/>
    <w:rsid w:val="005139FA"/>
    <w:rsid w:val="00515D04"/>
    <w:rsid w:val="00516321"/>
    <w:rsid w:val="00516489"/>
    <w:rsid w:val="0051717A"/>
    <w:rsid w:val="00517F2F"/>
    <w:rsid w:val="005200C3"/>
    <w:rsid w:val="0052033E"/>
    <w:rsid w:val="00520891"/>
    <w:rsid w:val="0052125A"/>
    <w:rsid w:val="00522531"/>
    <w:rsid w:val="005239D8"/>
    <w:rsid w:val="00523B0F"/>
    <w:rsid w:val="00523C52"/>
    <w:rsid w:val="00523F85"/>
    <w:rsid w:val="00523FFA"/>
    <w:rsid w:val="00525180"/>
    <w:rsid w:val="00525BEE"/>
    <w:rsid w:val="0052619E"/>
    <w:rsid w:val="00527EFE"/>
    <w:rsid w:val="005302F2"/>
    <w:rsid w:val="005311A2"/>
    <w:rsid w:val="00531273"/>
    <w:rsid w:val="00531913"/>
    <w:rsid w:val="005321DA"/>
    <w:rsid w:val="0053284A"/>
    <w:rsid w:val="005334DB"/>
    <w:rsid w:val="00534980"/>
    <w:rsid w:val="0053516C"/>
    <w:rsid w:val="005355FA"/>
    <w:rsid w:val="00536536"/>
    <w:rsid w:val="0053758F"/>
    <w:rsid w:val="00542561"/>
    <w:rsid w:val="005451B7"/>
    <w:rsid w:val="0054645F"/>
    <w:rsid w:val="005465AB"/>
    <w:rsid w:val="00546C6E"/>
    <w:rsid w:val="00546F57"/>
    <w:rsid w:val="0055149F"/>
    <w:rsid w:val="00552598"/>
    <w:rsid w:val="0055297A"/>
    <w:rsid w:val="00553927"/>
    <w:rsid w:val="00554F02"/>
    <w:rsid w:val="00555149"/>
    <w:rsid w:val="00555321"/>
    <w:rsid w:val="005554A4"/>
    <w:rsid w:val="005557AD"/>
    <w:rsid w:val="0056035D"/>
    <w:rsid w:val="00561E10"/>
    <w:rsid w:val="00561F7A"/>
    <w:rsid w:val="00561FE0"/>
    <w:rsid w:val="00562237"/>
    <w:rsid w:val="005633BD"/>
    <w:rsid w:val="005656A7"/>
    <w:rsid w:val="005658F0"/>
    <w:rsid w:val="005659B7"/>
    <w:rsid w:val="00565B54"/>
    <w:rsid w:val="00567185"/>
    <w:rsid w:val="00567EED"/>
    <w:rsid w:val="00567F3C"/>
    <w:rsid w:val="00567FEA"/>
    <w:rsid w:val="00570273"/>
    <w:rsid w:val="00570290"/>
    <w:rsid w:val="00570C10"/>
    <w:rsid w:val="005714DE"/>
    <w:rsid w:val="0057267E"/>
    <w:rsid w:val="00572D7D"/>
    <w:rsid w:val="00573D0B"/>
    <w:rsid w:val="005753F1"/>
    <w:rsid w:val="00577618"/>
    <w:rsid w:val="005803D8"/>
    <w:rsid w:val="005820EC"/>
    <w:rsid w:val="00582A1A"/>
    <w:rsid w:val="00583CB5"/>
    <w:rsid w:val="00583EEA"/>
    <w:rsid w:val="00584626"/>
    <w:rsid w:val="00584C47"/>
    <w:rsid w:val="0058539D"/>
    <w:rsid w:val="00587388"/>
    <w:rsid w:val="00590423"/>
    <w:rsid w:val="00592D1D"/>
    <w:rsid w:val="0059306D"/>
    <w:rsid w:val="005940D5"/>
    <w:rsid w:val="00595038"/>
    <w:rsid w:val="00595711"/>
    <w:rsid w:val="00595940"/>
    <w:rsid w:val="00597FCD"/>
    <w:rsid w:val="005A20EC"/>
    <w:rsid w:val="005A387D"/>
    <w:rsid w:val="005A4794"/>
    <w:rsid w:val="005A60EC"/>
    <w:rsid w:val="005A74AA"/>
    <w:rsid w:val="005B02AE"/>
    <w:rsid w:val="005B43E5"/>
    <w:rsid w:val="005B4CCB"/>
    <w:rsid w:val="005B5F35"/>
    <w:rsid w:val="005B7040"/>
    <w:rsid w:val="005C0012"/>
    <w:rsid w:val="005C04E5"/>
    <w:rsid w:val="005C1CD3"/>
    <w:rsid w:val="005C2033"/>
    <w:rsid w:val="005C3BF9"/>
    <w:rsid w:val="005C415C"/>
    <w:rsid w:val="005C50FE"/>
    <w:rsid w:val="005C74EA"/>
    <w:rsid w:val="005D1C96"/>
    <w:rsid w:val="005D1E2C"/>
    <w:rsid w:val="005D288B"/>
    <w:rsid w:val="005D34B1"/>
    <w:rsid w:val="005D351C"/>
    <w:rsid w:val="005D62A2"/>
    <w:rsid w:val="005D67A3"/>
    <w:rsid w:val="005D6C1C"/>
    <w:rsid w:val="005D7A0B"/>
    <w:rsid w:val="005E0507"/>
    <w:rsid w:val="005E0E27"/>
    <w:rsid w:val="005E2019"/>
    <w:rsid w:val="005E20B6"/>
    <w:rsid w:val="005E225C"/>
    <w:rsid w:val="005E356A"/>
    <w:rsid w:val="005E432E"/>
    <w:rsid w:val="005E66E4"/>
    <w:rsid w:val="005E6891"/>
    <w:rsid w:val="005E750E"/>
    <w:rsid w:val="005F0873"/>
    <w:rsid w:val="005F0AD0"/>
    <w:rsid w:val="005F16A5"/>
    <w:rsid w:val="005F172A"/>
    <w:rsid w:val="005F1959"/>
    <w:rsid w:val="005F1B97"/>
    <w:rsid w:val="005F1EA9"/>
    <w:rsid w:val="005F2AC7"/>
    <w:rsid w:val="005F2AE6"/>
    <w:rsid w:val="005F3846"/>
    <w:rsid w:val="005F4F77"/>
    <w:rsid w:val="005F6F47"/>
    <w:rsid w:val="005F7D14"/>
    <w:rsid w:val="006021A1"/>
    <w:rsid w:val="00602590"/>
    <w:rsid w:val="006055D4"/>
    <w:rsid w:val="006057CB"/>
    <w:rsid w:val="00605CAB"/>
    <w:rsid w:val="00606ACA"/>
    <w:rsid w:val="00607C17"/>
    <w:rsid w:val="0061356B"/>
    <w:rsid w:val="00613F28"/>
    <w:rsid w:val="006145E5"/>
    <w:rsid w:val="006148E0"/>
    <w:rsid w:val="00615AE2"/>
    <w:rsid w:val="006209A5"/>
    <w:rsid w:val="00621035"/>
    <w:rsid w:val="0062448E"/>
    <w:rsid w:val="00625521"/>
    <w:rsid w:val="0062584A"/>
    <w:rsid w:val="00625882"/>
    <w:rsid w:val="00625A6F"/>
    <w:rsid w:val="006264C9"/>
    <w:rsid w:val="0063029B"/>
    <w:rsid w:val="00630C1B"/>
    <w:rsid w:val="00630C93"/>
    <w:rsid w:val="00630EAD"/>
    <w:rsid w:val="00631CB8"/>
    <w:rsid w:val="006322FF"/>
    <w:rsid w:val="0063365A"/>
    <w:rsid w:val="0063409C"/>
    <w:rsid w:val="00634C40"/>
    <w:rsid w:val="00635FAD"/>
    <w:rsid w:val="006364AB"/>
    <w:rsid w:val="00636980"/>
    <w:rsid w:val="006374BE"/>
    <w:rsid w:val="006376F6"/>
    <w:rsid w:val="006400E2"/>
    <w:rsid w:val="00641F02"/>
    <w:rsid w:val="00642163"/>
    <w:rsid w:val="006430D8"/>
    <w:rsid w:val="00643F5D"/>
    <w:rsid w:val="00646544"/>
    <w:rsid w:val="006468CB"/>
    <w:rsid w:val="00647C96"/>
    <w:rsid w:val="00647E89"/>
    <w:rsid w:val="006503AA"/>
    <w:rsid w:val="006504FF"/>
    <w:rsid w:val="00653A34"/>
    <w:rsid w:val="00654807"/>
    <w:rsid w:val="00655CB4"/>
    <w:rsid w:val="00656F80"/>
    <w:rsid w:val="006572B2"/>
    <w:rsid w:val="00661B47"/>
    <w:rsid w:val="0066214D"/>
    <w:rsid w:val="00663A0C"/>
    <w:rsid w:val="006658E3"/>
    <w:rsid w:val="0066625B"/>
    <w:rsid w:val="0066673A"/>
    <w:rsid w:val="00666747"/>
    <w:rsid w:val="00667120"/>
    <w:rsid w:val="00667764"/>
    <w:rsid w:val="00671D53"/>
    <w:rsid w:val="00672EB8"/>
    <w:rsid w:val="006733D0"/>
    <w:rsid w:val="0067409B"/>
    <w:rsid w:val="006760F0"/>
    <w:rsid w:val="006766AE"/>
    <w:rsid w:val="0067768D"/>
    <w:rsid w:val="00680496"/>
    <w:rsid w:val="00680BE8"/>
    <w:rsid w:val="0068261D"/>
    <w:rsid w:val="0068428D"/>
    <w:rsid w:val="006862A1"/>
    <w:rsid w:val="00690823"/>
    <w:rsid w:val="00690FB8"/>
    <w:rsid w:val="0069113B"/>
    <w:rsid w:val="00691760"/>
    <w:rsid w:val="006931E5"/>
    <w:rsid w:val="00693E4D"/>
    <w:rsid w:val="006947B4"/>
    <w:rsid w:val="00694CBF"/>
    <w:rsid w:val="006A397C"/>
    <w:rsid w:val="006A399A"/>
    <w:rsid w:val="006A3A95"/>
    <w:rsid w:val="006A49F4"/>
    <w:rsid w:val="006A5349"/>
    <w:rsid w:val="006A5B09"/>
    <w:rsid w:val="006A69BD"/>
    <w:rsid w:val="006B11A2"/>
    <w:rsid w:val="006B2E2E"/>
    <w:rsid w:val="006B3A7C"/>
    <w:rsid w:val="006B44E7"/>
    <w:rsid w:val="006C152D"/>
    <w:rsid w:val="006C1A70"/>
    <w:rsid w:val="006C1C39"/>
    <w:rsid w:val="006C2F74"/>
    <w:rsid w:val="006C322B"/>
    <w:rsid w:val="006C43CB"/>
    <w:rsid w:val="006C537C"/>
    <w:rsid w:val="006C672D"/>
    <w:rsid w:val="006C6963"/>
    <w:rsid w:val="006D0754"/>
    <w:rsid w:val="006D31D7"/>
    <w:rsid w:val="006D50D2"/>
    <w:rsid w:val="006D674D"/>
    <w:rsid w:val="006E091A"/>
    <w:rsid w:val="006E2309"/>
    <w:rsid w:val="006E5381"/>
    <w:rsid w:val="006E669D"/>
    <w:rsid w:val="006E6ABF"/>
    <w:rsid w:val="006E7BF1"/>
    <w:rsid w:val="006F04E5"/>
    <w:rsid w:val="006F1424"/>
    <w:rsid w:val="006F19C1"/>
    <w:rsid w:val="006F313A"/>
    <w:rsid w:val="006F4963"/>
    <w:rsid w:val="006F5E21"/>
    <w:rsid w:val="006F65C1"/>
    <w:rsid w:val="006F7F5E"/>
    <w:rsid w:val="007014AC"/>
    <w:rsid w:val="00701868"/>
    <w:rsid w:val="00701E9D"/>
    <w:rsid w:val="00702FDA"/>
    <w:rsid w:val="007030C0"/>
    <w:rsid w:val="00703369"/>
    <w:rsid w:val="00703A40"/>
    <w:rsid w:val="00703D5D"/>
    <w:rsid w:val="0070432E"/>
    <w:rsid w:val="00705008"/>
    <w:rsid w:val="0070662D"/>
    <w:rsid w:val="00707EBB"/>
    <w:rsid w:val="007105F5"/>
    <w:rsid w:val="00711BA2"/>
    <w:rsid w:val="00711E06"/>
    <w:rsid w:val="00711E1A"/>
    <w:rsid w:val="00712757"/>
    <w:rsid w:val="00712964"/>
    <w:rsid w:val="00716D86"/>
    <w:rsid w:val="00721826"/>
    <w:rsid w:val="007228E3"/>
    <w:rsid w:val="00722D30"/>
    <w:rsid w:val="0072306A"/>
    <w:rsid w:val="00724F8A"/>
    <w:rsid w:val="00725775"/>
    <w:rsid w:val="007257AC"/>
    <w:rsid w:val="00730000"/>
    <w:rsid w:val="007327B5"/>
    <w:rsid w:val="00732DCF"/>
    <w:rsid w:val="0073321E"/>
    <w:rsid w:val="00733DA3"/>
    <w:rsid w:val="0073452B"/>
    <w:rsid w:val="0073500F"/>
    <w:rsid w:val="007350B2"/>
    <w:rsid w:val="00735130"/>
    <w:rsid w:val="00735378"/>
    <w:rsid w:val="00735E01"/>
    <w:rsid w:val="00736E82"/>
    <w:rsid w:val="00741626"/>
    <w:rsid w:val="00742C89"/>
    <w:rsid w:val="00742E3E"/>
    <w:rsid w:val="007456BE"/>
    <w:rsid w:val="00745C3B"/>
    <w:rsid w:val="00746E60"/>
    <w:rsid w:val="007470F9"/>
    <w:rsid w:val="00747C9D"/>
    <w:rsid w:val="00750303"/>
    <w:rsid w:val="00750CAA"/>
    <w:rsid w:val="0075162B"/>
    <w:rsid w:val="00752E49"/>
    <w:rsid w:val="00753130"/>
    <w:rsid w:val="007534F9"/>
    <w:rsid w:val="007539AC"/>
    <w:rsid w:val="00754484"/>
    <w:rsid w:val="00754563"/>
    <w:rsid w:val="00754ED6"/>
    <w:rsid w:val="007556D2"/>
    <w:rsid w:val="00756D6C"/>
    <w:rsid w:val="0075767B"/>
    <w:rsid w:val="00757C8D"/>
    <w:rsid w:val="00757D7F"/>
    <w:rsid w:val="00760DB6"/>
    <w:rsid w:val="00761073"/>
    <w:rsid w:val="0076118C"/>
    <w:rsid w:val="007611E5"/>
    <w:rsid w:val="00762192"/>
    <w:rsid w:val="007625DF"/>
    <w:rsid w:val="00762977"/>
    <w:rsid w:val="00763859"/>
    <w:rsid w:val="00763975"/>
    <w:rsid w:val="00767008"/>
    <w:rsid w:val="00767A2A"/>
    <w:rsid w:val="00767BD4"/>
    <w:rsid w:val="00770372"/>
    <w:rsid w:val="0077055D"/>
    <w:rsid w:val="00771185"/>
    <w:rsid w:val="00772AC0"/>
    <w:rsid w:val="00772C3C"/>
    <w:rsid w:val="007731AF"/>
    <w:rsid w:val="007735D1"/>
    <w:rsid w:val="0077770E"/>
    <w:rsid w:val="00777D96"/>
    <w:rsid w:val="00777E6E"/>
    <w:rsid w:val="007816E8"/>
    <w:rsid w:val="00784F3F"/>
    <w:rsid w:val="00786BC3"/>
    <w:rsid w:val="0079206C"/>
    <w:rsid w:val="0079297C"/>
    <w:rsid w:val="00792DB4"/>
    <w:rsid w:val="007938A5"/>
    <w:rsid w:val="007950A2"/>
    <w:rsid w:val="00795127"/>
    <w:rsid w:val="00796756"/>
    <w:rsid w:val="00797E54"/>
    <w:rsid w:val="007A08EF"/>
    <w:rsid w:val="007A14D4"/>
    <w:rsid w:val="007A198E"/>
    <w:rsid w:val="007A1BF8"/>
    <w:rsid w:val="007A2344"/>
    <w:rsid w:val="007A280F"/>
    <w:rsid w:val="007A2B4D"/>
    <w:rsid w:val="007A2D67"/>
    <w:rsid w:val="007A31E0"/>
    <w:rsid w:val="007A40B8"/>
    <w:rsid w:val="007A44E8"/>
    <w:rsid w:val="007A4C0E"/>
    <w:rsid w:val="007A7B44"/>
    <w:rsid w:val="007B0E78"/>
    <w:rsid w:val="007B25D5"/>
    <w:rsid w:val="007B38D6"/>
    <w:rsid w:val="007B3A78"/>
    <w:rsid w:val="007B4EA2"/>
    <w:rsid w:val="007B59AC"/>
    <w:rsid w:val="007B5A0F"/>
    <w:rsid w:val="007B6C50"/>
    <w:rsid w:val="007B72B5"/>
    <w:rsid w:val="007B7B22"/>
    <w:rsid w:val="007C1BAF"/>
    <w:rsid w:val="007C244D"/>
    <w:rsid w:val="007C33ED"/>
    <w:rsid w:val="007C43CB"/>
    <w:rsid w:val="007C46A6"/>
    <w:rsid w:val="007C4880"/>
    <w:rsid w:val="007C5994"/>
    <w:rsid w:val="007C6CD7"/>
    <w:rsid w:val="007C7A9A"/>
    <w:rsid w:val="007C7D26"/>
    <w:rsid w:val="007C7F46"/>
    <w:rsid w:val="007D153E"/>
    <w:rsid w:val="007D3906"/>
    <w:rsid w:val="007D6263"/>
    <w:rsid w:val="007D6C24"/>
    <w:rsid w:val="007D7379"/>
    <w:rsid w:val="007E095A"/>
    <w:rsid w:val="007E0B96"/>
    <w:rsid w:val="007E24B3"/>
    <w:rsid w:val="007E2C9D"/>
    <w:rsid w:val="007E2DEC"/>
    <w:rsid w:val="007E3114"/>
    <w:rsid w:val="007E3D47"/>
    <w:rsid w:val="007E3D7C"/>
    <w:rsid w:val="007E760E"/>
    <w:rsid w:val="007F05BE"/>
    <w:rsid w:val="007F122B"/>
    <w:rsid w:val="007F24D3"/>
    <w:rsid w:val="007F2C1E"/>
    <w:rsid w:val="007F2DAD"/>
    <w:rsid w:val="007F54B7"/>
    <w:rsid w:val="007F65C8"/>
    <w:rsid w:val="007F6AAE"/>
    <w:rsid w:val="008000C7"/>
    <w:rsid w:val="00800338"/>
    <w:rsid w:val="0080198A"/>
    <w:rsid w:val="00801AED"/>
    <w:rsid w:val="00801B4A"/>
    <w:rsid w:val="008029EE"/>
    <w:rsid w:val="00802E2C"/>
    <w:rsid w:val="00802E59"/>
    <w:rsid w:val="008040EF"/>
    <w:rsid w:val="0080482E"/>
    <w:rsid w:val="0080651F"/>
    <w:rsid w:val="00806758"/>
    <w:rsid w:val="0080720A"/>
    <w:rsid w:val="0080784D"/>
    <w:rsid w:val="0081083D"/>
    <w:rsid w:val="00810E8B"/>
    <w:rsid w:val="0081249B"/>
    <w:rsid w:val="00814C55"/>
    <w:rsid w:val="0081629D"/>
    <w:rsid w:val="00817CCB"/>
    <w:rsid w:val="0082080F"/>
    <w:rsid w:val="00820EB3"/>
    <w:rsid w:val="0082142E"/>
    <w:rsid w:val="008226F8"/>
    <w:rsid w:val="008252FF"/>
    <w:rsid w:val="008267A4"/>
    <w:rsid w:val="008305D3"/>
    <w:rsid w:val="00830775"/>
    <w:rsid w:val="0083191C"/>
    <w:rsid w:val="00831ABA"/>
    <w:rsid w:val="00832249"/>
    <w:rsid w:val="00832730"/>
    <w:rsid w:val="00833656"/>
    <w:rsid w:val="008346B5"/>
    <w:rsid w:val="00835431"/>
    <w:rsid w:val="00835BF7"/>
    <w:rsid w:val="00836835"/>
    <w:rsid w:val="00836967"/>
    <w:rsid w:val="00837A53"/>
    <w:rsid w:val="00841282"/>
    <w:rsid w:val="00842716"/>
    <w:rsid w:val="0084316A"/>
    <w:rsid w:val="00843B83"/>
    <w:rsid w:val="0084415E"/>
    <w:rsid w:val="008442A9"/>
    <w:rsid w:val="00847333"/>
    <w:rsid w:val="008479C4"/>
    <w:rsid w:val="00847B6E"/>
    <w:rsid w:val="00847BA5"/>
    <w:rsid w:val="008508C8"/>
    <w:rsid w:val="00850920"/>
    <w:rsid w:val="00851DB9"/>
    <w:rsid w:val="00853DDA"/>
    <w:rsid w:val="00856543"/>
    <w:rsid w:val="00856574"/>
    <w:rsid w:val="00856984"/>
    <w:rsid w:val="00857757"/>
    <w:rsid w:val="00857F55"/>
    <w:rsid w:val="0086054E"/>
    <w:rsid w:val="00860FDB"/>
    <w:rsid w:val="00862A9E"/>
    <w:rsid w:val="00864761"/>
    <w:rsid w:val="00865659"/>
    <w:rsid w:val="00865F0F"/>
    <w:rsid w:val="008664BB"/>
    <w:rsid w:val="00866C13"/>
    <w:rsid w:val="00867E07"/>
    <w:rsid w:val="0087143D"/>
    <w:rsid w:val="00871C23"/>
    <w:rsid w:val="00872E9B"/>
    <w:rsid w:val="00874A8B"/>
    <w:rsid w:val="0087608F"/>
    <w:rsid w:val="0087614F"/>
    <w:rsid w:val="008762D7"/>
    <w:rsid w:val="008762FD"/>
    <w:rsid w:val="00876C40"/>
    <w:rsid w:val="00881F40"/>
    <w:rsid w:val="00884562"/>
    <w:rsid w:val="00886481"/>
    <w:rsid w:val="0088785C"/>
    <w:rsid w:val="008910B1"/>
    <w:rsid w:val="00892554"/>
    <w:rsid w:val="00892B32"/>
    <w:rsid w:val="008934F3"/>
    <w:rsid w:val="00897D86"/>
    <w:rsid w:val="008A40B6"/>
    <w:rsid w:val="008A49DD"/>
    <w:rsid w:val="008A4B6C"/>
    <w:rsid w:val="008A5161"/>
    <w:rsid w:val="008A74B2"/>
    <w:rsid w:val="008B2FA8"/>
    <w:rsid w:val="008B3703"/>
    <w:rsid w:val="008B3E58"/>
    <w:rsid w:val="008B4580"/>
    <w:rsid w:val="008B66AD"/>
    <w:rsid w:val="008B6E5C"/>
    <w:rsid w:val="008B7C4A"/>
    <w:rsid w:val="008C1C4F"/>
    <w:rsid w:val="008C356F"/>
    <w:rsid w:val="008C4293"/>
    <w:rsid w:val="008D0268"/>
    <w:rsid w:val="008D0CE7"/>
    <w:rsid w:val="008D3005"/>
    <w:rsid w:val="008D31A0"/>
    <w:rsid w:val="008D40AD"/>
    <w:rsid w:val="008D5221"/>
    <w:rsid w:val="008D628C"/>
    <w:rsid w:val="008D6627"/>
    <w:rsid w:val="008D7071"/>
    <w:rsid w:val="008D712B"/>
    <w:rsid w:val="008E29C3"/>
    <w:rsid w:val="008E362D"/>
    <w:rsid w:val="008E4609"/>
    <w:rsid w:val="008E4643"/>
    <w:rsid w:val="008E506F"/>
    <w:rsid w:val="008E5E03"/>
    <w:rsid w:val="008E67D2"/>
    <w:rsid w:val="008E7438"/>
    <w:rsid w:val="008F01B4"/>
    <w:rsid w:val="008F071C"/>
    <w:rsid w:val="008F5230"/>
    <w:rsid w:val="008F5CE7"/>
    <w:rsid w:val="00902123"/>
    <w:rsid w:val="00903345"/>
    <w:rsid w:val="00904167"/>
    <w:rsid w:val="009041BC"/>
    <w:rsid w:val="00904463"/>
    <w:rsid w:val="00905159"/>
    <w:rsid w:val="00905399"/>
    <w:rsid w:val="00907E2F"/>
    <w:rsid w:val="009106B8"/>
    <w:rsid w:val="0091131F"/>
    <w:rsid w:val="00911742"/>
    <w:rsid w:val="00911D37"/>
    <w:rsid w:val="00913699"/>
    <w:rsid w:val="009137C1"/>
    <w:rsid w:val="009148D8"/>
    <w:rsid w:val="00914AB8"/>
    <w:rsid w:val="00915703"/>
    <w:rsid w:val="00915A01"/>
    <w:rsid w:val="00916B1F"/>
    <w:rsid w:val="00917A05"/>
    <w:rsid w:val="00917B44"/>
    <w:rsid w:val="009208F0"/>
    <w:rsid w:val="00921693"/>
    <w:rsid w:val="0092186C"/>
    <w:rsid w:val="0092395F"/>
    <w:rsid w:val="00924150"/>
    <w:rsid w:val="00924381"/>
    <w:rsid w:val="009254CC"/>
    <w:rsid w:val="00925E94"/>
    <w:rsid w:val="00926FF7"/>
    <w:rsid w:val="00927304"/>
    <w:rsid w:val="009275AB"/>
    <w:rsid w:val="00927BE3"/>
    <w:rsid w:val="009300D0"/>
    <w:rsid w:val="009302EE"/>
    <w:rsid w:val="009304CD"/>
    <w:rsid w:val="0093081F"/>
    <w:rsid w:val="009318A9"/>
    <w:rsid w:val="00935FC6"/>
    <w:rsid w:val="00936D23"/>
    <w:rsid w:val="009372EB"/>
    <w:rsid w:val="009375E3"/>
    <w:rsid w:val="00940125"/>
    <w:rsid w:val="0094025C"/>
    <w:rsid w:val="009402E0"/>
    <w:rsid w:val="0094095B"/>
    <w:rsid w:val="00940E0A"/>
    <w:rsid w:val="00941354"/>
    <w:rsid w:val="0094159D"/>
    <w:rsid w:val="009417BB"/>
    <w:rsid w:val="00941872"/>
    <w:rsid w:val="00941B38"/>
    <w:rsid w:val="00942B0E"/>
    <w:rsid w:val="009457A5"/>
    <w:rsid w:val="00945FA9"/>
    <w:rsid w:val="0095126D"/>
    <w:rsid w:val="009525C0"/>
    <w:rsid w:val="00952733"/>
    <w:rsid w:val="00953D60"/>
    <w:rsid w:val="009544A4"/>
    <w:rsid w:val="0095639A"/>
    <w:rsid w:val="00957715"/>
    <w:rsid w:val="00960519"/>
    <w:rsid w:val="00962514"/>
    <w:rsid w:val="00963004"/>
    <w:rsid w:val="00963411"/>
    <w:rsid w:val="00963810"/>
    <w:rsid w:val="009642DB"/>
    <w:rsid w:val="00965E9B"/>
    <w:rsid w:val="009700F0"/>
    <w:rsid w:val="00970348"/>
    <w:rsid w:val="00971663"/>
    <w:rsid w:val="00971685"/>
    <w:rsid w:val="00971831"/>
    <w:rsid w:val="00971989"/>
    <w:rsid w:val="00972C10"/>
    <w:rsid w:val="009745E3"/>
    <w:rsid w:val="00974835"/>
    <w:rsid w:val="009750B9"/>
    <w:rsid w:val="0097619A"/>
    <w:rsid w:val="009763E7"/>
    <w:rsid w:val="009766F9"/>
    <w:rsid w:val="0098236D"/>
    <w:rsid w:val="00982BC0"/>
    <w:rsid w:val="00982FBB"/>
    <w:rsid w:val="00983E4D"/>
    <w:rsid w:val="00985204"/>
    <w:rsid w:val="0098668F"/>
    <w:rsid w:val="00987F41"/>
    <w:rsid w:val="00991755"/>
    <w:rsid w:val="00992304"/>
    <w:rsid w:val="009925CD"/>
    <w:rsid w:val="00994601"/>
    <w:rsid w:val="00995BB3"/>
    <w:rsid w:val="00996BDB"/>
    <w:rsid w:val="00997352"/>
    <w:rsid w:val="00997C74"/>
    <w:rsid w:val="009A022E"/>
    <w:rsid w:val="009A0567"/>
    <w:rsid w:val="009A0C01"/>
    <w:rsid w:val="009A23C9"/>
    <w:rsid w:val="009A244C"/>
    <w:rsid w:val="009A341A"/>
    <w:rsid w:val="009A4161"/>
    <w:rsid w:val="009A5860"/>
    <w:rsid w:val="009A5914"/>
    <w:rsid w:val="009A7891"/>
    <w:rsid w:val="009B2715"/>
    <w:rsid w:val="009B39EE"/>
    <w:rsid w:val="009B5E0A"/>
    <w:rsid w:val="009B69E8"/>
    <w:rsid w:val="009B7103"/>
    <w:rsid w:val="009B798E"/>
    <w:rsid w:val="009C07D3"/>
    <w:rsid w:val="009C41BE"/>
    <w:rsid w:val="009C4A54"/>
    <w:rsid w:val="009C58E2"/>
    <w:rsid w:val="009C65D9"/>
    <w:rsid w:val="009C7532"/>
    <w:rsid w:val="009C7BCE"/>
    <w:rsid w:val="009D068B"/>
    <w:rsid w:val="009D1189"/>
    <w:rsid w:val="009D1C44"/>
    <w:rsid w:val="009D318A"/>
    <w:rsid w:val="009D41E7"/>
    <w:rsid w:val="009D44F3"/>
    <w:rsid w:val="009D5F7F"/>
    <w:rsid w:val="009D7AC7"/>
    <w:rsid w:val="009E0036"/>
    <w:rsid w:val="009E0061"/>
    <w:rsid w:val="009E1743"/>
    <w:rsid w:val="009E3B0E"/>
    <w:rsid w:val="009E3E8A"/>
    <w:rsid w:val="009E456E"/>
    <w:rsid w:val="009E593C"/>
    <w:rsid w:val="009E5DE7"/>
    <w:rsid w:val="009F0C54"/>
    <w:rsid w:val="009F126F"/>
    <w:rsid w:val="009F12FA"/>
    <w:rsid w:val="009F6F08"/>
    <w:rsid w:val="00A01E32"/>
    <w:rsid w:val="00A039D6"/>
    <w:rsid w:val="00A0421A"/>
    <w:rsid w:val="00A042C9"/>
    <w:rsid w:val="00A055CC"/>
    <w:rsid w:val="00A05B53"/>
    <w:rsid w:val="00A06DBB"/>
    <w:rsid w:val="00A07AA4"/>
    <w:rsid w:val="00A105CE"/>
    <w:rsid w:val="00A1187D"/>
    <w:rsid w:val="00A11A3F"/>
    <w:rsid w:val="00A152ED"/>
    <w:rsid w:val="00A155E0"/>
    <w:rsid w:val="00A16EB7"/>
    <w:rsid w:val="00A20AB4"/>
    <w:rsid w:val="00A212C8"/>
    <w:rsid w:val="00A22991"/>
    <w:rsid w:val="00A23177"/>
    <w:rsid w:val="00A23BD9"/>
    <w:rsid w:val="00A23E40"/>
    <w:rsid w:val="00A2433C"/>
    <w:rsid w:val="00A24452"/>
    <w:rsid w:val="00A249AF"/>
    <w:rsid w:val="00A25CAF"/>
    <w:rsid w:val="00A27737"/>
    <w:rsid w:val="00A30B5E"/>
    <w:rsid w:val="00A30CFD"/>
    <w:rsid w:val="00A3137B"/>
    <w:rsid w:val="00A3185E"/>
    <w:rsid w:val="00A324BB"/>
    <w:rsid w:val="00A3313A"/>
    <w:rsid w:val="00A332FF"/>
    <w:rsid w:val="00A35AA6"/>
    <w:rsid w:val="00A36F45"/>
    <w:rsid w:val="00A37310"/>
    <w:rsid w:val="00A37731"/>
    <w:rsid w:val="00A4100B"/>
    <w:rsid w:val="00A412A2"/>
    <w:rsid w:val="00A41953"/>
    <w:rsid w:val="00A44A9B"/>
    <w:rsid w:val="00A468CF"/>
    <w:rsid w:val="00A468DF"/>
    <w:rsid w:val="00A51B45"/>
    <w:rsid w:val="00A54241"/>
    <w:rsid w:val="00A54E4B"/>
    <w:rsid w:val="00A559EC"/>
    <w:rsid w:val="00A55F48"/>
    <w:rsid w:val="00A561FB"/>
    <w:rsid w:val="00A5685C"/>
    <w:rsid w:val="00A56945"/>
    <w:rsid w:val="00A5788A"/>
    <w:rsid w:val="00A60C12"/>
    <w:rsid w:val="00A62BB4"/>
    <w:rsid w:val="00A638D8"/>
    <w:rsid w:val="00A63DD2"/>
    <w:rsid w:val="00A66508"/>
    <w:rsid w:val="00A70A23"/>
    <w:rsid w:val="00A70C37"/>
    <w:rsid w:val="00A711BF"/>
    <w:rsid w:val="00A71B06"/>
    <w:rsid w:val="00A729A4"/>
    <w:rsid w:val="00A7437D"/>
    <w:rsid w:val="00A75E35"/>
    <w:rsid w:val="00A7637C"/>
    <w:rsid w:val="00A76974"/>
    <w:rsid w:val="00A77BA1"/>
    <w:rsid w:val="00A82708"/>
    <w:rsid w:val="00A82E0D"/>
    <w:rsid w:val="00A83AB1"/>
    <w:rsid w:val="00A84F71"/>
    <w:rsid w:val="00A85363"/>
    <w:rsid w:val="00A85C43"/>
    <w:rsid w:val="00A86D7B"/>
    <w:rsid w:val="00A87E26"/>
    <w:rsid w:val="00A90EDE"/>
    <w:rsid w:val="00A92936"/>
    <w:rsid w:val="00A92CE5"/>
    <w:rsid w:val="00A92DEE"/>
    <w:rsid w:val="00A93680"/>
    <w:rsid w:val="00A95421"/>
    <w:rsid w:val="00A96184"/>
    <w:rsid w:val="00A96735"/>
    <w:rsid w:val="00A96A4D"/>
    <w:rsid w:val="00AA0E49"/>
    <w:rsid w:val="00AA3363"/>
    <w:rsid w:val="00AA4023"/>
    <w:rsid w:val="00AA42B4"/>
    <w:rsid w:val="00AA6C92"/>
    <w:rsid w:val="00AB1DCA"/>
    <w:rsid w:val="00AB3B4B"/>
    <w:rsid w:val="00AB4272"/>
    <w:rsid w:val="00AB485B"/>
    <w:rsid w:val="00AB649D"/>
    <w:rsid w:val="00AC133C"/>
    <w:rsid w:val="00AC1381"/>
    <w:rsid w:val="00AC1C1A"/>
    <w:rsid w:val="00AC1D2C"/>
    <w:rsid w:val="00AC2171"/>
    <w:rsid w:val="00AC3DBD"/>
    <w:rsid w:val="00AC44A4"/>
    <w:rsid w:val="00AC4C3A"/>
    <w:rsid w:val="00AC634B"/>
    <w:rsid w:val="00AC6D54"/>
    <w:rsid w:val="00AC6DFB"/>
    <w:rsid w:val="00AC724D"/>
    <w:rsid w:val="00AC72CB"/>
    <w:rsid w:val="00AC7361"/>
    <w:rsid w:val="00AC7F14"/>
    <w:rsid w:val="00AD0147"/>
    <w:rsid w:val="00AD0D3F"/>
    <w:rsid w:val="00AD0DD5"/>
    <w:rsid w:val="00AD1D0E"/>
    <w:rsid w:val="00AD253E"/>
    <w:rsid w:val="00AD3209"/>
    <w:rsid w:val="00AD39C9"/>
    <w:rsid w:val="00AD553A"/>
    <w:rsid w:val="00AD5EE0"/>
    <w:rsid w:val="00AD604F"/>
    <w:rsid w:val="00AD76F7"/>
    <w:rsid w:val="00AE0754"/>
    <w:rsid w:val="00AE0B84"/>
    <w:rsid w:val="00AE1C29"/>
    <w:rsid w:val="00AE5BA0"/>
    <w:rsid w:val="00AE7085"/>
    <w:rsid w:val="00AE7D0C"/>
    <w:rsid w:val="00AF170D"/>
    <w:rsid w:val="00AF1BF0"/>
    <w:rsid w:val="00AF3C5A"/>
    <w:rsid w:val="00AF3DA7"/>
    <w:rsid w:val="00AF40A9"/>
    <w:rsid w:val="00AF4F3A"/>
    <w:rsid w:val="00AF5486"/>
    <w:rsid w:val="00B00585"/>
    <w:rsid w:val="00B00883"/>
    <w:rsid w:val="00B016EC"/>
    <w:rsid w:val="00B02F4A"/>
    <w:rsid w:val="00B0361C"/>
    <w:rsid w:val="00B045F8"/>
    <w:rsid w:val="00B048CF"/>
    <w:rsid w:val="00B05114"/>
    <w:rsid w:val="00B06097"/>
    <w:rsid w:val="00B061AF"/>
    <w:rsid w:val="00B06A3D"/>
    <w:rsid w:val="00B10280"/>
    <w:rsid w:val="00B10F97"/>
    <w:rsid w:val="00B1133F"/>
    <w:rsid w:val="00B11A9A"/>
    <w:rsid w:val="00B125CA"/>
    <w:rsid w:val="00B14ED7"/>
    <w:rsid w:val="00B14FCA"/>
    <w:rsid w:val="00B1743D"/>
    <w:rsid w:val="00B17A42"/>
    <w:rsid w:val="00B2019B"/>
    <w:rsid w:val="00B20602"/>
    <w:rsid w:val="00B22292"/>
    <w:rsid w:val="00B2302B"/>
    <w:rsid w:val="00B2349A"/>
    <w:rsid w:val="00B23D3F"/>
    <w:rsid w:val="00B241F6"/>
    <w:rsid w:val="00B24226"/>
    <w:rsid w:val="00B259BE"/>
    <w:rsid w:val="00B25C2C"/>
    <w:rsid w:val="00B26CCA"/>
    <w:rsid w:val="00B3034C"/>
    <w:rsid w:val="00B3145D"/>
    <w:rsid w:val="00B32015"/>
    <w:rsid w:val="00B3263D"/>
    <w:rsid w:val="00B32B0A"/>
    <w:rsid w:val="00B33071"/>
    <w:rsid w:val="00B33FEE"/>
    <w:rsid w:val="00B3462F"/>
    <w:rsid w:val="00B35CBE"/>
    <w:rsid w:val="00B362B4"/>
    <w:rsid w:val="00B3730C"/>
    <w:rsid w:val="00B3772C"/>
    <w:rsid w:val="00B37C69"/>
    <w:rsid w:val="00B40096"/>
    <w:rsid w:val="00B41302"/>
    <w:rsid w:val="00B41853"/>
    <w:rsid w:val="00B41F0A"/>
    <w:rsid w:val="00B43391"/>
    <w:rsid w:val="00B461C2"/>
    <w:rsid w:val="00B46957"/>
    <w:rsid w:val="00B47956"/>
    <w:rsid w:val="00B5063B"/>
    <w:rsid w:val="00B50A3D"/>
    <w:rsid w:val="00B5167F"/>
    <w:rsid w:val="00B517FB"/>
    <w:rsid w:val="00B51906"/>
    <w:rsid w:val="00B52A97"/>
    <w:rsid w:val="00B53D0F"/>
    <w:rsid w:val="00B53EBE"/>
    <w:rsid w:val="00B5457F"/>
    <w:rsid w:val="00B547E5"/>
    <w:rsid w:val="00B55E0E"/>
    <w:rsid w:val="00B55EF8"/>
    <w:rsid w:val="00B56199"/>
    <w:rsid w:val="00B5671B"/>
    <w:rsid w:val="00B56F0F"/>
    <w:rsid w:val="00B57492"/>
    <w:rsid w:val="00B57728"/>
    <w:rsid w:val="00B5786F"/>
    <w:rsid w:val="00B57B79"/>
    <w:rsid w:val="00B61DAC"/>
    <w:rsid w:val="00B63E49"/>
    <w:rsid w:val="00B648B2"/>
    <w:rsid w:val="00B659DC"/>
    <w:rsid w:val="00B65B5C"/>
    <w:rsid w:val="00B65BD5"/>
    <w:rsid w:val="00B65E8A"/>
    <w:rsid w:val="00B66CC5"/>
    <w:rsid w:val="00B66F7D"/>
    <w:rsid w:val="00B70A8B"/>
    <w:rsid w:val="00B70DF6"/>
    <w:rsid w:val="00B718F4"/>
    <w:rsid w:val="00B74A85"/>
    <w:rsid w:val="00B754F3"/>
    <w:rsid w:val="00B8097D"/>
    <w:rsid w:val="00B80AE4"/>
    <w:rsid w:val="00B847AC"/>
    <w:rsid w:val="00B87A0F"/>
    <w:rsid w:val="00B9281F"/>
    <w:rsid w:val="00B93461"/>
    <w:rsid w:val="00B964AC"/>
    <w:rsid w:val="00B9772A"/>
    <w:rsid w:val="00B97779"/>
    <w:rsid w:val="00BA02CD"/>
    <w:rsid w:val="00BA0578"/>
    <w:rsid w:val="00BA1BF1"/>
    <w:rsid w:val="00BA35CD"/>
    <w:rsid w:val="00BA3E7F"/>
    <w:rsid w:val="00BA42D4"/>
    <w:rsid w:val="00BA542A"/>
    <w:rsid w:val="00BA6542"/>
    <w:rsid w:val="00BA7D0C"/>
    <w:rsid w:val="00BB1F9B"/>
    <w:rsid w:val="00BB221F"/>
    <w:rsid w:val="00BB5E04"/>
    <w:rsid w:val="00BB64EC"/>
    <w:rsid w:val="00BB79E2"/>
    <w:rsid w:val="00BB7D75"/>
    <w:rsid w:val="00BC0E88"/>
    <w:rsid w:val="00BC12A0"/>
    <w:rsid w:val="00BC2DCC"/>
    <w:rsid w:val="00BC501E"/>
    <w:rsid w:val="00BC5942"/>
    <w:rsid w:val="00BC5E48"/>
    <w:rsid w:val="00BC73EA"/>
    <w:rsid w:val="00BD151F"/>
    <w:rsid w:val="00BD2EA2"/>
    <w:rsid w:val="00BD31B6"/>
    <w:rsid w:val="00BD3211"/>
    <w:rsid w:val="00BD3427"/>
    <w:rsid w:val="00BD3F44"/>
    <w:rsid w:val="00BD5077"/>
    <w:rsid w:val="00BD60F7"/>
    <w:rsid w:val="00BD634E"/>
    <w:rsid w:val="00BE0948"/>
    <w:rsid w:val="00BE0E05"/>
    <w:rsid w:val="00BE10B2"/>
    <w:rsid w:val="00BE1B29"/>
    <w:rsid w:val="00BE2BF1"/>
    <w:rsid w:val="00BE2E2F"/>
    <w:rsid w:val="00BE3004"/>
    <w:rsid w:val="00BE3F2F"/>
    <w:rsid w:val="00BE41A5"/>
    <w:rsid w:val="00BE453C"/>
    <w:rsid w:val="00BE6168"/>
    <w:rsid w:val="00BE7AD8"/>
    <w:rsid w:val="00BF0C8A"/>
    <w:rsid w:val="00BF0DDC"/>
    <w:rsid w:val="00BF1266"/>
    <w:rsid w:val="00BF16CC"/>
    <w:rsid w:val="00BF1B89"/>
    <w:rsid w:val="00BF1BC2"/>
    <w:rsid w:val="00BF1EA1"/>
    <w:rsid w:val="00BF26A4"/>
    <w:rsid w:val="00BF29F1"/>
    <w:rsid w:val="00BF37F4"/>
    <w:rsid w:val="00BF4524"/>
    <w:rsid w:val="00BF52B2"/>
    <w:rsid w:val="00BF677A"/>
    <w:rsid w:val="00BF7DB4"/>
    <w:rsid w:val="00C010AB"/>
    <w:rsid w:val="00C028DA"/>
    <w:rsid w:val="00C05E7C"/>
    <w:rsid w:val="00C06B79"/>
    <w:rsid w:val="00C07AF5"/>
    <w:rsid w:val="00C07BA3"/>
    <w:rsid w:val="00C1070A"/>
    <w:rsid w:val="00C10730"/>
    <w:rsid w:val="00C1167A"/>
    <w:rsid w:val="00C12AC4"/>
    <w:rsid w:val="00C12E35"/>
    <w:rsid w:val="00C1711B"/>
    <w:rsid w:val="00C1780F"/>
    <w:rsid w:val="00C17FD8"/>
    <w:rsid w:val="00C21C27"/>
    <w:rsid w:val="00C2450B"/>
    <w:rsid w:val="00C24AC0"/>
    <w:rsid w:val="00C25270"/>
    <w:rsid w:val="00C304DE"/>
    <w:rsid w:val="00C328AB"/>
    <w:rsid w:val="00C32954"/>
    <w:rsid w:val="00C35337"/>
    <w:rsid w:val="00C37216"/>
    <w:rsid w:val="00C37469"/>
    <w:rsid w:val="00C40F88"/>
    <w:rsid w:val="00C413A1"/>
    <w:rsid w:val="00C413B2"/>
    <w:rsid w:val="00C4413D"/>
    <w:rsid w:val="00C441B7"/>
    <w:rsid w:val="00C44DCA"/>
    <w:rsid w:val="00C453C7"/>
    <w:rsid w:val="00C465DF"/>
    <w:rsid w:val="00C466C0"/>
    <w:rsid w:val="00C46B89"/>
    <w:rsid w:val="00C46BD5"/>
    <w:rsid w:val="00C4701B"/>
    <w:rsid w:val="00C4721B"/>
    <w:rsid w:val="00C47286"/>
    <w:rsid w:val="00C47602"/>
    <w:rsid w:val="00C51FD6"/>
    <w:rsid w:val="00C527D3"/>
    <w:rsid w:val="00C534C4"/>
    <w:rsid w:val="00C5700D"/>
    <w:rsid w:val="00C60955"/>
    <w:rsid w:val="00C62137"/>
    <w:rsid w:val="00C622EA"/>
    <w:rsid w:val="00C629C9"/>
    <w:rsid w:val="00C64CE0"/>
    <w:rsid w:val="00C64D6B"/>
    <w:rsid w:val="00C65225"/>
    <w:rsid w:val="00C653FB"/>
    <w:rsid w:val="00C65663"/>
    <w:rsid w:val="00C65FC6"/>
    <w:rsid w:val="00C661D5"/>
    <w:rsid w:val="00C66223"/>
    <w:rsid w:val="00C6669A"/>
    <w:rsid w:val="00C67B09"/>
    <w:rsid w:val="00C7045B"/>
    <w:rsid w:val="00C70638"/>
    <w:rsid w:val="00C70FFA"/>
    <w:rsid w:val="00C7105A"/>
    <w:rsid w:val="00C72326"/>
    <w:rsid w:val="00C72F63"/>
    <w:rsid w:val="00C739F4"/>
    <w:rsid w:val="00C73D67"/>
    <w:rsid w:val="00C7462F"/>
    <w:rsid w:val="00C75EF5"/>
    <w:rsid w:val="00C8359D"/>
    <w:rsid w:val="00C84E6F"/>
    <w:rsid w:val="00C85848"/>
    <w:rsid w:val="00C861D1"/>
    <w:rsid w:val="00C87728"/>
    <w:rsid w:val="00C90587"/>
    <w:rsid w:val="00C96127"/>
    <w:rsid w:val="00C96178"/>
    <w:rsid w:val="00C968D7"/>
    <w:rsid w:val="00C96FC7"/>
    <w:rsid w:val="00C97482"/>
    <w:rsid w:val="00C979CB"/>
    <w:rsid w:val="00C97ACD"/>
    <w:rsid w:val="00CA04B1"/>
    <w:rsid w:val="00CA071C"/>
    <w:rsid w:val="00CA244E"/>
    <w:rsid w:val="00CA2B0F"/>
    <w:rsid w:val="00CA3BA9"/>
    <w:rsid w:val="00CA448C"/>
    <w:rsid w:val="00CA5370"/>
    <w:rsid w:val="00CA57E7"/>
    <w:rsid w:val="00CA61D7"/>
    <w:rsid w:val="00CA62B9"/>
    <w:rsid w:val="00CA6542"/>
    <w:rsid w:val="00CA778E"/>
    <w:rsid w:val="00CB0A68"/>
    <w:rsid w:val="00CB15E0"/>
    <w:rsid w:val="00CB2092"/>
    <w:rsid w:val="00CB3288"/>
    <w:rsid w:val="00CB4D8D"/>
    <w:rsid w:val="00CB522B"/>
    <w:rsid w:val="00CB54AC"/>
    <w:rsid w:val="00CB6765"/>
    <w:rsid w:val="00CB7C7C"/>
    <w:rsid w:val="00CB7E34"/>
    <w:rsid w:val="00CC0C63"/>
    <w:rsid w:val="00CC237A"/>
    <w:rsid w:val="00CC25F6"/>
    <w:rsid w:val="00CC3624"/>
    <w:rsid w:val="00CC36BC"/>
    <w:rsid w:val="00CC3F5B"/>
    <w:rsid w:val="00CC428C"/>
    <w:rsid w:val="00CC43FC"/>
    <w:rsid w:val="00CC49EC"/>
    <w:rsid w:val="00CC4D81"/>
    <w:rsid w:val="00CC4F5A"/>
    <w:rsid w:val="00CC5506"/>
    <w:rsid w:val="00CC6E29"/>
    <w:rsid w:val="00CD0309"/>
    <w:rsid w:val="00CD16CB"/>
    <w:rsid w:val="00CD2534"/>
    <w:rsid w:val="00CD29C4"/>
    <w:rsid w:val="00CD3717"/>
    <w:rsid w:val="00CD503C"/>
    <w:rsid w:val="00CD69DD"/>
    <w:rsid w:val="00CD6CD9"/>
    <w:rsid w:val="00CD7848"/>
    <w:rsid w:val="00CD7DA9"/>
    <w:rsid w:val="00CE04F1"/>
    <w:rsid w:val="00CE0570"/>
    <w:rsid w:val="00CE0AD0"/>
    <w:rsid w:val="00CE1635"/>
    <w:rsid w:val="00CE1B7F"/>
    <w:rsid w:val="00CE1FA4"/>
    <w:rsid w:val="00CE299D"/>
    <w:rsid w:val="00CE3258"/>
    <w:rsid w:val="00CE3A65"/>
    <w:rsid w:val="00CE41ED"/>
    <w:rsid w:val="00CE4443"/>
    <w:rsid w:val="00CE78AA"/>
    <w:rsid w:val="00CF0B58"/>
    <w:rsid w:val="00CF103D"/>
    <w:rsid w:val="00CF1154"/>
    <w:rsid w:val="00CF34CF"/>
    <w:rsid w:val="00CF4048"/>
    <w:rsid w:val="00CF45C0"/>
    <w:rsid w:val="00CF4692"/>
    <w:rsid w:val="00CF5C3C"/>
    <w:rsid w:val="00CF5CFF"/>
    <w:rsid w:val="00CF603A"/>
    <w:rsid w:val="00CF6282"/>
    <w:rsid w:val="00CF7746"/>
    <w:rsid w:val="00CF7AEC"/>
    <w:rsid w:val="00D006DD"/>
    <w:rsid w:val="00D00FD9"/>
    <w:rsid w:val="00D0150B"/>
    <w:rsid w:val="00D01745"/>
    <w:rsid w:val="00D02F8B"/>
    <w:rsid w:val="00D04CD2"/>
    <w:rsid w:val="00D07145"/>
    <w:rsid w:val="00D079EC"/>
    <w:rsid w:val="00D07F1F"/>
    <w:rsid w:val="00D11C13"/>
    <w:rsid w:val="00D140B8"/>
    <w:rsid w:val="00D15298"/>
    <w:rsid w:val="00D15B0A"/>
    <w:rsid w:val="00D21168"/>
    <w:rsid w:val="00D216A9"/>
    <w:rsid w:val="00D23293"/>
    <w:rsid w:val="00D23D04"/>
    <w:rsid w:val="00D23FB5"/>
    <w:rsid w:val="00D24B8F"/>
    <w:rsid w:val="00D25046"/>
    <w:rsid w:val="00D252B9"/>
    <w:rsid w:val="00D25942"/>
    <w:rsid w:val="00D26D5B"/>
    <w:rsid w:val="00D2715C"/>
    <w:rsid w:val="00D27560"/>
    <w:rsid w:val="00D2784D"/>
    <w:rsid w:val="00D308DB"/>
    <w:rsid w:val="00D321CF"/>
    <w:rsid w:val="00D3405B"/>
    <w:rsid w:val="00D34ACB"/>
    <w:rsid w:val="00D34E06"/>
    <w:rsid w:val="00D34FD0"/>
    <w:rsid w:val="00D35460"/>
    <w:rsid w:val="00D35712"/>
    <w:rsid w:val="00D35734"/>
    <w:rsid w:val="00D360F4"/>
    <w:rsid w:val="00D3640B"/>
    <w:rsid w:val="00D40942"/>
    <w:rsid w:val="00D41692"/>
    <w:rsid w:val="00D4189C"/>
    <w:rsid w:val="00D41A7B"/>
    <w:rsid w:val="00D42EFA"/>
    <w:rsid w:val="00D4584E"/>
    <w:rsid w:val="00D46A80"/>
    <w:rsid w:val="00D46B02"/>
    <w:rsid w:val="00D46DCC"/>
    <w:rsid w:val="00D5207A"/>
    <w:rsid w:val="00D523AF"/>
    <w:rsid w:val="00D53FD3"/>
    <w:rsid w:val="00D5601E"/>
    <w:rsid w:val="00D567C1"/>
    <w:rsid w:val="00D57207"/>
    <w:rsid w:val="00D612BE"/>
    <w:rsid w:val="00D61E7D"/>
    <w:rsid w:val="00D61FCC"/>
    <w:rsid w:val="00D62606"/>
    <w:rsid w:val="00D62B1A"/>
    <w:rsid w:val="00D63DB0"/>
    <w:rsid w:val="00D65EA5"/>
    <w:rsid w:val="00D6707B"/>
    <w:rsid w:val="00D67839"/>
    <w:rsid w:val="00D70267"/>
    <w:rsid w:val="00D703AF"/>
    <w:rsid w:val="00D709F8"/>
    <w:rsid w:val="00D74684"/>
    <w:rsid w:val="00D75C9F"/>
    <w:rsid w:val="00D75FF6"/>
    <w:rsid w:val="00D763EB"/>
    <w:rsid w:val="00D7748F"/>
    <w:rsid w:val="00D77716"/>
    <w:rsid w:val="00D801A5"/>
    <w:rsid w:val="00D823D2"/>
    <w:rsid w:val="00D82C23"/>
    <w:rsid w:val="00D82D0E"/>
    <w:rsid w:val="00D85A93"/>
    <w:rsid w:val="00D8605A"/>
    <w:rsid w:val="00D87A5A"/>
    <w:rsid w:val="00D904D6"/>
    <w:rsid w:val="00D925E6"/>
    <w:rsid w:val="00D9317E"/>
    <w:rsid w:val="00D946B8"/>
    <w:rsid w:val="00D951D5"/>
    <w:rsid w:val="00D95686"/>
    <w:rsid w:val="00D9603C"/>
    <w:rsid w:val="00D961F7"/>
    <w:rsid w:val="00D96F95"/>
    <w:rsid w:val="00D972EC"/>
    <w:rsid w:val="00D9781A"/>
    <w:rsid w:val="00D97929"/>
    <w:rsid w:val="00DA0217"/>
    <w:rsid w:val="00DA22EF"/>
    <w:rsid w:val="00DA34F9"/>
    <w:rsid w:val="00DA47AD"/>
    <w:rsid w:val="00DA5D58"/>
    <w:rsid w:val="00DA641B"/>
    <w:rsid w:val="00DA722F"/>
    <w:rsid w:val="00DA79F5"/>
    <w:rsid w:val="00DB07B6"/>
    <w:rsid w:val="00DB0EF1"/>
    <w:rsid w:val="00DB1C18"/>
    <w:rsid w:val="00DB1C92"/>
    <w:rsid w:val="00DB28AA"/>
    <w:rsid w:val="00DB338B"/>
    <w:rsid w:val="00DB3C0E"/>
    <w:rsid w:val="00DB505B"/>
    <w:rsid w:val="00DB5A69"/>
    <w:rsid w:val="00DB64DB"/>
    <w:rsid w:val="00DB733B"/>
    <w:rsid w:val="00DB7F43"/>
    <w:rsid w:val="00DC11A0"/>
    <w:rsid w:val="00DC1ADB"/>
    <w:rsid w:val="00DC52A9"/>
    <w:rsid w:val="00DC60F5"/>
    <w:rsid w:val="00DC6131"/>
    <w:rsid w:val="00DD0371"/>
    <w:rsid w:val="00DD064C"/>
    <w:rsid w:val="00DD0B90"/>
    <w:rsid w:val="00DD110B"/>
    <w:rsid w:val="00DD217C"/>
    <w:rsid w:val="00DD25F8"/>
    <w:rsid w:val="00DD2EA9"/>
    <w:rsid w:val="00DD3206"/>
    <w:rsid w:val="00DD5BFB"/>
    <w:rsid w:val="00DD5DA5"/>
    <w:rsid w:val="00DE0D3F"/>
    <w:rsid w:val="00DE107B"/>
    <w:rsid w:val="00DE1D08"/>
    <w:rsid w:val="00DE27D5"/>
    <w:rsid w:val="00DE50D0"/>
    <w:rsid w:val="00DE689E"/>
    <w:rsid w:val="00DE710D"/>
    <w:rsid w:val="00DF02B4"/>
    <w:rsid w:val="00DF5E70"/>
    <w:rsid w:val="00DF6609"/>
    <w:rsid w:val="00DF727D"/>
    <w:rsid w:val="00DF77C1"/>
    <w:rsid w:val="00DF7C42"/>
    <w:rsid w:val="00E0034A"/>
    <w:rsid w:val="00E00EB0"/>
    <w:rsid w:val="00E02CDA"/>
    <w:rsid w:val="00E03BF0"/>
    <w:rsid w:val="00E03D9C"/>
    <w:rsid w:val="00E04911"/>
    <w:rsid w:val="00E0744B"/>
    <w:rsid w:val="00E07E3E"/>
    <w:rsid w:val="00E07F85"/>
    <w:rsid w:val="00E106D4"/>
    <w:rsid w:val="00E123C3"/>
    <w:rsid w:val="00E13ECA"/>
    <w:rsid w:val="00E14873"/>
    <w:rsid w:val="00E14CFC"/>
    <w:rsid w:val="00E16C6B"/>
    <w:rsid w:val="00E16E2F"/>
    <w:rsid w:val="00E17C48"/>
    <w:rsid w:val="00E223D8"/>
    <w:rsid w:val="00E233CD"/>
    <w:rsid w:val="00E23BC4"/>
    <w:rsid w:val="00E24445"/>
    <w:rsid w:val="00E24E07"/>
    <w:rsid w:val="00E2539B"/>
    <w:rsid w:val="00E25D37"/>
    <w:rsid w:val="00E270BF"/>
    <w:rsid w:val="00E3118F"/>
    <w:rsid w:val="00E3205A"/>
    <w:rsid w:val="00E3213C"/>
    <w:rsid w:val="00E321E4"/>
    <w:rsid w:val="00E3311C"/>
    <w:rsid w:val="00E35988"/>
    <w:rsid w:val="00E41784"/>
    <w:rsid w:val="00E42309"/>
    <w:rsid w:val="00E42970"/>
    <w:rsid w:val="00E440D2"/>
    <w:rsid w:val="00E44C82"/>
    <w:rsid w:val="00E44CA9"/>
    <w:rsid w:val="00E466A8"/>
    <w:rsid w:val="00E46F70"/>
    <w:rsid w:val="00E47024"/>
    <w:rsid w:val="00E47B89"/>
    <w:rsid w:val="00E50909"/>
    <w:rsid w:val="00E52172"/>
    <w:rsid w:val="00E530DD"/>
    <w:rsid w:val="00E5477A"/>
    <w:rsid w:val="00E554EB"/>
    <w:rsid w:val="00E55DFD"/>
    <w:rsid w:val="00E57F4C"/>
    <w:rsid w:val="00E60418"/>
    <w:rsid w:val="00E61F34"/>
    <w:rsid w:val="00E62422"/>
    <w:rsid w:val="00E6261E"/>
    <w:rsid w:val="00E63AE6"/>
    <w:rsid w:val="00E63BBF"/>
    <w:rsid w:val="00E64E2C"/>
    <w:rsid w:val="00E65AEB"/>
    <w:rsid w:val="00E65D50"/>
    <w:rsid w:val="00E66787"/>
    <w:rsid w:val="00E6787A"/>
    <w:rsid w:val="00E67C3B"/>
    <w:rsid w:val="00E70039"/>
    <w:rsid w:val="00E71134"/>
    <w:rsid w:val="00E74C8F"/>
    <w:rsid w:val="00E7608B"/>
    <w:rsid w:val="00E763A9"/>
    <w:rsid w:val="00E768D6"/>
    <w:rsid w:val="00E76AD3"/>
    <w:rsid w:val="00E77B51"/>
    <w:rsid w:val="00E81CE7"/>
    <w:rsid w:val="00E832A6"/>
    <w:rsid w:val="00E84731"/>
    <w:rsid w:val="00E84D68"/>
    <w:rsid w:val="00E8545F"/>
    <w:rsid w:val="00E85AB1"/>
    <w:rsid w:val="00E87E3C"/>
    <w:rsid w:val="00E900C0"/>
    <w:rsid w:val="00E918F6"/>
    <w:rsid w:val="00E934FE"/>
    <w:rsid w:val="00E94417"/>
    <w:rsid w:val="00E94CAB"/>
    <w:rsid w:val="00E95477"/>
    <w:rsid w:val="00E96010"/>
    <w:rsid w:val="00E96158"/>
    <w:rsid w:val="00E96691"/>
    <w:rsid w:val="00E97694"/>
    <w:rsid w:val="00E97F1A"/>
    <w:rsid w:val="00EA0D50"/>
    <w:rsid w:val="00EA0DD7"/>
    <w:rsid w:val="00EA1E44"/>
    <w:rsid w:val="00EA237B"/>
    <w:rsid w:val="00EA2632"/>
    <w:rsid w:val="00EA3084"/>
    <w:rsid w:val="00EA3CDB"/>
    <w:rsid w:val="00EA3FE0"/>
    <w:rsid w:val="00EA4A28"/>
    <w:rsid w:val="00EA54A6"/>
    <w:rsid w:val="00EA5D9A"/>
    <w:rsid w:val="00EA6069"/>
    <w:rsid w:val="00EA6263"/>
    <w:rsid w:val="00EB0665"/>
    <w:rsid w:val="00EB2B49"/>
    <w:rsid w:val="00EB2ED9"/>
    <w:rsid w:val="00EB5818"/>
    <w:rsid w:val="00EB5CBE"/>
    <w:rsid w:val="00EB5F57"/>
    <w:rsid w:val="00EB7568"/>
    <w:rsid w:val="00EC1464"/>
    <w:rsid w:val="00EC1642"/>
    <w:rsid w:val="00EC1852"/>
    <w:rsid w:val="00EC7058"/>
    <w:rsid w:val="00EC71C4"/>
    <w:rsid w:val="00ED00FD"/>
    <w:rsid w:val="00ED2DE3"/>
    <w:rsid w:val="00ED3B52"/>
    <w:rsid w:val="00ED474F"/>
    <w:rsid w:val="00EE0F5B"/>
    <w:rsid w:val="00EE12FF"/>
    <w:rsid w:val="00EE13CB"/>
    <w:rsid w:val="00EE19E9"/>
    <w:rsid w:val="00EE230F"/>
    <w:rsid w:val="00EE2981"/>
    <w:rsid w:val="00EE372C"/>
    <w:rsid w:val="00EE41A2"/>
    <w:rsid w:val="00EE4A4D"/>
    <w:rsid w:val="00EE5222"/>
    <w:rsid w:val="00EE5444"/>
    <w:rsid w:val="00EE5FE6"/>
    <w:rsid w:val="00EE6C0E"/>
    <w:rsid w:val="00EE741A"/>
    <w:rsid w:val="00EE7C37"/>
    <w:rsid w:val="00EE7C9C"/>
    <w:rsid w:val="00EF0691"/>
    <w:rsid w:val="00EF0928"/>
    <w:rsid w:val="00EF1483"/>
    <w:rsid w:val="00EF1AD9"/>
    <w:rsid w:val="00EF1DFC"/>
    <w:rsid w:val="00EF20D8"/>
    <w:rsid w:val="00EF249A"/>
    <w:rsid w:val="00EF2573"/>
    <w:rsid w:val="00EF2593"/>
    <w:rsid w:val="00EF2943"/>
    <w:rsid w:val="00EF3700"/>
    <w:rsid w:val="00EF3F49"/>
    <w:rsid w:val="00EF439D"/>
    <w:rsid w:val="00EF6E8C"/>
    <w:rsid w:val="00F01A4C"/>
    <w:rsid w:val="00F01A96"/>
    <w:rsid w:val="00F01B7F"/>
    <w:rsid w:val="00F02100"/>
    <w:rsid w:val="00F0452E"/>
    <w:rsid w:val="00F04970"/>
    <w:rsid w:val="00F05ADD"/>
    <w:rsid w:val="00F0671B"/>
    <w:rsid w:val="00F07600"/>
    <w:rsid w:val="00F07FF3"/>
    <w:rsid w:val="00F1177E"/>
    <w:rsid w:val="00F11B40"/>
    <w:rsid w:val="00F12A6D"/>
    <w:rsid w:val="00F13B46"/>
    <w:rsid w:val="00F13D8A"/>
    <w:rsid w:val="00F1491B"/>
    <w:rsid w:val="00F14A25"/>
    <w:rsid w:val="00F1592B"/>
    <w:rsid w:val="00F15D5D"/>
    <w:rsid w:val="00F15FFC"/>
    <w:rsid w:val="00F1767C"/>
    <w:rsid w:val="00F17710"/>
    <w:rsid w:val="00F200EB"/>
    <w:rsid w:val="00F20F7F"/>
    <w:rsid w:val="00F216E4"/>
    <w:rsid w:val="00F22914"/>
    <w:rsid w:val="00F23C9E"/>
    <w:rsid w:val="00F24EE0"/>
    <w:rsid w:val="00F2736F"/>
    <w:rsid w:val="00F30554"/>
    <w:rsid w:val="00F32736"/>
    <w:rsid w:val="00F32978"/>
    <w:rsid w:val="00F32EBF"/>
    <w:rsid w:val="00F356BF"/>
    <w:rsid w:val="00F35FE2"/>
    <w:rsid w:val="00F3707B"/>
    <w:rsid w:val="00F37B76"/>
    <w:rsid w:val="00F4094D"/>
    <w:rsid w:val="00F412BF"/>
    <w:rsid w:val="00F420CD"/>
    <w:rsid w:val="00F4282B"/>
    <w:rsid w:val="00F4734B"/>
    <w:rsid w:val="00F518D0"/>
    <w:rsid w:val="00F52C83"/>
    <w:rsid w:val="00F54239"/>
    <w:rsid w:val="00F557F0"/>
    <w:rsid w:val="00F56273"/>
    <w:rsid w:val="00F5718C"/>
    <w:rsid w:val="00F5769E"/>
    <w:rsid w:val="00F606AB"/>
    <w:rsid w:val="00F61197"/>
    <w:rsid w:val="00F6131B"/>
    <w:rsid w:val="00F631BA"/>
    <w:rsid w:val="00F635D7"/>
    <w:rsid w:val="00F63C5C"/>
    <w:rsid w:val="00F65A53"/>
    <w:rsid w:val="00F66191"/>
    <w:rsid w:val="00F6685E"/>
    <w:rsid w:val="00F66A15"/>
    <w:rsid w:val="00F66FD3"/>
    <w:rsid w:val="00F67216"/>
    <w:rsid w:val="00F67C3D"/>
    <w:rsid w:val="00F67EDC"/>
    <w:rsid w:val="00F70E04"/>
    <w:rsid w:val="00F70EDD"/>
    <w:rsid w:val="00F70EF0"/>
    <w:rsid w:val="00F7261C"/>
    <w:rsid w:val="00F72676"/>
    <w:rsid w:val="00F73516"/>
    <w:rsid w:val="00F73EE2"/>
    <w:rsid w:val="00F74BC9"/>
    <w:rsid w:val="00F75237"/>
    <w:rsid w:val="00F7746E"/>
    <w:rsid w:val="00F802B5"/>
    <w:rsid w:val="00F80B8E"/>
    <w:rsid w:val="00F813E0"/>
    <w:rsid w:val="00F82286"/>
    <w:rsid w:val="00F82D8F"/>
    <w:rsid w:val="00F83735"/>
    <w:rsid w:val="00F8483E"/>
    <w:rsid w:val="00F84C43"/>
    <w:rsid w:val="00F85A66"/>
    <w:rsid w:val="00F86A39"/>
    <w:rsid w:val="00F91514"/>
    <w:rsid w:val="00F91F00"/>
    <w:rsid w:val="00F94680"/>
    <w:rsid w:val="00F9571F"/>
    <w:rsid w:val="00F95DED"/>
    <w:rsid w:val="00F960D3"/>
    <w:rsid w:val="00F96BF4"/>
    <w:rsid w:val="00FA12CF"/>
    <w:rsid w:val="00FA23D3"/>
    <w:rsid w:val="00FA254D"/>
    <w:rsid w:val="00FA262C"/>
    <w:rsid w:val="00FA2F12"/>
    <w:rsid w:val="00FA3C32"/>
    <w:rsid w:val="00FA44BC"/>
    <w:rsid w:val="00FA6BD7"/>
    <w:rsid w:val="00FA6BE9"/>
    <w:rsid w:val="00FB014C"/>
    <w:rsid w:val="00FB0A8D"/>
    <w:rsid w:val="00FB12DA"/>
    <w:rsid w:val="00FB3BFA"/>
    <w:rsid w:val="00FB3EC1"/>
    <w:rsid w:val="00FB413A"/>
    <w:rsid w:val="00FB4422"/>
    <w:rsid w:val="00FB4BCC"/>
    <w:rsid w:val="00FB4E81"/>
    <w:rsid w:val="00FB57E3"/>
    <w:rsid w:val="00FB68C2"/>
    <w:rsid w:val="00FC044C"/>
    <w:rsid w:val="00FC0F21"/>
    <w:rsid w:val="00FC18E0"/>
    <w:rsid w:val="00FC1C58"/>
    <w:rsid w:val="00FC2EA0"/>
    <w:rsid w:val="00FC489E"/>
    <w:rsid w:val="00FC5566"/>
    <w:rsid w:val="00FC5852"/>
    <w:rsid w:val="00FC67B5"/>
    <w:rsid w:val="00FC681A"/>
    <w:rsid w:val="00FC7553"/>
    <w:rsid w:val="00FC7DFE"/>
    <w:rsid w:val="00FD00E0"/>
    <w:rsid w:val="00FD1D07"/>
    <w:rsid w:val="00FD342B"/>
    <w:rsid w:val="00FD37B0"/>
    <w:rsid w:val="00FD50C2"/>
    <w:rsid w:val="00FD63FC"/>
    <w:rsid w:val="00FE11C1"/>
    <w:rsid w:val="00FE1731"/>
    <w:rsid w:val="00FE25AD"/>
    <w:rsid w:val="00FE3210"/>
    <w:rsid w:val="00FE3A56"/>
    <w:rsid w:val="00FE3D95"/>
    <w:rsid w:val="00FE4B70"/>
    <w:rsid w:val="00FE542D"/>
    <w:rsid w:val="00FE54AF"/>
    <w:rsid w:val="00FE60EE"/>
    <w:rsid w:val="00FE6823"/>
    <w:rsid w:val="00FE6C6D"/>
    <w:rsid w:val="00FE6E82"/>
    <w:rsid w:val="00FE73BD"/>
    <w:rsid w:val="00FF0049"/>
    <w:rsid w:val="00FF1855"/>
    <w:rsid w:val="00FF31D2"/>
    <w:rsid w:val="00FF32DB"/>
    <w:rsid w:val="00FF4727"/>
    <w:rsid w:val="00FF71CB"/>
    <w:rsid w:val="5621AF3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A8CC32"/>
  <w15:docId w15:val="{AB518B17-ACF0-40E9-9E8A-3C278518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color w:val="221F20"/>
        <w:sz w:val="21"/>
        <w:szCs w:val="21"/>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6C"/>
    <w:pPr>
      <w:widowControl w:val="0"/>
      <w:spacing w:before="120" w:after="120" w:line="276" w:lineRule="auto"/>
      <w:jc w:val="both"/>
    </w:pPr>
    <w:rPr>
      <w:rFonts w:ascii="Calibri" w:eastAsiaTheme="minorHAnsi" w:hAnsi="Calibri" w:cstheme="minorBidi"/>
      <w:color w:val="auto"/>
      <w:sz w:val="22"/>
      <w:szCs w:val="22"/>
      <w:lang w:val="en-US"/>
    </w:rPr>
  </w:style>
  <w:style w:type="paragraph" w:styleId="Heading1">
    <w:name w:val="heading 1"/>
    <w:next w:val="BodyText"/>
    <w:link w:val="Heading1Char"/>
    <w:autoRedefine/>
    <w:qFormat/>
    <w:rsid w:val="0048683E"/>
    <w:pPr>
      <w:keepNext/>
      <w:widowControl w:val="0"/>
      <w:pBdr>
        <w:bottom w:val="single" w:sz="4" w:space="1" w:color="auto"/>
      </w:pBdr>
      <w:spacing w:before="200" w:after="200"/>
      <w:outlineLvl w:val="0"/>
    </w:pPr>
    <w:rPr>
      <w:rFonts w:asciiTheme="majorHAnsi" w:eastAsia="Arial Unicode MS" w:hAnsiTheme="majorHAnsi" w:cstheme="majorHAnsi"/>
      <w:b/>
      <w:color w:val="auto"/>
      <w:sz w:val="32"/>
      <w:szCs w:val="32"/>
    </w:rPr>
  </w:style>
  <w:style w:type="paragraph" w:styleId="Heading2">
    <w:name w:val="heading 2"/>
    <w:basedOn w:val="Heading1"/>
    <w:next w:val="BodyText"/>
    <w:link w:val="Heading2Char"/>
    <w:qFormat/>
    <w:rsid w:val="00303A2D"/>
    <w:pPr>
      <w:numPr>
        <w:ilvl w:val="1"/>
        <w:numId w:val="1"/>
      </w:numPr>
      <w:pBdr>
        <w:bottom w:val="none" w:sz="0" w:space="0" w:color="auto"/>
      </w:pBdr>
      <w:outlineLvl w:val="1"/>
    </w:pPr>
  </w:style>
  <w:style w:type="paragraph" w:styleId="Heading3">
    <w:name w:val="heading 3"/>
    <w:basedOn w:val="Heading2"/>
    <w:next w:val="BodyText"/>
    <w:link w:val="Heading3Char"/>
    <w:autoRedefine/>
    <w:qFormat/>
    <w:rsid w:val="005B5F35"/>
    <w:pPr>
      <w:numPr>
        <w:ilvl w:val="2"/>
      </w:numPr>
      <w:spacing w:line="360" w:lineRule="auto"/>
      <w:outlineLvl w:val="2"/>
    </w:pPr>
    <w:rPr>
      <w:sz w:val="22"/>
    </w:rPr>
  </w:style>
  <w:style w:type="paragraph" w:styleId="Heading4">
    <w:name w:val="heading 4"/>
    <w:basedOn w:val="Heading3"/>
    <w:next w:val="BodyText"/>
    <w:link w:val="Heading4Char"/>
    <w:autoRedefine/>
    <w:qFormat/>
    <w:rsid w:val="004C6969"/>
    <w:pPr>
      <w:numPr>
        <w:ilvl w:val="3"/>
      </w:numPr>
      <w:outlineLvl w:val="3"/>
    </w:pPr>
    <w:rPr>
      <w:b w:val="0"/>
      <w:u w:val="single"/>
    </w:rPr>
  </w:style>
  <w:style w:type="paragraph" w:styleId="Heading5">
    <w:name w:val="heading 5"/>
    <w:basedOn w:val="Heading4"/>
    <w:next w:val="BodyText"/>
    <w:link w:val="Heading5Char"/>
    <w:qFormat/>
    <w:rsid w:val="005F2AC7"/>
    <w:pPr>
      <w:numPr>
        <w:ilvl w:val="4"/>
      </w:numPr>
      <w:outlineLvl w:val="4"/>
    </w:pPr>
    <w:rPr>
      <w:rFonts w:eastAsia="Times New Roman"/>
      <w:bCs/>
      <w:i/>
      <w:iCs/>
      <w:szCs w:val="26"/>
    </w:rPr>
  </w:style>
  <w:style w:type="paragraph" w:styleId="Heading6">
    <w:name w:val="heading 6"/>
    <w:basedOn w:val="Heading5"/>
    <w:next w:val="BodyText"/>
    <w:link w:val="Heading6Char"/>
    <w:unhideWhenUsed/>
    <w:qFormat/>
    <w:rsid w:val="00457877"/>
    <w:pPr>
      <w:numPr>
        <w:ilvl w:val="5"/>
      </w:numPr>
      <w:outlineLvl w:val="5"/>
    </w:pPr>
    <w:rPr>
      <w:bCs w:val="0"/>
      <w:i w:val="0"/>
      <w:sz w:val="20"/>
      <w:szCs w:val="22"/>
    </w:rPr>
  </w:style>
  <w:style w:type="paragraph" w:styleId="Heading7">
    <w:name w:val="heading 7"/>
    <w:basedOn w:val="Heading6"/>
    <w:next w:val="BodyText"/>
    <w:link w:val="Heading7Char"/>
    <w:unhideWhenUsed/>
    <w:qFormat/>
    <w:rsid w:val="00457877"/>
    <w:pPr>
      <w:numPr>
        <w:ilvl w:val="6"/>
      </w:numPr>
      <w:outlineLvl w:val="6"/>
    </w:pPr>
    <w:rPr>
      <w:i/>
    </w:rPr>
  </w:style>
  <w:style w:type="paragraph" w:styleId="Heading8">
    <w:name w:val="heading 8"/>
    <w:basedOn w:val="Heading7"/>
    <w:next w:val="BodyText"/>
    <w:link w:val="Heading8Char"/>
    <w:unhideWhenUsed/>
    <w:qFormat/>
    <w:rsid w:val="00457877"/>
    <w:pPr>
      <w:numPr>
        <w:ilvl w:val="7"/>
      </w:numPr>
      <w:outlineLvl w:val="7"/>
    </w:pPr>
    <w:rPr>
      <w:i w:val="0"/>
      <w:iCs w:val="0"/>
      <w:sz w:val="18"/>
    </w:rPr>
  </w:style>
  <w:style w:type="paragraph" w:styleId="Heading9">
    <w:name w:val="heading 9"/>
    <w:basedOn w:val="Heading8"/>
    <w:next w:val="BodyText"/>
    <w:link w:val="Heading9Char"/>
    <w:unhideWhenUsed/>
    <w:qFormat/>
    <w:rsid w:val="0045787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7925"/>
    <w:rPr>
      <w:rFonts w:ascii="Arial" w:hAnsi="Arial"/>
      <w:i/>
      <w:color w:val="auto"/>
      <w:sz w:val="20"/>
      <w:u w:val="none"/>
    </w:rPr>
  </w:style>
  <w:style w:type="character" w:styleId="FollowedHyperlink">
    <w:name w:val="FollowedHyperlink"/>
    <w:basedOn w:val="DefaultParagraphFont"/>
    <w:rsid w:val="00BE10B2"/>
    <w:rPr>
      <w:color w:val="800080"/>
      <w:u w:val="single"/>
    </w:rPr>
  </w:style>
  <w:style w:type="paragraph" w:styleId="Header">
    <w:name w:val="header"/>
    <w:basedOn w:val="BodyText"/>
    <w:link w:val="HeaderChar"/>
    <w:rsid w:val="00DE50D0"/>
    <w:pPr>
      <w:pBdr>
        <w:bottom w:val="single" w:sz="4" w:space="1" w:color="002C5F"/>
      </w:pBdr>
      <w:tabs>
        <w:tab w:val="center" w:pos="4153"/>
        <w:tab w:val="right" w:pos="8306"/>
      </w:tabs>
      <w:spacing w:before="120" w:line="240" w:lineRule="auto"/>
    </w:pPr>
    <w:rPr>
      <w:b/>
      <w:color w:val="002C5F"/>
      <w:sz w:val="18"/>
    </w:rPr>
  </w:style>
  <w:style w:type="character" w:customStyle="1" w:styleId="HeaderChar">
    <w:name w:val="Header Char"/>
    <w:basedOn w:val="DefaultParagraphFont"/>
    <w:link w:val="Header"/>
    <w:rsid w:val="00DE50D0"/>
    <w:rPr>
      <w:rFonts w:eastAsia="Times New Roman"/>
      <w:b/>
      <w:color w:val="002C5F"/>
      <w:sz w:val="18"/>
    </w:rPr>
  </w:style>
  <w:style w:type="paragraph" w:styleId="Footer">
    <w:name w:val="footer"/>
    <w:basedOn w:val="BodyText"/>
    <w:link w:val="FooterChar"/>
    <w:uiPriority w:val="99"/>
    <w:rsid w:val="00A62BB4"/>
    <w:pPr>
      <w:tabs>
        <w:tab w:val="right" w:pos="9072"/>
      </w:tabs>
      <w:spacing w:before="240" w:line="240" w:lineRule="auto"/>
      <w:jc w:val="center"/>
    </w:pPr>
    <w:rPr>
      <w:b/>
      <w:color w:val="auto"/>
      <w:sz w:val="14"/>
    </w:rPr>
  </w:style>
  <w:style w:type="character" w:customStyle="1" w:styleId="FooterChar">
    <w:name w:val="Footer Char"/>
    <w:basedOn w:val="DefaultParagraphFont"/>
    <w:link w:val="Footer"/>
    <w:uiPriority w:val="99"/>
    <w:rsid w:val="00A62BB4"/>
    <w:rPr>
      <w:rFonts w:eastAsia="Times New Roman"/>
      <w:b/>
      <w:color w:val="auto"/>
      <w:sz w:val="14"/>
    </w:rPr>
  </w:style>
  <w:style w:type="paragraph" w:customStyle="1" w:styleId="PSAAddress">
    <w:name w:val="PSA Address"/>
    <w:basedOn w:val="BodyText"/>
    <w:qFormat/>
    <w:rsid w:val="00663A0C"/>
    <w:pPr>
      <w:autoSpaceDE w:val="0"/>
      <w:autoSpaceDN w:val="0"/>
      <w:adjustRightInd w:val="0"/>
      <w:spacing w:after="50" w:line="200" w:lineRule="exact"/>
    </w:pPr>
    <w:rPr>
      <w:spacing w:val="-2"/>
      <w:sz w:val="15"/>
      <w:szCs w:val="15"/>
    </w:rPr>
  </w:style>
  <w:style w:type="paragraph" w:customStyle="1" w:styleId="PSAAddressHeader">
    <w:name w:val="PSA Address Header"/>
    <w:basedOn w:val="PSAAddress"/>
    <w:qFormat/>
    <w:rsid w:val="002F5DDB"/>
    <w:pPr>
      <w:spacing w:before="140" w:after="0" w:line="190" w:lineRule="exact"/>
    </w:pPr>
    <w:rPr>
      <w:b/>
      <w:bCs/>
      <w:color w:val="5C6E7B"/>
      <w:position w:val="1"/>
    </w:rPr>
  </w:style>
  <w:style w:type="character" w:customStyle="1" w:styleId="Heading1Char">
    <w:name w:val="Heading 1 Char"/>
    <w:basedOn w:val="DefaultParagraphFont"/>
    <w:link w:val="Heading1"/>
    <w:rsid w:val="0048683E"/>
    <w:rPr>
      <w:rFonts w:asciiTheme="majorHAnsi" w:eastAsia="Arial Unicode MS" w:hAnsiTheme="majorHAnsi" w:cstheme="majorHAnsi"/>
      <w:b/>
      <w:color w:val="auto"/>
      <w:sz w:val="32"/>
      <w:szCs w:val="32"/>
    </w:rPr>
  </w:style>
  <w:style w:type="paragraph" w:styleId="BodyText">
    <w:name w:val="Body Text"/>
    <w:link w:val="BodyTextChar"/>
    <w:rsid w:val="00892554"/>
    <w:pPr>
      <w:spacing w:after="240" w:line="276" w:lineRule="auto"/>
    </w:pPr>
    <w:rPr>
      <w:rFonts w:eastAsia="Times New Roman"/>
    </w:rPr>
  </w:style>
  <w:style w:type="character" w:customStyle="1" w:styleId="BodyTextChar">
    <w:name w:val="Body Text Char"/>
    <w:basedOn w:val="DefaultParagraphFont"/>
    <w:link w:val="BodyText"/>
    <w:rsid w:val="00F15FFC"/>
    <w:rPr>
      <w:rFonts w:eastAsia="Times New Roman"/>
    </w:rPr>
  </w:style>
  <w:style w:type="paragraph" w:customStyle="1" w:styleId="ListBulletClosed">
    <w:name w:val="List Bullet Closed"/>
    <w:basedOn w:val="ListBullet"/>
    <w:rsid w:val="000F5121"/>
  </w:style>
  <w:style w:type="paragraph" w:customStyle="1" w:styleId="AppendixHeading">
    <w:name w:val="Appendix Heading"/>
    <w:basedOn w:val="Heading1"/>
    <w:next w:val="BodyText"/>
    <w:rsid w:val="008F5CE7"/>
    <w:pPr>
      <w:widowControl/>
      <w:tabs>
        <w:tab w:val="left" w:pos="1985"/>
      </w:tabs>
      <w:ind w:left="1985" w:hanging="1985"/>
    </w:pPr>
    <w:rPr>
      <w:bCs/>
      <w:szCs w:val="21"/>
    </w:rPr>
  </w:style>
  <w:style w:type="paragraph" w:customStyle="1" w:styleId="AuthorInfo">
    <w:name w:val="AuthorInfo"/>
    <w:basedOn w:val="Normal"/>
    <w:semiHidden/>
    <w:rsid w:val="0027226E"/>
    <w:pPr>
      <w:shd w:val="clear" w:color="FFFFFF" w:fill="auto"/>
      <w:jc w:val="center"/>
    </w:pPr>
    <w:rPr>
      <w:rFonts w:ascii="Verdana" w:hAnsi="Verdana"/>
      <w:lang w:eastAsia="en-AU"/>
    </w:rPr>
  </w:style>
  <w:style w:type="paragraph" w:styleId="BlockText">
    <w:name w:val="Block Text"/>
    <w:basedOn w:val="Normal"/>
    <w:semiHidden/>
    <w:rsid w:val="00BE10B2"/>
    <w:pPr>
      <w:ind w:left="1440" w:right="1440"/>
    </w:pPr>
  </w:style>
  <w:style w:type="paragraph" w:customStyle="1" w:styleId="BodyTextLeader">
    <w:name w:val="Body Text Leader"/>
    <w:basedOn w:val="BodyText"/>
    <w:next w:val="BodyText"/>
    <w:rsid w:val="0061356B"/>
    <w:pPr>
      <w:keepNext/>
    </w:p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BodyText"/>
    <w:next w:val="BodyText"/>
    <w:uiPriority w:val="35"/>
    <w:unhideWhenUsed/>
    <w:qFormat/>
    <w:rsid w:val="00A71B06"/>
    <w:rPr>
      <w:bCs/>
      <w:i/>
      <w:sz w:val="16"/>
    </w:rPr>
  </w:style>
  <w:style w:type="paragraph" w:styleId="CommentText">
    <w:name w:val="annotation text"/>
    <w:basedOn w:val="BodyText"/>
    <w:link w:val="CommentTextChar"/>
    <w:uiPriority w:val="99"/>
    <w:rsid w:val="00BE10B2"/>
  </w:style>
  <w:style w:type="character" w:customStyle="1" w:styleId="CommentTextChar">
    <w:name w:val="Comment Text Char"/>
    <w:basedOn w:val="DefaultParagraphFont"/>
    <w:link w:val="CommentText"/>
    <w:uiPriority w:val="99"/>
    <w:rsid w:val="00F15FFC"/>
    <w:rPr>
      <w:rFonts w:eastAsia="Times New Roman"/>
    </w:rPr>
  </w:style>
  <w:style w:type="paragraph" w:styleId="Date">
    <w:name w:val="Date"/>
    <w:basedOn w:val="BodyText"/>
    <w:next w:val="BodyText"/>
    <w:link w:val="DateChar"/>
    <w:semiHidden/>
    <w:rsid w:val="00BE10B2"/>
  </w:style>
  <w:style w:type="character" w:customStyle="1" w:styleId="DateChar">
    <w:name w:val="Date Char"/>
    <w:basedOn w:val="DefaultParagraphFont"/>
    <w:link w:val="Date"/>
    <w:semiHidden/>
    <w:rsid w:val="00F15FFC"/>
    <w:rPr>
      <w:rFonts w:eastAsia="Times New Roman"/>
    </w:rPr>
  </w:style>
  <w:style w:type="character" w:styleId="Emphasis">
    <w:name w:val="Emphasis"/>
    <w:basedOn w:val="BodyTextChar"/>
    <w:semiHidden/>
    <w:rsid w:val="00BE10B2"/>
    <w:rPr>
      <w:rFonts w:eastAsia="Times New Roman"/>
      <w:i/>
      <w:iCs/>
      <w:lang w:val="en-AU" w:eastAsia="en-US" w:bidi="ar-SA"/>
    </w:rPr>
  </w:style>
  <w:style w:type="character" w:styleId="EndnoteReference">
    <w:name w:val="endnote reference"/>
    <w:basedOn w:val="DefaultParagraphFont"/>
    <w:uiPriority w:val="99"/>
    <w:rsid w:val="00BE10B2"/>
    <w:rPr>
      <w:rFonts w:ascii="Arial" w:hAnsi="Arial"/>
      <w:vertAlign w:val="superscript"/>
    </w:rPr>
  </w:style>
  <w:style w:type="paragraph" w:styleId="EndnoteText">
    <w:name w:val="endnote text"/>
    <w:basedOn w:val="BodyText"/>
    <w:link w:val="EndnoteTextChar"/>
    <w:uiPriority w:val="99"/>
    <w:rsid w:val="00BE10B2"/>
    <w:rPr>
      <w:sz w:val="16"/>
    </w:rPr>
  </w:style>
  <w:style w:type="character" w:customStyle="1" w:styleId="EndnoteTextChar">
    <w:name w:val="Endnote Text Char"/>
    <w:basedOn w:val="DefaultParagraphFont"/>
    <w:link w:val="EndnoteText"/>
    <w:uiPriority w:val="99"/>
    <w:rsid w:val="00BE10B2"/>
    <w:rPr>
      <w:rFonts w:ascii="Calibri" w:eastAsia="Times New Roman" w:hAnsi="Calibri"/>
      <w:sz w:val="16"/>
    </w:rPr>
  </w:style>
  <w:style w:type="character" w:styleId="FootnoteReference">
    <w:name w:val="footnote reference"/>
    <w:basedOn w:val="DefaultParagraphFont"/>
    <w:uiPriority w:val="99"/>
    <w:rsid w:val="00BE10B2"/>
    <w:rPr>
      <w:rFonts w:ascii="Arial" w:hAnsi="Arial"/>
      <w:vertAlign w:val="superscript"/>
    </w:rPr>
  </w:style>
  <w:style w:type="paragraph" w:styleId="FootnoteText">
    <w:name w:val="footnote text"/>
    <w:basedOn w:val="BodyText"/>
    <w:link w:val="FootnoteTextChar"/>
    <w:rsid w:val="00BE10B2"/>
    <w:rPr>
      <w:sz w:val="16"/>
    </w:rPr>
  </w:style>
  <w:style w:type="character" w:customStyle="1" w:styleId="FootnoteTextChar">
    <w:name w:val="Footnote Text Char"/>
    <w:basedOn w:val="DefaultParagraphFont"/>
    <w:link w:val="FootnoteText"/>
    <w:rsid w:val="00BE10B2"/>
    <w:rPr>
      <w:rFonts w:ascii="Calibri" w:eastAsia="Times New Roman" w:hAnsi="Calibri"/>
      <w:sz w:val="16"/>
    </w:rPr>
  </w:style>
  <w:style w:type="character" w:customStyle="1" w:styleId="Heading2Char">
    <w:name w:val="Heading 2 Char"/>
    <w:basedOn w:val="DefaultParagraphFont"/>
    <w:link w:val="Heading2"/>
    <w:rsid w:val="00303A2D"/>
    <w:rPr>
      <w:rFonts w:ascii="Calibri" w:eastAsia="Arial Unicode MS" w:hAnsi="Calibri"/>
      <w:b/>
      <w:color w:val="auto"/>
      <w:sz w:val="32"/>
      <w:szCs w:val="44"/>
    </w:rPr>
  </w:style>
  <w:style w:type="character" w:customStyle="1" w:styleId="Heading3Char">
    <w:name w:val="Heading 3 Char"/>
    <w:basedOn w:val="DefaultParagraphFont"/>
    <w:link w:val="Heading3"/>
    <w:rsid w:val="005B5F35"/>
    <w:rPr>
      <w:rFonts w:ascii="Calibri" w:eastAsia="Arial Unicode MS" w:hAnsi="Calibri"/>
      <w:b/>
      <w:color w:val="auto"/>
      <w:sz w:val="22"/>
      <w:szCs w:val="44"/>
    </w:rPr>
  </w:style>
  <w:style w:type="character" w:customStyle="1" w:styleId="Heading4Char">
    <w:name w:val="Heading 4 Char"/>
    <w:basedOn w:val="DefaultParagraphFont"/>
    <w:link w:val="Heading4"/>
    <w:rsid w:val="004C6969"/>
    <w:rPr>
      <w:rFonts w:ascii="Calibri" w:eastAsia="Arial Unicode MS" w:hAnsi="Calibri"/>
      <w:color w:val="auto"/>
      <w:sz w:val="22"/>
      <w:szCs w:val="44"/>
      <w:u w:val="single"/>
    </w:rPr>
  </w:style>
  <w:style w:type="character" w:customStyle="1" w:styleId="Heading5Char">
    <w:name w:val="Heading 5 Char"/>
    <w:basedOn w:val="DefaultParagraphFont"/>
    <w:link w:val="Heading5"/>
    <w:rsid w:val="005F2AC7"/>
    <w:rPr>
      <w:rFonts w:ascii="Calibri" w:eastAsia="Times New Roman" w:hAnsi="Calibri"/>
      <w:b/>
      <w:bCs/>
      <w:i/>
      <w:iCs/>
      <w:color w:val="auto"/>
      <w:sz w:val="22"/>
      <w:szCs w:val="26"/>
    </w:rPr>
  </w:style>
  <w:style w:type="character" w:customStyle="1" w:styleId="Heading6Char">
    <w:name w:val="Heading 6 Char"/>
    <w:basedOn w:val="DefaultParagraphFont"/>
    <w:link w:val="Heading6"/>
    <w:rsid w:val="00457877"/>
    <w:rPr>
      <w:rFonts w:ascii="Calibri" w:eastAsia="Times New Roman" w:hAnsi="Calibri"/>
      <w:b/>
      <w:iCs/>
      <w:color w:val="auto"/>
      <w:sz w:val="20"/>
      <w:szCs w:val="22"/>
    </w:rPr>
  </w:style>
  <w:style w:type="character" w:customStyle="1" w:styleId="Heading7Char">
    <w:name w:val="Heading 7 Char"/>
    <w:basedOn w:val="DefaultParagraphFont"/>
    <w:link w:val="Heading7"/>
    <w:rsid w:val="00457877"/>
    <w:rPr>
      <w:rFonts w:ascii="Calibri" w:eastAsia="Times New Roman" w:hAnsi="Calibri"/>
      <w:b/>
      <w:i/>
      <w:iCs/>
      <w:color w:val="auto"/>
      <w:sz w:val="20"/>
      <w:szCs w:val="22"/>
    </w:rPr>
  </w:style>
  <w:style w:type="character" w:customStyle="1" w:styleId="Heading8Char">
    <w:name w:val="Heading 8 Char"/>
    <w:basedOn w:val="DefaultParagraphFont"/>
    <w:link w:val="Heading8"/>
    <w:rsid w:val="00457877"/>
    <w:rPr>
      <w:rFonts w:ascii="Calibri" w:eastAsia="Times New Roman" w:hAnsi="Calibri"/>
      <w:b/>
      <w:color w:val="auto"/>
      <w:sz w:val="18"/>
      <w:szCs w:val="22"/>
    </w:rPr>
  </w:style>
  <w:style w:type="character" w:customStyle="1" w:styleId="Heading9Char">
    <w:name w:val="Heading 9 Char"/>
    <w:basedOn w:val="DefaultParagraphFont"/>
    <w:link w:val="Heading9"/>
    <w:rsid w:val="00457877"/>
    <w:rPr>
      <w:rFonts w:ascii="Calibri" w:eastAsia="Times New Roman" w:hAnsi="Calibri"/>
      <w:b/>
      <w:i/>
      <w:color w:val="auto"/>
      <w:sz w:val="18"/>
      <w:szCs w:val="22"/>
    </w:rPr>
  </w:style>
  <w:style w:type="paragraph" w:styleId="HTMLAddress">
    <w:name w:val="HTML Address"/>
    <w:basedOn w:val="Normal"/>
    <w:link w:val="HTMLAddressChar"/>
    <w:rsid w:val="00BE10B2"/>
    <w:rPr>
      <w:i/>
      <w:iCs/>
    </w:rPr>
  </w:style>
  <w:style w:type="character" w:customStyle="1" w:styleId="HTMLAddressChar">
    <w:name w:val="HTML Address Char"/>
    <w:basedOn w:val="DefaultParagraphFont"/>
    <w:link w:val="HTMLAddress"/>
    <w:rsid w:val="00BE10B2"/>
    <w:rPr>
      <w:rFonts w:ascii="Calibri" w:eastAsia="Times New Roman" w:hAnsi="Calibri"/>
      <w:i/>
      <w:iCs/>
      <w:sz w:val="22"/>
      <w:szCs w:val="24"/>
    </w:rPr>
  </w:style>
  <w:style w:type="paragraph" w:styleId="Index1">
    <w:name w:val="index 1"/>
    <w:basedOn w:val="Normal"/>
    <w:next w:val="Normal"/>
    <w:autoRedefine/>
    <w:uiPriority w:val="99"/>
    <w:semiHidden/>
    <w:unhideWhenUsed/>
    <w:rsid w:val="00BE10B2"/>
    <w:pPr>
      <w:ind w:left="200" w:hanging="200"/>
    </w:pPr>
  </w:style>
  <w:style w:type="paragraph" w:styleId="IndexHeading">
    <w:name w:val="index heading"/>
    <w:basedOn w:val="Normal"/>
    <w:next w:val="Normal"/>
    <w:rsid w:val="00BE10B2"/>
    <w:rPr>
      <w:b/>
      <w:bCs/>
      <w:sz w:val="18"/>
    </w:rPr>
  </w:style>
  <w:style w:type="character" w:styleId="IntenseEmphasis">
    <w:name w:val="Intense Emphasis"/>
    <w:basedOn w:val="DefaultParagraphFont"/>
    <w:uiPriority w:val="21"/>
    <w:semiHidden/>
    <w:qFormat/>
    <w:rsid w:val="00BE10B2"/>
    <w:rPr>
      <w:b/>
      <w:bCs/>
      <w:i/>
      <w:iCs/>
      <w:color w:val="4F81BD" w:themeColor="accent1"/>
    </w:rPr>
  </w:style>
  <w:style w:type="character" w:styleId="IntenseReference">
    <w:name w:val="Intense Reference"/>
    <w:basedOn w:val="DefaultParagraphFont"/>
    <w:uiPriority w:val="32"/>
    <w:semiHidden/>
    <w:qFormat/>
    <w:rsid w:val="00BE10B2"/>
    <w:rPr>
      <w:b/>
      <w:bCs/>
      <w:smallCaps/>
      <w:color w:val="C0504D" w:themeColor="accent2"/>
      <w:spacing w:val="5"/>
      <w:u w:val="single"/>
    </w:rPr>
  </w:style>
  <w:style w:type="paragraph" w:styleId="List">
    <w:name w:val="List"/>
    <w:basedOn w:val="Normal"/>
    <w:uiPriority w:val="99"/>
    <w:semiHidden/>
    <w:unhideWhenUsed/>
    <w:rsid w:val="00BE10B2"/>
    <w:pPr>
      <w:ind w:left="283" w:hanging="283"/>
      <w:contextualSpacing/>
    </w:pPr>
  </w:style>
  <w:style w:type="paragraph" w:styleId="ListBullet">
    <w:name w:val="List Bullet"/>
    <w:basedOn w:val="BodyText"/>
    <w:rsid w:val="00712964"/>
    <w:pPr>
      <w:numPr>
        <w:numId w:val="2"/>
      </w:numPr>
      <w:tabs>
        <w:tab w:val="clear" w:pos="567"/>
      </w:tabs>
      <w:ind w:left="851"/>
      <w:contextualSpacing/>
    </w:pPr>
    <w:rPr>
      <w:rFonts w:ascii="Calibri" w:hAnsi="Calibri"/>
      <w:sz w:val="22"/>
    </w:rPr>
  </w:style>
  <w:style w:type="paragraph" w:styleId="ListBullet2">
    <w:name w:val="List Bullet 2"/>
    <w:basedOn w:val="ListBullet"/>
    <w:rsid w:val="00F0671B"/>
    <w:pPr>
      <w:numPr>
        <w:ilvl w:val="1"/>
      </w:numPr>
    </w:pPr>
  </w:style>
  <w:style w:type="paragraph" w:styleId="ListBullet3">
    <w:name w:val="List Bullet 3"/>
    <w:basedOn w:val="ListBullet2"/>
    <w:rsid w:val="00F0671B"/>
    <w:pPr>
      <w:numPr>
        <w:ilvl w:val="2"/>
      </w:numPr>
    </w:pPr>
  </w:style>
  <w:style w:type="paragraph" w:styleId="ListBullet4">
    <w:name w:val="List Bullet 4"/>
    <w:basedOn w:val="ListBullet3"/>
    <w:rsid w:val="00F0671B"/>
    <w:pPr>
      <w:numPr>
        <w:ilvl w:val="3"/>
      </w:numPr>
    </w:pPr>
  </w:style>
  <w:style w:type="paragraph" w:styleId="ListBullet5">
    <w:name w:val="List Bullet 5"/>
    <w:basedOn w:val="ListBullet4"/>
    <w:rsid w:val="00BE10B2"/>
    <w:pPr>
      <w:numPr>
        <w:ilvl w:val="4"/>
      </w:numPr>
    </w:pPr>
  </w:style>
  <w:style w:type="paragraph" w:customStyle="1" w:styleId="ListNumberClosed">
    <w:name w:val="List Number Closed"/>
    <w:basedOn w:val="ListNumber"/>
    <w:rsid w:val="00457877"/>
  </w:style>
  <w:style w:type="paragraph" w:styleId="ListContinue">
    <w:name w:val="List Continue"/>
    <w:basedOn w:val="BodyText"/>
    <w:rsid w:val="00892554"/>
    <w:pPr>
      <w:ind w:left="567"/>
    </w:pPr>
  </w:style>
  <w:style w:type="paragraph" w:styleId="ListContinue2">
    <w:name w:val="List Continue 2"/>
    <w:basedOn w:val="ListContinue"/>
    <w:rsid w:val="00F0671B"/>
    <w:pPr>
      <w:ind w:left="1134"/>
    </w:pPr>
  </w:style>
  <w:style w:type="paragraph" w:styleId="ListContinue3">
    <w:name w:val="List Continue 3"/>
    <w:basedOn w:val="ListContinue2"/>
    <w:rsid w:val="00BE10B2"/>
    <w:pPr>
      <w:ind w:left="1701"/>
    </w:pPr>
  </w:style>
  <w:style w:type="paragraph" w:styleId="ListContinue4">
    <w:name w:val="List Continue 4"/>
    <w:basedOn w:val="ListContinue3"/>
    <w:rsid w:val="00BE10B2"/>
    <w:pPr>
      <w:ind w:left="2268"/>
    </w:pPr>
  </w:style>
  <w:style w:type="paragraph" w:styleId="ListContinue5">
    <w:name w:val="List Continue 5"/>
    <w:basedOn w:val="ListContinue4"/>
    <w:rsid w:val="00BE10B2"/>
    <w:pPr>
      <w:ind w:left="2835"/>
    </w:pPr>
  </w:style>
  <w:style w:type="paragraph" w:styleId="ListNumber">
    <w:name w:val="List Number"/>
    <w:basedOn w:val="Normal"/>
    <w:rsid w:val="002248A3"/>
    <w:pPr>
      <w:numPr>
        <w:numId w:val="9"/>
      </w:numPr>
      <w:tabs>
        <w:tab w:val="clear" w:pos="567"/>
      </w:tabs>
      <w:ind w:left="851"/>
      <w:contextualSpacing/>
    </w:pPr>
  </w:style>
  <w:style w:type="paragraph" w:styleId="ListNumber2">
    <w:name w:val="List Number 2"/>
    <w:basedOn w:val="ListNumber"/>
    <w:rsid w:val="00892554"/>
    <w:pPr>
      <w:numPr>
        <w:ilvl w:val="1"/>
      </w:numPr>
    </w:pPr>
  </w:style>
  <w:style w:type="paragraph" w:styleId="ListNumber3">
    <w:name w:val="List Number 3"/>
    <w:basedOn w:val="ListNumber2"/>
    <w:rsid w:val="00F0671B"/>
    <w:pPr>
      <w:numPr>
        <w:ilvl w:val="2"/>
      </w:numPr>
    </w:pPr>
  </w:style>
  <w:style w:type="paragraph" w:styleId="ListNumber4">
    <w:name w:val="List Number 4"/>
    <w:basedOn w:val="ListNumber3"/>
    <w:rsid w:val="00BE10B2"/>
    <w:pPr>
      <w:numPr>
        <w:ilvl w:val="3"/>
      </w:numPr>
    </w:pPr>
  </w:style>
  <w:style w:type="paragraph" w:styleId="ListNumber5">
    <w:name w:val="List Number 5"/>
    <w:basedOn w:val="ListNumber4"/>
    <w:rsid w:val="00BE10B2"/>
    <w:pPr>
      <w:numPr>
        <w:ilvl w:val="4"/>
      </w:numPr>
    </w:pPr>
  </w:style>
  <w:style w:type="paragraph" w:styleId="ListParagraph">
    <w:name w:val="List Paragraph"/>
    <w:aliases w:val="Bullet point,List Paragraph1,List Paragraph11"/>
    <w:basedOn w:val="Normal"/>
    <w:link w:val="ListParagraphChar"/>
    <w:uiPriority w:val="34"/>
    <w:qFormat/>
    <w:rsid w:val="00BE10B2"/>
    <w:pPr>
      <w:ind w:left="567"/>
    </w:pPr>
  </w:style>
  <w:style w:type="numbering" w:customStyle="1" w:styleId="ListNumbers">
    <w:name w:val="ListNumbers"/>
    <w:rsid w:val="00BE10B2"/>
    <w:pPr>
      <w:numPr>
        <w:numId w:val="3"/>
      </w:numPr>
    </w:pPr>
  </w:style>
  <w:style w:type="paragraph" w:styleId="NormalIndent">
    <w:name w:val="Normal Indent"/>
    <w:basedOn w:val="Normal"/>
    <w:semiHidden/>
    <w:rsid w:val="00BE10B2"/>
    <w:pPr>
      <w:ind w:left="1134"/>
    </w:pPr>
  </w:style>
  <w:style w:type="paragraph" w:customStyle="1" w:styleId="Note">
    <w:name w:val="Note"/>
    <w:basedOn w:val="BodyText"/>
    <w:next w:val="BodyText"/>
    <w:rsid w:val="00BE10B2"/>
    <w:pPr>
      <w:numPr>
        <w:numId w:val="4"/>
      </w:numPr>
    </w:pPr>
  </w:style>
  <w:style w:type="paragraph" w:customStyle="1" w:styleId="Note2">
    <w:name w:val="Note 2"/>
    <w:basedOn w:val="Note"/>
    <w:next w:val="BodyText"/>
    <w:rsid w:val="00BE10B2"/>
    <w:pPr>
      <w:numPr>
        <w:ilvl w:val="1"/>
      </w:numPr>
    </w:pPr>
  </w:style>
  <w:style w:type="character" w:styleId="PageNumber">
    <w:name w:val="page number"/>
    <w:basedOn w:val="BodyTextChar"/>
    <w:semiHidden/>
    <w:rsid w:val="00BE10B2"/>
    <w:rPr>
      <w:rFonts w:eastAsia="Times New Roman"/>
      <w:sz w:val="16"/>
      <w:szCs w:val="24"/>
      <w:lang w:val="en-AU" w:eastAsia="en-US" w:bidi="ar-SA"/>
    </w:rPr>
  </w:style>
  <w:style w:type="paragraph" w:customStyle="1" w:styleId="Para2">
    <w:name w:val="Para 2"/>
    <w:basedOn w:val="Normal"/>
    <w:uiPriority w:val="99"/>
    <w:semiHidden/>
    <w:rsid w:val="00BE10B2"/>
    <w:pPr>
      <w:widowControl/>
      <w:ind w:left="1418"/>
    </w:pPr>
    <w:rPr>
      <w:rFonts w:ascii="Times New Roman" w:hAnsi="Times New Roman"/>
      <w:sz w:val="24"/>
    </w:rPr>
  </w:style>
  <w:style w:type="paragraph" w:customStyle="1" w:styleId="Picture">
    <w:name w:val="Picture"/>
    <w:basedOn w:val="BodyText"/>
    <w:next w:val="BodyText"/>
    <w:rsid w:val="00BE10B2"/>
    <w:pPr>
      <w:spacing w:line="240" w:lineRule="auto"/>
    </w:pPr>
  </w:style>
  <w:style w:type="paragraph" w:styleId="Title">
    <w:name w:val="Title"/>
    <w:aliases w:val="Figures"/>
    <w:basedOn w:val="Normal"/>
    <w:next w:val="Normal"/>
    <w:link w:val="TitleChar"/>
    <w:autoRedefine/>
    <w:uiPriority w:val="10"/>
    <w:qFormat/>
    <w:rsid w:val="00A042C9"/>
    <w:pPr>
      <w:keepNext/>
      <w:widowControl/>
      <w:shd w:val="clear" w:color="FFFFFF" w:fill="auto"/>
      <w:jc w:val="left"/>
    </w:pPr>
    <w:rPr>
      <w:b/>
      <w:lang w:eastAsia="en-AU"/>
    </w:rPr>
  </w:style>
  <w:style w:type="character" w:customStyle="1" w:styleId="TitleChar">
    <w:name w:val="Title Char"/>
    <w:aliases w:val="Figures Char"/>
    <w:basedOn w:val="DefaultParagraphFont"/>
    <w:link w:val="Title"/>
    <w:uiPriority w:val="10"/>
    <w:rsid w:val="00A042C9"/>
    <w:rPr>
      <w:rFonts w:ascii="Calibri" w:eastAsiaTheme="minorHAnsi" w:hAnsi="Calibri" w:cstheme="minorBidi"/>
      <w:b/>
      <w:color w:val="auto"/>
      <w:sz w:val="22"/>
      <w:szCs w:val="22"/>
      <w:shd w:val="clear" w:color="FFFFFF" w:fill="auto"/>
      <w:lang w:val="en-US" w:eastAsia="en-AU"/>
    </w:rPr>
  </w:style>
  <w:style w:type="paragraph" w:customStyle="1" w:styleId="Recommendation">
    <w:name w:val="Recommendation"/>
    <w:basedOn w:val="BodyText"/>
    <w:rsid w:val="00BE10B2"/>
    <w:pPr>
      <w:pBdr>
        <w:top w:val="single" w:sz="48" w:space="1" w:color="DDD9C3" w:themeColor="background2" w:themeShade="E6"/>
        <w:left w:val="single" w:sz="24" w:space="4" w:color="DDD9C3" w:themeColor="background2" w:themeShade="E6"/>
        <w:bottom w:val="single" w:sz="48" w:space="1" w:color="DDD9C3" w:themeColor="background2" w:themeShade="E6"/>
        <w:right w:val="single" w:sz="24" w:space="4" w:color="DDD9C3" w:themeColor="background2" w:themeShade="E6"/>
      </w:pBdr>
      <w:shd w:val="clear" w:color="auto" w:fill="DDD9C3" w:themeFill="background2" w:themeFillShade="E6"/>
    </w:pPr>
    <w:rPr>
      <w:i/>
    </w:rPr>
  </w:style>
  <w:style w:type="character" w:styleId="Strong">
    <w:name w:val="Strong"/>
    <w:basedOn w:val="BodyTextChar"/>
    <w:uiPriority w:val="22"/>
    <w:qFormat/>
    <w:rsid w:val="00BE10B2"/>
    <w:rPr>
      <w:rFonts w:eastAsia="Times New Roman"/>
      <w:b/>
      <w:bCs/>
      <w:lang w:val="en-AU" w:eastAsia="en-US" w:bidi="ar-SA"/>
    </w:rPr>
  </w:style>
  <w:style w:type="paragraph" w:customStyle="1" w:styleId="TableBodyText">
    <w:name w:val="Table Body Text"/>
    <w:basedOn w:val="BodyText"/>
    <w:rsid w:val="00D61E7D"/>
    <w:pPr>
      <w:spacing w:before="60" w:after="60"/>
    </w:pPr>
    <w:rPr>
      <w:rFonts w:cs="Arial"/>
      <w:sz w:val="18"/>
      <w:szCs w:val="20"/>
      <w:lang w:eastAsia="en-AU"/>
    </w:rPr>
  </w:style>
  <w:style w:type="table" w:styleId="TableGrid">
    <w:name w:val="Table Grid"/>
    <w:basedOn w:val="TableNormal"/>
    <w:uiPriority w:val="59"/>
    <w:rsid w:val="00BE10B2"/>
    <w:pPr>
      <w:spacing w:before="60" w:after="60" w:line="276" w:lineRule="auto"/>
    </w:pPr>
    <w:rPr>
      <w:rFonts w:ascii="Verdana" w:eastAsia="Times New Roman" w:hAnsi="Verdana"/>
      <w:sz w:val="16"/>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TableBodyText"/>
    <w:rsid w:val="00D61E7D"/>
    <w:rPr>
      <w:b/>
      <w:color w:val="FFFFFF" w:themeColor="background1"/>
    </w:rPr>
  </w:style>
  <w:style w:type="paragraph" w:customStyle="1" w:styleId="TableListBullet">
    <w:name w:val="Table List Bullet"/>
    <w:basedOn w:val="TableBodyText"/>
    <w:rsid w:val="00BE41A5"/>
    <w:pPr>
      <w:numPr>
        <w:numId w:val="5"/>
      </w:numPr>
    </w:pPr>
  </w:style>
  <w:style w:type="paragraph" w:customStyle="1" w:styleId="TableListBullet2">
    <w:name w:val="Table List Bullet 2"/>
    <w:basedOn w:val="TableListBullet"/>
    <w:rsid w:val="00FE6823"/>
    <w:pPr>
      <w:numPr>
        <w:numId w:val="6"/>
      </w:numPr>
    </w:pPr>
  </w:style>
  <w:style w:type="paragraph" w:customStyle="1" w:styleId="TableListBullet3">
    <w:name w:val="Table List Bullet 3"/>
    <w:basedOn w:val="TableListBullet2"/>
    <w:rsid w:val="00FE6823"/>
    <w:pPr>
      <w:numPr>
        <w:numId w:val="7"/>
      </w:numPr>
      <w:ind w:left="1020" w:hanging="340"/>
    </w:pPr>
    <w:rPr>
      <w:lang w:val="en-US"/>
    </w:rPr>
  </w:style>
  <w:style w:type="paragraph" w:customStyle="1" w:styleId="TableListContinue">
    <w:name w:val="Table List Continue"/>
    <w:basedOn w:val="TableBodyText"/>
    <w:rsid w:val="00BE41A5"/>
    <w:pPr>
      <w:ind w:left="340"/>
    </w:pPr>
  </w:style>
  <w:style w:type="paragraph" w:customStyle="1" w:styleId="TableListContinue2">
    <w:name w:val="Table List Continue 2"/>
    <w:basedOn w:val="TableListContinue"/>
    <w:rsid w:val="00BE10B2"/>
    <w:pPr>
      <w:spacing w:line="240" w:lineRule="auto"/>
      <w:ind w:left="680"/>
    </w:pPr>
  </w:style>
  <w:style w:type="paragraph" w:customStyle="1" w:styleId="TableListContinue3">
    <w:name w:val="Table List Continue 3"/>
    <w:basedOn w:val="TableListContinue2"/>
    <w:rsid w:val="00BE10B2"/>
    <w:pPr>
      <w:ind w:left="1021"/>
    </w:pPr>
  </w:style>
  <w:style w:type="paragraph" w:customStyle="1" w:styleId="TableListNumber">
    <w:name w:val="Table List Number"/>
    <w:basedOn w:val="TableBodyText"/>
    <w:rsid w:val="00BE10B2"/>
    <w:pPr>
      <w:numPr>
        <w:numId w:val="8"/>
      </w:numPr>
    </w:pPr>
  </w:style>
  <w:style w:type="paragraph" w:customStyle="1" w:styleId="TableListNumber2">
    <w:name w:val="Table List Number 2"/>
    <w:basedOn w:val="TableListNumber"/>
    <w:rsid w:val="00FE6823"/>
    <w:pPr>
      <w:numPr>
        <w:ilvl w:val="1"/>
      </w:numPr>
    </w:pPr>
  </w:style>
  <w:style w:type="paragraph" w:customStyle="1" w:styleId="TableListNumber3">
    <w:name w:val="Table List Number 3"/>
    <w:basedOn w:val="TableListNumber2"/>
    <w:rsid w:val="00FE6823"/>
    <w:pPr>
      <w:numPr>
        <w:ilvl w:val="2"/>
      </w:numPr>
      <w:ind w:left="1020" w:hanging="340"/>
    </w:pPr>
  </w:style>
  <w:style w:type="paragraph" w:styleId="TableofFigures">
    <w:name w:val="table of figures"/>
    <w:basedOn w:val="BodyText"/>
    <w:next w:val="BodyText"/>
    <w:uiPriority w:val="99"/>
    <w:rsid w:val="00BE10B2"/>
  </w:style>
  <w:style w:type="paragraph" w:customStyle="1" w:styleId="TemplateInstruction">
    <w:name w:val="Template Instruction"/>
    <w:basedOn w:val="BodyText"/>
    <w:semiHidden/>
    <w:rsid w:val="00BE10B2"/>
    <w:pPr>
      <w:spacing w:after="120" w:line="240" w:lineRule="atLeast"/>
      <w:ind w:left="709"/>
    </w:pPr>
    <w:rPr>
      <w:rFonts w:ascii="Times New Roman" w:hAnsi="Times New Roman"/>
      <w:i/>
      <w:color w:val="0000FF"/>
    </w:rPr>
  </w:style>
  <w:style w:type="paragraph" w:styleId="TOC1">
    <w:name w:val="toc 1"/>
    <w:basedOn w:val="BodyText"/>
    <w:next w:val="BodyText"/>
    <w:uiPriority w:val="39"/>
    <w:unhideWhenUsed/>
    <w:rsid w:val="002823C5"/>
    <w:pPr>
      <w:tabs>
        <w:tab w:val="left" w:pos="567"/>
        <w:tab w:val="right" w:leader="dot" w:pos="9072"/>
      </w:tabs>
      <w:spacing w:after="60" w:line="240" w:lineRule="auto"/>
    </w:pPr>
    <w:rPr>
      <w:rFonts w:asciiTheme="majorHAnsi" w:hAnsiTheme="majorHAnsi"/>
      <w:b/>
      <w:sz w:val="22"/>
    </w:rPr>
  </w:style>
  <w:style w:type="paragraph" w:styleId="TOC2">
    <w:name w:val="toc 2"/>
    <w:basedOn w:val="TOC1"/>
    <w:next w:val="BodyText"/>
    <w:uiPriority w:val="39"/>
    <w:unhideWhenUsed/>
    <w:rsid w:val="001D5D84"/>
    <w:pPr>
      <w:ind w:left="567" w:hanging="567"/>
    </w:pPr>
    <w:rPr>
      <w:b w:val="0"/>
    </w:rPr>
  </w:style>
  <w:style w:type="paragraph" w:styleId="TOC3">
    <w:name w:val="toc 3"/>
    <w:basedOn w:val="TOC2"/>
    <w:next w:val="BodyText"/>
    <w:uiPriority w:val="39"/>
    <w:unhideWhenUsed/>
    <w:rsid w:val="00E900C0"/>
    <w:pPr>
      <w:ind w:left="1134"/>
    </w:pPr>
  </w:style>
  <w:style w:type="paragraph" w:styleId="TOC4">
    <w:name w:val="toc 4"/>
    <w:basedOn w:val="Normal"/>
    <w:next w:val="Normal"/>
    <w:uiPriority w:val="39"/>
    <w:unhideWhenUsed/>
    <w:rsid w:val="003D7795"/>
    <w:pPr>
      <w:ind w:left="851"/>
    </w:pPr>
    <w:rPr>
      <w:sz w:val="18"/>
    </w:rPr>
  </w:style>
  <w:style w:type="paragraph" w:styleId="TOC5">
    <w:name w:val="toc 5"/>
    <w:basedOn w:val="Normal"/>
    <w:next w:val="Normal"/>
    <w:uiPriority w:val="39"/>
    <w:unhideWhenUsed/>
    <w:rsid w:val="008D3005"/>
    <w:pPr>
      <w:tabs>
        <w:tab w:val="right" w:leader="dot" w:pos="9072"/>
      </w:tabs>
    </w:pPr>
  </w:style>
  <w:style w:type="paragraph" w:styleId="TOC6">
    <w:name w:val="toc 6"/>
    <w:basedOn w:val="Normal"/>
    <w:next w:val="Normal"/>
    <w:uiPriority w:val="39"/>
    <w:unhideWhenUsed/>
    <w:rsid w:val="00BE10B2"/>
    <w:pPr>
      <w:spacing w:after="100"/>
      <w:ind w:left="1100"/>
    </w:pPr>
  </w:style>
  <w:style w:type="paragraph" w:styleId="TOC7">
    <w:name w:val="toc 7"/>
    <w:basedOn w:val="Normal"/>
    <w:next w:val="Normal"/>
    <w:uiPriority w:val="39"/>
    <w:unhideWhenUsed/>
    <w:rsid w:val="00BE10B2"/>
    <w:pPr>
      <w:spacing w:after="100"/>
      <w:ind w:left="1320"/>
    </w:pPr>
  </w:style>
  <w:style w:type="paragraph" w:styleId="TOC8">
    <w:name w:val="toc 8"/>
    <w:basedOn w:val="Normal"/>
    <w:next w:val="Normal"/>
    <w:uiPriority w:val="39"/>
    <w:unhideWhenUsed/>
    <w:rsid w:val="00BE10B2"/>
    <w:pPr>
      <w:spacing w:after="100"/>
      <w:ind w:left="1540"/>
    </w:pPr>
  </w:style>
  <w:style w:type="paragraph" w:styleId="TOC9">
    <w:name w:val="toc 9"/>
    <w:basedOn w:val="Normal"/>
    <w:next w:val="Normal"/>
    <w:uiPriority w:val="39"/>
    <w:unhideWhenUsed/>
    <w:rsid w:val="00BE10B2"/>
    <w:pPr>
      <w:spacing w:after="100"/>
      <w:ind w:left="1760"/>
    </w:pPr>
  </w:style>
  <w:style w:type="paragraph" w:styleId="TOCHeading">
    <w:name w:val="TOC Heading"/>
    <w:basedOn w:val="Heading1"/>
    <w:next w:val="BodyText"/>
    <w:autoRedefine/>
    <w:uiPriority w:val="39"/>
    <w:qFormat/>
    <w:rsid w:val="0048683E"/>
    <w:pPr>
      <w:outlineLvl w:val="9"/>
    </w:pPr>
  </w:style>
  <w:style w:type="paragraph" w:customStyle="1" w:styleId="Version">
    <w:name w:val="Version"/>
    <w:basedOn w:val="BodyText"/>
    <w:rsid w:val="006D0754"/>
    <w:pPr>
      <w:spacing w:after="0" w:line="240" w:lineRule="auto"/>
      <w:jc w:val="center"/>
    </w:pPr>
    <w:rPr>
      <w:b/>
      <w:color w:val="FFFFFF" w:themeColor="background1"/>
      <w:spacing w:val="9"/>
      <w:position w:val="2"/>
    </w:rPr>
  </w:style>
  <w:style w:type="paragraph" w:customStyle="1" w:styleId="WorkflowText">
    <w:name w:val="Workflow Text"/>
    <w:basedOn w:val="TableBodyText"/>
    <w:semiHidden/>
    <w:rsid w:val="00BE10B2"/>
  </w:style>
  <w:style w:type="paragraph" w:customStyle="1" w:styleId="BodyTextIntro">
    <w:name w:val="Body Text Intro"/>
    <w:basedOn w:val="BodyText"/>
    <w:next w:val="BodyText"/>
    <w:rsid w:val="00CC3F5B"/>
    <w:rPr>
      <w:b/>
      <w:i/>
      <w:color w:val="7F7F7F" w:themeColor="text1" w:themeTint="80"/>
      <w:sz w:val="22"/>
    </w:rPr>
  </w:style>
  <w:style w:type="table" w:customStyle="1" w:styleId="PSATable">
    <w:name w:val="PSA Table"/>
    <w:basedOn w:val="TableNormal"/>
    <w:uiPriority w:val="99"/>
    <w:qFormat/>
    <w:rsid w:val="00D61E7D"/>
    <w:pPr>
      <w:spacing w:before="60" w:after="60"/>
    </w:pPr>
    <w:rPr>
      <w:color w:val="auto"/>
      <w:sz w:val="18"/>
      <w:szCs w:val="20"/>
      <w:lang w:eastAsia="en-AU"/>
    </w:rPr>
    <w:tblPr>
      <w:tblStyleRowBandSize w:val="1"/>
      <w:tblStyleColBandSize w:val="1"/>
      <w:tblBorders>
        <w:top w:val="single" w:sz="8" w:space="0" w:color="auto"/>
        <w:bottom w:val="single" w:sz="8" w:space="0" w:color="auto"/>
        <w:insideH w:val="single" w:sz="8" w:space="0" w:color="auto"/>
      </w:tblBorders>
    </w:tblPr>
    <w:tblStylePr w:type="firstRow">
      <w:pPr>
        <w:wordWrap/>
        <w:spacing w:beforeLines="0" w:beforeAutospacing="0" w:afterLines="0" w:afterAutospacing="0" w:line="240" w:lineRule="auto"/>
        <w:contextualSpacing w:val="0"/>
      </w:pPr>
      <w:rPr>
        <w:rFonts w:ascii="Arial" w:hAnsi="Arial"/>
        <w:b/>
        <w:bCs/>
        <w:color w:val="FFFFFF" w:themeColor="background1"/>
        <w:sz w:val="18"/>
      </w:rPr>
      <w:tblPr/>
      <w:tcPr>
        <w:tcBorders>
          <w:top w:val="single" w:sz="8" w:space="0" w:color="4F81BD" w:themeColor="accent1"/>
          <w:left w:val="nil"/>
          <w:bottom w:val="single" w:sz="8" w:space="0" w:color="4F81BD" w:themeColor="accent1"/>
          <w:right w:val="nil"/>
          <w:insideH w:val="nil"/>
          <w:insideV w:val="nil"/>
        </w:tcBorders>
        <w:shd w:val="clear" w:color="auto" w:fill="00748D"/>
      </w:tcPr>
    </w:tblStylePr>
    <w:tblStylePr w:type="lastRow">
      <w:pPr>
        <w:wordWrap/>
        <w:spacing w:beforeLines="0" w:beforeAutospacing="0" w:afterLines="0" w:afterAutospacing="0" w:line="360" w:lineRule="auto"/>
      </w:pPr>
      <w:rPr>
        <w:rFonts w:ascii="Arial" w:hAnsi="Arial"/>
        <w:b w:val="0"/>
        <w:bCs/>
        <w:sz w:val="18"/>
      </w:rPr>
      <w:tblPr/>
      <w:tcPr>
        <w:tcBorders>
          <w:top w:val="single" w:sz="8" w:space="0" w:color="auto"/>
          <w:left w:val="nil"/>
          <w:bottom w:val="single" w:sz="8" w:space="0" w:color="auto"/>
          <w:right w:val="nil"/>
          <w:insideH w:val="nil"/>
          <w:insideV w:val="nil"/>
        </w:tcBorders>
      </w:tcPr>
    </w:tblStylePr>
    <w:tblStylePr w:type="firstCol">
      <w:rPr>
        <w:b/>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pPr>
        <w:wordWrap/>
        <w:spacing w:beforeLines="0" w:beforeAutospacing="0" w:afterLines="0" w:afterAutospacing="0" w:line="240" w:lineRule="auto"/>
      </w:pPr>
      <w:rPr>
        <w:rFonts w:ascii="Arial" w:hAnsi="Arial"/>
        <w:sz w:val="18"/>
      </w:rPr>
      <w:tblPr/>
      <w:tcPr>
        <w:tcBorders>
          <w:left w:val="nil"/>
          <w:right w:val="nil"/>
          <w:insideH w:val="nil"/>
          <w:insideV w:val="nil"/>
        </w:tcBorders>
        <w:shd w:val="clear" w:color="auto" w:fill="D3DFEE" w:themeFill="accent1" w:themeFillTint="3F"/>
      </w:tcPr>
    </w:tblStylePr>
    <w:tblStylePr w:type="band2Horz">
      <w:rPr>
        <w:rFonts w:ascii="Arial" w:hAnsi="Arial"/>
        <w:sz w:val="18"/>
      </w:rPr>
    </w:tblStylePr>
  </w:style>
  <w:style w:type="paragraph" w:customStyle="1" w:styleId="CoverHeading1">
    <w:name w:val="Cover Heading 1"/>
    <w:basedOn w:val="BodyText"/>
    <w:semiHidden/>
    <w:rsid w:val="0098668F"/>
    <w:pPr>
      <w:spacing w:before="480" w:line="240" w:lineRule="auto"/>
    </w:pPr>
    <w:rPr>
      <w:b/>
      <w:color w:val="FFFFFF" w:themeColor="background1"/>
      <w:sz w:val="42"/>
    </w:rPr>
  </w:style>
  <w:style w:type="paragraph" w:customStyle="1" w:styleId="CoverHeading2">
    <w:name w:val="Cover Heading 2"/>
    <w:basedOn w:val="BodyText"/>
    <w:semiHidden/>
    <w:rsid w:val="0098668F"/>
    <w:pPr>
      <w:spacing w:before="200" w:line="240" w:lineRule="auto"/>
    </w:pPr>
    <w:rPr>
      <w:b/>
      <w:i/>
      <w:color w:val="FFFFFF" w:themeColor="background1"/>
      <w:sz w:val="28"/>
      <w:szCs w:val="28"/>
    </w:rPr>
  </w:style>
  <w:style w:type="paragraph" w:customStyle="1" w:styleId="ProgramTitle">
    <w:name w:val="Program Title"/>
    <w:basedOn w:val="BodyText"/>
    <w:semiHidden/>
    <w:rsid w:val="00630EAD"/>
    <w:pPr>
      <w:spacing w:before="120" w:line="240" w:lineRule="auto"/>
    </w:pPr>
    <w:rPr>
      <w:color w:val="FFFFFF" w:themeColor="background1"/>
    </w:rPr>
  </w:style>
  <w:style w:type="paragraph" w:customStyle="1" w:styleId="Year">
    <w:name w:val="Year"/>
    <w:basedOn w:val="BodyText"/>
    <w:rsid w:val="00000F0D"/>
    <w:pPr>
      <w:autoSpaceDE w:val="0"/>
      <w:autoSpaceDN w:val="0"/>
      <w:adjustRightInd w:val="0"/>
      <w:spacing w:before="120" w:after="0" w:line="240" w:lineRule="auto"/>
      <w:jc w:val="center"/>
    </w:pPr>
    <w:rPr>
      <w:rFonts w:cs="Arial"/>
      <w:color w:val="FFFFFF"/>
      <w:sz w:val="16"/>
      <w:szCs w:val="16"/>
    </w:rPr>
  </w:style>
  <w:style w:type="paragraph" w:customStyle="1" w:styleId="CopyrightText">
    <w:name w:val="Copyright Text"/>
    <w:basedOn w:val="BodyText"/>
    <w:next w:val="BodyText"/>
    <w:rsid w:val="00102880"/>
    <w:rPr>
      <w:sz w:val="18"/>
      <w:szCs w:val="18"/>
    </w:rPr>
  </w:style>
  <w:style w:type="paragraph" w:customStyle="1" w:styleId="CopyrightHeading">
    <w:name w:val="Copyright Heading"/>
    <w:basedOn w:val="CopyrightText"/>
    <w:next w:val="CopyrightText"/>
    <w:rsid w:val="002F6792"/>
    <w:rPr>
      <w:rFonts w:eastAsia="Arial Unicode MS"/>
      <w:b/>
      <w:color w:val="auto"/>
    </w:rPr>
  </w:style>
  <w:style w:type="paragraph" w:customStyle="1" w:styleId="HiddenText">
    <w:name w:val="Hidden Text"/>
    <w:basedOn w:val="BodyText"/>
    <w:rsid w:val="00AE7D0C"/>
    <w:rPr>
      <w:vanish/>
      <w:color w:val="14BA34"/>
    </w:rPr>
  </w:style>
  <w:style w:type="paragraph" w:customStyle="1" w:styleId="Reference">
    <w:name w:val="Reference"/>
    <w:basedOn w:val="Caption"/>
    <w:rsid w:val="00567185"/>
    <w:rPr>
      <w:i w:val="0"/>
      <w:color w:val="A6A6A6" w:themeColor="background1" w:themeShade="A6"/>
    </w:rPr>
  </w:style>
  <w:style w:type="paragraph" w:styleId="Quote">
    <w:name w:val="Quote"/>
    <w:basedOn w:val="Normal"/>
    <w:next w:val="Normal"/>
    <w:link w:val="QuoteChar"/>
    <w:uiPriority w:val="29"/>
    <w:qFormat/>
    <w:rsid w:val="000F5121"/>
    <w:rPr>
      <w:i/>
      <w:iCs/>
      <w:color w:val="000000" w:themeColor="text1"/>
    </w:rPr>
  </w:style>
  <w:style w:type="character" w:customStyle="1" w:styleId="QuoteChar">
    <w:name w:val="Quote Char"/>
    <w:basedOn w:val="DefaultParagraphFont"/>
    <w:link w:val="Quote"/>
    <w:uiPriority w:val="29"/>
    <w:rsid w:val="000F5121"/>
    <w:rPr>
      <w:rFonts w:ascii="Calibri" w:eastAsia="Times New Roman" w:hAnsi="Calibri"/>
      <w:i/>
      <w:iCs/>
      <w:color w:val="000000" w:themeColor="text1"/>
      <w:szCs w:val="24"/>
    </w:rPr>
  </w:style>
  <w:style w:type="paragraph" w:customStyle="1" w:styleId="VersionControlLog">
    <w:name w:val="Version Control Log"/>
    <w:basedOn w:val="Heading1"/>
    <w:next w:val="BodyText"/>
    <w:rsid w:val="008F5CE7"/>
    <w:pPr>
      <w:spacing w:before="480"/>
    </w:pPr>
  </w:style>
  <w:style w:type="paragraph" w:styleId="BodyText2">
    <w:name w:val="Body Text 2"/>
    <w:basedOn w:val="BodyText"/>
    <w:link w:val="BodyText2Char"/>
    <w:semiHidden/>
    <w:unhideWhenUsed/>
    <w:rsid w:val="00E24E07"/>
    <w:pPr>
      <w:spacing w:after="120"/>
    </w:pPr>
    <w:rPr>
      <w:i/>
    </w:rPr>
  </w:style>
  <w:style w:type="character" w:customStyle="1" w:styleId="BodyText2Char">
    <w:name w:val="Body Text 2 Char"/>
    <w:basedOn w:val="DefaultParagraphFont"/>
    <w:link w:val="BodyText2"/>
    <w:semiHidden/>
    <w:rsid w:val="00E24E07"/>
    <w:rPr>
      <w:rFonts w:eastAsia="Times New Roman"/>
      <w:i/>
    </w:rPr>
  </w:style>
  <w:style w:type="paragraph" w:styleId="BodyText3">
    <w:name w:val="Body Text 3"/>
    <w:basedOn w:val="BodyText"/>
    <w:link w:val="BodyText3Char"/>
    <w:semiHidden/>
    <w:unhideWhenUsed/>
    <w:rsid w:val="00E24E07"/>
    <w:pPr>
      <w:spacing w:after="120"/>
    </w:pPr>
    <w:rPr>
      <w:sz w:val="18"/>
      <w:szCs w:val="16"/>
    </w:rPr>
  </w:style>
  <w:style w:type="character" w:customStyle="1" w:styleId="BodyText3Char">
    <w:name w:val="Body Text 3 Char"/>
    <w:basedOn w:val="DefaultParagraphFont"/>
    <w:link w:val="BodyText3"/>
    <w:semiHidden/>
    <w:rsid w:val="00C527D3"/>
    <w:rPr>
      <w:rFonts w:eastAsia="Times New Roman"/>
      <w:sz w:val="18"/>
      <w:szCs w:val="16"/>
    </w:rPr>
  </w:style>
  <w:style w:type="paragraph" w:styleId="Subtitle">
    <w:name w:val="Subtitle"/>
    <w:basedOn w:val="Normal"/>
    <w:next w:val="Normal"/>
    <w:link w:val="SubtitleChar"/>
    <w:uiPriority w:val="11"/>
    <w:semiHidden/>
    <w:qFormat/>
    <w:rsid w:val="00C527D3"/>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semiHidden/>
    <w:rsid w:val="00C527D3"/>
    <w:rPr>
      <w:rFonts w:eastAsiaTheme="majorEastAsia" w:cstheme="majorBidi"/>
      <w:i/>
      <w:iCs/>
      <w:color w:val="auto"/>
      <w:spacing w:val="15"/>
      <w:sz w:val="24"/>
      <w:szCs w:val="24"/>
    </w:rPr>
  </w:style>
  <w:style w:type="paragraph" w:customStyle="1" w:styleId="TableHeading2">
    <w:name w:val="Table Heading 2"/>
    <w:basedOn w:val="TableHeading"/>
    <w:rsid w:val="00E2539B"/>
    <w:rPr>
      <w:color w:val="auto"/>
    </w:rPr>
  </w:style>
  <w:style w:type="paragraph" w:styleId="BalloonText">
    <w:name w:val="Balloon Text"/>
    <w:basedOn w:val="Normal"/>
    <w:link w:val="BalloonTextChar"/>
    <w:semiHidden/>
    <w:unhideWhenUsed/>
    <w:rsid w:val="00264BC0"/>
    <w:rPr>
      <w:rFonts w:ascii="Tahoma" w:hAnsi="Tahoma" w:cs="Tahoma"/>
      <w:sz w:val="16"/>
      <w:szCs w:val="16"/>
    </w:rPr>
  </w:style>
  <w:style w:type="character" w:customStyle="1" w:styleId="BalloonTextChar">
    <w:name w:val="Balloon Text Char"/>
    <w:basedOn w:val="DefaultParagraphFont"/>
    <w:link w:val="BalloonText"/>
    <w:semiHidden/>
    <w:rsid w:val="00264BC0"/>
    <w:rPr>
      <w:rFonts w:ascii="Tahoma" w:eastAsia="Times New Roman" w:hAnsi="Tahoma" w:cs="Tahoma"/>
      <w:sz w:val="16"/>
      <w:szCs w:val="16"/>
    </w:rPr>
  </w:style>
  <w:style w:type="character" w:customStyle="1" w:styleId="s1">
    <w:name w:val="s1"/>
    <w:basedOn w:val="DefaultParagraphFont"/>
    <w:rsid w:val="00CB4D8D"/>
    <w:rPr>
      <w:spacing w:val="-2"/>
    </w:rPr>
  </w:style>
  <w:style w:type="paragraph" w:customStyle="1" w:styleId="p8">
    <w:name w:val="p8"/>
    <w:basedOn w:val="Normal"/>
    <w:rsid w:val="00CB4D8D"/>
    <w:pPr>
      <w:widowControl/>
      <w:spacing w:line="150" w:lineRule="atLeast"/>
    </w:pPr>
    <w:rPr>
      <w:rFonts w:ascii="Helvetica" w:eastAsiaTheme="minorEastAsia" w:hAnsi="Helvetica" w:cs="Helvetica"/>
      <w:sz w:val="11"/>
      <w:szCs w:val="11"/>
      <w:lang w:eastAsia="ja-JP"/>
    </w:rPr>
  </w:style>
  <w:style w:type="character" w:styleId="CommentReference">
    <w:name w:val="annotation reference"/>
    <w:basedOn w:val="DefaultParagraphFont"/>
    <w:uiPriority w:val="99"/>
    <w:unhideWhenUsed/>
    <w:rsid w:val="00441253"/>
    <w:rPr>
      <w:sz w:val="16"/>
      <w:szCs w:val="16"/>
    </w:rPr>
  </w:style>
  <w:style w:type="paragraph" w:styleId="CommentSubject">
    <w:name w:val="annotation subject"/>
    <w:basedOn w:val="CommentText"/>
    <w:next w:val="CommentText"/>
    <w:link w:val="CommentSubjectChar"/>
    <w:uiPriority w:val="99"/>
    <w:semiHidden/>
    <w:unhideWhenUsed/>
    <w:rsid w:val="00441253"/>
    <w:pPr>
      <w:widowControl w:val="0"/>
      <w:spacing w:after="200" w:line="240" w:lineRule="auto"/>
    </w:pPr>
    <w:rPr>
      <w:rFonts w:asciiTheme="minorHAnsi" w:eastAsiaTheme="minorHAnsi" w:hAnsiTheme="minorHAnsi" w:cstheme="minorBidi"/>
      <w:b/>
      <w:bCs/>
      <w:color w:val="auto"/>
      <w:sz w:val="20"/>
      <w:szCs w:val="20"/>
      <w:lang w:val="en-US"/>
    </w:rPr>
  </w:style>
  <w:style w:type="character" w:customStyle="1" w:styleId="CommentSubjectChar">
    <w:name w:val="Comment Subject Char"/>
    <w:basedOn w:val="CommentTextChar"/>
    <w:link w:val="CommentSubject"/>
    <w:uiPriority w:val="99"/>
    <w:semiHidden/>
    <w:rsid w:val="00441253"/>
    <w:rPr>
      <w:rFonts w:asciiTheme="minorHAnsi" w:eastAsiaTheme="minorHAnsi" w:hAnsiTheme="minorHAnsi" w:cstheme="minorBidi"/>
      <w:b/>
      <w:bCs/>
      <w:color w:val="auto"/>
      <w:sz w:val="20"/>
      <w:szCs w:val="20"/>
      <w:lang w:val="en-US"/>
    </w:rPr>
  </w:style>
  <w:style w:type="character" w:customStyle="1" w:styleId="normaltextrun">
    <w:name w:val="normaltextrun"/>
    <w:basedOn w:val="DefaultParagraphFont"/>
    <w:rsid w:val="006862A1"/>
  </w:style>
  <w:style w:type="paragraph" w:customStyle="1" w:styleId="paragraph">
    <w:name w:val="paragraph"/>
    <w:basedOn w:val="Normal"/>
    <w:rsid w:val="006862A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862A1"/>
  </w:style>
  <w:style w:type="character" w:customStyle="1" w:styleId="contextualspellingandgrammarerror">
    <w:name w:val="contextualspellingandgrammarerror"/>
    <w:basedOn w:val="DefaultParagraphFont"/>
    <w:rsid w:val="006862A1"/>
  </w:style>
  <w:style w:type="character" w:customStyle="1" w:styleId="spellingerror">
    <w:name w:val="spellingerror"/>
    <w:basedOn w:val="DefaultParagraphFont"/>
    <w:rsid w:val="006862A1"/>
  </w:style>
  <w:style w:type="paragraph" w:styleId="NoSpacing">
    <w:name w:val="No Spacing"/>
    <w:basedOn w:val="Normal"/>
    <w:uiPriority w:val="1"/>
    <w:qFormat/>
    <w:rsid w:val="003E0F6C"/>
    <w:pPr>
      <w:spacing w:before="0" w:after="0" w:line="240" w:lineRule="auto"/>
    </w:pPr>
    <w:rPr>
      <w:rFonts w:cstheme="minorHAnsi"/>
      <w:szCs w:val="20"/>
    </w:rPr>
  </w:style>
  <w:style w:type="table" w:customStyle="1" w:styleId="TableGrid1">
    <w:name w:val="Table Grid1"/>
    <w:basedOn w:val="TableNormal"/>
    <w:next w:val="TableGrid"/>
    <w:rsid w:val="00E7608B"/>
    <w:rPr>
      <w:rFonts w:ascii="Times New Roman" w:eastAsia="Times New Roman" w:hAnsi="Times New Roman"/>
      <w:color w:val="auto"/>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A23D3"/>
    <w:pPr>
      <w:spacing w:before="40" w:after="40"/>
    </w:pPr>
    <w:rPr>
      <w:rFonts w:ascii="Arial Narrow" w:eastAsia="Times New Roman" w:hAnsi="Arial Narrow"/>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PlainTable11">
    <w:name w:val="Plain Table 11"/>
    <w:basedOn w:val="TableNormal"/>
    <w:uiPriority w:val="41"/>
    <w:rsid w:val="00962514"/>
    <w:rPr>
      <w:rFonts w:asciiTheme="minorHAnsi" w:eastAsiaTheme="minorHAnsi" w:hAnsiTheme="minorHAnsi" w:cstheme="minorBidi"/>
      <w:color w:val="auto"/>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
    <w:basedOn w:val="DefaultParagraphFont"/>
    <w:link w:val="ListParagraph"/>
    <w:uiPriority w:val="99"/>
    <w:locked/>
    <w:rsid w:val="002A09C7"/>
    <w:rPr>
      <w:rFonts w:asciiTheme="minorHAnsi" w:eastAsiaTheme="minorHAnsi" w:hAnsiTheme="minorHAnsi" w:cstheme="minorBidi"/>
      <w:color w:val="auto"/>
      <w:sz w:val="22"/>
      <w:szCs w:val="22"/>
      <w:lang w:val="en-US"/>
    </w:rPr>
  </w:style>
  <w:style w:type="paragraph" w:customStyle="1" w:styleId="Default">
    <w:name w:val="Default"/>
    <w:rsid w:val="006947B4"/>
    <w:pPr>
      <w:autoSpaceDE w:val="0"/>
      <w:autoSpaceDN w:val="0"/>
      <w:adjustRightInd w:val="0"/>
    </w:pPr>
    <w:rPr>
      <w:rFonts w:eastAsia="Times New Roman" w:cs="Arial"/>
      <w:color w:val="000000"/>
      <w:sz w:val="24"/>
      <w:szCs w:val="24"/>
      <w:lang w:val="en-US"/>
    </w:rPr>
  </w:style>
  <w:style w:type="paragraph" w:customStyle="1" w:styleId="TableParagraph">
    <w:name w:val="Table Paragraph"/>
    <w:basedOn w:val="Normal"/>
    <w:autoRedefine/>
    <w:uiPriority w:val="1"/>
    <w:qFormat/>
    <w:rsid w:val="006C152D"/>
    <w:pPr>
      <w:keepNext/>
      <w:widowControl/>
      <w:autoSpaceDE w:val="0"/>
      <w:autoSpaceDN w:val="0"/>
    </w:pPr>
    <w:rPr>
      <w:rFonts w:eastAsia="Arial" w:cs="Arial"/>
      <w:b/>
      <w:lang w:val="en-AU" w:eastAsia="en-AU" w:bidi="en-AU"/>
    </w:rPr>
  </w:style>
  <w:style w:type="character" w:customStyle="1" w:styleId="apple-converted-space">
    <w:name w:val="apple-converted-space"/>
    <w:basedOn w:val="DefaultParagraphFont"/>
    <w:rsid w:val="00321884"/>
  </w:style>
  <w:style w:type="paragraph" w:styleId="NormalWeb">
    <w:name w:val="Normal (Web)"/>
    <w:basedOn w:val="Normal"/>
    <w:uiPriority w:val="99"/>
    <w:semiHidden/>
    <w:unhideWhenUsed/>
    <w:rsid w:val="001B7E10"/>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C11A0"/>
    <w:rPr>
      <w:rFonts w:ascii="Calibri" w:eastAsiaTheme="minorHAnsi" w:hAnsi="Calibri" w:cstheme="minorBidi"/>
      <w:color w:val="auto"/>
      <w:sz w:val="22"/>
      <w:szCs w:val="22"/>
      <w:lang w:val="en-US"/>
    </w:rPr>
  </w:style>
  <w:style w:type="paragraph" w:customStyle="1" w:styleId="Dash">
    <w:name w:val="Dash"/>
    <w:basedOn w:val="Normal"/>
    <w:rsid w:val="00A30B5E"/>
    <w:pPr>
      <w:widowControl/>
      <w:numPr>
        <w:numId w:val="22"/>
      </w:numPr>
      <w:spacing w:after="240" w:line="312" w:lineRule="auto"/>
    </w:pPr>
    <w:rPr>
      <w:rFonts w:eastAsia="Times New Roman" w:cs="Tahoma"/>
      <w:lang w:val="en-AU" w:eastAsia="en-AU"/>
    </w:rPr>
  </w:style>
  <w:style w:type="paragraph" w:customStyle="1" w:styleId="desc">
    <w:name w:val="desc"/>
    <w:basedOn w:val="Normal"/>
    <w:rsid w:val="006658E3"/>
    <w:pPr>
      <w:widowControl/>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table" w:customStyle="1" w:styleId="PlainTable12">
    <w:name w:val="Plain Table 12"/>
    <w:basedOn w:val="TableNormal"/>
    <w:uiPriority w:val="41"/>
    <w:rsid w:val="00E87E3C"/>
    <w:rPr>
      <w:rFonts w:asciiTheme="minorHAnsi" w:eastAsiaTheme="minorHAnsi" w:hAnsiTheme="minorHAnsi" w:cstheme="minorBidi"/>
      <w:color w:val="auto"/>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198">
      <w:bodyDiv w:val="1"/>
      <w:marLeft w:val="0"/>
      <w:marRight w:val="0"/>
      <w:marTop w:val="0"/>
      <w:marBottom w:val="0"/>
      <w:divBdr>
        <w:top w:val="none" w:sz="0" w:space="0" w:color="auto"/>
        <w:left w:val="none" w:sz="0" w:space="0" w:color="auto"/>
        <w:bottom w:val="none" w:sz="0" w:space="0" w:color="auto"/>
        <w:right w:val="none" w:sz="0" w:space="0" w:color="auto"/>
      </w:divBdr>
    </w:div>
    <w:div w:id="88701538">
      <w:bodyDiv w:val="1"/>
      <w:marLeft w:val="0"/>
      <w:marRight w:val="0"/>
      <w:marTop w:val="0"/>
      <w:marBottom w:val="0"/>
      <w:divBdr>
        <w:top w:val="none" w:sz="0" w:space="0" w:color="auto"/>
        <w:left w:val="none" w:sz="0" w:space="0" w:color="auto"/>
        <w:bottom w:val="none" w:sz="0" w:space="0" w:color="auto"/>
        <w:right w:val="none" w:sz="0" w:space="0" w:color="auto"/>
      </w:divBdr>
    </w:div>
    <w:div w:id="112329846">
      <w:bodyDiv w:val="1"/>
      <w:marLeft w:val="0"/>
      <w:marRight w:val="0"/>
      <w:marTop w:val="0"/>
      <w:marBottom w:val="0"/>
      <w:divBdr>
        <w:top w:val="none" w:sz="0" w:space="0" w:color="auto"/>
        <w:left w:val="none" w:sz="0" w:space="0" w:color="auto"/>
        <w:bottom w:val="none" w:sz="0" w:space="0" w:color="auto"/>
        <w:right w:val="none" w:sz="0" w:space="0" w:color="auto"/>
      </w:divBdr>
    </w:div>
    <w:div w:id="223295851">
      <w:bodyDiv w:val="1"/>
      <w:marLeft w:val="0"/>
      <w:marRight w:val="0"/>
      <w:marTop w:val="0"/>
      <w:marBottom w:val="0"/>
      <w:divBdr>
        <w:top w:val="none" w:sz="0" w:space="0" w:color="auto"/>
        <w:left w:val="none" w:sz="0" w:space="0" w:color="auto"/>
        <w:bottom w:val="none" w:sz="0" w:space="0" w:color="auto"/>
        <w:right w:val="none" w:sz="0" w:space="0" w:color="auto"/>
      </w:divBdr>
    </w:div>
    <w:div w:id="335303216">
      <w:bodyDiv w:val="1"/>
      <w:marLeft w:val="0"/>
      <w:marRight w:val="0"/>
      <w:marTop w:val="0"/>
      <w:marBottom w:val="0"/>
      <w:divBdr>
        <w:top w:val="none" w:sz="0" w:space="0" w:color="auto"/>
        <w:left w:val="none" w:sz="0" w:space="0" w:color="auto"/>
        <w:bottom w:val="none" w:sz="0" w:space="0" w:color="auto"/>
        <w:right w:val="none" w:sz="0" w:space="0" w:color="auto"/>
      </w:divBdr>
    </w:div>
    <w:div w:id="354381086">
      <w:bodyDiv w:val="1"/>
      <w:marLeft w:val="0"/>
      <w:marRight w:val="0"/>
      <w:marTop w:val="0"/>
      <w:marBottom w:val="0"/>
      <w:divBdr>
        <w:top w:val="none" w:sz="0" w:space="0" w:color="auto"/>
        <w:left w:val="none" w:sz="0" w:space="0" w:color="auto"/>
        <w:bottom w:val="none" w:sz="0" w:space="0" w:color="auto"/>
        <w:right w:val="none" w:sz="0" w:space="0" w:color="auto"/>
      </w:divBdr>
    </w:div>
    <w:div w:id="423114106">
      <w:bodyDiv w:val="1"/>
      <w:marLeft w:val="0"/>
      <w:marRight w:val="0"/>
      <w:marTop w:val="0"/>
      <w:marBottom w:val="0"/>
      <w:divBdr>
        <w:top w:val="none" w:sz="0" w:space="0" w:color="auto"/>
        <w:left w:val="none" w:sz="0" w:space="0" w:color="auto"/>
        <w:bottom w:val="none" w:sz="0" w:space="0" w:color="auto"/>
        <w:right w:val="none" w:sz="0" w:space="0" w:color="auto"/>
      </w:divBdr>
    </w:div>
    <w:div w:id="462845472">
      <w:bodyDiv w:val="1"/>
      <w:marLeft w:val="0"/>
      <w:marRight w:val="0"/>
      <w:marTop w:val="0"/>
      <w:marBottom w:val="0"/>
      <w:divBdr>
        <w:top w:val="none" w:sz="0" w:space="0" w:color="auto"/>
        <w:left w:val="none" w:sz="0" w:space="0" w:color="auto"/>
        <w:bottom w:val="none" w:sz="0" w:space="0" w:color="auto"/>
        <w:right w:val="none" w:sz="0" w:space="0" w:color="auto"/>
      </w:divBdr>
    </w:div>
    <w:div w:id="485897583">
      <w:bodyDiv w:val="1"/>
      <w:marLeft w:val="0"/>
      <w:marRight w:val="0"/>
      <w:marTop w:val="0"/>
      <w:marBottom w:val="0"/>
      <w:divBdr>
        <w:top w:val="none" w:sz="0" w:space="0" w:color="auto"/>
        <w:left w:val="none" w:sz="0" w:space="0" w:color="auto"/>
        <w:bottom w:val="none" w:sz="0" w:space="0" w:color="auto"/>
        <w:right w:val="none" w:sz="0" w:space="0" w:color="auto"/>
      </w:divBdr>
    </w:div>
    <w:div w:id="530650226">
      <w:bodyDiv w:val="1"/>
      <w:marLeft w:val="0"/>
      <w:marRight w:val="0"/>
      <w:marTop w:val="0"/>
      <w:marBottom w:val="0"/>
      <w:divBdr>
        <w:top w:val="none" w:sz="0" w:space="0" w:color="auto"/>
        <w:left w:val="none" w:sz="0" w:space="0" w:color="auto"/>
        <w:bottom w:val="none" w:sz="0" w:space="0" w:color="auto"/>
        <w:right w:val="none" w:sz="0" w:space="0" w:color="auto"/>
      </w:divBdr>
    </w:div>
    <w:div w:id="718213277">
      <w:bodyDiv w:val="1"/>
      <w:marLeft w:val="0"/>
      <w:marRight w:val="0"/>
      <w:marTop w:val="0"/>
      <w:marBottom w:val="0"/>
      <w:divBdr>
        <w:top w:val="none" w:sz="0" w:space="0" w:color="auto"/>
        <w:left w:val="none" w:sz="0" w:space="0" w:color="auto"/>
        <w:bottom w:val="none" w:sz="0" w:space="0" w:color="auto"/>
        <w:right w:val="none" w:sz="0" w:space="0" w:color="auto"/>
      </w:divBdr>
    </w:div>
    <w:div w:id="766538378">
      <w:bodyDiv w:val="1"/>
      <w:marLeft w:val="0"/>
      <w:marRight w:val="0"/>
      <w:marTop w:val="0"/>
      <w:marBottom w:val="0"/>
      <w:divBdr>
        <w:top w:val="none" w:sz="0" w:space="0" w:color="auto"/>
        <w:left w:val="none" w:sz="0" w:space="0" w:color="auto"/>
        <w:bottom w:val="none" w:sz="0" w:space="0" w:color="auto"/>
        <w:right w:val="none" w:sz="0" w:space="0" w:color="auto"/>
      </w:divBdr>
    </w:div>
    <w:div w:id="806507950">
      <w:bodyDiv w:val="1"/>
      <w:marLeft w:val="0"/>
      <w:marRight w:val="0"/>
      <w:marTop w:val="0"/>
      <w:marBottom w:val="0"/>
      <w:divBdr>
        <w:top w:val="none" w:sz="0" w:space="0" w:color="auto"/>
        <w:left w:val="none" w:sz="0" w:space="0" w:color="auto"/>
        <w:bottom w:val="none" w:sz="0" w:space="0" w:color="auto"/>
        <w:right w:val="none" w:sz="0" w:space="0" w:color="auto"/>
      </w:divBdr>
    </w:div>
    <w:div w:id="1131826270">
      <w:bodyDiv w:val="1"/>
      <w:marLeft w:val="0"/>
      <w:marRight w:val="0"/>
      <w:marTop w:val="0"/>
      <w:marBottom w:val="0"/>
      <w:divBdr>
        <w:top w:val="none" w:sz="0" w:space="0" w:color="auto"/>
        <w:left w:val="none" w:sz="0" w:space="0" w:color="auto"/>
        <w:bottom w:val="none" w:sz="0" w:space="0" w:color="auto"/>
        <w:right w:val="none" w:sz="0" w:space="0" w:color="auto"/>
      </w:divBdr>
    </w:div>
    <w:div w:id="1257131756">
      <w:bodyDiv w:val="1"/>
      <w:marLeft w:val="0"/>
      <w:marRight w:val="0"/>
      <w:marTop w:val="0"/>
      <w:marBottom w:val="0"/>
      <w:divBdr>
        <w:top w:val="none" w:sz="0" w:space="0" w:color="auto"/>
        <w:left w:val="none" w:sz="0" w:space="0" w:color="auto"/>
        <w:bottom w:val="none" w:sz="0" w:space="0" w:color="auto"/>
        <w:right w:val="none" w:sz="0" w:space="0" w:color="auto"/>
      </w:divBdr>
    </w:div>
    <w:div w:id="1268853703">
      <w:bodyDiv w:val="1"/>
      <w:marLeft w:val="0"/>
      <w:marRight w:val="0"/>
      <w:marTop w:val="0"/>
      <w:marBottom w:val="0"/>
      <w:divBdr>
        <w:top w:val="none" w:sz="0" w:space="0" w:color="auto"/>
        <w:left w:val="none" w:sz="0" w:space="0" w:color="auto"/>
        <w:bottom w:val="none" w:sz="0" w:space="0" w:color="auto"/>
        <w:right w:val="none" w:sz="0" w:space="0" w:color="auto"/>
      </w:divBdr>
    </w:div>
    <w:div w:id="1312515442">
      <w:bodyDiv w:val="1"/>
      <w:marLeft w:val="0"/>
      <w:marRight w:val="0"/>
      <w:marTop w:val="0"/>
      <w:marBottom w:val="0"/>
      <w:divBdr>
        <w:top w:val="none" w:sz="0" w:space="0" w:color="auto"/>
        <w:left w:val="none" w:sz="0" w:space="0" w:color="auto"/>
        <w:bottom w:val="none" w:sz="0" w:space="0" w:color="auto"/>
        <w:right w:val="none" w:sz="0" w:space="0" w:color="auto"/>
      </w:divBdr>
    </w:div>
    <w:div w:id="1340279710">
      <w:bodyDiv w:val="1"/>
      <w:marLeft w:val="0"/>
      <w:marRight w:val="0"/>
      <w:marTop w:val="0"/>
      <w:marBottom w:val="0"/>
      <w:divBdr>
        <w:top w:val="none" w:sz="0" w:space="0" w:color="auto"/>
        <w:left w:val="none" w:sz="0" w:space="0" w:color="auto"/>
        <w:bottom w:val="none" w:sz="0" w:space="0" w:color="auto"/>
        <w:right w:val="none" w:sz="0" w:space="0" w:color="auto"/>
      </w:divBdr>
    </w:div>
    <w:div w:id="1350914868">
      <w:bodyDiv w:val="1"/>
      <w:marLeft w:val="0"/>
      <w:marRight w:val="0"/>
      <w:marTop w:val="0"/>
      <w:marBottom w:val="0"/>
      <w:divBdr>
        <w:top w:val="none" w:sz="0" w:space="0" w:color="auto"/>
        <w:left w:val="none" w:sz="0" w:space="0" w:color="auto"/>
        <w:bottom w:val="none" w:sz="0" w:space="0" w:color="auto"/>
        <w:right w:val="none" w:sz="0" w:space="0" w:color="auto"/>
      </w:divBdr>
    </w:div>
    <w:div w:id="1448618389">
      <w:bodyDiv w:val="1"/>
      <w:marLeft w:val="0"/>
      <w:marRight w:val="0"/>
      <w:marTop w:val="0"/>
      <w:marBottom w:val="0"/>
      <w:divBdr>
        <w:top w:val="none" w:sz="0" w:space="0" w:color="auto"/>
        <w:left w:val="none" w:sz="0" w:space="0" w:color="auto"/>
        <w:bottom w:val="none" w:sz="0" w:space="0" w:color="auto"/>
        <w:right w:val="none" w:sz="0" w:space="0" w:color="auto"/>
      </w:divBdr>
    </w:div>
    <w:div w:id="1499492611">
      <w:bodyDiv w:val="1"/>
      <w:marLeft w:val="0"/>
      <w:marRight w:val="0"/>
      <w:marTop w:val="0"/>
      <w:marBottom w:val="0"/>
      <w:divBdr>
        <w:top w:val="none" w:sz="0" w:space="0" w:color="auto"/>
        <w:left w:val="none" w:sz="0" w:space="0" w:color="auto"/>
        <w:bottom w:val="none" w:sz="0" w:space="0" w:color="auto"/>
        <w:right w:val="none" w:sz="0" w:space="0" w:color="auto"/>
      </w:divBdr>
    </w:div>
    <w:div w:id="1532917609">
      <w:bodyDiv w:val="1"/>
      <w:marLeft w:val="0"/>
      <w:marRight w:val="0"/>
      <w:marTop w:val="0"/>
      <w:marBottom w:val="0"/>
      <w:divBdr>
        <w:top w:val="none" w:sz="0" w:space="0" w:color="auto"/>
        <w:left w:val="none" w:sz="0" w:space="0" w:color="auto"/>
        <w:bottom w:val="none" w:sz="0" w:space="0" w:color="auto"/>
        <w:right w:val="none" w:sz="0" w:space="0" w:color="auto"/>
      </w:divBdr>
    </w:div>
    <w:div w:id="1553735981">
      <w:bodyDiv w:val="1"/>
      <w:marLeft w:val="0"/>
      <w:marRight w:val="0"/>
      <w:marTop w:val="0"/>
      <w:marBottom w:val="0"/>
      <w:divBdr>
        <w:top w:val="none" w:sz="0" w:space="0" w:color="auto"/>
        <w:left w:val="none" w:sz="0" w:space="0" w:color="auto"/>
        <w:bottom w:val="none" w:sz="0" w:space="0" w:color="auto"/>
        <w:right w:val="none" w:sz="0" w:space="0" w:color="auto"/>
      </w:divBdr>
    </w:div>
    <w:div w:id="1726954397">
      <w:bodyDiv w:val="1"/>
      <w:marLeft w:val="0"/>
      <w:marRight w:val="0"/>
      <w:marTop w:val="0"/>
      <w:marBottom w:val="0"/>
      <w:divBdr>
        <w:top w:val="none" w:sz="0" w:space="0" w:color="auto"/>
        <w:left w:val="none" w:sz="0" w:space="0" w:color="auto"/>
        <w:bottom w:val="none" w:sz="0" w:space="0" w:color="auto"/>
        <w:right w:val="none" w:sz="0" w:space="0" w:color="auto"/>
      </w:divBdr>
    </w:div>
    <w:div w:id="1771464231">
      <w:bodyDiv w:val="1"/>
      <w:marLeft w:val="0"/>
      <w:marRight w:val="0"/>
      <w:marTop w:val="0"/>
      <w:marBottom w:val="0"/>
      <w:divBdr>
        <w:top w:val="none" w:sz="0" w:space="0" w:color="auto"/>
        <w:left w:val="none" w:sz="0" w:space="0" w:color="auto"/>
        <w:bottom w:val="none" w:sz="0" w:space="0" w:color="auto"/>
        <w:right w:val="none" w:sz="0" w:space="0" w:color="auto"/>
      </w:divBdr>
    </w:div>
    <w:div w:id="178738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tmp"/><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bc.net.au/radionational/programs/lifematters/tackling-aboriginal-chronic-disease-through-grass-roots-pharmacy/1143541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cu.edu.au/news/releases/2018/september/enlisting-pharmacists-to-help-close-the-g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i.org/10.1016/j.sapharm.2019.12.022"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tmp"/><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ustralianpharmacist.com.au/rural-health-pharmacist/"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term=Ralph%20AP%5BAuthor%5D&amp;cauthor=true&amp;cauthor_uid=29282117" TargetMode="External"/><Relationship Id="rId13" Type="http://schemas.openxmlformats.org/officeDocument/2006/relationships/hyperlink" Target="http://www.ncbi.nlm.nih.gov/pubmed/?term=Davey%20ME%5BAuthor%5D&amp;cauthor=true&amp;cauthor_uid=26017250" TargetMode="External"/><Relationship Id="rId18" Type="http://schemas.openxmlformats.org/officeDocument/2006/relationships/hyperlink" Target="https://www.grhanite.com/" TargetMode="External"/><Relationship Id="rId26" Type="http://schemas.openxmlformats.org/officeDocument/2006/relationships/hyperlink" Target="https://www.ncbi.nlm.nih.gov/pubmed/30879217" TargetMode="External"/><Relationship Id="rId39" Type="http://schemas.openxmlformats.org/officeDocument/2006/relationships/hyperlink" Target="https://www.australianpharmacist.com.au/closing-the-gap-pharmacists-in-aboriginal-health/" TargetMode="External"/><Relationship Id="rId3" Type="http://schemas.openxmlformats.org/officeDocument/2006/relationships/hyperlink" Target="https://www.ncbi.nlm.nih.gov/pubmed/?term=Patel%20AA%5BAuthor%5D&amp;cauthor=true&amp;cauthor_uid=19769551" TargetMode="External"/><Relationship Id="rId21" Type="http://schemas.openxmlformats.org/officeDocument/2006/relationships/hyperlink" Target="https://apps.who.int/medicinedocs/en/d/Js4882e/8.5.html" TargetMode="External"/><Relationship Id="rId34" Type="http://schemas.openxmlformats.org/officeDocument/2006/relationships/hyperlink" Target="https://www.guild.org.au/__data/assets/pdf_file/0009/6120/Pharmacists-in-General-Practice-May-2019.pdf" TargetMode="External"/><Relationship Id="rId42" Type="http://schemas.openxmlformats.org/officeDocument/2006/relationships/hyperlink" Target="https://www.australianpharmacist.com.au/medicine-safety-announced-national-health-priority-area/?doing_wp_cron=1590712612.1256010532379150390625" TargetMode="External"/><Relationship Id="rId7" Type="http://schemas.openxmlformats.org/officeDocument/2006/relationships/hyperlink" Target="https://www.ncbi.nlm.nih.gov/pubmed/?term=de%20Dassel%20JL%5BAuthor%5D&amp;cauthor=true&amp;cauthor_uid=29282117" TargetMode="External"/><Relationship Id="rId12" Type="http://schemas.openxmlformats.org/officeDocument/2006/relationships/hyperlink" Target="http://www.ncbi.nlm.nih.gov/pubmed/?term=Hunt%20JM%5BAuthor%5D&amp;cauthor=true&amp;cauthor_uid=26017250" TargetMode="External"/><Relationship Id="rId17" Type="http://schemas.openxmlformats.org/officeDocument/2006/relationships/hyperlink" Target="http://www.ncbi.nlm.nih.gov/pubmed/?term=Thomas%20DP%5BAuthor%5D&amp;cauthor=true&amp;cauthor_uid=26017250" TargetMode="External"/><Relationship Id="rId25" Type="http://schemas.openxmlformats.org/officeDocument/2006/relationships/hyperlink" Target="https://www.ncbi.nlm.nih.gov/pubmed/?term=Barzi%20F%5BAuthor%5D&amp;cauthor=true&amp;cauthor_uid=27076636" TargetMode="External"/><Relationship Id="rId33" Type="http://schemas.openxmlformats.org/officeDocument/2006/relationships/hyperlink" Target="https://www.nottingham.ac.uk/pharmacy/documents/generalpracticeyearfwdrev/clinical-pharmacists-in-general-practice-pilot-scheme-full-report.pdf" TargetMode="External"/><Relationship Id="rId38" Type="http://schemas.openxmlformats.org/officeDocument/2006/relationships/hyperlink" Target="https://www.psa.org.au/wp-content/uploads/2019/07/PSA-Roles-Remuneration-in-2023-V3_FINAL.pdf" TargetMode="External"/><Relationship Id="rId2" Type="http://schemas.openxmlformats.org/officeDocument/2006/relationships/hyperlink" Target="https://www.ncbi.nlm.nih.gov/pubmed/?term=Peiris%20DP%5BAuthor%5D&amp;cauthor=true&amp;cauthor_uid=19769551" TargetMode="External"/><Relationship Id="rId16" Type="http://schemas.openxmlformats.org/officeDocument/2006/relationships/hyperlink" Target="http://www.ncbi.nlm.nih.gov/pubmed/?term=Westphal%20DW%5BAuthor%5D&amp;cauthor=true&amp;cauthor_uid=26017250" TargetMode="External"/><Relationship Id="rId20" Type="http://schemas.openxmlformats.org/officeDocument/2006/relationships/hyperlink" Target="https://www.nice.org.uk/process/pmg33/resources/medical-technologies-evaluation-programme-methods-guide-pdf-72286774205893" TargetMode="External"/><Relationship Id="rId29" Type="http://schemas.openxmlformats.org/officeDocument/2006/relationships/hyperlink" Target="https://www.ncbi.nlm.nih.gov/pubmed/30879217" TargetMode="External"/><Relationship Id="rId41" Type="http://schemas.openxmlformats.org/officeDocument/2006/relationships/hyperlink" Target="https://www.naccho.org.au/" TargetMode="External"/><Relationship Id="rId1" Type="http://schemas.openxmlformats.org/officeDocument/2006/relationships/hyperlink" Target="https://doi.org/10.5694/j.1326-5377.2010.tb03502.x" TargetMode="External"/><Relationship Id="rId6" Type="http://schemas.openxmlformats.org/officeDocument/2006/relationships/hyperlink" Target="https://doi.org/10.5694/mja17.00878" TargetMode="External"/><Relationship Id="rId11" Type="http://schemas.openxmlformats.org/officeDocument/2006/relationships/hyperlink" Target="http://www.ncbi.nlm.nih.gov/pubmed/?term=Nicholson%20AK%5BAuthor%5D&amp;cauthor=true&amp;cauthor_uid=26017250" TargetMode="External"/><Relationship Id="rId24" Type="http://schemas.openxmlformats.org/officeDocument/2006/relationships/hyperlink" Target="https://www.ncbi.nlm.nih.gov/pubmed/?term=Ritte%20R%5BAuthor%5D&amp;cauthor=true&amp;cauthor_uid=27076636" TargetMode="External"/><Relationship Id="rId32" Type="http://schemas.openxmlformats.org/officeDocument/2006/relationships/hyperlink" Target="https://www.ncbi.nlm.nih.gov/pubmed/30879217" TargetMode="External"/><Relationship Id="rId37" Type="http://schemas.openxmlformats.org/officeDocument/2006/relationships/hyperlink" Target="https://aodknowledgecentre.ecu.edu.au/key-resources/resources/28083/?title=Guide%20to%20providing%20pharmacy%20services%20to%20Aboriginal%20and%20Torres%20Strait%20Islander%20people" TargetMode="External"/><Relationship Id="rId40" Type="http://schemas.openxmlformats.org/officeDocument/2006/relationships/hyperlink" Target="https://www.servicesaustralia.gov.au/organisations/health-professionals/services/medicare/closing-gap-pbs-co-payment-measure" TargetMode="External"/><Relationship Id="rId45" Type="http://schemas.openxmlformats.org/officeDocument/2006/relationships/hyperlink" Target="https://ahcsa.org.au/app/uploads/2014/11/AHCSA_Next_Steps_2015.pdf" TargetMode="External"/><Relationship Id="rId5" Type="http://schemas.openxmlformats.org/officeDocument/2006/relationships/hyperlink" Target="https://doi.org/10.1111/maq.12021" TargetMode="External"/><Relationship Id="rId15" Type="http://schemas.openxmlformats.org/officeDocument/2006/relationships/hyperlink" Target="http://www.ncbi.nlm.nih.gov/pubmed/?term=Bennet%20PT%5BAuthor%5D&amp;cauthor=true&amp;cauthor_uid=26017250" TargetMode="External"/><Relationship Id="rId23" Type="http://schemas.openxmlformats.org/officeDocument/2006/relationships/hyperlink" Target="https://www.ncbi.nlm.nih.gov/pubmed/?term=Hughes%20JT%5BAuthor%5D&amp;cauthor=true&amp;cauthor_uid=27076636" TargetMode="External"/><Relationship Id="rId28" Type="http://schemas.openxmlformats.org/officeDocument/2006/relationships/hyperlink" Target="https://www.ncbi.nlm.nih.gov/pubmed/30879217" TargetMode="External"/><Relationship Id="rId36" Type="http://schemas.openxmlformats.org/officeDocument/2006/relationships/hyperlink" Target="https://www.racgp.org.au/FSDEDEV/media/documents/RACGP/Position%20statements/General-practice-based-pharmacists.pdf" TargetMode="External"/><Relationship Id="rId10" Type="http://schemas.openxmlformats.org/officeDocument/2006/relationships/hyperlink" Target="http://www.ncbi.nlm.nih.gov/pubmed/?term=Couzos%20S%5BAuthor%5D&amp;cauthor=true&amp;cauthor_uid=26017250" TargetMode="External"/><Relationship Id="rId19" Type="http://schemas.openxmlformats.org/officeDocument/2006/relationships/hyperlink" Target="https://www.grhanite.com/technologies/" TargetMode="External"/><Relationship Id="rId31" Type="http://schemas.openxmlformats.org/officeDocument/2006/relationships/hyperlink" Target="https://www.ncbi.nlm.nih.gov/pubmed/30114892" TargetMode="External"/><Relationship Id="rId44" Type="http://schemas.openxmlformats.org/officeDocument/2006/relationships/hyperlink" Target="https://www.servicesaustralia.gov.au/organisations/health-professionals/services/medicare/workforce-incentive-program-wip-practice-stream" TargetMode="External"/><Relationship Id="rId4" Type="http://schemas.openxmlformats.org/officeDocument/2006/relationships/hyperlink" Target="https://www.ncbi.nlm.nih.gov/pubmed/?term=Cass%20A%5BAuthor%5D&amp;cauthor=true&amp;cauthor_uid=19769551" TargetMode="External"/><Relationship Id="rId9" Type="http://schemas.openxmlformats.org/officeDocument/2006/relationships/hyperlink" Target="https://www.ncbi.nlm.nih.gov/pubmed/?term=Cass%20A%5BAuthor%5D&amp;cauthor=true&amp;cauthor_uid=29282117" TargetMode="External"/><Relationship Id="rId14" Type="http://schemas.openxmlformats.org/officeDocument/2006/relationships/hyperlink" Target="http://www.ncbi.nlm.nih.gov/pubmed/?term=May%20JK%5BAuthor%5D&amp;cauthor=true&amp;cauthor_uid=26017250" TargetMode="External"/><Relationship Id="rId22" Type="http://schemas.openxmlformats.org/officeDocument/2006/relationships/hyperlink" Target="https://www.ncbi.nlm.nih.gov/pubmed/?term=Maple-Brown%20LJ%5BAuthor%5D&amp;cauthor=true&amp;cauthor_uid=27076636" TargetMode="External"/><Relationship Id="rId27" Type="http://schemas.openxmlformats.org/officeDocument/2006/relationships/hyperlink" Target="https://www.ncbi.nlm.nih.gov/pubmed/30114892" TargetMode="External"/><Relationship Id="rId30" Type="http://schemas.openxmlformats.org/officeDocument/2006/relationships/hyperlink" Target="https://www.ntphn.org.au/web_images/IMPACT%20Framework.pdf" TargetMode="External"/><Relationship Id="rId35" Type="http://schemas.openxmlformats.org/officeDocument/2006/relationships/hyperlink" Target="https://www.guild.org.au/__data/assets/pdf_file/0009/6120/Pharmacists-in-General-Practice-May-2019.pdf" TargetMode="External"/><Relationship Id="rId43" Type="http://schemas.openxmlformats.org/officeDocument/2006/relationships/hyperlink" Target="https://ajp.com.au/columns/talking-heads/could-gp-pharmacists-worsen-rural-short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2039FB7C74F039642A8BBBFD0509D"/>
        <w:category>
          <w:name w:val="General"/>
          <w:gallery w:val="placeholder"/>
        </w:category>
        <w:types>
          <w:type w:val="bbPlcHdr"/>
        </w:types>
        <w:behaviors>
          <w:behavior w:val="content"/>
        </w:behaviors>
        <w:guid w:val="{CD34F915-3785-4EB4-9226-CCB88E8D7B06}"/>
      </w:docPartPr>
      <w:docPartBody>
        <w:p w:rsidR="00952EAE" w:rsidRDefault="00F606AB" w:rsidP="00F606AB">
          <w:pPr>
            <w:pStyle w:val="0D92039FB7C74F039642A8BBBFD0509D"/>
          </w:pPr>
          <w:r w:rsidRPr="00F45D83">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6AB"/>
    <w:rsid w:val="000000D5"/>
    <w:rsid w:val="0009622F"/>
    <w:rsid w:val="000E14B1"/>
    <w:rsid w:val="001218AC"/>
    <w:rsid w:val="00156750"/>
    <w:rsid w:val="001A4AF9"/>
    <w:rsid w:val="001A7FF6"/>
    <w:rsid w:val="00222BAB"/>
    <w:rsid w:val="002874FB"/>
    <w:rsid w:val="002A24A2"/>
    <w:rsid w:val="003460D4"/>
    <w:rsid w:val="003632AA"/>
    <w:rsid w:val="00392967"/>
    <w:rsid w:val="003A4BDA"/>
    <w:rsid w:val="004136BC"/>
    <w:rsid w:val="0049455A"/>
    <w:rsid w:val="00494CB5"/>
    <w:rsid w:val="004C07E0"/>
    <w:rsid w:val="004D2C76"/>
    <w:rsid w:val="004D2E9F"/>
    <w:rsid w:val="005616E9"/>
    <w:rsid w:val="00561BDF"/>
    <w:rsid w:val="00585671"/>
    <w:rsid w:val="005B5F5A"/>
    <w:rsid w:val="005C3DC3"/>
    <w:rsid w:val="005D04B0"/>
    <w:rsid w:val="005E6729"/>
    <w:rsid w:val="00646358"/>
    <w:rsid w:val="006656C5"/>
    <w:rsid w:val="006A314E"/>
    <w:rsid w:val="006B0237"/>
    <w:rsid w:val="006C4BFA"/>
    <w:rsid w:val="006F053C"/>
    <w:rsid w:val="006F635F"/>
    <w:rsid w:val="00741E9E"/>
    <w:rsid w:val="00752FC7"/>
    <w:rsid w:val="00803E32"/>
    <w:rsid w:val="008101C3"/>
    <w:rsid w:val="00887367"/>
    <w:rsid w:val="009409F3"/>
    <w:rsid w:val="00952EAE"/>
    <w:rsid w:val="009951C1"/>
    <w:rsid w:val="009A1D38"/>
    <w:rsid w:val="009D71D8"/>
    <w:rsid w:val="00A24D2B"/>
    <w:rsid w:val="00A73B4B"/>
    <w:rsid w:val="00AA5DCF"/>
    <w:rsid w:val="00AA6F4C"/>
    <w:rsid w:val="00AD22BD"/>
    <w:rsid w:val="00B239AB"/>
    <w:rsid w:val="00B277EA"/>
    <w:rsid w:val="00C2522A"/>
    <w:rsid w:val="00D4278C"/>
    <w:rsid w:val="00D74FC0"/>
    <w:rsid w:val="00D95579"/>
    <w:rsid w:val="00DC4D0B"/>
    <w:rsid w:val="00DF093D"/>
    <w:rsid w:val="00E74B36"/>
    <w:rsid w:val="00F0786F"/>
    <w:rsid w:val="00F268C8"/>
    <w:rsid w:val="00F2725F"/>
    <w:rsid w:val="00F42A98"/>
    <w:rsid w:val="00F51B28"/>
    <w:rsid w:val="00F606AB"/>
    <w:rsid w:val="00F70224"/>
    <w:rsid w:val="00F83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6AB"/>
    <w:rPr>
      <w:color w:val="808080"/>
    </w:rPr>
  </w:style>
  <w:style w:type="paragraph" w:customStyle="1" w:styleId="0D92039FB7C74F039642A8BBBFD0509D">
    <w:name w:val="0D92039FB7C74F039642A8BBBFD0509D"/>
    <w:rsid w:val="00F60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D572716C5F7489EBEB5D5045B656D" ma:contentTypeVersion="11" ma:contentTypeDescription="Create a new document." ma:contentTypeScope="" ma:versionID="d6d00dc1b036b80911c40cddbf8fb8b7">
  <xsd:schema xmlns:xsd="http://www.w3.org/2001/XMLSchema" xmlns:xs="http://www.w3.org/2001/XMLSchema" xmlns:p="http://schemas.microsoft.com/office/2006/metadata/properties" xmlns:ns2="611d83ad-9a7a-42e2-8518-a2819930ec01" xmlns:ns3="4f663c73-6f2c-4ab3-b571-c68181525ea2" targetNamespace="http://schemas.microsoft.com/office/2006/metadata/properties" ma:root="true" ma:fieldsID="0f69cc1115cf8454c568b7bae360f7f3" ns2:_="" ns3:_="">
    <xsd:import namespace="611d83ad-9a7a-42e2-8518-a2819930ec01"/>
    <xsd:import namespace="4f663c73-6f2c-4ab3-b571-c68181525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d83ad-9a7a-42e2-8518-a2819930ec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63c73-6f2c-4ab3-b571-c68181525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11d83ad-9a7a-42e2-8518-a2819930ec01">
      <UserInfo>
        <DisplayName>Mike Stephens</DisplayName>
        <AccountId>16</AccountId>
        <AccountType/>
      </UserInfo>
      <UserInfo>
        <DisplayName>Fran Vaughan</DisplayName>
        <AccountId>25</AccountId>
        <AccountType/>
      </UserInfo>
    </SharedWithUsers>
  </documentManagement>
</p:properties>
</file>

<file path=customXml/itemProps1.xml><?xml version="1.0" encoding="utf-8"?>
<ds:datastoreItem xmlns:ds="http://schemas.openxmlformats.org/officeDocument/2006/customXml" ds:itemID="{AAD9675F-D83A-4D76-8DF6-1C05DF8F05E7}">
  <ds:schemaRefs>
    <ds:schemaRef ds:uri="http://schemas.openxmlformats.org/officeDocument/2006/bibliography"/>
  </ds:schemaRefs>
</ds:datastoreItem>
</file>

<file path=customXml/itemProps2.xml><?xml version="1.0" encoding="utf-8"?>
<ds:datastoreItem xmlns:ds="http://schemas.openxmlformats.org/officeDocument/2006/customXml" ds:itemID="{D33888C6-F397-4EB9-8DD5-8AE0A7B3AC29}">
  <ds:schemaRefs>
    <ds:schemaRef ds:uri="http://schemas.microsoft.com/sharepoint/v3/contenttype/forms"/>
  </ds:schemaRefs>
</ds:datastoreItem>
</file>

<file path=customXml/itemProps3.xml><?xml version="1.0" encoding="utf-8"?>
<ds:datastoreItem xmlns:ds="http://schemas.openxmlformats.org/officeDocument/2006/customXml" ds:itemID="{4D61A814-021D-4B84-BF0B-D262C21A1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d83ad-9a7a-42e2-8518-a2819930ec01"/>
    <ds:schemaRef ds:uri="4f663c73-6f2c-4ab3-b571-c68181525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887D8-B64D-40E8-8849-30246A4D9E45}">
  <ds:schemaRefs>
    <ds:schemaRef ds:uri="http://purl.org/dc/terms/"/>
    <ds:schemaRef ds:uri="http://schemas.openxmlformats.org/package/2006/metadata/core-properties"/>
    <ds:schemaRef ds:uri="http://schemas.microsoft.com/office/2006/documentManagement/types"/>
    <ds:schemaRef ds:uri="611d83ad-9a7a-42e2-8518-a2819930ec01"/>
    <ds:schemaRef ds:uri="http://purl.org/dc/elements/1.1/"/>
    <ds:schemaRef ds:uri="http://schemas.microsoft.com/office/2006/metadata/properties"/>
    <ds:schemaRef ds:uri="http://schemas.microsoft.com/office/infopath/2007/PartnerControls"/>
    <ds:schemaRef ds:uri="4f663c73-6f2c-4ab3-b571-c68181525e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57</Pages>
  <Words>23393</Words>
  <Characters>139426</Characters>
  <Application>Microsoft Office Word</Application>
  <DocSecurity>0</DocSecurity>
  <Lines>2248</Lines>
  <Paragraphs>889</Paragraphs>
  <ScaleCrop>false</ScaleCrop>
  <HeadingPairs>
    <vt:vector size="2" baseType="variant">
      <vt:variant>
        <vt:lpstr>Title</vt:lpstr>
      </vt:variant>
      <vt:variant>
        <vt:i4>1</vt:i4>
      </vt:variant>
    </vt:vector>
  </HeadingPairs>
  <TitlesOfParts>
    <vt:vector size="1" baseType="lpstr">
      <vt:lpstr>Integrating practice pharmacists into Aboriginal Community Controlled Health Services – Final report</vt:lpstr>
    </vt:vector>
  </TitlesOfParts>
  <Company/>
  <LinksUpToDate>false</LinksUpToDate>
  <CharactersWithSpaces>161930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practice pharmacists into Aboriginal Community Controlled Health Services – Final report</dc:title>
  <dc:subject>Medicines</dc:subject>
  <dc:creator>Australian Government Department of Health and Aged Care</dc:creator>
  <cp:keywords>PTP; Pharmacy Trial Program; IPAC project</cp:keywords>
  <cp:lastModifiedBy>MCCAY, Meryl</cp:lastModifiedBy>
  <cp:revision>42</cp:revision>
  <cp:lastPrinted>2020-06-24T10:35:00Z</cp:lastPrinted>
  <dcterms:created xsi:type="dcterms:W3CDTF">2021-06-17T02:22:00Z</dcterms:created>
  <dcterms:modified xsi:type="dcterms:W3CDTF">2023-06-28T02:08:00Z</dcterms:modified>
</cp:coreProperties>
</file>