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2E4A" w14:textId="3BD30328" w:rsidR="008376E2" w:rsidRPr="008376E2" w:rsidRDefault="00584A34" w:rsidP="00026B0F">
      <w:pPr>
        <w:pStyle w:val="Heading1"/>
        <w:sectPr w:rsidR="008376E2" w:rsidRPr="008376E2" w:rsidSect="00026B0F">
          <w:headerReference w:type="default" r:id="rId11"/>
          <w:footerReference w:type="default" r:id="rId12"/>
          <w:headerReference w:type="first" r:id="rId13"/>
          <w:footerReference w:type="first" r:id="rId14"/>
          <w:pgSz w:w="11906" w:h="16838"/>
          <w:pgMar w:top="720" w:right="720" w:bottom="720" w:left="720" w:header="851" w:footer="510" w:gutter="0"/>
          <w:cols w:space="708"/>
          <w:docGrid w:linePitch="360"/>
        </w:sectPr>
      </w:pPr>
      <w:r>
        <w:t>Health Technology Assessment Policy and Methods Review</w:t>
      </w:r>
      <w:r w:rsidR="0082401E">
        <w:t xml:space="preserve">: </w:t>
      </w:r>
      <w:r w:rsidR="00026B0F">
        <w:t>Frequently Asked Questions</w:t>
      </w:r>
    </w:p>
    <w:p w14:paraId="4A235664" w14:textId="77777777" w:rsidR="00026B0F" w:rsidRPr="00026B0F" w:rsidRDefault="00026B0F" w:rsidP="00026B0F">
      <w:pPr>
        <w:pStyle w:val="IntenseQuote"/>
      </w:pPr>
      <w:r w:rsidRPr="00026B0F">
        <w:t xml:space="preserve">What is HTA? </w:t>
      </w:r>
    </w:p>
    <w:p w14:paraId="48B62733" w14:textId="65DDE9AB" w:rsidR="00026B0F" w:rsidRPr="00026B0F" w:rsidRDefault="00026B0F" w:rsidP="00026B0F">
      <w:r w:rsidRPr="00026B0F">
        <w:t>Health Technology Assessment (HTA) involves a range of processes to assess the</w:t>
      </w:r>
      <w:r w:rsidR="008C2CBA">
        <w:t xml:space="preserve"> </w:t>
      </w:r>
      <w:r w:rsidRPr="00026B0F">
        <w:t xml:space="preserve">quality, safety, efficacy, effectiveness, and cost effectiveness of health technologies. These processes are used to support Government decisions about health technologies. </w:t>
      </w:r>
    </w:p>
    <w:p w14:paraId="0EEC115C" w14:textId="77777777" w:rsidR="00026B0F" w:rsidRPr="00026B0F" w:rsidRDefault="00026B0F" w:rsidP="00026B0F">
      <w:pPr>
        <w:pStyle w:val="IntenseQuote"/>
      </w:pPr>
      <w:r w:rsidRPr="00026B0F">
        <w:t>Why do we do HTAs?</w:t>
      </w:r>
    </w:p>
    <w:p w14:paraId="1162AC99" w14:textId="77777777" w:rsidR="00026B0F" w:rsidRPr="00026B0F" w:rsidRDefault="00026B0F" w:rsidP="00026B0F">
      <w:r w:rsidRPr="00026B0F">
        <w:t xml:space="preserve">The purpose of HTA is to provide policymakers, funders, health professionals and health consumers with the necessary information to understand the benefits and risks of health technologies and procedures and how different health technologies compare with one another. This information is then used to inform policy, </w:t>
      </w:r>
      <w:proofErr w:type="gramStart"/>
      <w:r w:rsidRPr="00026B0F">
        <w:t>funding</w:t>
      </w:r>
      <w:proofErr w:type="gramEnd"/>
      <w:r w:rsidRPr="00026B0F">
        <w:t xml:space="preserve"> and clinical decisions, and assist with consumer decision-making. </w:t>
      </w:r>
    </w:p>
    <w:p w14:paraId="3A7EC894" w14:textId="77777777" w:rsidR="00026B0F" w:rsidRPr="00026B0F" w:rsidRDefault="00026B0F" w:rsidP="00026B0F">
      <w:pPr>
        <w:pStyle w:val="IntenseQuote"/>
      </w:pPr>
      <w:r w:rsidRPr="00026B0F">
        <w:t>What decisions are HTAs used for? </w:t>
      </w:r>
    </w:p>
    <w:p w14:paraId="2CE1B2FA" w14:textId="77777777" w:rsidR="00026B0F" w:rsidRPr="00026B0F" w:rsidRDefault="00026B0F" w:rsidP="00026B0F">
      <w:r w:rsidRPr="00026B0F">
        <w:rPr>
          <w:b/>
          <w:bCs/>
        </w:rPr>
        <w:t>Market authorisation</w:t>
      </w:r>
    </w:p>
    <w:p w14:paraId="699BF929" w14:textId="77777777" w:rsidR="00026B0F" w:rsidRPr="00026B0F" w:rsidRDefault="00026B0F" w:rsidP="00026B0F">
      <w:r w:rsidRPr="00026B0F">
        <w:t xml:space="preserve">Market authorisation is the approval (and listing on the Australian Register of Therapeutic Goods – ARTG) that health technology companies need to sell and supply goods, such as medicines and medical devices, in Australia. </w:t>
      </w:r>
    </w:p>
    <w:p w14:paraId="1FB279A8" w14:textId="77777777" w:rsidR="00026B0F" w:rsidRPr="00026B0F" w:rsidRDefault="00026B0F" w:rsidP="00026B0F">
      <w:r w:rsidRPr="00026B0F">
        <w:rPr>
          <w:b/>
          <w:bCs/>
        </w:rPr>
        <w:t xml:space="preserve">Government subsidy </w:t>
      </w:r>
    </w:p>
    <w:p w14:paraId="1CF1DAC1" w14:textId="77777777" w:rsidR="00026B0F" w:rsidRPr="00026B0F" w:rsidRDefault="00026B0F" w:rsidP="00026B0F">
      <w:r w:rsidRPr="00026B0F">
        <w:t xml:space="preserve">HTA is used to inform decisions about what health technologies should be subsidised or reimbursed under Australia’s health subsidy and funding schemes. HTA is also used to determine under what circumstances a health technology should be subsidised and at what cost to the </w:t>
      </w:r>
      <w:proofErr w:type="gramStart"/>
      <w:r w:rsidRPr="00026B0F">
        <w:t>tax payer</w:t>
      </w:r>
      <w:proofErr w:type="gramEnd"/>
      <w:r w:rsidRPr="00026B0F">
        <w:t xml:space="preserve">.  </w:t>
      </w:r>
    </w:p>
    <w:p w14:paraId="4D9683A4" w14:textId="77777777" w:rsidR="004E734F" w:rsidRDefault="004E734F" w:rsidP="00026B0F">
      <w:pPr>
        <w:pStyle w:val="IntenseQuote"/>
      </w:pPr>
    </w:p>
    <w:p w14:paraId="4F7EEF3F" w14:textId="77777777" w:rsidR="004E734F" w:rsidRDefault="004E734F" w:rsidP="00026B0F">
      <w:pPr>
        <w:pStyle w:val="IntenseQuote"/>
      </w:pPr>
    </w:p>
    <w:p w14:paraId="334EBAC3" w14:textId="77777777" w:rsidR="004E734F" w:rsidRDefault="004E734F" w:rsidP="00026B0F">
      <w:pPr>
        <w:pStyle w:val="IntenseQuote"/>
      </w:pPr>
    </w:p>
    <w:p w14:paraId="62E4DF6C" w14:textId="77777777" w:rsidR="004E734F" w:rsidRDefault="004E734F" w:rsidP="00026B0F">
      <w:pPr>
        <w:pStyle w:val="IntenseQuote"/>
      </w:pPr>
    </w:p>
    <w:p w14:paraId="14334D78" w14:textId="6E5F8E59" w:rsidR="00026B0F" w:rsidRPr="00026B0F" w:rsidRDefault="00026B0F" w:rsidP="00026B0F">
      <w:pPr>
        <w:pStyle w:val="IntenseQuote"/>
      </w:pPr>
      <w:r w:rsidRPr="00026B0F">
        <w:t>Who undertakes HTAs?</w:t>
      </w:r>
    </w:p>
    <w:p w14:paraId="0F2FAE71" w14:textId="77777777" w:rsidR="00026B0F" w:rsidRPr="00026B0F" w:rsidRDefault="00026B0F" w:rsidP="00026B0F">
      <w:r w:rsidRPr="00026B0F">
        <w:t>In Australia, several advisory and regulatory bodies use or undertake HTAs when they prepare advice to government.</w:t>
      </w:r>
    </w:p>
    <w:p w14:paraId="3343E138" w14:textId="77777777" w:rsidR="00026B0F" w:rsidRPr="00026B0F" w:rsidRDefault="00026B0F" w:rsidP="00026B0F">
      <w:r w:rsidRPr="00026B0F">
        <w:rPr>
          <w:b/>
          <w:bCs/>
        </w:rPr>
        <w:t>Market authorisation</w:t>
      </w:r>
    </w:p>
    <w:p w14:paraId="4E23F5B6" w14:textId="77777777" w:rsidR="00026B0F" w:rsidRPr="00026B0F" w:rsidRDefault="00026B0F" w:rsidP="00026B0F">
      <w:r w:rsidRPr="00026B0F">
        <w:t xml:space="preserve">The Therapeutic Goods Administration (TGA; part of the Department of Health and Aged Care) is responsible for market authorisations. It evaluates, </w:t>
      </w:r>
      <w:proofErr w:type="gramStart"/>
      <w:r w:rsidRPr="00026B0F">
        <w:t>assesses</w:t>
      </w:r>
      <w:proofErr w:type="gramEnd"/>
      <w:r w:rsidRPr="00026B0F">
        <w:t xml:space="preserve"> and monitors all therapeutic goods.</w:t>
      </w:r>
    </w:p>
    <w:p w14:paraId="54963530" w14:textId="77777777" w:rsidR="00026B0F" w:rsidRPr="00026B0F" w:rsidRDefault="00026B0F" w:rsidP="00026B0F">
      <w:r w:rsidRPr="00026B0F">
        <w:rPr>
          <w:b/>
          <w:bCs/>
        </w:rPr>
        <w:t>HTA for Australian Government subsid</w:t>
      </w:r>
      <w:r w:rsidRPr="00026B0F">
        <w:t>y.</w:t>
      </w:r>
    </w:p>
    <w:p w14:paraId="218345C3" w14:textId="77777777" w:rsidR="00026B0F" w:rsidRPr="00026B0F" w:rsidRDefault="00026B0F" w:rsidP="00026B0F">
      <w:r w:rsidRPr="00026B0F">
        <w:t>Two principal health technology advisory committees assess health technologies for Australian Government subsidy:</w:t>
      </w:r>
    </w:p>
    <w:p w14:paraId="4417FCB7" w14:textId="77777777" w:rsidR="00026B0F" w:rsidRPr="00026B0F" w:rsidRDefault="00026B0F" w:rsidP="006E7D42">
      <w:pPr>
        <w:numPr>
          <w:ilvl w:val="0"/>
          <w:numId w:val="8"/>
        </w:numPr>
        <w:spacing w:after="0"/>
        <w:ind w:left="357" w:hanging="357"/>
      </w:pPr>
      <w:r w:rsidRPr="00026B0F">
        <w:t>Medical Services Advisory Committee (MSAC)</w:t>
      </w:r>
    </w:p>
    <w:p w14:paraId="6746DF21" w14:textId="77777777" w:rsidR="00026B0F" w:rsidRPr="00026B0F" w:rsidRDefault="00026B0F" w:rsidP="006E7D42">
      <w:pPr>
        <w:numPr>
          <w:ilvl w:val="0"/>
          <w:numId w:val="8"/>
        </w:numPr>
        <w:spacing w:after="0"/>
        <w:ind w:left="357" w:hanging="357"/>
      </w:pPr>
      <w:r w:rsidRPr="00026B0F">
        <w:t>Pharmaceutical Benefits Advisory Committee (PBAC)</w:t>
      </w:r>
    </w:p>
    <w:p w14:paraId="0943310E" w14:textId="77777777" w:rsidR="00026B0F" w:rsidRPr="00026B0F" w:rsidRDefault="00026B0F" w:rsidP="00026B0F">
      <w:pPr>
        <w:pStyle w:val="IntenseQuote"/>
      </w:pPr>
      <w:r w:rsidRPr="00026B0F">
        <w:t>What is the difference between HTA for market authorisation and HTA for government subsidy?</w:t>
      </w:r>
    </w:p>
    <w:p w14:paraId="71BDA21A" w14:textId="77777777" w:rsidR="00026B0F" w:rsidRPr="00026B0F" w:rsidRDefault="00026B0F" w:rsidP="00026B0F">
      <w:r w:rsidRPr="00026B0F">
        <w:rPr>
          <w:b/>
          <w:bCs/>
        </w:rPr>
        <w:t xml:space="preserve">HTA for market authorisation </w:t>
      </w:r>
      <w:r w:rsidRPr="00026B0F">
        <w:t xml:space="preserve">helps decision makers consider whether a health technology should be allowed to be sold or supplied in Australia. </w:t>
      </w:r>
    </w:p>
    <w:p w14:paraId="1300AC3F" w14:textId="77777777" w:rsidR="00026B0F" w:rsidRPr="00026B0F" w:rsidRDefault="00026B0F" w:rsidP="00026B0F">
      <w:r w:rsidRPr="00026B0F">
        <w:t>It provides information that helps decision makers understand whether health technologies:</w:t>
      </w:r>
    </w:p>
    <w:p w14:paraId="1BDC9679" w14:textId="77777777" w:rsidR="00026B0F" w:rsidRPr="00026B0F" w:rsidRDefault="00026B0F" w:rsidP="006E7D42">
      <w:pPr>
        <w:numPr>
          <w:ilvl w:val="0"/>
          <w:numId w:val="8"/>
        </w:numPr>
        <w:spacing w:after="0"/>
        <w:ind w:left="357" w:hanging="357"/>
      </w:pPr>
      <w:r w:rsidRPr="00026B0F">
        <w:t>are safe</w:t>
      </w:r>
    </w:p>
    <w:p w14:paraId="78857286" w14:textId="77777777" w:rsidR="00026B0F" w:rsidRPr="00026B0F" w:rsidRDefault="00026B0F" w:rsidP="006E7D42">
      <w:pPr>
        <w:numPr>
          <w:ilvl w:val="0"/>
          <w:numId w:val="8"/>
        </w:numPr>
        <w:spacing w:after="0"/>
        <w:ind w:left="357" w:hanging="357"/>
      </w:pPr>
      <w:r w:rsidRPr="00026B0F">
        <w:t>perform as intended</w:t>
      </w:r>
    </w:p>
    <w:p w14:paraId="32878554" w14:textId="77777777" w:rsidR="00026B0F" w:rsidRPr="00026B0F" w:rsidRDefault="00026B0F" w:rsidP="006E7D42">
      <w:pPr>
        <w:numPr>
          <w:ilvl w:val="0"/>
          <w:numId w:val="8"/>
        </w:numPr>
        <w:spacing w:after="0"/>
        <w:ind w:left="357" w:hanging="357"/>
      </w:pPr>
      <w:r w:rsidRPr="00026B0F">
        <w:t>meet appropriate standards for use in Australia.</w:t>
      </w:r>
    </w:p>
    <w:p w14:paraId="1412AABB" w14:textId="77777777" w:rsidR="00026B0F" w:rsidRPr="00026B0F" w:rsidRDefault="00026B0F" w:rsidP="00026B0F">
      <w:pPr>
        <w:spacing w:before="120"/>
      </w:pPr>
      <w:r w:rsidRPr="00026B0F">
        <w:rPr>
          <w:b/>
          <w:bCs/>
        </w:rPr>
        <w:t xml:space="preserve">HTA for government subsidy </w:t>
      </w:r>
      <w:r w:rsidRPr="00026B0F">
        <w:t xml:space="preserve">helps decision makers consider whether a health technology should be subsidised. It provides information that helps decision makers understand how effective and safe a health technology would be compared </w:t>
      </w:r>
      <w:r w:rsidRPr="00026B0F">
        <w:lastRenderedPageBreak/>
        <w:t xml:space="preserve">with any alternative health technologies available to patients. </w:t>
      </w:r>
    </w:p>
    <w:p w14:paraId="2B2C78CA" w14:textId="77777777" w:rsidR="00026B0F" w:rsidRPr="00026B0F" w:rsidRDefault="00026B0F" w:rsidP="00026B0F">
      <w:r w:rsidRPr="00026B0F">
        <w:t>This information helps decision makers understand whether Australians would be better served by a health technology over available alternatives and whether any additional cost for the health technology is worth paying for.</w:t>
      </w:r>
    </w:p>
    <w:p w14:paraId="506D788F" w14:textId="5E4F7FDE" w:rsidR="00026B0F" w:rsidRPr="00026B0F" w:rsidRDefault="00026B0F" w:rsidP="00026B0F">
      <w:pPr>
        <w:pStyle w:val="IntenseQuote"/>
      </w:pPr>
      <w:r w:rsidRPr="00026B0F">
        <w:t xml:space="preserve">What information is considered in </w:t>
      </w:r>
      <w:proofErr w:type="gramStart"/>
      <w:r w:rsidRPr="00026B0F">
        <w:t>a</w:t>
      </w:r>
      <w:proofErr w:type="gramEnd"/>
      <w:r w:rsidRPr="00026B0F">
        <w:t xml:space="preserve"> HTA?</w:t>
      </w:r>
    </w:p>
    <w:p w14:paraId="12B6E303" w14:textId="77777777" w:rsidR="00026B0F" w:rsidRPr="00026B0F" w:rsidRDefault="00026B0F" w:rsidP="00026B0F">
      <w:r w:rsidRPr="00026B0F">
        <w:t xml:space="preserve">The information considered depends on the decision the HTA is to be used for. </w:t>
      </w:r>
    </w:p>
    <w:p w14:paraId="0D2FB47F" w14:textId="77777777" w:rsidR="00026B0F" w:rsidRPr="00026B0F" w:rsidRDefault="00026B0F" w:rsidP="00026B0F">
      <w:r w:rsidRPr="00026B0F">
        <w:rPr>
          <w:b/>
          <w:bCs/>
        </w:rPr>
        <w:t>HTA for market authorisation</w:t>
      </w:r>
      <w:r w:rsidRPr="00026B0F">
        <w:t xml:space="preserve"> considers evidence about a health technology’s: </w:t>
      </w:r>
    </w:p>
    <w:p w14:paraId="7A2C2DC5" w14:textId="77777777" w:rsidR="00026B0F" w:rsidRPr="00026B0F" w:rsidRDefault="00026B0F" w:rsidP="006E7D42">
      <w:pPr>
        <w:numPr>
          <w:ilvl w:val="0"/>
          <w:numId w:val="8"/>
        </w:numPr>
        <w:spacing w:after="0"/>
        <w:ind w:left="357" w:hanging="357"/>
      </w:pPr>
      <w:r w:rsidRPr="00026B0F">
        <w:t>clinical effectiveness – does the health technology work as it claims to?</w:t>
      </w:r>
    </w:p>
    <w:p w14:paraId="0BE4E345" w14:textId="77777777" w:rsidR="00026B0F" w:rsidRPr="00026B0F" w:rsidRDefault="00026B0F" w:rsidP="006E7D42">
      <w:pPr>
        <w:numPr>
          <w:ilvl w:val="0"/>
          <w:numId w:val="8"/>
        </w:numPr>
        <w:spacing w:after="0"/>
        <w:ind w:left="357" w:hanging="357"/>
      </w:pPr>
      <w:r w:rsidRPr="00026B0F">
        <w:t>safety – is it safe to use?</w:t>
      </w:r>
    </w:p>
    <w:p w14:paraId="66EF758D" w14:textId="77777777" w:rsidR="00026B0F" w:rsidRPr="00026B0F" w:rsidRDefault="00026B0F" w:rsidP="006E7D42">
      <w:pPr>
        <w:numPr>
          <w:ilvl w:val="0"/>
          <w:numId w:val="8"/>
        </w:numPr>
        <w:spacing w:after="0"/>
        <w:ind w:left="357" w:hanging="357"/>
      </w:pPr>
      <w:r w:rsidRPr="00026B0F">
        <w:t>quality – is it manufactured to acceptable standards?</w:t>
      </w:r>
    </w:p>
    <w:p w14:paraId="0B7D97DD" w14:textId="77777777" w:rsidR="00026B0F" w:rsidRPr="00026B0F" w:rsidRDefault="00026B0F" w:rsidP="00026B0F">
      <w:pPr>
        <w:spacing w:before="120"/>
      </w:pPr>
      <w:r w:rsidRPr="00026B0F">
        <w:rPr>
          <w:b/>
          <w:bCs/>
        </w:rPr>
        <w:t xml:space="preserve">HTA for government subsidy </w:t>
      </w:r>
      <w:r w:rsidRPr="00026B0F">
        <w:t xml:space="preserve">considers evidence about a health technology’s: </w:t>
      </w:r>
    </w:p>
    <w:p w14:paraId="6C37B381" w14:textId="77777777" w:rsidR="00026B0F" w:rsidRPr="00026B0F" w:rsidRDefault="00026B0F" w:rsidP="006E7D42">
      <w:pPr>
        <w:numPr>
          <w:ilvl w:val="0"/>
          <w:numId w:val="8"/>
        </w:numPr>
        <w:spacing w:after="0"/>
        <w:ind w:left="357" w:hanging="357"/>
      </w:pPr>
      <w:r w:rsidRPr="00026B0F">
        <w:t>clinical effectiveness and safety compared to alternative technologies – is the health technology more effective or safer than any available alternative health technologies used to treat the same condition?</w:t>
      </w:r>
    </w:p>
    <w:p w14:paraId="2FEE3AE0" w14:textId="77777777" w:rsidR="00026B0F" w:rsidRPr="00026B0F" w:rsidRDefault="00026B0F" w:rsidP="006E7D42">
      <w:pPr>
        <w:numPr>
          <w:ilvl w:val="0"/>
          <w:numId w:val="8"/>
        </w:numPr>
        <w:spacing w:after="0"/>
        <w:ind w:left="357" w:hanging="357"/>
      </w:pPr>
      <w:r w:rsidRPr="00026B0F">
        <w:t xml:space="preserve">costs – how much will it cost the </w:t>
      </w:r>
      <w:proofErr w:type="gramStart"/>
      <w:r w:rsidRPr="00026B0F">
        <w:t>tax payer</w:t>
      </w:r>
      <w:proofErr w:type="gramEnd"/>
      <w:r w:rsidRPr="00026B0F">
        <w:t>?</w:t>
      </w:r>
    </w:p>
    <w:p w14:paraId="61556323" w14:textId="77777777" w:rsidR="00026B0F" w:rsidRPr="00026B0F" w:rsidRDefault="00026B0F" w:rsidP="006E7D42">
      <w:pPr>
        <w:numPr>
          <w:ilvl w:val="0"/>
          <w:numId w:val="8"/>
        </w:numPr>
        <w:spacing w:after="0"/>
        <w:ind w:left="357" w:hanging="357"/>
      </w:pPr>
      <w:r w:rsidRPr="00026B0F">
        <w:t xml:space="preserve">economic impacts – is </w:t>
      </w:r>
      <w:proofErr w:type="gramStart"/>
      <w:r w:rsidRPr="00026B0F">
        <w:t>it</w:t>
      </w:r>
      <w:proofErr w:type="gramEnd"/>
      <w:r w:rsidRPr="00026B0F">
        <w:t xml:space="preserve"> good value for money?</w:t>
      </w:r>
    </w:p>
    <w:p w14:paraId="23C925A9" w14:textId="77777777" w:rsidR="00026B0F" w:rsidRPr="00026B0F" w:rsidRDefault="00026B0F" w:rsidP="006E7D42">
      <w:pPr>
        <w:numPr>
          <w:ilvl w:val="0"/>
          <w:numId w:val="8"/>
        </w:numPr>
        <w:spacing w:after="0"/>
        <w:ind w:left="357" w:hanging="357"/>
      </w:pPr>
      <w:r w:rsidRPr="00026B0F">
        <w:t>other information – what are the relevant clinical needs, or social or ethical issues?</w:t>
      </w:r>
    </w:p>
    <w:p w14:paraId="6C0B5998" w14:textId="77777777" w:rsidR="00026B0F" w:rsidRPr="00026B0F" w:rsidRDefault="00026B0F" w:rsidP="00026B0F">
      <w:pPr>
        <w:pStyle w:val="IntenseQuote"/>
      </w:pPr>
      <w:r w:rsidRPr="00026B0F">
        <w:t>What types of health technology do we assess for government subsidy?</w:t>
      </w:r>
    </w:p>
    <w:p w14:paraId="0A79019A" w14:textId="77777777" w:rsidR="00026B0F" w:rsidRPr="00026B0F" w:rsidRDefault="00026B0F" w:rsidP="00026B0F">
      <w:r w:rsidRPr="00026B0F">
        <w:t>We use HTAs to assess:</w:t>
      </w:r>
    </w:p>
    <w:p w14:paraId="5F3F1B47" w14:textId="77777777" w:rsidR="00026B0F" w:rsidRPr="00026B0F" w:rsidRDefault="00026B0F" w:rsidP="006E7D42">
      <w:pPr>
        <w:numPr>
          <w:ilvl w:val="0"/>
          <w:numId w:val="8"/>
        </w:numPr>
        <w:spacing w:after="0"/>
        <w:ind w:left="357" w:hanging="357"/>
      </w:pPr>
      <w:r w:rsidRPr="00026B0F">
        <w:t>pharmaceuticals (including vaccines)</w:t>
      </w:r>
    </w:p>
    <w:p w14:paraId="130664B0" w14:textId="77777777" w:rsidR="00026B0F" w:rsidRPr="00026B0F" w:rsidRDefault="00026B0F" w:rsidP="006E7D42">
      <w:pPr>
        <w:numPr>
          <w:ilvl w:val="0"/>
          <w:numId w:val="8"/>
        </w:numPr>
        <w:spacing w:after="0"/>
        <w:ind w:left="357" w:hanging="357"/>
      </w:pPr>
      <w:r w:rsidRPr="00026B0F">
        <w:t>diagnostic tests</w:t>
      </w:r>
    </w:p>
    <w:p w14:paraId="77516B02" w14:textId="77777777" w:rsidR="00026B0F" w:rsidRPr="00026B0F" w:rsidRDefault="00026B0F" w:rsidP="006E7D42">
      <w:pPr>
        <w:numPr>
          <w:ilvl w:val="0"/>
          <w:numId w:val="8"/>
        </w:numPr>
        <w:spacing w:after="0"/>
        <w:ind w:left="357" w:hanging="357"/>
      </w:pPr>
      <w:r w:rsidRPr="00026B0F">
        <w:t>medical devices</w:t>
      </w:r>
    </w:p>
    <w:p w14:paraId="098318FA" w14:textId="77777777" w:rsidR="00026B0F" w:rsidRPr="00026B0F" w:rsidRDefault="00026B0F" w:rsidP="006E7D42">
      <w:pPr>
        <w:numPr>
          <w:ilvl w:val="0"/>
          <w:numId w:val="8"/>
        </w:numPr>
        <w:spacing w:after="0"/>
        <w:ind w:left="357" w:hanging="357"/>
      </w:pPr>
      <w:r w:rsidRPr="00026B0F">
        <w:t>surgically implanted prostheses</w:t>
      </w:r>
    </w:p>
    <w:p w14:paraId="0561DC02" w14:textId="77777777" w:rsidR="00026B0F" w:rsidRPr="00026B0F" w:rsidRDefault="00026B0F" w:rsidP="006E7D42">
      <w:pPr>
        <w:numPr>
          <w:ilvl w:val="0"/>
          <w:numId w:val="8"/>
        </w:numPr>
        <w:spacing w:after="0"/>
        <w:ind w:left="357" w:hanging="357"/>
      </w:pPr>
      <w:r w:rsidRPr="00026B0F">
        <w:t>medical procedures</w:t>
      </w:r>
    </w:p>
    <w:p w14:paraId="1641DA26" w14:textId="77777777" w:rsidR="00026B0F" w:rsidRPr="00026B0F" w:rsidRDefault="00026B0F" w:rsidP="006E7D42">
      <w:pPr>
        <w:numPr>
          <w:ilvl w:val="0"/>
          <w:numId w:val="8"/>
        </w:numPr>
        <w:spacing w:after="0"/>
        <w:ind w:left="357" w:hanging="357"/>
      </w:pPr>
      <w:r w:rsidRPr="00026B0F">
        <w:t>public health interventions.</w:t>
      </w:r>
    </w:p>
    <w:p w14:paraId="552EF9C0" w14:textId="77777777" w:rsidR="00026B0F" w:rsidRPr="00026B0F" w:rsidRDefault="00026B0F" w:rsidP="00026B0F">
      <w:pPr>
        <w:pStyle w:val="IntenseQuote"/>
      </w:pPr>
      <w:r w:rsidRPr="00026B0F">
        <w:t xml:space="preserve">How does the government subsidise or fund access to health technologies? </w:t>
      </w:r>
    </w:p>
    <w:p w14:paraId="06301B7C" w14:textId="77777777" w:rsidR="00026B0F" w:rsidRPr="00026B0F" w:rsidRDefault="00026B0F" w:rsidP="00026B0F">
      <w:r w:rsidRPr="00026B0F">
        <w:t xml:space="preserve">The government provides funding to support access to health technologies through </w:t>
      </w:r>
      <w:proofErr w:type="gramStart"/>
      <w:r w:rsidRPr="00026B0F">
        <w:t>a number of</w:t>
      </w:r>
      <w:proofErr w:type="gramEnd"/>
      <w:r w:rsidRPr="00026B0F">
        <w:t xml:space="preserve"> programs and subsidy schemes. These include: </w:t>
      </w:r>
    </w:p>
    <w:p w14:paraId="7E9B2AA0" w14:textId="77777777" w:rsidR="00026B0F" w:rsidRPr="00026B0F" w:rsidRDefault="00026B0F" w:rsidP="006E7D42">
      <w:pPr>
        <w:numPr>
          <w:ilvl w:val="0"/>
          <w:numId w:val="8"/>
        </w:numPr>
        <w:spacing w:after="0"/>
        <w:ind w:left="357" w:hanging="357"/>
      </w:pPr>
      <w:r w:rsidRPr="00026B0F">
        <w:t>Pharmaceutical Benefits Scheme</w:t>
      </w:r>
    </w:p>
    <w:p w14:paraId="21BF4060" w14:textId="77777777" w:rsidR="00026B0F" w:rsidRPr="00026B0F" w:rsidRDefault="00026B0F" w:rsidP="006E7D42">
      <w:pPr>
        <w:numPr>
          <w:ilvl w:val="0"/>
          <w:numId w:val="8"/>
        </w:numPr>
        <w:spacing w:after="0"/>
        <w:ind w:left="357" w:hanging="357"/>
      </w:pPr>
      <w:r w:rsidRPr="00026B0F">
        <w:t>Life Saving Drugs Program</w:t>
      </w:r>
    </w:p>
    <w:p w14:paraId="41156D47" w14:textId="77777777" w:rsidR="00026B0F" w:rsidRPr="00026B0F" w:rsidRDefault="00026B0F" w:rsidP="006E7D42">
      <w:pPr>
        <w:numPr>
          <w:ilvl w:val="0"/>
          <w:numId w:val="8"/>
        </w:numPr>
        <w:spacing w:after="0"/>
        <w:ind w:left="357" w:hanging="357"/>
      </w:pPr>
      <w:r w:rsidRPr="00026B0F">
        <w:t>Medicare Benefits Schedule</w:t>
      </w:r>
    </w:p>
    <w:p w14:paraId="6E0E24CA" w14:textId="77777777" w:rsidR="00026B0F" w:rsidRPr="00026B0F" w:rsidRDefault="00026B0F" w:rsidP="006E7D42">
      <w:pPr>
        <w:numPr>
          <w:ilvl w:val="0"/>
          <w:numId w:val="8"/>
        </w:numPr>
        <w:spacing w:after="0"/>
        <w:ind w:left="357" w:hanging="357"/>
      </w:pPr>
      <w:r w:rsidRPr="00026B0F">
        <w:t>National Immunisation Program</w:t>
      </w:r>
    </w:p>
    <w:p w14:paraId="2FA65E15" w14:textId="77777777" w:rsidR="00026B0F" w:rsidRPr="00026B0F" w:rsidRDefault="00026B0F" w:rsidP="006E7D42">
      <w:pPr>
        <w:numPr>
          <w:ilvl w:val="0"/>
          <w:numId w:val="8"/>
        </w:numPr>
        <w:spacing w:after="0"/>
        <w:ind w:left="357" w:hanging="357"/>
      </w:pPr>
      <w:r w:rsidRPr="00026B0F">
        <w:t>Private Health Insurance Rebate</w:t>
      </w:r>
    </w:p>
    <w:p w14:paraId="506F5AF5" w14:textId="75D6C901" w:rsidR="00026B0F" w:rsidRPr="00026B0F" w:rsidRDefault="00026B0F" w:rsidP="0025728A">
      <w:pPr>
        <w:pStyle w:val="IntenseQuote"/>
        <w:spacing w:before="160"/>
      </w:pPr>
      <w:r w:rsidRPr="00026B0F">
        <w:t>What is the HTA Policy and Methods Review</w:t>
      </w:r>
      <w:r w:rsidR="00523FEB">
        <w:t xml:space="preserve"> and why is it important</w:t>
      </w:r>
      <w:r w:rsidRPr="00026B0F">
        <w:t xml:space="preserve">? </w:t>
      </w:r>
    </w:p>
    <w:p w14:paraId="5B0141A5" w14:textId="464AD186" w:rsidR="00026B0F" w:rsidRPr="00026B0F" w:rsidRDefault="00026B0F" w:rsidP="0025728A">
      <w:pPr>
        <w:spacing w:after="0"/>
      </w:pPr>
      <w:r w:rsidRPr="00026B0F">
        <w:t xml:space="preserve">The HTA Policy and Methods Review (HTA Review) is a commitment under the </w:t>
      </w:r>
      <w:hyperlink r:id="rId15" w:history="1">
        <w:r w:rsidRPr="00523FEB">
          <w:rPr>
            <w:rStyle w:val="Hyperlink"/>
          </w:rPr>
          <w:t>2022-27 Strategic Agreement between the Commonwealth and Medicines Australia</w:t>
        </w:r>
      </w:hyperlink>
      <w:r w:rsidRPr="00026B0F">
        <w:t>. Under the Strategic Agreement, the Commonwealth has committed to supporting and resourcing the HTA Review.</w:t>
      </w:r>
      <w:r w:rsidR="00E74E6D">
        <w:t xml:space="preserve"> The HTA</w:t>
      </w:r>
      <w:r w:rsidR="00E74E6D" w:rsidRPr="00E74E6D">
        <w:t xml:space="preserve"> Review is an opportunity to consider reforms to ensure Australia’s HTA policy and methods are continuously evaluated and improved.</w:t>
      </w:r>
    </w:p>
    <w:p w14:paraId="233E5BE8" w14:textId="58E47DED" w:rsidR="004E734F" w:rsidRPr="004E734F" w:rsidRDefault="00E74E6D" w:rsidP="004E734F">
      <w:pPr>
        <w:pStyle w:val="IntenseQuote"/>
        <w:spacing w:before="160"/>
      </w:pPr>
      <w:bookmarkStart w:id="0" w:name="_Hlk134703995"/>
      <w:r w:rsidRPr="00E74E6D">
        <w:t>Who is reviewing?</w:t>
      </w:r>
      <w:r w:rsidR="004E734F">
        <w:t> </w:t>
      </w:r>
    </w:p>
    <w:bookmarkEnd w:id="0"/>
    <w:p w14:paraId="2A588BDB" w14:textId="53C6B419" w:rsidR="004E734F" w:rsidRPr="00E74E6D" w:rsidRDefault="001F6AD6" w:rsidP="00E74E6D">
      <w:pPr>
        <w:pStyle w:val="Paragraphtext"/>
        <w:rPr>
          <w:b/>
          <w:bCs/>
          <w:sz w:val="22"/>
          <w:szCs w:val="22"/>
        </w:rPr>
      </w:pPr>
      <w:r>
        <w:rPr>
          <w:sz w:val="22"/>
          <w:szCs w:val="22"/>
        </w:rPr>
        <w:t xml:space="preserve">The HTA Review </w:t>
      </w:r>
      <w:r w:rsidR="004B57AE">
        <w:rPr>
          <w:sz w:val="22"/>
          <w:szCs w:val="22"/>
        </w:rPr>
        <w:t xml:space="preserve">is being overseen by a </w:t>
      </w:r>
      <w:r>
        <w:rPr>
          <w:sz w:val="22"/>
          <w:szCs w:val="22"/>
        </w:rPr>
        <w:t>Reference Committee</w:t>
      </w:r>
      <w:r w:rsidR="004B57AE">
        <w:rPr>
          <w:sz w:val="22"/>
          <w:szCs w:val="22"/>
        </w:rPr>
        <w:t>. The Reference Committee</w:t>
      </w:r>
      <w:r>
        <w:rPr>
          <w:sz w:val="22"/>
          <w:szCs w:val="22"/>
        </w:rPr>
        <w:t xml:space="preserve"> comprise</w:t>
      </w:r>
      <w:r w:rsidR="004B57AE">
        <w:rPr>
          <w:sz w:val="22"/>
          <w:szCs w:val="22"/>
        </w:rPr>
        <w:t>s</w:t>
      </w:r>
      <w:r>
        <w:rPr>
          <w:sz w:val="22"/>
          <w:szCs w:val="22"/>
        </w:rPr>
        <w:t xml:space="preserve"> the following members</w:t>
      </w:r>
      <w:r w:rsidR="004E734F" w:rsidRPr="00E74E6D">
        <w:rPr>
          <w:sz w:val="22"/>
          <w:szCs w:val="22"/>
        </w:rPr>
        <w:t xml:space="preserve">. </w:t>
      </w:r>
    </w:p>
    <w:p w14:paraId="56F6FB0C" w14:textId="77777777" w:rsidR="001F6AD6" w:rsidRDefault="001F6AD6" w:rsidP="001F6AD6">
      <w:pPr>
        <w:pStyle w:val="Tablelistbullet"/>
        <w:rPr>
          <w:rFonts w:eastAsiaTheme="minorHAnsi"/>
          <w:sz w:val="21"/>
          <w:szCs w:val="21"/>
          <w:lang w:val="en-GB"/>
        </w:rPr>
      </w:pPr>
      <w:r>
        <w:rPr>
          <w:lang w:val="en-GB"/>
        </w:rPr>
        <w:t xml:space="preserve">Independent Chair: Adjunct Professor Debora </w:t>
      </w:r>
      <w:proofErr w:type="spellStart"/>
      <w:r>
        <w:rPr>
          <w:lang w:val="en-GB"/>
        </w:rPr>
        <w:t>Picone</w:t>
      </w:r>
      <w:proofErr w:type="spellEnd"/>
      <w:r>
        <w:rPr>
          <w:lang w:val="en-GB"/>
        </w:rPr>
        <w:t xml:space="preserve"> AO</w:t>
      </w:r>
    </w:p>
    <w:p w14:paraId="5C09D785" w14:textId="77777777" w:rsidR="001F6AD6" w:rsidRDefault="001F6AD6" w:rsidP="001F6AD6">
      <w:pPr>
        <w:pStyle w:val="Tablelistbullet"/>
        <w:rPr>
          <w:lang w:val="en-GB"/>
        </w:rPr>
      </w:pPr>
      <w:r>
        <w:rPr>
          <w:lang w:val="en-GB"/>
        </w:rPr>
        <w:t>Patient Representatives: Ms Ann Single and Dr Dawn Casey PSM</w:t>
      </w:r>
    </w:p>
    <w:p w14:paraId="009DF332" w14:textId="77777777" w:rsidR="001F6AD6" w:rsidRDefault="001F6AD6" w:rsidP="001F6AD6">
      <w:pPr>
        <w:pStyle w:val="Tablelistbullet"/>
        <w:rPr>
          <w:lang w:val="en-GB"/>
        </w:rPr>
      </w:pPr>
      <w:r>
        <w:rPr>
          <w:lang w:val="en-GB"/>
        </w:rPr>
        <w:t>Chair of the Pharmaceutical Benefits Advisory Committee: Professor Andrew Wilson</w:t>
      </w:r>
    </w:p>
    <w:p w14:paraId="46876B87" w14:textId="77777777" w:rsidR="001F6AD6" w:rsidRDefault="001F6AD6" w:rsidP="001F6AD6">
      <w:pPr>
        <w:pStyle w:val="Tablelistbullet"/>
        <w:rPr>
          <w:lang w:val="en-GB"/>
        </w:rPr>
      </w:pPr>
      <w:r>
        <w:rPr>
          <w:lang w:val="en-GB"/>
        </w:rPr>
        <w:t>Clinical/Scientific Representative: Professor Andrew Roberts AM</w:t>
      </w:r>
    </w:p>
    <w:p w14:paraId="5434F3E2" w14:textId="7A1B997C" w:rsidR="001F6AD6" w:rsidRDefault="001F6AD6" w:rsidP="001F6AD6">
      <w:pPr>
        <w:pStyle w:val="Tablelistbullet"/>
        <w:rPr>
          <w:lang w:val="en-GB"/>
        </w:rPr>
      </w:pPr>
      <w:r>
        <w:rPr>
          <w:lang w:val="en-GB"/>
        </w:rPr>
        <w:t xml:space="preserve">Industry Representative: </w:t>
      </w:r>
      <w:r w:rsidR="00D7540A">
        <w:rPr>
          <w:lang w:val="en-GB"/>
        </w:rPr>
        <w:t xml:space="preserve">Ms Elizabeth de </w:t>
      </w:r>
      <w:proofErr w:type="spellStart"/>
      <w:r w:rsidR="00D7540A">
        <w:rPr>
          <w:lang w:val="en-GB"/>
        </w:rPr>
        <w:t>Somer</w:t>
      </w:r>
      <w:proofErr w:type="spellEnd"/>
    </w:p>
    <w:p w14:paraId="0E7D023E" w14:textId="77777777" w:rsidR="001F6AD6" w:rsidRDefault="001F6AD6" w:rsidP="001F6AD6">
      <w:pPr>
        <w:pStyle w:val="Tablelistbullet"/>
      </w:pPr>
      <w:r>
        <w:rPr>
          <w:lang w:val="en-GB"/>
        </w:rPr>
        <w:t xml:space="preserve">Government Nominee: Ms Adriana </w:t>
      </w:r>
      <w:proofErr w:type="spellStart"/>
      <w:r>
        <w:rPr>
          <w:lang w:val="en-GB"/>
        </w:rPr>
        <w:t>Platona</w:t>
      </w:r>
      <w:proofErr w:type="spellEnd"/>
      <w:r>
        <w:rPr>
          <w:lang w:val="en-GB"/>
        </w:rPr>
        <w:t xml:space="preserve"> PSM</w:t>
      </w:r>
    </w:p>
    <w:p w14:paraId="43480693" w14:textId="77777777" w:rsidR="004E734F" w:rsidRDefault="004E734F" w:rsidP="00026B0F">
      <w:pPr>
        <w:pStyle w:val="IntenseQuote"/>
      </w:pPr>
    </w:p>
    <w:p w14:paraId="02B0315A" w14:textId="56BBDDDC" w:rsidR="000465E4" w:rsidRPr="000465E4" w:rsidRDefault="00026B0F" w:rsidP="005F6FA4">
      <w:pPr>
        <w:pStyle w:val="IntenseQuote"/>
      </w:pPr>
      <w:r w:rsidRPr="00026B0F">
        <w:t xml:space="preserve">What is being reviewed? </w:t>
      </w:r>
    </w:p>
    <w:p w14:paraId="31100389" w14:textId="31B6372E" w:rsidR="00026B0F" w:rsidRPr="00026B0F" w:rsidRDefault="00026B0F" w:rsidP="00026B0F">
      <w:r w:rsidRPr="00026B0F">
        <w:lastRenderedPageBreak/>
        <w:t>The HTA Review will not consider HTA</w:t>
      </w:r>
      <w:r w:rsidR="00784B59">
        <w:t xml:space="preserve"> policy and methods</w:t>
      </w:r>
      <w:r w:rsidRPr="00026B0F">
        <w:t xml:space="preserve"> for all health products and services. </w:t>
      </w:r>
    </w:p>
    <w:p w14:paraId="4E647D07" w14:textId="77777777" w:rsidR="00026B0F" w:rsidRPr="00026B0F" w:rsidRDefault="00026B0F" w:rsidP="00026B0F">
      <w:r w:rsidRPr="00026B0F">
        <w:t xml:space="preserve">The HTA Review will consider HTA policy and methods for: </w:t>
      </w:r>
    </w:p>
    <w:p w14:paraId="001D62B8" w14:textId="77777777" w:rsidR="00026B0F" w:rsidRPr="00026B0F" w:rsidRDefault="00026B0F" w:rsidP="006E7D42">
      <w:pPr>
        <w:numPr>
          <w:ilvl w:val="0"/>
          <w:numId w:val="8"/>
        </w:numPr>
        <w:spacing w:after="0"/>
        <w:ind w:left="357" w:hanging="357"/>
      </w:pPr>
      <w:r w:rsidRPr="00026B0F">
        <w:t>medicines and vaccines</w:t>
      </w:r>
    </w:p>
    <w:p w14:paraId="0260D2E9" w14:textId="77777777" w:rsidR="00026B0F" w:rsidRPr="00026B0F" w:rsidRDefault="00026B0F" w:rsidP="006E7D42">
      <w:pPr>
        <w:numPr>
          <w:ilvl w:val="0"/>
          <w:numId w:val="8"/>
        </w:numPr>
        <w:spacing w:after="0"/>
        <w:ind w:left="357" w:hanging="357"/>
      </w:pPr>
      <w:r w:rsidRPr="00026B0F">
        <w:t>highly specialised therapies (such as cell and gene therapies)</w:t>
      </w:r>
    </w:p>
    <w:p w14:paraId="5787F29C" w14:textId="77777777" w:rsidR="00026B0F" w:rsidRPr="00026B0F" w:rsidRDefault="00026B0F" w:rsidP="006E7D42">
      <w:pPr>
        <w:numPr>
          <w:ilvl w:val="0"/>
          <w:numId w:val="8"/>
        </w:numPr>
        <w:spacing w:after="0"/>
        <w:ind w:left="357" w:hanging="357"/>
      </w:pPr>
      <w:r w:rsidRPr="00026B0F">
        <w:t>other health technologies that are linked to use of medicines vaccines and highly specialised therapies (such as pathology tests)</w:t>
      </w:r>
    </w:p>
    <w:p w14:paraId="15733B35" w14:textId="77777777" w:rsidR="00026B0F" w:rsidRPr="00026B0F" w:rsidRDefault="00026B0F" w:rsidP="006E7D42">
      <w:pPr>
        <w:numPr>
          <w:ilvl w:val="0"/>
          <w:numId w:val="8"/>
        </w:numPr>
        <w:spacing w:after="0"/>
        <w:ind w:left="357" w:hanging="357"/>
      </w:pPr>
      <w:r w:rsidRPr="00026B0F">
        <w:t xml:space="preserve">foreseeable changes in health care that may influence the need, accessibility, </w:t>
      </w:r>
      <w:proofErr w:type="gramStart"/>
      <w:r w:rsidRPr="00026B0F">
        <w:t>effectiveness</w:t>
      </w:r>
      <w:proofErr w:type="gramEnd"/>
      <w:r w:rsidRPr="00026B0F">
        <w:t xml:space="preserve"> or cost-effectiveness of new health technologies. </w:t>
      </w:r>
    </w:p>
    <w:p w14:paraId="00B30D11" w14:textId="10F8B616" w:rsidR="00026B0F" w:rsidRPr="00026B0F" w:rsidRDefault="00026B0F" w:rsidP="00026B0F">
      <w:pPr>
        <w:spacing w:before="120"/>
      </w:pPr>
      <w:r w:rsidRPr="00026B0F">
        <w:t xml:space="preserve">The full scope of the HTA Review is set out in the </w:t>
      </w:r>
      <w:r w:rsidR="00EA6687">
        <w:t>terms of reference</w:t>
      </w:r>
      <w:r w:rsidRPr="00026B0F">
        <w:t xml:space="preserve"> which can be accessed via the HTA Review website. </w:t>
      </w:r>
    </w:p>
    <w:p w14:paraId="0FDF0C29" w14:textId="77777777" w:rsidR="00026B0F" w:rsidRPr="00026B0F" w:rsidRDefault="00026B0F" w:rsidP="00026B0F">
      <w:pPr>
        <w:pStyle w:val="IntenseQuote"/>
      </w:pPr>
      <w:r w:rsidRPr="00026B0F">
        <w:t xml:space="preserve">What are the goals of the HTA Review?  </w:t>
      </w:r>
    </w:p>
    <w:p w14:paraId="7AE22F92" w14:textId="77777777" w:rsidR="00026B0F" w:rsidRPr="00026B0F" w:rsidRDefault="00026B0F" w:rsidP="00026B0F">
      <w:r w:rsidRPr="00026B0F">
        <w:t>The HTA Review will examine HTA policy and methods to identify features that:</w:t>
      </w:r>
    </w:p>
    <w:p w14:paraId="5247FA76" w14:textId="77777777" w:rsidR="00026B0F" w:rsidRPr="00026B0F" w:rsidRDefault="00026B0F" w:rsidP="006E7D42">
      <w:pPr>
        <w:numPr>
          <w:ilvl w:val="0"/>
          <w:numId w:val="8"/>
        </w:numPr>
        <w:spacing w:after="0"/>
        <w:ind w:left="357" w:hanging="357"/>
      </w:pPr>
      <w:r w:rsidRPr="00026B0F">
        <w:t>are working effectively</w:t>
      </w:r>
    </w:p>
    <w:p w14:paraId="2E60559D" w14:textId="77777777" w:rsidR="00026B0F" w:rsidRPr="00026B0F" w:rsidRDefault="00026B0F" w:rsidP="006E7D42">
      <w:pPr>
        <w:numPr>
          <w:ilvl w:val="0"/>
          <w:numId w:val="8"/>
        </w:numPr>
        <w:spacing w:after="0"/>
        <w:ind w:left="357" w:hanging="357"/>
      </w:pPr>
      <w:r w:rsidRPr="00026B0F">
        <w:t>may act as current or future barriers to earliest possible access</w:t>
      </w:r>
    </w:p>
    <w:p w14:paraId="40C12C38" w14:textId="77777777" w:rsidR="00026B0F" w:rsidRPr="00026B0F" w:rsidRDefault="00026B0F" w:rsidP="006E7D42">
      <w:pPr>
        <w:numPr>
          <w:ilvl w:val="0"/>
          <w:numId w:val="8"/>
        </w:numPr>
        <w:spacing w:after="0"/>
        <w:ind w:left="357" w:hanging="357"/>
      </w:pPr>
      <w:r w:rsidRPr="00026B0F">
        <w:t>may act as current or future barriers to equitable access</w:t>
      </w:r>
    </w:p>
    <w:p w14:paraId="4DCA456C" w14:textId="77777777" w:rsidR="00026B0F" w:rsidRPr="00026B0F" w:rsidRDefault="00026B0F" w:rsidP="006E7D42">
      <w:pPr>
        <w:numPr>
          <w:ilvl w:val="0"/>
          <w:numId w:val="8"/>
        </w:numPr>
        <w:spacing w:after="0"/>
        <w:ind w:left="357" w:hanging="357"/>
      </w:pPr>
      <w:r w:rsidRPr="00026B0F">
        <w:t>detract from person-centredness</w:t>
      </w:r>
    </w:p>
    <w:p w14:paraId="63D61B58" w14:textId="77777777" w:rsidR="00026B0F" w:rsidRPr="00026B0F" w:rsidRDefault="00026B0F" w:rsidP="006E7D42">
      <w:pPr>
        <w:numPr>
          <w:ilvl w:val="0"/>
          <w:numId w:val="8"/>
        </w:numPr>
        <w:spacing w:after="0"/>
        <w:ind w:left="357" w:hanging="357"/>
      </w:pPr>
      <w:r w:rsidRPr="00026B0F">
        <w:t>may be creating perverse incentives.</w:t>
      </w:r>
    </w:p>
    <w:p w14:paraId="27E3FA61" w14:textId="77777777" w:rsidR="00026B0F" w:rsidRPr="00026B0F" w:rsidRDefault="00026B0F" w:rsidP="00026B0F">
      <w:pPr>
        <w:spacing w:before="120"/>
      </w:pPr>
      <w:r w:rsidRPr="00026B0F">
        <w:t xml:space="preserve">The HTA Review will consider reforms that address identified challenges and present a comprehensive set of recommendations for reforms to Government that: </w:t>
      </w:r>
    </w:p>
    <w:p w14:paraId="700914EE" w14:textId="77777777" w:rsidR="00026B0F" w:rsidRPr="00026B0F" w:rsidRDefault="00026B0F" w:rsidP="006E7D42">
      <w:pPr>
        <w:numPr>
          <w:ilvl w:val="0"/>
          <w:numId w:val="9"/>
        </w:numPr>
        <w:spacing w:after="0"/>
        <w:ind w:left="357" w:hanging="357"/>
      </w:pPr>
      <w:r w:rsidRPr="00026B0F">
        <w:t>are implementable and sustainable for both health funders (Commonwealth, state, and territory) and the health technology industry</w:t>
      </w:r>
    </w:p>
    <w:p w14:paraId="2774E96C" w14:textId="77777777" w:rsidR="00026B0F" w:rsidRPr="00026B0F" w:rsidRDefault="00026B0F" w:rsidP="006E7D42">
      <w:pPr>
        <w:numPr>
          <w:ilvl w:val="0"/>
          <w:numId w:val="9"/>
        </w:numPr>
        <w:spacing w:after="0"/>
        <w:ind w:left="357" w:hanging="357"/>
      </w:pPr>
      <w:r w:rsidRPr="00026B0F">
        <w:t xml:space="preserve">deliver Australians equitable, timely, </w:t>
      </w:r>
      <w:proofErr w:type="gramStart"/>
      <w:r w:rsidRPr="00026B0F">
        <w:t>safe</w:t>
      </w:r>
      <w:proofErr w:type="gramEnd"/>
      <w:r w:rsidRPr="00026B0F">
        <w:t xml:space="preserve"> and affordable access to a high-quality and reliable supply of medicines for all Australians </w:t>
      </w:r>
    </w:p>
    <w:p w14:paraId="4B2B8A8F" w14:textId="77777777" w:rsidR="00026B0F" w:rsidRPr="00026B0F" w:rsidRDefault="00026B0F" w:rsidP="006E7D42">
      <w:pPr>
        <w:numPr>
          <w:ilvl w:val="0"/>
          <w:numId w:val="9"/>
        </w:numPr>
        <w:spacing w:after="0"/>
        <w:ind w:left="357" w:hanging="357"/>
      </w:pPr>
      <w:r w:rsidRPr="00026B0F">
        <w:t>adopt a person-centred approach in HTA</w:t>
      </w:r>
    </w:p>
    <w:p w14:paraId="606F5DDF" w14:textId="77777777" w:rsidR="00026B0F" w:rsidRPr="00026B0F" w:rsidRDefault="00026B0F" w:rsidP="006E7D42">
      <w:pPr>
        <w:numPr>
          <w:ilvl w:val="0"/>
          <w:numId w:val="9"/>
        </w:numPr>
        <w:spacing w:after="0"/>
        <w:ind w:left="357" w:hanging="357"/>
      </w:pPr>
      <w:r w:rsidRPr="00026B0F">
        <w:t xml:space="preserve">deliver the outcomes sought by recommendations from the Standing </w:t>
      </w:r>
      <w:r w:rsidRPr="00026B0F">
        <w:t xml:space="preserve">Committee on Health, Aged Care and Sport Inquiry into approval processes for new drugs and novel medical technologies in </w:t>
      </w:r>
      <w:proofErr w:type="gramStart"/>
      <w:r w:rsidRPr="00026B0F">
        <w:t>Australia  that</w:t>
      </w:r>
      <w:proofErr w:type="gramEnd"/>
      <w:r w:rsidRPr="00026B0F">
        <w:t xml:space="preserve"> are agreed in principle in the Government Response</w:t>
      </w:r>
    </w:p>
    <w:p w14:paraId="2B71309E" w14:textId="77777777" w:rsidR="00026B0F" w:rsidRPr="00026B0F" w:rsidRDefault="00026B0F" w:rsidP="006E7D42">
      <w:pPr>
        <w:numPr>
          <w:ilvl w:val="0"/>
          <w:numId w:val="9"/>
        </w:numPr>
        <w:spacing w:after="0"/>
        <w:ind w:left="357" w:hanging="357"/>
      </w:pPr>
      <w:r w:rsidRPr="00026B0F">
        <w:t>further the objectives of the new NMP</w:t>
      </w:r>
    </w:p>
    <w:p w14:paraId="3062F9DC" w14:textId="77777777" w:rsidR="00026B0F" w:rsidRPr="00026B0F" w:rsidRDefault="00026B0F" w:rsidP="006E7D42">
      <w:pPr>
        <w:numPr>
          <w:ilvl w:val="0"/>
          <w:numId w:val="9"/>
        </w:numPr>
        <w:spacing w:after="0"/>
        <w:ind w:left="357" w:hanging="357"/>
      </w:pPr>
      <w:r w:rsidRPr="00026B0F">
        <w:t>ensure HTA policy and methods are well adapted to and capable of assessing new technologies that are emerging or are expected to emerge in the coming years and</w:t>
      </w:r>
    </w:p>
    <w:p w14:paraId="60184C4E" w14:textId="77777777" w:rsidR="00026B0F" w:rsidRPr="00026B0F" w:rsidRDefault="00026B0F" w:rsidP="006E7D42">
      <w:pPr>
        <w:numPr>
          <w:ilvl w:val="0"/>
          <w:numId w:val="9"/>
        </w:numPr>
        <w:spacing w:after="0"/>
        <w:ind w:left="357" w:hanging="357"/>
      </w:pPr>
      <w:r w:rsidRPr="00026B0F">
        <w:t xml:space="preserve">do not compromise assessment of patient safety, effectiveness and cost, or advice to Government on subsidy of health technologies. </w:t>
      </w:r>
    </w:p>
    <w:p w14:paraId="759E2DD0" w14:textId="77777777" w:rsidR="00026B0F" w:rsidRPr="00026B0F" w:rsidRDefault="00026B0F" w:rsidP="00026B0F">
      <w:pPr>
        <w:pStyle w:val="IntenseQuote"/>
      </w:pPr>
      <w:r w:rsidRPr="00026B0F">
        <w:t>How can I participate in the HTA Review?</w:t>
      </w:r>
    </w:p>
    <w:p w14:paraId="50506944" w14:textId="77777777" w:rsidR="00026B0F" w:rsidRPr="00026B0F" w:rsidRDefault="00026B0F" w:rsidP="00026B0F">
      <w:r w:rsidRPr="00026B0F">
        <w:t>There will be several opportunities for people and organisations interested in the HTA Review to participate. Please visit the HTA Review web page for detailed information about consultations and subscribe to PBS News so that you are notified of any updates on the HTA Review’s progress.</w:t>
      </w:r>
    </w:p>
    <w:p w14:paraId="3C33A6E8" w14:textId="77777777" w:rsidR="009026DC" w:rsidRPr="009B7568" w:rsidRDefault="009026DC" w:rsidP="00026B0F"/>
    <w:sectPr w:rsidR="009026DC" w:rsidRPr="009B7568" w:rsidSect="00026B0F">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27A1" w14:textId="77777777" w:rsidR="004B1AC7" w:rsidRDefault="004B1AC7" w:rsidP="006B56BB">
      <w:r>
        <w:separator/>
      </w:r>
    </w:p>
    <w:p w14:paraId="23D20A82" w14:textId="77777777" w:rsidR="004B1AC7" w:rsidRDefault="004B1AC7"/>
  </w:endnote>
  <w:endnote w:type="continuationSeparator" w:id="0">
    <w:p w14:paraId="66094344" w14:textId="77777777" w:rsidR="004B1AC7" w:rsidRDefault="004B1AC7" w:rsidP="006B56BB">
      <w:r>
        <w:continuationSeparator/>
      </w:r>
    </w:p>
    <w:p w14:paraId="0C666A16" w14:textId="77777777" w:rsidR="004B1AC7" w:rsidRDefault="004B1AC7"/>
  </w:endnote>
  <w:endnote w:type="continuationNotice" w:id="1">
    <w:p w14:paraId="414AE98C" w14:textId="77777777" w:rsidR="004B1AC7" w:rsidRDefault="004B1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052DC24E" w:rsidR="008D48C9" w:rsidRPr="00E06E24" w:rsidRDefault="008D48C9" w:rsidP="00E06E24">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7CD22210"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98122D" w:rsidRPr="00584A34">
      <w:rPr>
        <w:highlight w:val="yellow"/>
      </w:rPr>
      <w:t>Date</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1795" w14:textId="77777777" w:rsidR="004B1AC7" w:rsidRDefault="004B1AC7" w:rsidP="006B56BB">
      <w:r>
        <w:separator/>
      </w:r>
    </w:p>
    <w:p w14:paraId="06B35439" w14:textId="77777777" w:rsidR="004B1AC7" w:rsidRDefault="004B1AC7"/>
  </w:footnote>
  <w:footnote w:type="continuationSeparator" w:id="0">
    <w:p w14:paraId="6C4EFC90" w14:textId="77777777" w:rsidR="004B1AC7" w:rsidRDefault="004B1AC7" w:rsidP="006B56BB">
      <w:r>
        <w:continuationSeparator/>
      </w:r>
    </w:p>
    <w:p w14:paraId="2D3C19B3" w14:textId="77777777" w:rsidR="004B1AC7" w:rsidRDefault="004B1AC7"/>
  </w:footnote>
  <w:footnote w:type="continuationNotice" w:id="1">
    <w:p w14:paraId="617FE476" w14:textId="77777777" w:rsidR="004B1AC7" w:rsidRDefault="004B1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310C3578" w:rsidR="00584A34" w:rsidRDefault="005C19E8">
    <w:pPr>
      <w:pStyle w:val="Header"/>
    </w:pPr>
    <w:r>
      <w:rPr>
        <w:noProof/>
        <w:lang w:eastAsia="en-AU"/>
      </w:rPr>
      <w:drawing>
        <wp:inline distT="0" distB="0" distL="0" distR="0" wp14:anchorId="3C6C15AF" wp14:editId="3176E78B">
          <wp:extent cx="5759450" cy="95694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25023"/>
    <w:multiLevelType w:val="hybridMultilevel"/>
    <w:tmpl w:val="616E2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825D9"/>
    <w:multiLevelType w:val="hybridMultilevel"/>
    <w:tmpl w:val="64545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BB172F"/>
    <w:multiLevelType w:val="hybridMultilevel"/>
    <w:tmpl w:val="1D968CE2"/>
    <w:lvl w:ilvl="0" w:tplc="1EBC9394">
      <w:start w:val="1"/>
      <w:numFmt w:val="bullet"/>
      <w:lvlText w:val="•"/>
      <w:lvlJc w:val="left"/>
      <w:pPr>
        <w:tabs>
          <w:tab w:val="num" w:pos="720"/>
        </w:tabs>
        <w:ind w:left="720" w:hanging="360"/>
      </w:pPr>
      <w:rPr>
        <w:rFonts w:ascii="Arial" w:hAnsi="Arial" w:hint="default"/>
      </w:rPr>
    </w:lvl>
    <w:lvl w:ilvl="1" w:tplc="05D4CEB0" w:tentative="1">
      <w:start w:val="1"/>
      <w:numFmt w:val="bullet"/>
      <w:lvlText w:val="•"/>
      <w:lvlJc w:val="left"/>
      <w:pPr>
        <w:tabs>
          <w:tab w:val="num" w:pos="1440"/>
        </w:tabs>
        <w:ind w:left="1440" w:hanging="360"/>
      </w:pPr>
      <w:rPr>
        <w:rFonts w:ascii="Arial" w:hAnsi="Arial" w:hint="default"/>
      </w:rPr>
    </w:lvl>
    <w:lvl w:ilvl="2" w:tplc="BFE8D9F0" w:tentative="1">
      <w:start w:val="1"/>
      <w:numFmt w:val="bullet"/>
      <w:lvlText w:val="•"/>
      <w:lvlJc w:val="left"/>
      <w:pPr>
        <w:tabs>
          <w:tab w:val="num" w:pos="2160"/>
        </w:tabs>
        <w:ind w:left="2160" w:hanging="360"/>
      </w:pPr>
      <w:rPr>
        <w:rFonts w:ascii="Arial" w:hAnsi="Arial" w:hint="default"/>
      </w:rPr>
    </w:lvl>
    <w:lvl w:ilvl="3" w:tplc="85EE902A" w:tentative="1">
      <w:start w:val="1"/>
      <w:numFmt w:val="bullet"/>
      <w:lvlText w:val="•"/>
      <w:lvlJc w:val="left"/>
      <w:pPr>
        <w:tabs>
          <w:tab w:val="num" w:pos="2880"/>
        </w:tabs>
        <w:ind w:left="2880" w:hanging="360"/>
      </w:pPr>
      <w:rPr>
        <w:rFonts w:ascii="Arial" w:hAnsi="Arial" w:hint="default"/>
      </w:rPr>
    </w:lvl>
    <w:lvl w:ilvl="4" w:tplc="08223A8C" w:tentative="1">
      <w:start w:val="1"/>
      <w:numFmt w:val="bullet"/>
      <w:lvlText w:val="•"/>
      <w:lvlJc w:val="left"/>
      <w:pPr>
        <w:tabs>
          <w:tab w:val="num" w:pos="3600"/>
        </w:tabs>
        <w:ind w:left="3600" w:hanging="360"/>
      </w:pPr>
      <w:rPr>
        <w:rFonts w:ascii="Arial" w:hAnsi="Arial" w:hint="default"/>
      </w:rPr>
    </w:lvl>
    <w:lvl w:ilvl="5" w:tplc="8B44377C" w:tentative="1">
      <w:start w:val="1"/>
      <w:numFmt w:val="bullet"/>
      <w:lvlText w:val="•"/>
      <w:lvlJc w:val="left"/>
      <w:pPr>
        <w:tabs>
          <w:tab w:val="num" w:pos="4320"/>
        </w:tabs>
        <w:ind w:left="4320" w:hanging="360"/>
      </w:pPr>
      <w:rPr>
        <w:rFonts w:ascii="Arial" w:hAnsi="Arial" w:hint="default"/>
      </w:rPr>
    </w:lvl>
    <w:lvl w:ilvl="6" w:tplc="0494E578" w:tentative="1">
      <w:start w:val="1"/>
      <w:numFmt w:val="bullet"/>
      <w:lvlText w:val="•"/>
      <w:lvlJc w:val="left"/>
      <w:pPr>
        <w:tabs>
          <w:tab w:val="num" w:pos="5040"/>
        </w:tabs>
        <w:ind w:left="5040" w:hanging="360"/>
      </w:pPr>
      <w:rPr>
        <w:rFonts w:ascii="Arial" w:hAnsi="Arial" w:hint="default"/>
      </w:rPr>
    </w:lvl>
    <w:lvl w:ilvl="7" w:tplc="E930898A" w:tentative="1">
      <w:start w:val="1"/>
      <w:numFmt w:val="bullet"/>
      <w:lvlText w:val="•"/>
      <w:lvlJc w:val="left"/>
      <w:pPr>
        <w:tabs>
          <w:tab w:val="num" w:pos="5760"/>
        </w:tabs>
        <w:ind w:left="5760" w:hanging="360"/>
      </w:pPr>
      <w:rPr>
        <w:rFonts w:ascii="Arial" w:hAnsi="Arial" w:hint="default"/>
      </w:rPr>
    </w:lvl>
    <w:lvl w:ilvl="8" w:tplc="1CD2F4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7F5B2573"/>
    <w:multiLevelType w:val="hybridMultilevel"/>
    <w:tmpl w:val="C3A6460C"/>
    <w:lvl w:ilvl="0" w:tplc="A004648E">
      <w:start w:val="1"/>
      <w:numFmt w:val="decimal"/>
      <w:lvlText w:val="%1."/>
      <w:lvlJc w:val="left"/>
      <w:pPr>
        <w:tabs>
          <w:tab w:val="num" w:pos="720"/>
        </w:tabs>
        <w:ind w:left="720" w:hanging="360"/>
      </w:pPr>
    </w:lvl>
    <w:lvl w:ilvl="1" w:tplc="25DE3F3C" w:tentative="1">
      <w:start w:val="1"/>
      <w:numFmt w:val="decimal"/>
      <w:lvlText w:val="%2."/>
      <w:lvlJc w:val="left"/>
      <w:pPr>
        <w:tabs>
          <w:tab w:val="num" w:pos="1440"/>
        </w:tabs>
        <w:ind w:left="1440" w:hanging="360"/>
      </w:pPr>
    </w:lvl>
    <w:lvl w:ilvl="2" w:tplc="6DFCF5D2" w:tentative="1">
      <w:start w:val="1"/>
      <w:numFmt w:val="decimal"/>
      <w:lvlText w:val="%3."/>
      <w:lvlJc w:val="left"/>
      <w:pPr>
        <w:tabs>
          <w:tab w:val="num" w:pos="2160"/>
        </w:tabs>
        <w:ind w:left="2160" w:hanging="360"/>
      </w:pPr>
    </w:lvl>
    <w:lvl w:ilvl="3" w:tplc="1F8EF4DA" w:tentative="1">
      <w:start w:val="1"/>
      <w:numFmt w:val="decimal"/>
      <w:lvlText w:val="%4."/>
      <w:lvlJc w:val="left"/>
      <w:pPr>
        <w:tabs>
          <w:tab w:val="num" w:pos="2880"/>
        </w:tabs>
        <w:ind w:left="2880" w:hanging="360"/>
      </w:pPr>
    </w:lvl>
    <w:lvl w:ilvl="4" w:tplc="114AC626" w:tentative="1">
      <w:start w:val="1"/>
      <w:numFmt w:val="decimal"/>
      <w:lvlText w:val="%5."/>
      <w:lvlJc w:val="left"/>
      <w:pPr>
        <w:tabs>
          <w:tab w:val="num" w:pos="3600"/>
        </w:tabs>
        <w:ind w:left="3600" w:hanging="360"/>
      </w:pPr>
    </w:lvl>
    <w:lvl w:ilvl="5" w:tplc="4274DA8E" w:tentative="1">
      <w:start w:val="1"/>
      <w:numFmt w:val="decimal"/>
      <w:lvlText w:val="%6."/>
      <w:lvlJc w:val="left"/>
      <w:pPr>
        <w:tabs>
          <w:tab w:val="num" w:pos="4320"/>
        </w:tabs>
        <w:ind w:left="4320" w:hanging="360"/>
      </w:pPr>
    </w:lvl>
    <w:lvl w:ilvl="6" w:tplc="068C6658" w:tentative="1">
      <w:start w:val="1"/>
      <w:numFmt w:val="decimal"/>
      <w:lvlText w:val="%7."/>
      <w:lvlJc w:val="left"/>
      <w:pPr>
        <w:tabs>
          <w:tab w:val="num" w:pos="5040"/>
        </w:tabs>
        <w:ind w:left="5040" w:hanging="360"/>
      </w:pPr>
    </w:lvl>
    <w:lvl w:ilvl="7" w:tplc="AA3675B2" w:tentative="1">
      <w:start w:val="1"/>
      <w:numFmt w:val="decimal"/>
      <w:lvlText w:val="%8."/>
      <w:lvlJc w:val="left"/>
      <w:pPr>
        <w:tabs>
          <w:tab w:val="num" w:pos="5760"/>
        </w:tabs>
        <w:ind w:left="5760" w:hanging="360"/>
      </w:pPr>
    </w:lvl>
    <w:lvl w:ilvl="8" w:tplc="A7BEAA0A" w:tentative="1">
      <w:start w:val="1"/>
      <w:numFmt w:val="decimal"/>
      <w:lvlText w:val="%9."/>
      <w:lvlJc w:val="left"/>
      <w:pPr>
        <w:tabs>
          <w:tab w:val="num" w:pos="6480"/>
        </w:tabs>
        <w:ind w:left="6480" w:hanging="360"/>
      </w:pPr>
    </w:lvl>
  </w:abstractNum>
  <w:num w:numId="1">
    <w:abstractNumId w:val="6"/>
  </w:num>
  <w:num w:numId="2">
    <w:abstractNumId w:val="9"/>
  </w:num>
  <w:num w:numId="3">
    <w:abstractNumId w:val="2"/>
  </w:num>
  <w:num w:numId="4">
    <w:abstractNumId w:val="5"/>
  </w:num>
  <w:num w:numId="5">
    <w:abstractNumId w:val="8"/>
  </w:num>
  <w:num w:numId="6">
    <w:abstractNumId w:val="0"/>
  </w:num>
  <w:num w:numId="7">
    <w:abstractNumId w:val="7"/>
  </w:num>
  <w:num w:numId="8">
    <w:abstractNumId w:val="4"/>
  </w:num>
  <w:num w:numId="9">
    <w:abstractNumId w:val="10"/>
  </w:num>
  <w:num w:numId="10">
    <w:abstractNumId w:val="8"/>
  </w:num>
  <w:num w:numId="11">
    <w:abstractNumId w:val="1"/>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0A2"/>
    <w:rsid w:val="00002846"/>
    <w:rsid w:val="00003743"/>
    <w:rsid w:val="000047B4"/>
    <w:rsid w:val="00005712"/>
    <w:rsid w:val="00007FD8"/>
    <w:rsid w:val="000117F8"/>
    <w:rsid w:val="0001460F"/>
    <w:rsid w:val="00022629"/>
    <w:rsid w:val="00026139"/>
    <w:rsid w:val="00026B0F"/>
    <w:rsid w:val="00027601"/>
    <w:rsid w:val="000325F3"/>
    <w:rsid w:val="00033321"/>
    <w:rsid w:val="000338E5"/>
    <w:rsid w:val="00033ECC"/>
    <w:rsid w:val="0003422F"/>
    <w:rsid w:val="000374D0"/>
    <w:rsid w:val="000465E4"/>
    <w:rsid w:val="00046FF0"/>
    <w:rsid w:val="00050176"/>
    <w:rsid w:val="00067456"/>
    <w:rsid w:val="00071506"/>
    <w:rsid w:val="0007154F"/>
    <w:rsid w:val="00081181"/>
    <w:rsid w:val="00081AB1"/>
    <w:rsid w:val="00090316"/>
    <w:rsid w:val="00093981"/>
    <w:rsid w:val="000B067A"/>
    <w:rsid w:val="000B1540"/>
    <w:rsid w:val="000B1E53"/>
    <w:rsid w:val="000B33FD"/>
    <w:rsid w:val="000B4ABA"/>
    <w:rsid w:val="000B4F21"/>
    <w:rsid w:val="000C243A"/>
    <w:rsid w:val="000C470D"/>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7A76"/>
    <w:rsid w:val="001E7CDC"/>
    <w:rsid w:val="001F2836"/>
    <w:rsid w:val="001F6AD6"/>
    <w:rsid w:val="002026CD"/>
    <w:rsid w:val="002033FC"/>
    <w:rsid w:val="002044BB"/>
    <w:rsid w:val="002046EC"/>
    <w:rsid w:val="00210B09"/>
    <w:rsid w:val="00210C9E"/>
    <w:rsid w:val="00211840"/>
    <w:rsid w:val="00220E5F"/>
    <w:rsid w:val="002212B5"/>
    <w:rsid w:val="00226668"/>
    <w:rsid w:val="00233809"/>
    <w:rsid w:val="00240046"/>
    <w:rsid w:val="0024324A"/>
    <w:rsid w:val="0024797F"/>
    <w:rsid w:val="0025119E"/>
    <w:rsid w:val="00251269"/>
    <w:rsid w:val="002535C0"/>
    <w:rsid w:val="0025728A"/>
    <w:rsid w:val="002579FE"/>
    <w:rsid w:val="0026311C"/>
    <w:rsid w:val="0026668C"/>
    <w:rsid w:val="00266AC1"/>
    <w:rsid w:val="0027178C"/>
    <w:rsid w:val="002719FA"/>
    <w:rsid w:val="00272668"/>
    <w:rsid w:val="0027330B"/>
    <w:rsid w:val="002741D1"/>
    <w:rsid w:val="002803AD"/>
    <w:rsid w:val="00282052"/>
    <w:rsid w:val="0028519E"/>
    <w:rsid w:val="002856A5"/>
    <w:rsid w:val="00286F84"/>
    <w:rsid w:val="002872ED"/>
    <w:rsid w:val="002905C2"/>
    <w:rsid w:val="00295AF2"/>
    <w:rsid w:val="00295C91"/>
    <w:rsid w:val="00297151"/>
    <w:rsid w:val="002B20E6"/>
    <w:rsid w:val="002B42A3"/>
    <w:rsid w:val="002C0CDD"/>
    <w:rsid w:val="002C38C4"/>
    <w:rsid w:val="002E1A1D"/>
    <w:rsid w:val="002E4081"/>
    <w:rsid w:val="002E5B78"/>
    <w:rsid w:val="002F3AE3"/>
    <w:rsid w:val="002F480F"/>
    <w:rsid w:val="0030464B"/>
    <w:rsid w:val="00305D17"/>
    <w:rsid w:val="0030786C"/>
    <w:rsid w:val="003233DE"/>
    <w:rsid w:val="0032466B"/>
    <w:rsid w:val="003330EB"/>
    <w:rsid w:val="00335527"/>
    <w:rsid w:val="003415FD"/>
    <w:rsid w:val="003429F0"/>
    <w:rsid w:val="00345A82"/>
    <w:rsid w:val="0035097A"/>
    <w:rsid w:val="003540A4"/>
    <w:rsid w:val="00354D6A"/>
    <w:rsid w:val="00356A19"/>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4B2D"/>
    <w:rsid w:val="003A5013"/>
    <w:rsid w:val="003A5078"/>
    <w:rsid w:val="003A62DD"/>
    <w:rsid w:val="003A775A"/>
    <w:rsid w:val="003B213A"/>
    <w:rsid w:val="003B43AD"/>
    <w:rsid w:val="003B51CC"/>
    <w:rsid w:val="003B6009"/>
    <w:rsid w:val="003C0FEC"/>
    <w:rsid w:val="003C2AC8"/>
    <w:rsid w:val="003D033A"/>
    <w:rsid w:val="003D17F9"/>
    <w:rsid w:val="003D2D88"/>
    <w:rsid w:val="003D41EA"/>
    <w:rsid w:val="003D4850"/>
    <w:rsid w:val="003D535A"/>
    <w:rsid w:val="003E11C5"/>
    <w:rsid w:val="003E5265"/>
    <w:rsid w:val="003F0955"/>
    <w:rsid w:val="003F5F4D"/>
    <w:rsid w:val="003F646F"/>
    <w:rsid w:val="00400989"/>
    <w:rsid w:val="00400F00"/>
    <w:rsid w:val="00404F8B"/>
    <w:rsid w:val="00405256"/>
    <w:rsid w:val="00410031"/>
    <w:rsid w:val="00415C81"/>
    <w:rsid w:val="00431238"/>
    <w:rsid w:val="00432378"/>
    <w:rsid w:val="00440411"/>
    <w:rsid w:val="00440D65"/>
    <w:rsid w:val="004435E6"/>
    <w:rsid w:val="00445350"/>
    <w:rsid w:val="00447E31"/>
    <w:rsid w:val="00453923"/>
    <w:rsid w:val="00454B9B"/>
    <w:rsid w:val="00457858"/>
    <w:rsid w:val="00460B0B"/>
    <w:rsid w:val="00461023"/>
    <w:rsid w:val="00461AE2"/>
    <w:rsid w:val="00462FAC"/>
    <w:rsid w:val="00464631"/>
    <w:rsid w:val="00464B79"/>
    <w:rsid w:val="004672B4"/>
    <w:rsid w:val="00467BBF"/>
    <w:rsid w:val="00472578"/>
    <w:rsid w:val="0048593C"/>
    <w:rsid w:val="004867E2"/>
    <w:rsid w:val="00487442"/>
    <w:rsid w:val="004929A9"/>
    <w:rsid w:val="004A2B43"/>
    <w:rsid w:val="004A78D9"/>
    <w:rsid w:val="004B1AC7"/>
    <w:rsid w:val="004B57AE"/>
    <w:rsid w:val="004B5A85"/>
    <w:rsid w:val="004C6BCF"/>
    <w:rsid w:val="004D58BF"/>
    <w:rsid w:val="004E4335"/>
    <w:rsid w:val="004E621B"/>
    <w:rsid w:val="004E734F"/>
    <w:rsid w:val="004F13EE"/>
    <w:rsid w:val="004F2022"/>
    <w:rsid w:val="004F7C05"/>
    <w:rsid w:val="0050073A"/>
    <w:rsid w:val="00501C94"/>
    <w:rsid w:val="00506432"/>
    <w:rsid w:val="0052051D"/>
    <w:rsid w:val="00523FEB"/>
    <w:rsid w:val="00531642"/>
    <w:rsid w:val="0054016D"/>
    <w:rsid w:val="00545EE6"/>
    <w:rsid w:val="0054768D"/>
    <w:rsid w:val="005550E7"/>
    <w:rsid w:val="005564FB"/>
    <w:rsid w:val="005572C7"/>
    <w:rsid w:val="005622C2"/>
    <w:rsid w:val="00562B5B"/>
    <w:rsid w:val="005650ED"/>
    <w:rsid w:val="00575754"/>
    <w:rsid w:val="00581FBA"/>
    <w:rsid w:val="00582693"/>
    <w:rsid w:val="00584A34"/>
    <w:rsid w:val="00586FB2"/>
    <w:rsid w:val="00591E20"/>
    <w:rsid w:val="00595408"/>
    <w:rsid w:val="00595E84"/>
    <w:rsid w:val="005A0C59"/>
    <w:rsid w:val="005A48EB"/>
    <w:rsid w:val="005A6CFB"/>
    <w:rsid w:val="005C19E8"/>
    <w:rsid w:val="005C5AEB"/>
    <w:rsid w:val="005D35C6"/>
    <w:rsid w:val="005D7FF6"/>
    <w:rsid w:val="005E0A3F"/>
    <w:rsid w:val="005E6883"/>
    <w:rsid w:val="005E772F"/>
    <w:rsid w:val="005F4ECA"/>
    <w:rsid w:val="005F6FA4"/>
    <w:rsid w:val="006041BE"/>
    <w:rsid w:val="006043C7"/>
    <w:rsid w:val="00624B52"/>
    <w:rsid w:val="00630794"/>
    <w:rsid w:val="00631DF4"/>
    <w:rsid w:val="00634175"/>
    <w:rsid w:val="006408AC"/>
    <w:rsid w:val="00643B14"/>
    <w:rsid w:val="006511B6"/>
    <w:rsid w:val="00651D3C"/>
    <w:rsid w:val="00657FF8"/>
    <w:rsid w:val="0066053D"/>
    <w:rsid w:val="00663364"/>
    <w:rsid w:val="00670D99"/>
    <w:rsid w:val="00670E2B"/>
    <w:rsid w:val="006734BB"/>
    <w:rsid w:val="0067697A"/>
    <w:rsid w:val="0068134A"/>
    <w:rsid w:val="006821EB"/>
    <w:rsid w:val="006B14EA"/>
    <w:rsid w:val="006B2286"/>
    <w:rsid w:val="006B56BB"/>
    <w:rsid w:val="006C77A8"/>
    <w:rsid w:val="006D4098"/>
    <w:rsid w:val="006D7681"/>
    <w:rsid w:val="006D7B2E"/>
    <w:rsid w:val="006E02EA"/>
    <w:rsid w:val="006E0968"/>
    <w:rsid w:val="006E1D94"/>
    <w:rsid w:val="006E2AF6"/>
    <w:rsid w:val="006E7D42"/>
    <w:rsid w:val="006F0B88"/>
    <w:rsid w:val="00701275"/>
    <w:rsid w:val="00707F56"/>
    <w:rsid w:val="00713558"/>
    <w:rsid w:val="00720D08"/>
    <w:rsid w:val="00723477"/>
    <w:rsid w:val="007263B9"/>
    <w:rsid w:val="00730E51"/>
    <w:rsid w:val="007334F8"/>
    <w:rsid w:val="007339CD"/>
    <w:rsid w:val="007359D8"/>
    <w:rsid w:val="007362D4"/>
    <w:rsid w:val="007375FA"/>
    <w:rsid w:val="0076672A"/>
    <w:rsid w:val="00775E45"/>
    <w:rsid w:val="00776E74"/>
    <w:rsid w:val="00784B59"/>
    <w:rsid w:val="00785169"/>
    <w:rsid w:val="00787F4B"/>
    <w:rsid w:val="007954AB"/>
    <w:rsid w:val="007A14C5"/>
    <w:rsid w:val="007A4A10"/>
    <w:rsid w:val="007B0459"/>
    <w:rsid w:val="007B091E"/>
    <w:rsid w:val="007B1760"/>
    <w:rsid w:val="007C1FDC"/>
    <w:rsid w:val="007C6D9C"/>
    <w:rsid w:val="007C7DDB"/>
    <w:rsid w:val="007D2CC7"/>
    <w:rsid w:val="007D673D"/>
    <w:rsid w:val="007E4D09"/>
    <w:rsid w:val="007E7E37"/>
    <w:rsid w:val="007F2220"/>
    <w:rsid w:val="007F4B3E"/>
    <w:rsid w:val="008127AF"/>
    <w:rsid w:val="00812B46"/>
    <w:rsid w:val="00815700"/>
    <w:rsid w:val="0082401E"/>
    <w:rsid w:val="008264EB"/>
    <w:rsid w:val="00826B8F"/>
    <w:rsid w:val="00831E8A"/>
    <w:rsid w:val="00833324"/>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193C"/>
    <w:rsid w:val="008A1D01"/>
    <w:rsid w:val="008A7438"/>
    <w:rsid w:val="008B1334"/>
    <w:rsid w:val="008B25C7"/>
    <w:rsid w:val="008C0278"/>
    <w:rsid w:val="008C24E9"/>
    <w:rsid w:val="008C2CBA"/>
    <w:rsid w:val="008D0533"/>
    <w:rsid w:val="008D42CB"/>
    <w:rsid w:val="008D48C9"/>
    <w:rsid w:val="008D6381"/>
    <w:rsid w:val="008E0C77"/>
    <w:rsid w:val="008E15B0"/>
    <w:rsid w:val="008E625F"/>
    <w:rsid w:val="008F264D"/>
    <w:rsid w:val="009026DC"/>
    <w:rsid w:val="009040E9"/>
    <w:rsid w:val="009074E1"/>
    <w:rsid w:val="009112F7"/>
    <w:rsid w:val="009122AF"/>
    <w:rsid w:val="00912D54"/>
    <w:rsid w:val="0091389F"/>
    <w:rsid w:val="009208F7"/>
    <w:rsid w:val="00921649"/>
    <w:rsid w:val="00922517"/>
    <w:rsid w:val="00922722"/>
    <w:rsid w:val="009261E6"/>
    <w:rsid w:val="009268E1"/>
    <w:rsid w:val="009344DE"/>
    <w:rsid w:val="009454FA"/>
    <w:rsid w:val="00945E7F"/>
    <w:rsid w:val="009557C1"/>
    <w:rsid w:val="00960D6E"/>
    <w:rsid w:val="009724AB"/>
    <w:rsid w:val="00974B59"/>
    <w:rsid w:val="0098122D"/>
    <w:rsid w:val="0098340B"/>
    <w:rsid w:val="0098402D"/>
    <w:rsid w:val="00986830"/>
    <w:rsid w:val="009924C3"/>
    <w:rsid w:val="00993102"/>
    <w:rsid w:val="009A21C2"/>
    <w:rsid w:val="009A6F15"/>
    <w:rsid w:val="009A762F"/>
    <w:rsid w:val="009B1570"/>
    <w:rsid w:val="009B7568"/>
    <w:rsid w:val="009C6F10"/>
    <w:rsid w:val="009D148F"/>
    <w:rsid w:val="009D3D70"/>
    <w:rsid w:val="009E6F7E"/>
    <w:rsid w:val="009E7A57"/>
    <w:rsid w:val="009F4803"/>
    <w:rsid w:val="009F4F6A"/>
    <w:rsid w:val="00A01569"/>
    <w:rsid w:val="00A13EB5"/>
    <w:rsid w:val="00A16E36"/>
    <w:rsid w:val="00A24961"/>
    <w:rsid w:val="00A24B10"/>
    <w:rsid w:val="00A277EF"/>
    <w:rsid w:val="00A30E9B"/>
    <w:rsid w:val="00A4512D"/>
    <w:rsid w:val="00A478FE"/>
    <w:rsid w:val="00A50244"/>
    <w:rsid w:val="00A627D7"/>
    <w:rsid w:val="00A656C7"/>
    <w:rsid w:val="00A705AF"/>
    <w:rsid w:val="00A72454"/>
    <w:rsid w:val="00A77696"/>
    <w:rsid w:val="00A80557"/>
    <w:rsid w:val="00A81D33"/>
    <w:rsid w:val="00A8341C"/>
    <w:rsid w:val="00A930AE"/>
    <w:rsid w:val="00A96E25"/>
    <w:rsid w:val="00AA1A95"/>
    <w:rsid w:val="00AA260F"/>
    <w:rsid w:val="00AB1EE7"/>
    <w:rsid w:val="00AB4B37"/>
    <w:rsid w:val="00AB5762"/>
    <w:rsid w:val="00AC24B7"/>
    <w:rsid w:val="00AC2679"/>
    <w:rsid w:val="00AC4BE4"/>
    <w:rsid w:val="00AD05E6"/>
    <w:rsid w:val="00AD0D3F"/>
    <w:rsid w:val="00AE1D7D"/>
    <w:rsid w:val="00AE2A8B"/>
    <w:rsid w:val="00AE3F64"/>
    <w:rsid w:val="00AF02EC"/>
    <w:rsid w:val="00AF4A28"/>
    <w:rsid w:val="00AF7386"/>
    <w:rsid w:val="00AF7934"/>
    <w:rsid w:val="00B00B81"/>
    <w:rsid w:val="00B00FF7"/>
    <w:rsid w:val="00B04580"/>
    <w:rsid w:val="00B04B09"/>
    <w:rsid w:val="00B16A51"/>
    <w:rsid w:val="00B32222"/>
    <w:rsid w:val="00B3618D"/>
    <w:rsid w:val="00B36233"/>
    <w:rsid w:val="00B42851"/>
    <w:rsid w:val="00B43A94"/>
    <w:rsid w:val="00B45AC7"/>
    <w:rsid w:val="00B46960"/>
    <w:rsid w:val="00B5372F"/>
    <w:rsid w:val="00B54577"/>
    <w:rsid w:val="00B61129"/>
    <w:rsid w:val="00B635C4"/>
    <w:rsid w:val="00B67E7F"/>
    <w:rsid w:val="00B839B2"/>
    <w:rsid w:val="00B94252"/>
    <w:rsid w:val="00B956F2"/>
    <w:rsid w:val="00B9715A"/>
    <w:rsid w:val="00BA14BE"/>
    <w:rsid w:val="00BA2732"/>
    <w:rsid w:val="00BA293D"/>
    <w:rsid w:val="00BA4216"/>
    <w:rsid w:val="00BA49BC"/>
    <w:rsid w:val="00BA56B7"/>
    <w:rsid w:val="00BA5BCF"/>
    <w:rsid w:val="00BA6161"/>
    <w:rsid w:val="00BA7A1E"/>
    <w:rsid w:val="00BB2F6C"/>
    <w:rsid w:val="00BB3875"/>
    <w:rsid w:val="00BB5860"/>
    <w:rsid w:val="00BB6AAD"/>
    <w:rsid w:val="00BC2C70"/>
    <w:rsid w:val="00BC4A19"/>
    <w:rsid w:val="00BC4E6D"/>
    <w:rsid w:val="00BD0617"/>
    <w:rsid w:val="00BD0C8C"/>
    <w:rsid w:val="00BD2E9B"/>
    <w:rsid w:val="00BD7FB2"/>
    <w:rsid w:val="00C00930"/>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074"/>
    <w:rsid w:val="00CE03CA"/>
    <w:rsid w:val="00CE22F1"/>
    <w:rsid w:val="00CE50F2"/>
    <w:rsid w:val="00CE6502"/>
    <w:rsid w:val="00CE7B0C"/>
    <w:rsid w:val="00CF2331"/>
    <w:rsid w:val="00CF666F"/>
    <w:rsid w:val="00CF7D3C"/>
    <w:rsid w:val="00D01F09"/>
    <w:rsid w:val="00D13010"/>
    <w:rsid w:val="00D147EB"/>
    <w:rsid w:val="00D2204F"/>
    <w:rsid w:val="00D34667"/>
    <w:rsid w:val="00D401E1"/>
    <w:rsid w:val="00D408B4"/>
    <w:rsid w:val="00D524C8"/>
    <w:rsid w:val="00D54187"/>
    <w:rsid w:val="00D70E24"/>
    <w:rsid w:val="00D72B61"/>
    <w:rsid w:val="00D7540A"/>
    <w:rsid w:val="00D8566B"/>
    <w:rsid w:val="00D96E05"/>
    <w:rsid w:val="00DA3D1D"/>
    <w:rsid w:val="00DB6286"/>
    <w:rsid w:val="00DB645F"/>
    <w:rsid w:val="00DB76E9"/>
    <w:rsid w:val="00DC0A67"/>
    <w:rsid w:val="00DC1D5E"/>
    <w:rsid w:val="00DC5220"/>
    <w:rsid w:val="00DD2061"/>
    <w:rsid w:val="00DD7DAB"/>
    <w:rsid w:val="00DE3355"/>
    <w:rsid w:val="00DE5AA9"/>
    <w:rsid w:val="00DE6AD6"/>
    <w:rsid w:val="00DF0C60"/>
    <w:rsid w:val="00DF486F"/>
    <w:rsid w:val="00DF5B5B"/>
    <w:rsid w:val="00DF756D"/>
    <w:rsid w:val="00DF7619"/>
    <w:rsid w:val="00E042D8"/>
    <w:rsid w:val="00E04B20"/>
    <w:rsid w:val="00E06E24"/>
    <w:rsid w:val="00E07EE7"/>
    <w:rsid w:val="00E1103B"/>
    <w:rsid w:val="00E17986"/>
    <w:rsid w:val="00E17B44"/>
    <w:rsid w:val="00E20F27"/>
    <w:rsid w:val="00E22443"/>
    <w:rsid w:val="00E27FEA"/>
    <w:rsid w:val="00E3231D"/>
    <w:rsid w:val="00E4086F"/>
    <w:rsid w:val="00E43B3C"/>
    <w:rsid w:val="00E50188"/>
    <w:rsid w:val="00E50BB3"/>
    <w:rsid w:val="00E515CB"/>
    <w:rsid w:val="00E52260"/>
    <w:rsid w:val="00E639B6"/>
    <w:rsid w:val="00E6434B"/>
    <w:rsid w:val="00E6463D"/>
    <w:rsid w:val="00E72E9B"/>
    <w:rsid w:val="00E74E6D"/>
    <w:rsid w:val="00E835DD"/>
    <w:rsid w:val="00E850C3"/>
    <w:rsid w:val="00E87DF2"/>
    <w:rsid w:val="00E9462E"/>
    <w:rsid w:val="00EA470E"/>
    <w:rsid w:val="00EA47A7"/>
    <w:rsid w:val="00EA57EB"/>
    <w:rsid w:val="00EA6687"/>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5384"/>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483E9C91-9B13-4280-BC11-07297931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026B0F"/>
    <w:pPr>
      <w:spacing w:before="120"/>
      <w:ind w:right="936"/>
    </w:pPr>
    <w:rPr>
      <w:b/>
      <w:bCs/>
      <w:iCs/>
      <w:color w:val="358189"/>
    </w:rPr>
  </w:style>
  <w:style w:type="character" w:customStyle="1" w:styleId="IntenseQuoteChar">
    <w:name w:val="Intense Quote Char"/>
    <w:basedOn w:val="DefaultParagraphFont"/>
    <w:link w:val="IntenseQuote"/>
    <w:uiPriority w:val="30"/>
    <w:rsid w:val="00026B0F"/>
    <w:rPr>
      <w:rFonts w:ascii="Arial" w:hAnsi="Arial"/>
      <w:b/>
      <w:bCs/>
      <w:iCs/>
      <w:color w:val="358189"/>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aliases w:val="OBC Bullet,F5 List Paragraph,Colorful List - Accent 11,Normal numbered,Bullet 1,Bullet Style,Dot pt,No Spacing1,Indicator Text,Numbered Para 1,List Paragraph1,Bullet Points,MAIN CONTENT,List Paragraph12,L"/>
    <w:basedOn w:val="Normal"/>
    <w:link w:val="ListParagraphChar"/>
    <w:uiPriority w:val="34"/>
    <w:qFormat/>
    <w:rsid w:val="0098122D"/>
    <w:pPr>
      <w:numPr>
        <w:numId w:val="7"/>
      </w:numPr>
      <w:ind w:left="714" w:hanging="357"/>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Date">
    <w:name w:val="Date"/>
    <w:basedOn w:val="Normal"/>
    <w:next w:val="Normal"/>
    <w:link w:val="DateChar"/>
    <w:rsid w:val="009026DC"/>
  </w:style>
  <w:style w:type="character" w:customStyle="1" w:styleId="DateChar">
    <w:name w:val="Date Char"/>
    <w:basedOn w:val="DefaultParagraphFont"/>
    <w:link w:val="Date"/>
    <w:rsid w:val="009026DC"/>
    <w:rPr>
      <w:rFonts w:ascii="Arial" w:hAnsi="Arial"/>
      <w:sz w:val="22"/>
      <w:szCs w:val="24"/>
      <w:lang w:eastAsia="en-US"/>
    </w:rPr>
  </w:style>
  <w:style w:type="character" w:customStyle="1" w:styleId="Heading3Char">
    <w:name w:val="Heading 3 Char"/>
    <w:basedOn w:val="DefaultParagraphFont"/>
    <w:link w:val="Heading3"/>
    <w:rsid w:val="00E3231D"/>
    <w:rPr>
      <w:rFonts w:ascii="Arial" w:hAnsi="Arial" w:cs="Arial"/>
      <w:b/>
      <w:bCs/>
      <w:sz w:val="24"/>
      <w:szCs w:val="26"/>
      <w:lang w:eastAsia="en-US"/>
    </w:rPr>
  </w:style>
  <w:style w:type="character" w:customStyle="1" w:styleId="s1">
    <w:name w:val="s1"/>
    <w:basedOn w:val="DefaultParagraphFont"/>
    <w:rsid w:val="0082401E"/>
  </w:style>
  <w:style w:type="character" w:customStyle="1" w:styleId="ListParagraphChar">
    <w:name w:val="List Paragraph Char"/>
    <w:aliases w:val="OBC Bullet Char,F5 List Paragraph Char,Colorful List - Accent 11 Char,Normal numbered Char,Bullet 1 Char,Bullet Style Char,Dot pt Char,No Spacing1 Char,Indicator Text Char,Numbered Para 1 Char,List Paragraph1 Char,Bullet Points Char"/>
    <w:basedOn w:val="DefaultParagraphFont"/>
    <w:link w:val="ListParagraph"/>
    <w:uiPriority w:val="34"/>
    <w:locked/>
    <w:rsid w:val="0082401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7893">
      <w:bodyDiv w:val="1"/>
      <w:marLeft w:val="0"/>
      <w:marRight w:val="0"/>
      <w:marTop w:val="0"/>
      <w:marBottom w:val="0"/>
      <w:divBdr>
        <w:top w:val="none" w:sz="0" w:space="0" w:color="auto"/>
        <w:left w:val="none" w:sz="0" w:space="0" w:color="auto"/>
        <w:bottom w:val="none" w:sz="0" w:space="0" w:color="auto"/>
        <w:right w:val="none" w:sz="0" w:space="0" w:color="auto"/>
      </w:divBdr>
      <w:divsChild>
        <w:div w:id="1574044003">
          <w:marLeft w:val="202"/>
          <w:marRight w:val="0"/>
          <w:marTop w:val="0"/>
          <w:marBottom w:val="0"/>
          <w:divBdr>
            <w:top w:val="none" w:sz="0" w:space="0" w:color="auto"/>
            <w:left w:val="none" w:sz="0" w:space="0" w:color="auto"/>
            <w:bottom w:val="none" w:sz="0" w:space="0" w:color="auto"/>
            <w:right w:val="none" w:sz="0" w:space="0" w:color="auto"/>
          </w:divBdr>
        </w:div>
        <w:div w:id="554194473">
          <w:marLeft w:val="202"/>
          <w:marRight w:val="0"/>
          <w:marTop w:val="0"/>
          <w:marBottom w:val="0"/>
          <w:divBdr>
            <w:top w:val="none" w:sz="0" w:space="0" w:color="auto"/>
            <w:left w:val="none" w:sz="0" w:space="0" w:color="auto"/>
            <w:bottom w:val="none" w:sz="0" w:space="0" w:color="auto"/>
            <w:right w:val="none" w:sz="0" w:space="0" w:color="auto"/>
          </w:divBdr>
        </w:div>
      </w:divsChild>
    </w:div>
    <w:div w:id="27960639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0925485">
      <w:bodyDiv w:val="1"/>
      <w:marLeft w:val="0"/>
      <w:marRight w:val="0"/>
      <w:marTop w:val="0"/>
      <w:marBottom w:val="0"/>
      <w:divBdr>
        <w:top w:val="none" w:sz="0" w:space="0" w:color="auto"/>
        <w:left w:val="none" w:sz="0" w:space="0" w:color="auto"/>
        <w:bottom w:val="none" w:sz="0" w:space="0" w:color="auto"/>
        <w:right w:val="none" w:sz="0" w:space="0" w:color="auto"/>
      </w:divBdr>
      <w:divsChild>
        <w:div w:id="461459845">
          <w:marLeft w:val="202"/>
          <w:marRight w:val="0"/>
          <w:marTop w:val="0"/>
          <w:marBottom w:val="0"/>
          <w:divBdr>
            <w:top w:val="none" w:sz="0" w:space="0" w:color="auto"/>
            <w:left w:val="none" w:sz="0" w:space="0" w:color="auto"/>
            <w:bottom w:val="none" w:sz="0" w:space="0" w:color="auto"/>
            <w:right w:val="none" w:sz="0" w:space="0" w:color="auto"/>
          </w:divBdr>
        </w:div>
        <w:div w:id="2078361383">
          <w:marLeft w:val="202"/>
          <w:marRight w:val="0"/>
          <w:marTop w:val="0"/>
          <w:marBottom w:val="0"/>
          <w:divBdr>
            <w:top w:val="none" w:sz="0" w:space="0" w:color="auto"/>
            <w:left w:val="none" w:sz="0" w:space="0" w:color="auto"/>
            <w:bottom w:val="none" w:sz="0" w:space="0" w:color="auto"/>
            <w:right w:val="none" w:sz="0" w:space="0" w:color="auto"/>
          </w:divBdr>
        </w:div>
        <w:div w:id="1803185280">
          <w:marLeft w:val="202"/>
          <w:marRight w:val="0"/>
          <w:marTop w:val="0"/>
          <w:marBottom w:val="12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0291756">
      <w:bodyDiv w:val="1"/>
      <w:marLeft w:val="0"/>
      <w:marRight w:val="0"/>
      <w:marTop w:val="0"/>
      <w:marBottom w:val="0"/>
      <w:divBdr>
        <w:top w:val="none" w:sz="0" w:space="0" w:color="auto"/>
        <w:left w:val="none" w:sz="0" w:space="0" w:color="auto"/>
        <w:bottom w:val="none" w:sz="0" w:space="0" w:color="auto"/>
        <w:right w:val="none" w:sz="0" w:space="0" w:color="auto"/>
      </w:divBdr>
      <w:divsChild>
        <w:div w:id="476922832">
          <w:marLeft w:val="317"/>
          <w:marRight w:val="0"/>
          <w:marTop w:val="0"/>
          <w:marBottom w:val="0"/>
          <w:divBdr>
            <w:top w:val="none" w:sz="0" w:space="0" w:color="auto"/>
            <w:left w:val="none" w:sz="0" w:space="0" w:color="auto"/>
            <w:bottom w:val="none" w:sz="0" w:space="0" w:color="auto"/>
            <w:right w:val="none" w:sz="0" w:space="0" w:color="auto"/>
          </w:divBdr>
        </w:div>
        <w:div w:id="1735085305">
          <w:marLeft w:val="317"/>
          <w:marRight w:val="0"/>
          <w:marTop w:val="0"/>
          <w:marBottom w:val="0"/>
          <w:divBdr>
            <w:top w:val="none" w:sz="0" w:space="0" w:color="auto"/>
            <w:left w:val="none" w:sz="0" w:space="0" w:color="auto"/>
            <w:bottom w:val="none" w:sz="0" w:space="0" w:color="auto"/>
            <w:right w:val="none" w:sz="0" w:space="0" w:color="auto"/>
          </w:divBdr>
        </w:div>
        <w:div w:id="928075040">
          <w:marLeft w:val="317"/>
          <w:marRight w:val="0"/>
          <w:marTop w:val="0"/>
          <w:marBottom w:val="120"/>
          <w:divBdr>
            <w:top w:val="none" w:sz="0" w:space="0" w:color="auto"/>
            <w:left w:val="none" w:sz="0" w:space="0" w:color="auto"/>
            <w:bottom w:val="none" w:sz="0" w:space="0" w:color="auto"/>
            <w:right w:val="none" w:sz="0" w:space="0" w:color="auto"/>
          </w:divBdr>
        </w:div>
        <w:div w:id="1482775619">
          <w:marLeft w:val="202"/>
          <w:marRight w:val="0"/>
          <w:marTop w:val="0"/>
          <w:marBottom w:val="0"/>
          <w:divBdr>
            <w:top w:val="none" w:sz="0" w:space="0" w:color="auto"/>
            <w:left w:val="none" w:sz="0" w:space="0" w:color="auto"/>
            <w:bottom w:val="none" w:sz="0" w:space="0" w:color="auto"/>
            <w:right w:val="none" w:sz="0" w:space="0" w:color="auto"/>
          </w:divBdr>
        </w:div>
        <w:div w:id="978075837">
          <w:marLeft w:val="202"/>
          <w:marRight w:val="0"/>
          <w:marTop w:val="0"/>
          <w:marBottom w:val="0"/>
          <w:divBdr>
            <w:top w:val="none" w:sz="0" w:space="0" w:color="auto"/>
            <w:left w:val="none" w:sz="0" w:space="0" w:color="auto"/>
            <w:bottom w:val="none" w:sz="0" w:space="0" w:color="auto"/>
            <w:right w:val="none" w:sz="0" w:space="0" w:color="auto"/>
          </w:divBdr>
        </w:div>
        <w:div w:id="1393113164">
          <w:marLeft w:val="202"/>
          <w:marRight w:val="0"/>
          <w:marTop w:val="0"/>
          <w:marBottom w:val="0"/>
          <w:divBdr>
            <w:top w:val="none" w:sz="0" w:space="0" w:color="auto"/>
            <w:left w:val="none" w:sz="0" w:space="0" w:color="auto"/>
            <w:bottom w:val="none" w:sz="0" w:space="0" w:color="auto"/>
            <w:right w:val="none" w:sz="0" w:space="0" w:color="auto"/>
          </w:divBdr>
        </w:div>
        <w:div w:id="773328050">
          <w:marLeft w:val="202"/>
          <w:marRight w:val="0"/>
          <w:marTop w:val="0"/>
          <w:marBottom w:val="0"/>
          <w:divBdr>
            <w:top w:val="none" w:sz="0" w:space="0" w:color="auto"/>
            <w:left w:val="none" w:sz="0" w:space="0" w:color="auto"/>
            <w:bottom w:val="none" w:sz="0" w:space="0" w:color="auto"/>
            <w:right w:val="none" w:sz="0" w:space="0" w:color="auto"/>
          </w:divBdr>
        </w:div>
      </w:divsChild>
    </w:div>
    <w:div w:id="600340913">
      <w:bodyDiv w:val="1"/>
      <w:marLeft w:val="0"/>
      <w:marRight w:val="0"/>
      <w:marTop w:val="0"/>
      <w:marBottom w:val="0"/>
      <w:divBdr>
        <w:top w:val="none" w:sz="0" w:space="0" w:color="auto"/>
        <w:left w:val="none" w:sz="0" w:space="0" w:color="auto"/>
        <w:bottom w:val="none" w:sz="0" w:space="0" w:color="auto"/>
        <w:right w:val="none" w:sz="0" w:space="0" w:color="auto"/>
      </w:divBdr>
      <w:divsChild>
        <w:div w:id="1876699565">
          <w:marLeft w:val="317"/>
          <w:marRight w:val="0"/>
          <w:marTop w:val="0"/>
          <w:marBottom w:val="0"/>
          <w:divBdr>
            <w:top w:val="none" w:sz="0" w:space="0" w:color="auto"/>
            <w:left w:val="none" w:sz="0" w:space="0" w:color="auto"/>
            <w:bottom w:val="none" w:sz="0" w:space="0" w:color="auto"/>
            <w:right w:val="none" w:sz="0" w:space="0" w:color="auto"/>
          </w:divBdr>
        </w:div>
        <w:div w:id="1678652949">
          <w:marLeft w:val="317"/>
          <w:marRight w:val="0"/>
          <w:marTop w:val="0"/>
          <w:marBottom w:val="0"/>
          <w:divBdr>
            <w:top w:val="none" w:sz="0" w:space="0" w:color="auto"/>
            <w:left w:val="none" w:sz="0" w:space="0" w:color="auto"/>
            <w:bottom w:val="none" w:sz="0" w:space="0" w:color="auto"/>
            <w:right w:val="none" w:sz="0" w:space="0" w:color="auto"/>
          </w:divBdr>
        </w:div>
        <w:div w:id="1824740873">
          <w:marLeft w:val="317"/>
          <w:marRight w:val="0"/>
          <w:marTop w:val="0"/>
          <w:marBottom w:val="0"/>
          <w:divBdr>
            <w:top w:val="none" w:sz="0" w:space="0" w:color="auto"/>
            <w:left w:val="none" w:sz="0" w:space="0" w:color="auto"/>
            <w:bottom w:val="none" w:sz="0" w:space="0" w:color="auto"/>
            <w:right w:val="none" w:sz="0" w:space="0" w:color="auto"/>
          </w:divBdr>
        </w:div>
        <w:div w:id="157892617">
          <w:marLeft w:val="317"/>
          <w:marRight w:val="0"/>
          <w:marTop w:val="0"/>
          <w:marBottom w:val="12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07229935">
      <w:bodyDiv w:val="1"/>
      <w:marLeft w:val="0"/>
      <w:marRight w:val="0"/>
      <w:marTop w:val="0"/>
      <w:marBottom w:val="0"/>
      <w:divBdr>
        <w:top w:val="none" w:sz="0" w:space="0" w:color="auto"/>
        <w:left w:val="none" w:sz="0" w:space="0" w:color="auto"/>
        <w:bottom w:val="none" w:sz="0" w:space="0" w:color="auto"/>
        <w:right w:val="none" w:sz="0" w:space="0" w:color="auto"/>
      </w:divBdr>
      <w:divsChild>
        <w:div w:id="1559706456">
          <w:marLeft w:val="202"/>
          <w:marRight w:val="0"/>
          <w:marTop w:val="0"/>
          <w:marBottom w:val="0"/>
          <w:divBdr>
            <w:top w:val="none" w:sz="0" w:space="0" w:color="auto"/>
            <w:left w:val="none" w:sz="0" w:space="0" w:color="auto"/>
            <w:bottom w:val="none" w:sz="0" w:space="0" w:color="auto"/>
            <w:right w:val="none" w:sz="0" w:space="0" w:color="auto"/>
          </w:divBdr>
        </w:div>
        <w:div w:id="317030010">
          <w:marLeft w:val="202"/>
          <w:marRight w:val="0"/>
          <w:marTop w:val="0"/>
          <w:marBottom w:val="0"/>
          <w:divBdr>
            <w:top w:val="none" w:sz="0" w:space="0" w:color="auto"/>
            <w:left w:val="none" w:sz="0" w:space="0" w:color="auto"/>
            <w:bottom w:val="none" w:sz="0" w:space="0" w:color="auto"/>
            <w:right w:val="none" w:sz="0" w:space="0" w:color="auto"/>
          </w:divBdr>
        </w:div>
        <w:div w:id="216673448">
          <w:marLeft w:val="202"/>
          <w:marRight w:val="0"/>
          <w:marTop w:val="0"/>
          <w:marBottom w:val="0"/>
          <w:divBdr>
            <w:top w:val="none" w:sz="0" w:space="0" w:color="auto"/>
            <w:left w:val="none" w:sz="0" w:space="0" w:color="auto"/>
            <w:bottom w:val="none" w:sz="0" w:space="0" w:color="auto"/>
            <w:right w:val="none" w:sz="0" w:space="0" w:color="auto"/>
          </w:divBdr>
        </w:div>
        <w:div w:id="1859538508">
          <w:marLeft w:val="202"/>
          <w:marRight w:val="0"/>
          <w:marTop w:val="0"/>
          <w:marBottom w:val="0"/>
          <w:divBdr>
            <w:top w:val="none" w:sz="0" w:space="0" w:color="auto"/>
            <w:left w:val="none" w:sz="0" w:space="0" w:color="auto"/>
            <w:bottom w:val="none" w:sz="0" w:space="0" w:color="auto"/>
            <w:right w:val="none" w:sz="0" w:space="0" w:color="auto"/>
          </w:divBdr>
        </w:div>
        <w:div w:id="77603612">
          <w:marLeft w:val="202"/>
          <w:marRight w:val="0"/>
          <w:marTop w:val="0"/>
          <w:marBottom w:val="0"/>
          <w:divBdr>
            <w:top w:val="none" w:sz="0" w:space="0" w:color="auto"/>
            <w:left w:val="none" w:sz="0" w:space="0" w:color="auto"/>
            <w:bottom w:val="none" w:sz="0" w:space="0" w:color="auto"/>
            <w:right w:val="none" w:sz="0" w:space="0" w:color="auto"/>
          </w:divBdr>
        </w:div>
        <w:div w:id="1496147509">
          <w:marLeft w:val="202"/>
          <w:marRight w:val="0"/>
          <w:marTop w:val="0"/>
          <w:marBottom w:val="0"/>
          <w:divBdr>
            <w:top w:val="none" w:sz="0" w:space="0" w:color="auto"/>
            <w:left w:val="none" w:sz="0" w:space="0" w:color="auto"/>
            <w:bottom w:val="none" w:sz="0" w:space="0" w:color="auto"/>
            <w:right w:val="none" w:sz="0" w:space="0" w:color="auto"/>
          </w:divBdr>
        </w:div>
      </w:divsChild>
    </w:div>
    <w:div w:id="110916194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3662042">
      <w:bodyDiv w:val="1"/>
      <w:marLeft w:val="0"/>
      <w:marRight w:val="0"/>
      <w:marTop w:val="0"/>
      <w:marBottom w:val="0"/>
      <w:divBdr>
        <w:top w:val="none" w:sz="0" w:space="0" w:color="auto"/>
        <w:left w:val="none" w:sz="0" w:space="0" w:color="auto"/>
        <w:bottom w:val="none" w:sz="0" w:space="0" w:color="auto"/>
        <w:right w:val="none" w:sz="0" w:space="0" w:color="auto"/>
      </w:divBdr>
    </w:div>
    <w:div w:id="1269386510">
      <w:bodyDiv w:val="1"/>
      <w:marLeft w:val="0"/>
      <w:marRight w:val="0"/>
      <w:marTop w:val="0"/>
      <w:marBottom w:val="0"/>
      <w:divBdr>
        <w:top w:val="none" w:sz="0" w:space="0" w:color="auto"/>
        <w:left w:val="none" w:sz="0" w:space="0" w:color="auto"/>
        <w:bottom w:val="none" w:sz="0" w:space="0" w:color="auto"/>
        <w:right w:val="none" w:sz="0" w:space="0" w:color="auto"/>
      </w:divBdr>
    </w:div>
    <w:div w:id="1577738472">
      <w:bodyDiv w:val="1"/>
      <w:marLeft w:val="0"/>
      <w:marRight w:val="0"/>
      <w:marTop w:val="0"/>
      <w:marBottom w:val="0"/>
      <w:divBdr>
        <w:top w:val="none" w:sz="0" w:space="0" w:color="auto"/>
        <w:left w:val="none" w:sz="0" w:space="0" w:color="auto"/>
        <w:bottom w:val="none" w:sz="0" w:space="0" w:color="auto"/>
        <w:right w:val="none" w:sz="0" w:space="0" w:color="auto"/>
      </w:divBdr>
    </w:div>
    <w:div w:id="1599363303">
      <w:bodyDiv w:val="1"/>
      <w:marLeft w:val="0"/>
      <w:marRight w:val="0"/>
      <w:marTop w:val="0"/>
      <w:marBottom w:val="0"/>
      <w:divBdr>
        <w:top w:val="none" w:sz="0" w:space="0" w:color="auto"/>
        <w:left w:val="none" w:sz="0" w:space="0" w:color="auto"/>
        <w:bottom w:val="none" w:sz="0" w:space="0" w:color="auto"/>
        <w:right w:val="none" w:sz="0" w:space="0" w:color="auto"/>
      </w:divBdr>
      <w:divsChild>
        <w:div w:id="373968723">
          <w:marLeft w:val="202"/>
          <w:marRight w:val="0"/>
          <w:marTop w:val="0"/>
          <w:marBottom w:val="0"/>
          <w:divBdr>
            <w:top w:val="none" w:sz="0" w:space="0" w:color="auto"/>
            <w:left w:val="none" w:sz="0" w:space="0" w:color="auto"/>
            <w:bottom w:val="none" w:sz="0" w:space="0" w:color="auto"/>
            <w:right w:val="none" w:sz="0" w:space="0" w:color="auto"/>
          </w:divBdr>
        </w:div>
        <w:div w:id="1817187806">
          <w:marLeft w:val="202"/>
          <w:marRight w:val="0"/>
          <w:marTop w:val="0"/>
          <w:marBottom w:val="0"/>
          <w:divBdr>
            <w:top w:val="none" w:sz="0" w:space="0" w:color="auto"/>
            <w:left w:val="none" w:sz="0" w:space="0" w:color="auto"/>
            <w:bottom w:val="none" w:sz="0" w:space="0" w:color="auto"/>
            <w:right w:val="none" w:sz="0" w:space="0" w:color="auto"/>
          </w:divBdr>
        </w:div>
        <w:div w:id="820393834">
          <w:marLeft w:val="202"/>
          <w:marRight w:val="0"/>
          <w:marTop w:val="0"/>
          <w:marBottom w:val="0"/>
          <w:divBdr>
            <w:top w:val="none" w:sz="0" w:space="0" w:color="auto"/>
            <w:left w:val="none" w:sz="0" w:space="0" w:color="auto"/>
            <w:bottom w:val="none" w:sz="0" w:space="0" w:color="auto"/>
            <w:right w:val="none" w:sz="0" w:space="0" w:color="auto"/>
          </w:divBdr>
        </w:div>
        <w:div w:id="1992710331">
          <w:marLeft w:val="202"/>
          <w:marRight w:val="0"/>
          <w:marTop w:val="0"/>
          <w:marBottom w:val="0"/>
          <w:divBdr>
            <w:top w:val="none" w:sz="0" w:space="0" w:color="auto"/>
            <w:left w:val="none" w:sz="0" w:space="0" w:color="auto"/>
            <w:bottom w:val="none" w:sz="0" w:space="0" w:color="auto"/>
            <w:right w:val="none" w:sz="0" w:space="0" w:color="auto"/>
          </w:divBdr>
        </w:div>
        <w:div w:id="816841260">
          <w:marLeft w:val="202"/>
          <w:marRight w:val="0"/>
          <w:marTop w:val="0"/>
          <w:marBottom w:val="0"/>
          <w:divBdr>
            <w:top w:val="none" w:sz="0" w:space="0" w:color="auto"/>
            <w:left w:val="none" w:sz="0" w:space="0" w:color="auto"/>
            <w:bottom w:val="none" w:sz="0" w:space="0" w:color="auto"/>
            <w:right w:val="none" w:sz="0" w:space="0" w:color="auto"/>
          </w:divBdr>
        </w:div>
      </w:divsChild>
    </w:div>
    <w:div w:id="1804738553">
      <w:bodyDiv w:val="1"/>
      <w:marLeft w:val="0"/>
      <w:marRight w:val="0"/>
      <w:marTop w:val="0"/>
      <w:marBottom w:val="0"/>
      <w:divBdr>
        <w:top w:val="none" w:sz="0" w:space="0" w:color="auto"/>
        <w:left w:val="none" w:sz="0" w:space="0" w:color="auto"/>
        <w:bottom w:val="none" w:sz="0" w:space="0" w:color="auto"/>
        <w:right w:val="none" w:sz="0" w:space="0" w:color="auto"/>
      </w:divBdr>
    </w:div>
    <w:div w:id="2051297064">
      <w:bodyDiv w:val="1"/>
      <w:marLeft w:val="0"/>
      <w:marRight w:val="0"/>
      <w:marTop w:val="0"/>
      <w:marBottom w:val="0"/>
      <w:divBdr>
        <w:top w:val="none" w:sz="0" w:space="0" w:color="auto"/>
        <w:left w:val="none" w:sz="0" w:space="0" w:color="auto"/>
        <w:bottom w:val="none" w:sz="0" w:space="0" w:color="auto"/>
        <w:right w:val="none" w:sz="0" w:space="0" w:color="auto"/>
      </w:divBdr>
      <w:divsChild>
        <w:div w:id="365981418">
          <w:marLeft w:val="202"/>
          <w:marRight w:val="0"/>
          <w:marTop w:val="0"/>
          <w:marBottom w:val="0"/>
          <w:divBdr>
            <w:top w:val="none" w:sz="0" w:space="0" w:color="auto"/>
            <w:left w:val="none" w:sz="0" w:space="0" w:color="auto"/>
            <w:bottom w:val="none" w:sz="0" w:space="0" w:color="auto"/>
            <w:right w:val="none" w:sz="0" w:space="0" w:color="auto"/>
          </w:divBdr>
        </w:div>
        <w:div w:id="665593549">
          <w:marLeft w:val="202"/>
          <w:marRight w:val="0"/>
          <w:marTop w:val="0"/>
          <w:marBottom w:val="0"/>
          <w:divBdr>
            <w:top w:val="none" w:sz="0" w:space="0" w:color="auto"/>
            <w:left w:val="none" w:sz="0" w:space="0" w:color="auto"/>
            <w:bottom w:val="none" w:sz="0" w:space="0" w:color="auto"/>
            <w:right w:val="none" w:sz="0" w:space="0" w:color="auto"/>
          </w:divBdr>
        </w:div>
        <w:div w:id="184487796">
          <w:marLeft w:val="202"/>
          <w:marRight w:val="0"/>
          <w:marTop w:val="0"/>
          <w:marBottom w:val="0"/>
          <w:divBdr>
            <w:top w:val="none" w:sz="0" w:space="0" w:color="auto"/>
            <w:left w:val="none" w:sz="0" w:space="0" w:color="auto"/>
            <w:bottom w:val="none" w:sz="0" w:space="0" w:color="auto"/>
            <w:right w:val="none" w:sz="0" w:space="0" w:color="auto"/>
          </w:divBdr>
        </w:div>
        <w:div w:id="98528787">
          <w:marLeft w:val="202"/>
          <w:marRight w:val="0"/>
          <w:marTop w:val="0"/>
          <w:marBottom w:val="0"/>
          <w:divBdr>
            <w:top w:val="none" w:sz="0" w:space="0" w:color="auto"/>
            <w:left w:val="none" w:sz="0" w:space="0" w:color="auto"/>
            <w:bottom w:val="none" w:sz="0" w:space="0" w:color="auto"/>
            <w:right w:val="none" w:sz="0" w:space="0" w:color="auto"/>
          </w:divBdr>
        </w:div>
        <w:div w:id="814643108">
          <w:marLeft w:val="202"/>
          <w:marRight w:val="0"/>
          <w:marTop w:val="0"/>
          <w:marBottom w:val="0"/>
          <w:divBdr>
            <w:top w:val="none" w:sz="0" w:space="0" w:color="auto"/>
            <w:left w:val="none" w:sz="0" w:space="0" w:color="auto"/>
            <w:bottom w:val="none" w:sz="0" w:space="0" w:color="auto"/>
            <w:right w:val="none" w:sz="0" w:space="0" w:color="auto"/>
          </w:divBdr>
        </w:div>
        <w:div w:id="1665742124">
          <w:marLeft w:val="418"/>
          <w:marRight w:val="0"/>
          <w:marTop w:val="0"/>
          <w:marBottom w:val="0"/>
          <w:divBdr>
            <w:top w:val="none" w:sz="0" w:space="0" w:color="auto"/>
            <w:left w:val="none" w:sz="0" w:space="0" w:color="auto"/>
            <w:bottom w:val="none" w:sz="0" w:space="0" w:color="auto"/>
            <w:right w:val="none" w:sz="0" w:space="0" w:color="auto"/>
          </w:divBdr>
        </w:div>
        <w:div w:id="1962110172">
          <w:marLeft w:val="418"/>
          <w:marRight w:val="0"/>
          <w:marTop w:val="0"/>
          <w:marBottom w:val="0"/>
          <w:divBdr>
            <w:top w:val="none" w:sz="0" w:space="0" w:color="auto"/>
            <w:left w:val="none" w:sz="0" w:space="0" w:color="auto"/>
            <w:bottom w:val="none" w:sz="0" w:space="0" w:color="auto"/>
            <w:right w:val="none" w:sz="0" w:space="0" w:color="auto"/>
          </w:divBdr>
        </w:div>
        <w:div w:id="1024399113">
          <w:marLeft w:val="418"/>
          <w:marRight w:val="0"/>
          <w:marTop w:val="0"/>
          <w:marBottom w:val="0"/>
          <w:divBdr>
            <w:top w:val="none" w:sz="0" w:space="0" w:color="auto"/>
            <w:left w:val="none" w:sz="0" w:space="0" w:color="auto"/>
            <w:bottom w:val="none" w:sz="0" w:space="0" w:color="auto"/>
            <w:right w:val="none" w:sz="0" w:space="0" w:color="auto"/>
          </w:divBdr>
        </w:div>
        <w:div w:id="446506610">
          <w:marLeft w:val="418"/>
          <w:marRight w:val="0"/>
          <w:marTop w:val="0"/>
          <w:marBottom w:val="0"/>
          <w:divBdr>
            <w:top w:val="none" w:sz="0" w:space="0" w:color="auto"/>
            <w:left w:val="none" w:sz="0" w:space="0" w:color="auto"/>
            <w:bottom w:val="none" w:sz="0" w:space="0" w:color="auto"/>
            <w:right w:val="none" w:sz="0" w:space="0" w:color="auto"/>
          </w:divBdr>
        </w:div>
        <w:div w:id="1898777806">
          <w:marLeft w:val="418"/>
          <w:marRight w:val="0"/>
          <w:marTop w:val="0"/>
          <w:marBottom w:val="0"/>
          <w:divBdr>
            <w:top w:val="none" w:sz="0" w:space="0" w:color="auto"/>
            <w:left w:val="none" w:sz="0" w:space="0" w:color="auto"/>
            <w:bottom w:val="none" w:sz="0" w:space="0" w:color="auto"/>
            <w:right w:val="none" w:sz="0" w:space="0" w:color="auto"/>
          </w:divBdr>
        </w:div>
        <w:div w:id="1110009477">
          <w:marLeft w:val="418"/>
          <w:marRight w:val="0"/>
          <w:marTop w:val="0"/>
          <w:marBottom w:val="0"/>
          <w:divBdr>
            <w:top w:val="none" w:sz="0" w:space="0" w:color="auto"/>
            <w:left w:val="none" w:sz="0" w:space="0" w:color="auto"/>
            <w:bottom w:val="none" w:sz="0" w:space="0" w:color="auto"/>
            <w:right w:val="none" w:sz="0" w:space="0" w:color="auto"/>
          </w:divBdr>
        </w:div>
        <w:div w:id="707341285">
          <w:marLeft w:val="418"/>
          <w:marRight w:val="0"/>
          <w:marTop w:val="0"/>
          <w:marBottom w:val="0"/>
          <w:divBdr>
            <w:top w:val="none" w:sz="0" w:space="0" w:color="auto"/>
            <w:left w:val="none" w:sz="0" w:space="0" w:color="auto"/>
            <w:bottom w:val="none" w:sz="0" w:space="0" w:color="auto"/>
            <w:right w:val="none" w:sz="0" w:space="0" w:color="auto"/>
          </w:divBdr>
        </w:div>
      </w:divsChild>
    </w:div>
    <w:div w:id="20679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bs.gov.au/info/general/medicines-industry-strategic-agree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2" ma:contentTypeDescription="Create a new document." ma:contentTypeScope="" ma:versionID="0b09e853bac25ac6666063cd8808b449">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d3c37796ac03d3a2aca34929b9eee324"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74fb71-3d31-424b-8837-24a0ba3e9c61}"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C55F-7D6C-4FB8-A4E7-D8AFEC142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purl.org/dc/terms/"/>
    <ds:schemaRef ds:uri="c4876c76-5897-4d5d-ac80-954d0599e137"/>
    <ds:schemaRef ds:uri="01920aa1-7832-453e-a147-98c7799638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6584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Health Technology Assessment Policy and Methods Review – Frequently Asked Questions</vt:lpstr>
    </vt:vector>
  </TitlesOfParts>
  <Manager/>
  <Company/>
  <LinksUpToDate>false</LinksUpToDate>
  <CharactersWithSpaces>7683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 Frequently Asked Questions</dc:title>
  <dc:subject/>
  <dc:creator>Australian Government Department of Health and Aged Care</dc:creator>
  <cp:keywords>Health technologies and digital health; Health Technology Assessment Policy and Methods Review;</cp:keywords>
  <dc:description/>
  <cp:lastModifiedBy>HAMLEY, Erynn</cp:lastModifiedBy>
  <cp:revision>2</cp:revision>
  <dcterms:created xsi:type="dcterms:W3CDTF">2023-06-09T01:23:00Z</dcterms:created>
  <dcterms:modified xsi:type="dcterms:W3CDTF">2023-06-09T01:23:00Z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0x010100FEE71144B0A72D48BAD5085EFC329F68</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ies>
</file>